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3D600">
      <w:pPr>
        <w:spacing w:before="5" w:line="16820" w:lineRule="exact"/>
      </w:pPr>
      <w:r>
        <w:rPr>
          <w:position w:val="-336"/>
        </w:rPr>
        <w:drawing>
          <wp:inline distT="0" distB="0" distL="0" distR="0">
            <wp:extent cx="7539990" cy="106800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84"/>
                    <a:stretch>
                      <a:fillRect/>
                    </a:stretch>
                  </pic:blipFill>
                  <pic:spPr>
                    <a:xfrm>
                      <a:off x="0" y="0"/>
                      <a:ext cx="7540497" cy="10680331"/>
                    </a:xfrm>
                    <a:prstGeom prst="rect">
                      <a:avLst/>
                    </a:prstGeom>
                  </pic:spPr>
                </pic:pic>
              </a:graphicData>
            </a:graphic>
          </wp:inline>
        </w:drawing>
      </w:r>
    </w:p>
    <w:p w14:paraId="088B744B">
      <w:pPr>
        <w:spacing w:line="16820" w:lineRule="exact"/>
        <w:sectPr>
          <w:headerReference r:id="rId5" w:type="default"/>
          <w:footerReference r:id="rId6" w:type="default"/>
          <w:pgSz w:w="11906" w:h="16839"/>
          <w:pgMar w:top="1" w:right="0" w:bottom="1" w:left="31" w:header="0" w:footer="0" w:gutter="0"/>
          <w:cols w:space="720" w:num="1"/>
        </w:sectPr>
      </w:pPr>
    </w:p>
    <w:p w14:paraId="3C4D7E77">
      <w:pPr>
        <w:spacing w:line="258" w:lineRule="auto"/>
        <w:rPr>
          <w:rFonts w:ascii="Arial"/>
          <w:sz w:val="21"/>
        </w:rPr>
      </w:pPr>
    </w:p>
    <w:p w14:paraId="54A1FB1B">
      <w:pPr>
        <w:spacing w:line="258" w:lineRule="auto"/>
        <w:rPr>
          <w:rFonts w:ascii="Arial"/>
          <w:sz w:val="21"/>
        </w:rPr>
      </w:pPr>
    </w:p>
    <w:p w14:paraId="353A7F21">
      <w:pPr>
        <w:spacing w:line="259" w:lineRule="auto"/>
        <w:rPr>
          <w:rFonts w:ascii="Arial"/>
          <w:sz w:val="21"/>
        </w:rPr>
      </w:pPr>
    </w:p>
    <w:p w14:paraId="4873846C">
      <w:pPr>
        <w:spacing w:line="259" w:lineRule="auto"/>
        <w:rPr>
          <w:rFonts w:ascii="Arial"/>
          <w:sz w:val="21"/>
        </w:rPr>
      </w:pPr>
    </w:p>
    <w:p w14:paraId="6A4C9D75">
      <w:pPr>
        <w:spacing w:line="259" w:lineRule="auto"/>
        <w:rPr>
          <w:rFonts w:ascii="Arial"/>
          <w:sz w:val="21"/>
        </w:rPr>
      </w:pPr>
    </w:p>
    <w:p w14:paraId="3F63F83C">
      <w:pPr>
        <w:spacing w:line="12504" w:lineRule="exact"/>
      </w:pPr>
      <w:r>
        <w:rPr>
          <w:position w:val="-250"/>
        </w:rPr>
        <w:drawing>
          <wp:inline distT="0" distB="0" distL="0" distR="0">
            <wp:extent cx="5614035" cy="79400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5"/>
                    <a:stretch>
                      <a:fillRect/>
                    </a:stretch>
                  </pic:blipFill>
                  <pic:spPr>
                    <a:xfrm>
                      <a:off x="0" y="0"/>
                      <a:ext cx="5614416" cy="7940040"/>
                    </a:xfrm>
                    <a:prstGeom prst="rect">
                      <a:avLst/>
                    </a:prstGeom>
                  </pic:spPr>
                </pic:pic>
              </a:graphicData>
            </a:graphic>
          </wp:inline>
        </w:drawing>
      </w:r>
    </w:p>
    <w:p w14:paraId="7633DCC3">
      <w:pPr>
        <w:spacing w:line="12504" w:lineRule="exact"/>
        <w:sectPr>
          <w:headerReference r:id="rId7" w:type="default"/>
          <w:pgSz w:w="11906" w:h="16839"/>
          <w:pgMar w:top="400" w:right="1533" w:bottom="400" w:left="1531" w:header="0" w:footer="0" w:gutter="0"/>
          <w:cols w:space="720" w:num="1"/>
        </w:sectPr>
      </w:pPr>
    </w:p>
    <w:p w14:paraId="5805B89C">
      <w:pPr>
        <w:spacing w:line="258" w:lineRule="auto"/>
        <w:rPr>
          <w:rFonts w:ascii="Arial"/>
          <w:sz w:val="21"/>
        </w:rPr>
      </w:pPr>
    </w:p>
    <w:p w14:paraId="717AE2C3">
      <w:pPr>
        <w:spacing w:line="258" w:lineRule="auto"/>
        <w:rPr>
          <w:rFonts w:ascii="Arial"/>
          <w:sz w:val="21"/>
        </w:rPr>
      </w:pPr>
    </w:p>
    <w:p w14:paraId="2551F240">
      <w:pPr>
        <w:spacing w:line="259" w:lineRule="auto"/>
        <w:rPr>
          <w:rFonts w:ascii="Arial"/>
          <w:sz w:val="21"/>
        </w:rPr>
      </w:pPr>
    </w:p>
    <w:p w14:paraId="5C32DA3B">
      <w:pPr>
        <w:spacing w:line="259" w:lineRule="auto"/>
        <w:rPr>
          <w:rFonts w:ascii="Arial"/>
          <w:sz w:val="21"/>
        </w:rPr>
      </w:pPr>
    </w:p>
    <w:p w14:paraId="6CE8E79B">
      <w:pPr>
        <w:spacing w:line="259" w:lineRule="auto"/>
        <w:rPr>
          <w:rFonts w:ascii="Arial"/>
          <w:sz w:val="21"/>
        </w:rPr>
      </w:pPr>
    </w:p>
    <w:p w14:paraId="63F2C1DA">
      <w:pPr>
        <w:spacing w:line="12504" w:lineRule="exact"/>
      </w:pPr>
      <w:r>
        <w:rPr>
          <w:position w:val="-250"/>
        </w:rPr>
        <w:drawing>
          <wp:inline distT="0" distB="0" distL="0" distR="0">
            <wp:extent cx="5614035" cy="79400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86"/>
                    <a:stretch>
                      <a:fillRect/>
                    </a:stretch>
                  </pic:blipFill>
                  <pic:spPr>
                    <a:xfrm>
                      <a:off x="0" y="0"/>
                      <a:ext cx="5614416" cy="7940040"/>
                    </a:xfrm>
                    <a:prstGeom prst="rect">
                      <a:avLst/>
                    </a:prstGeom>
                  </pic:spPr>
                </pic:pic>
              </a:graphicData>
            </a:graphic>
          </wp:inline>
        </w:drawing>
      </w:r>
    </w:p>
    <w:p w14:paraId="7866AF3B">
      <w:pPr>
        <w:spacing w:line="12504" w:lineRule="exact"/>
        <w:sectPr>
          <w:pgSz w:w="11906" w:h="16839"/>
          <w:pgMar w:top="400" w:right="1533" w:bottom="400" w:left="1531" w:header="0" w:footer="0" w:gutter="0"/>
          <w:cols w:space="720" w:num="1"/>
        </w:sectPr>
      </w:pPr>
    </w:p>
    <w:p w14:paraId="6D740E17">
      <w:pPr>
        <w:spacing w:line="258" w:lineRule="auto"/>
        <w:rPr>
          <w:rFonts w:ascii="Arial"/>
          <w:sz w:val="21"/>
        </w:rPr>
      </w:pPr>
    </w:p>
    <w:p w14:paraId="3635C09C">
      <w:pPr>
        <w:spacing w:line="258" w:lineRule="auto"/>
        <w:rPr>
          <w:rFonts w:ascii="Arial"/>
          <w:sz w:val="21"/>
        </w:rPr>
      </w:pPr>
    </w:p>
    <w:p w14:paraId="6DC20301">
      <w:pPr>
        <w:spacing w:line="259" w:lineRule="auto"/>
        <w:rPr>
          <w:rFonts w:ascii="Arial"/>
          <w:sz w:val="21"/>
        </w:rPr>
      </w:pPr>
    </w:p>
    <w:p w14:paraId="480C1C21">
      <w:pPr>
        <w:spacing w:line="259" w:lineRule="auto"/>
        <w:rPr>
          <w:rFonts w:ascii="Arial"/>
          <w:sz w:val="21"/>
        </w:rPr>
      </w:pPr>
    </w:p>
    <w:p w14:paraId="71A90E42">
      <w:pPr>
        <w:spacing w:line="259" w:lineRule="auto"/>
        <w:rPr>
          <w:rFonts w:ascii="Arial"/>
          <w:sz w:val="21"/>
        </w:rPr>
      </w:pPr>
    </w:p>
    <w:p w14:paraId="6509BC10">
      <w:pPr>
        <w:spacing w:line="12504" w:lineRule="exact"/>
      </w:pPr>
      <w:r>
        <w:rPr>
          <w:position w:val="-250"/>
        </w:rPr>
        <w:drawing>
          <wp:inline distT="0" distB="0" distL="0" distR="0">
            <wp:extent cx="5614035" cy="79400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7"/>
                    <a:stretch>
                      <a:fillRect/>
                    </a:stretch>
                  </pic:blipFill>
                  <pic:spPr>
                    <a:xfrm>
                      <a:off x="0" y="0"/>
                      <a:ext cx="5614416" cy="7940040"/>
                    </a:xfrm>
                    <a:prstGeom prst="rect">
                      <a:avLst/>
                    </a:prstGeom>
                  </pic:spPr>
                </pic:pic>
              </a:graphicData>
            </a:graphic>
          </wp:inline>
        </w:drawing>
      </w:r>
    </w:p>
    <w:p w14:paraId="7A7F30E7">
      <w:pPr>
        <w:spacing w:line="12504" w:lineRule="exact"/>
        <w:sectPr>
          <w:pgSz w:w="11906" w:h="16839"/>
          <w:pgMar w:top="400" w:right="1533" w:bottom="400" w:left="1531" w:header="0" w:footer="0" w:gutter="0"/>
          <w:cols w:space="720" w:num="1"/>
        </w:sectPr>
      </w:pPr>
    </w:p>
    <w:p w14:paraId="0E23B96E">
      <w:pPr>
        <w:spacing w:line="258" w:lineRule="auto"/>
        <w:rPr>
          <w:rFonts w:ascii="Arial"/>
          <w:sz w:val="21"/>
        </w:rPr>
      </w:pPr>
    </w:p>
    <w:p w14:paraId="7259DC28">
      <w:pPr>
        <w:spacing w:line="258" w:lineRule="auto"/>
        <w:rPr>
          <w:rFonts w:ascii="Arial"/>
          <w:sz w:val="21"/>
        </w:rPr>
      </w:pPr>
    </w:p>
    <w:p w14:paraId="5F7CDC90">
      <w:pPr>
        <w:spacing w:line="259" w:lineRule="auto"/>
        <w:rPr>
          <w:rFonts w:ascii="Arial"/>
          <w:sz w:val="21"/>
        </w:rPr>
      </w:pPr>
    </w:p>
    <w:p w14:paraId="3581B223">
      <w:pPr>
        <w:spacing w:line="259" w:lineRule="auto"/>
        <w:rPr>
          <w:rFonts w:ascii="Arial"/>
          <w:sz w:val="21"/>
        </w:rPr>
      </w:pPr>
    </w:p>
    <w:p w14:paraId="1C649A12">
      <w:pPr>
        <w:spacing w:line="259" w:lineRule="auto"/>
        <w:rPr>
          <w:rFonts w:ascii="Arial"/>
          <w:sz w:val="21"/>
        </w:rPr>
      </w:pPr>
    </w:p>
    <w:p w14:paraId="16B776D3">
      <w:pPr>
        <w:spacing w:line="12504" w:lineRule="exact"/>
      </w:pPr>
      <w:r>
        <w:rPr>
          <w:position w:val="-250"/>
        </w:rPr>
        <w:drawing>
          <wp:inline distT="0" distB="0" distL="0" distR="0">
            <wp:extent cx="5614035" cy="79400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8"/>
                    <a:stretch>
                      <a:fillRect/>
                    </a:stretch>
                  </pic:blipFill>
                  <pic:spPr>
                    <a:xfrm>
                      <a:off x="0" y="0"/>
                      <a:ext cx="5614416" cy="7940040"/>
                    </a:xfrm>
                    <a:prstGeom prst="rect">
                      <a:avLst/>
                    </a:prstGeom>
                  </pic:spPr>
                </pic:pic>
              </a:graphicData>
            </a:graphic>
          </wp:inline>
        </w:drawing>
      </w:r>
    </w:p>
    <w:p w14:paraId="7592BDD6">
      <w:pPr>
        <w:spacing w:line="12504" w:lineRule="exact"/>
        <w:sectPr>
          <w:pgSz w:w="11906" w:h="16839"/>
          <w:pgMar w:top="400" w:right="1533" w:bottom="400" w:left="1531" w:header="0" w:footer="0" w:gutter="0"/>
          <w:cols w:space="720" w:num="1"/>
        </w:sectPr>
      </w:pPr>
    </w:p>
    <w:p w14:paraId="56D34416">
      <w:pPr>
        <w:spacing w:line="258" w:lineRule="auto"/>
        <w:rPr>
          <w:rFonts w:ascii="Arial"/>
          <w:sz w:val="21"/>
        </w:rPr>
      </w:pPr>
    </w:p>
    <w:p w14:paraId="008C2D61">
      <w:pPr>
        <w:spacing w:line="258" w:lineRule="auto"/>
        <w:rPr>
          <w:rFonts w:ascii="Arial"/>
          <w:sz w:val="21"/>
        </w:rPr>
      </w:pPr>
    </w:p>
    <w:p w14:paraId="52DD910F">
      <w:pPr>
        <w:spacing w:line="259" w:lineRule="auto"/>
        <w:rPr>
          <w:rFonts w:ascii="Arial"/>
          <w:sz w:val="21"/>
        </w:rPr>
      </w:pPr>
    </w:p>
    <w:p w14:paraId="62022D9A">
      <w:pPr>
        <w:spacing w:line="259" w:lineRule="auto"/>
        <w:rPr>
          <w:rFonts w:ascii="Arial"/>
          <w:sz w:val="21"/>
        </w:rPr>
      </w:pPr>
    </w:p>
    <w:p w14:paraId="31108502">
      <w:pPr>
        <w:spacing w:line="259" w:lineRule="auto"/>
        <w:rPr>
          <w:rFonts w:ascii="Arial"/>
          <w:sz w:val="21"/>
        </w:rPr>
      </w:pPr>
    </w:p>
    <w:p w14:paraId="06E75E89">
      <w:pPr>
        <w:spacing w:line="12504" w:lineRule="exact"/>
      </w:pPr>
      <w:r>
        <w:rPr>
          <w:position w:val="-250"/>
        </w:rPr>
        <w:drawing>
          <wp:inline distT="0" distB="0" distL="0" distR="0">
            <wp:extent cx="5614035" cy="79400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89"/>
                    <a:stretch>
                      <a:fillRect/>
                    </a:stretch>
                  </pic:blipFill>
                  <pic:spPr>
                    <a:xfrm>
                      <a:off x="0" y="0"/>
                      <a:ext cx="5614416" cy="7940040"/>
                    </a:xfrm>
                    <a:prstGeom prst="rect">
                      <a:avLst/>
                    </a:prstGeom>
                  </pic:spPr>
                </pic:pic>
              </a:graphicData>
            </a:graphic>
          </wp:inline>
        </w:drawing>
      </w:r>
    </w:p>
    <w:p w14:paraId="12C8BB25">
      <w:pPr>
        <w:spacing w:line="12504" w:lineRule="exact"/>
        <w:sectPr>
          <w:pgSz w:w="11906" w:h="16839"/>
          <w:pgMar w:top="400" w:right="1533" w:bottom="400" w:left="1531" w:header="0" w:footer="0" w:gutter="0"/>
          <w:cols w:space="720" w:num="1"/>
        </w:sectPr>
      </w:pPr>
    </w:p>
    <w:p w14:paraId="638A8FBE">
      <w:pPr>
        <w:spacing w:line="258" w:lineRule="auto"/>
        <w:rPr>
          <w:rFonts w:ascii="Arial"/>
          <w:sz w:val="21"/>
        </w:rPr>
      </w:pPr>
    </w:p>
    <w:p w14:paraId="7FB4D659">
      <w:pPr>
        <w:spacing w:line="258" w:lineRule="auto"/>
        <w:rPr>
          <w:rFonts w:ascii="Arial"/>
          <w:sz w:val="21"/>
        </w:rPr>
      </w:pPr>
    </w:p>
    <w:p w14:paraId="4AA52ABA">
      <w:pPr>
        <w:spacing w:line="259" w:lineRule="auto"/>
        <w:rPr>
          <w:rFonts w:ascii="Arial"/>
          <w:sz w:val="21"/>
        </w:rPr>
      </w:pPr>
    </w:p>
    <w:p w14:paraId="2D1E3FFB">
      <w:pPr>
        <w:spacing w:line="259" w:lineRule="auto"/>
        <w:rPr>
          <w:rFonts w:ascii="Arial"/>
          <w:sz w:val="21"/>
        </w:rPr>
      </w:pPr>
    </w:p>
    <w:p w14:paraId="4F1D8AE4">
      <w:pPr>
        <w:spacing w:line="259" w:lineRule="auto"/>
        <w:rPr>
          <w:rFonts w:ascii="Arial"/>
          <w:sz w:val="21"/>
        </w:rPr>
      </w:pPr>
    </w:p>
    <w:p w14:paraId="31F22C5B">
      <w:pPr>
        <w:spacing w:line="12504" w:lineRule="exact"/>
      </w:pPr>
      <w:r>
        <w:rPr>
          <w:position w:val="-250"/>
        </w:rPr>
        <w:drawing>
          <wp:inline distT="0" distB="0" distL="0" distR="0">
            <wp:extent cx="5614035" cy="79400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90"/>
                    <a:stretch>
                      <a:fillRect/>
                    </a:stretch>
                  </pic:blipFill>
                  <pic:spPr>
                    <a:xfrm>
                      <a:off x="0" y="0"/>
                      <a:ext cx="5614416" cy="7940040"/>
                    </a:xfrm>
                    <a:prstGeom prst="rect">
                      <a:avLst/>
                    </a:prstGeom>
                  </pic:spPr>
                </pic:pic>
              </a:graphicData>
            </a:graphic>
          </wp:inline>
        </w:drawing>
      </w:r>
    </w:p>
    <w:p w14:paraId="01C0B8BE">
      <w:pPr>
        <w:spacing w:line="12504" w:lineRule="exact"/>
        <w:sectPr>
          <w:pgSz w:w="11906" w:h="16839"/>
          <w:pgMar w:top="400" w:right="1533" w:bottom="400" w:left="1531" w:header="0" w:footer="0" w:gutter="0"/>
          <w:cols w:space="720" w:num="1"/>
        </w:sectPr>
      </w:pPr>
    </w:p>
    <w:p w14:paraId="15A79E2A">
      <w:pPr>
        <w:spacing w:line="246" w:lineRule="auto"/>
        <w:rPr>
          <w:rFonts w:ascii="Arial"/>
          <w:sz w:val="21"/>
        </w:rPr>
      </w:pPr>
    </w:p>
    <w:p w14:paraId="0DA219EA">
      <w:pPr>
        <w:spacing w:line="246" w:lineRule="auto"/>
        <w:rPr>
          <w:rFonts w:ascii="Arial"/>
          <w:sz w:val="21"/>
        </w:rPr>
      </w:pPr>
    </w:p>
    <w:p w14:paraId="1CE73D33">
      <w:pPr>
        <w:spacing w:line="246" w:lineRule="auto"/>
        <w:rPr>
          <w:rFonts w:ascii="Arial"/>
          <w:sz w:val="21"/>
        </w:rPr>
      </w:pPr>
    </w:p>
    <w:p w14:paraId="549327BC">
      <w:pPr>
        <w:spacing w:line="246" w:lineRule="auto"/>
        <w:rPr>
          <w:rFonts w:ascii="Arial"/>
          <w:sz w:val="21"/>
        </w:rPr>
      </w:pPr>
    </w:p>
    <w:p w14:paraId="0D6A68B4">
      <w:pPr>
        <w:spacing w:line="247" w:lineRule="auto"/>
        <w:rPr>
          <w:rFonts w:ascii="Arial"/>
          <w:sz w:val="21"/>
        </w:rPr>
      </w:pPr>
    </w:p>
    <w:sdt>
      <w:sdtPr>
        <w:rPr>
          <w:rFonts w:ascii="宋体" w:hAnsi="宋体" w:eastAsia="宋体" w:cs="宋体"/>
          <w:sz w:val="35"/>
          <w:szCs w:val="35"/>
        </w:rPr>
        <w:id w:val="147479198"/>
        <w:docPartObj>
          <w:docPartGallery w:val="Table of Contents"/>
          <w:docPartUnique/>
        </w:docPartObj>
      </w:sdtPr>
      <w:sdtEndPr>
        <w:rPr>
          <w:rFonts w:ascii="宋体" w:hAnsi="宋体" w:eastAsia="宋体" w:cs="宋体"/>
          <w:sz w:val="24"/>
          <w:szCs w:val="24"/>
        </w:rPr>
      </w:sdtEndPr>
      <w:sdtContent>
        <w:p w14:paraId="6359FFEB">
          <w:pPr>
            <w:spacing w:before="114" w:line="227" w:lineRule="auto"/>
            <w:ind w:left="3955"/>
            <w:rPr>
              <w:rFonts w:ascii="宋体" w:hAnsi="宋体" w:eastAsia="宋体" w:cs="宋体"/>
              <w:sz w:val="35"/>
              <w:szCs w:val="35"/>
            </w:rPr>
          </w:pPr>
          <w:r>
            <w:rPr>
              <w:rFonts w:ascii="宋体" w:hAnsi="宋体" w:eastAsia="宋体" w:cs="宋体"/>
              <w:b/>
              <w:bCs/>
              <w:spacing w:val="-41"/>
              <w:sz w:val="35"/>
              <w:szCs w:val="35"/>
            </w:rPr>
            <w:t>目</w:t>
          </w:r>
          <w:r>
            <w:rPr>
              <w:rFonts w:ascii="宋体" w:hAnsi="宋体" w:eastAsia="宋体" w:cs="宋体"/>
              <w:spacing w:val="13"/>
              <w:sz w:val="35"/>
              <w:szCs w:val="35"/>
            </w:rPr>
            <w:t xml:space="preserve">  </w:t>
          </w:r>
          <w:r>
            <w:rPr>
              <w:rFonts w:ascii="宋体" w:hAnsi="宋体" w:eastAsia="宋体" w:cs="宋体"/>
              <w:b/>
              <w:bCs/>
              <w:spacing w:val="-41"/>
              <w:sz w:val="35"/>
              <w:szCs w:val="35"/>
            </w:rPr>
            <w:t>录</w:t>
          </w:r>
        </w:p>
        <w:p w14:paraId="22814C39">
          <w:pPr>
            <w:spacing w:line="399" w:lineRule="auto"/>
            <w:rPr>
              <w:rFonts w:ascii="Arial"/>
              <w:sz w:val="21"/>
            </w:rPr>
          </w:pPr>
        </w:p>
        <w:p w14:paraId="53297757">
          <w:pPr>
            <w:tabs>
              <w:tab w:val="right" w:leader="dot" w:pos="8835"/>
            </w:tabs>
            <w:spacing w:before="78" w:line="185" w:lineRule="auto"/>
            <w:ind w:left="4"/>
            <w:rPr>
              <w:rFonts w:ascii="宋体" w:hAnsi="宋体" w:eastAsia="宋体" w:cs="宋体"/>
              <w:sz w:val="24"/>
              <w:szCs w:val="24"/>
            </w:rPr>
          </w:pPr>
          <w:r>
            <w:fldChar w:fldCharType="begin"/>
          </w:r>
          <w:r>
            <w:instrText xml:space="preserve"> HYPERLINK \l "bookmark1" </w:instrText>
          </w:r>
          <w:r>
            <w:fldChar w:fldCharType="separate"/>
          </w:r>
          <w:r>
            <w:rPr>
              <w:rFonts w:ascii="宋体" w:hAnsi="宋体" w:eastAsia="宋体" w:cs="宋体"/>
              <w:spacing w:val="-2"/>
              <w:sz w:val="24"/>
              <w:szCs w:val="24"/>
            </w:rPr>
            <w:t>一、建设项目基本情况</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14:paraId="26676C2F">
          <w:pPr>
            <w:spacing w:line="303" w:lineRule="auto"/>
            <w:rPr>
              <w:rFonts w:ascii="Arial"/>
              <w:sz w:val="21"/>
            </w:rPr>
          </w:pPr>
        </w:p>
        <w:p w14:paraId="3A64BDA8">
          <w:pPr>
            <w:tabs>
              <w:tab w:val="right" w:leader="dot" w:pos="8835"/>
            </w:tabs>
            <w:spacing w:before="78" w:line="184" w:lineRule="auto"/>
            <w:ind w:left="4"/>
            <w:rPr>
              <w:rFonts w:ascii="宋体" w:hAnsi="宋体" w:eastAsia="宋体" w:cs="宋体"/>
              <w:sz w:val="24"/>
              <w:szCs w:val="24"/>
            </w:rPr>
          </w:pPr>
          <w:r>
            <w:fldChar w:fldCharType="begin"/>
          </w:r>
          <w:r>
            <w:instrText xml:space="preserve"> HYPERLINK \l "bookmark2" </w:instrText>
          </w:r>
          <w:r>
            <w:fldChar w:fldCharType="separate"/>
          </w:r>
          <w:r>
            <w:rPr>
              <w:rFonts w:ascii="宋体" w:hAnsi="宋体" w:eastAsia="宋体" w:cs="宋体"/>
              <w:spacing w:val="-2"/>
              <w:sz w:val="24"/>
              <w:szCs w:val="24"/>
            </w:rPr>
            <w:t>二、建设项目工程分析</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宋体" w:hAnsi="宋体" w:eastAsia="宋体" w:cs="宋体"/>
              <w:spacing w:val="-19"/>
              <w:sz w:val="24"/>
              <w:szCs w:val="24"/>
            </w:rPr>
            <w:t>1</w:t>
          </w:r>
          <w:r>
            <w:rPr>
              <w:rFonts w:ascii="宋体" w:hAnsi="宋体" w:eastAsia="宋体" w:cs="宋体"/>
              <w:spacing w:val="-9"/>
              <w:sz w:val="24"/>
              <w:szCs w:val="24"/>
            </w:rPr>
            <w:t>4</w:t>
          </w:r>
          <w:r>
            <w:rPr>
              <w:rFonts w:ascii="宋体" w:hAnsi="宋体" w:eastAsia="宋体" w:cs="宋体"/>
              <w:spacing w:val="-9"/>
              <w:sz w:val="24"/>
              <w:szCs w:val="24"/>
            </w:rPr>
            <w:fldChar w:fldCharType="end"/>
          </w:r>
        </w:p>
        <w:p w14:paraId="7B257461">
          <w:pPr>
            <w:spacing w:line="302" w:lineRule="auto"/>
            <w:rPr>
              <w:rFonts w:ascii="Arial"/>
              <w:sz w:val="21"/>
            </w:rPr>
          </w:pPr>
        </w:p>
        <w:p w14:paraId="4D87C85B">
          <w:pPr>
            <w:tabs>
              <w:tab w:val="right" w:leader="dot" w:pos="8835"/>
            </w:tabs>
            <w:spacing w:before="78" w:line="185" w:lineRule="auto"/>
            <w:rPr>
              <w:rFonts w:ascii="宋体" w:hAnsi="宋体" w:eastAsia="宋体" w:cs="宋体"/>
              <w:sz w:val="24"/>
              <w:szCs w:val="24"/>
            </w:rPr>
          </w:pPr>
          <w:r>
            <w:fldChar w:fldCharType="begin"/>
          </w:r>
          <w:r>
            <w:instrText xml:space="preserve"> HYPERLINK \l "bookmark3" </w:instrText>
          </w:r>
          <w:r>
            <w:fldChar w:fldCharType="separate"/>
          </w:r>
          <w:r>
            <w:rPr>
              <w:rFonts w:ascii="宋体" w:hAnsi="宋体" w:eastAsia="宋体" w:cs="宋体"/>
              <w:spacing w:val="-1"/>
              <w:sz w:val="24"/>
              <w:szCs w:val="24"/>
            </w:rPr>
            <w:t>三、区域环境质量现状、环境保护目标及评价标准</w:t>
          </w:r>
          <w:r>
            <w:rPr>
              <w:rFonts w:ascii="宋体" w:hAnsi="宋体" w:eastAsia="宋体" w:cs="宋体"/>
              <w:spacing w:val="-33"/>
              <w:sz w:val="24"/>
              <w:szCs w:val="24"/>
            </w:rPr>
            <w:t xml:space="preserve"> </w:t>
          </w:r>
          <w:r>
            <w:rPr>
              <w:rFonts w:ascii="宋体" w:hAnsi="宋体" w:eastAsia="宋体" w:cs="宋体"/>
              <w:sz w:val="24"/>
              <w:szCs w:val="24"/>
            </w:rPr>
            <w:tab/>
          </w:r>
          <w:r>
            <w:rPr>
              <w:rFonts w:ascii="宋体" w:hAnsi="宋体" w:eastAsia="宋体" w:cs="宋体"/>
              <w:spacing w:val="-87"/>
              <w:sz w:val="24"/>
              <w:szCs w:val="24"/>
            </w:rPr>
            <w:t xml:space="preserve"> </w:t>
          </w:r>
          <w:r>
            <w:rPr>
              <w:rFonts w:ascii="宋体" w:hAnsi="宋体" w:eastAsia="宋体" w:cs="宋体"/>
              <w:spacing w:val="-5"/>
              <w:sz w:val="24"/>
              <w:szCs w:val="24"/>
            </w:rPr>
            <w:t>43</w:t>
          </w:r>
          <w:r>
            <w:rPr>
              <w:rFonts w:ascii="宋体" w:hAnsi="宋体" w:eastAsia="宋体" w:cs="宋体"/>
              <w:spacing w:val="-5"/>
              <w:sz w:val="24"/>
              <w:szCs w:val="24"/>
            </w:rPr>
            <w:fldChar w:fldCharType="end"/>
          </w:r>
        </w:p>
        <w:p w14:paraId="34AE4676">
          <w:pPr>
            <w:spacing w:line="301" w:lineRule="auto"/>
            <w:rPr>
              <w:rFonts w:ascii="Arial"/>
              <w:sz w:val="21"/>
            </w:rPr>
          </w:pPr>
        </w:p>
        <w:p w14:paraId="73739CB7">
          <w:pPr>
            <w:tabs>
              <w:tab w:val="right" w:leader="dot" w:pos="8835"/>
            </w:tabs>
            <w:spacing w:before="78" w:line="184" w:lineRule="auto"/>
            <w:ind w:left="23"/>
            <w:rPr>
              <w:rFonts w:ascii="宋体" w:hAnsi="宋体" w:eastAsia="宋体" w:cs="宋体"/>
              <w:sz w:val="24"/>
              <w:szCs w:val="24"/>
            </w:rPr>
          </w:pPr>
          <w:r>
            <w:fldChar w:fldCharType="begin"/>
          </w:r>
          <w:r>
            <w:instrText xml:space="preserve"> HYPERLINK \l "bookmark4" </w:instrText>
          </w:r>
          <w:r>
            <w:fldChar w:fldCharType="separate"/>
          </w:r>
          <w:r>
            <w:rPr>
              <w:rFonts w:ascii="宋体" w:hAnsi="宋体" w:eastAsia="宋体" w:cs="宋体"/>
              <w:spacing w:val="-3"/>
              <w:sz w:val="24"/>
              <w:szCs w:val="24"/>
            </w:rPr>
            <w:t>四、主要环境影响和保护措施</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81"/>
              <w:sz w:val="24"/>
              <w:szCs w:val="24"/>
            </w:rPr>
            <w:t xml:space="preserve"> </w:t>
          </w:r>
          <w:r>
            <w:rPr>
              <w:rFonts w:ascii="宋体" w:hAnsi="宋体" w:eastAsia="宋体" w:cs="宋体"/>
              <w:spacing w:val="-8"/>
              <w:sz w:val="24"/>
              <w:szCs w:val="24"/>
            </w:rPr>
            <w:t>55</w:t>
          </w:r>
          <w:r>
            <w:rPr>
              <w:rFonts w:ascii="宋体" w:hAnsi="宋体" w:eastAsia="宋体" w:cs="宋体"/>
              <w:spacing w:val="-8"/>
              <w:sz w:val="24"/>
              <w:szCs w:val="24"/>
            </w:rPr>
            <w:fldChar w:fldCharType="end"/>
          </w:r>
        </w:p>
        <w:p w14:paraId="04A91019">
          <w:pPr>
            <w:spacing w:line="302" w:lineRule="auto"/>
            <w:rPr>
              <w:rFonts w:ascii="Arial"/>
              <w:sz w:val="21"/>
            </w:rPr>
          </w:pPr>
        </w:p>
        <w:p w14:paraId="1E989DA4">
          <w:pPr>
            <w:tabs>
              <w:tab w:val="right" w:leader="dot" w:pos="8835"/>
            </w:tabs>
            <w:spacing w:before="78" w:line="185" w:lineRule="auto"/>
            <w:ind w:left="4"/>
            <w:rPr>
              <w:rFonts w:ascii="宋体" w:hAnsi="宋体" w:eastAsia="宋体" w:cs="宋体"/>
              <w:sz w:val="24"/>
              <w:szCs w:val="24"/>
            </w:rPr>
          </w:pPr>
          <w:r>
            <w:fldChar w:fldCharType="begin"/>
          </w:r>
          <w:r>
            <w:instrText xml:space="preserve"> HYPERLINK \l "bookmark5" </w:instrText>
          </w:r>
          <w:r>
            <w:fldChar w:fldCharType="separate"/>
          </w:r>
          <w:r>
            <w:rPr>
              <w:rFonts w:ascii="宋体" w:hAnsi="宋体" w:eastAsia="宋体" w:cs="宋体"/>
              <w:spacing w:val="-1"/>
              <w:sz w:val="24"/>
              <w:szCs w:val="24"/>
            </w:rPr>
            <w:t>五、环境保护措施监督检查清单</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0"/>
              <w:sz w:val="24"/>
              <w:szCs w:val="24"/>
            </w:rPr>
            <w:t>103</w:t>
          </w:r>
          <w:r>
            <w:rPr>
              <w:rFonts w:ascii="宋体" w:hAnsi="宋体" w:eastAsia="宋体" w:cs="宋体"/>
              <w:spacing w:val="-10"/>
              <w:sz w:val="24"/>
              <w:szCs w:val="24"/>
            </w:rPr>
            <w:fldChar w:fldCharType="end"/>
          </w:r>
        </w:p>
        <w:p w14:paraId="57CEEE79">
          <w:pPr>
            <w:spacing w:line="303" w:lineRule="auto"/>
            <w:rPr>
              <w:rFonts w:ascii="Arial"/>
              <w:sz w:val="21"/>
            </w:rPr>
          </w:pPr>
        </w:p>
        <w:p w14:paraId="5FECC927">
          <w:pPr>
            <w:tabs>
              <w:tab w:val="right" w:leader="dot" w:pos="8835"/>
            </w:tabs>
            <w:spacing w:before="79" w:line="184" w:lineRule="auto"/>
            <w:ind w:left="2"/>
            <w:rPr>
              <w:rFonts w:ascii="宋体" w:hAnsi="宋体" w:eastAsia="宋体" w:cs="宋体"/>
              <w:sz w:val="24"/>
              <w:szCs w:val="24"/>
            </w:rPr>
          </w:pPr>
          <w:r>
            <w:fldChar w:fldCharType="begin"/>
          </w:r>
          <w:r>
            <w:instrText xml:space="preserve"> HYPERLINK \l "bookmark6" </w:instrText>
          </w:r>
          <w:r>
            <w:fldChar w:fldCharType="separate"/>
          </w:r>
          <w:r>
            <w:rPr>
              <w:rFonts w:ascii="宋体" w:hAnsi="宋体" w:eastAsia="宋体" w:cs="宋体"/>
              <w:spacing w:val="-3"/>
              <w:sz w:val="24"/>
              <w:szCs w:val="24"/>
            </w:rPr>
            <w:t>六、结论</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0"/>
              <w:sz w:val="24"/>
              <w:szCs w:val="24"/>
            </w:rPr>
            <w:t>105</w:t>
          </w:r>
          <w:r>
            <w:rPr>
              <w:rFonts w:ascii="宋体" w:hAnsi="宋体" w:eastAsia="宋体" w:cs="宋体"/>
              <w:spacing w:val="-10"/>
              <w:sz w:val="24"/>
              <w:szCs w:val="24"/>
            </w:rPr>
            <w:fldChar w:fldCharType="end"/>
          </w:r>
        </w:p>
        <w:p w14:paraId="373E0A83">
          <w:pPr>
            <w:spacing w:line="302" w:lineRule="auto"/>
            <w:rPr>
              <w:rFonts w:ascii="Arial"/>
              <w:sz w:val="21"/>
            </w:rPr>
          </w:pPr>
        </w:p>
        <w:p w14:paraId="5040C169">
          <w:pPr>
            <w:tabs>
              <w:tab w:val="right" w:leader="dot" w:pos="8835"/>
            </w:tabs>
            <w:spacing w:before="78" w:line="185" w:lineRule="auto"/>
            <w:ind w:left="19"/>
            <w:rPr>
              <w:rFonts w:ascii="宋体" w:hAnsi="宋体" w:eastAsia="宋体" w:cs="宋体"/>
              <w:sz w:val="24"/>
              <w:szCs w:val="24"/>
            </w:rPr>
          </w:pPr>
          <w:r>
            <w:fldChar w:fldCharType="begin"/>
          </w:r>
          <w:r>
            <w:instrText xml:space="preserve"> HYPERLINK \l "bookmark7" </w:instrText>
          </w:r>
          <w:r>
            <w:fldChar w:fldCharType="separate"/>
          </w:r>
          <w:r>
            <w:rPr>
              <w:rFonts w:ascii="宋体" w:hAnsi="宋体" w:eastAsia="宋体" w:cs="宋体"/>
              <w:spacing w:val="-15"/>
              <w:sz w:val="24"/>
              <w:szCs w:val="24"/>
            </w:rPr>
            <w:t>附表</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0"/>
              <w:sz w:val="24"/>
              <w:szCs w:val="24"/>
            </w:rPr>
            <w:t>106</w:t>
          </w:r>
          <w:r>
            <w:rPr>
              <w:rFonts w:ascii="宋体" w:hAnsi="宋体" w:eastAsia="宋体" w:cs="宋体"/>
              <w:spacing w:val="-10"/>
              <w:sz w:val="24"/>
              <w:szCs w:val="24"/>
            </w:rPr>
            <w:fldChar w:fldCharType="end"/>
          </w:r>
        </w:p>
        <w:p w14:paraId="0DFC392A">
          <w:pPr>
            <w:spacing w:line="303" w:lineRule="auto"/>
            <w:rPr>
              <w:rFonts w:ascii="Arial"/>
              <w:sz w:val="21"/>
            </w:rPr>
          </w:pPr>
        </w:p>
        <w:p w14:paraId="1FEE54C5">
          <w:pPr>
            <w:tabs>
              <w:tab w:val="right" w:leader="dot" w:pos="8835"/>
            </w:tabs>
            <w:spacing w:before="79" w:line="184" w:lineRule="auto"/>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sz w:val="24"/>
              <w:szCs w:val="24"/>
            </w:rPr>
            <w:t>海丰县金盛宝石首饰有限公司宝石加工改扩建</w:t>
          </w:r>
          <w:r>
            <w:rPr>
              <w:rFonts w:ascii="宋体" w:hAnsi="宋体" w:eastAsia="宋体" w:cs="宋体"/>
              <w:spacing w:val="-1"/>
              <w:sz w:val="24"/>
              <w:szCs w:val="24"/>
            </w:rPr>
            <w:t>项目环境风险专项评价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0"/>
              <w:sz w:val="24"/>
              <w:szCs w:val="24"/>
            </w:rPr>
            <w:t>108</w:t>
          </w:r>
          <w:r>
            <w:rPr>
              <w:rFonts w:ascii="宋体" w:hAnsi="宋体" w:eastAsia="宋体" w:cs="宋体"/>
              <w:spacing w:val="-10"/>
              <w:sz w:val="24"/>
              <w:szCs w:val="24"/>
            </w:rPr>
            <w:fldChar w:fldCharType="end"/>
          </w:r>
        </w:p>
        <w:p w14:paraId="4C2FB236">
          <w:pPr>
            <w:spacing w:line="302" w:lineRule="auto"/>
            <w:rPr>
              <w:rFonts w:ascii="Arial"/>
              <w:sz w:val="21"/>
            </w:rPr>
          </w:pPr>
        </w:p>
        <w:p w14:paraId="16654EB9">
          <w:pPr>
            <w:tabs>
              <w:tab w:val="right" w:leader="dot" w:pos="8835"/>
            </w:tabs>
            <w:spacing w:before="78" w:line="185" w:lineRule="auto"/>
            <w:ind w:left="19"/>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spacing w:val="-15"/>
              <w:sz w:val="24"/>
              <w:szCs w:val="24"/>
            </w:rPr>
            <w:t>附图</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0"/>
              <w:sz w:val="24"/>
              <w:szCs w:val="24"/>
            </w:rPr>
            <w:t>167</w:t>
          </w:r>
          <w:r>
            <w:rPr>
              <w:rFonts w:ascii="宋体" w:hAnsi="宋体" w:eastAsia="宋体" w:cs="宋体"/>
              <w:spacing w:val="-10"/>
              <w:sz w:val="24"/>
              <w:szCs w:val="24"/>
            </w:rPr>
            <w:fldChar w:fldCharType="end"/>
          </w:r>
        </w:p>
        <w:p w14:paraId="4A18B5DE">
          <w:pPr>
            <w:spacing w:line="302" w:lineRule="auto"/>
            <w:rPr>
              <w:rFonts w:ascii="Arial"/>
              <w:sz w:val="21"/>
            </w:rPr>
          </w:pPr>
        </w:p>
        <w:p w14:paraId="029858A3">
          <w:pPr>
            <w:tabs>
              <w:tab w:val="right" w:leader="dot" w:pos="8835"/>
            </w:tabs>
            <w:spacing w:before="79" w:line="219" w:lineRule="auto"/>
            <w:ind w:left="19"/>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spacing w:val="-15"/>
              <w:sz w:val="24"/>
              <w:szCs w:val="24"/>
            </w:rPr>
            <w:t>附件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0"/>
              <w:sz w:val="24"/>
              <w:szCs w:val="24"/>
            </w:rPr>
            <w:t>187</w:t>
          </w:r>
          <w:r>
            <w:rPr>
              <w:rFonts w:ascii="宋体" w:hAnsi="宋体" w:eastAsia="宋体" w:cs="宋体"/>
              <w:spacing w:val="-10"/>
              <w:sz w:val="24"/>
              <w:szCs w:val="24"/>
            </w:rPr>
            <w:fldChar w:fldCharType="end"/>
          </w:r>
        </w:p>
      </w:sdtContent>
    </w:sdt>
    <w:p w14:paraId="6A03DE8E">
      <w:pPr>
        <w:spacing w:line="219" w:lineRule="auto"/>
        <w:rPr>
          <w:rFonts w:ascii="宋体" w:hAnsi="宋体" w:eastAsia="宋体" w:cs="宋体"/>
          <w:sz w:val="24"/>
          <w:szCs w:val="24"/>
        </w:rPr>
        <w:sectPr>
          <w:pgSz w:w="11906" w:h="16839"/>
          <w:pgMar w:top="400" w:right="1530" w:bottom="400" w:left="1539" w:header="0" w:footer="0" w:gutter="0"/>
          <w:cols w:space="720" w:num="1"/>
        </w:sectPr>
      </w:pPr>
    </w:p>
    <w:p w14:paraId="605A7541">
      <w:pPr>
        <w:spacing w:line="248" w:lineRule="auto"/>
        <w:rPr>
          <w:rFonts w:ascii="Arial"/>
          <w:sz w:val="21"/>
        </w:rPr>
      </w:pPr>
    </w:p>
    <w:p w14:paraId="34E39792">
      <w:pPr>
        <w:spacing w:line="248" w:lineRule="auto"/>
        <w:rPr>
          <w:rFonts w:ascii="Arial"/>
          <w:sz w:val="21"/>
        </w:rPr>
      </w:pPr>
    </w:p>
    <w:p w14:paraId="53E91D6D">
      <w:pPr>
        <w:spacing w:line="248" w:lineRule="auto"/>
        <w:rPr>
          <w:rFonts w:ascii="Arial"/>
          <w:sz w:val="21"/>
        </w:rPr>
      </w:pPr>
    </w:p>
    <w:p w14:paraId="57BF3E56">
      <w:pPr>
        <w:spacing w:line="248" w:lineRule="auto"/>
        <w:rPr>
          <w:rFonts w:ascii="Arial"/>
          <w:sz w:val="21"/>
        </w:rPr>
      </w:pPr>
    </w:p>
    <w:p w14:paraId="51B924BC">
      <w:pPr>
        <w:spacing w:line="249" w:lineRule="auto"/>
        <w:rPr>
          <w:rFonts w:ascii="Arial"/>
          <w:sz w:val="21"/>
        </w:rPr>
      </w:pPr>
    </w:p>
    <w:p w14:paraId="77530216">
      <w:pPr>
        <w:spacing w:before="101" w:line="218" w:lineRule="auto"/>
        <w:ind w:left="2862"/>
        <w:outlineLvl w:val="0"/>
        <w:rPr>
          <w:rFonts w:ascii="宋体" w:hAnsi="宋体" w:eastAsia="宋体" w:cs="宋体"/>
          <w:sz w:val="31"/>
          <w:szCs w:val="31"/>
        </w:rPr>
      </w:pPr>
      <w:bookmarkStart w:id="0" w:name="bookmark1"/>
      <w:bookmarkEnd w:id="0"/>
      <w:r>
        <w:rPr>
          <w:rFonts w:ascii="宋体" w:hAnsi="宋体" w:eastAsia="宋体" w:cs="宋体"/>
          <w:spacing w:val="8"/>
          <w:sz w:val="31"/>
          <w:szCs w:val="31"/>
        </w:rPr>
        <w:t>一、建设项目基本情况</w: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164"/>
        <w:gridCol w:w="980"/>
        <w:gridCol w:w="162"/>
        <w:gridCol w:w="1868"/>
        <w:gridCol w:w="806"/>
        <w:gridCol w:w="1085"/>
        <w:gridCol w:w="1977"/>
        <w:gridCol w:w="811"/>
        <w:gridCol w:w="173"/>
      </w:tblGrid>
      <w:tr w14:paraId="7CAF1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154" w:type="dxa"/>
            <w:gridSpan w:val="4"/>
            <w:tcBorders>
              <w:top w:val="single" w:color="000000" w:sz="6" w:space="0"/>
              <w:left w:val="single" w:color="000000" w:sz="6" w:space="0"/>
            </w:tcBorders>
            <w:vAlign w:val="top"/>
          </w:tcPr>
          <w:p w14:paraId="287F77E0">
            <w:pPr>
              <w:pStyle w:val="6"/>
              <w:spacing w:before="128" w:line="220" w:lineRule="auto"/>
              <w:ind w:left="360"/>
            </w:pPr>
            <w:r>
              <w:rPr>
                <w:spacing w:val="-3"/>
              </w:rPr>
              <w:t>建设项目名称</w:t>
            </w:r>
          </w:p>
        </w:tc>
        <w:tc>
          <w:tcPr>
            <w:tcW w:w="6720" w:type="dxa"/>
            <w:gridSpan w:val="6"/>
            <w:tcBorders>
              <w:top w:val="single" w:color="000000" w:sz="6" w:space="0"/>
              <w:right w:val="single" w:color="000000" w:sz="6" w:space="0"/>
            </w:tcBorders>
            <w:vAlign w:val="top"/>
          </w:tcPr>
          <w:p w14:paraId="1EB419E1">
            <w:pPr>
              <w:pStyle w:val="6"/>
              <w:spacing w:before="129" w:line="219" w:lineRule="auto"/>
              <w:ind w:left="720"/>
            </w:pPr>
            <w:r>
              <w:rPr>
                <w:spacing w:val="-1"/>
              </w:rPr>
              <w:t>海丰县金盛宝石首饰有限公司宝石加工改扩建项目</w:t>
            </w:r>
          </w:p>
        </w:tc>
      </w:tr>
      <w:tr w14:paraId="54A94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154" w:type="dxa"/>
            <w:gridSpan w:val="4"/>
            <w:tcBorders>
              <w:left w:val="single" w:color="000000" w:sz="6" w:space="0"/>
            </w:tcBorders>
            <w:vAlign w:val="top"/>
          </w:tcPr>
          <w:p w14:paraId="2A21DE29">
            <w:pPr>
              <w:pStyle w:val="6"/>
              <w:spacing w:before="125" w:line="219" w:lineRule="auto"/>
              <w:ind w:left="601"/>
            </w:pPr>
            <w:r>
              <w:rPr>
                <w:spacing w:val="-4"/>
              </w:rPr>
              <w:t>项目代码</w:t>
            </w:r>
          </w:p>
        </w:tc>
        <w:tc>
          <w:tcPr>
            <w:tcW w:w="6720" w:type="dxa"/>
            <w:gridSpan w:val="6"/>
            <w:tcBorders>
              <w:right w:val="single" w:color="000000" w:sz="6" w:space="0"/>
            </w:tcBorders>
            <w:vAlign w:val="top"/>
          </w:tcPr>
          <w:p w14:paraId="30337F7C">
            <w:pPr>
              <w:pStyle w:val="6"/>
              <w:spacing w:before="124" w:line="220" w:lineRule="auto"/>
              <w:ind w:left="3243"/>
            </w:pPr>
            <w:r>
              <w:t>无</w:t>
            </w:r>
          </w:p>
        </w:tc>
      </w:tr>
      <w:tr w14:paraId="259A0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154" w:type="dxa"/>
            <w:gridSpan w:val="4"/>
            <w:tcBorders>
              <w:left w:val="single" w:color="000000" w:sz="6" w:space="0"/>
            </w:tcBorders>
            <w:vAlign w:val="top"/>
          </w:tcPr>
          <w:p w14:paraId="13F31865">
            <w:pPr>
              <w:pStyle w:val="6"/>
              <w:spacing w:before="125" w:line="220" w:lineRule="auto"/>
              <w:ind w:left="240"/>
            </w:pPr>
            <w:r>
              <w:rPr>
                <w:spacing w:val="-2"/>
              </w:rPr>
              <w:t>建设单位联系人</w:t>
            </w:r>
          </w:p>
        </w:tc>
        <w:tc>
          <w:tcPr>
            <w:tcW w:w="1868" w:type="dxa"/>
            <w:vAlign w:val="top"/>
          </w:tcPr>
          <w:p w14:paraId="67247D30">
            <w:pPr>
              <w:pStyle w:val="6"/>
              <w:spacing w:before="125" w:line="221" w:lineRule="auto"/>
              <w:ind w:left="579"/>
            </w:pPr>
            <w:r>
              <w:rPr>
                <w:spacing w:val="-4"/>
              </w:rPr>
              <w:t>王德成</w:t>
            </w:r>
          </w:p>
        </w:tc>
        <w:tc>
          <w:tcPr>
            <w:tcW w:w="1891" w:type="dxa"/>
            <w:gridSpan w:val="2"/>
            <w:vAlign w:val="top"/>
          </w:tcPr>
          <w:p w14:paraId="5788CB71">
            <w:pPr>
              <w:pStyle w:val="6"/>
              <w:spacing w:before="125" w:line="221" w:lineRule="auto"/>
              <w:ind w:left="474"/>
            </w:pPr>
            <w:r>
              <w:rPr>
                <w:spacing w:val="-3"/>
              </w:rPr>
              <w:t>联系方式</w:t>
            </w:r>
          </w:p>
        </w:tc>
        <w:tc>
          <w:tcPr>
            <w:tcW w:w="2961" w:type="dxa"/>
            <w:gridSpan w:val="3"/>
            <w:tcBorders>
              <w:right w:val="single" w:color="000000" w:sz="6" w:space="0"/>
            </w:tcBorders>
            <w:vAlign w:val="top"/>
          </w:tcPr>
          <w:p w14:paraId="08811866">
            <w:pPr>
              <w:spacing w:before="167" w:line="188" w:lineRule="auto"/>
              <w:ind w:left="84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13809797766</w:t>
            </w:r>
          </w:p>
        </w:tc>
      </w:tr>
      <w:tr w14:paraId="34AFF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154" w:type="dxa"/>
            <w:gridSpan w:val="4"/>
            <w:tcBorders>
              <w:left w:val="single" w:color="000000" w:sz="6" w:space="0"/>
            </w:tcBorders>
            <w:vAlign w:val="top"/>
          </w:tcPr>
          <w:p w14:paraId="3D827DA5">
            <w:pPr>
              <w:pStyle w:val="6"/>
              <w:spacing w:before="126" w:line="221" w:lineRule="auto"/>
              <w:ind w:left="600"/>
            </w:pPr>
            <w:r>
              <w:rPr>
                <w:spacing w:val="-4"/>
              </w:rPr>
              <w:t>建设地点</w:t>
            </w:r>
          </w:p>
        </w:tc>
        <w:tc>
          <w:tcPr>
            <w:tcW w:w="6720" w:type="dxa"/>
            <w:gridSpan w:val="6"/>
            <w:tcBorders>
              <w:right w:val="single" w:color="000000" w:sz="6" w:space="0"/>
            </w:tcBorders>
            <w:vAlign w:val="top"/>
          </w:tcPr>
          <w:p w14:paraId="0DB6C42C">
            <w:pPr>
              <w:pStyle w:val="6"/>
              <w:spacing w:before="127" w:line="219" w:lineRule="auto"/>
              <w:ind w:left="481"/>
            </w:pPr>
            <w:r>
              <w:rPr>
                <w:spacing w:val="-1"/>
              </w:rPr>
              <w:t>广东省汕尾市海丰县可塘镇圆山岭开发区（具体地址）</w:t>
            </w:r>
          </w:p>
        </w:tc>
      </w:tr>
      <w:tr w14:paraId="561D9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54" w:type="dxa"/>
            <w:gridSpan w:val="4"/>
            <w:tcBorders>
              <w:left w:val="single" w:color="000000" w:sz="6" w:space="0"/>
            </w:tcBorders>
            <w:vAlign w:val="top"/>
          </w:tcPr>
          <w:p w14:paraId="7DED3FB6">
            <w:pPr>
              <w:pStyle w:val="6"/>
              <w:spacing w:before="127" w:line="220" w:lineRule="auto"/>
              <w:ind w:left="597"/>
            </w:pPr>
            <w:r>
              <w:rPr>
                <w:spacing w:val="-3"/>
              </w:rPr>
              <w:t>地理坐标</w:t>
            </w:r>
          </w:p>
        </w:tc>
        <w:tc>
          <w:tcPr>
            <w:tcW w:w="6720" w:type="dxa"/>
            <w:gridSpan w:val="6"/>
            <w:tcBorders>
              <w:right w:val="single" w:color="000000" w:sz="6" w:space="0"/>
            </w:tcBorders>
            <w:vAlign w:val="top"/>
          </w:tcPr>
          <w:p w14:paraId="03695DBC">
            <w:pPr>
              <w:pStyle w:val="6"/>
              <w:spacing w:before="127" w:line="220" w:lineRule="auto"/>
              <w:ind w:left="798"/>
            </w:pPr>
            <w:r>
              <w:rPr>
                <w:spacing w:val="-2"/>
              </w:rPr>
              <w:t>（</w:t>
            </w:r>
            <w:r>
              <w:rPr>
                <w:rFonts w:ascii="Times New Roman" w:hAnsi="Times New Roman" w:eastAsia="Times New Roman" w:cs="Times New Roman"/>
                <w:spacing w:val="-2"/>
                <w:u w:val="single" w:color="auto"/>
              </w:rPr>
              <w:t xml:space="preserve">115 </w:t>
            </w:r>
            <w:r>
              <w:rPr>
                <w:spacing w:val="-2"/>
              </w:rPr>
              <w:t>度</w:t>
            </w:r>
            <w:r>
              <w:rPr>
                <w:spacing w:val="-55"/>
              </w:rPr>
              <w:t xml:space="preserve"> </w:t>
            </w:r>
            <w:r>
              <w:rPr>
                <w:rFonts w:ascii="Times New Roman" w:hAnsi="Times New Roman" w:eastAsia="Times New Roman" w:cs="Times New Roman"/>
                <w:spacing w:val="-2"/>
                <w:u w:val="single" w:color="auto"/>
              </w:rPr>
              <w:t xml:space="preserve">27 </w:t>
            </w:r>
            <w:r>
              <w:rPr>
                <w:spacing w:val="-2"/>
              </w:rPr>
              <w:t>分</w:t>
            </w:r>
            <w:r>
              <w:rPr>
                <w:spacing w:val="-56"/>
              </w:rPr>
              <w:t xml:space="preserve"> </w:t>
            </w:r>
            <w:r>
              <w:rPr>
                <w:rFonts w:ascii="Times New Roman" w:hAnsi="Times New Roman" w:eastAsia="Times New Roman" w:cs="Times New Roman"/>
                <w:spacing w:val="-2"/>
                <w:u w:val="single" w:color="auto"/>
              </w:rPr>
              <w:t xml:space="preserve">41.912 </w:t>
            </w:r>
            <w:r>
              <w:rPr>
                <w:spacing w:val="-2"/>
              </w:rPr>
              <w:t>秒，</w:t>
            </w:r>
            <w:r>
              <w:rPr>
                <w:rFonts w:ascii="Times New Roman" w:hAnsi="Times New Roman" w:eastAsia="Times New Roman" w:cs="Times New Roman"/>
                <w:spacing w:val="-2"/>
                <w:u w:val="single" w:color="auto"/>
              </w:rPr>
              <w:t xml:space="preserve">22 </w:t>
            </w:r>
            <w:r>
              <w:rPr>
                <w:spacing w:val="-2"/>
              </w:rPr>
              <w:t>度</w:t>
            </w:r>
            <w:r>
              <w:rPr>
                <w:spacing w:val="-48"/>
              </w:rPr>
              <w:t xml:space="preserve"> </w:t>
            </w:r>
            <w:r>
              <w:rPr>
                <w:rFonts w:ascii="Times New Roman" w:hAnsi="Times New Roman" w:eastAsia="Times New Roman" w:cs="Times New Roman"/>
                <w:spacing w:val="-2"/>
                <w:u w:val="single" w:color="auto"/>
              </w:rPr>
              <w:t>57</w:t>
            </w:r>
            <w:r>
              <w:rPr>
                <w:rFonts w:ascii="Times New Roman" w:hAnsi="Times New Roman" w:eastAsia="Times New Roman" w:cs="Times New Roman"/>
                <w:spacing w:val="12"/>
                <w:u w:val="single" w:color="auto"/>
              </w:rPr>
              <w:t xml:space="preserve"> </w:t>
            </w:r>
            <w:r>
              <w:rPr>
                <w:spacing w:val="-3"/>
              </w:rPr>
              <w:t>分</w:t>
            </w:r>
            <w:r>
              <w:rPr>
                <w:spacing w:val="-56"/>
              </w:rPr>
              <w:t xml:space="preserve"> </w:t>
            </w:r>
            <w:r>
              <w:rPr>
                <w:rFonts w:ascii="Times New Roman" w:hAnsi="Times New Roman" w:eastAsia="Times New Roman" w:cs="Times New Roman"/>
                <w:spacing w:val="-3"/>
                <w:u w:val="single" w:color="auto"/>
              </w:rPr>
              <w:t>42.567</w:t>
            </w:r>
            <w:r>
              <w:rPr>
                <w:rFonts w:ascii="Times New Roman" w:hAnsi="Times New Roman" w:eastAsia="Times New Roman" w:cs="Times New Roman"/>
                <w:spacing w:val="8"/>
                <w:u w:val="single" w:color="auto"/>
              </w:rPr>
              <w:t xml:space="preserve"> </w:t>
            </w:r>
            <w:r>
              <w:rPr>
                <w:spacing w:val="-3"/>
              </w:rPr>
              <w:t>秒）</w:t>
            </w:r>
          </w:p>
        </w:tc>
      </w:tr>
      <w:tr w14:paraId="69307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2154" w:type="dxa"/>
            <w:gridSpan w:val="4"/>
            <w:tcBorders>
              <w:left w:val="single" w:color="000000" w:sz="6" w:space="0"/>
            </w:tcBorders>
            <w:vAlign w:val="top"/>
          </w:tcPr>
          <w:p w14:paraId="53ACA7D9">
            <w:pPr>
              <w:pStyle w:val="6"/>
              <w:spacing w:before="118" w:line="220" w:lineRule="auto"/>
              <w:ind w:left="621"/>
            </w:pPr>
            <w:r>
              <w:rPr>
                <w:spacing w:val="-9"/>
              </w:rPr>
              <w:t>国民经济</w:t>
            </w:r>
          </w:p>
          <w:p w14:paraId="217F6C08">
            <w:pPr>
              <w:pStyle w:val="6"/>
              <w:spacing w:before="23" w:line="219" w:lineRule="auto"/>
              <w:ind w:left="601"/>
            </w:pPr>
            <w:r>
              <w:rPr>
                <w:spacing w:val="-4"/>
              </w:rPr>
              <w:t>行业类别</w:t>
            </w:r>
          </w:p>
        </w:tc>
        <w:tc>
          <w:tcPr>
            <w:tcW w:w="1868" w:type="dxa"/>
            <w:vAlign w:val="top"/>
          </w:tcPr>
          <w:p w14:paraId="38066C53">
            <w:pPr>
              <w:pStyle w:val="6"/>
              <w:spacing w:before="117" w:line="241" w:lineRule="auto"/>
              <w:ind w:left="96" w:right="94" w:firstLine="9"/>
            </w:pPr>
            <w:r>
              <w:rPr>
                <w:rFonts w:ascii="Times New Roman" w:hAnsi="Times New Roman" w:eastAsia="Times New Roman" w:cs="Times New Roman"/>
                <w:spacing w:val="-1"/>
              </w:rPr>
              <w:t xml:space="preserve">C2438 </w:t>
            </w:r>
            <w:r>
              <w:rPr>
                <w:spacing w:val="-1"/>
              </w:rPr>
              <w:t>珠宝首饰</w:t>
            </w:r>
            <w:r>
              <w:rPr>
                <w:spacing w:val="1"/>
              </w:rPr>
              <w:t xml:space="preserve"> </w:t>
            </w:r>
            <w:r>
              <w:rPr>
                <w:spacing w:val="-2"/>
              </w:rPr>
              <w:t>及有关物品制造</w:t>
            </w:r>
          </w:p>
        </w:tc>
        <w:tc>
          <w:tcPr>
            <w:tcW w:w="1891" w:type="dxa"/>
            <w:gridSpan w:val="2"/>
            <w:vAlign w:val="top"/>
          </w:tcPr>
          <w:p w14:paraId="55BD0547">
            <w:pPr>
              <w:pStyle w:val="6"/>
              <w:spacing w:before="118" w:line="220" w:lineRule="auto"/>
              <w:ind w:left="476"/>
            </w:pPr>
            <w:r>
              <w:rPr>
                <w:spacing w:val="-4"/>
              </w:rPr>
              <w:t>建设项目</w:t>
            </w:r>
          </w:p>
          <w:p w14:paraId="22275275">
            <w:pPr>
              <w:pStyle w:val="6"/>
              <w:spacing w:before="23" w:line="219" w:lineRule="auto"/>
              <w:ind w:left="477"/>
            </w:pPr>
            <w:r>
              <w:rPr>
                <w:spacing w:val="-4"/>
              </w:rPr>
              <w:t>行业类别</w:t>
            </w:r>
          </w:p>
        </w:tc>
        <w:tc>
          <w:tcPr>
            <w:tcW w:w="2961" w:type="dxa"/>
            <w:gridSpan w:val="3"/>
            <w:tcBorders>
              <w:right w:val="single" w:color="000000" w:sz="6" w:space="0"/>
            </w:tcBorders>
            <w:vAlign w:val="top"/>
          </w:tcPr>
          <w:p w14:paraId="5ADF9AB9">
            <w:pPr>
              <w:pStyle w:val="6"/>
              <w:spacing w:before="117" w:line="241" w:lineRule="auto"/>
              <w:ind w:left="13" w:right="307" w:hanging="6"/>
              <w:rPr>
                <w:rFonts w:ascii="Times New Roman" w:hAnsi="Times New Roman" w:eastAsia="Times New Roman" w:cs="Times New Roman"/>
              </w:rPr>
            </w:pPr>
            <w:r>
              <w:rPr>
                <w:rFonts w:ascii="Times New Roman" w:hAnsi="Times New Roman" w:eastAsia="Times New Roman" w:cs="Times New Roman"/>
                <w:spacing w:val="-3"/>
              </w:rPr>
              <w:t>41</w:t>
            </w:r>
            <w:r>
              <w:rPr>
                <w:rFonts w:ascii="Times New Roman" w:hAnsi="Times New Roman" w:eastAsia="Times New Roman" w:cs="Times New Roman"/>
                <w:spacing w:val="-29"/>
              </w:rPr>
              <w:t xml:space="preserve"> </w:t>
            </w:r>
            <w:r>
              <w:rPr>
                <w:spacing w:val="-3"/>
              </w:rPr>
              <w:t>、工艺美术及礼仪用品</w:t>
            </w:r>
            <w:r>
              <w:t xml:space="preserve"> </w:t>
            </w:r>
            <w:r>
              <w:rPr>
                <w:spacing w:val="-4"/>
              </w:rPr>
              <w:t>制造</w:t>
            </w:r>
            <w:r>
              <w:rPr>
                <w:spacing w:val="-52"/>
              </w:rPr>
              <w:t xml:space="preserve"> </w:t>
            </w:r>
            <w:r>
              <w:rPr>
                <w:rFonts w:ascii="Times New Roman" w:hAnsi="Times New Roman" w:eastAsia="Times New Roman" w:cs="Times New Roman"/>
                <w:spacing w:val="-4"/>
              </w:rPr>
              <w:t>243</w:t>
            </w:r>
          </w:p>
        </w:tc>
      </w:tr>
      <w:tr w14:paraId="75088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2154" w:type="dxa"/>
            <w:gridSpan w:val="4"/>
            <w:tcBorders>
              <w:left w:val="single" w:color="000000" w:sz="6" w:space="0"/>
            </w:tcBorders>
            <w:vAlign w:val="top"/>
          </w:tcPr>
          <w:p w14:paraId="46F1D16B">
            <w:pPr>
              <w:spacing w:line="256" w:lineRule="auto"/>
              <w:rPr>
                <w:rFonts w:ascii="Arial"/>
                <w:sz w:val="21"/>
              </w:rPr>
            </w:pPr>
          </w:p>
          <w:p w14:paraId="5944BDE4">
            <w:pPr>
              <w:spacing w:line="256" w:lineRule="auto"/>
              <w:rPr>
                <w:rFonts w:ascii="Arial"/>
                <w:sz w:val="21"/>
              </w:rPr>
            </w:pPr>
          </w:p>
          <w:p w14:paraId="109E6151">
            <w:pPr>
              <w:pStyle w:val="6"/>
              <w:spacing w:before="78" w:line="220" w:lineRule="auto"/>
              <w:ind w:left="600"/>
            </w:pPr>
            <w:r>
              <w:rPr>
                <w:spacing w:val="-4"/>
              </w:rPr>
              <w:t>建设性质</w:t>
            </w:r>
          </w:p>
        </w:tc>
        <w:tc>
          <w:tcPr>
            <w:tcW w:w="1868" w:type="dxa"/>
            <w:vAlign w:val="top"/>
          </w:tcPr>
          <w:p w14:paraId="5BEB2271">
            <w:pPr>
              <w:pStyle w:val="6"/>
              <w:spacing w:before="126" w:line="239" w:lineRule="auto"/>
              <w:ind w:left="33" w:right="204"/>
            </w:pPr>
            <w:r>
              <w:rPr>
                <w:spacing w:val="-8"/>
              </w:rPr>
              <w:t>□新建（迁建）</w:t>
            </w:r>
            <w:r>
              <w:t xml:space="preserve"> </w:t>
            </w:r>
            <w:r>
              <w:rPr>
                <w:spacing w:val="-12"/>
              </w:rPr>
              <w:t>□改建</w:t>
            </w:r>
          </w:p>
          <w:p w14:paraId="2E29C8A5">
            <w:pPr>
              <w:pStyle w:val="6"/>
              <w:spacing w:line="220" w:lineRule="auto"/>
              <w:ind w:left="18"/>
            </w:pPr>
            <w:r>
              <w:rPr>
                <w:rFonts w:ascii="MS Gothic" w:hAnsi="MS Gothic" w:eastAsia="MS Gothic" w:cs="MS Gothic"/>
                <w:spacing w:val="-7"/>
              </w:rPr>
              <w:t>☑</w:t>
            </w:r>
            <w:r>
              <w:rPr>
                <w:spacing w:val="-7"/>
              </w:rPr>
              <w:t>扩建</w:t>
            </w:r>
          </w:p>
          <w:p w14:paraId="58AD835D">
            <w:pPr>
              <w:pStyle w:val="6"/>
              <w:spacing w:before="26" w:line="219" w:lineRule="auto"/>
              <w:ind w:left="33"/>
            </w:pPr>
            <w:r>
              <w:rPr>
                <w:spacing w:val="-7"/>
              </w:rPr>
              <w:t>□技术改造</w:t>
            </w:r>
          </w:p>
        </w:tc>
        <w:tc>
          <w:tcPr>
            <w:tcW w:w="1891" w:type="dxa"/>
            <w:gridSpan w:val="2"/>
            <w:vAlign w:val="top"/>
          </w:tcPr>
          <w:p w14:paraId="52D959B3">
            <w:pPr>
              <w:spacing w:line="357" w:lineRule="auto"/>
              <w:rPr>
                <w:rFonts w:ascii="Arial"/>
                <w:sz w:val="21"/>
              </w:rPr>
            </w:pPr>
          </w:p>
          <w:p w14:paraId="04907423">
            <w:pPr>
              <w:pStyle w:val="6"/>
              <w:spacing w:before="78" w:line="220" w:lineRule="auto"/>
              <w:ind w:left="476"/>
            </w:pPr>
            <w:r>
              <w:rPr>
                <w:spacing w:val="-4"/>
              </w:rPr>
              <w:t>建设项目</w:t>
            </w:r>
          </w:p>
          <w:p w14:paraId="4DB9968B">
            <w:pPr>
              <w:pStyle w:val="6"/>
              <w:spacing w:before="23" w:line="219" w:lineRule="auto"/>
              <w:ind w:left="504"/>
            </w:pPr>
            <w:r>
              <w:rPr>
                <w:spacing w:val="-11"/>
              </w:rPr>
              <w:t>申报情形</w:t>
            </w:r>
          </w:p>
        </w:tc>
        <w:tc>
          <w:tcPr>
            <w:tcW w:w="2961" w:type="dxa"/>
            <w:gridSpan w:val="3"/>
            <w:tcBorders>
              <w:right w:val="single" w:color="000000" w:sz="6" w:space="0"/>
            </w:tcBorders>
            <w:vAlign w:val="top"/>
          </w:tcPr>
          <w:p w14:paraId="1605DDE2">
            <w:pPr>
              <w:pStyle w:val="6"/>
              <w:spacing w:before="126" w:line="219" w:lineRule="auto"/>
              <w:ind w:left="22"/>
            </w:pPr>
            <w:r>
              <w:rPr>
                <w:rFonts w:ascii="MS UI Gothic" w:hAnsi="MS UI Gothic" w:eastAsia="MS UI Gothic" w:cs="MS UI Gothic"/>
                <w:spacing w:val="-3"/>
              </w:rPr>
              <w:t>☑</w:t>
            </w:r>
            <w:r>
              <w:rPr>
                <w:spacing w:val="-3"/>
              </w:rPr>
              <w:t>首次申报项目</w:t>
            </w:r>
          </w:p>
          <w:p w14:paraId="0FF4A274">
            <w:pPr>
              <w:pStyle w:val="6"/>
              <w:spacing w:before="27" w:line="219" w:lineRule="auto"/>
              <w:ind w:left="20"/>
            </w:pPr>
            <w:r>
              <w:rPr>
                <w:rFonts w:ascii="Times New Roman" w:hAnsi="Times New Roman" w:eastAsia="Times New Roman" w:cs="Times New Roman"/>
                <w:spacing w:val="-2"/>
              </w:rPr>
              <w:t>□</w:t>
            </w:r>
            <w:r>
              <w:rPr>
                <w:spacing w:val="-2"/>
              </w:rPr>
              <w:t>不予批准后再次申报项目</w:t>
            </w:r>
          </w:p>
          <w:p w14:paraId="5FE30E03">
            <w:pPr>
              <w:pStyle w:val="6"/>
              <w:spacing w:before="24" w:line="219" w:lineRule="auto"/>
              <w:ind w:left="20"/>
            </w:pPr>
            <w:r>
              <w:rPr>
                <w:rFonts w:ascii="Times New Roman" w:hAnsi="Times New Roman" w:eastAsia="Times New Roman" w:cs="Times New Roman"/>
                <w:spacing w:val="-2"/>
              </w:rPr>
              <w:t>□</w:t>
            </w:r>
            <w:r>
              <w:rPr>
                <w:spacing w:val="-2"/>
              </w:rPr>
              <w:t>超五年重新审核项目</w:t>
            </w:r>
          </w:p>
          <w:p w14:paraId="56F99994">
            <w:pPr>
              <w:pStyle w:val="6"/>
              <w:spacing w:before="27" w:line="219" w:lineRule="auto"/>
              <w:ind w:left="20"/>
            </w:pPr>
            <w:r>
              <w:rPr>
                <w:rFonts w:ascii="Times New Roman" w:hAnsi="Times New Roman" w:eastAsia="Times New Roman" w:cs="Times New Roman"/>
                <w:spacing w:val="-2"/>
              </w:rPr>
              <w:t>□</w:t>
            </w:r>
            <w:r>
              <w:rPr>
                <w:spacing w:val="-2"/>
              </w:rPr>
              <w:t>重大变动重新报批项目</w:t>
            </w:r>
          </w:p>
        </w:tc>
      </w:tr>
      <w:tr w14:paraId="22927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2154" w:type="dxa"/>
            <w:gridSpan w:val="4"/>
            <w:tcBorders>
              <w:left w:val="single" w:color="000000" w:sz="6" w:space="0"/>
            </w:tcBorders>
            <w:vAlign w:val="top"/>
          </w:tcPr>
          <w:p w14:paraId="6888ACC9">
            <w:pPr>
              <w:pStyle w:val="6"/>
              <w:spacing w:before="115" w:line="242" w:lineRule="auto"/>
              <w:ind w:left="22" w:firstLine="185"/>
            </w:pPr>
            <w:r>
              <w:rPr>
                <w:spacing w:val="-3"/>
              </w:rPr>
              <w:t>项目审批（核准</w:t>
            </w:r>
            <w:r>
              <w:rPr>
                <w:rFonts w:ascii="Times New Roman" w:hAnsi="Times New Roman" w:eastAsia="Times New Roman" w:cs="Times New Roman"/>
                <w:spacing w:val="-3"/>
              </w:rPr>
              <w:t>/</w:t>
            </w:r>
            <w:r>
              <w:rPr>
                <w:rFonts w:ascii="Times New Roman" w:hAnsi="Times New Roman" w:eastAsia="Times New Roman" w:cs="Times New Roman"/>
                <w:spacing w:val="1"/>
              </w:rPr>
              <w:t xml:space="preserve">    </w:t>
            </w:r>
            <w:r>
              <w:rPr>
                <w:spacing w:val="-5"/>
              </w:rPr>
              <w:t>备案）部门（选填）</w:t>
            </w:r>
          </w:p>
        </w:tc>
        <w:tc>
          <w:tcPr>
            <w:tcW w:w="1868" w:type="dxa"/>
            <w:vAlign w:val="top"/>
          </w:tcPr>
          <w:p w14:paraId="34DB82D2">
            <w:pPr>
              <w:spacing w:before="308" w:line="192" w:lineRule="auto"/>
              <w:ind w:left="89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891" w:type="dxa"/>
            <w:gridSpan w:val="2"/>
            <w:vAlign w:val="top"/>
          </w:tcPr>
          <w:p w14:paraId="78BF124F">
            <w:pPr>
              <w:pStyle w:val="6"/>
              <w:spacing w:before="116" w:line="242" w:lineRule="auto"/>
              <w:ind w:left="13" w:firstLine="64"/>
            </w:pPr>
            <w:r>
              <w:rPr>
                <w:spacing w:val="-13"/>
              </w:rPr>
              <w:t>项目审批（核准</w:t>
            </w:r>
            <w:r>
              <w:rPr>
                <w:rFonts w:ascii="Times New Roman" w:hAnsi="Times New Roman" w:eastAsia="Times New Roman" w:cs="Times New Roman"/>
                <w:spacing w:val="-13"/>
              </w:rPr>
              <w:t>/</w:t>
            </w:r>
            <w:r>
              <w:rPr>
                <w:rFonts w:ascii="Times New Roman" w:hAnsi="Times New Roman" w:eastAsia="Times New Roman" w:cs="Times New Roman"/>
              </w:rPr>
              <w:t xml:space="preserve">    </w:t>
            </w:r>
            <w:r>
              <w:rPr>
                <w:spacing w:val="-32"/>
              </w:rPr>
              <w:t>备案）文号（选填）</w:t>
            </w:r>
          </w:p>
        </w:tc>
        <w:tc>
          <w:tcPr>
            <w:tcW w:w="2961" w:type="dxa"/>
            <w:gridSpan w:val="3"/>
            <w:tcBorders>
              <w:right w:val="single" w:color="000000" w:sz="6" w:space="0"/>
            </w:tcBorders>
            <w:vAlign w:val="top"/>
          </w:tcPr>
          <w:p w14:paraId="30314833">
            <w:pPr>
              <w:spacing w:before="308" w:line="192" w:lineRule="auto"/>
              <w:ind w:left="144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64364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54" w:type="dxa"/>
            <w:gridSpan w:val="4"/>
            <w:tcBorders>
              <w:left w:val="single" w:color="000000" w:sz="6" w:space="0"/>
            </w:tcBorders>
            <w:vAlign w:val="top"/>
          </w:tcPr>
          <w:p w14:paraId="15D6A1D2">
            <w:pPr>
              <w:pStyle w:val="6"/>
              <w:spacing w:before="130" w:line="220" w:lineRule="auto"/>
              <w:ind w:left="244"/>
            </w:pPr>
            <w:r>
              <w:rPr>
                <w:spacing w:val="-3"/>
              </w:rPr>
              <w:t>总投资（万元）</w:t>
            </w:r>
          </w:p>
        </w:tc>
        <w:tc>
          <w:tcPr>
            <w:tcW w:w="1868" w:type="dxa"/>
            <w:vAlign w:val="top"/>
          </w:tcPr>
          <w:p w14:paraId="01D2850F">
            <w:pPr>
              <w:spacing w:before="172" w:line="188" w:lineRule="auto"/>
              <w:ind w:left="69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6000</w:t>
            </w:r>
          </w:p>
        </w:tc>
        <w:tc>
          <w:tcPr>
            <w:tcW w:w="1891" w:type="dxa"/>
            <w:gridSpan w:val="2"/>
            <w:vAlign w:val="top"/>
          </w:tcPr>
          <w:p w14:paraId="2D523D62">
            <w:pPr>
              <w:pStyle w:val="6"/>
              <w:spacing w:before="130" w:line="220" w:lineRule="auto"/>
              <w:jc w:val="right"/>
            </w:pPr>
            <w:r>
              <w:rPr>
                <w:spacing w:val="-8"/>
              </w:rPr>
              <w:t>环保投资（万元）</w:t>
            </w:r>
          </w:p>
        </w:tc>
        <w:tc>
          <w:tcPr>
            <w:tcW w:w="2961" w:type="dxa"/>
            <w:gridSpan w:val="3"/>
            <w:tcBorders>
              <w:right w:val="single" w:color="000000" w:sz="6" w:space="0"/>
            </w:tcBorders>
            <w:vAlign w:val="top"/>
          </w:tcPr>
          <w:p w14:paraId="2C897F7E">
            <w:pPr>
              <w:spacing w:before="172" w:line="188" w:lineRule="auto"/>
              <w:ind w:left="1305"/>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600</w:t>
            </w:r>
          </w:p>
        </w:tc>
      </w:tr>
      <w:tr w14:paraId="349DC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54" w:type="dxa"/>
            <w:gridSpan w:val="4"/>
            <w:tcBorders>
              <w:left w:val="single" w:color="000000" w:sz="6" w:space="0"/>
            </w:tcBorders>
            <w:vAlign w:val="top"/>
          </w:tcPr>
          <w:p w14:paraId="5251922D">
            <w:pPr>
              <w:pStyle w:val="6"/>
              <w:spacing w:before="130" w:line="220" w:lineRule="auto"/>
              <w:ind w:left="19"/>
            </w:pPr>
            <w:r>
              <w:rPr>
                <w:spacing w:val="-2"/>
              </w:rPr>
              <w:t>环保投资占比（</w:t>
            </w:r>
            <w:r>
              <w:rPr>
                <w:rFonts w:ascii="Times New Roman" w:hAnsi="Times New Roman" w:eastAsia="Times New Roman" w:cs="Times New Roman"/>
                <w:spacing w:val="-2"/>
              </w:rPr>
              <w:t>%</w:t>
            </w:r>
            <w:r>
              <w:rPr>
                <w:spacing w:val="-2"/>
              </w:rPr>
              <w:t>）</w:t>
            </w:r>
          </w:p>
        </w:tc>
        <w:tc>
          <w:tcPr>
            <w:tcW w:w="1868" w:type="dxa"/>
            <w:vAlign w:val="top"/>
          </w:tcPr>
          <w:p w14:paraId="6EE991B9">
            <w:pPr>
              <w:spacing w:before="172" w:line="188" w:lineRule="auto"/>
              <w:ind w:left="73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w:t>
            </w:r>
          </w:p>
        </w:tc>
        <w:tc>
          <w:tcPr>
            <w:tcW w:w="1891" w:type="dxa"/>
            <w:gridSpan w:val="2"/>
            <w:vAlign w:val="top"/>
          </w:tcPr>
          <w:p w14:paraId="6BA60219">
            <w:pPr>
              <w:pStyle w:val="6"/>
              <w:spacing w:before="130" w:line="220" w:lineRule="auto"/>
              <w:ind w:left="472"/>
            </w:pPr>
            <w:r>
              <w:rPr>
                <w:spacing w:val="-3"/>
              </w:rPr>
              <w:t>施工工期</w:t>
            </w:r>
          </w:p>
        </w:tc>
        <w:tc>
          <w:tcPr>
            <w:tcW w:w="2961" w:type="dxa"/>
            <w:gridSpan w:val="3"/>
            <w:tcBorders>
              <w:right w:val="single" w:color="000000" w:sz="6" w:space="0"/>
            </w:tcBorders>
            <w:vAlign w:val="top"/>
          </w:tcPr>
          <w:p w14:paraId="76AB3DA1">
            <w:pPr>
              <w:pStyle w:val="6"/>
              <w:spacing w:before="152" w:line="209" w:lineRule="auto"/>
              <w:ind w:left="1143"/>
              <w:rPr>
                <w:sz w:val="20"/>
                <w:szCs w:val="20"/>
              </w:rPr>
            </w:pPr>
            <w:r>
              <w:rPr>
                <w:rFonts w:ascii="Times New Roman" w:hAnsi="Times New Roman" w:eastAsia="Times New Roman" w:cs="Times New Roman"/>
                <w:spacing w:val="-5"/>
              </w:rPr>
              <w:t>12</w:t>
            </w:r>
            <w:r>
              <w:rPr>
                <w:rFonts w:ascii="Times New Roman" w:hAnsi="Times New Roman" w:eastAsia="Times New Roman" w:cs="Times New Roman"/>
                <w:spacing w:val="8"/>
              </w:rPr>
              <w:t xml:space="preserve"> </w:t>
            </w:r>
            <w:r>
              <w:rPr>
                <w:spacing w:val="-5"/>
                <w:sz w:val="20"/>
                <w:szCs w:val="20"/>
              </w:rPr>
              <w:t>个月</w:t>
            </w:r>
          </w:p>
        </w:tc>
      </w:tr>
      <w:tr w14:paraId="411C0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2154" w:type="dxa"/>
            <w:gridSpan w:val="4"/>
            <w:tcBorders>
              <w:left w:val="single" w:color="000000" w:sz="6" w:space="0"/>
            </w:tcBorders>
            <w:vAlign w:val="top"/>
          </w:tcPr>
          <w:p w14:paraId="4380A9CE">
            <w:pPr>
              <w:pStyle w:val="6"/>
              <w:spacing w:before="255" w:line="220" w:lineRule="auto"/>
              <w:ind w:left="361"/>
            </w:pPr>
            <w:r>
              <w:rPr>
                <w:spacing w:val="-3"/>
              </w:rPr>
              <w:t>是否开工建设</w:t>
            </w:r>
          </w:p>
        </w:tc>
        <w:tc>
          <w:tcPr>
            <w:tcW w:w="1868" w:type="dxa"/>
            <w:vAlign w:val="top"/>
          </w:tcPr>
          <w:p w14:paraId="6C673D78">
            <w:pPr>
              <w:pStyle w:val="6"/>
              <w:spacing w:before="99" w:line="222" w:lineRule="auto"/>
              <w:ind w:left="18"/>
            </w:pPr>
            <w:r>
              <w:rPr>
                <w:rFonts w:ascii="MS UI Gothic" w:hAnsi="MS UI Gothic" w:eastAsia="MS UI Gothic" w:cs="MS UI Gothic"/>
                <w:spacing w:val="-9"/>
              </w:rPr>
              <w:t>☑</w:t>
            </w:r>
            <w:r>
              <w:rPr>
                <w:spacing w:val="-9"/>
              </w:rPr>
              <w:t>否</w:t>
            </w:r>
          </w:p>
          <w:p w14:paraId="242A2127">
            <w:pPr>
              <w:pStyle w:val="6"/>
              <w:spacing w:before="23" w:line="223" w:lineRule="auto"/>
              <w:ind w:left="16"/>
            </w:pPr>
            <w:r>
              <w:rPr>
                <w:rFonts w:ascii="Times New Roman" w:hAnsi="Times New Roman" w:eastAsia="Times New Roman" w:cs="Times New Roman"/>
                <w:spacing w:val="-7"/>
              </w:rPr>
              <w:t>□</w:t>
            </w:r>
            <w:r>
              <w:rPr>
                <w:spacing w:val="-7"/>
              </w:rPr>
              <w:t>是：</w:t>
            </w:r>
            <w:r>
              <w:rPr>
                <w:u w:val="single" w:color="auto"/>
              </w:rPr>
              <w:t xml:space="preserve">        </w:t>
            </w:r>
          </w:p>
        </w:tc>
        <w:tc>
          <w:tcPr>
            <w:tcW w:w="1891" w:type="dxa"/>
            <w:gridSpan w:val="2"/>
            <w:vAlign w:val="top"/>
          </w:tcPr>
          <w:p w14:paraId="556E1B7D">
            <w:pPr>
              <w:pStyle w:val="6"/>
              <w:spacing w:before="101" w:line="221" w:lineRule="auto"/>
              <w:ind w:left="271"/>
            </w:pPr>
            <w:r>
              <w:rPr>
                <w:spacing w:val="-10"/>
              </w:rPr>
              <w:t>用地（用海）</w:t>
            </w:r>
          </w:p>
          <w:p w14:paraId="4D6552BD">
            <w:pPr>
              <w:pStyle w:val="6"/>
              <w:spacing w:before="22" w:line="220" w:lineRule="auto"/>
              <w:ind w:left="383"/>
            </w:pPr>
            <w:r>
              <w:rPr>
                <w:spacing w:val="-14"/>
              </w:rPr>
              <w:t>面积（㎡）</w:t>
            </w:r>
          </w:p>
        </w:tc>
        <w:tc>
          <w:tcPr>
            <w:tcW w:w="2961" w:type="dxa"/>
            <w:gridSpan w:val="3"/>
            <w:tcBorders>
              <w:right w:val="single" w:color="000000" w:sz="6" w:space="0"/>
            </w:tcBorders>
            <w:vAlign w:val="top"/>
          </w:tcPr>
          <w:p w14:paraId="27AC71D1">
            <w:pPr>
              <w:spacing w:before="297" w:line="188" w:lineRule="auto"/>
              <w:ind w:left="12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2932</w:t>
            </w:r>
          </w:p>
        </w:tc>
      </w:tr>
      <w:tr w14:paraId="5C781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1" w:hRule="atLeast"/>
        </w:trPr>
        <w:tc>
          <w:tcPr>
            <w:tcW w:w="848" w:type="dxa"/>
            <w:vMerge w:val="restart"/>
            <w:tcBorders>
              <w:left w:val="single" w:color="000000" w:sz="6" w:space="0"/>
              <w:bottom w:val="nil"/>
            </w:tcBorders>
            <w:vAlign w:val="top"/>
          </w:tcPr>
          <w:p w14:paraId="02AF4CA4">
            <w:pPr>
              <w:spacing w:line="253" w:lineRule="auto"/>
              <w:rPr>
                <w:rFonts w:ascii="Arial"/>
                <w:sz w:val="21"/>
              </w:rPr>
            </w:pPr>
          </w:p>
          <w:p w14:paraId="76934CE2">
            <w:pPr>
              <w:spacing w:line="253" w:lineRule="auto"/>
              <w:rPr>
                <w:rFonts w:ascii="Arial"/>
                <w:sz w:val="21"/>
              </w:rPr>
            </w:pPr>
          </w:p>
          <w:p w14:paraId="4DB230CF">
            <w:pPr>
              <w:spacing w:line="253" w:lineRule="auto"/>
              <w:rPr>
                <w:rFonts w:ascii="Arial"/>
                <w:sz w:val="21"/>
              </w:rPr>
            </w:pPr>
          </w:p>
          <w:p w14:paraId="001B71F9">
            <w:pPr>
              <w:spacing w:line="253" w:lineRule="auto"/>
              <w:rPr>
                <w:rFonts w:ascii="Arial"/>
                <w:sz w:val="21"/>
              </w:rPr>
            </w:pPr>
          </w:p>
          <w:p w14:paraId="71D7FBF7">
            <w:pPr>
              <w:spacing w:line="254" w:lineRule="auto"/>
              <w:rPr>
                <w:rFonts w:ascii="Arial"/>
                <w:sz w:val="21"/>
              </w:rPr>
            </w:pPr>
          </w:p>
          <w:p w14:paraId="22B9CD33">
            <w:pPr>
              <w:spacing w:line="254" w:lineRule="auto"/>
              <w:rPr>
                <w:rFonts w:ascii="Arial"/>
                <w:sz w:val="21"/>
              </w:rPr>
            </w:pPr>
          </w:p>
          <w:p w14:paraId="4744457C">
            <w:pPr>
              <w:spacing w:line="254" w:lineRule="auto"/>
              <w:rPr>
                <w:rFonts w:ascii="Arial"/>
                <w:sz w:val="21"/>
              </w:rPr>
            </w:pPr>
          </w:p>
          <w:p w14:paraId="7D8A32C8">
            <w:pPr>
              <w:spacing w:line="254" w:lineRule="auto"/>
              <w:rPr>
                <w:rFonts w:ascii="Arial"/>
                <w:sz w:val="21"/>
              </w:rPr>
            </w:pPr>
          </w:p>
          <w:p w14:paraId="606EBFC5">
            <w:pPr>
              <w:spacing w:line="254" w:lineRule="auto"/>
              <w:rPr>
                <w:rFonts w:ascii="Arial"/>
                <w:sz w:val="21"/>
              </w:rPr>
            </w:pPr>
          </w:p>
          <w:p w14:paraId="5A258663">
            <w:pPr>
              <w:pStyle w:val="6"/>
              <w:spacing w:before="78" w:line="220" w:lineRule="auto"/>
              <w:ind w:left="183"/>
            </w:pPr>
            <w:r>
              <w:rPr>
                <w:spacing w:val="-6"/>
              </w:rPr>
              <w:t>专项</w:t>
            </w:r>
          </w:p>
          <w:p w14:paraId="68A39CA9">
            <w:pPr>
              <w:pStyle w:val="6"/>
              <w:spacing w:before="25" w:line="218" w:lineRule="auto"/>
              <w:ind w:left="181"/>
            </w:pPr>
            <w:r>
              <w:rPr>
                <w:spacing w:val="-5"/>
              </w:rPr>
              <w:t>评价</w:t>
            </w:r>
          </w:p>
          <w:p w14:paraId="3A0E498E">
            <w:pPr>
              <w:pStyle w:val="6"/>
              <w:spacing w:before="28" w:line="221" w:lineRule="auto"/>
              <w:ind w:left="186"/>
            </w:pPr>
            <w:r>
              <w:rPr>
                <w:spacing w:val="-7"/>
              </w:rPr>
              <w:t>设置</w:t>
            </w:r>
          </w:p>
          <w:p w14:paraId="193B3178">
            <w:pPr>
              <w:pStyle w:val="6"/>
              <w:spacing w:before="22" w:line="220" w:lineRule="auto"/>
              <w:ind w:left="183"/>
            </w:pPr>
            <w:r>
              <w:rPr>
                <w:spacing w:val="-6"/>
              </w:rPr>
              <w:t>情况</w:t>
            </w:r>
          </w:p>
        </w:tc>
        <w:tc>
          <w:tcPr>
            <w:tcW w:w="8026" w:type="dxa"/>
            <w:gridSpan w:val="9"/>
            <w:tcBorders>
              <w:right w:val="single" w:color="000000" w:sz="6" w:space="0"/>
            </w:tcBorders>
            <w:vAlign w:val="top"/>
          </w:tcPr>
          <w:p w14:paraId="1D840F88">
            <w:pPr>
              <w:pStyle w:val="6"/>
              <w:spacing w:before="164" w:line="360" w:lineRule="auto"/>
              <w:ind w:left="106" w:right="103" w:firstLine="479"/>
              <w:jc w:val="both"/>
            </w:pPr>
            <w:r>
              <w:rPr>
                <w:spacing w:val="-4"/>
              </w:rPr>
              <w:t>对照《建设项目环境影响报告表编制建设指南</w:t>
            </w:r>
            <w:r>
              <w:rPr>
                <w:rFonts w:ascii="Times New Roman" w:hAnsi="Times New Roman" w:eastAsia="Times New Roman" w:cs="Times New Roman"/>
                <w:spacing w:val="-4"/>
              </w:rPr>
              <w:t>——</w:t>
            </w:r>
            <w:r>
              <w:rPr>
                <w:spacing w:val="-4"/>
              </w:rPr>
              <w:t>污染影响类》专题评</w:t>
            </w:r>
            <w:r>
              <w:rPr>
                <w:spacing w:val="8"/>
              </w:rPr>
              <w:t xml:space="preserve"> </w:t>
            </w:r>
            <w:r>
              <w:rPr>
                <w:spacing w:val="-4"/>
              </w:rPr>
              <w:t>价设置原则表，本项目专题评价设置情况判定如下表，经判定，本项目专项</w:t>
            </w:r>
            <w:r>
              <w:rPr>
                <w:spacing w:val="16"/>
              </w:rPr>
              <w:t xml:space="preserve"> </w:t>
            </w:r>
            <w:r>
              <w:rPr>
                <w:spacing w:val="-1"/>
              </w:rPr>
              <w:t>评价设置情况如下：</w:t>
            </w:r>
          </w:p>
          <w:p w14:paraId="1394EA4F">
            <w:pPr>
              <w:pStyle w:val="6"/>
              <w:spacing w:before="115" w:line="218" w:lineRule="auto"/>
              <w:ind w:left="1805"/>
            </w:pPr>
            <w:r>
              <w:rPr>
                <w:b/>
                <w:bCs/>
                <w:spacing w:val="-2"/>
              </w:rPr>
              <w:t>表</w:t>
            </w:r>
            <w:r>
              <w:rPr>
                <w:rFonts w:ascii="Times New Roman" w:hAnsi="Times New Roman" w:eastAsia="Times New Roman" w:cs="Times New Roman"/>
                <w:b/>
                <w:bCs/>
                <w:spacing w:val="-2"/>
              </w:rPr>
              <w:t xml:space="preserve">1-1    </w:t>
            </w:r>
            <w:r>
              <w:rPr>
                <w:b/>
                <w:bCs/>
                <w:spacing w:val="-2"/>
              </w:rPr>
              <w:t>项目专项评价设置情况判定一览表</w:t>
            </w:r>
          </w:p>
        </w:tc>
      </w:tr>
      <w:tr w14:paraId="45C13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48" w:type="dxa"/>
            <w:vMerge w:val="continue"/>
            <w:tcBorders>
              <w:top w:val="nil"/>
              <w:left w:val="single" w:color="000000" w:sz="6" w:space="0"/>
              <w:bottom w:val="nil"/>
            </w:tcBorders>
            <w:vAlign w:val="top"/>
          </w:tcPr>
          <w:p w14:paraId="664B2F19">
            <w:pPr>
              <w:rPr>
                <w:rFonts w:ascii="Arial"/>
                <w:sz w:val="21"/>
              </w:rPr>
            </w:pPr>
          </w:p>
        </w:tc>
        <w:tc>
          <w:tcPr>
            <w:tcW w:w="164" w:type="dxa"/>
            <w:tcBorders>
              <w:top w:val="nil"/>
              <w:bottom w:val="nil"/>
            </w:tcBorders>
            <w:vAlign w:val="top"/>
          </w:tcPr>
          <w:p w14:paraId="6FEFA1D5">
            <w:pPr>
              <w:rPr>
                <w:rFonts w:ascii="Arial"/>
                <w:sz w:val="21"/>
              </w:rPr>
            </w:pPr>
          </w:p>
        </w:tc>
        <w:tc>
          <w:tcPr>
            <w:tcW w:w="980" w:type="dxa"/>
            <w:vAlign w:val="top"/>
          </w:tcPr>
          <w:p w14:paraId="0AF74884">
            <w:pPr>
              <w:pStyle w:val="6"/>
              <w:spacing w:before="115" w:line="228" w:lineRule="auto"/>
              <w:ind w:left="176"/>
              <w:rPr>
                <w:sz w:val="20"/>
                <w:szCs w:val="20"/>
              </w:rPr>
            </w:pPr>
            <w:r>
              <w:rPr>
                <w:b/>
                <w:bCs/>
                <w:spacing w:val="5"/>
                <w:sz w:val="20"/>
                <w:szCs w:val="20"/>
              </w:rPr>
              <w:t>专项评</w:t>
            </w:r>
          </w:p>
          <w:p w14:paraId="74954865">
            <w:pPr>
              <w:pStyle w:val="6"/>
              <w:spacing w:before="24" w:line="226" w:lineRule="auto"/>
              <w:ind w:left="176"/>
              <w:rPr>
                <w:sz w:val="20"/>
                <w:szCs w:val="20"/>
              </w:rPr>
            </w:pPr>
            <w:r>
              <w:rPr>
                <w:b/>
                <w:bCs/>
                <w:spacing w:val="5"/>
                <w:sz w:val="20"/>
                <w:szCs w:val="20"/>
              </w:rPr>
              <w:t>价类别</w:t>
            </w:r>
          </w:p>
        </w:tc>
        <w:tc>
          <w:tcPr>
            <w:tcW w:w="2836" w:type="dxa"/>
            <w:gridSpan w:val="3"/>
            <w:vAlign w:val="top"/>
          </w:tcPr>
          <w:p w14:paraId="1AE9EBFF">
            <w:pPr>
              <w:pStyle w:val="6"/>
              <w:spacing w:before="252" w:line="228" w:lineRule="auto"/>
              <w:ind w:left="1003"/>
              <w:rPr>
                <w:sz w:val="20"/>
                <w:szCs w:val="20"/>
              </w:rPr>
            </w:pPr>
            <w:r>
              <w:rPr>
                <w:b/>
                <w:bCs/>
                <w:spacing w:val="5"/>
                <w:sz w:val="20"/>
                <w:szCs w:val="20"/>
              </w:rPr>
              <w:t>设置原则</w:t>
            </w:r>
          </w:p>
        </w:tc>
        <w:tc>
          <w:tcPr>
            <w:tcW w:w="3062" w:type="dxa"/>
            <w:gridSpan w:val="2"/>
            <w:vAlign w:val="top"/>
          </w:tcPr>
          <w:p w14:paraId="7B825C06">
            <w:pPr>
              <w:pStyle w:val="6"/>
              <w:spacing w:before="252" w:line="228" w:lineRule="auto"/>
              <w:ind w:left="1121"/>
              <w:rPr>
                <w:sz w:val="20"/>
                <w:szCs w:val="20"/>
              </w:rPr>
            </w:pPr>
            <w:r>
              <w:rPr>
                <w:b/>
                <w:bCs/>
                <w:spacing w:val="5"/>
                <w:sz w:val="20"/>
                <w:szCs w:val="20"/>
              </w:rPr>
              <w:t>项目情况</w:t>
            </w:r>
          </w:p>
        </w:tc>
        <w:tc>
          <w:tcPr>
            <w:tcW w:w="811" w:type="dxa"/>
            <w:vAlign w:val="top"/>
          </w:tcPr>
          <w:p w14:paraId="0B521340">
            <w:pPr>
              <w:pStyle w:val="6"/>
              <w:spacing w:before="115" w:line="228" w:lineRule="auto"/>
              <w:ind w:left="204"/>
              <w:rPr>
                <w:sz w:val="20"/>
                <w:szCs w:val="20"/>
              </w:rPr>
            </w:pPr>
            <w:r>
              <w:rPr>
                <w:b/>
                <w:bCs/>
                <w:spacing w:val="3"/>
                <w:sz w:val="20"/>
                <w:szCs w:val="20"/>
              </w:rPr>
              <w:t>判定</w:t>
            </w:r>
          </w:p>
          <w:p w14:paraId="5DC9ACFB">
            <w:pPr>
              <w:pStyle w:val="6"/>
              <w:spacing w:before="24" w:line="228" w:lineRule="auto"/>
              <w:ind w:left="209"/>
              <w:rPr>
                <w:sz w:val="20"/>
                <w:szCs w:val="20"/>
              </w:rPr>
            </w:pPr>
            <w:r>
              <w:rPr>
                <w:b/>
                <w:bCs/>
                <w:spacing w:val="1"/>
                <w:sz w:val="20"/>
                <w:szCs w:val="20"/>
              </w:rPr>
              <w:t>结果</w:t>
            </w:r>
          </w:p>
        </w:tc>
        <w:tc>
          <w:tcPr>
            <w:tcW w:w="173" w:type="dxa"/>
            <w:vMerge w:val="restart"/>
            <w:tcBorders>
              <w:top w:val="nil"/>
              <w:bottom w:val="nil"/>
              <w:right w:val="single" w:color="000000" w:sz="6" w:space="0"/>
            </w:tcBorders>
            <w:vAlign w:val="top"/>
          </w:tcPr>
          <w:p w14:paraId="1A5868FD">
            <w:pPr>
              <w:rPr>
                <w:rFonts w:ascii="Arial"/>
                <w:sz w:val="21"/>
              </w:rPr>
            </w:pPr>
          </w:p>
        </w:tc>
      </w:tr>
      <w:tr w14:paraId="79A06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848" w:type="dxa"/>
            <w:vMerge w:val="continue"/>
            <w:tcBorders>
              <w:top w:val="nil"/>
              <w:left w:val="single" w:color="000000" w:sz="6" w:space="0"/>
              <w:bottom w:val="nil"/>
            </w:tcBorders>
            <w:vAlign w:val="top"/>
          </w:tcPr>
          <w:p w14:paraId="62B109FD">
            <w:pPr>
              <w:rPr>
                <w:rFonts w:ascii="Arial"/>
                <w:sz w:val="21"/>
              </w:rPr>
            </w:pPr>
          </w:p>
        </w:tc>
        <w:tc>
          <w:tcPr>
            <w:tcW w:w="164" w:type="dxa"/>
            <w:tcBorders>
              <w:top w:val="nil"/>
              <w:bottom w:val="nil"/>
            </w:tcBorders>
            <w:vAlign w:val="top"/>
          </w:tcPr>
          <w:p w14:paraId="2E40E043">
            <w:pPr>
              <w:rPr>
                <w:rFonts w:ascii="Arial"/>
                <w:sz w:val="21"/>
              </w:rPr>
            </w:pPr>
          </w:p>
        </w:tc>
        <w:tc>
          <w:tcPr>
            <w:tcW w:w="980" w:type="dxa"/>
            <w:vAlign w:val="top"/>
          </w:tcPr>
          <w:p w14:paraId="6E488BE6">
            <w:pPr>
              <w:spacing w:line="336" w:lineRule="auto"/>
              <w:rPr>
                <w:rFonts w:ascii="Arial"/>
                <w:sz w:val="21"/>
              </w:rPr>
            </w:pPr>
          </w:p>
          <w:p w14:paraId="317768D2">
            <w:pPr>
              <w:spacing w:line="336" w:lineRule="auto"/>
              <w:rPr>
                <w:rFonts w:ascii="Arial"/>
                <w:sz w:val="21"/>
              </w:rPr>
            </w:pPr>
          </w:p>
          <w:p w14:paraId="635E86F0">
            <w:pPr>
              <w:pStyle w:val="6"/>
              <w:spacing w:before="65" w:line="228" w:lineRule="auto"/>
              <w:ind w:left="283"/>
              <w:rPr>
                <w:sz w:val="20"/>
                <w:szCs w:val="20"/>
              </w:rPr>
            </w:pPr>
            <w:r>
              <w:rPr>
                <w:spacing w:val="3"/>
                <w:sz w:val="20"/>
                <w:szCs w:val="20"/>
              </w:rPr>
              <w:t>大气</w:t>
            </w:r>
          </w:p>
        </w:tc>
        <w:tc>
          <w:tcPr>
            <w:tcW w:w="2836" w:type="dxa"/>
            <w:gridSpan w:val="3"/>
            <w:vAlign w:val="top"/>
          </w:tcPr>
          <w:p w14:paraId="6D6FC031">
            <w:pPr>
              <w:pStyle w:val="6"/>
              <w:spacing w:before="198" w:line="228" w:lineRule="auto"/>
              <w:ind w:left="162"/>
              <w:rPr>
                <w:sz w:val="20"/>
                <w:szCs w:val="20"/>
              </w:rPr>
            </w:pPr>
            <w:r>
              <w:rPr>
                <w:spacing w:val="9"/>
                <w:sz w:val="20"/>
                <w:szCs w:val="20"/>
              </w:rPr>
              <w:t>排放废气含有毒有害污染物</w:t>
            </w:r>
          </w:p>
          <w:p w14:paraId="6F4D722B">
            <w:pPr>
              <w:pStyle w:val="6"/>
              <w:spacing w:before="24" w:line="227" w:lineRule="auto"/>
              <w:ind w:right="11"/>
              <w:jc w:val="right"/>
              <w:rPr>
                <w:sz w:val="20"/>
                <w:szCs w:val="20"/>
              </w:rPr>
            </w:pPr>
            <w:r>
              <w:rPr>
                <w:rFonts w:ascii="Times New Roman" w:hAnsi="Times New Roman" w:eastAsia="Times New Roman" w:cs="Times New Roman"/>
                <w:sz w:val="20"/>
                <w:szCs w:val="20"/>
              </w:rPr>
              <w:t>*</w:t>
            </w:r>
            <w:r>
              <w:rPr>
                <w:sz w:val="20"/>
                <w:szCs w:val="20"/>
              </w:rPr>
              <w:t>、二噁英、苯并芘、氰化物、</w:t>
            </w:r>
          </w:p>
          <w:p w14:paraId="751FABE2">
            <w:pPr>
              <w:pStyle w:val="6"/>
              <w:spacing w:before="24" w:line="228" w:lineRule="auto"/>
              <w:ind w:left="165"/>
              <w:rPr>
                <w:sz w:val="20"/>
                <w:szCs w:val="20"/>
              </w:rPr>
            </w:pPr>
            <w:r>
              <w:rPr>
                <w:spacing w:val="6"/>
                <w:sz w:val="20"/>
                <w:szCs w:val="20"/>
              </w:rPr>
              <w:t>氯气，且厂界外</w:t>
            </w:r>
            <w:r>
              <w:rPr>
                <w:spacing w:val="-29"/>
                <w:sz w:val="20"/>
                <w:szCs w:val="20"/>
              </w:rPr>
              <w:t xml:space="preserve"> </w:t>
            </w:r>
            <w:r>
              <w:rPr>
                <w:rFonts w:ascii="Times New Roman" w:hAnsi="Times New Roman" w:eastAsia="Times New Roman" w:cs="Times New Roman"/>
                <w:spacing w:val="6"/>
                <w:sz w:val="20"/>
                <w:szCs w:val="20"/>
              </w:rPr>
              <w:t xml:space="preserve">500 </w:t>
            </w:r>
            <w:r>
              <w:rPr>
                <w:spacing w:val="6"/>
                <w:sz w:val="20"/>
                <w:szCs w:val="20"/>
              </w:rPr>
              <w:t>米范围</w:t>
            </w:r>
          </w:p>
          <w:p w14:paraId="737EFEBF">
            <w:pPr>
              <w:pStyle w:val="6"/>
              <w:spacing w:before="26" w:line="228" w:lineRule="auto"/>
              <w:ind w:left="187"/>
              <w:rPr>
                <w:sz w:val="20"/>
                <w:szCs w:val="20"/>
              </w:rPr>
            </w:pPr>
            <w:r>
              <w:rPr>
                <w:spacing w:val="7"/>
                <w:sz w:val="20"/>
                <w:szCs w:val="20"/>
              </w:rPr>
              <w:t>内有环境空气保护目标的项</w:t>
            </w:r>
          </w:p>
          <w:p w14:paraId="06184BAB">
            <w:pPr>
              <w:pStyle w:val="6"/>
              <w:spacing w:before="25" w:line="231" w:lineRule="auto"/>
              <w:ind w:left="1251"/>
              <w:rPr>
                <w:sz w:val="20"/>
                <w:szCs w:val="20"/>
              </w:rPr>
            </w:pPr>
            <w:r>
              <w:rPr>
                <w:spacing w:val="-20"/>
                <w:sz w:val="20"/>
                <w:szCs w:val="20"/>
              </w:rPr>
              <w:t>目。</w:t>
            </w:r>
          </w:p>
        </w:tc>
        <w:tc>
          <w:tcPr>
            <w:tcW w:w="3062" w:type="dxa"/>
            <w:gridSpan w:val="2"/>
            <w:vAlign w:val="top"/>
          </w:tcPr>
          <w:p w14:paraId="2BF33C3E">
            <w:pPr>
              <w:pStyle w:val="6"/>
              <w:spacing w:before="62" w:line="228" w:lineRule="auto"/>
              <w:ind w:left="176"/>
              <w:rPr>
                <w:sz w:val="20"/>
                <w:szCs w:val="20"/>
              </w:rPr>
            </w:pPr>
            <w:r>
              <w:rPr>
                <w:spacing w:val="9"/>
                <w:sz w:val="20"/>
                <w:szCs w:val="20"/>
              </w:rPr>
              <w:t>项目排放的废气污染物主要为</w:t>
            </w:r>
          </w:p>
          <w:p w14:paraId="126D1B3D">
            <w:pPr>
              <w:pStyle w:val="6"/>
              <w:spacing w:before="23" w:line="227" w:lineRule="auto"/>
              <w:ind w:left="113"/>
              <w:rPr>
                <w:sz w:val="20"/>
                <w:szCs w:val="20"/>
              </w:rPr>
            </w:pPr>
            <w:r>
              <w:rPr>
                <w:spacing w:val="3"/>
                <w:sz w:val="20"/>
                <w:szCs w:val="20"/>
              </w:rPr>
              <w:t>有机废气、氯化氢、氟化氢（以</w:t>
            </w:r>
          </w:p>
          <w:p w14:paraId="14482A87">
            <w:pPr>
              <w:pStyle w:val="6"/>
              <w:spacing w:before="27" w:line="228" w:lineRule="auto"/>
              <w:ind w:left="113"/>
              <w:rPr>
                <w:sz w:val="20"/>
                <w:szCs w:val="20"/>
              </w:rPr>
            </w:pPr>
            <w:r>
              <w:rPr>
                <w:spacing w:val="-11"/>
                <w:sz w:val="20"/>
                <w:szCs w:val="20"/>
              </w:rPr>
              <w:t>氟化物计）、硫酸雾和硝酸雾（以</w:t>
            </w:r>
          </w:p>
          <w:p w14:paraId="37BAE181">
            <w:pPr>
              <w:pStyle w:val="6"/>
              <w:spacing w:before="24" w:line="227" w:lineRule="auto"/>
              <w:ind w:left="111"/>
              <w:rPr>
                <w:sz w:val="20"/>
                <w:szCs w:val="20"/>
              </w:rPr>
            </w:pPr>
            <w:r>
              <w:rPr>
                <w:spacing w:val="3"/>
                <w:sz w:val="20"/>
                <w:szCs w:val="20"/>
              </w:rPr>
              <w:t>氮氧化物计）等，不涉及含有毒</w:t>
            </w:r>
          </w:p>
          <w:p w14:paraId="2600AC72">
            <w:pPr>
              <w:pStyle w:val="6"/>
              <w:spacing w:before="28" w:line="227" w:lineRule="auto"/>
              <w:ind w:left="113"/>
              <w:rPr>
                <w:sz w:val="20"/>
                <w:szCs w:val="20"/>
              </w:rPr>
            </w:pPr>
            <w:r>
              <w:rPr>
                <w:spacing w:val="8"/>
                <w:sz w:val="20"/>
                <w:szCs w:val="20"/>
              </w:rPr>
              <w:t>有害污染物、二噁英、苯并芘、</w:t>
            </w:r>
          </w:p>
          <w:p w14:paraId="23F8B9E4">
            <w:pPr>
              <w:pStyle w:val="6"/>
              <w:spacing w:before="25" w:line="225" w:lineRule="auto"/>
              <w:ind w:left="803"/>
              <w:rPr>
                <w:sz w:val="20"/>
                <w:szCs w:val="20"/>
              </w:rPr>
            </w:pPr>
            <w:r>
              <w:rPr>
                <w:spacing w:val="7"/>
                <w:sz w:val="20"/>
                <w:szCs w:val="20"/>
              </w:rPr>
              <w:t>氰化物、氯气。</w:t>
            </w:r>
          </w:p>
        </w:tc>
        <w:tc>
          <w:tcPr>
            <w:tcW w:w="811" w:type="dxa"/>
            <w:vAlign w:val="top"/>
          </w:tcPr>
          <w:p w14:paraId="52C19662">
            <w:pPr>
              <w:spacing w:line="269" w:lineRule="auto"/>
              <w:rPr>
                <w:rFonts w:ascii="Arial"/>
                <w:sz w:val="21"/>
              </w:rPr>
            </w:pPr>
          </w:p>
          <w:p w14:paraId="4D104A2C">
            <w:pPr>
              <w:spacing w:line="270" w:lineRule="auto"/>
              <w:rPr>
                <w:rFonts w:ascii="Arial"/>
                <w:sz w:val="21"/>
              </w:rPr>
            </w:pPr>
          </w:p>
          <w:p w14:paraId="0EFE6826">
            <w:pPr>
              <w:pStyle w:val="6"/>
              <w:spacing w:before="65" w:line="228" w:lineRule="auto"/>
              <w:ind w:left="208"/>
              <w:rPr>
                <w:sz w:val="20"/>
                <w:szCs w:val="20"/>
              </w:rPr>
            </w:pPr>
            <w:r>
              <w:rPr>
                <w:spacing w:val="3"/>
                <w:sz w:val="20"/>
                <w:szCs w:val="20"/>
              </w:rPr>
              <w:t>无需</w:t>
            </w:r>
          </w:p>
          <w:p w14:paraId="0CE6442B">
            <w:pPr>
              <w:pStyle w:val="6"/>
              <w:spacing w:before="23" w:line="229" w:lineRule="auto"/>
              <w:ind w:left="207"/>
              <w:rPr>
                <w:sz w:val="20"/>
                <w:szCs w:val="20"/>
              </w:rPr>
            </w:pPr>
            <w:r>
              <w:rPr>
                <w:spacing w:val="4"/>
                <w:sz w:val="20"/>
                <w:szCs w:val="20"/>
              </w:rPr>
              <w:t>开展</w:t>
            </w:r>
          </w:p>
        </w:tc>
        <w:tc>
          <w:tcPr>
            <w:tcW w:w="173" w:type="dxa"/>
            <w:vMerge w:val="continue"/>
            <w:tcBorders>
              <w:top w:val="nil"/>
              <w:bottom w:val="nil"/>
              <w:right w:val="single" w:color="000000" w:sz="6" w:space="0"/>
            </w:tcBorders>
            <w:vAlign w:val="top"/>
          </w:tcPr>
          <w:p w14:paraId="5963357D">
            <w:pPr>
              <w:rPr>
                <w:rFonts w:ascii="Arial"/>
                <w:sz w:val="21"/>
              </w:rPr>
            </w:pPr>
          </w:p>
        </w:tc>
      </w:tr>
      <w:tr w14:paraId="03357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48" w:type="dxa"/>
            <w:vMerge w:val="continue"/>
            <w:tcBorders>
              <w:top w:val="nil"/>
              <w:left w:val="single" w:color="000000" w:sz="6" w:space="0"/>
              <w:bottom w:val="single" w:color="000000" w:sz="6" w:space="0"/>
            </w:tcBorders>
            <w:vAlign w:val="top"/>
          </w:tcPr>
          <w:p w14:paraId="1E3C8929">
            <w:pPr>
              <w:rPr>
                <w:rFonts w:ascii="Arial"/>
                <w:sz w:val="21"/>
              </w:rPr>
            </w:pPr>
          </w:p>
        </w:tc>
        <w:tc>
          <w:tcPr>
            <w:tcW w:w="164" w:type="dxa"/>
            <w:tcBorders>
              <w:top w:val="nil"/>
              <w:bottom w:val="single" w:color="000000" w:sz="6" w:space="0"/>
            </w:tcBorders>
            <w:vAlign w:val="top"/>
          </w:tcPr>
          <w:p w14:paraId="2E14E373">
            <w:pPr>
              <w:rPr>
                <w:rFonts w:ascii="Arial"/>
                <w:sz w:val="21"/>
              </w:rPr>
            </w:pPr>
          </w:p>
        </w:tc>
        <w:tc>
          <w:tcPr>
            <w:tcW w:w="980" w:type="dxa"/>
            <w:tcBorders>
              <w:bottom w:val="single" w:color="000000" w:sz="6" w:space="0"/>
            </w:tcBorders>
            <w:vAlign w:val="top"/>
          </w:tcPr>
          <w:p w14:paraId="017B64D3">
            <w:pPr>
              <w:spacing w:line="269" w:lineRule="auto"/>
              <w:rPr>
                <w:rFonts w:ascii="Arial"/>
                <w:sz w:val="21"/>
              </w:rPr>
            </w:pPr>
          </w:p>
          <w:p w14:paraId="72560DB2">
            <w:pPr>
              <w:spacing w:line="269" w:lineRule="auto"/>
              <w:rPr>
                <w:rFonts w:ascii="Arial"/>
                <w:sz w:val="21"/>
              </w:rPr>
            </w:pPr>
          </w:p>
          <w:p w14:paraId="7B547CA3">
            <w:pPr>
              <w:pStyle w:val="6"/>
              <w:spacing w:before="65" w:line="228" w:lineRule="auto"/>
              <w:ind w:left="175"/>
              <w:rPr>
                <w:sz w:val="20"/>
                <w:szCs w:val="20"/>
              </w:rPr>
            </w:pPr>
            <w:r>
              <w:rPr>
                <w:spacing w:val="6"/>
                <w:sz w:val="20"/>
                <w:szCs w:val="20"/>
              </w:rPr>
              <w:t>地表水</w:t>
            </w:r>
          </w:p>
        </w:tc>
        <w:tc>
          <w:tcPr>
            <w:tcW w:w="2836" w:type="dxa"/>
            <w:gridSpan w:val="3"/>
            <w:tcBorders>
              <w:bottom w:val="single" w:color="000000" w:sz="6" w:space="0"/>
            </w:tcBorders>
            <w:vAlign w:val="top"/>
          </w:tcPr>
          <w:p w14:paraId="52F6A87E">
            <w:pPr>
              <w:pStyle w:val="6"/>
              <w:spacing w:before="199" w:line="228" w:lineRule="auto"/>
              <w:ind w:left="163"/>
              <w:rPr>
                <w:sz w:val="20"/>
                <w:szCs w:val="20"/>
              </w:rPr>
            </w:pPr>
            <w:r>
              <w:rPr>
                <w:spacing w:val="9"/>
                <w:sz w:val="20"/>
                <w:szCs w:val="20"/>
              </w:rPr>
              <w:t>新增工业废水直排建设项目</w:t>
            </w:r>
          </w:p>
          <w:p w14:paraId="584849D5">
            <w:pPr>
              <w:pStyle w:val="6"/>
              <w:spacing w:before="24" w:line="221" w:lineRule="auto"/>
              <w:ind w:left="126"/>
              <w:rPr>
                <w:sz w:val="20"/>
                <w:szCs w:val="20"/>
              </w:rPr>
            </w:pPr>
            <w:r>
              <w:rPr>
                <w:rFonts w:ascii="Times New Roman" w:hAnsi="Times New Roman" w:eastAsia="Times New Roman" w:cs="Times New Roman"/>
                <w:spacing w:val="8"/>
                <w:sz w:val="20"/>
                <w:szCs w:val="20"/>
              </w:rPr>
              <w:t>(</w:t>
            </w:r>
            <w:r>
              <w:rPr>
                <w:spacing w:val="8"/>
                <w:sz w:val="20"/>
                <w:szCs w:val="20"/>
              </w:rPr>
              <w:t>槽罐车外送污水处理厂的除</w:t>
            </w:r>
          </w:p>
          <w:p w14:paraId="22D5200D">
            <w:pPr>
              <w:pStyle w:val="6"/>
              <w:spacing w:before="34" w:line="221" w:lineRule="auto"/>
              <w:ind w:left="130"/>
              <w:rPr>
                <w:sz w:val="20"/>
                <w:szCs w:val="20"/>
              </w:rPr>
            </w:pPr>
            <w:r>
              <w:rPr>
                <w:spacing w:val="6"/>
                <w:sz w:val="20"/>
                <w:szCs w:val="20"/>
              </w:rPr>
              <w:t>外</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1"/>
                <w:sz w:val="20"/>
                <w:szCs w:val="20"/>
              </w:rPr>
              <w:t xml:space="preserve"> </w:t>
            </w:r>
            <w:r>
              <w:rPr>
                <w:spacing w:val="6"/>
                <w:sz w:val="20"/>
                <w:szCs w:val="20"/>
              </w:rPr>
              <w:t>，新增废水直排的污水集</w:t>
            </w:r>
          </w:p>
          <w:p w14:paraId="5D103A65">
            <w:pPr>
              <w:pStyle w:val="6"/>
              <w:spacing w:before="32" w:line="228" w:lineRule="auto"/>
              <w:ind w:left="916"/>
              <w:rPr>
                <w:sz w:val="20"/>
                <w:szCs w:val="20"/>
              </w:rPr>
            </w:pPr>
            <w:r>
              <w:rPr>
                <w:spacing w:val="1"/>
                <w:sz w:val="20"/>
                <w:szCs w:val="20"/>
              </w:rPr>
              <w:t>中处理厂。</w:t>
            </w:r>
          </w:p>
        </w:tc>
        <w:tc>
          <w:tcPr>
            <w:tcW w:w="3062" w:type="dxa"/>
            <w:gridSpan w:val="2"/>
            <w:tcBorders>
              <w:bottom w:val="single" w:color="000000" w:sz="6" w:space="0"/>
            </w:tcBorders>
            <w:vAlign w:val="top"/>
          </w:tcPr>
          <w:p w14:paraId="23A24695">
            <w:pPr>
              <w:pStyle w:val="6"/>
              <w:spacing w:before="64" w:line="228" w:lineRule="auto"/>
              <w:ind w:left="157"/>
              <w:rPr>
                <w:sz w:val="20"/>
                <w:szCs w:val="20"/>
              </w:rPr>
            </w:pPr>
            <w:r>
              <w:rPr>
                <w:spacing w:val="-2"/>
                <w:sz w:val="20"/>
                <w:szCs w:val="20"/>
              </w:rPr>
              <w:t>项目配套建设生产废水处理站和</w:t>
            </w:r>
          </w:p>
          <w:p w14:paraId="58D6D061">
            <w:pPr>
              <w:pStyle w:val="6"/>
              <w:spacing w:before="24" w:line="228" w:lineRule="auto"/>
              <w:ind w:left="153"/>
              <w:rPr>
                <w:sz w:val="20"/>
                <w:szCs w:val="20"/>
              </w:rPr>
            </w:pPr>
            <w:r>
              <w:rPr>
                <w:spacing w:val="-2"/>
                <w:sz w:val="20"/>
                <w:szCs w:val="20"/>
              </w:rPr>
              <w:t>排污管道，汇入可塘镇污水处理</w:t>
            </w:r>
          </w:p>
          <w:p w14:paraId="55D30B5F">
            <w:pPr>
              <w:pStyle w:val="6"/>
              <w:spacing w:before="24" w:line="228" w:lineRule="auto"/>
              <w:ind w:left="353"/>
              <w:rPr>
                <w:sz w:val="20"/>
                <w:szCs w:val="20"/>
              </w:rPr>
            </w:pPr>
            <w:r>
              <w:rPr>
                <w:spacing w:val="-2"/>
                <w:sz w:val="20"/>
                <w:szCs w:val="20"/>
              </w:rPr>
              <w:t>厂进行深化处理，不直排。</w:t>
            </w:r>
          </w:p>
          <w:p w14:paraId="2AE9FB1E">
            <w:pPr>
              <w:pStyle w:val="6"/>
              <w:spacing w:before="25" w:line="228" w:lineRule="auto"/>
              <w:ind w:left="155"/>
              <w:rPr>
                <w:sz w:val="20"/>
                <w:szCs w:val="20"/>
              </w:rPr>
            </w:pPr>
            <w:r>
              <w:rPr>
                <w:spacing w:val="-2"/>
                <w:sz w:val="20"/>
                <w:szCs w:val="20"/>
              </w:rPr>
              <w:t>生活污水经预处理后排入污水管</w:t>
            </w:r>
          </w:p>
          <w:p w14:paraId="501709E8">
            <w:pPr>
              <w:pStyle w:val="6"/>
              <w:spacing w:before="25" w:line="228" w:lineRule="auto"/>
              <w:jc w:val="right"/>
              <w:rPr>
                <w:sz w:val="20"/>
                <w:szCs w:val="20"/>
              </w:rPr>
            </w:pPr>
            <w:r>
              <w:rPr>
                <w:spacing w:val="-7"/>
                <w:sz w:val="20"/>
                <w:szCs w:val="20"/>
              </w:rPr>
              <w:t>网，最后汇入可塘镇污水处理厂。</w:t>
            </w:r>
          </w:p>
        </w:tc>
        <w:tc>
          <w:tcPr>
            <w:tcW w:w="811" w:type="dxa"/>
            <w:tcBorders>
              <w:bottom w:val="single" w:color="000000" w:sz="6" w:space="0"/>
            </w:tcBorders>
            <w:vAlign w:val="top"/>
          </w:tcPr>
          <w:p w14:paraId="0D25D7FD">
            <w:pPr>
              <w:spacing w:line="406" w:lineRule="auto"/>
              <w:rPr>
                <w:rFonts w:ascii="Arial"/>
                <w:sz w:val="21"/>
              </w:rPr>
            </w:pPr>
          </w:p>
          <w:p w14:paraId="1CEF07F7">
            <w:pPr>
              <w:pStyle w:val="6"/>
              <w:spacing w:before="65" w:line="228" w:lineRule="auto"/>
              <w:ind w:left="208"/>
              <w:rPr>
                <w:sz w:val="20"/>
                <w:szCs w:val="20"/>
              </w:rPr>
            </w:pPr>
            <w:r>
              <w:rPr>
                <w:spacing w:val="3"/>
                <w:sz w:val="20"/>
                <w:szCs w:val="20"/>
              </w:rPr>
              <w:t>无需</w:t>
            </w:r>
          </w:p>
          <w:p w14:paraId="5F2CB1F9">
            <w:pPr>
              <w:pStyle w:val="6"/>
              <w:spacing w:before="23" w:line="229" w:lineRule="auto"/>
              <w:ind w:left="207"/>
              <w:rPr>
                <w:sz w:val="20"/>
                <w:szCs w:val="20"/>
              </w:rPr>
            </w:pPr>
            <w:r>
              <w:rPr>
                <w:spacing w:val="4"/>
                <w:sz w:val="20"/>
                <w:szCs w:val="20"/>
              </w:rPr>
              <w:t>开展</w:t>
            </w:r>
          </w:p>
        </w:tc>
        <w:tc>
          <w:tcPr>
            <w:tcW w:w="173" w:type="dxa"/>
            <w:vMerge w:val="continue"/>
            <w:tcBorders>
              <w:top w:val="nil"/>
              <w:bottom w:val="single" w:color="000000" w:sz="6" w:space="0"/>
              <w:right w:val="single" w:color="000000" w:sz="6" w:space="0"/>
            </w:tcBorders>
            <w:vAlign w:val="top"/>
          </w:tcPr>
          <w:p w14:paraId="5A0E5D1C">
            <w:pPr>
              <w:rPr>
                <w:rFonts w:ascii="Arial"/>
                <w:sz w:val="21"/>
              </w:rPr>
            </w:pPr>
          </w:p>
        </w:tc>
      </w:tr>
    </w:tbl>
    <w:p w14:paraId="1A96B665">
      <w:pPr>
        <w:rPr>
          <w:rFonts w:ascii="Arial"/>
          <w:sz w:val="21"/>
        </w:rPr>
      </w:pPr>
    </w:p>
    <w:p w14:paraId="4DB0E6C0">
      <w:pPr>
        <w:rPr>
          <w:rFonts w:ascii="Arial" w:hAnsi="Arial" w:eastAsia="Arial" w:cs="Arial"/>
          <w:sz w:val="21"/>
          <w:szCs w:val="21"/>
        </w:rPr>
        <w:sectPr>
          <w:footerReference r:id="rId8" w:type="default"/>
          <w:pgSz w:w="11906" w:h="16839"/>
          <w:pgMar w:top="400" w:right="1508" w:bottom="1240" w:left="1508" w:header="0" w:footer="1078" w:gutter="0"/>
          <w:cols w:space="720" w:num="1"/>
        </w:sectPr>
      </w:pPr>
    </w:p>
    <w:p w14:paraId="28154351">
      <w:pPr>
        <w:spacing w:before="19"/>
      </w:pPr>
    </w:p>
    <w:p w14:paraId="5E7C49F0">
      <w:pPr>
        <w:spacing w:before="19"/>
      </w:pPr>
    </w:p>
    <w:p w14:paraId="2598E094">
      <w:pPr>
        <w:spacing w:before="19"/>
      </w:pPr>
    </w:p>
    <w:p w14:paraId="5409AB44">
      <w:pPr>
        <w:spacing w:before="18"/>
      </w:pPr>
    </w:p>
    <w:p w14:paraId="52E9F160">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9"/>
        <w:gridCol w:w="164"/>
        <w:gridCol w:w="980"/>
        <w:gridCol w:w="162"/>
        <w:gridCol w:w="2673"/>
        <w:gridCol w:w="3062"/>
        <w:gridCol w:w="812"/>
        <w:gridCol w:w="173"/>
      </w:tblGrid>
      <w:tr w14:paraId="48298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4" w:hRule="atLeast"/>
        </w:trPr>
        <w:tc>
          <w:tcPr>
            <w:tcW w:w="848" w:type="dxa"/>
            <w:gridSpan w:val="2"/>
            <w:vMerge w:val="restart"/>
            <w:tcBorders>
              <w:top w:val="single" w:color="000000" w:sz="6" w:space="0"/>
              <w:left w:val="single" w:color="000000" w:sz="6" w:space="0"/>
              <w:bottom w:val="nil"/>
            </w:tcBorders>
            <w:vAlign w:val="top"/>
          </w:tcPr>
          <w:p w14:paraId="3EF7E0D7">
            <w:pPr>
              <w:rPr>
                <w:rFonts w:ascii="Arial"/>
                <w:sz w:val="21"/>
              </w:rPr>
            </w:pPr>
          </w:p>
        </w:tc>
        <w:tc>
          <w:tcPr>
            <w:tcW w:w="164" w:type="dxa"/>
            <w:tcBorders>
              <w:top w:val="single" w:color="000000" w:sz="6" w:space="0"/>
              <w:bottom w:val="nil"/>
            </w:tcBorders>
            <w:vAlign w:val="top"/>
          </w:tcPr>
          <w:p w14:paraId="178B4D73">
            <w:pPr>
              <w:rPr>
                <w:rFonts w:ascii="Arial"/>
                <w:sz w:val="21"/>
              </w:rPr>
            </w:pPr>
          </w:p>
        </w:tc>
        <w:tc>
          <w:tcPr>
            <w:tcW w:w="980" w:type="dxa"/>
            <w:tcBorders>
              <w:top w:val="single" w:color="000000" w:sz="6" w:space="0"/>
            </w:tcBorders>
            <w:vAlign w:val="top"/>
          </w:tcPr>
          <w:p w14:paraId="7396F9A6">
            <w:pPr>
              <w:spacing w:line="333" w:lineRule="auto"/>
              <w:rPr>
                <w:rFonts w:ascii="Arial"/>
                <w:sz w:val="21"/>
              </w:rPr>
            </w:pPr>
          </w:p>
          <w:p w14:paraId="1867999D">
            <w:pPr>
              <w:spacing w:line="334" w:lineRule="auto"/>
              <w:rPr>
                <w:rFonts w:ascii="Arial"/>
                <w:sz w:val="21"/>
              </w:rPr>
            </w:pPr>
          </w:p>
          <w:p w14:paraId="79994020">
            <w:pPr>
              <w:pStyle w:val="6"/>
              <w:spacing w:before="65" w:line="228" w:lineRule="auto"/>
              <w:ind w:left="175"/>
              <w:rPr>
                <w:sz w:val="20"/>
                <w:szCs w:val="20"/>
              </w:rPr>
            </w:pPr>
            <w:r>
              <w:rPr>
                <w:spacing w:val="6"/>
                <w:sz w:val="20"/>
                <w:szCs w:val="20"/>
              </w:rPr>
              <w:t>环境风</w:t>
            </w:r>
          </w:p>
          <w:p w14:paraId="67DF24FF">
            <w:pPr>
              <w:pStyle w:val="6"/>
              <w:spacing w:before="26" w:line="228" w:lineRule="auto"/>
              <w:ind w:left="398"/>
              <w:rPr>
                <w:sz w:val="20"/>
                <w:szCs w:val="20"/>
              </w:rPr>
            </w:pPr>
            <w:r>
              <w:rPr>
                <w:sz w:val="20"/>
                <w:szCs w:val="20"/>
              </w:rPr>
              <w:t>险</w:t>
            </w:r>
          </w:p>
        </w:tc>
        <w:tc>
          <w:tcPr>
            <w:tcW w:w="2835" w:type="dxa"/>
            <w:gridSpan w:val="2"/>
            <w:tcBorders>
              <w:top w:val="single" w:color="000000" w:sz="6" w:space="0"/>
            </w:tcBorders>
            <w:vAlign w:val="top"/>
          </w:tcPr>
          <w:p w14:paraId="227F1419">
            <w:pPr>
              <w:spacing w:line="266" w:lineRule="auto"/>
              <w:rPr>
                <w:rFonts w:ascii="Arial"/>
                <w:sz w:val="21"/>
              </w:rPr>
            </w:pPr>
          </w:p>
          <w:p w14:paraId="3B4AB5C2">
            <w:pPr>
              <w:spacing w:line="267" w:lineRule="auto"/>
              <w:rPr>
                <w:rFonts w:ascii="Arial"/>
                <w:sz w:val="21"/>
              </w:rPr>
            </w:pPr>
          </w:p>
          <w:p w14:paraId="3E9A5171">
            <w:pPr>
              <w:pStyle w:val="6"/>
              <w:spacing w:before="65" w:line="226" w:lineRule="auto"/>
              <w:ind w:left="163"/>
              <w:rPr>
                <w:sz w:val="20"/>
                <w:szCs w:val="20"/>
              </w:rPr>
            </w:pPr>
            <w:r>
              <w:rPr>
                <w:spacing w:val="9"/>
                <w:sz w:val="20"/>
                <w:szCs w:val="20"/>
              </w:rPr>
              <w:t>有毒有害和易燃易爆危险物</w:t>
            </w:r>
          </w:p>
          <w:p w14:paraId="20B65AC7">
            <w:pPr>
              <w:pStyle w:val="6"/>
              <w:spacing w:before="25" w:line="228" w:lineRule="auto"/>
              <w:ind w:left="163"/>
              <w:rPr>
                <w:sz w:val="20"/>
                <w:szCs w:val="20"/>
              </w:rPr>
            </w:pPr>
            <w:r>
              <w:rPr>
                <w:spacing w:val="9"/>
                <w:sz w:val="20"/>
                <w:szCs w:val="20"/>
              </w:rPr>
              <w:t>质存储量超过临界量的建设</w:t>
            </w:r>
          </w:p>
          <w:p w14:paraId="79CF28F7">
            <w:pPr>
              <w:pStyle w:val="6"/>
              <w:spacing w:before="25" w:line="228" w:lineRule="auto"/>
              <w:ind w:left="1109"/>
              <w:rPr>
                <w:sz w:val="20"/>
                <w:szCs w:val="20"/>
              </w:rPr>
            </w:pPr>
            <w:r>
              <w:rPr>
                <w:spacing w:val="2"/>
                <w:sz w:val="20"/>
                <w:szCs w:val="20"/>
              </w:rPr>
              <w:t>项目。</w:t>
            </w:r>
          </w:p>
        </w:tc>
        <w:tc>
          <w:tcPr>
            <w:tcW w:w="3062" w:type="dxa"/>
            <w:tcBorders>
              <w:top w:val="single" w:color="000000" w:sz="6" w:space="0"/>
            </w:tcBorders>
            <w:vAlign w:val="top"/>
          </w:tcPr>
          <w:p w14:paraId="4C654F74">
            <w:pPr>
              <w:pStyle w:val="6"/>
              <w:spacing w:before="55" w:line="249" w:lineRule="auto"/>
              <w:ind w:left="113" w:right="24"/>
              <w:jc w:val="both"/>
              <w:rPr>
                <w:sz w:val="20"/>
                <w:szCs w:val="20"/>
              </w:rPr>
            </w:pPr>
            <w:r>
              <w:rPr>
                <w:spacing w:val="3"/>
                <w:sz w:val="20"/>
                <w:szCs w:val="20"/>
              </w:rPr>
              <w:t>本项目使用的有毒有害和易燃易</w:t>
            </w:r>
            <w:r>
              <w:rPr>
                <w:spacing w:val="9"/>
                <w:sz w:val="20"/>
                <w:szCs w:val="20"/>
              </w:rPr>
              <w:t xml:space="preserve"> </w:t>
            </w:r>
            <w:r>
              <w:rPr>
                <w:spacing w:val="-6"/>
                <w:sz w:val="20"/>
                <w:szCs w:val="20"/>
              </w:rPr>
              <w:t>爆危险物质主要有盐酸、氢氟酸、</w:t>
            </w:r>
            <w:r>
              <w:rPr>
                <w:spacing w:val="7"/>
                <w:sz w:val="20"/>
                <w:szCs w:val="20"/>
              </w:rPr>
              <w:t xml:space="preserve"> </w:t>
            </w:r>
            <w:r>
              <w:rPr>
                <w:spacing w:val="3"/>
                <w:sz w:val="20"/>
                <w:szCs w:val="20"/>
              </w:rPr>
              <w:t>片碱等，其存储量超过了《建设</w:t>
            </w:r>
            <w:r>
              <w:rPr>
                <w:spacing w:val="9"/>
                <w:sz w:val="20"/>
                <w:szCs w:val="20"/>
              </w:rPr>
              <w:t xml:space="preserve"> </w:t>
            </w:r>
            <w:r>
              <w:rPr>
                <w:spacing w:val="18"/>
                <w:sz w:val="20"/>
                <w:szCs w:val="20"/>
              </w:rPr>
              <w:t>项目环境风险评价技术导则》</w:t>
            </w:r>
            <w:r>
              <w:rPr>
                <w:spacing w:val="5"/>
                <w:sz w:val="20"/>
                <w:szCs w:val="20"/>
              </w:rPr>
              <w:t xml:space="preserve"> </w:t>
            </w:r>
            <w:r>
              <w:rPr>
                <w:spacing w:val="3"/>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3"/>
                <w:sz w:val="20"/>
                <w:szCs w:val="20"/>
              </w:rPr>
              <w:t>169</w:t>
            </w:r>
            <w:r>
              <w:rPr>
                <w:spacing w:val="3"/>
                <w:sz w:val="20"/>
                <w:szCs w:val="20"/>
              </w:rPr>
              <w:t>）附录</w:t>
            </w:r>
            <w:r>
              <w:rPr>
                <w:spacing w:val="-38"/>
                <w:sz w:val="20"/>
                <w:szCs w:val="20"/>
              </w:rPr>
              <w:t xml:space="preserve"> </w:t>
            </w:r>
            <w:r>
              <w:rPr>
                <w:rFonts w:ascii="Times New Roman" w:hAnsi="Times New Roman" w:eastAsia="Times New Roman" w:cs="Times New Roman"/>
                <w:spacing w:val="3"/>
                <w:sz w:val="20"/>
                <w:szCs w:val="20"/>
              </w:rPr>
              <w:t>B“</w:t>
            </w:r>
            <w:r>
              <w:rPr>
                <w:spacing w:val="3"/>
                <w:sz w:val="20"/>
                <w:szCs w:val="20"/>
              </w:rPr>
              <w:t>重点关注的危</w:t>
            </w:r>
            <w:r>
              <w:rPr>
                <w:sz w:val="20"/>
                <w:szCs w:val="20"/>
              </w:rPr>
              <w:t xml:space="preserve"> </w:t>
            </w:r>
            <w:r>
              <w:rPr>
                <w:spacing w:val="-3"/>
                <w:sz w:val="20"/>
                <w:szCs w:val="20"/>
              </w:rPr>
              <w:t>险物质及临界量</w:t>
            </w:r>
            <w:r>
              <w:rPr>
                <w:rFonts w:ascii="Times New Roman" w:hAnsi="Times New Roman" w:eastAsia="Times New Roman" w:cs="Times New Roman"/>
                <w:spacing w:val="-3"/>
                <w:sz w:val="20"/>
                <w:szCs w:val="20"/>
              </w:rPr>
              <w:t>”</w:t>
            </w:r>
            <w:r>
              <w:rPr>
                <w:spacing w:val="-3"/>
                <w:sz w:val="20"/>
                <w:szCs w:val="20"/>
              </w:rPr>
              <w:t>，经核算项目危</w:t>
            </w:r>
            <w:r>
              <w:rPr>
                <w:spacing w:val="8"/>
                <w:sz w:val="20"/>
                <w:szCs w:val="20"/>
              </w:rPr>
              <w:t xml:space="preserve"> </w:t>
            </w:r>
            <w:r>
              <w:rPr>
                <w:spacing w:val="-6"/>
                <w:sz w:val="20"/>
                <w:szCs w:val="20"/>
              </w:rPr>
              <w:t>险物质数量与临界量比值大于</w:t>
            </w:r>
            <w:r>
              <w:rPr>
                <w:spacing w:val="-24"/>
                <w:sz w:val="20"/>
                <w:szCs w:val="20"/>
              </w:rPr>
              <w:t xml:space="preserve"> </w:t>
            </w:r>
            <w:r>
              <w:rPr>
                <w:rFonts w:ascii="Times New Roman" w:hAnsi="Times New Roman" w:eastAsia="Times New Roman" w:cs="Times New Roman"/>
                <w:spacing w:val="-6"/>
                <w:sz w:val="20"/>
                <w:szCs w:val="20"/>
              </w:rPr>
              <w:t>1</w:t>
            </w:r>
            <w:r>
              <w:rPr>
                <w:spacing w:val="-6"/>
                <w:sz w:val="20"/>
                <w:szCs w:val="20"/>
              </w:rPr>
              <w:t>。</w:t>
            </w:r>
          </w:p>
        </w:tc>
        <w:tc>
          <w:tcPr>
            <w:tcW w:w="812" w:type="dxa"/>
            <w:tcBorders>
              <w:top w:val="single" w:color="000000" w:sz="6" w:space="0"/>
            </w:tcBorders>
            <w:vAlign w:val="top"/>
          </w:tcPr>
          <w:p w14:paraId="0FE6700B">
            <w:pPr>
              <w:spacing w:line="267" w:lineRule="auto"/>
              <w:rPr>
                <w:rFonts w:ascii="Arial"/>
                <w:sz w:val="21"/>
              </w:rPr>
            </w:pPr>
          </w:p>
          <w:p w14:paraId="70651E66">
            <w:pPr>
              <w:spacing w:line="267" w:lineRule="auto"/>
              <w:rPr>
                <w:rFonts w:ascii="Arial"/>
                <w:sz w:val="21"/>
              </w:rPr>
            </w:pPr>
          </w:p>
          <w:p w14:paraId="40A99BF0">
            <w:pPr>
              <w:spacing w:line="268" w:lineRule="auto"/>
              <w:rPr>
                <w:rFonts w:ascii="Arial"/>
                <w:sz w:val="21"/>
              </w:rPr>
            </w:pPr>
          </w:p>
          <w:p w14:paraId="7769C796">
            <w:pPr>
              <w:pStyle w:val="6"/>
              <w:spacing w:before="65" w:line="229" w:lineRule="auto"/>
              <w:ind w:left="208"/>
              <w:rPr>
                <w:sz w:val="20"/>
                <w:szCs w:val="20"/>
              </w:rPr>
            </w:pPr>
            <w:r>
              <w:rPr>
                <w:spacing w:val="4"/>
                <w:sz w:val="20"/>
                <w:szCs w:val="20"/>
              </w:rPr>
              <w:t>开展</w:t>
            </w:r>
          </w:p>
        </w:tc>
        <w:tc>
          <w:tcPr>
            <w:tcW w:w="173" w:type="dxa"/>
            <w:vMerge w:val="restart"/>
            <w:tcBorders>
              <w:top w:val="single" w:color="000000" w:sz="6" w:space="0"/>
              <w:bottom w:val="nil"/>
              <w:right w:val="single" w:color="000000" w:sz="6" w:space="0"/>
            </w:tcBorders>
            <w:vAlign w:val="top"/>
          </w:tcPr>
          <w:p w14:paraId="23836D30">
            <w:pPr>
              <w:rPr>
                <w:rFonts w:ascii="Arial"/>
                <w:sz w:val="21"/>
              </w:rPr>
            </w:pPr>
          </w:p>
        </w:tc>
      </w:tr>
      <w:tr w14:paraId="6F3A0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848" w:type="dxa"/>
            <w:gridSpan w:val="2"/>
            <w:vMerge w:val="continue"/>
            <w:tcBorders>
              <w:top w:val="nil"/>
              <w:left w:val="single" w:color="000000" w:sz="6" w:space="0"/>
              <w:bottom w:val="nil"/>
            </w:tcBorders>
            <w:vAlign w:val="top"/>
          </w:tcPr>
          <w:p w14:paraId="476F43C3">
            <w:pPr>
              <w:rPr>
                <w:rFonts w:ascii="Arial"/>
                <w:sz w:val="21"/>
              </w:rPr>
            </w:pPr>
          </w:p>
        </w:tc>
        <w:tc>
          <w:tcPr>
            <w:tcW w:w="164" w:type="dxa"/>
            <w:tcBorders>
              <w:top w:val="nil"/>
              <w:bottom w:val="nil"/>
            </w:tcBorders>
            <w:vAlign w:val="top"/>
          </w:tcPr>
          <w:p w14:paraId="548FB6D2">
            <w:pPr>
              <w:rPr>
                <w:rFonts w:ascii="Arial"/>
                <w:sz w:val="21"/>
              </w:rPr>
            </w:pPr>
          </w:p>
        </w:tc>
        <w:tc>
          <w:tcPr>
            <w:tcW w:w="980" w:type="dxa"/>
            <w:vAlign w:val="top"/>
          </w:tcPr>
          <w:p w14:paraId="5827967B">
            <w:pPr>
              <w:spacing w:line="264" w:lineRule="auto"/>
              <w:rPr>
                <w:rFonts w:ascii="Arial"/>
                <w:sz w:val="21"/>
              </w:rPr>
            </w:pPr>
          </w:p>
          <w:p w14:paraId="094CCF16">
            <w:pPr>
              <w:spacing w:line="265" w:lineRule="auto"/>
              <w:rPr>
                <w:rFonts w:ascii="Arial"/>
                <w:sz w:val="21"/>
              </w:rPr>
            </w:pPr>
          </w:p>
          <w:p w14:paraId="6E7D8379">
            <w:pPr>
              <w:pStyle w:val="6"/>
              <w:spacing w:before="65" w:line="233" w:lineRule="auto"/>
              <w:ind w:left="282"/>
              <w:rPr>
                <w:sz w:val="20"/>
                <w:szCs w:val="20"/>
              </w:rPr>
            </w:pPr>
            <w:r>
              <w:rPr>
                <w:spacing w:val="3"/>
                <w:sz w:val="20"/>
                <w:szCs w:val="20"/>
              </w:rPr>
              <w:t>生态</w:t>
            </w:r>
          </w:p>
        </w:tc>
        <w:tc>
          <w:tcPr>
            <w:tcW w:w="2835" w:type="dxa"/>
            <w:gridSpan w:val="2"/>
            <w:vAlign w:val="top"/>
          </w:tcPr>
          <w:p w14:paraId="27983F73">
            <w:pPr>
              <w:pStyle w:val="6"/>
              <w:spacing w:before="53" w:line="228" w:lineRule="auto"/>
              <w:ind w:left="165"/>
              <w:rPr>
                <w:sz w:val="20"/>
                <w:szCs w:val="20"/>
              </w:rPr>
            </w:pPr>
            <w:r>
              <w:rPr>
                <w:spacing w:val="6"/>
                <w:sz w:val="20"/>
                <w:szCs w:val="20"/>
              </w:rPr>
              <w:t>取水口下游</w:t>
            </w:r>
            <w:r>
              <w:rPr>
                <w:spacing w:val="-28"/>
                <w:sz w:val="20"/>
                <w:szCs w:val="20"/>
              </w:rPr>
              <w:t xml:space="preserve"> </w:t>
            </w:r>
            <w:r>
              <w:rPr>
                <w:rFonts w:ascii="Times New Roman" w:hAnsi="Times New Roman" w:eastAsia="Times New Roman" w:cs="Times New Roman"/>
                <w:spacing w:val="6"/>
                <w:sz w:val="20"/>
                <w:szCs w:val="20"/>
              </w:rPr>
              <w:t xml:space="preserve">500 </w:t>
            </w:r>
            <w:r>
              <w:rPr>
                <w:spacing w:val="6"/>
                <w:sz w:val="20"/>
                <w:szCs w:val="20"/>
              </w:rPr>
              <w:t>米范围内有</w:t>
            </w:r>
          </w:p>
          <w:p w14:paraId="64736E68">
            <w:pPr>
              <w:pStyle w:val="6"/>
              <w:spacing w:before="24" w:line="228" w:lineRule="auto"/>
              <w:ind w:left="266"/>
              <w:rPr>
                <w:sz w:val="20"/>
                <w:szCs w:val="20"/>
              </w:rPr>
            </w:pPr>
            <w:r>
              <w:rPr>
                <w:spacing w:val="9"/>
                <w:sz w:val="20"/>
                <w:szCs w:val="20"/>
              </w:rPr>
              <w:t>重要水生生物的自然产卵</w:t>
            </w:r>
          </w:p>
          <w:p w14:paraId="4AA83ABC">
            <w:pPr>
              <w:pStyle w:val="6"/>
              <w:spacing w:before="27" w:line="228" w:lineRule="auto"/>
              <w:ind w:left="161"/>
              <w:rPr>
                <w:sz w:val="20"/>
                <w:szCs w:val="20"/>
              </w:rPr>
            </w:pPr>
            <w:r>
              <w:rPr>
                <w:spacing w:val="9"/>
                <w:sz w:val="20"/>
                <w:szCs w:val="20"/>
              </w:rPr>
              <w:t>场、索饵场、越冬场和洄游</w:t>
            </w:r>
          </w:p>
          <w:p w14:paraId="5B47743D">
            <w:pPr>
              <w:pStyle w:val="6"/>
              <w:spacing w:before="23" w:line="228" w:lineRule="auto"/>
              <w:ind w:left="162"/>
              <w:rPr>
                <w:sz w:val="20"/>
                <w:szCs w:val="20"/>
              </w:rPr>
            </w:pPr>
            <w:r>
              <w:rPr>
                <w:spacing w:val="9"/>
                <w:sz w:val="20"/>
                <w:szCs w:val="20"/>
              </w:rPr>
              <w:t>通道的新增河道取水的污染</w:t>
            </w:r>
          </w:p>
          <w:p w14:paraId="7BA56E82">
            <w:pPr>
              <w:pStyle w:val="6"/>
              <w:spacing w:before="26" w:line="228" w:lineRule="auto"/>
              <w:ind w:left="791"/>
              <w:rPr>
                <w:sz w:val="20"/>
                <w:szCs w:val="20"/>
              </w:rPr>
            </w:pPr>
            <w:r>
              <w:rPr>
                <w:spacing w:val="6"/>
                <w:sz w:val="20"/>
                <w:szCs w:val="20"/>
              </w:rPr>
              <w:t>类建设项目。</w:t>
            </w:r>
          </w:p>
        </w:tc>
        <w:tc>
          <w:tcPr>
            <w:tcW w:w="3062" w:type="dxa"/>
            <w:vAlign w:val="top"/>
          </w:tcPr>
          <w:p w14:paraId="5102A9B7">
            <w:pPr>
              <w:spacing w:line="394" w:lineRule="auto"/>
              <w:rPr>
                <w:rFonts w:ascii="Arial"/>
                <w:sz w:val="21"/>
              </w:rPr>
            </w:pPr>
          </w:p>
          <w:p w14:paraId="2DD2E52D">
            <w:pPr>
              <w:pStyle w:val="6"/>
              <w:spacing w:before="65" w:line="227" w:lineRule="auto"/>
              <w:ind w:left="117"/>
              <w:rPr>
                <w:sz w:val="20"/>
                <w:szCs w:val="20"/>
              </w:rPr>
            </w:pPr>
            <w:r>
              <w:rPr>
                <w:spacing w:val="2"/>
                <w:sz w:val="20"/>
                <w:szCs w:val="20"/>
              </w:rPr>
              <w:t>项目由市政给水管网供水，不自</w:t>
            </w:r>
          </w:p>
          <w:p w14:paraId="0DD3EAF0">
            <w:pPr>
              <w:pStyle w:val="6"/>
              <w:spacing w:before="25" w:line="228" w:lineRule="auto"/>
              <w:ind w:left="808"/>
              <w:rPr>
                <w:sz w:val="20"/>
                <w:szCs w:val="20"/>
              </w:rPr>
            </w:pPr>
            <w:r>
              <w:rPr>
                <w:spacing w:val="6"/>
                <w:sz w:val="20"/>
                <w:szCs w:val="20"/>
              </w:rPr>
              <w:t>行设置取水口。</w:t>
            </w:r>
          </w:p>
        </w:tc>
        <w:tc>
          <w:tcPr>
            <w:tcW w:w="812" w:type="dxa"/>
            <w:vAlign w:val="top"/>
          </w:tcPr>
          <w:p w14:paraId="4F3EAEC8">
            <w:pPr>
              <w:spacing w:line="394" w:lineRule="auto"/>
              <w:rPr>
                <w:rFonts w:ascii="Arial"/>
                <w:sz w:val="21"/>
              </w:rPr>
            </w:pPr>
          </w:p>
          <w:p w14:paraId="52FDEA07">
            <w:pPr>
              <w:pStyle w:val="6"/>
              <w:spacing w:before="65" w:line="228" w:lineRule="auto"/>
              <w:ind w:left="209"/>
              <w:rPr>
                <w:sz w:val="20"/>
                <w:szCs w:val="20"/>
              </w:rPr>
            </w:pPr>
            <w:r>
              <w:rPr>
                <w:spacing w:val="3"/>
                <w:sz w:val="20"/>
                <w:szCs w:val="20"/>
              </w:rPr>
              <w:t>无需</w:t>
            </w:r>
          </w:p>
          <w:p w14:paraId="236536AF">
            <w:pPr>
              <w:pStyle w:val="6"/>
              <w:spacing w:before="23" w:line="229" w:lineRule="auto"/>
              <w:ind w:left="208"/>
              <w:rPr>
                <w:sz w:val="20"/>
                <w:szCs w:val="20"/>
              </w:rPr>
            </w:pPr>
            <w:r>
              <w:rPr>
                <w:spacing w:val="4"/>
                <w:sz w:val="20"/>
                <w:szCs w:val="20"/>
              </w:rPr>
              <w:t>开展</w:t>
            </w:r>
          </w:p>
        </w:tc>
        <w:tc>
          <w:tcPr>
            <w:tcW w:w="173" w:type="dxa"/>
            <w:vMerge w:val="continue"/>
            <w:tcBorders>
              <w:top w:val="nil"/>
              <w:bottom w:val="nil"/>
              <w:right w:val="single" w:color="000000" w:sz="6" w:space="0"/>
            </w:tcBorders>
            <w:vAlign w:val="top"/>
          </w:tcPr>
          <w:p w14:paraId="66087998">
            <w:pPr>
              <w:rPr>
                <w:rFonts w:ascii="Arial"/>
                <w:sz w:val="21"/>
              </w:rPr>
            </w:pPr>
          </w:p>
        </w:tc>
      </w:tr>
      <w:tr w14:paraId="4AE0E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48" w:type="dxa"/>
            <w:gridSpan w:val="2"/>
            <w:vMerge w:val="continue"/>
            <w:tcBorders>
              <w:top w:val="nil"/>
              <w:left w:val="single" w:color="000000" w:sz="6" w:space="0"/>
              <w:bottom w:val="nil"/>
            </w:tcBorders>
            <w:vAlign w:val="top"/>
          </w:tcPr>
          <w:p w14:paraId="02FCBF23">
            <w:pPr>
              <w:rPr>
                <w:rFonts w:ascii="Arial"/>
                <w:sz w:val="21"/>
              </w:rPr>
            </w:pPr>
          </w:p>
        </w:tc>
        <w:tc>
          <w:tcPr>
            <w:tcW w:w="164" w:type="dxa"/>
            <w:tcBorders>
              <w:top w:val="nil"/>
              <w:bottom w:val="nil"/>
            </w:tcBorders>
            <w:vAlign w:val="top"/>
          </w:tcPr>
          <w:p w14:paraId="26917564">
            <w:pPr>
              <w:rPr>
                <w:rFonts w:ascii="Arial"/>
                <w:sz w:val="21"/>
              </w:rPr>
            </w:pPr>
          </w:p>
        </w:tc>
        <w:tc>
          <w:tcPr>
            <w:tcW w:w="980" w:type="dxa"/>
            <w:vAlign w:val="top"/>
          </w:tcPr>
          <w:p w14:paraId="2421880B">
            <w:pPr>
              <w:pStyle w:val="6"/>
              <w:spacing w:before="189" w:line="228" w:lineRule="auto"/>
              <w:ind w:left="280"/>
              <w:rPr>
                <w:sz w:val="20"/>
                <w:szCs w:val="20"/>
              </w:rPr>
            </w:pPr>
            <w:r>
              <w:rPr>
                <w:spacing w:val="5"/>
                <w:sz w:val="20"/>
                <w:szCs w:val="20"/>
              </w:rPr>
              <w:t>海洋</w:t>
            </w:r>
          </w:p>
        </w:tc>
        <w:tc>
          <w:tcPr>
            <w:tcW w:w="2835" w:type="dxa"/>
            <w:gridSpan w:val="2"/>
            <w:vAlign w:val="top"/>
          </w:tcPr>
          <w:p w14:paraId="4B6DE276">
            <w:pPr>
              <w:pStyle w:val="6"/>
              <w:spacing w:before="55" w:line="228" w:lineRule="auto"/>
              <w:ind w:left="164"/>
              <w:rPr>
                <w:sz w:val="20"/>
                <w:szCs w:val="20"/>
              </w:rPr>
            </w:pPr>
            <w:r>
              <w:rPr>
                <w:spacing w:val="8"/>
                <w:sz w:val="20"/>
                <w:szCs w:val="20"/>
              </w:rPr>
              <w:t>直接向海排放污染物的海洋</w:t>
            </w:r>
          </w:p>
          <w:p w14:paraId="3F24E1D6">
            <w:pPr>
              <w:pStyle w:val="6"/>
              <w:spacing w:before="26" w:line="228" w:lineRule="auto"/>
              <w:ind w:left="688"/>
              <w:rPr>
                <w:sz w:val="20"/>
                <w:szCs w:val="20"/>
              </w:rPr>
            </w:pPr>
            <w:r>
              <w:rPr>
                <w:spacing w:val="6"/>
                <w:sz w:val="20"/>
                <w:szCs w:val="20"/>
              </w:rPr>
              <w:t>工程建设项目。</w:t>
            </w:r>
          </w:p>
        </w:tc>
        <w:tc>
          <w:tcPr>
            <w:tcW w:w="3062" w:type="dxa"/>
            <w:vAlign w:val="top"/>
          </w:tcPr>
          <w:p w14:paraId="6EA18657">
            <w:pPr>
              <w:pStyle w:val="6"/>
              <w:spacing w:before="54" w:line="227" w:lineRule="auto"/>
              <w:ind w:left="174"/>
              <w:rPr>
                <w:sz w:val="20"/>
                <w:szCs w:val="20"/>
              </w:rPr>
            </w:pPr>
            <w:r>
              <w:rPr>
                <w:spacing w:val="9"/>
                <w:sz w:val="20"/>
                <w:szCs w:val="20"/>
              </w:rPr>
              <w:t>本项目不属于海洋工程建设项</w:t>
            </w:r>
          </w:p>
          <w:p w14:paraId="20B36FB5">
            <w:pPr>
              <w:pStyle w:val="6"/>
              <w:spacing w:before="27" w:line="231" w:lineRule="auto"/>
              <w:ind w:left="1370"/>
              <w:rPr>
                <w:sz w:val="20"/>
                <w:szCs w:val="20"/>
              </w:rPr>
            </w:pPr>
            <w:r>
              <w:rPr>
                <w:spacing w:val="-20"/>
                <w:sz w:val="20"/>
                <w:szCs w:val="20"/>
              </w:rPr>
              <w:t>目。</w:t>
            </w:r>
          </w:p>
        </w:tc>
        <w:tc>
          <w:tcPr>
            <w:tcW w:w="812" w:type="dxa"/>
            <w:vAlign w:val="top"/>
          </w:tcPr>
          <w:p w14:paraId="60DEF36D">
            <w:pPr>
              <w:pStyle w:val="6"/>
              <w:spacing w:before="55" w:line="228" w:lineRule="auto"/>
              <w:ind w:left="209"/>
              <w:rPr>
                <w:sz w:val="20"/>
                <w:szCs w:val="20"/>
              </w:rPr>
            </w:pPr>
            <w:r>
              <w:rPr>
                <w:spacing w:val="3"/>
                <w:sz w:val="20"/>
                <w:szCs w:val="20"/>
              </w:rPr>
              <w:t>无需</w:t>
            </w:r>
          </w:p>
          <w:p w14:paraId="6D070E56">
            <w:pPr>
              <w:pStyle w:val="6"/>
              <w:spacing w:before="26" w:line="229" w:lineRule="auto"/>
              <w:ind w:left="208"/>
              <w:rPr>
                <w:sz w:val="20"/>
                <w:szCs w:val="20"/>
              </w:rPr>
            </w:pPr>
            <w:r>
              <w:rPr>
                <w:spacing w:val="4"/>
                <w:sz w:val="20"/>
                <w:szCs w:val="20"/>
              </w:rPr>
              <w:t>开展</w:t>
            </w:r>
          </w:p>
        </w:tc>
        <w:tc>
          <w:tcPr>
            <w:tcW w:w="173" w:type="dxa"/>
            <w:vMerge w:val="continue"/>
            <w:tcBorders>
              <w:top w:val="nil"/>
              <w:bottom w:val="nil"/>
              <w:right w:val="single" w:color="000000" w:sz="6" w:space="0"/>
            </w:tcBorders>
            <w:vAlign w:val="top"/>
          </w:tcPr>
          <w:p w14:paraId="2587729D">
            <w:pPr>
              <w:rPr>
                <w:rFonts w:ascii="Arial"/>
                <w:sz w:val="21"/>
              </w:rPr>
            </w:pPr>
          </w:p>
        </w:tc>
      </w:tr>
      <w:tr w14:paraId="6C70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848" w:type="dxa"/>
            <w:gridSpan w:val="2"/>
            <w:vMerge w:val="continue"/>
            <w:tcBorders>
              <w:top w:val="nil"/>
              <w:left w:val="single" w:color="000000" w:sz="6" w:space="0"/>
            </w:tcBorders>
            <w:vAlign w:val="top"/>
          </w:tcPr>
          <w:p w14:paraId="557776FD">
            <w:pPr>
              <w:rPr>
                <w:rFonts w:ascii="Arial"/>
                <w:sz w:val="21"/>
              </w:rPr>
            </w:pPr>
          </w:p>
        </w:tc>
        <w:tc>
          <w:tcPr>
            <w:tcW w:w="8026" w:type="dxa"/>
            <w:gridSpan w:val="7"/>
            <w:tcBorders>
              <w:right w:val="single" w:color="000000" w:sz="6" w:space="0"/>
            </w:tcBorders>
            <w:vAlign w:val="top"/>
          </w:tcPr>
          <w:p w14:paraId="3C47708F">
            <w:pPr>
              <w:pStyle w:val="6"/>
              <w:spacing w:before="33" w:line="253" w:lineRule="auto"/>
              <w:ind w:left="106" w:right="103" w:firstLine="426"/>
              <w:jc w:val="both"/>
              <w:rPr>
                <w:sz w:val="20"/>
                <w:szCs w:val="20"/>
              </w:rPr>
            </w:pPr>
            <w:r>
              <w:rPr>
                <w:rFonts w:ascii="Times New Roman" w:hAnsi="Times New Roman" w:eastAsia="Times New Roman" w:cs="Times New Roman"/>
                <w:spacing w:val="7"/>
                <w:sz w:val="20"/>
                <w:szCs w:val="20"/>
              </w:rPr>
              <w:t>*</w:t>
            </w:r>
            <w:r>
              <w:rPr>
                <w:spacing w:val="7"/>
                <w:sz w:val="20"/>
                <w:szCs w:val="20"/>
              </w:rPr>
              <w:t>《有毒有害大气污染物名录（</w:t>
            </w:r>
            <w:r>
              <w:rPr>
                <w:rFonts w:ascii="Times New Roman" w:hAnsi="Times New Roman" w:eastAsia="Times New Roman" w:cs="Times New Roman"/>
                <w:spacing w:val="7"/>
                <w:sz w:val="20"/>
                <w:szCs w:val="20"/>
              </w:rPr>
              <w:t>2018</w:t>
            </w:r>
            <w:r>
              <w:rPr>
                <w:spacing w:val="7"/>
                <w:sz w:val="20"/>
                <w:szCs w:val="20"/>
              </w:rPr>
              <w:t>年）》共包括</w:t>
            </w:r>
            <w:r>
              <w:rPr>
                <w:rFonts w:ascii="Times New Roman" w:hAnsi="Times New Roman" w:eastAsia="Times New Roman" w:cs="Times New Roman"/>
                <w:spacing w:val="7"/>
                <w:sz w:val="20"/>
                <w:szCs w:val="20"/>
              </w:rPr>
              <w:t>11</w:t>
            </w:r>
            <w:r>
              <w:rPr>
                <w:spacing w:val="7"/>
                <w:sz w:val="20"/>
                <w:szCs w:val="20"/>
              </w:rPr>
              <w:t>种（类）污染物，分别是：二</w:t>
            </w:r>
            <w:r>
              <w:rPr>
                <w:spacing w:val="3"/>
                <w:sz w:val="20"/>
                <w:szCs w:val="20"/>
              </w:rPr>
              <w:t xml:space="preserve"> </w:t>
            </w:r>
            <w:r>
              <w:rPr>
                <w:spacing w:val="10"/>
                <w:sz w:val="20"/>
                <w:szCs w:val="20"/>
              </w:rPr>
              <w:t>氯甲烷、</w:t>
            </w:r>
            <w:r>
              <w:rPr>
                <w:spacing w:val="-57"/>
                <w:sz w:val="20"/>
                <w:szCs w:val="20"/>
              </w:rPr>
              <w:t xml:space="preserve"> </w:t>
            </w:r>
            <w:r>
              <w:rPr>
                <w:spacing w:val="10"/>
                <w:sz w:val="20"/>
                <w:szCs w:val="20"/>
              </w:rPr>
              <w:t>甲醛、三氯甲烷、三氯乙烯、四氯乙烯、乙醛、镉及其化</w:t>
            </w:r>
            <w:r>
              <w:rPr>
                <w:spacing w:val="9"/>
                <w:sz w:val="20"/>
                <w:szCs w:val="20"/>
              </w:rPr>
              <w:t>合物、铬及其化合</w:t>
            </w:r>
            <w:r>
              <w:rPr>
                <w:sz w:val="20"/>
                <w:szCs w:val="20"/>
              </w:rPr>
              <w:t xml:space="preserve"> </w:t>
            </w:r>
            <w:r>
              <w:rPr>
                <w:spacing w:val="9"/>
                <w:sz w:val="20"/>
                <w:szCs w:val="20"/>
              </w:rPr>
              <w:t>物、汞及其化合物、铅及其化合物、砷及其化合物。</w:t>
            </w:r>
          </w:p>
        </w:tc>
      </w:tr>
      <w:tr w14:paraId="5CF89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154" w:type="dxa"/>
            <w:gridSpan w:val="5"/>
            <w:tcBorders>
              <w:left w:val="single" w:color="000000" w:sz="6" w:space="0"/>
            </w:tcBorders>
            <w:vAlign w:val="top"/>
          </w:tcPr>
          <w:p w14:paraId="7B78F345">
            <w:pPr>
              <w:pStyle w:val="6"/>
              <w:spacing w:before="204" w:line="220" w:lineRule="auto"/>
              <w:ind w:left="598"/>
            </w:pPr>
            <w:r>
              <w:rPr>
                <w:spacing w:val="-3"/>
              </w:rPr>
              <w:t>规划情况</w:t>
            </w:r>
          </w:p>
        </w:tc>
        <w:tc>
          <w:tcPr>
            <w:tcW w:w="6720" w:type="dxa"/>
            <w:gridSpan w:val="4"/>
            <w:tcBorders>
              <w:right w:val="single" w:color="000000" w:sz="6" w:space="0"/>
            </w:tcBorders>
            <w:vAlign w:val="top"/>
          </w:tcPr>
          <w:p w14:paraId="66AE5A75">
            <w:pPr>
              <w:pStyle w:val="6"/>
              <w:spacing w:before="204" w:line="220" w:lineRule="auto"/>
              <w:ind w:left="3246"/>
            </w:pPr>
            <w:r>
              <w:t>无</w:t>
            </w:r>
          </w:p>
        </w:tc>
      </w:tr>
      <w:tr w14:paraId="68AC1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2154" w:type="dxa"/>
            <w:gridSpan w:val="5"/>
            <w:tcBorders>
              <w:left w:val="single" w:color="000000" w:sz="6" w:space="0"/>
            </w:tcBorders>
            <w:vAlign w:val="top"/>
          </w:tcPr>
          <w:p w14:paraId="7C316D6F">
            <w:pPr>
              <w:pStyle w:val="6"/>
              <w:spacing w:before="84" w:line="238" w:lineRule="auto"/>
              <w:ind w:left="596" w:right="355" w:hanging="238"/>
            </w:pPr>
            <w:r>
              <w:rPr>
                <w:spacing w:val="-2"/>
              </w:rPr>
              <w:t>规划环境影响</w:t>
            </w:r>
            <w:r>
              <w:t xml:space="preserve"> </w:t>
            </w:r>
            <w:r>
              <w:rPr>
                <w:spacing w:val="-3"/>
              </w:rPr>
              <w:t>评价情况</w:t>
            </w:r>
          </w:p>
        </w:tc>
        <w:tc>
          <w:tcPr>
            <w:tcW w:w="6720" w:type="dxa"/>
            <w:gridSpan w:val="4"/>
            <w:tcBorders>
              <w:right w:val="single" w:color="000000" w:sz="6" w:space="0"/>
            </w:tcBorders>
            <w:vAlign w:val="top"/>
          </w:tcPr>
          <w:p w14:paraId="2FA6EEDA">
            <w:pPr>
              <w:pStyle w:val="6"/>
              <w:spacing w:before="240" w:line="220" w:lineRule="auto"/>
              <w:ind w:left="3246"/>
            </w:pPr>
            <w:r>
              <w:t>无</w:t>
            </w:r>
          </w:p>
        </w:tc>
      </w:tr>
      <w:tr w14:paraId="00D78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2154" w:type="dxa"/>
            <w:gridSpan w:val="5"/>
            <w:tcBorders>
              <w:left w:val="single" w:color="000000" w:sz="6" w:space="0"/>
            </w:tcBorders>
            <w:vAlign w:val="top"/>
          </w:tcPr>
          <w:p w14:paraId="1C80ACC8">
            <w:pPr>
              <w:pStyle w:val="6"/>
              <w:spacing w:before="84" w:line="220" w:lineRule="auto"/>
              <w:ind w:left="238"/>
            </w:pPr>
            <w:r>
              <w:rPr>
                <w:spacing w:val="-2"/>
              </w:rPr>
              <w:t>规划及规划环境</w:t>
            </w:r>
          </w:p>
          <w:p w14:paraId="45D2DD6E">
            <w:pPr>
              <w:pStyle w:val="6"/>
              <w:spacing w:before="25" w:line="218" w:lineRule="auto"/>
              <w:ind w:left="237"/>
            </w:pPr>
            <w:r>
              <w:rPr>
                <w:spacing w:val="-2"/>
              </w:rPr>
              <w:t>影响评价符合性</w:t>
            </w:r>
          </w:p>
          <w:p w14:paraId="223B03E6">
            <w:pPr>
              <w:pStyle w:val="6"/>
              <w:spacing w:before="26" w:line="220" w:lineRule="auto"/>
              <w:ind w:left="840"/>
            </w:pPr>
            <w:r>
              <w:rPr>
                <w:spacing w:val="-7"/>
              </w:rPr>
              <w:t>分析</w:t>
            </w:r>
          </w:p>
        </w:tc>
        <w:tc>
          <w:tcPr>
            <w:tcW w:w="6720" w:type="dxa"/>
            <w:gridSpan w:val="4"/>
            <w:tcBorders>
              <w:right w:val="single" w:color="000000" w:sz="6" w:space="0"/>
            </w:tcBorders>
            <w:vAlign w:val="top"/>
          </w:tcPr>
          <w:p w14:paraId="6C5FCB87">
            <w:pPr>
              <w:spacing w:line="362" w:lineRule="auto"/>
              <w:rPr>
                <w:rFonts w:ascii="Arial"/>
                <w:sz w:val="21"/>
              </w:rPr>
            </w:pPr>
          </w:p>
          <w:p w14:paraId="3E7C4BE4">
            <w:pPr>
              <w:spacing w:before="69" w:line="192" w:lineRule="auto"/>
              <w:ind w:left="332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413FA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3" w:hRule="atLeast"/>
        </w:trPr>
        <w:tc>
          <w:tcPr>
            <w:tcW w:w="469" w:type="dxa"/>
            <w:tcBorders>
              <w:left w:val="single" w:color="000000" w:sz="6" w:space="0"/>
              <w:bottom w:val="single" w:color="000000" w:sz="6" w:space="0"/>
            </w:tcBorders>
            <w:textDirection w:val="tbRlV"/>
            <w:vAlign w:val="top"/>
          </w:tcPr>
          <w:p w14:paraId="6FCBF4D6">
            <w:pPr>
              <w:pStyle w:val="6"/>
              <w:spacing w:before="114" w:line="208" w:lineRule="auto"/>
              <w:ind w:left="1814"/>
            </w:pPr>
            <w:r>
              <w:rPr>
                <w:spacing w:val="20"/>
                <w:w w:val="117"/>
              </w:rPr>
              <w:t>其他符合性分析</w:t>
            </w:r>
          </w:p>
        </w:tc>
        <w:tc>
          <w:tcPr>
            <w:tcW w:w="8405" w:type="dxa"/>
            <w:gridSpan w:val="8"/>
            <w:tcBorders>
              <w:bottom w:val="single" w:color="000000" w:sz="6" w:space="0"/>
              <w:right w:val="single" w:color="000000" w:sz="6" w:space="0"/>
            </w:tcBorders>
            <w:vAlign w:val="top"/>
          </w:tcPr>
          <w:p w14:paraId="7CF92D62">
            <w:pPr>
              <w:pStyle w:val="6"/>
              <w:spacing w:before="164" w:line="219" w:lineRule="auto"/>
              <w:ind w:left="594"/>
            </w:pPr>
            <w:r>
              <w:rPr>
                <w:rFonts w:ascii="Times New Roman" w:hAnsi="Times New Roman" w:eastAsia="Times New Roman" w:cs="Times New Roman"/>
                <w:b/>
                <w:bCs/>
                <w:spacing w:val="-5"/>
              </w:rPr>
              <w:t>1</w:t>
            </w:r>
            <w:r>
              <w:rPr>
                <w:rFonts w:ascii="Times New Roman" w:hAnsi="Times New Roman" w:eastAsia="Times New Roman" w:cs="Times New Roman"/>
                <w:b/>
                <w:bCs/>
                <w:spacing w:val="-23"/>
              </w:rPr>
              <w:t xml:space="preserve"> </w:t>
            </w:r>
            <w:r>
              <w:rPr>
                <w:b/>
                <w:bCs/>
                <w:spacing w:val="-5"/>
              </w:rPr>
              <w:t>、与环境准入负面清单的符合性：</w:t>
            </w:r>
          </w:p>
          <w:p w14:paraId="7439A73F">
            <w:pPr>
              <w:pStyle w:val="6"/>
              <w:spacing w:before="178" w:line="360" w:lineRule="auto"/>
              <w:ind w:left="108" w:right="103" w:firstLine="458"/>
              <w:jc w:val="both"/>
            </w:pPr>
            <w:r>
              <w:rPr>
                <w:spacing w:val="-12"/>
              </w:rPr>
              <w:t>项目为珠宝首饰及有关物品制造，不属于国家《产业结构调整指导目录</w:t>
            </w:r>
            <w:r>
              <w:rPr>
                <w:spacing w:val="-13"/>
              </w:rPr>
              <w:t>（</w:t>
            </w:r>
            <w:r>
              <w:rPr>
                <w:rFonts w:ascii="Times New Roman" w:hAnsi="Times New Roman" w:eastAsia="Times New Roman" w:cs="Times New Roman"/>
                <w:spacing w:val="-13"/>
              </w:rPr>
              <w:t>2024</w:t>
            </w:r>
            <w:r>
              <w:rPr>
                <w:rFonts w:ascii="Times New Roman" w:hAnsi="Times New Roman" w:eastAsia="Times New Roman" w:cs="Times New Roman"/>
              </w:rPr>
              <w:t xml:space="preserve"> </w:t>
            </w:r>
            <w:r>
              <w:rPr>
                <w:spacing w:val="-4"/>
              </w:rPr>
              <w:t>年修订本）》（国家发展改革委，</w:t>
            </w:r>
            <w:r>
              <w:rPr>
                <w:rFonts w:ascii="Times New Roman" w:hAnsi="Times New Roman" w:eastAsia="Times New Roman" w:cs="Times New Roman"/>
                <w:spacing w:val="-4"/>
              </w:rPr>
              <w:t xml:space="preserve">2024 </w:t>
            </w:r>
            <w:r>
              <w:rPr>
                <w:spacing w:val="-4"/>
              </w:rPr>
              <w:t>年</w:t>
            </w:r>
            <w:r>
              <w:rPr>
                <w:spacing w:val="-4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5"/>
              </w:rPr>
              <w:t xml:space="preserve"> </w:t>
            </w:r>
            <w:r>
              <w:rPr>
                <w:spacing w:val="-4"/>
              </w:rPr>
              <w:t>月</w:t>
            </w:r>
            <w:r>
              <w:rPr>
                <w:spacing w:val="-32"/>
              </w:rPr>
              <w:t xml:space="preserve"> </w:t>
            </w:r>
            <w:r>
              <w:rPr>
                <w:rFonts w:ascii="Times New Roman" w:hAnsi="Times New Roman" w:eastAsia="Times New Roman" w:cs="Times New Roman"/>
                <w:spacing w:val="-4"/>
              </w:rPr>
              <w:t xml:space="preserve">1  </w:t>
            </w:r>
            <w:r>
              <w:rPr>
                <w:spacing w:val="-4"/>
              </w:rPr>
              <w:t>日）中的限制或淘汰类别，也</w:t>
            </w:r>
            <w:r>
              <w:t xml:space="preserve"> </w:t>
            </w:r>
            <w:r>
              <w:rPr>
                <w:spacing w:val="2"/>
              </w:rPr>
              <w:t>不属于《市场准入负面清单（</w:t>
            </w:r>
            <w:r>
              <w:rPr>
                <w:rFonts w:ascii="Times New Roman" w:hAnsi="Times New Roman" w:eastAsia="Times New Roman" w:cs="Times New Roman"/>
                <w:spacing w:val="2"/>
              </w:rPr>
              <w:t xml:space="preserve">2025 </w:t>
            </w:r>
            <w:r>
              <w:rPr>
                <w:spacing w:val="2"/>
              </w:rPr>
              <w:t>年版）》的通知（发改体改规〔</w:t>
            </w:r>
            <w:r>
              <w:rPr>
                <w:rFonts w:ascii="Times New Roman" w:hAnsi="Times New Roman" w:eastAsia="Times New Roman" w:cs="Times New Roman"/>
                <w:spacing w:val="2"/>
              </w:rPr>
              <w:t>2025</w:t>
            </w:r>
            <w:r>
              <w:rPr>
                <w:spacing w:val="2"/>
              </w:rPr>
              <w:t>〕</w:t>
            </w:r>
            <w:r>
              <w:rPr>
                <w:rFonts w:ascii="Times New Roman" w:hAnsi="Times New Roman" w:eastAsia="Times New Roman" w:cs="Times New Roman"/>
                <w:spacing w:val="2"/>
              </w:rPr>
              <w:t xml:space="preserve">466 </w:t>
            </w:r>
            <w:r>
              <w:rPr>
                <w:spacing w:val="-1"/>
              </w:rPr>
              <w:t>号）中禁止和许可事项，符合国家有关法律、法规和产业政策要求。</w:t>
            </w:r>
          </w:p>
          <w:p w14:paraId="271073D8">
            <w:pPr>
              <w:pStyle w:val="6"/>
              <w:spacing w:line="220" w:lineRule="auto"/>
              <w:ind w:left="583"/>
            </w:pPr>
            <w:r>
              <w:rPr>
                <w:rFonts w:ascii="Times New Roman" w:hAnsi="Times New Roman" w:eastAsia="Times New Roman" w:cs="Times New Roman"/>
                <w:b/>
                <w:bCs/>
                <w:spacing w:val="-4"/>
              </w:rPr>
              <w:t>2</w:t>
            </w:r>
            <w:r>
              <w:rPr>
                <w:rFonts w:ascii="Times New Roman" w:hAnsi="Times New Roman" w:eastAsia="Times New Roman" w:cs="Times New Roman"/>
                <w:b/>
                <w:bCs/>
                <w:spacing w:val="-34"/>
              </w:rPr>
              <w:t xml:space="preserve"> </w:t>
            </w:r>
            <w:r>
              <w:rPr>
                <w:b/>
                <w:bCs/>
                <w:spacing w:val="-4"/>
              </w:rPr>
              <w:t>、项目用地选址合理性分析：</w:t>
            </w:r>
          </w:p>
          <w:p w14:paraId="5FED951C">
            <w:pPr>
              <w:pStyle w:val="6"/>
              <w:spacing w:before="179" w:line="359" w:lineRule="auto"/>
              <w:ind w:left="110" w:right="103" w:firstLine="480"/>
            </w:pPr>
            <w:r>
              <w:rPr>
                <w:spacing w:val="1"/>
              </w:rPr>
              <w:t>项目选址位于海丰县可塘镇圆山岭开发区，</w:t>
            </w:r>
            <w:r>
              <w:t xml:space="preserve">地块产权属于建设海丰县金盛 </w:t>
            </w:r>
            <w:r>
              <w:rPr>
                <w:spacing w:val="-1"/>
              </w:rPr>
              <w:t>宝石首饰有限公司，使用性质为工业用地。</w:t>
            </w:r>
          </w:p>
          <w:p w14:paraId="79743E41">
            <w:pPr>
              <w:pStyle w:val="6"/>
              <w:spacing w:before="4" w:line="354" w:lineRule="auto"/>
              <w:ind w:left="108" w:right="103" w:firstLine="482"/>
              <w:jc w:val="both"/>
            </w:pPr>
            <w:r>
              <w:rPr>
                <w:spacing w:val="1"/>
              </w:rPr>
              <w:t>项目所在地不涉及自然保护区、风景名胜区</w:t>
            </w:r>
            <w:r>
              <w:t xml:space="preserve">、森林公园、饮用水水源保护 </w:t>
            </w:r>
            <w:r>
              <w:rPr>
                <w:spacing w:val="1"/>
              </w:rPr>
              <w:t>区、重要湖泊周边、文物古迹所在地、地质遗迹保</w:t>
            </w:r>
            <w:r>
              <w:t xml:space="preserve">护区、基本农田保护区等敏 </w:t>
            </w:r>
            <w:r>
              <w:rPr>
                <w:spacing w:val="-1"/>
              </w:rPr>
              <w:t>感保护目标，</w:t>
            </w:r>
            <w:r>
              <w:rPr>
                <w:spacing w:val="-64"/>
              </w:rPr>
              <w:t xml:space="preserve"> </w:t>
            </w:r>
            <w:r>
              <w:rPr>
                <w:spacing w:val="-1"/>
              </w:rPr>
              <w:t>占地范围内无古树名木和国家保护动植物。因此项目的选址是合</w:t>
            </w:r>
            <w:r>
              <w:t xml:space="preserve"> </w:t>
            </w:r>
            <w:r>
              <w:rPr>
                <w:spacing w:val="-4"/>
              </w:rPr>
              <w:t>理的。</w:t>
            </w:r>
          </w:p>
        </w:tc>
      </w:tr>
    </w:tbl>
    <w:p w14:paraId="5D361E65">
      <w:pPr>
        <w:rPr>
          <w:rFonts w:ascii="Arial"/>
          <w:sz w:val="21"/>
        </w:rPr>
      </w:pPr>
    </w:p>
    <w:p w14:paraId="13E60C7F">
      <w:pPr>
        <w:rPr>
          <w:rFonts w:ascii="Arial" w:hAnsi="Arial" w:eastAsia="Arial" w:cs="Arial"/>
          <w:sz w:val="21"/>
          <w:szCs w:val="21"/>
        </w:rPr>
        <w:sectPr>
          <w:footerReference r:id="rId9" w:type="default"/>
          <w:pgSz w:w="11906" w:h="16839"/>
          <w:pgMar w:top="400" w:right="1508" w:bottom="1240" w:left="1508" w:header="0" w:footer="1078" w:gutter="0"/>
          <w:cols w:space="720" w:num="1"/>
        </w:sectPr>
      </w:pPr>
    </w:p>
    <w:p w14:paraId="407CF5BB">
      <w:pPr>
        <w:spacing w:before="19"/>
      </w:pPr>
    </w:p>
    <w:p w14:paraId="3BCEB05E">
      <w:pPr>
        <w:spacing w:before="19"/>
      </w:pPr>
    </w:p>
    <w:p w14:paraId="0C7F3908">
      <w:pPr>
        <w:spacing w:before="19"/>
      </w:pPr>
    </w:p>
    <w:p w14:paraId="53706143">
      <w:pPr>
        <w:spacing w:before="18"/>
      </w:pPr>
    </w:p>
    <w:p w14:paraId="0BA2DA3B">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53"/>
        <w:gridCol w:w="557"/>
        <w:gridCol w:w="3850"/>
        <w:gridCol w:w="3132"/>
        <w:gridCol w:w="551"/>
        <w:gridCol w:w="162"/>
      </w:tblGrid>
      <w:tr w14:paraId="0DF07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7" w:hRule="atLeast"/>
        </w:trPr>
        <w:tc>
          <w:tcPr>
            <w:tcW w:w="469" w:type="dxa"/>
            <w:vMerge w:val="restart"/>
            <w:tcBorders>
              <w:top w:val="single" w:color="000000" w:sz="6" w:space="0"/>
              <w:left w:val="single" w:color="000000" w:sz="6" w:space="0"/>
              <w:bottom w:val="nil"/>
            </w:tcBorders>
            <w:vAlign w:val="top"/>
          </w:tcPr>
          <w:p w14:paraId="3461CA3A">
            <w:pPr>
              <w:rPr>
                <w:rFonts w:ascii="Arial"/>
                <w:sz w:val="21"/>
              </w:rPr>
            </w:pPr>
          </w:p>
        </w:tc>
        <w:tc>
          <w:tcPr>
            <w:tcW w:w="8405" w:type="dxa"/>
            <w:gridSpan w:val="6"/>
            <w:tcBorders>
              <w:top w:val="single" w:color="000000" w:sz="6" w:space="0"/>
              <w:right w:val="single" w:color="000000" w:sz="6" w:space="0"/>
            </w:tcBorders>
            <w:vAlign w:val="top"/>
          </w:tcPr>
          <w:p w14:paraId="6D08E3A3">
            <w:pPr>
              <w:pStyle w:val="6"/>
              <w:spacing w:before="150" w:line="219"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19"/>
              </w:rPr>
              <w:t xml:space="preserve"> </w:t>
            </w:r>
            <w:r>
              <w:rPr>
                <w:b/>
                <w:bCs/>
                <w:spacing w:val="-4"/>
              </w:rPr>
              <w:t>、与广东省</w:t>
            </w:r>
            <w:r>
              <w:rPr>
                <w:rFonts w:ascii="Times New Roman" w:hAnsi="Times New Roman" w:eastAsia="Times New Roman" w:cs="Times New Roman"/>
                <w:b/>
                <w:bCs/>
                <w:spacing w:val="-4"/>
              </w:rPr>
              <w:t>“</w:t>
            </w:r>
            <w:r>
              <w:rPr>
                <w:b/>
                <w:bCs/>
                <w:spacing w:val="-4"/>
              </w:rPr>
              <w:t>三线一单</w:t>
            </w:r>
            <w:r>
              <w:rPr>
                <w:rFonts w:ascii="Times New Roman" w:hAnsi="Times New Roman" w:eastAsia="Times New Roman" w:cs="Times New Roman"/>
                <w:b/>
                <w:bCs/>
                <w:spacing w:val="-4"/>
              </w:rPr>
              <w:t>”</w:t>
            </w:r>
            <w:r>
              <w:rPr>
                <w:b/>
                <w:bCs/>
                <w:spacing w:val="-4"/>
              </w:rPr>
              <w:t>相符性分析：</w:t>
            </w:r>
          </w:p>
          <w:p w14:paraId="31DF8BE4">
            <w:pPr>
              <w:pStyle w:val="6"/>
              <w:spacing w:before="182" w:line="360" w:lineRule="auto"/>
              <w:ind w:left="107" w:right="103" w:firstLine="480"/>
            </w:pPr>
            <w:r>
              <w:rPr>
                <w:spacing w:val="1"/>
              </w:rPr>
              <w:t>根据《广东省人民政府关于印发广东省</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生态环境分区管控方案</w:t>
            </w:r>
            <w:r>
              <w:rPr>
                <w:spacing w:val="17"/>
              </w:rPr>
              <w:t xml:space="preserve"> </w:t>
            </w:r>
            <w:r>
              <w:rPr>
                <w:spacing w:val="-1"/>
              </w:rPr>
              <w:t>的通知》（粤府﹝</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71</w:t>
            </w:r>
            <w:r>
              <w:rPr>
                <w:rFonts w:ascii="Times New Roman" w:hAnsi="Times New Roman" w:eastAsia="Times New Roman" w:cs="Times New Roman"/>
                <w:spacing w:val="15"/>
              </w:rPr>
              <w:t xml:space="preserve"> </w:t>
            </w:r>
            <w:r>
              <w:rPr>
                <w:spacing w:val="-1"/>
              </w:rPr>
              <w:t>号）的要求，本</w:t>
            </w:r>
            <w:r>
              <w:rPr>
                <w:spacing w:val="-2"/>
              </w:rPr>
              <w:t>项目与所在区域的生态保护红线、</w:t>
            </w:r>
            <w:r>
              <w:t xml:space="preserve"> </w:t>
            </w:r>
            <w:r>
              <w:rPr>
                <w:spacing w:val="1"/>
              </w:rPr>
              <w:t>环境质量底线、资源利用上线和编制生态环境准入清单（</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）进行对</w:t>
            </w:r>
            <w:r>
              <w:rPr>
                <w:spacing w:val="15"/>
              </w:rPr>
              <w:t xml:space="preserve"> </w:t>
            </w:r>
            <w:r>
              <w:rPr>
                <w:spacing w:val="-2"/>
              </w:rPr>
              <w:t>照分析，详见下表。</w:t>
            </w:r>
          </w:p>
          <w:p w14:paraId="6F083808">
            <w:pPr>
              <w:pStyle w:val="6"/>
              <w:spacing w:before="115" w:line="219" w:lineRule="auto"/>
              <w:ind w:left="2086"/>
            </w:pPr>
            <w:r>
              <w:rPr>
                <w:b/>
                <w:bCs/>
                <w:spacing w:val="-2"/>
              </w:rPr>
              <w:t>表</w:t>
            </w:r>
            <w:r>
              <w:rPr>
                <w:spacing w:val="-44"/>
              </w:rPr>
              <w:t xml:space="preserve"> </w:t>
            </w:r>
            <w:r>
              <w:rPr>
                <w:rFonts w:ascii="Times New Roman" w:hAnsi="Times New Roman" w:eastAsia="Times New Roman" w:cs="Times New Roman"/>
                <w:b/>
                <w:bCs/>
                <w:spacing w:val="-2"/>
              </w:rPr>
              <w:t xml:space="preserve">1-2    </w:t>
            </w:r>
            <w:r>
              <w:rPr>
                <w:b/>
                <w:bCs/>
                <w:spacing w:val="-2"/>
              </w:rPr>
              <w:t>广东省</w:t>
            </w:r>
            <w:r>
              <w:rPr>
                <w:rFonts w:ascii="Times New Roman" w:hAnsi="Times New Roman" w:eastAsia="Times New Roman" w:cs="Times New Roman"/>
                <w:b/>
                <w:bCs/>
                <w:spacing w:val="-2"/>
              </w:rPr>
              <w:t>“</w:t>
            </w:r>
            <w:r>
              <w:rPr>
                <w:b/>
                <w:bCs/>
                <w:spacing w:val="-2"/>
              </w:rPr>
              <w:t>三线一单</w:t>
            </w:r>
            <w:r>
              <w:rPr>
                <w:rFonts w:ascii="Times New Roman" w:hAnsi="Times New Roman" w:eastAsia="Times New Roman" w:cs="Times New Roman"/>
                <w:b/>
                <w:bCs/>
                <w:spacing w:val="-2"/>
              </w:rPr>
              <w:t>”</w:t>
            </w:r>
            <w:r>
              <w:rPr>
                <w:b/>
                <w:bCs/>
                <w:spacing w:val="-2"/>
              </w:rPr>
              <w:t>符合</w:t>
            </w:r>
            <w:r>
              <w:rPr>
                <w:b/>
                <w:bCs/>
                <w:spacing w:val="-3"/>
              </w:rPr>
              <w:t>性分析表</w:t>
            </w:r>
          </w:p>
        </w:tc>
      </w:tr>
      <w:tr w14:paraId="6EAF6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9" w:type="dxa"/>
            <w:vMerge w:val="continue"/>
            <w:tcBorders>
              <w:top w:val="nil"/>
              <w:left w:val="single" w:color="000000" w:sz="6" w:space="0"/>
              <w:bottom w:val="nil"/>
            </w:tcBorders>
            <w:vAlign w:val="top"/>
          </w:tcPr>
          <w:p w14:paraId="0A2FC38C">
            <w:pPr>
              <w:rPr>
                <w:rFonts w:ascii="Arial"/>
                <w:sz w:val="21"/>
              </w:rPr>
            </w:pPr>
          </w:p>
        </w:tc>
        <w:tc>
          <w:tcPr>
            <w:tcW w:w="153" w:type="dxa"/>
            <w:tcBorders>
              <w:top w:val="nil"/>
              <w:bottom w:val="nil"/>
            </w:tcBorders>
            <w:vAlign w:val="top"/>
          </w:tcPr>
          <w:p w14:paraId="51D634C5">
            <w:pPr>
              <w:rPr>
                <w:rFonts w:ascii="Arial"/>
                <w:sz w:val="21"/>
              </w:rPr>
            </w:pPr>
          </w:p>
        </w:tc>
        <w:tc>
          <w:tcPr>
            <w:tcW w:w="4407" w:type="dxa"/>
            <w:gridSpan w:val="2"/>
            <w:vAlign w:val="top"/>
          </w:tcPr>
          <w:p w14:paraId="714C5D32">
            <w:pPr>
              <w:pStyle w:val="6"/>
              <w:spacing w:before="170" w:line="228" w:lineRule="auto"/>
              <w:ind w:left="1762"/>
              <w:outlineLvl w:val="1"/>
              <w:rPr>
                <w:sz w:val="20"/>
                <w:szCs w:val="20"/>
              </w:rPr>
            </w:pPr>
            <w:r>
              <w:rPr>
                <w:spacing w:val="15"/>
                <w:sz w:val="20"/>
                <w:szCs w:val="20"/>
              </w:rPr>
              <w:t>文件要求</w:t>
            </w:r>
          </w:p>
        </w:tc>
        <w:tc>
          <w:tcPr>
            <w:tcW w:w="3132" w:type="dxa"/>
            <w:vAlign w:val="top"/>
          </w:tcPr>
          <w:p w14:paraId="6F0245CB">
            <w:pPr>
              <w:pStyle w:val="6"/>
              <w:spacing w:before="170" w:line="227" w:lineRule="auto"/>
              <w:ind w:left="1021"/>
              <w:outlineLvl w:val="1"/>
              <w:rPr>
                <w:sz w:val="20"/>
                <w:szCs w:val="20"/>
              </w:rPr>
            </w:pPr>
            <w:r>
              <w:rPr>
                <w:spacing w:val="17"/>
                <w:sz w:val="20"/>
                <w:szCs w:val="20"/>
              </w:rPr>
              <w:t>本项目情况</w:t>
            </w:r>
          </w:p>
        </w:tc>
        <w:tc>
          <w:tcPr>
            <w:tcW w:w="551" w:type="dxa"/>
            <w:textDirection w:val="tbRlV"/>
            <w:vAlign w:val="top"/>
          </w:tcPr>
          <w:p w14:paraId="0833CCE5">
            <w:pPr>
              <w:pStyle w:val="6"/>
              <w:spacing w:before="169" w:line="215" w:lineRule="auto"/>
              <w:ind w:left="36"/>
              <w:outlineLvl w:val="1"/>
              <w:rPr>
                <w:sz w:val="20"/>
                <w:szCs w:val="20"/>
              </w:rPr>
            </w:pPr>
            <w:r>
              <w:rPr>
                <w:spacing w:val="8"/>
                <w:sz w:val="20"/>
                <w:szCs w:val="20"/>
              </w:rPr>
              <w:t>结</w:t>
            </w:r>
            <w:r>
              <w:rPr>
                <w:spacing w:val="-38"/>
                <w:sz w:val="20"/>
                <w:szCs w:val="20"/>
              </w:rPr>
              <w:t xml:space="preserve"> </w:t>
            </w:r>
            <w:r>
              <w:rPr>
                <w:spacing w:val="8"/>
                <w:sz w:val="20"/>
                <w:szCs w:val="20"/>
              </w:rPr>
              <w:t>论</w:t>
            </w:r>
          </w:p>
        </w:tc>
        <w:tc>
          <w:tcPr>
            <w:tcW w:w="162" w:type="dxa"/>
            <w:tcBorders>
              <w:top w:val="nil"/>
              <w:bottom w:val="nil"/>
              <w:right w:val="single" w:color="000000" w:sz="6" w:space="0"/>
            </w:tcBorders>
            <w:vAlign w:val="top"/>
          </w:tcPr>
          <w:p w14:paraId="3F0B3F19">
            <w:pPr>
              <w:rPr>
                <w:rFonts w:ascii="Arial"/>
                <w:sz w:val="21"/>
              </w:rPr>
            </w:pPr>
          </w:p>
        </w:tc>
      </w:tr>
      <w:tr w14:paraId="64A20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469" w:type="dxa"/>
            <w:vMerge w:val="continue"/>
            <w:tcBorders>
              <w:top w:val="nil"/>
              <w:left w:val="single" w:color="000000" w:sz="6" w:space="0"/>
              <w:bottom w:val="nil"/>
            </w:tcBorders>
            <w:vAlign w:val="top"/>
          </w:tcPr>
          <w:p w14:paraId="2605593F">
            <w:pPr>
              <w:rPr>
                <w:rFonts w:ascii="Arial"/>
                <w:sz w:val="21"/>
              </w:rPr>
            </w:pPr>
          </w:p>
        </w:tc>
        <w:tc>
          <w:tcPr>
            <w:tcW w:w="153" w:type="dxa"/>
            <w:tcBorders>
              <w:top w:val="nil"/>
              <w:bottom w:val="nil"/>
            </w:tcBorders>
            <w:vAlign w:val="top"/>
          </w:tcPr>
          <w:p w14:paraId="199FDFCA">
            <w:pPr>
              <w:rPr>
                <w:rFonts w:ascii="Arial"/>
                <w:sz w:val="21"/>
              </w:rPr>
            </w:pPr>
          </w:p>
        </w:tc>
        <w:tc>
          <w:tcPr>
            <w:tcW w:w="557" w:type="dxa"/>
            <w:textDirection w:val="tbRlV"/>
            <w:vAlign w:val="top"/>
          </w:tcPr>
          <w:p w14:paraId="4E7539EC">
            <w:pPr>
              <w:pStyle w:val="6"/>
              <w:spacing w:before="184" w:line="216" w:lineRule="auto"/>
              <w:ind w:left="346"/>
              <w:outlineLvl w:val="1"/>
              <w:rPr>
                <w:sz w:val="20"/>
                <w:szCs w:val="20"/>
              </w:rPr>
            </w:pPr>
            <w:r>
              <w:rPr>
                <w:spacing w:val="8"/>
                <w:sz w:val="20"/>
                <w:szCs w:val="20"/>
              </w:rPr>
              <w:t>生</w:t>
            </w:r>
            <w:r>
              <w:rPr>
                <w:spacing w:val="-34"/>
                <w:sz w:val="20"/>
                <w:szCs w:val="20"/>
              </w:rPr>
              <w:t xml:space="preserve"> </w:t>
            </w:r>
            <w:r>
              <w:rPr>
                <w:spacing w:val="8"/>
                <w:sz w:val="20"/>
                <w:szCs w:val="20"/>
              </w:rPr>
              <w:t>态</w:t>
            </w:r>
            <w:r>
              <w:rPr>
                <w:spacing w:val="-38"/>
                <w:sz w:val="20"/>
                <w:szCs w:val="20"/>
              </w:rPr>
              <w:t xml:space="preserve"> </w:t>
            </w:r>
            <w:r>
              <w:rPr>
                <w:spacing w:val="8"/>
                <w:sz w:val="20"/>
                <w:szCs w:val="20"/>
              </w:rPr>
              <w:t>保</w:t>
            </w:r>
            <w:r>
              <w:rPr>
                <w:spacing w:val="-35"/>
                <w:sz w:val="20"/>
                <w:szCs w:val="20"/>
              </w:rPr>
              <w:t xml:space="preserve"> </w:t>
            </w:r>
            <w:r>
              <w:rPr>
                <w:spacing w:val="8"/>
                <w:sz w:val="20"/>
                <w:szCs w:val="20"/>
              </w:rPr>
              <w:t>护</w:t>
            </w:r>
            <w:r>
              <w:rPr>
                <w:spacing w:val="-38"/>
                <w:sz w:val="20"/>
                <w:szCs w:val="20"/>
              </w:rPr>
              <w:t xml:space="preserve"> </w:t>
            </w:r>
            <w:r>
              <w:rPr>
                <w:spacing w:val="8"/>
                <w:sz w:val="20"/>
                <w:szCs w:val="20"/>
              </w:rPr>
              <w:t>红</w:t>
            </w:r>
            <w:r>
              <w:rPr>
                <w:spacing w:val="-35"/>
                <w:sz w:val="20"/>
                <w:szCs w:val="20"/>
              </w:rPr>
              <w:t xml:space="preserve"> </w:t>
            </w:r>
            <w:r>
              <w:rPr>
                <w:spacing w:val="8"/>
                <w:sz w:val="20"/>
                <w:szCs w:val="20"/>
              </w:rPr>
              <w:t>线</w:t>
            </w:r>
          </w:p>
        </w:tc>
        <w:tc>
          <w:tcPr>
            <w:tcW w:w="3850" w:type="dxa"/>
            <w:vAlign w:val="top"/>
          </w:tcPr>
          <w:p w14:paraId="0DE3ECF7">
            <w:pPr>
              <w:pStyle w:val="6"/>
              <w:spacing w:before="209" w:line="239" w:lineRule="auto"/>
              <w:ind w:left="260" w:right="154" w:hanging="111"/>
              <w:outlineLvl w:val="1"/>
              <w:rPr>
                <w:sz w:val="20"/>
                <w:szCs w:val="20"/>
              </w:rPr>
            </w:pPr>
            <w:r>
              <w:rPr>
                <w:spacing w:val="15"/>
                <w:sz w:val="20"/>
                <w:szCs w:val="20"/>
              </w:rPr>
              <w:t>全省陆域生态保护红线面积</w:t>
            </w:r>
            <w:r>
              <w:rPr>
                <w:spacing w:val="-11"/>
                <w:sz w:val="20"/>
                <w:szCs w:val="20"/>
              </w:rPr>
              <w:t xml:space="preserve"> </w:t>
            </w:r>
            <w:r>
              <w:rPr>
                <w:rFonts w:ascii="Times New Roman" w:hAnsi="Times New Roman" w:eastAsia="Times New Roman" w:cs="Times New Roman"/>
                <w:spacing w:val="15"/>
                <w:sz w:val="20"/>
                <w:szCs w:val="20"/>
              </w:rPr>
              <w:t>36194.35</w:t>
            </w:r>
            <w:r>
              <w:rPr>
                <w:rFonts w:ascii="Times New Roman" w:hAnsi="Times New Roman" w:eastAsia="Times New Roman" w:cs="Times New Roman"/>
                <w:sz w:val="20"/>
                <w:szCs w:val="20"/>
              </w:rPr>
              <w:t xml:space="preserve"> </w:t>
            </w:r>
            <w:r>
              <w:rPr>
                <w:spacing w:val="16"/>
                <w:sz w:val="20"/>
                <w:szCs w:val="20"/>
              </w:rPr>
              <w:t>平方公里，</w:t>
            </w:r>
            <w:r>
              <w:rPr>
                <w:spacing w:val="-32"/>
                <w:sz w:val="20"/>
                <w:szCs w:val="20"/>
              </w:rPr>
              <w:t xml:space="preserve"> </w:t>
            </w:r>
            <w:r>
              <w:rPr>
                <w:spacing w:val="16"/>
                <w:sz w:val="20"/>
                <w:szCs w:val="20"/>
              </w:rPr>
              <w:t>占全省陆域国土面积的</w:t>
            </w:r>
          </w:p>
          <w:p w14:paraId="4F875C7B">
            <w:pPr>
              <w:pStyle w:val="6"/>
              <w:spacing w:before="27" w:line="228"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20.</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0"/>
                <w:sz w:val="20"/>
                <w:szCs w:val="20"/>
              </w:rPr>
              <w:t>13%</w:t>
            </w:r>
            <w:r>
              <w:rPr>
                <w:spacing w:val="10"/>
                <w:sz w:val="20"/>
                <w:szCs w:val="20"/>
              </w:rPr>
              <w:t>；</w:t>
            </w:r>
            <w:r>
              <w:rPr>
                <w:spacing w:val="-57"/>
                <w:sz w:val="20"/>
                <w:szCs w:val="20"/>
              </w:rPr>
              <w:t xml:space="preserve"> </w:t>
            </w:r>
            <w:r>
              <w:rPr>
                <w:spacing w:val="10"/>
                <w:sz w:val="20"/>
                <w:szCs w:val="20"/>
              </w:rPr>
              <w:t>一般生态空间面积</w:t>
            </w:r>
            <w:r>
              <w:rPr>
                <w:spacing w:val="-26"/>
                <w:sz w:val="20"/>
                <w:szCs w:val="20"/>
              </w:rPr>
              <w:t xml:space="preserve"> </w:t>
            </w:r>
            <w:r>
              <w:rPr>
                <w:rFonts w:ascii="Times New Roman" w:hAnsi="Times New Roman" w:eastAsia="Times New Roman" w:cs="Times New Roman"/>
                <w:spacing w:val="10"/>
                <w:sz w:val="20"/>
                <w:szCs w:val="20"/>
              </w:rPr>
              <w:t>27741.66</w:t>
            </w:r>
          </w:p>
          <w:p w14:paraId="75C9C08E">
            <w:pPr>
              <w:pStyle w:val="6"/>
              <w:spacing w:before="23" w:line="228" w:lineRule="auto"/>
              <w:ind w:left="261"/>
              <w:rPr>
                <w:sz w:val="20"/>
                <w:szCs w:val="20"/>
              </w:rPr>
            </w:pPr>
            <w:r>
              <w:rPr>
                <w:spacing w:val="16"/>
                <w:sz w:val="20"/>
                <w:szCs w:val="20"/>
              </w:rPr>
              <w:t>平方公里，</w:t>
            </w:r>
            <w:r>
              <w:rPr>
                <w:spacing w:val="-32"/>
                <w:sz w:val="20"/>
                <w:szCs w:val="20"/>
              </w:rPr>
              <w:t xml:space="preserve"> </w:t>
            </w:r>
            <w:r>
              <w:rPr>
                <w:spacing w:val="16"/>
                <w:sz w:val="20"/>
                <w:szCs w:val="20"/>
              </w:rPr>
              <w:t>占全省陆域国土面积的</w:t>
            </w:r>
          </w:p>
          <w:p w14:paraId="17253783">
            <w:pPr>
              <w:pStyle w:val="6"/>
              <w:spacing w:before="26" w:line="228" w:lineRule="auto"/>
              <w:ind w:left="159"/>
              <w:rPr>
                <w:sz w:val="20"/>
                <w:szCs w:val="20"/>
              </w:rPr>
            </w:pPr>
            <w:r>
              <w:rPr>
                <w:rFonts w:ascii="Times New Roman" w:hAnsi="Times New Roman" w:eastAsia="Times New Roman" w:cs="Times New Roman"/>
                <w:spacing w:val="14"/>
                <w:sz w:val="20"/>
                <w:szCs w:val="20"/>
              </w:rPr>
              <w:t>15.44%</w:t>
            </w:r>
            <w:r>
              <w:rPr>
                <w:rFonts w:ascii="Times New Roman" w:hAnsi="Times New Roman" w:eastAsia="Times New Roman" w:cs="Times New Roman"/>
                <w:spacing w:val="-2"/>
                <w:sz w:val="20"/>
                <w:szCs w:val="20"/>
              </w:rPr>
              <w:t xml:space="preserve"> </w:t>
            </w:r>
            <w:r>
              <w:rPr>
                <w:spacing w:val="14"/>
                <w:sz w:val="20"/>
                <w:szCs w:val="20"/>
              </w:rPr>
              <w:t>。全省海洋生态保护红线面积</w:t>
            </w:r>
          </w:p>
          <w:p w14:paraId="56C6915B">
            <w:pPr>
              <w:pStyle w:val="6"/>
              <w:spacing w:before="24" w:line="227" w:lineRule="auto"/>
              <w:ind w:left="166"/>
              <w:rPr>
                <w:sz w:val="20"/>
                <w:szCs w:val="20"/>
              </w:rPr>
            </w:pPr>
            <w:r>
              <w:rPr>
                <w:rFonts w:ascii="Times New Roman" w:hAnsi="Times New Roman" w:eastAsia="Times New Roman" w:cs="Times New Roman"/>
                <w:spacing w:val="11"/>
                <w:sz w:val="20"/>
                <w:szCs w:val="20"/>
              </w:rPr>
              <w:t>16490.59</w:t>
            </w:r>
            <w:r>
              <w:rPr>
                <w:rFonts w:ascii="Times New Roman" w:hAnsi="Times New Roman" w:eastAsia="Times New Roman" w:cs="Times New Roman"/>
                <w:spacing w:val="36"/>
                <w:sz w:val="20"/>
                <w:szCs w:val="20"/>
              </w:rPr>
              <w:t xml:space="preserve"> </w:t>
            </w:r>
            <w:r>
              <w:rPr>
                <w:spacing w:val="11"/>
                <w:sz w:val="20"/>
                <w:szCs w:val="20"/>
              </w:rPr>
              <w:t>平方公里，</w:t>
            </w:r>
            <w:r>
              <w:rPr>
                <w:spacing w:val="-39"/>
                <w:sz w:val="20"/>
                <w:szCs w:val="20"/>
              </w:rPr>
              <w:t xml:space="preserve"> </w:t>
            </w:r>
            <w:r>
              <w:rPr>
                <w:spacing w:val="11"/>
                <w:sz w:val="20"/>
                <w:szCs w:val="20"/>
              </w:rPr>
              <w:t>占全省管辖海域</w:t>
            </w:r>
          </w:p>
          <w:p w14:paraId="3C6DFB72">
            <w:pPr>
              <w:pStyle w:val="6"/>
              <w:spacing w:before="28" w:line="228" w:lineRule="auto"/>
              <w:ind w:left="1115"/>
              <w:rPr>
                <w:sz w:val="20"/>
                <w:szCs w:val="20"/>
              </w:rPr>
            </w:pPr>
            <w:r>
              <w:rPr>
                <w:spacing w:val="9"/>
                <w:sz w:val="20"/>
                <w:szCs w:val="20"/>
              </w:rPr>
              <w:t>面积的</w:t>
            </w:r>
            <w:r>
              <w:rPr>
                <w:spacing w:val="-24"/>
                <w:sz w:val="20"/>
                <w:szCs w:val="20"/>
              </w:rPr>
              <w:t xml:space="preserve"> </w:t>
            </w:r>
            <w:r>
              <w:rPr>
                <w:rFonts w:ascii="Times New Roman" w:hAnsi="Times New Roman" w:eastAsia="Times New Roman" w:cs="Times New Roman"/>
                <w:spacing w:val="9"/>
                <w:sz w:val="20"/>
                <w:szCs w:val="20"/>
              </w:rPr>
              <w:t>25.49%</w:t>
            </w:r>
            <w:r>
              <w:rPr>
                <w:spacing w:val="9"/>
                <w:sz w:val="20"/>
                <w:szCs w:val="20"/>
              </w:rPr>
              <w:t>。</w:t>
            </w:r>
          </w:p>
        </w:tc>
        <w:tc>
          <w:tcPr>
            <w:tcW w:w="3132" w:type="dxa"/>
            <w:vAlign w:val="top"/>
          </w:tcPr>
          <w:p w14:paraId="25AED1EC">
            <w:pPr>
              <w:spacing w:line="278" w:lineRule="auto"/>
              <w:rPr>
                <w:rFonts w:ascii="Arial"/>
                <w:sz w:val="21"/>
              </w:rPr>
            </w:pPr>
          </w:p>
          <w:p w14:paraId="699FF800">
            <w:pPr>
              <w:pStyle w:val="6"/>
              <w:spacing w:before="65" w:line="243" w:lineRule="auto"/>
              <w:ind w:left="131" w:right="129" w:firstLine="4"/>
              <w:outlineLvl w:val="1"/>
              <w:rPr>
                <w:sz w:val="20"/>
                <w:szCs w:val="20"/>
              </w:rPr>
            </w:pPr>
            <w:r>
              <w:rPr>
                <w:spacing w:val="20"/>
                <w:sz w:val="20"/>
                <w:szCs w:val="20"/>
              </w:rPr>
              <w:t>项目位于海丰县可塘镇圆山岭</w:t>
            </w:r>
            <w:r>
              <w:rPr>
                <w:sz w:val="20"/>
                <w:szCs w:val="20"/>
              </w:rPr>
              <w:t xml:space="preserve"> </w:t>
            </w:r>
            <w:r>
              <w:rPr>
                <w:spacing w:val="20"/>
                <w:sz w:val="20"/>
                <w:szCs w:val="20"/>
              </w:rPr>
              <w:t>开发区，项目所在地不在生态</w:t>
            </w:r>
            <w:r>
              <w:rPr>
                <w:spacing w:val="4"/>
                <w:sz w:val="20"/>
                <w:szCs w:val="20"/>
              </w:rPr>
              <w:t xml:space="preserve"> </w:t>
            </w:r>
            <w:r>
              <w:rPr>
                <w:spacing w:val="20"/>
                <w:sz w:val="20"/>
                <w:szCs w:val="20"/>
              </w:rPr>
              <w:t>控制线范围内，周边无自然保</w:t>
            </w:r>
          </w:p>
          <w:p w14:paraId="55B1135F">
            <w:pPr>
              <w:pStyle w:val="6"/>
              <w:spacing w:before="26" w:line="228" w:lineRule="auto"/>
              <w:ind w:left="133"/>
              <w:rPr>
                <w:sz w:val="20"/>
                <w:szCs w:val="20"/>
              </w:rPr>
            </w:pPr>
            <w:r>
              <w:rPr>
                <w:spacing w:val="20"/>
                <w:sz w:val="20"/>
                <w:szCs w:val="20"/>
              </w:rPr>
              <w:t>护区、饮用水源保护区等生态</w:t>
            </w:r>
          </w:p>
          <w:p w14:paraId="488B6D18">
            <w:pPr>
              <w:pStyle w:val="6"/>
              <w:spacing w:before="24" w:line="228" w:lineRule="auto"/>
              <w:ind w:left="133"/>
              <w:rPr>
                <w:sz w:val="20"/>
                <w:szCs w:val="20"/>
              </w:rPr>
            </w:pPr>
            <w:r>
              <w:rPr>
                <w:spacing w:val="20"/>
                <w:sz w:val="20"/>
                <w:szCs w:val="20"/>
              </w:rPr>
              <w:t>保护目标，符合生态保护红线</w:t>
            </w:r>
          </w:p>
          <w:p w14:paraId="7216E0B0">
            <w:pPr>
              <w:pStyle w:val="6"/>
              <w:spacing w:before="27" w:line="229" w:lineRule="auto"/>
              <w:ind w:left="1242"/>
              <w:rPr>
                <w:sz w:val="20"/>
                <w:szCs w:val="20"/>
              </w:rPr>
            </w:pPr>
            <w:r>
              <w:rPr>
                <w:spacing w:val="6"/>
                <w:sz w:val="20"/>
                <w:szCs w:val="20"/>
              </w:rPr>
              <w:t>要求。</w:t>
            </w:r>
          </w:p>
        </w:tc>
        <w:tc>
          <w:tcPr>
            <w:tcW w:w="551" w:type="dxa"/>
            <w:textDirection w:val="tbRlV"/>
            <w:vAlign w:val="top"/>
          </w:tcPr>
          <w:p w14:paraId="6346C9BD">
            <w:pPr>
              <w:pStyle w:val="6"/>
              <w:spacing w:before="169" w:line="215" w:lineRule="auto"/>
              <w:ind w:left="891"/>
              <w:outlineLvl w:val="1"/>
              <w:rPr>
                <w:sz w:val="20"/>
                <w:szCs w:val="20"/>
              </w:rPr>
            </w:pPr>
            <w:r>
              <w:rPr>
                <w:spacing w:val="8"/>
                <w:sz w:val="20"/>
                <w:szCs w:val="20"/>
              </w:rPr>
              <w:t>符</w:t>
            </w:r>
            <w:r>
              <w:rPr>
                <w:spacing w:val="-38"/>
                <w:sz w:val="20"/>
                <w:szCs w:val="20"/>
              </w:rPr>
              <w:t xml:space="preserve"> </w:t>
            </w:r>
            <w:r>
              <w:rPr>
                <w:spacing w:val="8"/>
                <w:sz w:val="20"/>
                <w:szCs w:val="20"/>
              </w:rPr>
              <w:t>合</w:t>
            </w:r>
          </w:p>
        </w:tc>
        <w:tc>
          <w:tcPr>
            <w:tcW w:w="162" w:type="dxa"/>
            <w:tcBorders>
              <w:top w:val="nil"/>
              <w:bottom w:val="nil"/>
              <w:right w:val="single" w:color="000000" w:sz="6" w:space="0"/>
            </w:tcBorders>
            <w:vAlign w:val="top"/>
          </w:tcPr>
          <w:p w14:paraId="34637118">
            <w:pPr>
              <w:rPr>
                <w:rFonts w:ascii="Arial"/>
                <w:sz w:val="21"/>
              </w:rPr>
            </w:pPr>
          </w:p>
        </w:tc>
      </w:tr>
      <w:tr w14:paraId="414D4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8" w:hRule="atLeast"/>
        </w:trPr>
        <w:tc>
          <w:tcPr>
            <w:tcW w:w="469" w:type="dxa"/>
            <w:vMerge w:val="continue"/>
            <w:tcBorders>
              <w:top w:val="nil"/>
              <w:left w:val="single" w:color="000000" w:sz="6" w:space="0"/>
              <w:bottom w:val="nil"/>
            </w:tcBorders>
            <w:vAlign w:val="top"/>
          </w:tcPr>
          <w:p w14:paraId="53804EB9">
            <w:pPr>
              <w:rPr>
                <w:rFonts w:ascii="Arial"/>
                <w:sz w:val="21"/>
              </w:rPr>
            </w:pPr>
          </w:p>
        </w:tc>
        <w:tc>
          <w:tcPr>
            <w:tcW w:w="153" w:type="dxa"/>
            <w:tcBorders>
              <w:top w:val="nil"/>
              <w:bottom w:val="nil"/>
            </w:tcBorders>
            <w:vAlign w:val="top"/>
          </w:tcPr>
          <w:p w14:paraId="4D84B057">
            <w:pPr>
              <w:rPr>
                <w:rFonts w:ascii="Arial"/>
                <w:sz w:val="21"/>
              </w:rPr>
            </w:pPr>
          </w:p>
        </w:tc>
        <w:tc>
          <w:tcPr>
            <w:tcW w:w="557" w:type="dxa"/>
            <w:textDirection w:val="tbRlV"/>
            <w:vAlign w:val="top"/>
          </w:tcPr>
          <w:p w14:paraId="1ED90066">
            <w:pPr>
              <w:pStyle w:val="6"/>
              <w:spacing w:before="184" w:line="217" w:lineRule="auto"/>
              <w:ind w:left="627"/>
              <w:outlineLvl w:val="1"/>
              <w:rPr>
                <w:sz w:val="20"/>
                <w:szCs w:val="20"/>
              </w:rPr>
            </w:pPr>
            <w:r>
              <w:rPr>
                <w:spacing w:val="8"/>
                <w:sz w:val="20"/>
                <w:szCs w:val="20"/>
              </w:rPr>
              <w:t>环</w:t>
            </w:r>
            <w:r>
              <w:rPr>
                <w:spacing w:val="-32"/>
                <w:sz w:val="20"/>
                <w:szCs w:val="20"/>
              </w:rPr>
              <w:t xml:space="preserve"> </w:t>
            </w:r>
            <w:r>
              <w:rPr>
                <w:spacing w:val="8"/>
                <w:sz w:val="20"/>
                <w:szCs w:val="20"/>
              </w:rPr>
              <w:t>境</w:t>
            </w:r>
            <w:r>
              <w:rPr>
                <w:spacing w:val="-38"/>
                <w:sz w:val="20"/>
                <w:szCs w:val="20"/>
              </w:rPr>
              <w:t xml:space="preserve"> </w:t>
            </w:r>
            <w:r>
              <w:rPr>
                <w:spacing w:val="8"/>
                <w:sz w:val="20"/>
                <w:szCs w:val="20"/>
              </w:rPr>
              <w:t>质</w:t>
            </w:r>
            <w:r>
              <w:rPr>
                <w:spacing w:val="-35"/>
                <w:sz w:val="20"/>
                <w:szCs w:val="20"/>
              </w:rPr>
              <w:t xml:space="preserve"> </w:t>
            </w:r>
            <w:r>
              <w:rPr>
                <w:spacing w:val="8"/>
                <w:sz w:val="20"/>
                <w:szCs w:val="20"/>
              </w:rPr>
              <w:t>量</w:t>
            </w:r>
            <w:r>
              <w:rPr>
                <w:spacing w:val="-37"/>
                <w:sz w:val="20"/>
                <w:szCs w:val="20"/>
              </w:rPr>
              <w:t xml:space="preserve"> </w:t>
            </w:r>
            <w:r>
              <w:rPr>
                <w:spacing w:val="8"/>
                <w:sz w:val="20"/>
                <w:szCs w:val="20"/>
              </w:rPr>
              <w:t>底</w:t>
            </w:r>
            <w:r>
              <w:rPr>
                <w:spacing w:val="-36"/>
                <w:sz w:val="20"/>
                <w:szCs w:val="20"/>
              </w:rPr>
              <w:t xml:space="preserve"> </w:t>
            </w:r>
            <w:r>
              <w:rPr>
                <w:spacing w:val="8"/>
                <w:sz w:val="20"/>
                <w:szCs w:val="20"/>
              </w:rPr>
              <w:t>线</w:t>
            </w:r>
          </w:p>
        </w:tc>
        <w:tc>
          <w:tcPr>
            <w:tcW w:w="3850" w:type="dxa"/>
            <w:vAlign w:val="top"/>
          </w:tcPr>
          <w:p w14:paraId="13F9A1E1">
            <w:pPr>
              <w:pStyle w:val="6"/>
              <w:spacing w:before="217" w:line="244" w:lineRule="auto"/>
              <w:ind w:left="110" w:right="117" w:firstLine="41"/>
              <w:outlineLvl w:val="1"/>
              <w:rPr>
                <w:sz w:val="20"/>
                <w:szCs w:val="20"/>
              </w:rPr>
            </w:pPr>
            <w:r>
              <w:rPr>
                <w:spacing w:val="17"/>
                <w:sz w:val="20"/>
                <w:szCs w:val="20"/>
              </w:rPr>
              <w:t>全省水环境质量持续改善，</w:t>
            </w:r>
            <w:r>
              <w:rPr>
                <w:spacing w:val="-44"/>
                <w:sz w:val="20"/>
                <w:szCs w:val="20"/>
              </w:rPr>
              <w:t xml:space="preserve"> </w:t>
            </w:r>
            <w:r>
              <w:rPr>
                <w:spacing w:val="17"/>
                <w:sz w:val="20"/>
                <w:szCs w:val="20"/>
              </w:rPr>
              <w:t>国考、省</w:t>
            </w:r>
            <w:r>
              <w:rPr>
                <w:sz w:val="20"/>
                <w:szCs w:val="20"/>
              </w:rPr>
              <w:t xml:space="preserve"> </w:t>
            </w:r>
            <w:r>
              <w:rPr>
                <w:spacing w:val="23"/>
                <w:sz w:val="20"/>
                <w:szCs w:val="20"/>
              </w:rPr>
              <w:t>考断面优良水质比例稳步提升，全面</w:t>
            </w:r>
            <w:r>
              <w:rPr>
                <w:spacing w:val="1"/>
                <w:sz w:val="20"/>
                <w:szCs w:val="20"/>
              </w:rPr>
              <w:t xml:space="preserve"> </w:t>
            </w:r>
            <w:r>
              <w:rPr>
                <w:spacing w:val="16"/>
                <w:sz w:val="20"/>
                <w:szCs w:val="20"/>
              </w:rPr>
              <w:t>消除劣</w:t>
            </w:r>
            <w:r>
              <w:rPr>
                <w:rFonts w:ascii="Times New Roman" w:hAnsi="Times New Roman" w:eastAsia="Times New Roman" w:cs="Times New Roman"/>
                <w:spacing w:val="16"/>
                <w:sz w:val="20"/>
                <w:szCs w:val="20"/>
              </w:rPr>
              <w:t>Ⅴ</w:t>
            </w:r>
            <w:r>
              <w:rPr>
                <w:spacing w:val="16"/>
                <w:sz w:val="20"/>
                <w:szCs w:val="20"/>
              </w:rPr>
              <w:t>类水体。大气环境质量继续领</w:t>
            </w:r>
          </w:p>
          <w:p w14:paraId="52A25D83">
            <w:pPr>
              <w:pStyle w:val="6"/>
              <w:spacing w:before="26" w:line="228" w:lineRule="auto"/>
              <w:ind w:left="163"/>
              <w:rPr>
                <w:sz w:val="20"/>
                <w:szCs w:val="20"/>
              </w:rPr>
            </w:pPr>
            <w:r>
              <w:rPr>
                <w:spacing w:val="17"/>
                <w:sz w:val="20"/>
                <w:szCs w:val="20"/>
              </w:rPr>
              <w:t>跑先行，</w:t>
            </w:r>
            <w:r>
              <w:rPr>
                <w:rFonts w:ascii="Times New Roman" w:hAnsi="Times New Roman" w:eastAsia="Times New Roman" w:cs="Times New Roman"/>
                <w:sz w:val="20"/>
                <w:szCs w:val="20"/>
              </w:rPr>
              <w:t>PM</w:t>
            </w:r>
            <w:r>
              <w:rPr>
                <w:rFonts w:ascii="Times New Roman" w:hAnsi="Times New Roman" w:eastAsia="Times New Roman" w:cs="Times New Roman"/>
                <w:spacing w:val="17"/>
                <w:sz w:val="20"/>
                <w:szCs w:val="20"/>
              </w:rPr>
              <w:t>2</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7"/>
                <w:sz w:val="20"/>
                <w:szCs w:val="20"/>
              </w:rPr>
              <w:t>.5</w:t>
            </w:r>
            <w:r>
              <w:rPr>
                <w:rFonts w:ascii="Times New Roman" w:hAnsi="Times New Roman" w:eastAsia="Times New Roman" w:cs="Times New Roman"/>
                <w:spacing w:val="24"/>
                <w:w w:val="101"/>
                <w:sz w:val="20"/>
                <w:szCs w:val="20"/>
              </w:rPr>
              <w:t xml:space="preserve"> </w:t>
            </w:r>
            <w:r>
              <w:rPr>
                <w:spacing w:val="17"/>
                <w:sz w:val="20"/>
                <w:szCs w:val="20"/>
              </w:rPr>
              <w:t>年均浓度率先达到世</w:t>
            </w:r>
          </w:p>
          <w:p w14:paraId="6F906FA0">
            <w:pPr>
              <w:pStyle w:val="6"/>
              <w:spacing w:before="24" w:line="228" w:lineRule="auto"/>
              <w:ind w:left="157"/>
              <w:rPr>
                <w:rFonts w:ascii="Times New Roman" w:hAnsi="Times New Roman" w:eastAsia="Times New Roman" w:cs="Times New Roman"/>
                <w:sz w:val="20"/>
                <w:szCs w:val="20"/>
              </w:rPr>
            </w:pPr>
            <w:r>
              <w:rPr>
                <w:spacing w:val="19"/>
                <w:sz w:val="20"/>
                <w:szCs w:val="20"/>
              </w:rPr>
              <w:t>界卫生组织过渡期二阶段目标值（</w:t>
            </w:r>
            <w:r>
              <w:rPr>
                <w:rFonts w:ascii="Times New Roman" w:hAnsi="Times New Roman" w:eastAsia="Times New Roman" w:cs="Times New Roman"/>
                <w:spacing w:val="19"/>
                <w:sz w:val="20"/>
                <w:szCs w:val="20"/>
              </w:rPr>
              <w:t>25</w:t>
            </w:r>
          </w:p>
          <w:p w14:paraId="0CC860B4">
            <w:pPr>
              <w:pStyle w:val="6"/>
              <w:spacing w:before="26" w:line="227" w:lineRule="auto"/>
              <w:ind w:left="118"/>
              <w:rPr>
                <w:sz w:val="20"/>
                <w:szCs w:val="20"/>
              </w:rPr>
            </w:pPr>
            <w:r>
              <w:rPr>
                <w:spacing w:val="18"/>
                <w:sz w:val="20"/>
                <w:szCs w:val="20"/>
              </w:rPr>
              <w:t>微克</w:t>
            </w:r>
            <w:r>
              <w:rPr>
                <w:rFonts w:ascii="Times New Roman" w:hAnsi="Times New Roman" w:eastAsia="Times New Roman" w:cs="Times New Roman"/>
                <w:spacing w:val="18"/>
                <w:sz w:val="20"/>
                <w:szCs w:val="20"/>
              </w:rPr>
              <w:t>/</w:t>
            </w:r>
            <w:r>
              <w:rPr>
                <w:spacing w:val="18"/>
                <w:sz w:val="20"/>
                <w:szCs w:val="20"/>
              </w:rPr>
              <w:t>立方米</w:t>
            </w:r>
            <w:r>
              <w:rPr>
                <w:spacing w:val="3"/>
                <w:sz w:val="20"/>
                <w:szCs w:val="20"/>
              </w:rPr>
              <w:t>）</w:t>
            </w:r>
            <w:r>
              <w:rPr>
                <w:spacing w:val="-39"/>
                <w:sz w:val="20"/>
                <w:szCs w:val="20"/>
              </w:rPr>
              <w:t xml:space="preserve"> </w:t>
            </w:r>
            <w:r>
              <w:rPr>
                <w:spacing w:val="3"/>
                <w:sz w:val="20"/>
                <w:szCs w:val="20"/>
              </w:rPr>
              <w:t>，</w:t>
            </w:r>
            <w:r>
              <w:rPr>
                <w:spacing w:val="18"/>
                <w:sz w:val="20"/>
                <w:szCs w:val="20"/>
              </w:rPr>
              <w:t>臭氧污染得到有效遏</w:t>
            </w:r>
          </w:p>
          <w:p w14:paraId="04042486">
            <w:pPr>
              <w:pStyle w:val="6"/>
              <w:spacing w:before="25" w:line="228" w:lineRule="auto"/>
              <w:ind w:left="153"/>
              <w:rPr>
                <w:sz w:val="20"/>
                <w:szCs w:val="20"/>
              </w:rPr>
            </w:pPr>
            <w:r>
              <w:rPr>
                <w:spacing w:val="18"/>
                <w:sz w:val="20"/>
                <w:szCs w:val="20"/>
              </w:rPr>
              <w:t>制</w:t>
            </w:r>
            <w:r>
              <w:rPr>
                <w:spacing w:val="-60"/>
                <w:sz w:val="20"/>
                <w:szCs w:val="20"/>
              </w:rPr>
              <w:t xml:space="preserve"> </w:t>
            </w:r>
            <w:r>
              <w:rPr>
                <w:spacing w:val="18"/>
                <w:sz w:val="20"/>
                <w:szCs w:val="20"/>
              </w:rPr>
              <w:t>。土壤环境质量稳中向好，土壤环</w:t>
            </w:r>
          </w:p>
          <w:p w14:paraId="648CA767">
            <w:pPr>
              <w:pStyle w:val="6"/>
              <w:spacing w:before="26" w:line="228" w:lineRule="auto"/>
              <w:ind w:left="153"/>
              <w:rPr>
                <w:sz w:val="20"/>
                <w:szCs w:val="20"/>
              </w:rPr>
            </w:pPr>
            <w:r>
              <w:rPr>
                <w:spacing w:val="18"/>
                <w:sz w:val="20"/>
                <w:szCs w:val="20"/>
              </w:rPr>
              <w:t>境风险得到管控</w:t>
            </w:r>
            <w:r>
              <w:rPr>
                <w:spacing w:val="-60"/>
                <w:sz w:val="20"/>
                <w:szCs w:val="20"/>
              </w:rPr>
              <w:t xml:space="preserve"> </w:t>
            </w:r>
            <w:r>
              <w:rPr>
                <w:spacing w:val="18"/>
                <w:sz w:val="20"/>
                <w:szCs w:val="20"/>
              </w:rPr>
              <w:t>。近岸海域水体质量</w:t>
            </w:r>
          </w:p>
          <w:p w14:paraId="0DA7A581">
            <w:pPr>
              <w:pStyle w:val="6"/>
              <w:spacing w:before="25" w:line="228" w:lineRule="auto"/>
              <w:ind w:left="1372"/>
              <w:rPr>
                <w:sz w:val="20"/>
                <w:szCs w:val="20"/>
              </w:rPr>
            </w:pPr>
            <w:r>
              <w:rPr>
                <w:spacing w:val="12"/>
                <w:sz w:val="20"/>
                <w:szCs w:val="20"/>
              </w:rPr>
              <w:t>稳步提升。</w:t>
            </w:r>
          </w:p>
        </w:tc>
        <w:tc>
          <w:tcPr>
            <w:tcW w:w="3132" w:type="dxa"/>
            <w:vAlign w:val="top"/>
          </w:tcPr>
          <w:p w14:paraId="6AC83720">
            <w:pPr>
              <w:spacing w:line="289" w:lineRule="auto"/>
              <w:rPr>
                <w:rFonts w:ascii="Arial"/>
                <w:sz w:val="21"/>
              </w:rPr>
            </w:pPr>
          </w:p>
          <w:p w14:paraId="14EC2781">
            <w:pPr>
              <w:pStyle w:val="6"/>
              <w:spacing w:before="65" w:line="228" w:lineRule="auto"/>
              <w:ind w:left="136"/>
              <w:rPr>
                <w:sz w:val="20"/>
                <w:szCs w:val="20"/>
              </w:rPr>
            </w:pPr>
            <w:r>
              <w:rPr>
                <w:spacing w:val="20"/>
                <w:sz w:val="20"/>
                <w:szCs w:val="20"/>
              </w:rPr>
              <w:t>项目大气环境达到《环境空气</w:t>
            </w:r>
          </w:p>
          <w:p w14:paraId="5B0A8835">
            <w:pPr>
              <w:pStyle w:val="6"/>
              <w:spacing w:before="24" w:line="228" w:lineRule="auto"/>
              <w:ind w:left="164"/>
              <w:outlineLvl w:val="1"/>
              <w:rPr>
                <w:sz w:val="20"/>
                <w:szCs w:val="20"/>
              </w:rPr>
            </w:pPr>
            <w:r>
              <w:rPr>
                <w:spacing w:val="12"/>
                <w:sz w:val="20"/>
                <w:szCs w:val="20"/>
              </w:rPr>
              <w:t>质量标准》</w:t>
            </w:r>
            <w:r>
              <w:rPr>
                <w:spacing w:val="-57"/>
                <w:sz w:val="20"/>
                <w:szCs w:val="20"/>
              </w:rPr>
              <w:t xml:space="preserve"> </w:t>
            </w:r>
            <w:r>
              <w:rPr>
                <w:spacing w:val="1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2"/>
                <w:sz w:val="20"/>
                <w:szCs w:val="20"/>
              </w:rPr>
              <w:t>3095-2012</w:t>
            </w:r>
            <w:r>
              <w:rPr>
                <w:spacing w:val="12"/>
                <w:sz w:val="20"/>
                <w:szCs w:val="20"/>
              </w:rPr>
              <w:t>）</w:t>
            </w:r>
          </w:p>
          <w:p w14:paraId="247914A5">
            <w:pPr>
              <w:pStyle w:val="6"/>
              <w:spacing w:before="25" w:line="228" w:lineRule="auto"/>
              <w:ind w:left="131"/>
              <w:rPr>
                <w:sz w:val="20"/>
                <w:szCs w:val="20"/>
              </w:rPr>
            </w:pPr>
            <w:r>
              <w:rPr>
                <w:spacing w:val="17"/>
                <w:sz w:val="20"/>
                <w:szCs w:val="20"/>
              </w:rPr>
              <w:t>及其修改单二级标准要求</w:t>
            </w:r>
            <w:r>
              <w:rPr>
                <w:spacing w:val="-54"/>
                <w:sz w:val="20"/>
                <w:szCs w:val="20"/>
              </w:rPr>
              <w:t xml:space="preserve"> </w:t>
            </w:r>
            <w:r>
              <w:rPr>
                <w:spacing w:val="17"/>
                <w:sz w:val="20"/>
                <w:szCs w:val="20"/>
              </w:rPr>
              <w:t>。项</w:t>
            </w:r>
          </w:p>
          <w:p w14:paraId="12DE1F98">
            <w:pPr>
              <w:pStyle w:val="6"/>
              <w:spacing w:before="26" w:line="228" w:lineRule="auto"/>
              <w:ind w:left="172"/>
              <w:rPr>
                <w:sz w:val="20"/>
                <w:szCs w:val="20"/>
              </w:rPr>
            </w:pPr>
            <w:r>
              <w:rPr>
                <w:spacing w:val="17"/>
                <w:sz w:val="20"/>
                <w:szCs w:val="20"/>
              </w:rPr>
              <w:t>目生产废水、生活污水经处理</w:t>
            </w:r>
          </w:p>
          <w:p w14:paraId="59D5DE2C">
            <w:pPr>
              <w:pStyle w:val="6"/>
              <w:spacing w:before="24" w:line="228" w:lineRule="auto"/>
              <w:ind w:left="131"/>
              <w:rPr>
                <w:sz w:val="20"/>
                <w:szCs w:val="20"/>
              </w:rPr>
            </w:pPr>
            <w:r>
              <w:rPr>
                <w:spacing w:val="20"/>
                <w:sz w:val="20"/>
                <w:szCs w:val="20"/>
              </w:rPr>
              <w:t>达标后排入污水管网，最后汇</w:t>
            </w:r>
          </w:p>
          <w:p w14:paraId="17B0EE10">
            <w:pPr>
              <w:pStyle w:val="6"/>
              <w:spacing w:before="24" w:line="227" w:lineRule="auto"/>
              <w:ind w:left="131"/>
              <w:rPr>
                <w:sz w:val="20"/>
                <w:szCs w:val="20"/>
              </w:rPr>
            </w:pPr>
            <w:r>
              <w:rPr>
                <w:spacing w:val="13"/>
                <w:sz w:val="20"/>
                <w:szCs w:val="20"/>
              </w:rPr>
              <w:t>入可塘镇污水处理厂</w:t>
            </w:r>
            <w:r>
              <w:rPr>
                <w:spacing w:val="-49"/>
                <w:sz w:val="20"/>
                <w:szCs w:val="20"/>
              </w:rPr>
              <w:t xml:space="preserve"> </w:t>
            </w:r>
            <w:r>
              <w:rPr>
                <w:spacing w:val="13"/>
                <w:sz w:val="20"/>
                <w:szCs w:val="20"/>
              </w:rPr>
              <w:t>。项</w:t>
            </w:r>
            <w:r>
              <w:rPr>
                <w:spacing w:val="-40"/>
                <w:sz w:val="20"/>
                <w:szCs w:val="20"/>
              </w:rPr>
              <w:t xml:space="preserve"> </w:t>
            </w:r>
            <w:r>
              <w:rPr>
                <w:spacing w:val="13"/>
                <w:sz w:val="20"/>
                <w:szCs w:val="20"/>
              </w:rPr>
              <w:t>目附</w:t>
            </w:r>
          </w:p>
          <w:p w14:paraId="41A613C6">
            <w:pPr>
              <w:pStyle w:val="6"/>
              <w:spacing w:before="28" w:line="228" w:lineRule="auto"/>
              <w:ind w:left="131"/>
              <w:rPr>
                <w:sz w:val="20"/>
                <w:szCs w:val="20"/>
              </w:rPr>
            </w:pPr>
            <w:r>
              <w:rPr>
                <w:spacing w:val="20"/>
                <w:sz w:val="20"/>
                <w:szCs w:val="20"/>
              </w:rPr>
              <w:t>近声环境质量能够满足相应标</w:t>
            </w:r>
          </w:p>
          <w:p w14:paraId="49BF79B4">
            <w:pPr>
              <w:pStyle w:val="6"/>
              <w:spacing w:before="25" w:line="229" w:lineRule="auto"/>
              <w:ind w:left="1132"/>
              <w:rPr>
                <w:sz w:val="20"/>
                <w:szCs w:val="20"/>
              </w:rPr>
            </w:pPr>
            <w:r>
              <w:rPr>
                <w:spacing w:val="10"/>
                <w:sz w:val="20"/>
                <w:szCs w:val="20"/>
              </w:rPr>
              <w:t>准要求。</w:t>
            </w:r>
          </w:p>
        </w:tc>
        <w:tc>
          <w:tcPr>
            <w:tcW w:w="551" w:type="dxa"/>
            <w:textDirection w:val="tbRlV"/>
            <w:vAlign w:val="top"/>
          </w:tcPr>
          <w:p w14:paraId="7A6BF435">
            <w:pPr>
              <w:pStyle w:val="6"/>
              <w:spacing w:before="169" w:line="215" w:lineRule="auto"/>
              <w:ind w:left="1174"/>
              <w:outlineLvl w:val="1"/>
              <w:rPr>
                <w:sz w:val="20"/>
                <w:szCs w:val="20"/>
              </w:rPr>
            </w:pPr>
            <w:r>
              <w:rPr>
                <w:spacing w:val="8"/>
                <w:sz w:val="20"/>
                <w:szCs w:val="20"/>
              </w:rPr>
              <w:t>符</w:t>
            </w:r>
            <w:r>
              <w:rPr>
                <w:spacing w:val="-38"/>
                <w:sz w:val="20"/>
                <w:szCs w:val="20"/>
              </w:rPr>
              <w:t xml:space="preserve"> </w:t>
            </w:r>
            <w:r>
              <w:rPr>
                <w:spacing w:val="8"/>
                <w:sz w:val="20"/>
                <w:szCs w:val="20"/>
              </w:rPr>
              <w:t>合</w:t>
            </w:r>
          </w:p>
        </w:tc>
        <w:tc>
          <w:tcPr>
            <w:tcW w:w="162" w:type="dxa"/>
            <w:tcBorders>
              <w:top w:val="nil"/>
              <w:bottom w:val="nil"/>
              <w:right w:val="single" w:color="000000" w:sz="6" w:space="0"/>
            </w:tcBorders>
            <w:vAlign w:val="top"/>
          </w:tcPr>
          <w:p w14:paraId="371EBB2C">
            <w:pPr>
              <w:rPr>
                <w:rFonts w:ascii="Arial"/>
                <w:sz w:val="21"/>
              </w:rPr>
            </w:pPr>
          </w:p>
        </w:tc>
      </w:tr>
      <w:tr w14:paraId="01556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469" w:type="dxa"/>
            <w:vMerge w:val="continue"/>
            <w:tcBorders>
              <w:top w:val="nil"/>
              <w:left w:val="single" w:color="000000" w:sz="6" w:space="0"/>
              <w:bottom w:val="nil"/>
            </w:tcBorders>
            <w:vAlign w:val="top"/>
          </w:tcPr>
          <w:p w14:paraId="1B04D573">
            <w:pPr>
              <w:rPr>
                <w:rFonts w:ascii="Arial"/>
                <w:sz w:val="21"/>
              </w:rPr>
            </w:pPr>
          </w:p>
        </w:tc>
        <w:tc>
          <w:tcPr>
            <w:tcW w:w="153" w:type="dxa"/>
            <w:tcBorders>
              <w:top w:val="nil"/>
              <w:bottom w:val="nil"/>
            </w:tcBorders>
            <w:vAlign w:val="top"/>
          </w:tcPr>
          <w:p w14:paraId="6BDC09D9">
            <w:pPr>
              <w:rPr>
                <w:rFonts w:ascii="Arial"/>
                <w:sz w:val="21"/>
              </w:rPr>
            </w:pPr>
          </w:p>
        </w:tc>
        <w:tc>
          <w:tcPr>
            <w:tcW w:w="557" w:type="dxa"/>
            <w:textDirection w:val="tbRlV"/>
            <w:vAlign w:val="top"/>
          </w:tcPr>
          <w:p w14:paraId="345AC2C5">
            <w:pPr>
              <w:pStyle w:val="6"/>
              <w:spacing w:before="184" w:line="217" w:lineRule="auto"/>
              <w:ind w:left="230"/>
              <w:outlineLvl w:val="1"/>
              <w:rPr>
                <w:sz w:val="20"/>
                <w:szCs w:val="20"/>
              </w:rPr>
            </w:pPr>
            <w:r>
              <w:rPr>
                <w:spacing w:val="8"/>
                <w:sz w:val="20"/>
                <w:szCs w:val="20"/>
              </w:rPr>
              <w:t>资</w:t>
            </w:r>
            <w:r>
              <w:rPr>
                <w:spacing w:val="-34"/>
                <w:sz w:val="20"/>
                <w:szCs w:val="20"/>
              </w:rPr>
              <w:t xml:space="preserve"> </w:t>
            </w:r>
            <w:r>
              <w:rPr>
                <w:spacing w:val="8"/>
                <w:sz w:val="20"/>
                <w:szCs w:val="20"/>
              </w:rPr>
              <w:t>源</w:t>
            </w:r>
            <w:r>
              <w:rPr>
                <w:spacing w:val="-36"/>
                <w:sz w:val="20"/>
                <w:szCs w:val="20"/>
              </w:rPr>
              <w:t xml:space="preserve"> </w:t>
            </w:r>
            <w:r>
              <w:rPr>
                <w:spacing w:val="8"/>
                <w:sz w:val="20"/>
                <w:szCs w:val="20"/>
              </w:rPr>
              <w:t>利</w:t>
            </w:r>
            <w:r>
              <w:rPr>
                <w:spacing w:val="-37"/>
                <w:sz w:val="20"/>
                <w:szCs w:val="20"/>
              </w:rPr>
              <w:t xml:space="preserve"> </w:t>
            </w:r>
            <w:r>
              <w:rPr>
                <w:spacing w:val="8"/>
                <w:sz w:val="20"/>
                <w:szCs w:val="20"/>
              </w:rPr>
              <w:t>用</w:t>
            </w:r>
            <w:r>
              <w:rPr>
                <w:spacing w:val="-35"/>
                <w:sz w:val="20"/>
                <w:szCs w:val="20"/>
              </w:rPr>
              <w:t xml:space="preserve"> </w:t>
            </w:r>
            <w:r>
              <w:rPr>
                <w:spacing w:val="8"/>
                <w:sz w:val="20"/>
                <w:szCs w:val="20"/>
              </w:rPr>
              <w:t>上</w:t>
            </w:r>
            <w:r>
              <w:rPr>
                <w:spacing w:val="-38"/>
                <w:sz w:val="20"/>
                <w:szCs w:val="20"/>
              </w:rPr>
              <w:t xml:space="preserve"> </w:t>
            </w:r>
            <w:r>
              <w:rPr>
                <w:spacing w:val="8"/>
                <w:sz w:val="20"/>
                <w:szCs w:val="20"/>
              </w:rPr>
              <w:t>线</w:t>
            </w:r>
          </w:p>
        </w:tc>
        <w:tc>
          <w:tcPr>
            <w:tcW w:w="3850" w:type="dxa"/>
            <w:vAlign w:val="top"/>
          </w:tcPr>
          <w:p w14:paraId="4388C2A9">
            <w:pPr>
              <w:pStyle w:val="6"/>
              <w:spacing w:before="231" w:line="243" w:lineRule="auto"/>
              <w:ind w:left="153" w:right="163"/>
              <w:outlineLvl w:val="1"/>
              <w:rPr>
                <w:sz w:val="20"/>
                <w:szCs w:val="20"/>
              </w:rPr>
            </w:pPr>
            <w:r>
              <w:rPr>
                <w:spacing w:val="20"/>
                <w:sz w:val="20"/>
                <w:szCs w:val="20"/>
              </w:rPr>
              <w:t>按照水、大气、土壤环境质量不断优</w:t>
            </w:r>
            <w:r>
              <w:rPr>
                <w:spacing w:val="6"/>
                <w:sz w:val="20"/>
                <w:szCs w:val="20"/>
              </w:rPr>
              <w:t xml:space="preserve"> </w:t>
            </w:r>
            <w:r>
              <w:rPr>
                <w:spacing w:val="20"/>
                <w:sz w:val="20"/>
                <w:szCs w:val="20"/>
              </w:rPr>
              <w:t>化的原则，结合环境质量现状和相关</w:t>
            </w:r>
            <w:r>
              <w:rPr>
                <w:spacing w:val="7"/>
                <w:sz w:val="20"/>
                <w:szCs w:val="20"/>
              </w:rPr>
              <w:t xml:space="preserve"> </w:t>
            </w:r>
            <w:r>
              <w:rPr>
                <w:spacing w:val="20"/>
                <w:sz w:val="20"/>
                <w:szCs w:val="20"/>
              </w:rPr>
              <w:t>规划、功能区划要求，考虑环境质量</w:t>
            </w:r>
          </w:p>
          <w:p w14:paraId="6C05C4C1">
            <w:pPr>
              <w:pStyle w:val="6"/>
              <w:spacing w:before="24" w:line="228" w:lineRule="auto"/>
              <w:ind w:left="159"/>
              <w:rPr>
                <w:sz w:val="20"/>
                <w:szCs w:val="20"/>
              </w:rPr>
            </w:pPr>
            <w:r>
              <w:rPr>
                <w:spacing w:val="20"/>
                <w:sz w:val="20"/>
                <w:szCs w:val="20"/>
              </w:rPr>
              <w:t>改善潜力，确定的分区域分阶段环境</w:t>
            </w:r>
          </w:p>
          <w:p w14:paraId="100029E7">
            <w:pPr>
              <w:pStyle w:val="6"/>
              <w:spacing w:before="26" w:line="228" w:lineRule="auto"/>
              <w:ind w:left="153"/>
              <w:rPr>
                <w:sz w:val="20"/>
                <w:szCs w:val="20"/>
              </w:rPr>
            </w:pPr>
            <w:r>
              <w:rPr>
                <w:spacing w:val="20"/>
                <w:sz w:val="20"/>
                <w:szCs w:val="20"/>
              </w:rPr>
              <w:t>质量目标及相应的环境管控、污染物</w:t>
            </w:r>
          </w:p>
          <w:p w14:paraId="19B6E1AD">
            <w:pPr>
              <w:pStyle w:val="6"/>
              <w:spacing w:before="24" w:line="228" w:lineRule="auto"/>
              <w:ind w:left="1040"/>
              <w:rPr>
                <w:sz w:val="20"/>
                <w:szCs w:val="20"/>
              </w:rPr>
            </w:pPr>
            <w:r>
              <w:rPr>
                <w:spacing w:val="16"/>
                <w:sz w:val="20"/>
                <w:szCs w:val="20"/>
              </w:rPr>
              <w:t>排放控制等要求。</w:t>
            </w:r>
          </w:p>
        </w:tc>
        <w:tc>
          <w:tcPr>
            <w:tcW w:w="3132" w:type="dxa"/>
            <w:vAlign w:val="top"/>
          </w:tcPr>
          <w:p w14:paraId="44FF7DAA">
            <w:pPr>
              <w:spacing w:line="437" w:lineRule="auto"/>
              <w:rPr>
                <w:rFonts w:ascii="Arial"/>
                <w:sz w:val="21"/>
              </w:rPr>
            </w:pPr>
          </w:p>
          <w:p w14:paraId="5AE1A217">
            <w:pPr>
              <w:pStyle w:val="6"/>
              <w:spacing w:before="65" w:line="245" w:lineRule="auto"/>
              <w:ind w:left="133" w:right="129" w:firstLine="2"/>
              <w:outlineLvl w:val="1"/>
              <w:rPr>
                <w:sz w:val="20"/>
                <w:szCs w:val="20"/>
              </w:rPr>
            </w:pPr>
            <w:r>
              <w:rPr>
                <w:spacing w:val="20"/>
                <w:sz w:val="20"/>
                <w:szCs w:val="20"/>
              </w:rPr>
              <w:t>项目营运过程中消耗一定量的</w:t>
            </w:r>
            <w:r>
              <w:rPr>
                <w:sz w:val="20"/>
                <w:szCs w:val="20"/>
              </w:rPr>
              <w:t xml:space="preserve"> </w:t>
            </w:r>
            <w:r>
              <w:rPr>
                <w:spacing w:val="20"/>
                <w:sz w:val="20"/>
                <w:szCs w:val="20"/>
              </w:rPr>
              <w:t>电量、水资源等，项目资源消</w:t>
            </w:r>
            <w:r>
              <w:rPr>
                <w:spacing w:val="2"/>
                <w:sz w:val="20"/>
                <w:szCs w:val="20"/>
              </w:rPr>
              <w:t xml:space="preserve"> </w:t>
            </w:r>
            <w:r>
              <w:rPr>
                <w:spacing w:val="20"/>
                <w:sz w:val="20"/>
                <w:szCs w:val="20"/>
              </w:rPr>
              <w:t>耗量相对区域资源利用总量较</w:t>
            </w:r>
            <w:r>
              <w:rPr>
                <w:spacing w:val="2"/>
                <w:sz w:val="20"/>
                <w:szCs w:val="20"/>
              </w:rPr>
              <w:t xml:space="preserve"> </w:t>
            </w:r>
            <w:r>
              <w:rPr>
                <w:spacing w:val="18"/>
                <w:sz w:val="20"/>
                <w:szCs w:val="20"/>
              </w:rPr>
              <w:t>少，符合资源利用上限要求。</w:t>
            </w:r>
          </w:p>
        </w:tc>
        <w:tc>
          <w:tcPr>
            <w:tcW w:w="551" w:type="dxa"/>
            <w:textDirection w:val="tbRlV"/>
            <w:vAlign w:val="top"/>
          </w:tcPr>
          <w:p w14:paraId="0907FD5D">
            <w:pPr>
              <w:pStyle w:val="6"/>
              <w:spacing w:before="169" w:line="215" w:lineRule="auto"/>
              <w:ind w:left="775"/>
              <w:outlineLvl w:val="1"/>
              <w:rPr>
                <w:sz w:val="20"/>
                <w:szCs w:val="20"/>
              </w:rPr>
            </w:pPr>
            <w:r>
              <w:rPr>
                <w:spacing w:val="8"/>
                <w:sz w:val="20"/>
                <w:szCs w:val="20"/>
              </w:rPr>
              <w:t>符</w:t>
            </w:r>
            <w:r>
              <w:rPr>
                <w:spacing w:val="-38"/>
                <w:sz w:val="20"/>
                <w:szCs w:val="20"/>
              </w:rPr>
              <w:t xml:space="preserve"> </w:t>
            </w:r>
            <w:r>
              <w:rPr>
                <w:spacing w:val="8"/>
                <w:sz w:val="20"/>
                <w:szCs w:val="20"/>
              </w:rPr>
              <w:t>合</w:t>
            </w:r>
          </w:p>
        </w:tc>
        <w:tc>
          <w:tcPr>
            <w:tcW w:w="162" w:type="dxa"/>
            <w:tcBorders>
              <w:top w:val="nil"/>
              <w:bottom w:val="nil"/>
              <w:right w:val="single" w:color="000000" w:sz="6" w:space="0"/>
            </w:tcBorders>
            <w:vAlign w:val="top"/>
          </w:tcPr>
          <w:p w14:paraId="65D707F5">
            <w:pPr>
              <w:rPr>
                <w:rFonts w:ascii="Arial"/>
                <w:sz w:val="21"/>
              </w:rPr>
            </w:pPr>
          </w:p>
        </w:tc>
      </w:tr>
      <w:tr w14:paraId="5B585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1" w:hRule="atLeast"/>
        </w:trPr>
        <w:tc>
          <w:tcPr>
            <w:tcW w:w="469" w:type="dxa"/>
            <w:vMerge w:val="continue"/>
            <w:tcBorders>
              <w:top w:val="nil"/>
              <w:left w:val="single" w:color="000000" w:sz="6" w:space="0"/>
              <w:bottom w:val="single" w:color="000000" w:sz="6" w:space="0"/>
            </w:tcBorders>
            <w:vAlign w:val="top"/>
          </w:tcPr>
          <w:p w14:paraId="0069C8EB">
            <w:pPr>
              <w:rPr>
                <w:rFonts w:ascii="Arial"/>
                <w:sz w:val="21"/>
              </w:rPr>
            </w:pPr>
          </w:p>
        </w:tc>
        <w:tc>
          <w:tcPr>
            <w:tcW w:w="153" w:type="dxa"/>
            <w:tcBorders>
              <w:top w:val="nil"/>
              <w:bottom w:val="single" w:color="000000" w:sz="6" w:space="0"/>
            </w:tcBorders>
            <w:vAlign w:val="top"/>
          </w:tcPr>
          <w:p w14:paraId="5540A02A">
            <w:pPr>
              <w:rPr>
                <w:rFonts w:ascii="Arial"/>
                <w:sz w:val="21"/>
              </w:rPr>
            </w:pPr>
          </w:p>
        </w:tc>
        <w:tc>
          <w:tcPr>
            <w:tcW w:w="557" w:type="dxa"/>
            <w:tcBorders>
              <w:bottom w:val="single" w:color="000000" w:sz="6" w:space="0"/>
            </w:tcBorders>
            <w:textDirection w:val="tbRlV"/>
            <w:vAlign w:val="top"/>
          </w:tcPr>
          <w:p w14:paraId="4C326FBF">
            <w:pPr>
              <w:pStyle w:val="6"/>
              <w:spacing w:before="184" w:line="217" w:lineRule="auto"/>
              <w:ind w:left="145"/>
              <w:outlineLvl w:val="1"/>
              <w:rPr>
                <w:sz w:val="20"/>
                <w:szCs w:val="20"/>
              </w:rPr>
            </w:pPr>
            <w:r>
              <w:rPr>
                <w:spacing w:val="8"/>
                <w:sz w:val="20"/>
                <w:szCs w:val="20"/>
              </w:rPr>
              <w:t>生</w:t>
            </w:r>
            <w:r>
              <w:rPr>
                <w:spacing w:val="-30"/>
                <w:sz w:val="20"/>
                <w:szCs w:val="20"/>
              </w:rPr>
              <w:t xml:space="preserve"> </w:t>
            </w:r>
            <w:r>
              <w:rPr>
                <w:spacing w:val="8"/>
                <w:sz w:val="20"/>
                <w:szCs w:val="20"/>
              </w:rPr>
              <w:t>态</w:t>
            </w:r>
            <w:r>
              <w:rPr>
                <w:spacing w:val="-38"/>
                <w:sz w:val="20"/>
                <w:szCs w:val="20"/>
              </w:rPr>
              <w:t xml:space="preserve"> </w:t>
            </w:r>
            <w:r>
              <w:rPr>
                <w:spacing w:val="8"/>
                <w:sz w:val="20"/>
                <w:szCs w:val="20"/>
              </w:rPr>
              <w:t>环</w:t>
            </w:r>
            <w:r>
              <w:rPr>
                <w:spacing w:val="-35"/>
                <w:sz w:val="20"/>
                <w:szCs w:val="20"/>
              </w:rPr>
              <w:t xml:space="preserve"> </w:t>
            </w:r>
            <w:r>
              <w:rPr>
                <w:spacing w:val="8"/>
                <w:sz w:val="20"/>
                <w:szCs w:val="20"/>
              </w:rPr>
              <w:t>境</w:t>
            </w:r>
            <w:r>
              <w:rPr>
                <w:spacing w:val="-38"/>
                <w:sz w:val="20"/>
                <w:szCs w:val="20"/>
              </w:rPr>
              <w:t xml:space="preserve"> </w:t>
            </w:r>
            <w:r>
              <w:rPr>
                <w:spacing w:val="8"/>
                <w:sz w:val="20"/>
                <w:szCs w:val="20"/>
              </w:rPr>
              <w:t>准</w:t>
            </w:r>
            <w:r>
              <w:rPr>
                <w:spacing w:val="-37"/>
                <w:sz w:val="20"/>
                <w:szCs w:val="20"/>
              </w:rPr>
              <w:t xml:space="preserve"> </w:t>
            </w:r>
            <w:r>
              <w:rPr>
                <w:spacing w:val="8"/>
                <w:sz w:val="20"/>
                <w:szCs w:val="20"/>
              </w:rPr>
              <w:t>入</w:t>
            </w:r>
            <w:r>
              <w:rPr>
                <w:spacing w:val="-36"/>
                <w:sz w:val="20"/>
                <w:szCs w:val="20"/>
              </w:rPr>
              <w:t xml:space="preserve"> </w:t>
            </w:r>
            <w:r>
              <w:rPr>
                <w:spacing w:val="8"/>
                <w:sz w:val="20"/>
                <w:szCs w:val="20"/>
              </w:rPr>
              <w:t>清</w:t>
            </w:r>
            <w:r>
              <w:rPr>
                <w:spacing w:val="-35"/>
                <w:sz w:val="20"/>
                <w:szCs w:val="20"/>
              </w:rPr>
              <w:t xml:space="preserve"> </w:t>
            </w:r>
            <w:r>
              <w:rPr>
                <w:spacing w:val="8"/>
                <w:sz w:val="20"/>
                <w:szCs w:val="20"/>
              </w:rPr>
              <w:t>单</w:t>
            </w:r>
          </w:p>
        </w:tc>
        <w:tc>
          <w:tcPr>
            <w:tcW w:w="3850" w:type="dxa"/>
            <w:tcBorders>
              <w:bottom w:val="single" w:color="000000" w:sz="6" w:space="0"/>
            </w:tcBorders>
            <w:vAlign w:val="top"/>
          </w:tcPr>
          <w:p w14:paraId="0125D050">
            <w:pPr>
              <w:spacing w:line="243" w:lineRule="auto"/>
              <w:rPr>
                <w:rFonts w:ascii="Arial"/>
                <w:sz w:val="21"/>
              </w:rPr>
            </w:pPr>
          </w:p>
          <w:p w14:paraId="5BA38DB8">
            <w:pPr>
              <w:spacing w:line="243" w:lineRule="auto"/>
              <w:rPr>
                <w:rFonts w:ascii="Arial"/>
                <w:sz w:val="21"/>
              </w:rPr>
            </w:pPr>
          </w:p>
          <w:p w14:paraId="0C37BE0E">
            <w:pPr>
              <w:pStyle w:val="6"/>
              <w:spacing w:before="65" w:line="243" w:lineRule="auto"/>
              <w:ind w:left="152" w:right="163"/>
              <w:outlineLvl w:val="1"/>
              <w:rPr>
                <w:sz w:val="20"/>
                <w:szCs w:val="20"/>
              </w:rPr>
            </w:pPr>
            <w:r>
              <w:rPr>
                <w:spacing w:val="20"/>
                <w:sz w:val="20"/>
                <w:szCs w:val="20"/>
              </w:rPr>
              <w:t>基于环境管控单元，统筹考虑生态保</w:t>
            </w:r>
            <w:r>
              <w:rPr>
                <w:spacing w:val="8"/>
                <w:sz w:val="20"/>
                <w:szCs w:val="20"/>
              </w:rPr>
              <w:t xml:space="preserve"> </w:t>
            </w:r>
            <w:r>
              <w:rPr>
                <w:spacing w:val="20"/>
                <w:sz w:val="20"/>
                <w:szCs w:val="20"/>
              </w:rPr>
              <w:t>护红线、环境质量底线、资源利用上</w:t>
            </w:r>
            <w:r>
              <w:rPr>
                <w:spacing w:val="7"/>
                <w:sz w:val="20"/>
                <w:szCs w:val="20"/>
              </w:rPr>
              <w:t xml:space="preserve"> </w:t>
            </w:r>
            <w:r>
              <w:rPr>
                <w:spacing w:val="20"/>
                <w:sz w:val="20"/>
                <w:szCs w:val="20"/>
              </w:rPr>
              <w:t>线的管控要求，提出的空间布局、污</w:t>
            </w:r>
          </w:p>
          <w:p w14:paraId="3A1AD6E7">
            <w:pPr>
              <w:pStyle w:val="6"/>
              <w:spacing w:before="27" w:line="254" w:lineRule="auto"/>
              <w:ind w:left="154" w:right="163" w:firstLine="1"/>
              <w:rPr>
                <w:sz w:val="20"/>
                <w:szCs w:val="20"/>
              </w:rPr>
            </w:pPr>
            <w:r>
              <w:rPr>
                <w:spacing w:val="20"/>
                <w:sz w:val="20"/>
                <w:szCs w:val="20"/>
              </w:rPr>
              <w:t>染物排放、环境风险、资源开发利用</w:t>
            </w:r>
            <w:r>
              <w:rPr>
                <w:spacing w:val="5"/>
                <w:sz w:val="20"/>
                <w:szCs w:val="20"/>
              </w:rPr>
              <w:t xml:space="preserve"> </w:t>
            </w:r>
            <w:r>
              <w:rPr>
                <w:spacing w:val="19"/>
                <w:sz w:val="20"/>
                <w:szCs w:val="20"/>
              </w:rPr>
              <w:t>等方面禁止和限制的环境准入要求。</w:t>
            </w:r>
          </w:p>
        </w:tc>
        <w:tc>
          <w:tcPr>
            <w:tcW w:w="3132" w:type="dxa"/>
            <w:tcBorders>
              <w:bottom w:val="single" w:color="000000" w:sz="6" w:space="0"/>
            </w:tcBorders>
            <w:vAlign w:val="top"/>
          </w:tcPr>
          <w:p w14:paraId="16B403DE">
            <w:pPr>
              <w:pStyle w:val="6"/>
              <w:spacing w:before="280" w:line="244" w:lineRule="auto"/>
              <w:ind w:left="133" w:right="129" w:firstLine="2"/>
              <w:outlineLvl w:val="1"/>
              <w:rPr>
                <w:sz w:val="20"/>
                <w:szCs w:val="20"/>
              </w:rPr>
            </w:pPr>
            <w:r>
              <w:rPr>
                <w:spacing w:val="20"/>
                <w:sz w:val="20"/>
                <w:szCs w:val="20"/>
              </w:rPr>
              <w:t>项目位于海丰县可塘镇圆山岭</w:t>
            </w:r>
            <w:r>
              <w:rPr>
                <w:sz w:val="20"/>
                <w:szCs w:val="20"/>
              </w:rPr>
              <w:t xml:space="preserve"> </w:t>
            </w:r>
            <w:r>
              <w:rPr>
                <w:spacing w:val="20"/>
                <w:sz w:val="20"/>
                <w:szCs w:val="20"/>
              </w:rPr>
              <w:t>开发区，属于工艺美术及礼仪</w:t>
            </w:r>
            <w:r>
              <w:rPr>
                <w:sz w:val="20"/>
                <w:szCs w:val="20"/>
              </w:rPr>
              <w:t xml:space="preserve"> </w:t>
            </w:r>
            <w:r>
              <w:rPr>
                <w:spacing w:val="17"/>
                <w:sz w:val="20"/>
                <w:szCs w:val="20"/>
              </w:rPr>
              <w:t>用品制造</w:t>
            </w:r>
            <w:r>
              <w:rPr>
                <w:spacing w:val="-58"/>
                <w:sz w:val="20"/>
                <w:szCs w:val="20"/>
              </w:rPr>
              <w:t xml:space="preserve"> </w:t>
            </w:r>
            <w:r>
              <w:rPr>
                <w:spacing w:val="17"/>
                <w:sz w:val="20"/>
                <w:szCs w:val="20"/>
              </w:rPr>
              <w:t>。不属于《市场准入</w:t>
            </w:r>
          </w:p>
          <w:p w14:paraId="46E7BADE">
            <w:pPr>
              <w:pStyle w:val="6"/>
              <w:spacing w:before="26" w:line="228" w:lineRule="auto"/>
              <w:ind w:left="121"/>
              <w:rPr>
                <w:sz w:val="20"/>
                <w:szCs w:val="20"/>
              </w:rPr>
            </w:pPr>
            <w:r>
              <w:rPr>
                <w:spacing w:val="11"/>
                <w:sz w:val="20"/>
                <w:szCs w:val="20"/>
              </w:rPr>
              <w:t>负面清单（</w:t>
            </w:r>
            <w:r>
              <w:rPr>
                <w:rFonts w:ascii="Times New Roman" w:hAnsi="Times New Roman" w:eastAsia="Times New Roman" w:cs="Times New Roman"/>
                <w:spacing w:val="11"/>
                <w:sz w:val="20"/>
                <w:szCs w:val="20"/>
              </w:rPr>
              <w:t>2022</w:t>
            </w:r>
            <w:r>
              <w:rPr>
                <w:rFonts w:ascii="Times New Roman" w:hAnsi="Times New Roman" w:eastAsia="Times New Roman" w:cs="Times New Roman"/>
                <w:spacing w:val="26"/>
                <w:w w:val="101"/>
                <w:sz w:val="20"/>
                <w:szCs w:val="20"/>
              </w:rPr>
              <w:t xml:space="preserve"> </w:t>
            </w:r>
            <w:r>
              <w:rPr>
                <w:spacing w:val="11"/>
                <w:sz w:val="20"/>
                <w:szCs w:val="20"/>
              </w:rPr>
              <w:t>年版）</w:t>
            </w:r>
            <w:r>
              <w:rPr>
                <w:spacing w:val="-50"/>
                <w:sz w:val="20"/>
                <w:szCs w:val="20"/>
              </w:rPr>
              <w:t xml:space="preserve"> </w:t>
            </w:r>
            <w:r>
              <w:rPr>
                <w:spacing w:val="11"/>
                <w:sz w:val="20"/>
                <w:szCs w:val="20"/>
              </w:rPr>
              <w:t>》的通</w:t>
            </w:r>
          </w:p>
          <w:p w14:paraId="0FA1465C">
            <w:pPr>
              <w:pStyle w:val="6"/>
              <w:spacing w:before="24" w:line="228" w:lineRule="auto"/>
              <w:ind w:left="192"/>
              <w:rPr>
                <w:rFonts w:ascii="Times New Roman" w:hAnsi="Times New Roman" w:eastAsia="Times New Roman" w:cs="Times New Roman"/>
                <w:sz w:val="20"/>
                <w:szCs w:val="20"/>
              </w:rPr>
            </w:pPr>
            <w:r>
              <w:rPr>
                <w:spacing w:val="16"/>
                <w:sz w:val="20"/>
                <w:szCs w:val="20"/>
              </w:rPr>
              <w:t>知（发改体改规﹝</w:t>
            </w:r>
            <w:r>
              <w:rPr>
                <w:rFonts w:ascii="Times New Roman" w:hAnsi="Times New Roman" w:eastAsia="Times New Roman" w:cs="Times New Roman"/>
                <w:spacing w:val="16"/>
                <w:sz w:val="20"/>
                <w:szCs w:val="20"/>
              </w:rPr>
              <w:t>2022</w:t>
            </w:r>
            <w:r>
              <w:rPr>
                <w:spacing w:val="16"/>
                <w:sz w:val="20"/>
                <w:szCs w:val="20"/>
              </w:rPr>
              <w:t>﹞</w:t>
            </w:r>
            <w:r>
              <w:rPr>
                <w:rFonts w:ascii="Times New Roman" w:hAnsi="Times New Roman" w:eastAsia="Times New Roman" w:cs="Times New Roman"/>
                <w:spacing w:val="16"/>
                <w:sz w:val="20"/>
                <w:szCs w:val="20"/>
              </w:rPr>
              <w:t>397</w:t>
            </w:r>
          </w:p>
          <w:p w14:paraId="4F5FEDCB">
            <w:pPr>
              <w:pStyle w:val="6"/>
              <w:spacing w:before="26" w:line="228" w:lineRule="auto"/>
              <w:ind w:left="137"/>
              <w:rPr>
                <w:sz w:val="20"/>
                <w:szCs w:val="20"/>
              </w:rPr>
            </w:pPr>
            <w:r>
              <w:rPr>
                <w:spacing w:val="15"/>
                <w:sz w:val="20"/>
                <w:szCs w:val="20"/>
              </w:rPr>
              <w:t>号）</w:t>
            </w:r>
            <w:r>
              <w:rPr>
                <w:spacing w:val="-37"/>
                <w:sz w:val="20"/>
                <w:szCs w:val="20"/>
              </w:rPr>
              <w:t xml:space="preserve"> </w:t>
            </w:r>
            <w:r>
              <w:rPr>
                <w:spacing w:val="15"/>
                <w:sz w:val="20"/>
                <w:szCs w:val="20"/>
              </w:rPr>
              <w:t>中禁止和许可事项，符合</w:t>
            </w:r>
          </w:p>
          <w:p w14:paraId="36245222">
            <w:pPr>
              <w:pStyle w:val="6"/>
              <w:spacing w:before="25" w:line="228" w:lineRule="auto"/>
              <w:ind w:left="688"/>
              <w:rPr>
                <w:sz w:val="20"/>
                <w:szCs w:val="20"/>
              </w:rPr>
            </w:pPr>
            <w:r>
              <w:rPr>
                <w:spacing w:val="16"/>
                <w:sz w:val="20"/>
                <w:szCs w:val="20"/>
              </w:rPr>
              <w:t>准入清单的要求。</w:t>
            </w:r>
          </w:p>
        </w:tc>
        <w:tc>
          <w:tcPr>
            <w:tcW w:w="551" w:type="dxa"/>
            <w:tcBorders>
              <w:bottom w:val="single" w:color="000000" w:sz="6" w:space="0"/>
            </w:tcBorders>
            <w:textDirection w:val="tbRlV"/>
            <w:vAlign w:val="top"/>
          </w:tcPr>
          <w:p w14:paraId="120F70BC">
            <w:pPr>
              <w:pStyle w:val="6"/>
              <w:spacing w:before="169" w:line="215" w:lineRule="auto"/>
              <w:ind w:left="963"/>
              <w:outlineLvl w:val="1"/>
              <w:rPr>
                <w:sz w:val="20"/>
                <w:szCs w:val="20"/>
              </w:rPr>
            </w:pPr>
            <w:r>
              <w:rPr>
                <w:spacing w:val="8"/>
                <w:sz w:val="20"/>
                <w:szCs w:val="20"/>
              </w:rPr>
              <w:t>符</w:t>
            </w:r>
            <w:r>
              <w:rPr>
                <w:spacing w:val="-37"/>
                <w:sz w:val="20"/>
                <w:szCs w:val="20"/>
              </w:rPr>
              <w:t xml:space="preserve"> </w:t>
            </w:r>
            <w:r>
              <w:rPr>
                <w:spacing w:val="8"/>
                <w:sz w:val="20"/>
                <w:szCs w:val="20"/>
              </w:rPr>
              <w:t>合</w:t>
            </w:r>
          </w:p>
        </w:tc>
        <w:tc>
          <w:tcPr>
            <w:tcW w:w="162" w:type="dxa"/>
            <w:tcBorders>
              <w:top w:val="nil"/>
              <w:bottom w:val="single" w:color="000000" w:sz="6" w:space="0"/>
              <w:right w:val="single" w:color="000000" w:sz="6" w:space="0"/>
            </w:tcBorders>
            <w:vAlign w:val="top"/>
          </w:tcPr>
          <w:p w14:paraId="43AB2AA9">
            <w:pPr>
              <w:rPr>
                <w:rFonts w:ascii="Arial"/>
                <w:sz w:val="21"/>
              </w:rPr>
            </w:pPr>
          </w:p>
        </w:tc>
      </w:tr>
    </w:tbl>
    <w:p w14:paraId="781D203B">
      <w:pPr>
        <w:rPr>
          <w:rFonts w:ascii="Arial"/>
          <w:sz w:val="21"/>
        </w:rPr>
      </w:pPr>
    </w:p>
    <w:p w14:paraId="1A7EDB71">
      <w:pPr>
        <w:rPr>
          <w:rFonts w:ascii="Arial" w:hAnsi="Arial" w:eastAsia="Arial" w:cs="Arial"/>
          <w:sz w:val="21"/>
          <w:szCs w:val="21"/>
        </w:rPr>
        <w:sectPr>
          <w:footerReference r:id="rId10" w:type="default"/>
          <w:pgSz w:w="11906" w:h="16839"/>
          <w:pgMar w:top="400" w:right="1508" w:bottom="1240" w:left="1508" w:header="0" w:footer="1078" w:gutter="0"/>
          <w:cols w:space="720" w:num="1"/>
        </w:sectPr>
      </w:pPr>
    </w:p>
    <w:p w14:paraId="7C25D4F1">
      <w:pPr>
        <w:spacing w:before="19"/>
      </w:pPr>
    </w:p>
    <w:p w14:paraId="6D3AE227">
      <w:pPr>
        <w:spacing w:before="19"/>
      </w:pPr>
    </w:p>
    <w:p w14:paraId="4BF8025A">
      <w:pPr>
        <w:spacing w:before="19"/>
      </w:pPr>
    </w:p>
    <w:p w14:paraId="55DB252B">
      <w:pPr>
        <w:spacing w:before="18"/>
      </w:pPr>
    </w:p>
    <w:p w14:paraId="1B32FC9A">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53"/>
        <w:gridCol w:w="557"/>
        <w:gridCol w:w="3850"/>
        <w:gridCol w:w="3132"/>
        <w:gridCol w:w="551"/>
        <w:gridCol w:w="162"/>
      </w:tblGrid>
      <w:tr w14:paraId="09F84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5" w:hRule="atLeast"/>
        </w:trPr>
        <w:tc>
          <w:tcPr>
            <w:tcW w:w="469" w:type="dxa"/>
            <w:vMerge w:val="restart"/>
            <w:tcBorders>
              <w:top w:val="single" w:color="000000" w:sz="6" w:space="0"/>
              <w:left w:val="single" w:color="000000" w:sz="6" w:space="0"/>
              <w:bottom w:val="nil"/>
            </w:tcBorders>
            <w:vAlign w:val="top"/>
          </w:tcPr>
          <w:p w14:paraId="53FFB09A">
            <w:pPr>
              <w:rPr>
                <w:rFonts w:ascii="Arial"/>
                <w:sz w:val="21"/>
              </w:rPr>
            </w:pPr>
          </w:p>
        </w:tc>
        <w:tc>
          <w:tcPr>
            <w:tcW w:w="153" w:type="dxa"/>
            <w:tcBorders>
              <w:top w:val="single" w:color="000000" w:sz="6" w:space="0"/>
              <w:bottom w:val="nil"/>
            </w:tcBorders>
            <w:vAlign w:val="top"/>
          </w:tcPr>
          <w:p w14:paraId="69B4EE01">
            <w:pPr>
              <w:rPr>
                <w:rFonts w:ascii="Arial"/>
                <w:sz w:val="21"/>
              </w:rPr>
            </w:pPr>
          </w:p>
        </w:tc>
        <w:tc>
          <w:tcPr>
            <w:tcW w:w="557" w:type="dxa"/>
            <w:vMerge w:val="restart"/>
            <w:tcBorders>
              <w:top w:val="single" w:color="000000" w:sz="6" w:space="0"/>
              <w:bottom w:val="nil"/>
            </w:tcBorders>
            <w:vAlign w:val="top"/>
          </w:tcPr>
          <w:p w14:paraId="28274BDE">
            <w:pPr>
              <w:spacing w:line="245" w:lineRule="auto"/>
              <w:rPr>
                <w:rFonts w:ascii="Arial"/>
                <w:sz w:val="21"/>
              </w:rPr>
            </w:pPr>
            <w:r>
              <w:pict>
                <v:shape id="_x0000_s1026" o:spid="_x0000_s1026" o:spt="202" type="#_x0000_t202" style="position:absolute;left:0pt;margin-left:5.65pt;margin-top:200.3pt;height:47.85pt;width:13.9pt;mso-position-horizontal-relative:page;mso-position-vertical-relative:page;z-index:251659264;mso-width-relative:page;mso-height-relative:page;" filled="f" stroked="f" coordsize="21600,21600">
                  <v:path/>
                  <v:fill on="f" focussize="0,0"/>
                  <v:stroke on="f"/>
                  <v:imagedata o:title=""/>
                  <o:lock v:ext="edit" aspectratio="f"/>
                  <v:textbox inset="0mm,0mm,0mm,0mm" style="layout-flow:vertical-ideographic;">
                    <w:txbxContent>
                      <w:p w14:paraId="3D5B990D">
                        <w:pPr>
                          <w:pStyle w:val="6"/>
                          <w:spacing w:before="20" w:line="213" w:lineRule="auto"/>
                          <w:jc w:val="right"/>
                          <w:outlineLvl w:val="1"/>
                          <w:rPr>
                            <w:sz w:val="20"/>
                            <w:szCs w:val="20"/>
                          </w:rPr>
                        </w:pPr>
                        <w:r>
                          <w:rPr>
                            <w:spacing w:val="9"/>
                            <w:sz w:val="20"/>
                            <w:szCs w:val="20"/>
                          </w:rPr>
                          <w:t>核</w:t>
                        </w:r>
                        <w:r>
                          <w:rPr>
                            <w:spacing w:val="41"/>
                            <w:sz w:val="20"/>
                            <w:szCs w:val="20"/>
                          </w:rPr>
                          <w:t xml:space="preserve"> </w:t>
                        </w:r>
                        <w:r>
                          <w:rPr>
                            <w:spacing w:val="-71"/>
                            <w:w w:val="46"/>
                            <w:sz w:val="20"/>
                            <w:szCs w:val="20"/>
                          </w:rPr>
                          <w:t>一</w:t>
                        </w:r>
                        <w:r>
                          <w:rPr>
                            <w:spacing w:val="73"/>
                            <w:sz w:val="20"/>
                            <w:szCs w:val="20"/>
                          </w:rPr>
                          <w:t xml:space="preserve"> </w:t>
                        </w:r>
                        <w:r>
                          <w:rPr>
                            <w:spacing w:val="9"/>
                            <w:sz w:val="20"/>
                            <w:szCs w:val="20"/>
                          </w:rPr>
                          <w:t>带</w:t>
                        </w:r>
                        <w:r>
                          <w:rPr>
                            <w:spacing w:val="41"/>
                            <w:sz w:val="20"/>
                            <w:szCs w:val="20"/>
                          </w:rPr>
                          <w:t xml:space="preserve"> </w:t>
                        </w:r>
                        <w:r>
                          <w:rPr>
                            <w:spacing w:val="-71"/>
                            <w:w w:val="46"/>
                            <w:sz w:val="20"/>
                            <w:szCs w:val="20"/>
                          </w:rPr>
                          <w:t>一</w:t>
                        </w:r>
                      </w:p>
                    </w:txbxContent>
                  </v:textbox>
                </v:shape>
              </w:pict>
            </w:r>
          </w:p>
          <w:p w14:paraId="0FE1ED8D">
            <w:pPr>
              <w:spacing w:line="245" w:lineRule="auto"/>
              <w:rPr>
                <w:rFonts w:ascii="Arial"/>
                <w:sz w:val="21"/>
              </w:rPr>
            </w:pPr>
          </w:p>
          <w:p w14:paraId="1D190B1A">
            <w:pPr>
              <w:spacing w:line="245" w:lineRule="auto"/>
              <w:rPr>
                <w:rFonts w:ascii="Arial"/>
                <w:sz w:val="21"/>
              </w:rPr>
            </w:pPr>
          </w:p>
          <w:p w14:paraId="32EF4C5F">
            <w:pPr>
              <w:spacing w:line="245" w:lineRule="auto"/>
              <w:rPr>
                <w:rFonts w:ascii="Arial"/>
                <w:sz w:val="21"/>
              </w:rPr>
            </w:pPr>
          </w:p>
          <w:p w14:paraId="75FEB014">
            <w:pPr>
              <w:spacing w:line="246" w:lineRule="auto"/>
              <w:rPr>
                <w:rFonts w:ascii="Arial"/>
                <w:sz w:val="21"/>
              </w:rPr>
            </w:pPr>
          </w:p>
          <w:p w14:paraId="7FBC511D">
            <w:pPr>
              <w:spacing w:line="246" w:lineRule="auto"/>
              <w:rPr>
                <w:rFonts w:ascii="Arial"/>
                <w:sz w:val="21"/>
              </w:rPr>
            </w:pPr>
          </w:p>
          <w:p w14:paraId="5C83BA21">
            <w:pPr>
              <w:spacing w:line="246" w:lineRule="auto"/>
              <w:rPr>
                <w:rFonts w:ascii="Arial"/>
                <w:sz w:val="21"/>
              </w:rPr>
            </w:pPr>
          </w:p>
          <w:p w14:paraId="4AD852F6">
            <w:pPr>
              <w:spacing w:line="246" w:lineRule="auto"/>
              <w:rPr>
                <w:rFonts w:ascii="Arial"/>
                <w:sz w:val="21"/>
              </w:rPr>
            </w:pPr>
          </w:p>
          <w:p w14:paraId="3CE27798">
            <w:pPr>
              <w:spacing w:line="246" w:lineRule="auto"/>
              <w:rPr>
                <w:rFonts w:ascii="Arial"/>
                <w:sz w:val="21"/>
              </w:rPr>
            </w:pPr>
          </w:p>
          <w:p w14:paraId="6FCDB744">
            <w:pPr>
              <w:spacing w:line="246" w:lineRule="auto"/>
              <w:rPr>
                <w:rFonts w:ascii="Arial"/>
                <w:sz w:val="21"/>
              </w:rPr>
            </w:pPr>
          </w:p>
          <w:p w14:paraId="4CE6F7A2">
            <w:pPr>
              <w:spacing w:line="246" w:lineRule="auto"/>
              <w:rPr>
                <w:rFonts w:ascii="Arial"/>
                <w:sz w:val="21"/>
              </w:rPr>
            </w:pPr>
          </w:p>
          <w:p w14:paraId="54677F24">
            <w:pPr>
              <w:spacing w:line="246" w:lineRule="auto"/>
              <w:rPr>
                <w:rFonts w:ascii="Arial"/>
                <w:sz w:val="21"/>
              </w:rPr>
            </w:pPr>
          </w:p>
          <w:p w14:paraId="4859A96B">
            <w:pPr>
              <w:spacing w:line="246" w:lineRule="auto"/>
              <w:rPr>
                <w:rFonts w:ascii="Arial"/>
                <w:sz w:val="21"/>
              </w:rPr>
            </w:pPr>
          </w:p>
          <w:p w14:paraId="36544F2F">
            <w:pPr>
              <w:spacing w:line="246" w:lineRule="auto"/>
              <w:rPr>
                <w:rFonts w:ascii="Arial"/>
                <w:sz w:val="21"/>
              </w:rPr>
            </w:pPr>
          </w:p>
          <w:p w14:paraId="5628C284">
            <w:pPr>
              <w:spacing w:line="246" w:lineRule="auto"/>
              <w:rPr>
                <w:rFonts w:ascii="Arial"/>
                <w:sz w:val="21"/>
              </w:rPr>
            </w:pPr>
          </w:p>
          <w:p w14:paraId="347AC792">
            <w:pPr>
              <w:pStyle w:val="6"/>
              <w:spacing w:before="65" w:line="183" w:lineRule="auto"/>
              <w:ind w:left="70"/>
              <w:rPr>
                <w:sz w:val="20"/>
                <w:szCs w:val="20"/>
              </w:rPr>
            </w:pPr>
            <w:r>
              <w:rPr>
                <w:rFonts w:ascii="Times New Roman" w:hAnsi="Times New Roman" w:eastAsia="Times New Roman" w:cs="Times New Roman"/>
                <w:spacing w:val="20"/>
                <w:sz w:val="20"/>
                <w:szCs w:val="20"/>
              </w:rPr>
              <w:t>“</w:t>
            </w:r>
            <w:r>
              <w:rPr>
                <w:rFonts w:ascii="Times New Roman" w:hAnsi="Times New Roman" w:eastAsia="Times New Roman" w:cs="Times New Roman"/>
                <w:spacing w:val="-33"/>
                <w:sz w:val="20"/>
                <w:szCs w:val="20"/>
              </w:rPr>
              <w:t xml:space="preserve"> </w:t>
            </w:r>
            <w:r>
              <w:rPr>
                <w:spacing w:val="20"/>
                <w:sz w:val="20"/>
                <w:szCs w:val="20"/>
              </w:rPr>
              <w:t>一</w:t>
            </w:r>
          </w:p>
          <w:p w14:paraId="3A166276">
            <w:pPr>
              <w:spacing w:line="264" w:lineRule="auto"/>
              <w:rPr>
                <w:rFonts w:ascii="Arial"/>
                <w:sz w:val="21"/>
              </w:rPr>
            </w:pPr>
          </w:p>
          <w:p w14:paraId="046A8B2A">
            <w:pPr>
              <w:spacing w:line="264" w:lineRule="auto"/>
              <w:rPr>
                <w:rFonts w:ascii="Arial"/>
                <w:sz w:val="21"/>
              </w:rPr>
            </w:pPr>
          </w:p>
          <w:p w14:paraId="6F7CC02A">
            <w:pPr>
              <w:spacing w:line="265" w:lineRule="auto"/>
              <w:rPr>
                <w:rFonts w:ascii="Arial"/>
                <w:sz w:val="21"/>
              </w:rPr>
            </w:pPr>
          </w:p>
          <w:p w14:paraId="374E317C">
            <w:pPr>
              <w:spacing w:line="265" w:lineRule="auto"/>
              <w:rPr>
                <w:rFonts w:ascii="Arial"/>
                <w:sz w:val="21"/>
              </w:rPr>
            </w:pPr>
          </w:p>
          <w:p w14:paraId="7CAEE59F">
            <w:pPr>
              <w:pStyle w:val="6"/>
              <w:spacing w:before="65" w:line="251" w:lineRule="auto"/>
              <w:ind w:left="182" w:right="83" w:hanging="50"/>
              <w:rPr>
                <w:sz w:val="20"/>
                <w:szCs w:val="20"/>
              </w:rPr>
            </w:pPr>
            <w:r>
              <w:rPr>
                <w:spacing w:val="23"/>
                <w:sz w:val="20"/>
                <w:szCs w:val="20"/>
              </w:rPr>
              <w:t>区</w:t>
            </w:r>
            <w:r>
              <w:rPr>
                <w:rFonts w:ascii="Times New Roman" w:hAnsi="Times New Roman" w:eastAsia="Times New Roman" w:cs="Times New Roman"/>
                <w:spacing w:val="23"/>
                <w:sz w:val="20"/>
                <w:szCs w:val="20"/>
              </w:rPr>
              <w:t>”</w:t>
            </w:r>
            <w:r>
              <w:rPr>
                <w:rFonts w:ascii="Times New Roman" w:hAnsi="Times New Roman" w:eastAsia="Times New Roman" w:cs="Times New Roman"/>
                <w:sz w:val="20"/>
                <w:szCs w:val="20"/>
              </w:rPr>
              <w:t xml:space="preserve"> </w:t>
            </w:r>
            <w:r>
              <w:rPr>
                <w:sz w:val="20"/>
                <w:szCs w:val="20"/>
              </w:rPr>
              <w:t>区</w:t>
            </w:r>
          </w:p>
          <w:p w14:paraId="715A523C">
            <w:pPr>
              <w:pStyle w:val="6"/>
              <w:spacing w:line="228" w:lineRule="auto"/>
              <w:ind w:left="167"/>
              <w:rPr>
                <w:sz w:val="20"/>
                <w:szCs w:val="20"/>
              </w:rPr>
            </w:pPr>
            <w:r>
              <w:rPr>
                <w:sz w:val="20"/>
                <w:szCs w:val="20"/>
              </w:rPr>
              <w:t>域</w:t>
            </w:r>
          </w:p>
          <w:p w14:paraId="3711530E">
            <w:pPr>
              <w:pStyle w:val="6"/>
              <w:spacing w:before="23" w:line="228" w:lineRule="auto"/>
              <w:ind w:left="171"/>
              <w:rPr>
                <w:sz w:val="20"/>
                <w:szCs w:val="20"/>
              </w:rPr>
            </w:pPr>
            <w:r>
              <w:rPr>
                <w:sz w:val="20"/>
                <w:szCs w:val="20"/>
              </w:rPr>
              <w:t>管</w:t>
            </w:r>
          </w:p>
          <w:p w14:paraId="1945A613">
            <w:pPr>
              <w:pStyle w:val="6"/>
              <w:spacing w:before="27" w:line="228" w:lineRule="auto"/>
              <w:ind w:left="166"/>
              <w:rPr>
                <w:sz w:val="20"/>
                <w:szCs w:val="20"/>
              </w:rPr>
            </w:pPr>
            <w:r>
              <w:rPr>
                <w:spacing w:val="1"/>
                <w:sz w:val="20"/>
                <w:szCs w:val="20"/>
              </w:rPr>
              <w:t>控</w:t>
            </w:r>
          </w:p>
          <w:p w14:paraId="052A5624">
            <w:pPr>
              <w:pStyle w:val="6"/>
              <w:spacing w:before="23" w:line="231" w:lineRule="auto"/>
              <w:ind w:left="167"/>
              <w:rPr>
                <w:sz w:val="20"/>
                <w:szCs w:val="20"/>
              </w:rPr>
            </w:pPr>
            <w:r>
              <w:rPr>
                <w:sz w:val="20"/>
                <w:szCs w:val="20"/>
              </w:rPr>
              <w:t>要</w:t>
            </w:r>
          </w:p>
          <w:p w14:paraId="5E6BFF94">
            <w:pPr>
              <w:pStyle w:val="6"/>
              <w:spacing w:before="21" w:line="229" w:lineRule="auto"/>
              <w:ind w:left="168"/>
              <w:rPr>
                <w:sz w:val="20"/>
                <w:szCs w:val="20"/>
              </w:rPr>
            </w:pPr>
            <w:r>
              <w:rPr>
                <w:sz w:val="20"/>
                <w:szCs w:val="20"/>
              </w:rPr>
              <w:t>求</w:t>
            </w:r>
          </w:p>
        </w:tc>
        <w:tc>
          <w:tcPr>
            <w:tcW w:w="3850" w:type="dxa"/>
            <w:tcBorders>
              <w:top w:val="single" w:color="000000" w:sz="6" w:space="0"/>
            </w:tcBorders>
            <w:vAlign w:val="top"/>
          </w:tcPr>
          <w:p w14:paraId="56E54D04">
            <w:pPr>
              <w:pStyle w:val="6"/>
              <w:spacing w:before="95" w:line="244" w:lineRule="auto"/>
              <w:ind w:left="152" w:right="124" w:hanging="38"/>
              <w:outlineLvl w:val="1"/>
              <w:rPr>
                <w:sz w:val="20"/>
                <w:szCs w:val="20"/>
              </w:rPr>
            </w:pPr>
            <w:r>
              <w:rPr>
                <w:spacing w:val="14"/>
                <w:sz w:val="20"/>
                <w:szCs w:val="20"/>
              </w:rPr>
              <w:t>沿海经济带</w:t>
            </w:r>
            <w:r>
              <w:rPr>
                <w:rFonts w:ascii="Times New Roman" w:hAnsi="Times New Roman" w:eastAsia="Times New Roman" w:cs="Times New Roman"/>
                <w:spacing w:val="14"/>
                <w:sz w:val="20"/>
                <w:szCs w:val="20"/>
              </w:rPr>
              <w:t>-</w:t>
            </w:r>
            <w:r>
              <w:rPr>
                <w:spacing w:val="14"/>
                <w:sz w:val="20"/>
                <w:szCs w:val="20"/>
              </w:rPr>
              <w:t>东西两翼地区</w:t>
            </w:r>
            <w:r>
              <w:rPr>
                <w:spacing w:val="-42"/>
                <w:sz w:val="20"/>
                <w:szCs w:val="20"/>
              </w:rPr>
              <w:t xml:space="preserve"> </w:t>
            </w:r>
            <w:r>
              <w:rPr>
                <w:spacing w:val="14"/>
                <w:sz w:val="20"/>
                <w:szCs w:val="20"/>
              </w:rPr>
              <w:t>。</w:t>
            </w:r>
            <w:r>
              <w:rPr>
                <w:spacing w:val="-59"/>
                <w:sz w:val="20"/>
                <w:szCs w:val="20"/>
              </w:rPr>
              <w:t xml:space="preserve"> </w:t>
            </w:r>
            <w:r>
              <w:rPr>
                <w:spacing w:val="14"/>
                <w:sz w:val="20"/>
                <w:szCs w:val="20"/>
              </w:rPr>
              <w:t>区域布局</w:t>
            </w:r>
            <w:r>
              <w:rPr>
                <w:sz w:val="20"/>
                <w:szCs w:val="20"/>
              </w:rPr>
              <w:t xml:space="preserve"> </w:t>
            </w:r>
            <w:r>
              <w:rPr>
                <w:spacing w:val="18"/>
                <w:sz w:val="20"/>
                <w:szCs w:val="20"/>
              </w:rPr>
              <w:t>管控要求</w:t>
            </w:r>
            <w:r>
              <w:rPr>
                <w:spacing w:val="-47"/>
                <w:sz w:val="20"/>
                <w:szCs w:val="20"/>
              </w:rPr>
              <w:t xml:space="preserve"> </w:t>
            </w:r>
            <w:r>
              <w:rPr>
                <w:spacing w:val="18"/>
                <w:sz w:val="20"/>
                <w:szCs w:val="20"/>
              </w:rPr>
              <w:t>。加强以云雾山、天露山、</w:t>
            </w:r>
            <w:r>
              <w:rPr>
                <w:sz w:val="20"/>
                <w:szCs w:val="20"/>
              </w:rPr>
              <w:t xml:space="preserve"> </w:t>
            </w:r>
            <w:r>
              <w:rPr>
                <w:spacing w:val="20"/>
                <w:sz w:val="20"/>
                <w:szCs w:val="20"/>
              </w:rPr>
              <w:t>莲花山、凤凰山等连绵山体为核心的</w:t>
            </w:r>
          </w:p>
          <w:p w14:paraId="4C09F993">
            <w:pPr>
              <w:pStyle w:val="6"/>
              <w:spacing w:before="26" w:line="228" w:lineRule="auto"/>
              <w:ind w:left="156"/>
              <w:rPr>
                <w:sz w:val="20"/>
                <w:szCs w:val="20"/>
              </w:rPr>
            </w:pPr>
            <w:r>
              <w:rPr>
                <w:spacing w:val="20"/>
                <w:sz w:val="20"/>
                <w:szCs w:val="20"/>
              </w:rPr>
              <w:t>天然生态屏障保护，强化红树林等滨</w:t>
            </w:r>
          </w:p>
          <w:p w14:paraId="6C929097">
            <w:pPr>
              <w:pStyle w:val="6"/>
              <w:spacing w:before="24" w:line="228" w:lineRule="auto"/>
              <w:ind w:left="151"/>
              <w:rPr>
                <w:sz w:val="20"/>
                <w:szCs w:val="20"/>
              </w:rPr>
            </w:pPr>
            <w:r>
              <w:rPr>
                <w:spacing w:val="20"/>
                <w:sz w:val="20"/>
                <w:szCs w:val="20"/>
              </w:rPr>
              <w:t>海湿地保护，严禁侵占自然湿地，实</w:t>
            </w:r>
          </w:p>
          <w:p w14:paraId="1BEE2A86">
            <w:pPr>
              <w:pStyle w:val="6"/>
              <w:spacing w:before="24" w:line="227" w:lineRule="auto"/>
              <w:ind w:left="105"/>
              <w:rPr>
                <w:rFonts w:ascii="Times New Roman" w:hAnsi="Times New Roman" w:eastAsia="Times New Roman" w:cs="Times New Roman"/>
                <w:sz w:val="20"/>
                <w:szCs w:val="20"/>
              </w:rPr>
            </w:pPr>
            <w:r>
              <w:rPr>
                <w:spacing w:val="2"/>
                <w:sz w:val="20"/>
                <w:szCs w:val="20"/>
              </w:rPr>
              <w:t>施退耕还湿、退养还滩、退塘还林。</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2"/>
                <w:sz w:val="20"/>
                <w:szCs w:val="20"/>
              </w:rPr>
              <w:t>.</w:t>
            </w:r>
          </w:p>
          <w:p w14:paraId="4B4EE36E">
            <w:pPr>
              <w:pStyle w:val="6"/>
              <w:spacing w:before="27" w:line="228" w:lineRule="auto"/>
              <w:ind w:left="153"/>
              <w:rPr>
                <w:sz w:val="20"/>
                <w:szCs w:val="20"/>
              </w:rPr>
            </w:pPr>
            <w:r>
              <w:rPr>
                <w:spacing w:val="18"/>
                <w:sz w:val="20"/>
                <w:szCs w:val="20"/>
              </w:rPr>
              <w:t>逐步扩大高污染燃料禁燃区范围，</w:t>
            </w:r>
            <w:r>
              <w:rPr>
                <w:spacing w:val="-46"/>
                <w:sz w:val="20"/>
                <w:szCs w:val="20"/>
              </w:rPr>
              <w:t xml:space="preserve"> </w:t>
            </w:r>
            <w:r>
              <w:rPr>
                <w:spacing w:val="18"/>
                <w:sz w:val="20"/>
                <w:szCs w:val="20"/>
              </w:rPr>
              <w:t>引</w:t>
            </w:r>
          </w:p>
          <w:p w14:paraId="4503E010">
            <w:pPr>
              <w:pStyle w:val="6"/>
              <w:spacing w:before="27" w:line="228" w:lineRule="auto"/>
              <w:ind w:left="157"/>
              <w:rPr>
                <w:sz w:val="20"/>
                <w:szCs w:val="20"/>
              </w:rPr>
            </w:pPr>
            <w:r>
              <w:rPr>
                <w:spacing w:val="20"/>
                <w:sz w:val="20"/>
                <w:szCs w:val="20"/>
              </w:rPr>
              <w:t>导钢铁、石化、燃煤燃油火电等项目</w:t>
            </w:r>
          </w:p>
          <w:p w14:paraId="1CE02B0F">
            <w:pPr>
              <w:pStyle w:val="6"/>
              <w:spacing w:before="24" w:line="227" w:lineRule="auto"/>
              <w:ind w:left="151"/>
              <w:rPr>
                <w:sz w:val="20"/>
                <w:szCs w:val="20"/>
              </w:rPr>
            </w:pPr>
            <w:r>
              <w:rPr>
                <w:spacing w:val="20"/>
                <w:sz w:val="20"/>
                <w:szCs w:val="20"/>
              </w:rPr>
              <w:t>在大气受体敏感区、布局敏感区、弱</w:t>
            </w:r>
          </w:p>
          <w:p w14:paraId="34EA2D53">
            <w:pPr>
              <w:pStyle w:val="6"/>
              <w:spacing w:before="28" w:line="227" w:lineRule="auto"/>
              <w:ind w:left="152"/>
              <w:rPr>
                <w:sz w:val="20"/>
                <w:szCs w:val="20"/>
              </w:rPr>
            </w:pPr>
            <w:r>
              <w:rPr>
                <w:spacing w:val="20"/>
                <w:sz w:val="20"/>
                <w:szCs w:val="20"/>
              </w:rPr>
              <w:t>扩散区以外区域布局，推动涉及化学</w:t>
            </w:r>
          </w:p>
          <w:p w14:paraId="7D39DF16">
            <w:pPr>
              <w:pStyle w:val="6"/>
              <w:spacing w:before="25" w:line="227" w:lineRule="auto"/>
              <w:ind w:left="153"/>
              <w:rPr>
                <w:sz w:val="20"/>
                <w:szCs w:val="20"/>
              </w:rPr>
            </w:pPr>
            <w:r>
              <w:rPr>
                <w:spacing w:val="14"/>
                <w:sz w:val="20"/>
                <w:szCs w:val="20"/>
              </w:rPr>
              <w:t>制浆、</w:t>
            </w:r>
            <w:r>
              <w:rPr>
                <w:spacing w:val="-41"/>
                <w:sz w:val="20"/>
                <w:szCs w:val="20"/>
              </w:rPr>
              <w:t xml:space="preserve"> </w:t>
            </w:r>
            <w:r>
              <w:rPr>
                <w:spacing w:val="14"/>
                <w:sz w:val="20"/>
                <w:szCs w:val="20"/>
              </w:rPr>
              <w:t>电镀、</w:t>
            </w:r>
            <w:r>
              <w:rPr>
                <w:spacing w:val="-56"/>
                <w:sz w:val="20"/>
                <w:szCs w:val="20"/>
              </w:rPr>
              <w:t xml:space="preserve"> </w:t>
            </w:r>
            <w:r>
              <w:rPr>
                <w:spacing w:val="14"/>
                <w:sz w:val="20"/>
                <w:szCs w:val="20"/>
              </w:rPr>
              <w:t>印染、鞣革等项目的园</w:t>
            </w:r>
          </w:p>
          <w:p w14:paraId="4F89F0B3">
            <w:pPr>
              <w:pStyle w:val="6"/>
              <w:spacing w:before="25" w:line="227" w:lineRule="auto"/>
              <w:ind w:left="388"/>
              <w:rPr>
                <w:sz w:val="20"/>
                <w:szCs w:val="20"/>
              </w:rPr>
            </w:pPr>
            <w:r>
              <w:rPr>
                <w:spacing w:val="17"/>
                <w:sz w:val="20"/>
                <w:szCs w:val="20"/>
              </w:rPr>
              <w:t>区在具备排海条件的区域布局。</w:t>
            </w:r>
          </w:p>
        </w:tc>
        <w:tc>
          <w:tcPr>
            <w:tcW w:w="3132" w:type="dxa"/>
            <w:tcBorders>
              <w:top w:val="single" w:color="000000" w:sz="6" w:space="0"/>
            </w:tcBorders>
            <w:vAlign w:val="top"/>
          </w:tcPr>
          <w:p w14:paraId="52A2AD6D">
            <w:pPr>
              <w:spacing w:line="278" w:lineRule="auto"/>
              <w:rPr>
                <w:rFonts w:ascii="Arial"/>
                <w:sz w:val="21"/>
              </w:rPr>
            </w:pPr>
          </w:p>
          <w:p w14:paraId="522C3FEC">
            <w:pPr>
              <w:spacing w:line="278" w:lineRule="auto"/>
              <w:rPr>
                <w:rFonts w:ascii="Arial"/>
                <w:sz w:val="21"/>
              </w:rPr>
            </w:pPr>
          </w:p>
          <w:p w14:paraId="0588E1CC">
            <w:pPr>
              <w:spacing w:line="279" w:lineRule="auto"/>
              <w:rPr>
                <w:rFonts w:ascii="Arial"/>
                <w:sz w:val="21"/>
              </w:rPr>
            </w:pPr>
          </w:p>
          <w:p w14:paraId="74926F82">
            <w:pPr>
              <w:spacing w:line="279" w:lineRule="auto"/>
              <w:rPr>
                <w:rFonts w:ascii="Arial"/>
                <w:sz w:val="21"/>
              </w:rPr>
            </w:pPr>
          </w:p>
          <w:p w14:paraId="7D102585">
            <w:pPr>
              <w:pStyle w:val="6"/>
              <w:tabs>
                <w:tab w:val="left" w:pos="1020"/>
              </w:tabs>
              <w:spacing w:before="65" w:line="246" w:lineRule="auto"/>
              <w:ind w:left="133" w:right="129" w:firstLine="2"/>
              <w:outlineLvl w:val="1"/>
              <w:rPr>
                <w:sz w:val="20"/>
                <w:szCs w:val="20"/>
              </w:rPr>
            </w:pPr>
            <w:r>
              <w:rPr>
                <w:spacing w:val="20"/>
                <w:sz w:val="20"/>
                <w:szCs w:val="20"/>
              </w:rPr>
              <w:t>项目位于海丰县可塘镇圆山岭</w:t>
            </w:r>
            <w:r>
              <w:rPr>
                <w:sz w:val="20"/>
                <w:szCs w:val="20"/>
              </w:rPr>
              <w:t xml:space="preserve"> </w:t>
            </w:r>
            <w:r>
              <w:rPr>
                <w:spacing w:val="20"/>
                <w:sz w:val="20"/>
                <w:szCs w:val="20"/>
              </w:rPr>
              <w:t>开发区，项目不在生态保护区</w:t>
            </w:r>
            <w:r>
              <w:rPr>
                <w:sz w:val="20"/>
                <w:szCs w:val="20"/>
              </w:rPr>
              <w:t xml:space="preserve"> </w:t>
            </w:r>
            <w:r>
              <w:rPr>
                <w:spacing w:val="17"/>
                <w:sz w:val="20"/>
                <w:szCs w:val="20"/>
              </w:rPr>
              <w:t>范围内</w:t>
            </w:r>
            <w:r>
              <w:rPr>
                <w:spacing w:val="-59"/>
                <w:sz w:val="20"/>
                <w:szCs w:val="20"/>
              </w:rPr>
              <w:t xml:space="preserve"> </w:t>
            </w:r>
            <w:r>
              <w:rPr>
                <w:spacing w:val="17"/>
                <w:sz w:val="20"/>
                <w:szCs w:val="20"/>
              </w:rPr>
              <w:t>。项目设备只使用电能</w:t>
            </w:r>
            <w:r>
              <w:rPr>
                <w:sz w:val="20"/>
                <w:szCs w:val="20"/>
              </w:rPr>
              <w:t xml:space="preserve"> </w:t>
            </w:r>
            <w:r>
              <w:rPr>
                <w:sz w:val="20"/>
                <w:szCs w:val="20"/>
              </w:rPr>
              <w:tab/>
            </w:r>
            <w:r>
              <w:rPr>
                <w:spacing w:val="13"/>
                <w:sz w:val="20"/>
                <w:szCs w:val="20"/>
              </w:rPr>
              <w:t>作为能源。</w:t>
            </w:r>
          </w:p>
        </w:tc>
        <w:tc>
          <w:tcPr>
            <w:tcW w:w="551" w:type="dxa"/>
            <w:tcBorders>
              <w:top w:val="single" w:color="000000" w:sz="6" w:space="0"/>
            </w:tcBorders>
            <w:textDirection w:val="tbRlV"/>
            <w:vAlign w:val="top"/>
          </w:tcPr>
          <w:p w14:paraId="0CF1FD34">
            <w:pPr>
              <w:pStyle w:val="6"/>
              <w:spacing w:before="169" w:line="215" w:lineRule="auto"/>
              <w:ind w:left="1460"/>
              <w:outlineLvl w:val="1"/>
              <w:rPr>
                <w:sz w:val="20"/>
                <w:szCs w:val="20"/>
              </w:rPr>
            </w:pPr>
            <w:r>
              <w:rPr>
                <w:spacing w:val="8"/>
                <w:sz w:val="20"/>
                <w:szCs w:val="20"/>
              </w:rPr>
              <w:t>符</w:t>
            </w:r>
            <w:r>
              <w:rPr>
                <w:spacing w:val="-37"/>
                <w:sz w:val="20"/>
                <w:szCs w:val="20"/>
              </w:rPr>
              <w:t xml:space="preserve"> </w:t>
            </w:r>
            <w:r>
              <w:rPr>
                <w:spacing w:val="8"/>
                <w:sz w:val="20"/>
                <w:szCs w:val="20"/>
              </w:rPr>
              <w:t>合</w:t>
            </w:r>
          </w:p>
        </w:tc>
        <w:tc>
          <w:tcPr>
            <w:tcW w:w="162" w:type="dxa"/>
            <w:tcBorders>
              <w:top w:val="single" w:color="000000" w:sz="6" w:space="0"/>
              <w:bottom w:val="nil"/>
              <w:right w:val="single" w:color="000000" w:sz="6" w:space="0"/>
            </w:tcBorders>
            <w:vAlign w:val="top"/>
          </w:tcPr>
          <w:p w14:paraId="35AAD590">
            <w:pPr>
              <w:rPr>
                <w:rFonts w:ascii="Arial"/>
                <w:sz w:val="21"/>
              </w:rPr>
            </w:pPr>
          </w:p>
        </w:tc>
      </w:tr>
      <w:tr w14:paraId="69BA6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trPr>
        <w:tc>
          <w:tcPr>
            <w:tcW w:w="469" w:type="dxa"/>
            <w:vMerge w:val="continue"/>
            <w:tcBorders>
              <w:top w:val="nil"/>
              <w:left w:val="single" w:color="000000" w:sz="6" w:space="0"/>
              <w:bottom w:val="nil"/>
            </w:tcBorders>
            <w:vAlign w:val="top"/>
          </w:tcPr>
          <w:p w14:paraId="49277AF6">
            <w:pPr>
              <w:rPr>
                <w:rFonts w:ascii="Arial"/>
                <w:sz w:val="21"/>
              </w:rPr>
            </w:pPr>
          </w:p>
        </w:tc>
        <w:tc>
          <w:tcPr>
            <w:tcW w:w="153" w:type="dxa"/>
            <w:tcBorders>
              <w:top w:val="nil"/>
              <w:bottom w:val="nil"/>
            </w:tcBorders>
            <w:vAlign w:val="top"/>
          </w:tcPr>
          <w:p w14:paraId="700FCE66">
            <w:pPr>
              <w:rPr>
                <w:rFonts w:ascii="Arial"/>
                <w:sz w:val="21"/>
              </w:rPr>
            </w:pPr>
          </w:p>
        </w:tc>
        <w:tc>
          <w:tcPr>
            <w:tcW w:w="557" w:type="dxa"/>
            <w:vMerge w:val="continue"/>
            <w:tcBorders>
              <w:top w:val="nil"/>
              <w:bottom w:val="nil"/>
            </w:tcBorders>
            <w:vAlign w:val="top"/>
          </w:tcPr>
          <w:p w14:paraId="7776AE13">
            <w:pPr>
              <w:rPr>
                <w:rFonts w:ascii="Arial"/>
                <w:sz w:val="21"/>
              </w:rPr>
            </w:pPr>
          </w:p>
        </w:tc>
        <w:tc>
          <w:tcPr>
            <w:tcW w:w="3850" w:type="dxa"/>
            <w:vAlign w:val="top"/>
          </w:tcPr>
          <w:p w14:paraId="0BDAB64B">
            <w:pPr>
              <w:pStyle w:val="6"/>
              <w:spacing w:before="101" w:line="244" w:lineRule="auto"/>
              <w:ind w:left="109" w:right="119" w:firstLine="51"/>
              <w:outlineLvl w:val="1"/>
              <w:rPr>
                <w:sz w:val="20"/>
                <w:szCs w:val="20"/>
              </w:rPr>
            </w:pPr>
            <w:r>
              <w:rPr>
                <w:spacing w:val="17"/>
                <w:sz w:val="20"/>
                <w:szCs w:val="20"/>
              </w:rPr>
              <w:t>能源资源利用要求</w:t>
            </w:r>
            <w:r>
              <w:rPr>
                <w:spacing w:val="-52"/>
                <w:sz w:val="20"/>
                <w:szCs w:val="20"/>
              </w:rPr>
              <w:t xml:space="preserve"> </w:t>
            </w:r>
            <w:r>
              <w:rPr>
                <w:spacing w:val="17"/>
                <w:sz w:val="20"/>
                <w:szCs w:val="20"/>
              </w:rPr>
              <w:t>。县级及以上城市</w:t>
            </w:r>
            <w:r>
              <w:rPr>
                <w:sz w:val="20"/>
                <w:szCs w:val="20"/>
              </w:rPr>
              <w:t xml:space="preserve"> </w:t>
            </w:r>
            <w:r>
              <w:rPr>
                <w:spacing w:val="15"/>
                <w:sz w:val="20"/>
                <w:szCs w:val="20"/>
              </w:rPr>
              <w:t>建成区，禁止新建每小时</w:t>
            </w:r>
            <w:r>
              <w:rPr>
                <w:spacing w:val="-15"/>
                <w:sz w:val="20"/>
                <w:szCs w:val="20"/>
              </w:rPr>
              <w:t xml:space="preserve"> </w:t>
            </w:r>
            <w:r>
              <w:rPr>
                <w:rFonts w:ascii="Times New Roman" w:hAnsi="Times New Roman" w:eastAsia="Times New Roman" w:cs="Times New Roman"/>
                <w:spacing w:val="15"/>
                <w:sz w:val="20"/>
                <w:szCs w:val="20"/>
              </w:rPr>
              <w:t>35</w:t>
            </w:r>
            <w:r>
              <w:rPr>
                <w:rFonts w:ascii="Times New Roman" w:hAnsi="Times New Roman" w:eastAsia="Times New Roman" w:cs="Times New Roman"/>
                <w:spacing w:val="24"/>
                <w:w w:val="101"/>
                <w:sz w:val="20"/>
                <w:szCs w:val="20"/>
              </w:rPr>
              <w:t xml:space="preserve"> </w:t>
            </w:r>
            <w:r>
              <w:rPr>
                <w:spacing w:val="15"/>
                <w:sz w:val="20"/>
                <w:szCs w:val="20"/>
              </w:rPr>
              <w:t>蒸吨以下</w:t>
            </w:r>
            <w:r>
              <w:rPr>
                <w:sz w:val="20"/>
                <w:szCs w:val="20"/>
              </w:rPr>
              <w:t xml:space="preserve"> </w:t>
            </w:r>
            <w:r>
              <w:rPr>
                <w:spacing w:val="23"/>
                <w:sz w:val="20"/>
                <w:szCs w:val="20"/>
              </w:rPr>
              <w:t>燃煤锅炉，健全用水总量控制指标体</w:t>
            </w:r>
          </w:p>
          <w:p w14:paraId="2F0EBC20">
            <w:pPr>
              <w:pStyle w:val="6"/>
              <w:spacing w:before="24" w:line="228" w:lineRule="auto"/>
              <w:ind w:left="156"/>
              <w:rPr>
                <w:sz w:val="20"/>
                <w:szCs w:val="20"/>
              </w:rPr>
            </w:pPr>
            <w:r>
              <w:rPr>
                <w:spacing w:val="20"/>
                <w:sz w:val="20"/>
                <w:szCs w:val="20"/>
              </w:rPr>
              <w:t>系，并实行严格管控，提高水资源利</w:t>
            </w:r>
          </w:p>
          <w:p w14:paraId="43E9D2C7">
            <w:pPr>
              <w:pStyle w:val="6"/>
              <w:spacing w:before="26" w:line="227" w:lineRule="auto"/>
              <w:ind w:left="108"/>
              <w:rPr>
                <w:sz w:val="20"/>
                <w:szCs w:val="20"/>
              </w:rPr>
            </w:pPr>
            <w:r>
              <w:rPr>
                <w:spacing w:val="18"/>
                <w:sz w:val="20"/>
                <w:szCs w:val="20"/>
              </w:rPr>
              <w:t>用效率，压减地下水超采区的采水量，</w:t>
            </w:r>
          </w:p>
          <w:p w14:paraId="6BD8A2C3">
            <w:pPr>
              <w:pStyle w:val="6"/>
              <w:spacing w:before="25" w:line="227" w:lineRule="auto"/>
              <w:ind w:left="155"/>
              <w:rPr>
                <w:sz w:val="20"/>
                <w:szCs w:val="20"/>
              </w:rPr>
            </w:pPr>
            <w:r>
              <w:rPr>
                <w:spacing w:val="17"/>
                <w:sz w:val="20"/>
                <w:szCs w:val="20"/>
              </w:rPr>
              <w:t>维持采补平衡</w:t>
            </w:r>
            <w:r>
              <w:rPr>
                <w:spacing w:val="-47"/>
                <w:sz w:val="20"/>
                <w:szCs w:val="20"/>
              </w:rPr>
              <w:t xml:space="preserve"> </w:t>
            </w:r>
            <w:r>
              <w:rPr>
                <w:spacing w:val="17"/>
                <w:sz w:val="20"/>
                <w:szCs w:val="20"/>
              </w:rPr>
              <w:t>。强化用地指标精细化</w:t>
            </w:r>
          </w:p>
          <w:p w14:paraId="187E14D4">
            <w:pPr>
              <w:pStyle w:val="6"/>
              <w:spacing w:before="28" w:line="226" w:lineRule="auto"/>
              <w:ind w:left="157"/>
              <w:rPr>
                <w:sz w:val="20"/>
                <w:szCs w:val="20"/>
              </w:rPr>
            </w:pPr>
            <w:r>
              <w:rPr>
                <w:spacing w:val="20"/>
                <w:sz w:val="20"/>
                <w:szCs w:val="20"/>
              </w:rPr>
              <w:t>管理，充分挖掘建设用地潜力，大幅</w:t>
            </w:r>
          </w:p>
          <w:p w14:paraId="58FDFF5E">
            <w:pPr>
              <w:pStyle w:val="6"/>
              <w:spacing w:before="26" w:line="228" w:lineRule="auto"/>
              <w:ind w:left="153"/>
              <w:rPr>
                <w:sz w:val="20"/>
                <w:szCs w:val="20"/>
              </w:rPr>
            </w:pPr>
            <w:r>
              <w:rPr>
                <w:spacing w:val="20"/>
                <w:sz w:val="20"/>
                <w:szCs w:val="20"/>
              </w:rPr>
              <w:t>提升粤东沿海等地区的土地节约集约</w:t>
            </w:r>
          </w:p>
          <w:p w14:paraId="06A3CFE0">
            <w:pPr>
              <w:pStyle w:val="6"/>
              <w:spacing w:before="24" w:line="228" w:lineRule="auto"/>
              <w:ind w:left="1372"/>
              <w:rPr>
                <w:sz w:val="20"/>
                <w:szCs w:val="20"/>
              </w:rPr>
            </w:pPr>
            <w:r>
              <w:rPr>
                <w:spacing w:val="12"/>
                <w:sz w:val="20"/>
                <w:szCs w:val="20"/>
              </w:rPr>
              <w:t>利用效率。</w:t>
            </w:r>
          </w:p>
        </w:tc>
        <w:tc>
          <w:tcPr>
            <w:tcW w:w="3132" w:type="dxa"/>
            <w:vAlign w:val="top"/>
          </w:tcPr>
          <w:p w14:paraId="4508E293">
            <w:pPr>
              <w:spacing w:line="358" w:lineRule="auto"/>
              <w:rPr>
                <w:rFonts w:ascii="Arial"/>
                <w:sz w:val="21"/>
              </w:rPr>
            </w:pPr>
          </w:p>
          <w:p w14:paraId="305450DA">
            <w:pPr>
              <w:spacing w:line="358" w:lineRule="auto"/>
              <w:rPr>
                <w:rFonts w:ascii="Arial"/>
                <w:sz w:val="21"/>
              </w:rPr>
            </w:pPr>
          </w:p>
          <w:p w14:paraId="5D92C4E0">
            <w:pPr>
              <w:pStyle w:val="6"/>
              <w:spacing w:before="65" w:line="245" w:lineRule="auto"/>
              <w:ind w:left="131" w:right="129" w:firstLine="4"/>
              <w:outlineLvl w:val="1"/>
              <w:rPr>
                <w:sz w:val="20"/>
                <w:szCs w:val="20"/>
              </w:rPr>
            </w:pPr>
            <w:r>
              <w:rPr>
                <w:spacing w:val="20"/>
                <w:sz w:val="20"/>
                <w:szCs w:val="20"/>
              </w:rPr>
              <w:t>项目不设锅炉，用水来源为市</w:t>
            </w:r>
            <w:r>
              <w:rPr>
                <w:sz w:val="20"/>
                <w:szCs w:val="20"/>
              </w:rPr>
              <w:t xml:space="preserve"> </w:t>
            </w:r>
            <w:r>
              <w:rPr>
                <w:spacing w:val="17"/>
                <w:sz w:val="20"/>
                <w:szCs w:val="20"/>
              </w:rPr>
              <w:t>政供水，不使用地下水资源</w:t>
            </w:r>
            <w:r>
              <w:rPr>
                <w:spacing w:val="-57"/>
                <w:sz w:val="20"/>
                <w:szCs w:val="20"/>
              </w:rPr>
              <w:t xml:space="preserve"> </w:t>
            </w:r>
            <w:r>
              <w:rPr>
                <w:spacing w:val="17"/>
                <w:sz w:val="20"/>
                <w:szCs w:val="20"/>
              </w:rPr>
              <w:t>。</w:t>
            </w:r>
            <w:r>
              <w:rPr>
                <w:sz w:val="20"/>
                <w:szCs w:val="20"/>
              </w:rPr>
              <w:t xml:space="preserve"> </w:t>
            </w:r>
            <w:r>
              <w:rPr>
                <w:spacing w:val="20"/>
                <w:sz w:val="20"/>
                <w:szCs w:val="20"/>
              </w:rPr>
              <w:t>项目所在地属于建设用地，保</w:t>
            </w:r>
            <w:r>
              <w:rPr>
                <w:spacing w:val="4"/>
                <w:sz w:val="20"/>
                <w:szCs w:val="20"/>
              </w:rPr>
              <w:t xml:space="preserve"> </w:t>
            </w:r>
            <w:r>
              <w:rPr>
                <w:spacing w:val="27"/>
                <w:sz w:val="20"/>
                <w:szCs w:val="20"/>
              </w:rPr>
              <w:t>证土地节约集约利用效率。</w:t>
            </w:r>
          </w:p>
        </w:tc>
        <w:tc>
          <w:tcPr>
            <w:tcW w:w="551" w:type="dxa"/>
            <w:textDirection w:val="tbRlV"/>
            <w:vAlign w:val="top"/>
          </w:tcPr>
          <w:p w14:paraId="208B13E5">
            <w:pPr>
              <w:pStyle w:val="6"/>
              <w:spacing w:before="169" w:line="215" w:lineRule="auto"/>
              <w:ind w:left="1056"/>
              <w:outlineLvl w:val="1"/>
              <w:rPr>
                <w:sz w:val="20"/>
                <w:szCs w:val="20"/>
              </w:rPr>
            </w:pPr>
            <w:r>
              <w:rPr>
                <w:spacing w:val="8"/>
                <w:sz w:val="20"/>
                <w:szCs w:val="20"/>
              </w:rPr>
              <w:t>符</w:t>
            </w:r>
            <w:r>
              <w:rPr>
                <w:spacing w:val="-35"/>
                <w:sz w:val="20"/>
                <w:szCs w:val="20"/>
              </w:rPr>
              <w:t xml:space="preserve"> </w:t>
            </w:r>
            <w:r>
              <w:rPr>
                <w:spacing w:val="8"/>
                <w:sz w:val="20"/>
                <w:szCs w:val="20"/>
              </w:rPr>
              <w:t>合</w:t>
            </w:r>
          </w:p>
        </w:tc>
        <w:tc>
          <w:tcPr>
            <w:tcW w:w="162" w:type="dxa"/>
            <w:tcBorders>
              <w:top w:val="nil"/>
              <w:bottom w:val="nil"/>
              <w:right w:val="single" w:color="000000" w:sz="6" w:space="0"/>
            </w:tcBorders>
            <w:vAlign w:val="top"/>
          </w:tcPr>
          <w:p w14:paraId="665D1159">
            <w:pPr>
              <w:rPr>
                <w:rFonts w:ascii="Arial"/>
                <w:sz w:val="21"/>
              </w:rPr>
            </w:pPr>
          </w:p>
        </w:tc>
      </w:tr>
      <w:tr w14:paraId="521F0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8" w:hRule="atLeast"/>
        </w:trPr>
        <w:tc>
          <w:tcPr>
            <w:tcW w:w="469" w:type="dxa"/>
            <w:vMerge w:val="continue"/>
            <w:tcBorders>
              <w:top w:val="nil"/>
              <w:left w:val="single" w:color="000000" w:sz="6" w:space="0"/>
              <w:bottom w:val="nil"/>
            </w:tcBorders>
            <w:vAlign w:val="top"/>
          </w:tcPr>
          <w:p w14:paraId="62F35E90">
            <w:pPr>
              <w:rPr>
                <w:rFonts w:ascii="Arial"/>
                <w:sz w:val="21"/>
              </w:rPr>
            </w:pPr>
          </w:p>
        </w:tc>
        <w:tc>
          <w:tcPr>
            <w:tcW w:w="153" w:type="dxa"/>
            <w:tcBorders>
              <w:top w:val="nil"/>
              <w:bottom w:val="nil"/>
            </w:tcBorders>
            <w:vAlign w:val="top"/>
          </w:tcPr>
          <w:p w14:paraId="30C9FE23">
            <w:pPr>
              <w:rPr>
                <w:rFonts w:ascii="Arial"/>
                <w:sz w:val="21"/>
              </w:rPr>
            </w:pPr>
          </w:p>
        </w:tc>
        <w:tc>
          <w:tcPr>
            <w:tcW w:w="557" w:type="dxa"/>
            <w:vMerge w:val="continue"/>
            <w:tcBorders>
              <w:top w:val="nil"/>
              <w:bottom w:val="nil"/>
            </w:tcBorders>
            <w:vAlign w:val="top"/>
          </w:tcPr>
          <w:p w14:paraId="38C22818">
            <w:pPr>
              <w:rPr>
                <w:rFonts w:ascii="Arial"/>
                <w:sz w:val="21"/>
              </w:rPr>
            </w:pPr>
          </w:p>
        </w:tc>
        <w:tc>
          <w:tcPr>
            <w:tcW w:w="3850" w:type="dxa"/>
            <w:vAlign w:val="top"/>
          </w:tcPr>
          <w:p w14:paraId="30BFD7EC">
            <w:pPr>
              <w:pStyle w:val="6"/>
              <w:spacing w:before="120" w:line="243" w:lineRule="auto"/>
              <w:ind w:left="154" w:right="163"/>
              <w:outlineLvl w:val="1"/>
              <w:rPr>
                <w:sz w:val="20"/>
                <w:szCs w:val="20"/>
              </w:rPr>
            </w:pPr>
            <w:r>
              <w:rPr>
                <w:spacing w:val="17"/>
                <w:sz w:val="20"/>
                <w:szCs w:val="20"/>
              </w:rPr>
              <w:t>污染物排放管控要求</w:t>
            </w:r>
            <w:r>
              <w:rPr>
                <w:spacing w:val="-46"/>
                <w:sz w:val="20"/>
                <w:szCs w:val="20"/>
              </w:rPr>
              <w:t xml:space="preserve"> </w:t>
            </w:r>
            <w:r>
              <w:rPr>
                <w:spacing w:val="17"/>
                <w:sz w:val="20"/>
                <w:szCs w:val="20"/>
              </w:rPr>
              <w:t>。新建项目原则</w:t>
            </w:r>
            <w:r>
              <w:rPr>
                <w:sz w:val="20"/>
                <w:szCs w:val="20"/>
              </w:rPr>
              <w:t xml:space="preserve"> </w:t>
            </w:r>
            <w:r>
              <w:rPr>
                <w:spacing w:val="20"/>
                <w:sz w:val="20"/>
                <w:szCs w:val="20"/>
              </w:rPr>
              <w:t>上实施氮氧化物和挥发性有机物等量</w:t>
            </w:r>
            <w:r>
              <w:rPr>
                <w:spacing w:val="6"/>
                <w:sz w:val="20"/>
                <w:szCs w:val="20"/>
              </w:rPr>
              <w:t xml:space="preserve"> </w:t>
            </w:r>
            <w:r>
              <w:rPr>
                <w:spacing w:val="17"/>
                <w:sz w:val="20"/>
                <w:szCs w:val="20"/>
              </w:rPr>
              <w:t>替代或减量替代</w:t>
            </w:r>
            <w:r>
              <w:rPr>
                <w:spacing w:val="-46"/>
                <w:sz w:val="20"/>
                <w:szCs w:val="20"/>
              </w:rPr>
              <w:t xml:space="preserve"> </w:t>
            </w:r>
            <w:r>
              <w:rPr>
                <w:spacing w:val="17"/>
                <w:sz w:val="20"/>
                <w:szCs w:val="20"/>
              </w:rPr>
              <w:t>。严格执行练江、小</w:t>
            </w:r>
          </w:p>
          <w:p w14:paraId="0AC075C9">
            <w:pPr>
              <w:pStyle w:val="6"/>
              <w:spacing w:before="26" w:line="228" w:lineRule="auto"/>
              <w:ind w:left="159"/>
              <w:rPr>
                <w:sz w:val="20"/>
                <w:szCs w:val="20"/>
              </w:rPr>
            </w:pPr>
            <w:r>
              <w:rPr>
                <w:spacing w:val="18"/>
                <w:sz w:val="20"/>
                <w:szCs w:val="20"/>
              </w:rPr>
              <w:t>东江等重点流域水污染物排放标准。</w:t>
            </w:r>
          </w:p>
          <w:p w14:paraId="55E5C08C">
            <w:pPr>
              <w:pStyle w:val="6"/>
              <w:spacing w:before="26" w:line="228" w:lineRule="auto"/>
              <w:ind w:left="150"/>
              <w:rPr>
                <w:sz w:val="20"/>
                <w:szCs w:val="20"/>
              </w:rPr>
            </w:pPr>
            <w:r>
              <w:rPr>
                <w:spacing w:val="19"/>
                <w:sz w:val="20"/>
                <w:szCs w:val="20"/>
              </w:rPr>
              <w:t>进一步提升工业园区污染治理水平，</w:t>
            </w:r>
          </w:p>
          <w:p w14:paraId="4898CD79">
            <w:pPr>
              <w:pStyle w:val="6"/>
              <w:spacing w:before="24" w:line="227" w:lineRule="auto"/>
              <w:ind w:left="152"/>
              <w:rPr>
                <w:sz w:val="20"/>
                <w:szCs w:val="20"/>
              </w:rPr>
            </w:pPr>
            <w:r>
              <w:rPr>
                <w:spacing w:val="14"/>
                <w:sz w:val="20"/>
                <w:szCs w:val="20"/>
              </w:rPr>
              <w:t>推动化学制浆、</w:t>
            </w:r>
            <w:r>
              <w:rPr>
                <w:spacing w:val="-40"/>
                <w:sz w:val="20"/>
                <w:szCs w:val="20"/>
              </w:rPr>
              <w:t xml:space="preserve"> </w:t>
            </w:r>
            <w:r>
              <w:rPr>
                <w:spacing w:val="14"/>
                <w:sz w:val="20"/>
                <w:szCs w:val="20"/>
              </w:rPr>
              <w:t>电镀、</w:t>
            </w:r>
            <w:r>
              <w:rPr>
                <w:spacing w:val="-56"/>
                <w:sz w:val="20"/>
                <w:szCs w:val="20"/>
              </w:rPr>
              <w:t xml:space="preserve"> </w:t>
            </w:r>
            <w:r>
              <w:rPr>
                <w:spacing w:val="14"/>
                <w:sz w:val="20"/>
                <w:szCs w:val="20"/>
              </w:rPr>
              <w:t>印染、鞣革等</w:t>
            </w:r>
          </w:p>
          <w:p w14:paraId="1B8FF582">
            <w:pPr>
              <w:pStyle w:val="6"/>
              <w:spacing w:before="27" w:line="228" w:lineRule="auto"/>
              <w:ind w:left="155"/>
              <w:rPr>
                <w:sz w:val="20"/>
                <w:szCs w:val="20"/>
              </w:rPr>
            </w:pPr>
            <w:r>
              <w:rPr>
                <w:spacing w:val="17"/>
                <w:sz w:val="20"/>
                <w:szCs w:val="20"/>
              </w:rPr>
              <w:t>项目清洁生产达到国际先进水平</w:t>
            </w:r>
            <w:r>
              <w:rPr>
                <w:spacing w:val="-46"/>
                <w:sz w:val="20"/>
                <w:szCs w:val="20"/>
              </w:rPr>
              <w:t xml:space="preserve"> </w:t>
            </w:r>
            <w:r>
              <w:rPr>
                <w:spacing w:val="17"/>
                <w:sz w:val="20"/>
                <w:szCs w:val="20"/>
              </w:rPr>
              <w:t>。完</w:t>
            </w:r>
          </w:p>
          <w:p w14:paraId="7CABDD2D">
            <w:pPr>
              <w:pStyle w:val="6"/>
              <w:spacing w:before="24" w:line="228" w:lineRule="auto"/>
              <w:ind w:left="154"/>
              <w:rPr>
                <w:sz w:val="20"/>
                <w:szCs w:val="20"/>
              </w:rPr>
            </w:pPr>
            <w:r>
              <w:rPr>
                <w:spacing w:val="20"/>
                <w:sz w:val="20"/>
                <w:szCs w:val="20"/>
              </w:rPr>
              <w:t>善城市污水管网，加快补齐镇级污水</w:t>
            </w:r>
          </w:p>
          <w:p w14:paraId="7F7BAD84">
            <w:pPr>
              <w:pStyle w:val="6"/>
              <w:spacing w:before="24" w:line="227" w:lineRule="auto"/>
              <w:ind w:left="156"/>
              <w:rPr>
                <w:sz w:val="20"/>
                <w:szCs w:val="20"/>
              </w:rPr>
            </w:pPr>
            <w:r>
              <w:rPr>
                <w:spacing w:val="20"/>
                <w:sz w:val="20"/>
                <w:szCs w:val="20"/>
              </w:rPr>
              <w:t>处理设施短板，推进农村生活污水处</w:t>
            </w:r>
          </w:p>
          <w:p w14:paraId="422A6D18">
            <w:pPr>
              <w:pStyle w:val="6"/>
              <w:spacing w:before="28" w:line="228" w:lineRule="auto"/>
              <w:ind w:left="154"/>
              <w:rPr>
                <w:sz w:val="20"/>
                <w:szCs w:val="20"/>
              </w:rPr>
            </w:pPr>
            <w:r>
              <w:rPr>
                <w:spacing w:val="16"/>
                <w:sz w:val="20"/>
                <w:szCs w:val="20"/>
              </w:rPr>
              <w:t>理设施建设</w:t>
            </w:r>
            <w:r>
              <w:rPr>
                <w:spacing w:val="-51"/>
                <w:sz w:val="20"/>
                <w:szCs w:val="20"/>
              </w:rPr>
              <w:t xml:space="preserve"> </w:t>
            </w:r>
            <w:r>
              <w:rPr>
                <w:spacing w:val="16"/>
                <w:sz w:val="20"/>
                <w:szCs w:val="20"/>
              </w:rPr>
              <w:t>。加强湛江港、水东湾、</w:t>
            </w:r>
          </w:p>
          <w:p w14:paraId="28D001B5">
            <w:pPr>
              <w:pStyle w:val="6"/>
              <w:spacing w:before="24" w:line="228" w:lineRule="auto"/>
              <w:ind w:left="154"/>
              <w:rPr>
                <w:sz w:val="20"/>
                <w:szCs w:val="20"/>
              </w:rPr>
            </w:pPr>
            <w:r>
              <w:rPr>
                <w:spacing w:val="17"/>
                <w:sz w:val="20"/>
                <w:szCs w:val="20"/>
              </w:rPr>
              <w:t>汕头港等重点海湾陆源污染控制</w:t>
            </w:r>
            <w:r>
              <w:rPr>
                <w:spacing w:val="-46"/>
                <w:sz w:val="20"/>
                <w:szCs w:val="20"/>
              </w:rPr>
              <w:t xml:space="preserve"> </w:t>
            </w:r>
            <w:r>
              <w:rPr>
                <w:spacing w:val="17"/>
                <w:sz w:val="20"/>
                <w:szCs w:val="20"/>
              </w:rPr>
              <w:t>。严</w:t>
            </w:r>
          </w:p>
          <w:p w14:paraId="648484CF">
            <w:pPr>
              <w:pStyle w:val="6"/>
              <w:spacing w:before="27" w:line="228" w:lineRule="auto"/>
              <w:ind w:left="817"/>
              <w:rPr>
                <w:sz w:val="20"/>
                <w:szCs w:val="20"/>
              </w:rPr>
            </w:pPr>
            <w:r>
              <w:rPr>
                <w:spacing w:val="17"/>
                <w:sz w:val="20"/>
                <w:szCs w:val="20"/>
              </w:rPr>
              <w:t>格控制近海养殖密度。</w:t>
            </w:r>
          </w:p>
        </w:tc>
        <w:tc>
          <w:tcPr>
            <w:tcW w:w="3132" w:type="dxa"/>
            <w:vAlign w:val="top"/>
          </w:tcPr>
          <w:p w14:paraId="6B0789A7">
            <w:pPr>
              <w:spacing w:line="250" w:lineRule="auto"/>
              <w:rPr>
                <w:rFonts w:ascii="Arial"/>
                <w:sz w:val="21"/>
              </w:rPr>
            </w:pPr>
          </w:p>
          <w:p w14:paraId="5E79A16B">
            <w:pPr>
              <w:spacing w:line="250" w:lineRule="auto"/>
              <w:rPr>
                <w:rFonts w:ascii="Arial"/>
                <w:sz w:val="21"/>
              </w:rPr>
            </w:pPr>
          </w:p>
          <w:p w14:paraId="6BFEA825">
            <w:pPr>
              <w:spacing w:line="250" w:lineRule="auto"/>
              <w:rPr>
                <w:rFonts w:ascii="Arial"/>
                <w:sz w:val="21"/>
              </w:rPr>
            </w:pPr>
          </w:p>
          <w:p w14:paraId="63304B39">
            <w:pPr>
              <w:spacing w:line="250" w:lineRule="auto"/>
              <w:rPr>
                <w:rFonts w:ascii="Arial"/>
                <w:sz w:val="21"/>
              </w:rPr>
            </w:pPr>
          </w:p>
          <w:p w14:paraId="3862A9C9">
            <w:pPr>
              <w:pStyle w:val="6"/>
              <w:spacing w:before="65" w:line="244" w:lineRule="auto"/>
              <w:ind w:left="136" w:right="129"/>
              <w:outlineLvl w:val="1"/>
              <w:rPr>
                <w:sz w:val="20"/>
                <w:szCs w:val="20"/>
              </w:rPr>
            </w:pPr>
            <w:r>
              <w:rPr>
                <w:spacing w:val="20"/>
                <w:sz w:val="20"/>
                <w:szCs w:val="20"/>
              </w:rPr>
              <w:t>项目生产过程产生少量大气污</w:t>
            </w:r>
            <w:r>
              <w:rPr>
                <w:sz w:val="20"/>
                <w:szCs w:val="20"/>
              </w:rPr>
              <w:t xml:space="preserve"> </w:t>
            </w:r>
            <w:r>
              <w:rPr>
                <w:spacing w:val="16"/>
                <w:sz w:val="20"/>
                <w:szCs w:val="20"/>
              </w:rPr>
              <w:t>染物</w:t>
            </w:r>
            <w:r>
              <w:rPr>
                <w:spacing w:val="-50"/>
                <w:sz w:val="20"/>
                <w:szCs w:val="20"/>
              </w:rPr>
              <w:t xml:space="preserve"> </w:t>
            </w:r>
            <w:r>
              <w:rPr>
                <w:spacing w:val="16"/>
                <w:sz w:val="20"/>
                <w:szCs w:val="20"/>
              </w:rPr>
              <w:t>。项目生产废水、生活污</w:t>
            </w:r>
            <w:r>
              <w:rPr>
                <w:sz w:val="20"/>
                <w:szCs w:val="20"/>
              </w:rPr>
              <w:t xml:space="preserve"> </w:t>
            </w:r>
            <w:r>
              <w:rPr>
                <w:spacing w:val="29"/>
                <w:sz w:val="20"/>
                <w:szCs w:val="20"/>
              </w:rPr>
              <w:t>水经处理达标后排入污水管</w:t>
            </w:r>
          </w:p>
          <w:p w14:paraId="5C6C88F1">
            <w:pPr>
              <w:pStyle w:val="6"/>
              <w:spacing w:before="24" w:line="228" w:lineRule="auto"/>
              <w:ind w:left="149"/>
              <w:rPr>
                <w:sz w:val="20"/>
                <w:szCs w:val="20"/>
              </w:rPr>
            </w:pPr>
            <w:r>
              <w:rPr>
                <w:spacing w:val="19"/>
                <w:sz w:val="20"/>
                <w:szCs w:val="20"/>
              </w:rPr>
              <w:t>网，最后汇入可塘镇污水处理</w:t>
            </w:r>
          </w:p>
          <w:p w14:paraId="4F28EB4F">
            <w:pPr>
              <w:pStyle w:val="6"/>
              <w:spacing w:before="27" w:line="228" w:lineRule="auto"/>
              <w:ind w:left="1354"/>
              <w:rPr>
                <w:sz w:val="20"/>
                <w:szCs w:val="20"/>
              </w:rPr>
            </w:pPr>
            <w:r>
              <w:rPr>
                <w:spacing w:val="-1"/>
                <w:sz w:val="20"/>
                <w:szCs w:val="20"/>
              </w:rPr>
              <w:t>厂。</w:t>
            </w:r>
          </w:p>
        </w:tc>
        <w:tc>
          <w:tcPr>
            <w:tcW w:w="551" w:type="dxa"/>
            <w:textDirection w:val="tbRlV"/>
            <w:vAlign w:val="top"/>
          </w:tcPr>
          <w:p w14:paraId="4CB2D88A">
            <w:pPr>
              <w:pStyle w:val="6"/>
              <w:spacing w:before="169" w:line="215" w:lineRule="auto"/>
              <w:ind w:left="1481"/>
              <w:outlineLvl w:val="1"/>
              <w:rPr>
                <w:sz w:val="20"/>
                <w:szCs w:val="20"/>
              </w:rPr>
            </w:pPr>
            <w:r>
              <w:rPr>
                <w:spacing w:val="8"/>
                <w:sz w:val="20"/>
                <w:szCs w:val="20"/>
              </w:rPr>
              <w:t>符</w:t>
            </w:r>
            <w:r>
              <w:rPr>
                <w:spacing w:val="-35"/>
                <w:sz w:val="20"/>
                <w:szCs w:val="20"/>
              </w:rPr>
              <w:t xml:space="preserve"> </w:t>
            </w:r>
            <w:r>
              <w:rPr>
                <w:spacing w:val="8"/>
                <w:sz w:val="20"/>
                <w:szCs w:val="20"/>
              </w:rPr>
              <w:t>合</w:t>
            </w:r>
          </w:p>
        </w:tc>
        <w:tc>
          <w:tcPr>
            <w:tcW w:w="162" w:type="dxa"/>
            <w:tcBorders>
              <w:top w:val="nil"/>
              <w:bottom w:val="nil"/>
              <w:right w:val="single" w:color="000000" w:sz="6" w:space="0"/>
            </w:tcBorders>
            <w:vAlign w:val="top"/>
          </w:tcPr>
          <w:p w14:paraId="59D63152">
            <w:pPr>
              <w:rPr>
                <w:rFonts w:ascii="Arial"/>
                <w:sz w:val="21"/>
              </w:rPr>
            </w:pPr>
          </w:p>
        </w:tc>
      </w:tr>
      <w:tr w14:paraId="1F4E1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469" w:type="dxa"/>
            <w:vMerge w:val="continue"/>
            <w:tcBorders>
              <w:top w:val="nil"/>
              <w:left w:val="single" w:color="000000" w:sz="6" w:space="0"/>
              <w:bottom w:val="nil"/>
            </w:tcBorders>
            <w:vAlign w:val="top"/>
          </w:tcPr>
          <w:p w14:paraId="66B381E0">
            <w:pPr>
              <w:rPr>
                <w:rFonts w:ascii="Arial"/>
                <w:sz w:val="21"/>
              </w:rPr>
            </w:pPr>
          </w:p>
        </w:tc>
        <w:tc>
          <w:tcPr>
            <w:tcW w:w="153" w:type="dxa"/>
            <w:tcBorders>
              <w:top w:val="nil"/>
              <w:bottom w:val="nil"/>
            </w:tcBorders>
            <w:vAlign w:val="top"/>
          </w:tcPr>
          <w:p w14:paraId="1E7F7BE8">
            <w:pPr>
              <w:rPr>
                <w:rFonts w:ascii="Arial"/>
                <w:sz w:val="21"/>
              </w:rPr>
            </w:pPr>
          </w:p>
        </w:tc>
        <w:tc>
          <w:tcPr>
            <w:tcW w:w="557" w:type="dxa"/>
            <w:vMerge w:val="continue"/>
            <w:tcBorders>
              <w:top w:val="nil"/>
            </w:tcBorders>
            <w:vAlign w:val="top"/>
          </w:tcPr>
          <w:p w14:paraId="62A525ED">
            <w:pPr>
              <w:rPr>
                <w:rFonts w:ascii="Arial"/>
                <w:sz w:val="21"/>
              </w:rPr>
            </w:pPr>
          </w:p>
        </w:tc>
        <w:tc>
          <w:tcPr>
            <w:tcW w:w="3850" w:type="dxa"/>
            <w:vAlign w:val="top"/>
          </w:tcPr>
          <w:p w14:paraId="4BDA4474">
            <w:pPr>
              <w:pStyle w:val="6"/>
              <w:spacing w:before="150" w:line="244" w:lineRule="auto"/>
              <w:ind w:left="153" w:right="163" w:hanging="1"/>
              <w:outlineLvl w:val="1"/>
              <w:rPr>
                <w:sz w:val="20"/>
                <w:szCs w:val="20"/>
              </w:rPr>
            </w:pPr>
            <w:r>
              <w:rPr>
                <w:spacing w:val="17"/>
                <w:sz w:val="20"/>
                <w:szCs w:val="20"/>
              </w:rPr>
              <w:t>环境风险防控要求</w:t>
            </w:r>
            <w:r>
              <w:rPr>
                <w:spacing w:val="-44"/>
                <w:sz w:val="20"/>
                <w:szCs w:val="20"/>
              </w:rPr>
              <w:t xml:space="preserve"> </w:t>
            </w:r>
            <w:r>
              <w:rPr>
                <w:spacing w:val="17"/>
                <w:sz w:val="20"/>
                <w:szCs w:val="20"/>
              </w:rPr>
              <w:t>。加强高州水库、</w:t>
            </w:r>
            <w:r>
              <w:rPr>
                <w:sz w:val="20"/>
                <w:szCs w:val="20"/>
              </w:rPr>
              <w:t xml:space="preserve"> </w:t>
            </w:r>
            <w:r>
              <w:rPr>
                <w:spacing w:val="20"/>
                <w:sz w:val="20"/>
                <w:szCs w:val="20"/>
              </w:rPr>
              <w:t>鹤地水库、韩江、鉴江和漠阳江等饮</w:t>
            </w:r>
            <w:r>
              <w:rPr>
                <w:spacing w:val="6"/>
                <w:sz w:val="20"/>
                <w:szCs w:val="20"/>
              </w:rPr>
              <w:t xml:space="preserve"> </w:t>
            </w:r>
            <w:r>
              <w:rPr>
                <w:spacing w:val="20"/>
                <w:sz w:val="20"/>
                <w:szCs w:val="20"/>
              </w:rPr>
              <w:t>用水水源地的环境风险防控，建立完</w:t>
            </w:r>
          </w:p>
          <w:p w14:paraId="5E07DA88">
            <w:pPr>
              <w:pStyle w:val="6"/>
              <w:spacing w:before="26" w:line="228" w:lineRule="auto"/>
              <w:ind w:left="374"/>
              <w:rPr>
                <w:sz w:val="20"/>
                <w:szCs w:val="20"/>
              </w:rPr>
            </w:pPr>
            <w:r>
              <w:rPr>
                <w:spacing w:val="18"/>
                <w:sz w:val="20"/>
                <w:szCs w:val="20"/>
              </w:rPr>
              <w:t>善突发环境事件应急管理体系。</w:t>
            </w:r>
          </w:p>
        </w:tc>
        <w:tc>
          <w:tcPr>
            <w:tcW w:w="3132" w:type="dxa"/>
            <w:vAlign w:val="top"/>
          </w:tcPr>
          <w:p w14:paraId="0A6252CA">
            <w:pPr>
              <w:spacing w:line="246" w:lineRule="auto"/>
              <w:rPr>
                <w:rFonts w:ascii="Arial"/>
                <w:sz w:val="21"/>
              </w:rPr>
            </w:pPr>
          </w:p>
          <w:p w14:paraId="319CCAE0">
            <w:pPr>
              <w:spacing w:line="247" w:lineRule="auto"/>
              <w:rPr>
                <w:rFonts w:ascii="Arial"/>
                <w:sz w:val="21"/>
              </w:rPr>
            </w:pPr>
          </w:p>
          <w:p w14:paraId="59267080">
            <w:pPr>
              <w:pStyle w:val="6"/>
              <w:spacing w:before="65" w:line="228" w:lineRule="auto"/>
              <w:ind w:left="136"/>
              <w:outlineLvl w:val="1"/>
              <w:rPr>
                <w:sz w:val="20"/>
                <w:szCs w:val="20"/>
              </w:rPr>
            </w:pPr>
            <w:r>
              <w:rPr>
                <w:spacing w:val="18"/>
                <w:sz w:val="20"/>
                <w:szCs w:val="20"/>
              </w:rPr>
              <w:t>项目不在饮用水源保护区内。</w:t>
            </w:r>
          </w:p>
        </w:tc>
        <w:tc>
          <w:tcPr>
            <w:tcW w:w="551" w:type="dxa"/>
            <w:textDirection w:val="tbRlV"/>
            <w:vAlign w:val="top"/>
          </w:tcPr>
          <w:p w14:paraId="2504084A">
            <w:pPr>
              <w:pStyle w:val="6"/>
              <w:spacing w:before="169" w:line="215" w:lineRule="auto"/>
              <w:ind w:left="425"/>
              <w:outlineLvl w:val="1"/>
              <w:rPr>
                <w:sz w:val="20"/>
                <w:szCs w:val="20"/>
              </w:rPr>
            </w:pPr>
            <w:r>
              <w:rPr>
                <w:spacing w:val="8"/>
                <w:sz w:val="20"/>
                <w:szCs w:val="20"/>
              </w:rPr>
              <w:t>符</w:t>
            </w:r>
            <w:r>
              <w:rPr>
                <w:spacing w:val="-38"/>
                <w:sz w:val="20"/>
                <w:szCs w:val="20"/>
              </w:rPr>
              <w:t xml:space="preserve"> </w:t>
            </w:r>
            <w:r>
              <w:rPr>
                <w:spacing w:val="8"/>
                <w:sz w:val="20"/>
                <w:szCs w:val="20"/>
              </w:rPr>
              <w:t>合</w:t>
            </w:r>
          </w:p>
        </w:tc>
        <w:tc>
          <w:tcPr>
            <w:tcW w:w="162" w:type="dxa"/>
            <w:tcBorders>
              <w:top w:val="nil"/>
              <w:bottom w:val="nil"/>
              <w:right w:val="single" w:color="000000" w:sz="6" w:space="0"/>
            </w:tcBorders>
            <w:vAlign w:val="top"/>
          </w:tcPr>
          <w:p w14:paraId="60592C01">
            <w:pPr>
              <w:rPr>
                <w:rFonts w:ascii="Arial"/>
                <w:sz w:val="21"/>
              </w:rPr>
            </w:pPr>
          </w:p>
        </w:tc>
      </w:tr>
      <w:tr w14:paraId="7894E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9" w:hRule="atLeast"/>
        </w:trPr>
        <w:tc>
          <w:tcPr>
            <w:tcW w:w="469" w:type="dxa"/>
            <w:vMerge w:val="continue"/>
            <w:tcBorders>
              <w:top w:val="nil"/>
              <w:left w:val="single" w:color="000000" w:sz="6" w:space="0"/>
              <w:bottom w:val="single" w:color="000000" w:sz="6" w:space="0"/>
            </w:tcBorders>
            <w:vAlign w:val="top"/>
          </w:tcPr>
          <w:p w14:paraId="00830F57">
            <w:pPr>
              <w:rPr>
                <w:rFonts w:ascii="Arial"/>
                <w:sz w:val="21"/>
              </w:rPr>
            </w:pPr>
          </w:p>
        </w:tc>
        <w:tc>
          <w:tcPr>
            <w:tcW w:w="8405" w:type="dxa"/>
            <w:gridSpan w:val="6"/>
            <w:tcBorders>
              <w:bottom w:val="single" w:color="000000" w:sz="6" w:space="0"/>
              <w:right w:val="single" w:color="000000" w:sz="6" w:space="0"/>
            </w:tcBorders>
            <w:vAlign w:val="top"/>
          </w:tcPr>
          <w:p w14:paraId="0C50061B">
            <w:pPr>
              <w:pStyle w:val="6"/>
              <w:spacing w:before="169" w:line="219" w:lineRule="auto"/>
              <w:ind w:left="584"/>
            </w:pPr>
            <w:r>
              <w:rPr>
                <w:rFonts w:ascii="Times New Roman" w:hAnsi="Times New Roman" w:eastAsia="Times New Roman" w:cs="Times New Roman"/>
                <w:b/>
                <w:bCs/>
                <w:spacing w:val="-3"/>
              </w:rPr>
              <w:t>4</w:t>
            </w:r>
            <w:r>
              <w:rPr>
                <w:rFonts w:ascii="Times New Roman" w:hAnsi="Times New Roman" w:eastAsia="Times New Roman" w:cs="Times New Roman"/>
                <w:b/>
                <w:bCs/>
                <w:spacing w:val="-24"/>
              </w:rPr>
              <w:t xml:space="preserve"> </w:t>
            </w:r>
            <w:r>
              <w:rPr>
                <w:b/>
                <w:bCs/>
                <w:spacing w:val="-3"/>
              </w:rPr>
              <w:t>、与《汕尾市</w:t>
            </w:r>
            <w:r>
              <w:rPr>
                <w:rFonts w:ascii="Times New Roman" w:hAnsi="Times New Roman" w:eastAsia="Times New Roman" w:cs="Times New Roman"/>
                <w:b/>
                <w:bCs/>
                <w:spacing w:val="-3"/>
              </w:rPr>
              <w:t>“</w:t>
            </w:r>
            <w:r>
              <w:rPr>
                <w:b/>
                <w:bCs/>
                <w:spacing w:val="-3"/>
              </w:rPr>
              <w:t>三线一单</w:t>
            </w:r>
            <w:r>
              <w:rPr>
                <w:rFonts w:ascii="Times New Roman" w:hAnsi="Times New Roman" w:eastAsia="Times New Roman" w:cs="Times New Roman"/>
                <w:b/>
                <w:bCs/>
                <w:spacing w:val="-3"/>
              </w:rPr>
              <w:t>”</w:t>
            </w:r>
            <w:r>
              <w:rPr>
                <w:b/>
                <w:bCs/>
                <w:spacing w:val="-3"/>
              </w:rPr>
              <w:t>生态环境分区管控方案》的符合性：</w:t>
            </w:r>
          </w:p>
          <w:p w14:paraId="1C6BF374">
            <w:pPr>
              <w:pStyle w:val="6"/>
              <w:spacing w:before="179" w:line="355" w:lineRule="auto"/>
              <w:ind w:left="106" w:right="91" w:firstLine="457"/>
              <w:jc w:val="both"/>
            </w:pPr>
            <w:r>
              <w:rPr>
                <w:spacing w:val="-12"/>
              </w:rPr>
              <w:t>本项目所在区域位于海丰县重点管控单元（详</w:t>
            </w:r>
            <w:r>
              <w:rPr>
                <w:spacing w:val="-13"/>
              </w:rPr>
              <w:t>见附图二：项目位置与广东省生</w:t>
            </w:r>
            <w:r>
              <w:t xml:space="preserve"> </w:t>
            </w:r>
            <w:r>
              <w:rPr>
                <w:spacing w:val="-11"/>
              </w:rPr>
              <w:t>态控制性规划的位置关系）。与《汕尾市生态环境局关于印发</w:t>
            </w:r>
            <w:r>
              <w:rPr>
                <w:spacing w:val="-12"/>
              </w:rPr>
              <w:t>汕尾市</w:t>
            </w:r>
            <w:r>
              <w:rPr>
                <w:rFonts w:ascii="Times New Roman" w:hAnsi="Times New Roman" w:eastAsia="Times New Roman" w:cs="Times New Roman"/>
                <w:spacing w:val="-12"/>
              </w:rPr>
              <w:t>“</w:t>
            </w:r>
            <w:r>
              <w:rPr>
                <w:spacing w:val="-12"/>
              </w:rPr>
              <w:t>三线一单</w:t>
            </w:r>
            <w:r>
              <w:rPr>
                <w:rFonts w:ascii="Times New Roman" w:hAnsi="Times New Roman" w:eastAsia="Times New Roman" w:cs="Times New Roman"/>
                <w:spacing w:val="-12"/>
              </w:rPr>
              <w:t>”</w:t>
            </w:r>
            <w:r>
              <w:rPr>
                <w:spacing w:val="-12"/>
              </w:rPr>
              <w:t>生</w:t>
            </w:r>
            <w:r>
              <w:t xml:space="preserve"> </w:t>
            </w:r>
            <w:r>
              <w:rPr>
                <w:spacing w:val="-12"/>
              </w:rPr>
              <w:t>态环境分区管控方案</w:t>
            </w:r>
            <w:r>
              <w:rPr>
                <w:rFonts w:ascii="Times New Roman" w:hAnsi="Times New Roman" w:eastAsia="Times New Roman" w:cs="Times New Roman"/>
                <w:spacing w:val="-12"/>
              </w:rPr>
              <w:t>(</w:t>
            </w:r>
            <w:r>
              <w:rPr>
                <w:spacing w:val="-12"/>
              </w:rPr>
              <w:t>修订版</w:t>
            </w:r>
            <w:r>
              <w:rPr>
                <w:rFonts w:ascii="Times New Roman" w:hAnsi="Times New Roman" w:eastAsia="Times New Roman" w:cs="Times New Roman"/>
                <w:spacing w:val="-12"/>
              </w:rPr>
              <w:t>)</w:t>
            </w:r>
            <w:r>
              <w:rPr>
                <w:spacing w:val="-12"/>
              </w:rPr>
              <w:t>》的通知》（汕府〔</w:t>
            </w:r>
            <w:r>
              <w:rPr>
                <w:rFonts w:ascii="Times New Roman" w:hAnsi="Times New Roman" w:eastAsia="Times New Roman" w:cs="Times New Roman"/>
                <w:spacing w:val="-12"/>
              </w:rPr>
              <w:t>2024</w:t>
            </w:r>
            <w:r>
              <w:rPr>
                <w:spacing w:val="-12"/>
              </w:rPr>
              <w:t>〕</w:t>
            </w:r>
            <w:r>
              <w:rPr>
                <w:rFonts w:ascii="Times New Roman" w:hAnsi="Times New Roman" w:eastAsia="Times New Roman" w:cs="Times New Roman"/>
                <w:spacing w:val="-12"/>
              </w:rPr>
              <w:t>154</w:t>
            </w:r>
            <w:r>
              <w:rPr>
                <w:spacing w:val="-12"/>
              </w:rPr>
              <w:t>号）相符性分析详见下</w:t>
            </w:r>
            <w:r>
              <w:rPr>
                <w:spacing w:val="8"/>
              </w:rPr>
              <w:t xml:space="preserve"> </w:t>
            </w:r>
            <w:r>
              <w:rPr>
                <w:spacing w:val="-5"/>
              </w:rPr>
              <w:t>表：</w:t>
            </w:r>
          </w:p>
        </w:tc>
      </w:tr>
    </w:tbl>
    <w:p w14:paraId="152E5354">
      <w:pPr>
        <w:rPr>
          <w:rFonts w:ascii="Arial"/>
          <w:sz w:val="21"/>
        </w:rPr>
      </w:pPr>
    </w:p>
    <w:p w14:paraId="78035771">
      <w:pPr>
        <w:rPr>
          <w:rFonts w:ascii="Arial" w:hAnsi="Arial" w:eastAsia="Arial" w:cs="Arial"/>
          <w:sz w:val="21"/>
          <w:szCs w:val="21"/>
        </w:rPr>
        <w:sectPr>
          <w:footerReference r:id="rId11" w:type="default"/>
          <w:pgSz w:w="11906" w:h="16839"/>
          <w:pgMar w:top="400" w:right="1508" w:bottom="1240" w:left="1508" w:header="0" w:footer="1078" w:gutter="0"/>
          <w:cols w:space="720" w:num="1"/>
        </w:sectPr>
      </w:pPr>
    </w:p>
    <w:p w14:paraId="7541A960">
      <w:pPr>
        <w:spacing w:before="19"/>
      </w:pPr>
    </w:p>
    <w:p w14:paraId="50F5BB4A">
      <w:pPr>
        <w:spacing w:before="19"/>
      </w:pPr>
    </w:p>
    <w:p w14:paraId="506D8867">
      <w:pPr>
        <w:spacing w:before="19"/>
      </w:pPr>
    </w:p>
    <w:p w14:paraId="35099321">
      <w:pPr>
        <w:spacing w:before="18"/>
      </w:pPr>
    </w:p>
    <w:p w14:paraId="047A556B">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75"/>
        <w:gridCol w:w="521"/>
        <w:gridCol w:w="699"/>
        <w:gridCol w:w="2658"/>
        <w:gridCol w:w="927"/>
        <w:gridCol w:w="1483"/>
        <w:gridCol w:w="1099"/>
        <w:gridCol w:w="658"/>
        <w:gridCol w:w="185"/>
      </w:tblGrid>
      <w:tr w14:paraId="7C368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69" w:type="dxa"/>
            <w:vMerge w:val="restart"/>
            <w:tcBorders>
              <w:top w:val="single" w:color="000000" w:sz="6" w:space="0"/>
              <w:left w:val="single" w:color="000000" w:sz="6" w:space="0"/>
              <w:bottom w:val="nil"/>
            </w:tcBorders>
            <w:vAlign w:val="top"/>
          </w:tcPr>
          <w:p w14:paraId="523093CE">
            <w:pPr>
              <w:rPr>
                <w:rFonts w:ascii="Arial"/>
                <w:sz w:val="21"/>
              </w:rPr>
            </w:pPr>
          </w:p>
        </w:tc>
        <w:tc>
          <w:tcPr>
            <w:tcW w:w="8405" w:type="dxa"/>
            <w:gridSpan w:val="9"/>
            <w:tcBorders>
              <w:top w:val="single" w:color="000000" w:sz="6" w:space="0"/>
              <w:right w:val="single" w:color="000000" w:sz="6" w:space="0"/>
            </w:tcBorders>
            <w:vAlign w:val="top"/>
          </w:tcPr>
          <w:p w14:paraId="3C81BC33">
            <w:pPr>
              <w:spacing w:line="309" w:lineRule="auto"/>
              <w:rPr>
                <w:rFonts w:ascii="Arial"/>
                <w:sz w:val="21"/>
              </w:rPr>
            </w:pPr>
          </w:p>
          <w:p w14:paraId="0A37DA79">
            <w:pPr>
              <w:pStyle w:val="6"/>
              <w:spacing w:before="78" w:line="219" w:lineRule="auto"/>
              <w:ind w:left="1997"/>
            </w:pPr>
            <w:r>
              <w:rPr>
                <w:b/>
                <w:bCs/>
                <w:spacing w:val="-3"/>
              </w:rPr>
              <w:t>表</w:t>
            </w:r>
            <w:r>
              <w:rPr>
                <w:spacing w:val="-28"/>
              </w:rPr>
              <w:t xml:space="preserve"> </w:t>
            </w:r>
            <w:r>
              <w:rPr>
                <w:rFonts w:ascii="Times New Roman" w:hAnsi="Times New Roman" w:eastAsia="Times New Roman" w:cs="Times New Roman"/>
                <w:b/>
                <w:bCs/>
                <w:spacing w:val="-3"/>
              </w:rPr>
              <w:t xml:space="preserve">1-3    </w:t>
            </w:r>
            <w:r>
              <w:rPr>
                <w:b/>
                <w:bCs/>
                <w:spacing w:val="-3"/>
              </w:rPr>
              <w:t>与汕府〔</w:t>
            </w:r>
            <w:r>
              <w:rPr>
                <w:rFonts w:ascii="Times New Roman" w:hAnsi="Times New Roman" w:eastAsia="Times New Roman" w:cs="Times New Roman"/>
                <w:b/>
                <w:bCs/>
                <w:spacing w:val="-3"/>
              </w:rPr>
              <w:t>2024</w:t>
            </w:r>
            <w:r>
              <w:rPr>
                <w:b/>
                <w:bCs/>
                <w:spacing w:val="-3"/>
              </w:rPr>
              <w:t>〕</w:t>
            </w:r>
            <w:r>
              <w:rPr>
                <w:rFonts w:ascii="Times New Roman" w:hAnsi="Times New Roman" w:eastAsia="Times New Roman" w:cs="Times New Roman"/>
                <w:b/>
                <w:bCs/>
                <w:spacing w:val="-3"/>
              </w:rPr>
              <w:t>154</w:t>
            </w:r>
            <w:r>
              <w:rPr>
                <w:rFonts w:ascii="Times New Roman" w:hAnsi="Times New Roman" w:eastAsia="Times New Roman" w:cs="Times New Roman"/>
                <w:b/>
                <w:bCs/>
                <w:spacing w:val="15"/>
              </w:rPr>
              <w:t xml:space="preserve"> </w:t>
            </w:r>
            <w:r>
              <w:rPr>
                <w:b/>
                <w:bCs/>
                <w:spacing w:val="-3"/>
              </w:rPr>
              <w:t>号相符性分析</w:t>
            </w:r>
          </w:p>
        </w:tc>
      </w:tr>
      <w:tr w14:paraId="32AA5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5BD475E0">
            <w:pPr>
              <w:rPr>
                <w:rFonts w:ascii="Arial"/>
                <w:sz w:val="21"/>
              </w:rPr>
            </w:pPr>
          </w:p>
        </w:tc>
        <w:tc>
          <w:tcPr>
            <w:tcW w:w="175" w:type="dxa"/>
            <w:vMerge w:val="restart"/>
            <w:tcBorders>
              <w:top w:val="nil"/>
              <w:bottom w:val="nil"/>
            </w:tcBorders>
            <w:vAlign w:val="top"/>
          </w:tcPr>
          <w:p w14:paraId="5909AC6E">
            <w:pPr>
              <w:rPr>
                <w:rFonts w:ascii="Arial"/>
                <w:sz w:val="21"/>
              </w:rPr>
            </w:pPr>
          </w:p>
        </w:tc>
        <w:tc>
          <w:tcPr>
            <w:tcW w:w="4805" w:type="dxa"/>
            <w:gridSpan w:val="4"/>
            <w:vAlign w:val="top"/>
          </w:tcPr>
          <w:p w14:paraId="1F892CD4">
            <w:pPr>
              <w:pStyle w:val="6"/>
              <w:spacing w:before="94" w:line="228" w:lineRule="auto"/>
              <w:ind w:left="1982"/>
              <w:rPr>
                <w:sz w:val="20"/>
                <w:szCs w:val="20"/>
              </w:rPr>
            </w:pPr>
            <w:r>
              <w:rPr>
                <w:spacing w:val="8"/>
                <w:sz w:val="20"/>
                <w:szCs w:val="20"/>
              </w:rPr>
              <w:t>文件要求</w:t>
            </w:r>
          </w:p>
        </w:tc>
        <w:tc>
          <w:tcPr>
            <w:tcW w:w="2582" w:type="dxa"/>
            <w:gridSpan w:val="2"/>
            <w:vAlign w:val="top"/>
          </w:tcPr>
          <w:p w14:paraId="2238D987">
            <w:pPr>
              <w:pStyle w:val="6"/>
              <w:spacing w:before="94" w:line="227" w:lineRule="auto"/>
              <w:ind w:left="983"/>
              <w:rPr>
                <w:sz w:val="20"/>
                <w:szCs w:val="20"/>
              </w:rPr>
            </w:pPr>
            <w:r>
              <w:rPr>
                <w:spacing w:val="8"/>
                <w:sz w:val="20"/>
                <w:szCs w:val="20"/>
              </w:rPr>
              <w:t>本项目</w:t>
            </w:r>
          </w:p>
        </w:tc>
        <w:tc>
          <w:tcPr>
            <w:tcW w:w="658" w:type="dxa"/>
            <w:vAlign w:val="top"/>
          </w:tcPr>
          <w:p w14:paraId="727623DA">
            <w:pPr>
              <w:pStyle w:val="6"/>
              <w:spacing w:before="94" w:line="228" w:lineRule="auto"/>
              <w:ind w:left="25"/>
              <w:rPr>
                <w:sz w:val="20"/>
                <w:szCs w:val="20"/>
              </w:rPr>
            </w:pPr>
            <w:r>
              <w:rPr>
                <w:spacing w:val="6"/>
                <w:sz w:val="20"/>
                <w:szCs w:val="20"/>
              </w:rPr>
              <w:t>相符性</w:t>
            </w:r>
          </w:p>
        </w:tc>
        <w:tc>
          <w:tcPr>
            <w:tcW w:w="185" w:type="dxa"/>
            <w:vMerge w:val="restart"/>
            <w:tcBorders>
              <w:top w:val="nil"/>
              <w:bottom w:val="nil"/>
              <w:right w:val="single" w:color="000000" w:sz="6" w:space="0"/>
            </w:tcBorders>
            <w:vAlign w:val="top"/>
          </w:tcPr>
          <w:p w14:paraId="50903B97">
            <w:pPr>
              <w:rPr>
                <w:rFonts w:ascii="Arial"/>
                <w:sz w:val="21"/>
              </w:rPr>
            </w:pPr>
          </w:p>
        </w:tc>
      </w:tr>
      <w:tr w14:paraId="58D41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469" w:type="dxa"/>
            <w:vMerge w:val="continue"/>
            <w:tcBorders>
              <w:top w:val="nil"/>
              <w:left w:val="single" w:color="000000" w:sz="6" w:space="0"/>
              <w:bottom w:val="nil"/>
            </w:tcBorders>
            <w:vAlign w:val="top"/>
          </w:tcPr>
          <w:p w14:paraId="4ED217F5">
            <w:pPr>
              <w:rPr>
                <w:rFonts w:ascii="Arial"/>
                <w:sz w:val="21"/>
              </w:rPr>
            </w:pPr>
          </w:p>
        </w:tc>
        <w:tc>
          <w:tcPr>
            <w:tcW w:w="175" w:type="dxa"/>
            <w:vMerge w:val="continue"/>
            <w:tcBorders>
              <w:top w:val="nil"/>
              <w:bottom w:val="nil"/>
            </w:tcBorders>
            <w:vAlign w:val="top"/>
          </w:tcPr>
          <w:p w14:paraId="2E7F695C">
            <w:pPr>
              <w:rPr>
                <w:rFonts w:ascii="Arial"/>
                <w:sz w:val="21"/>
              </w:rPr>
            </w:pPr>
          </w:p>
        </w:tc>
        <w:tc>
          <w:tcPr>
            <w:tcW w:w="521" w:type="dxa"/>
            <w:vMerge w:val="restart"/>
            <w:tcBorders>
              <w:bottom w:val="nil"/>
            </w:tcBorders>
            <w:textDirection w:val="tbRlV"/>
            <w:vAlign w:val="top"/>
          </w:tcPr>
          <w:p w14:paraId="5C6A1C09">
            <w:pPr>
              <w:pStyle w:val="6"/>
              <w:spacing w:before="163" w:line="216" w:lineRule="auto"/>
              <w:ind w:left="2687"/>
              <w:rPr>
                <w:sz w:val="20"/>
                <w:szCs w:val="20"/>
              </w:rPr>
            </w:pPr>
            <w:r>
              <w:rPr>
                <w:spacing w:val="8"/>
                <w:sz w:val="20"/>
                <w:szCs w:val="20"/>
              </w:rPr>
              <w:t>全</w:t>
            </w:r>
            <w:r>
              <w:rPr>
                <w:spacing w:val="-31"/>
                <w:sz w:val="20"/>
                <w:szCs w:val="20"/>
              </w:rPr>
              <w:t xml:space="preserve"> </w:t>
            </w:r>
            <w:r>
              <w:rPr>
                <w:spacing w:val="8"/>
                <w:sz w:val="20"/>
                <w:szCs w:val="20"/>
              </w:rPr>
              <w:t>市</w:t>
            </w:r>
            <w:r>
              <w:rPr>
                <w:spacing w:val="-38"/>
                <w:sz w:val="20"/>
                <w:szCs w:val="20"/>
              </w:rPr>
              <w:t xml:space="preserve"> </w:t>
            </w:r>
            <w:r>
              <w:rPr>
                <w:spacing w:val="8"/>
                <w:sz w:val="20"/>
                <w:szCs w:val="20"/>
              </w:rPr>
              <w:t>生</w:t>
            </w:r>
            <w:r>
              <w:rPr>
                <w:spacing w:val="-35"/>
                <w:sz w:val="20"/>
                <w:szCs w:val="20"/>
              </w:rPr>
              <w:t xml:space="preserve"> </w:t>
            </w:r>
            <w:r>
              <w:rPr>
                <w:spacing w:val="8"/>
                <w:sz w:val="20"/>
                <w:szCs w:val="20"/>
              </w:rPr>
              <w:t>态</w:t>
            </w:r>
            <w:r>
              <w:rPr>
                <w:spacing w:val="-38"/>
                <w:sz w:val="20"/>
                <w:szCs w:val="20"/>
              </w:rPr>
              <w:t xml:space="preserve"> </w:t>
            </w:r>
            <w:r>
              <w:rPr>
                <w:spacing w:val="8"/>
                <w:sz w:val="20"/>
                <w:szCs w:val="20"/>
              </w:rPr>
              <w:t>环</w:t>
            </w:r>
            <w:r>
              <w:rPr>
                <w:spacing w:val="-35"/>
                <w:sz w:val="20"/>
                <w:szCs w:val="20"/>
              </w:rPr>
              <w:t xml:space="preserve"> </w:t>
            </w:r>
            <w:r>
              <w:rPr>
                <w:spacing w:val="8"/>
                <w:sz w:val="20"/>
                <w:szCs w:val="20"/>
              </w:rPr>
              <w:t>境</w:t>
            </w:r>
            <w:r>
              <w:rPr>
                <w:spacing w:val="-37"/>
                <w:sz w:val="20"/>
                <w:szCs w:val="20"/>
              </w:rPr>
              <w:t xml:space="preserve"> </w:t>
            </w:r>
            <w:r>
              <w:rPr>
                <w:spacing w:val="8"/>
                <w:sz w:val="20"/>
                <w:szCs w:val="20"/>
              </w:rPr>
              <w:t>准</w:t>
            </w:r>
            <w:r>
              <w:rPr>
                <w:spacing w:val="-36"/>
                <w:sz w:val="20"/>
                <w:szCs w:val="20"/>
              </w:rPr>
              <w:t xml:space="preserve"> </w:t>
            </w:r>
            <w:r>
              <w:rPr>
                <w:spacing w:val="8"/>
                <w:sz w:val="20"/>
                <w:szCs w:val="20"/>
              </w:rPr>
              <w:t>入</w:t>
            </w:r>
            <w:r>
              <w:rPr>
                <w:spacing w:val="-37"/>
                <w:sz w:val="20"/>
                <w:szCs w:val="20"/>
              </w:rPr>
              <w:t xml:space="preserve"> </w:t>
            </w:r>
            <w:r>
              <w:rPr>
                <w:spacing w:val="8"/>
                <w:sz w:val="20"/>
                <w:szCs w:val="20"/>
              </w:rPr>
              <w:t>清</w:t>
            </w:r>
            <w:r>
              <w:rPr>
                <w:spacing w:val="-35"/>
                <w:sz w:val="20"/>
                <w:szCs w:val="20"/>
              </w:rPr>
              <w:t xml:space="preserve"> </w:t>
            </w:r>
            <w:r>
              <w:rPr>
                <w:spacing w:val="8"/>
                <w:sz w:val="20"/>
                <w:szCs w:val="20"/>
              </w:rPr>
              <w:t>单</w:t>
            </w:r>
          </w:p>
        </w:tc>
        <w:tc>
          <w:tcPr>
            <w:tcW w:w="699" w:type="dxa"/>
            <w:vAlign w:val="top"/>
          </w:tcPr>
          <w:p w14:paraId="0AE3029A">
            <w:pPr>
              <w:spacing w:line="262" w:lineRule="auto"/>
              <w:rPr>
                <w:rFonts w:ascii="Arial"/>
                <w:sz w:val="21"/>
              </w:rPr>
            </w:pPr>
          </w:p>
          <w:p w14:paraId="468656C9">
            <w:pPr>
              <w:spacing w:line="262" w:lineRule="auto"/>
              <w:rPr>
                <w:rFonts w:ascii="Arial"/>
                <w:sz w:val="21"/>
              </w:rPr>
            </w:pPr>
          </w:p>
          <w:p w14:paraId="56C73F1D">
            <w:pPr>
              <w:spacing w:line="262" w:lineRule="auto"/>
              <w:rPr>
                <w:rFonts w:ascii="Arial"/>
                <w:sz w:val="21"/>
              </w:rPr>
            </w:pPr>
          </w:p>
          <w:p w14:paraId="112F9EB1">
            <w:pPr>
              <w:spacing w:line="263" w:lineRule="auto"/>
              <w:rPr>
                <w:rFonts w:ascii="Arial"/>
                <w:sz w:val="21"/>
              </w:rPr>
            </w:pPr>
          </w:p>
          <w:p w14:paraId="121E99E8">
            <w:pPr>
              <w:pStyle w:val="6"/>
              <w:spacing w:before="65" w:line="228" w:lineRule="auto"/>
              <w:ind w:left="150"/>
              <w:rPr>
                <w:sz w:val="20"/>
                <w:szCs w:val="20"/>
              </w:rPr>
            </w:pPr>
            <w:r>
              <w:rPr>
                <w:spacing w:val="-1"/>
                <w:sz w:val="20"/>
                <w:szCs w:val="20"/>
              </w:rPr>
              <w:t>区域</w:t>
            </w:r>
          </w:p>
          <w:p w14:paraId="378B356A">
            <w:pPr>
              <w:pStyle w:val="6"/>
              <w:spacing w:before="23" w:line="227" w:lineRule="auto"/>
              <w:ind w:left="135"/>
              <w:rPr>
                <w:sz w:val="20"/>
                <w:szCs w:val="20"/>
              </w:rPr>
            </w:pPr>
            <w:r>
              <w:rPr>
                <w:spacing w:val="7"/>
                <w:sz w:val="20"/>
                <w:szCs w:val="20"/>
              </w:rPr>
              <w:t>布局</w:t>
            </w:r>
          </w:p>
          <w:p w14:paraId="51618932">
            <w:pPr>
              <w:pStyle w:val="6"/>
              <w:spacing w:before="27" w:line="228" w:lineRule="auto"/>
              <w:ind w:left="140"/>
              <w:rPr>
                <w:sz w:val="20"/>
                <w:szCs w:val="20"/>
              </w:rPr>
            </w:pPr>
            <w:r>
              <w:rPr>
                <w:spacing w:val="4"/>
                <w:sz w:val="20"/>
                <w:szCs w:val="20"/>
              </w:rPr>
              <w:t>管控</w:t>
            </w:r>
          </w:p>
          <w:p w14:paraId="0032241A">
            <w:pPr>
              <w:pStyle w:val="6"/>
              <w:spacing w:before="24" w:line="229" w:lineRule="auto"/>
              <w:ind w:left="135"/>
              <w:rPr>
                <w:sz w:val="20"/>
                <w:szCs w:val="20"/>
              </w:rPr>
            </w:pPr>
            <w:r>
              <w:rPr>
                <w:spacing w:val="6"/>
                <w:sz w:val="20"/>
                <w:szCs w:val="20"/>
              </w:rPr>
              <w:t>要求</w:t>
            </w:r>
          </w:p>
        </w:tc>
        <w:tc>
          <w:tcPr>
            <w:tcW w:w="3585" w:type="dxa"/>
            <w:gridSpan w:val="2"/>
            <w:vAlign w:val="top"/>
          </w:tcPr>
          <w:p w14:paraId="4FB9BC50">
            <w:pPr>
              <w:pStyle w:val="6"/>
              <w:spacing w:before="35" w:line="251" w:lineRule="auto"/>
              <w:ind w:left="56" w:right="59" w:firstLine="2"/>
              <w:jc w:val="both"/>
              <w:rPr>
                <w:sz w:val="20"/>
                <w:szCs w:val="20"/>
              </w:rPr>
            </w:pPr>
            <w:r>
              <w:rPr>
                <w:spacing w:val="16"/>
                <w:sz w:val="20"/>
                <w:szCs w:val="20"/>
              </w:rPr>
              <w:t>调整优化产业集群发展空间布局，推</w:t>
            </w:r>
            <w:r>
              <w:rPr>
                <w:spacing w:val="3"/>
                <w:sz w:val="20"/>
                <w:szCs w:val="20"/>
              </w:rPr>
              <w:t xml:space="preserve"> </w:t>
            </w:r>
            <w:r>
              <w:rPr>
                <w:spacing w:val="16"/>
                <w:sz w:val="20"/>
                <w:szCs w:val="20"/>
              </w:rPr>
              <w:t>动工业项目向汕尾高新技术产业开发</w:t>
            </w:r>
            <w:r>
              <w:rPr>
                <w:spacing w:val="6"/>
                <w:sz w:val="20"/>
                <w:szCs w:val="20"/>
              </w:rPr>
              <w:t xml:space="preserve"> </w:t>
            </w:r>
            <w:r>
              <w:rPr>
                <w:spacing w:val="16"/>
                <w:sz w:val="20"/>
                <w:szCs w:val="20"/>
              </w:rPr>
              <w:t>区、广东汕尾红海湾经济开发区、广</w:t>
            </w:r>
            <w:r>
              <w:rPr>
                <w:spacing w:val="6"/>
                <w:sz w:val="20"/>
                <w:szCs w:val="20"/>
              </w:rPr>
              <w:t xml:space="preserve"> </w:t>
            </w:r>
            <w:r>
              <w:rPr>
                <w:spacing w:val="16"/>
                <w:sz w:val="20"/>
                <w:szCs w:val="20"/>
              </w:rPr>
              <w:t>东海丰经济开发区、海丰首饰产业环</w:t>
            </w:r>
            <w:r>
              <w:rPr>
                <w:spacing w:val="6"/>
                <w:sz w:val="20"/>
                <w:szCs w:val="20"/>
              </w:rPr>
              <w:t xml:space="preserve"> </w:t>
            </w:r>
            <w:r>
              <w:rPr>
                <w:spacing w:val="16"/>
                <w:sz w:val="20"/>
                <w:szCs w:val="20"/>
              </w:rPr>
              <w:t>保集聚区、广东陆河县产业转移工业</w:t>
            </w:r>
            <w:r>
              <w:rPr>
                <w:spacing w:val="6"/>
                <w:sz w:val="20"/>
                <w:szCs w:val="20"/>
              </w:rPr>
              <w:t xml:space="preserve"> </w:t>
            </w:r>
            <w:r>
              <w:rPr>
                <w:spacing w:val="16"/>
                <w:sz w:val="20"/>
                <w:szCs w:val="20"/>
              </w:rPr>
              <w:t>园区、广东汕尾星都经济开发区及其</w:t>
            </w:r>
            <w:r>
              <w:rPr>
                <w:spacing w:val="6"/>
                <w:sz w:val="20"/>
                <w:szCs w:val="20"/>
              </w:rPr>
              <w:t xml:space="preserve"> </w:t>
            </w:r>
            <w:r>
              <w:rPr>
                <w:spacing w:val="16"/>
                <w:sz w:val="20"/>
                <w:szCs w:val="20"/>
              </w:rPr>
              <w:t>他产业园区或工业集聚区入园集聚发</w:t>
            </w:r>
            <w:r>
              <w:rPr>
                <w:spacing w:val="6"/>
                <w:sz w:val="20"/>
                <w:szCs w:val="20"/>
              </w:rPr>
              <w:t xml:space="preserve"> </w:t>
            </w:r>
            <w:r>
              <w:rPr>
                <w:spacing w:val="16"/>
                <w:sz w:val="20"/>
                <w:szCs w:val="20"/>
              </w:rPr>
              <w:t>展，引导重大产业向南部海洋经济产</w:t>
            </w:r>
            <w:r>
              <w:rPr>
                <w:spacing w:val="6"/>
                <w:sz w:val="20"/>
                <w:szCs w:val="20"/>
              </w:rPr>
              <w:t xml:space="preserve"> </w:t>
            </w:r>
            <w:r>
              <w:rPr>
                <w:spacing w:val="16"/>
                <w:sz w:val="20"/>
                <w:szCs w:val="20"/>
              </w:rPr>
              <w:t>业带、东部临港工业组团等环境容量</w:t>
            </w:r>
            <w:r>
              <w:rPr>
                <w:spacing w:val="6"/>
                <w:sz w:val="20"/>
                <w:szCs w:val="20"/>
              </w:rPr>
              <w:t xml:space="preserve"> </w:t>
            </w:r>
            <w:r>
              <w:rPr>
                <w:spacing w:val="11"/>
                <w:sz w:val="20"/>
                <w:szCs w:val="20"/>
              </w:rPr>
              <w:t>充足的沿海地区布局。</w:t>
            </w:r>
          </w:p>
          <w:p w14:paraId="23E52310">
            <w:pPr>
              <w:pStyle w:val="6"/>
              <w:spacing w:before="1" w:line="232" w:lineRule="auto"/>
              <w:ind w:left="62" w:right="59" w:hanging="4"/>
              <w:jc w:val="both"/>
              <w:rPr>
                <w:sz w:val="20"/>
                <w:szCs w:val="20"/>
              </w:rPr>
            </w:pPr>
            <w:r>
              <w:rPr>
                <w:spacing w:val="16"/>
                <w:sz w:val="20"/>
                <w:szCs w:val="20"/>
              </w:rPr>
              <w:t>县级及以上城市建成区，禁止新建每</w:t>
            </w:r>
            <w:r>
              <w:rPr>
                <w:spacing w:val="4"/>
                <w:sz w:val="20"/>
                <w:szCs w:val="20"/>
              </w:rPr>
              <w:t xml:space="preserve"> </w:t>
            </w:r>
            <w:r>
              <w:rPr>
                <w:spacing w:val="8"/>
                <w:sz w:val="20"/>
                <w:szCs w:val="20"/>
              </w:rPr>
              <w:t>小时</w:t>
            </w:r>
            <w:r>
              <w:rPr>
                <w:spacing w:val="-31"/>
                <w:sz w:val="20"/>
                <w:szCs w:val="20"/>
              </w:rPr>
              <w:t xml:space="preserve"> </w:t>
            </w:r>
            <w:r>
              <w:rPr>
                <w:rFonts w:ascii="Times New Roman" w:hAnsi="Times New Roman" w:eastAsia="Times New Roman" w:cs="Times New Roman"/>
                <w:spacing w:val="8"/>
                <w:sz w:val="20"/>
                <w:szCs w:val="20"/>
              </w:rPr>
              <w:t>35</w:t>
            </w:r>
            <w:r>
              <w:rPr>
                <w:rFonts w:ascii="Times New Roman" w:hAnsi="Times New Roman" w:eastAsia="Times New Roman" w:cs="Times New Roman"/>
                <w:spacing w:val="17"/>
                <w:w w:val="101"/>
                <w:sz w:val="20"/>
                <w:szCs w:val="20"/>
              </w:rPr>
              <w:t xml:space="preserve"> </w:t>
            </w:r>
            <w:r>
              <w:rPr>
                <w:spacing w:val="8"/>
                <w:sz w:val="20"/>
                <w:szCs w:val="20"/>
              </w:rPr>
              <w:t>蒸吨以下燃煤锅炉。</w:t>
            </w:r>
          </w:p>
        </w:tc>
        <w:tc>
          <w:tcPr>
            <w:tcW w:w="2582" w:type="dxa"/>
            <w:gridSpan w:val="2"/>
            <w:vAlign w:val="top"/>
          </w:tcPr>
          <w:p w14:paraId="33792DE7">
            <w:pPr>
              <w:spacing w:line="262" w:lineRule="auto"/>
              <w:rPr>
                <w:rFonts w:ascii="Arial"/>
                <w:sz w:val="21"/>
              </w:rPr>
            </w:pPr>
          </w:p>
          <w:p w14:paraId="39B93FEF">
            <w:pPr>
              <w:spacing w:line="262" w:lineRule="auto"/>
              <w:rPr>
                <w:rFonts w:ascii="Arial"/>
                <w:sz w:val="21"/>
              </w:rPr>
            </w:pPr>
          </w:p>
          <w:p w14:paraId="5940CDC6">
            <w:pPr>
              <w:spacing w:line="262" w:lineRule="auto"/>
              <w:rPr>
                <w:rFonts w:ascii="Arial"/>
                <w:sz w:val="21"/>
              </w:rPr>
            </w:pPr>
          </w:p>
          <w:p w14:paraId="1A37503B">
            <w:pPr>
              <w:spacing w:line="263" w:lineRule="auto"/>
              <w:rPr>
                <w:rFonts w:ascii="Arial"/>
                <w:sz w:val="21"/>
              </w:rPr>
            </w:pPr>
          </w:p>
          <w:p w14:paraId="106C5D39">
            <w:pPr>
              <w:pStyle w:val="6"/>
              <w:spacing w:before="65" w:line="251" w:lineRule="auto"/>
              <w:ind w:left="104" w:right="54" w:hanging="36"/>
              <w:rPr>
                <w:sz w:val="20"/>
                <w:szCs w:val="20"/>
              </w:rPr>
            </w:pPr>
            <w:r>
              <w:rPr>
                <w:spacing w:val="4"/>
                <w:sz w:val="20"/>
                <w:szCs w:val="20"/>
              </w:rPr>
              <w:t xml:space="preserve">项目不位于工业园区，但项 </w:t>
            </w:r>
            <w:r>
              <w:rPr>
                <w:spacing w:val="7"/>
                <w:sz w:val="20"/>
                <w:szCs w:val="20"/>
              </w:rPr>
              <w:t>目用地为工业厂房用地。</w:t>
            </w:r>
          </w:p>
          <w:p w14:paraId="78443819">
            <w:pPr>
              <w:pStyle w:val="6"/>
              <w:spacing w:line="252" w:lineRule="auto"/>
              <w:ind w:left="65" w:right="54" w:firstLine="3"/>
              <w:rPr>
                <w:sz w:val="20"/>
                <w:szCs w:val="20"/>
              </w:rPr>
            </w:pPr>
            <w:r>
              <w:rPr>
                <w:spacing w:val="4"/>
                <w:sz w:val="20"/>
                <w:szCs w:val="20"/>
              </w:rPr>
              <w:t xml:space="preserve">项目不配套建设锅炉，不排 </w:t>
            </w:r>
            <w:r>
              <w:rPr>
                <w:spacing w:val="10"/>
                <w:sz w:val="20"/>
                <w:szCs w:val="20"/>
              </w:rPr>
              <w:t>放锅炉废气污染物。</w:t>
            </w:r>
          </w:p>
        </w:tc>
        <w:tc>
          <w:tcPr>
            <w:tcW w:w="658" w:type="dxa"/>
            <w:vAlign w:val="top"/>
          </w:tcPr>
          <w:p w14:paraId="061AE5C6">
            <w:pPr>
              <w:spacing w:line="242" w:lineRule="auto"/>
              <w:rPr>
                <w:rFonts w:ascii="Arial"/>
                <w:sz w:val="21"/>
              </w:rPr>
            </w:pPr>
          </w:p>
          <w:p w14:paraId="07AAB013">
            <w:pPr>
              <w:spacing w:line="242" w:lineRule="auto"/>
              <w:rPr>
                <w:rFonts w:ascii="Arial"/>
                <w:sz w:val="21"/>
              </w:rPr>
            </w:pPr>
          </w:p>
          <w:p w14:paraId="4A28BD33">
            <w:pPr>
              <w:spacing w:line="242" w:lineRule="auto"/>
              <w:rPr>
                <w:rFonts w:ascii="Arial"/>
                <w:sz w:val="21"/>
              </w:rPr>
            </w:pPr>
          </w:p>
          <w:p w14:paraId="006ECBC6">
            <w:pPr>
              <w:spacing w:line="242" w:lineRule="auto"/>
              <w:rPr>
                <w:rFonts w:ascii="Arial"/>
                <w:sz w:val="21"/>
              </w:rPr>
            </w:pPr>
          </w:p>
          <w:p w14:paraId="283EE446">
            <w:pPr>
              <w:spacing w:line="242" w:lineRule="auto"/>
              <w:rPr>
                <w:rFonts w:ascii="Arial"/>
                <w:sz w:val="21"/>
              </w:rPr>
            </w:pPr>
          </w:p>
          <w:p w14:paraId="15C99F7E">
            <w:pPr>
              <w:spacing w:line="243" w:lineRule="auto"/>
              <w:rPr>
                <w:rFonts w:ascii="Arial"/>
                <w:sz w:val="21"/>
              </w:rPr>
            </w:pPr>
          </w:p>
          <w:p w14:paraId="24382107">
            <w:pPr>
              <w:pStyle w:val="6"/>
              <w:spacing w:before="65" w:line="228" w:lineRule="auto"/>
              <w:ind w:left="130"/>
              <w:rPr>
                <w:sz w:val="20"/>
                <w:szCs w:val="20"/>
              </w:rPr>
            </w:pPr>
            <w:r>
              <w:rPr>
                <w:spacing w:val="4"/>
                <w:sz w:val="20"/>
                <w:szCs w:val="20"/>
              </w:rPr>
              <w:t>相符</w:t>
            </w:r>
          </w:p>
        </w:tc>
        <w:tc>
          <w:tcPr>
            <w:tcW w:w="185" w:type="dxa"/>
            <w:vMerge w:val="continue"/>
            <w:tcBorders>
              <w:top w:val="nil"/>
              <w:bottom w:val="nil"/>
              <w:right w:val="single" w:color="000000" w:sz="6" w:space="0"/>
            </w:tcBorders>
            <w:vAlign w:val="top"/>
          </w:tcPr>
          <w:p w14:paraId="45E3BB01">
            <w:pPr>
              <w:rPr>
                <w:rFonts w:ascii="Arial"/>
                <w:sz w:val="21"/>
              </w:rPr>
            </w:pPr>
          </w:p>
        </w:tc>
      </w:tr>
      <w:tr w14:paraId="68783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469" w:type="dxa"/>
            <w:vMerge w:val="continue"/>
            <w:tcBorders>
              <w:top w:val="nil"/>
              <w:left w:val="single" w:color="000000" w:sz="6" w:space="0"/>
              <w:bottom w:val="nil"/>
            </w:tcBorders>
            <w:vAlign w:val="top"/>
          </w:tcPr>
          <w:p w14:paraId="169EDABB">
            <w:pPr>
              <w:rPr>
                <w:rFonts w:ascii="Arial"/>
                <w:sz w:val="21"/>
              </w:rPr>
            </w:pPr>
          </w:p>
        </w:tc>
        <w:tc>
          <w:tcPr>
            <w:tcW w:w="175" w:type="dxa"/>
            <w:vMerge w:val="continue"/>
            <w:tcBorders>
              <w:top w:val="nil"/>
              <w:bottom w:val="nil"/>
            </w:tcBorders>
            <w:vAlign w:val="top"/>
          </w:tcPr>
          <w:p w14:paraId="7144684E">
            <w:pPr>
              <w:rPr>
                <w:rFonts w:ascii="Arial"/>
                <w:sz w:val="21"/>
              </w:rPr>
            </w:pPr>
          </w:p>
        </w:tc>
        <w:tc>
          <w:tcPr>
            <w:tcW w:w="521" w:type="dxa"/>
            <w:vMerge w:val="continue"/>
            <w:tcBorders>
              <w:top w:val="nil"/>
              <w:bottom w:val="nil"/>
            </w:tcBorders>
            <w:textDirection w:val="tbRlV"/>
            <w:vAlign w:val="top"/>
          </w:tcPr>
          <w:p w14:paraId="10A94AD3">
            <w:pPr>
              <w:rPr>
                <w:rFonts w:ascii="Arial"/>
                <w:sz w:val="21"/>
              </w:rPr>
            </w:pPr>
          </w:p>
        </w:tc>
        <w:tc>
          <w:tcPr>
            <w:tcW w:w="699" w:type="dxa"/>
            <w:vAlign w:val="top"/>
          </w:tcPr>
          <w:p w14:paraId="6070F61B">
            <w:pPr>
              <w:pStyle w:val="6"/>
              <w:spacing w:before="205" w:line="229" w:lineRule="auto"/>
              <w:ind w:left="143"/>
              <w:rPr>
                <w:sz w:val="20"/>
                <w:szCs w:val="20"/>
              </w:rPr>
            </w:pPr>
            <w:r>
              <w:rPr>
                <w:spacing w:val="3"/>
                <w:sz w:val="20"/>
                <w:szCs w:val="20"/>
              </w:rPr>
              <w:t>能源</w:t>
            </w:r>
          </w:p>
          <w:p w14:paraId="36F0573F">
            <w:pPr>
              <w:pStyle w:val="6"/>
              <w:spacing w:before="23" w:line="229" w:lineRule="auto"/>
              <w:ind w:left="144"/>
              <w:rPr>
                <w:sz w:val="20"/>
                <w:szCs w:val="20"/>
              </w:rPr>
            </w:pPr>
            <w:r>
              <w:rPr>
                <w:spacing w:val="2"/>
                <w:sz w:val="20"/>
                <w:szCs w:val="20"/>
              </w:rPr>
              <w:t>资源</w:t>
            </w:r>
          </w:p>
          <w:p w14:paraId="124FD2FC">
            <w:pPr>
              <w:pStyle w:val="6"/>
              <w:spacing w:before="23" w:line="229" w:lineRule="auto"/>
              <w:ind w:left="135"/>
              <w:rPr>
                <w:sz w:val="20"/>
                <w:szCs w:val="20"/>
              </w:rPr>
            </w:pPr>
            <w:r>
              <w:rPr>
                <w:spacing w:val="6"/>
                <w:sz w:val="20"/>
                <w:szCs w:val="20"/>
              </w:rPr>
              <w:t>利用</w:t>
            </w:r>
          </w:p>
          <w:p w14:paraId="2CDAD19C">
            <w:pPr>
              <w:pStyle w:val="6"/>
              <w:spacing w:before="25" w:line="229" w:lineRule="auto"/>
              <w:ind w:left="135"/>
              <w:rPr>
                <w:sz w:val="20"/>
                <w:szCs w:val="20"/>
              </w:rPr>
            </w:pPr>
            <w:r>
              <w:rPr>
                <w:spacing w:val="6"/>
                <w:sz w:val="20"/>
                <w:szCs w:val="20"/>
              </w:rPr>
              <w:t>要求</w:t>
            </w:r>
          </w:p>
        </w:tc>
        <w:tc>
          <w:tcPr>
            <w:tcW w:w="3585" w:type="dxa"/>
            <w:gridSpan w:val="2"/>
            <w:vAlign w:val="top"/>
          </w:tcPr>
          <w:p w14:paraId="36BAC84A">
            <w:pPr>
              <w:spacing w:line="409" w:lineRule="auto"/>
              <w:rPr>
                <w:rFonts w:ascii="Arial"/>
                <w:sz w:val="21"/>
              </w:rPr>
            </w:pPr>
          </w:p>
          <w:p w14:paraId="40725A40">
            <w:pPr>
              <w:pStyle w:val="6"/>
              <w:spacing w:before="65" w:line="251" w:lineRule="auto"/>
              <w:ind w:left="57" w:right="59" w:firstLine="5"/>
              <w:rPr>
                <w:sz w:val="20"/>
                <w:szCs w:val="20"/>
              </w:rPr>
            </w:pPr>
            <w:r>
              <w:rPr>
                <w:spacing w:val="16"/>
                <w:sz w:val="20"/>
                <w:szCs w:val="20"/>
              </w:rPr>
              <w:t>贯彻落实</w:t>
            </w:r>
            <w:r>
              <w:rPr>
                <w:rFonts w:ascii="Times New Roman" w:hAnsi="Times New Roman" w:eastAsia="Times New Roman" w:cs="Times New Roman"/>
                <w:spacing w:val="16"/>
                <w:sz w:val="20"/>
                <w:szCs w:val="20"/>
              </w:rPr>
              <w:t>“</w:t>
            </w:r>
            <w:r>
              <w:rPr>
                <w:spacing w:val="16"/>
                <w:sz w:val="20"/>
                <w:szCs w:val="20"/>
              </w:rPr>
              <w:t>节水优先</w:t>
            </w:r>
            <w:r>
              <w:rPr>
                <w:rFonts w:ascii="Times New Roman" w:hAnsi="Times New Roman" w:eastAsia="Times New Roman" w:cs="Times New Roman"/>
                <w:spacing w:val="16"/>
                <w:sz w:val="20"/>
                <w:szCs w:val="20"/>
              </w:rPr>
              <w:t>”</w:t>
            </w:r>
            <w:r>
              <w:rPr>
                <w:spacing w:val="16"/>
                <w:sz w:val="20"/>
                <w:szCs w:val="20"/>
              </w:rPr>
              <w:t>方针，严格控制</w:t>
            </w:r>
            <w:r>
              <w:rPr>
                <w:spacing w:val="6"/>
                <w:sz w:val="20"/>
                <w:szCs w:val="20"/>
              </w:rPr>
              <w:t xml:space="preserve"> </w:t>
            </w:r>
            <w:r>
              <w:rPr>
                <w:spacing w:val="11"/>
                <w:sz w:val="20"/>
                <w:szCs w:val="20"/>
              </w:rPr>
              <w:t>地下水开采</w:t>
            </w:r>
          </w:p>
        </w:tc>
        <w:tc>
          <w:tcPr>
            <w:tcW w:w="2582" w:type="dxa"/>
            <w:gridSpan w:val="2"/>
            <w:vAlign w:val="top"/>
          </w:tcPr>
          <w:p w14:paraId="3E82CF21">
            <w:pPr>
              <w:pStyle w:val="6"/>
              <w:spacing w:before="70" w:line="249" w:lineRule="auto"/>
              <w:ind w:left="68" w:right="9"/>
              <w:jc w:val="both"/>
              <w:rPr>
                <w:sz w:val="20"/>
                <w:szCs w:val="20"/>
              </w:rPr>
            </w:pPr>
            <w:r>
              <w:rPr>
                <w:spacing w:val="17"/>
                <w:sz w:val="20"/>
                <w:szCs w:val="20"/>
              </w:rPr>
              <w:t>项</w:t>
            </w:r>
            <w:r>
              <w:rPr>
                <w:spacing w:val="-35"/>
                <w:sz w:val="20"/>
                <w:szCs w:val="20"/>
              </w:rPr>
              <w:t xml:space="preserve"> </w:t>
            </w:r>
            <w:r>
              <w:rPr>
                <w:spacing w:val="17"/>
                <w:sz w:val="20"/>
                <w:szCs w:val="20"/>
              </w:rPr>
              <w:t>目位于可塘镇圆山岭开</w:t>
            </w:r>
            <w:r>
              <w:rPr>
                <w:sz w:val="20"/>
                <w:szCs w:val="20"/>
              </w:rPr>
              <w:t xml:space="preserve"> </w:t>
            </w:r>
            <w:r>
              <w:rPr>
                <w:spacing w:val="8"/>
                <w:sz w:val="20"/>
                <w:szCs w:val="20"/>
              </w:rPr>
              <w:t>发区，有完善的供水管网，</w:t>
            </w:r>
            <w:r>
              <w:rPr>
                <w:spacing w:val="1"/>
                <w:sz w:val="20"/>
                <w:szCs w:val="20"/>
              </w:rPr>
              <w:t xml:space="preserve"> </w:t>
            </w:r>
            <w:r>
              <w:rPr>
                <w:spacing w:val="4"/>
                <w:sz w:val="20"/>
                <w:szCs w:val="20"/>
              </w:rPr>
              <w:t xml:space="preserve">项目使用自来水，生产过程 </w:t>
            </w:r>
            <w:r>
              <w:rPr>
                <w:spacing w:val="8"/>
                <w:sz w:val="20"/>
                <w:szCs w:val="20"/>
              </w:rPr>
              <w:t>中严格执行节水优先制度，</w:t>
            </w:r>
            <w:r>
              <w:rPr>
                <w:spacing w:val="1"/>
                <w:sz w:val="20"/>
                <w:szCs w:val="20"/>
              </w:rPr>
              <w:t xml:space="preserve"> </w:t>
            </w:r>
            <w:r>
              <w:rPr>
                <w:spacing w:val="9"/>
                <w:sz w:val="20"/>
                <w:szCs w:val="20"/>
              </w:rPr>
              <w:t>不开采地下水。</w:t>
            </w:r>
          </w:p>
        </w:tc>
        <w:tc>
          <w:tcPr>
            <w:tcW w:w="658" w:type="dxa"/>
            <w:vAlign w:val="top"/>
          </w:tcPr>
          <w:p w14:paraId="7AF28FFE">
            <w:pPr>
              <w:spacing w:line="272" w:lineRule="auto"/>
              <w:rPr>
                <w:rFonts w:ascii="Arial"/>
                <w:sz w:val="21"/>
              </w:rPr>
            </w:pPr>
          </w:p>
          <w:p w14:paraId="44997733">
            <w:pPr>
              <w:spacing w:line="272" w:lineRule="auto"/>
              <w:rPr>
                <w:rFonts w:ascii="Arial"/>
                <w:sz w:val="21"/>
              </w:rPr>
            </w:pPr>
          </w:p>
          <w:p w14:paraId="5D3B689A">
            <w:pPr>
              <w:pStyle w:val="6"/>
              <w:spacing w:before="65" w:line="228" w:lineRule="auto"/>
              <w:ind w:left="130"/>
              <w:rPr>
                <w:sz w:val="20"/>
                <w:szCs w:val="20"/>
              </w:rPr>
            </w:pPr>
            <w:r>
              <w:rPr>
                <w:spacing w:val="4"/>
                <w:sz w:val="20"/>
                <w:szCs w:val="20"/>
              </w:rPr>
              <w:t>相符</w:t>
            </w:r>
          </w:p>
        </w:tc>
        <w:tc>
          <w:tcPr>
            <w:tcW w:w="185" w:type="dxa"/>
            <w:vMerge w:val="continue"/>
            <w:tcBorders>
              <w:top w:val="nil"/>
              <w:bottom w:val="nil"/>
              <w:right w:val="single" w:color="000000" w:sz="6" w:space="0"/>
            </w:tcBorders>
            <w:vAlign w:val="top"/>
          </w:tcPr>
          <w:p w14:paraId="69B9714B">
            <w:pPr>
              <w:rPr>
                <w:rFonts w:ascii="Arial"/>
                <w:sz w:val="21"/>
              </w:rPr>
            </w:pPr>
          </w:p>
        </w:tc>
      </w:tr>
      <w:tr w14:paraId="19A32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5" w:hRule="atLeast"/>
        </w:trPr>
        <w:tc>
          <w:tcPr>
            <w:tcW w:w="469" w:type="dxa"/>
            <w:vMerge w:val="continue"/>
            <w:tcBorders>
              <w:top w:val="nil"/>
              <w:left w:val="single" w:color="000000" w:sz="6" w:space="0"/>
              <w:bottom w:val="nil"/>
            </w:tcBorders>
            <w:vAlign w:val="top"/>
          </w:tcPr>
          <w:p w14:paraId="4CC05698">
            <w:pPr>
              <w:rPr>
                <w:rFonts w:ascii="Arial"/>
                <w:sz w:val="21"/>
              </w:rPr>
            </w:pPr>
          </w:p>
        </w:tc>
        <w:tc>
          <w:tcPr>
            <w:tcW w:w="175" w:type="dxa"/>
            <w:vMerge w:val="continue"/>
            <w:tcBorders>
              <w:top w:val="nil"/>
              <w:bottom w:val="nil"/>
            </w:tcBorders>
            <w:vAlign w:val="top"/>
          </w:tcPr>
          <w:p w14:paraId="40159215">
            <w:pPr>
              <w:rPr>
                <w:rFonts w:ascii="Arial"/>
                <w:sz w:val="21"/>
              </w:rPr>
            </w:pPr>
          </w:p>
        </w:tc>
        <w:tc>
          <w:tcPr>
            <w:tcW w:w="521" w:type="dxa"/>
            <w:vMerge w:val="continue"/>
            <w:tcBorders>
              <w:top w:val="nil"/>
              <w:bottom w:val="nil"/>
            </w:tcBorders>
            <w:textDirection w:val="tbRlV"/>
            <w:vAlign w:val="top"/>
          </w:tcPr>
          <w:p w14:paraId="4B74F9C9">
            <w:pPr>
              <w:rPr>
                <w:rFonts w:ascii="Arial"/>
                <w:sz w:val="21"/>
              </w:rPr>
            </w:pPr>
          </w:p>
        </w:tc>
        <w:tc>
          <w:tcPr>
            <w:tcW w:w="699" w:type="dxa"/>
            <w:vAlign w:val="top"/>
          </w:tcPr>
          <w:p w14:paraId="20D1850A">
            <w:pPr>
              <w:spacing w:line="268" w:lineRule="auto"/>
              <w:rPr>
                <w:rFonts w:ascii="Arial"/>
                <w:sz w:val="21"/>
              </w:rPr>
            </w:pPr>
          </w:p>
          <w:p w14:paraId="150A808E">
            <w:pPr>
              <w:spacing w:line="269" w:lineRule="auto"/>
              <w:rPr>
                <w:rFonts w:ascii="Arial"/>
                <w:sz w:val="21"/>
              </w:rPr>
            </w:pPr>
          </w:p>
          <w:p w14:paraId="70DF0D52">
            <w:pPr>
              <w:pStyle w:val="6"/>
              <w:spacing w:before="65" w:line="250" w:lineRule="auto"/>
              <w:ind w:left="139" w:right="38" w:hanging="103"/>
              <w:rPr>
                <w:sz w:val="20"/>
                <w:szCs w:val="20"/>
              </w:rPr>
            </w:pPr>
            <w:r>
              <w:rPr>
                <w:spacing w:val="6"/>
                <w:sz w:val="20"/>
                <w:szCs w:val="20"/>
              </w:rPr>
              <w:t>污染物</w:t>
            </w:r>
            <w:r>
              <w:rPr>
                <w:sz w:val="20"/>
                <w:szCs w:val="20"/>
              </w:rPr>
              <w:t xml:space="preserve"> </w:t>
            </w:r>
            <w:r>
              <w:rPr>
                <w:spacing w:val="4"/>
                <w:sz w:val="20"/>
                <w:szCs w:val="20"/>
              </w:rPr>
              <w:t>排放</w:t>
            </w:r>
          </w:p>
          <w:p w14:paraId="08BC1218">
            <w:pPr>
              <w:pStyle w:val="6"/>
              <w:spacing w:line="227" w:lineRule="auto"/>
              <w:ind w:left="144"/>
              <w:rPr>
                <w:sz w:val="20"/>
                <w:szCs w:val="20"/>
              </w:rPr>
            </w:pPr>
            <w:r>
              <w:rPr>
                <w:spacing w:val="2"/>
                <w:sz w:val="20"/>
                <w:szCs w:val="20"/>
              </w:rPr>
              <w:t>管控</w:t>
            </w:r>
          </w:p>
          <w:p w14:paraId="566AC3EB">
            <w:pPr>
              <w:pStyle w:val="6"/>
              <w:spacing w:before="27" w:line="229" w:lineRule="auto"/>
              <w:ind w:left="140"/>
              <w:rPr>
                <w:sz w:val="20"/>
                <w:szCs w:val="20"/>
              </w:rPr>
            </w:pPr>
            <w:r>
              <w:rPr>
                <w:spacing w:val="4"/>
                <w:sz w:val="20"/>
                <w:szCs w:val="20"/>
              </w:rPr>
              <w:t>要求</w:t>
            </w:r>
          </w:p>
        </w:tc>
        <w:tc>
          <w:tcPr>
            <w:tcW w:w="3585" w:type="dxa"/>
            <w:gridSpan w:val="2"/>
            <w:vAlign w:val="top"/>
          </w:tcPr>
          <w:p w14:paraId="4EFF8FFE">
            <w:pPr>
              <w:spacing w:line="262" w:lineRule="auto"/>
              <w:rPr>
                <w:rFonts w:ascii="Arial"/>
                <w:sz w:val="21"/>
              </w:rPr>
            </w:pPr>
          </w:p>
          <w:p w14:paraId="18CF24E0">
            <w:pPr>
              <w:pStyle w:val="6"/>
              <w:spacing w:before="65" w:line="252" w:lineRule="auto"/>
              <w:ind w:left="56" w:right="59"/>
              <w:jc w:val="both"/>
              <w:rPr>
                <w:sz w:val="20"/>
                <w:szCs w:val="20"/>
              </w:rPr>
            </w:pPr>
            <w:r>
              <w:rPr>
                <w:spacing w:val="16"/>
                <w:sz w:val="20"/>
                <w:szCs w:val="20"/>
              </w:rPr>
              <w:t>超过重点污染物排放总量控制指标或</w:t>
            </w:r>
            <w:r>
              <w:rPr>
                <w:spacing w:val="6"/>
                <w:sz w:val="20"/>
                <w:szCs w:val="20"/>
              </w:rPr>
              <w:t xml:space="preserve"> </w:t>
            </w:r>
            <w:r>
              <w:rPr>
                <w:spacing w:val="16"/>
                <w:sz w:val="20"/>
                <w:szCs w:val="20"/>
              </w:rPr>
              <w:t>未完成环境质量改善目标的区域，新</w:t>
            </w:r>
            <w:r>
              <w:rPr>
                <w:spacing w:val="5"/>
                <w:sz w:val="20"/>
                <w:szCs w:val="20"/>
              </w:rPr>
              <w:t xml:space="preserve"> </w:t>
            </w:r>
            <w:r>
              <w:rPr>
                <w:spacing w:val="16"/>
                <w:sz w:val="20"/>
                <w:szCs w:val="20"/>
              </w:rPr>
              <w:t>建、改建、扩建项目重点污染物实施</w:t>
            </w:r>
            <w:r>
              <w:rPr>
                <w:spacing w:val="5"/>
                <w:sz w:val="20"/>
                <w:szCs w:val="20"/>
              </w:rPr>
              <w:t xml:space="preserve"> </w:t>
            </w:r>
            <w:r>
              <w:rPr>
                <w:spacing w:val="16"/>
                <w:sz w:val="20"/>
                <w:szCs w:val="20"/>
              </w:rPr>
              <w:t>减量替代。优化调整供排水格局，禁</w:t>
            </w:r>
            <w:r>
              <w:rPr>
                <w:spacing w:val="5"/>
                <w:sz w:val="20"/>
                <w:szCs w:val="20"/>
              </w:rPr>
              <w:t xml:space="preserve"> </w:t>
            </w:r>
            <w:r>
              <w:rPr>
                <w:spacing w:val="13"/>
                <w:sz w:val="20"/>
                <w:szCs w:val="20"/>
              </w:rPr>
              <w:t>止在地表水</w:t>
            </w:r>
            <w:r>
              <w:rPr>
                <w:rFonts w:ascii="Times New Roman" w:hAnsi="Times New Roman" w:eastAsia="Times New Roman" w:cs="Times New Roman"/>
                <w:spacing w:val="13"/>
                <w:sz w:val="20"/>
                <w:szCs w:val="20"/>
              </w:rPr>
              <w:t>Ⅰ</w:t>
            </w:r>
            <w:r>
              <w:rPr>
                <w:rFonts w:ascii="Times New Roman" w:hAnsi="Times New Roman" w:eastAsia="Times New Roman" w:cs="Times New Roman"/>
                <w:spacing w:val="-6"/>
                <w:sz w:val="20"/>
                <w:szCs w:val="20"/>
              </w:rPr>
              <w:t xml:space="preserve"> </w:t>
            </w:r>
            <w:r>
              <w:rPr>
                <w:spacing w:val="13"/>
                <w:sz w:val="20"/>
                <w:szCs w:val="20"/>
              </w:rPr>
              <w:t>、</w:t>
            </w:r>
            <w:r>
              <w:rPr>
                <w:rFonts w:ascii="Times New Roman" w:hAnsi="Times New Roman" w:eastAsia="Times New Roman" w:cs="Times New Roman"/>
                <w:spacing w:val="13"/>
                <w:sz w:val="20"/>
                <w:szCs w:val="20"/>
              </w:rPr>
              <w:t>Ⅱ</w:t>
            </w:r>
            <w:r>
              <w:rPr>
                <w:spacing w:val="13"/>
                <w:sz w:val="20"/>
                <w:szCs w:val="20"/>
              </w:rPr>
              <w:t>类水域新建排污口，</w:t>
            </w:r>
            <w:r>
              <w:rPr>
                <w:sz w:val="20"/>
                <w:szCs w:val="20"/>
              </w:rPr>
              <w:t xml:space="preserve"> </w:t>
            </w:r>
            <w:r>
              <w:rPr>
                <w:spacing w:val="12"/>
                <w:sz w:val="20"/>
                <w:szCs w:val="20"/>
              </w:rPr>
              <w:t>已建排污口不得增加污染物排放量。</w:t>
            </w:r>
          </w:p>
        </w:tc>
        <w:tc>
          <w:tcPr>
            <w:tcW w:w="2582" w:type="dxa"/>
            <w:gridSpan w:val="2"/>
            <w:vAlign w:val="top"/>
          </w:tcPr>
          <w:p w14:paraId="35ABE8BC">
            <w:pPr>
              <w:pStyle w:val="6"/>
              <w:spacing w:before="59" w:line="251" w:lineRule="auto"/>
              <w:ind w:left="66" w:right="54" w:firstLine="2"/>
              <w:jc w:val="both"/>
              <w:rPr>
                <w:sz w:val="20"/>
                <w:szCs w:val="20"/>
              </w:rPr>
            </w:pPr>
            <w:r>
              <w:rPr>
                <w:spacing w:val="17"/>
                <w:sz w:val="20"/>
                <w:szCs w:val="20"/>
              </w:rPr>
              <w:t>项</w:t>
            </w:r>
            <w:r>
              <w:rPr>
                <w:spacing w:val="-35"/>
                <w:sz w:val="20"/>
                <w:szCs w:val="20"/>
              </w:rPr>
              <w:t xml:space="preserve"> </w:t>
            </w:r>
            <w:r>
              <w:rPr>
                <w:spacing w:val="17"/>
                <w:sz w:val="20"/>
                <w:szCs w:val="20"/>
              </w:rPr>
              <w:t>目所在区域不属于超过</w:t>
            </w:r>
            <w:r>
              <w:rPr>
                <w:sz w:val="20"/>
                <w:szCs w:val="20"/>
              </w:rPr>
              <w:t xml:space="preserve"> </w:t>
            </w:r>
            <w:r>
              <w:rPr>
                <w:spacing w:val="23"/>
                <w:sz w:val="20"/>
                <w:szCs w:val="20"/>
              </w:rPr>
              <w:t>重点污染物排放总量控制</w:t>
            </w:r>
            <w:r>
              <w:rPr>
                <w:spacing w:val="1"/>
                <w:sz w:val="20"/>
                <w:szCs w:val="20"/>
              </w:rPr>
              <w:t xml:space="preserve"> </w:t>
            </w:r>
            <w:r>
              <w:rPr>
                <w:spacing w:val="23"/>
                <w:sz w:val="20"/>
                <w:szCs w:val="20"/>
              </w:rPr>
              <w:t>指标或未完成环境质量改</w:t>
            </w:r>
            <w:r>
              <w:rPr>
                <w:spacing w:val="1"/>
                <w:sz w:val="20"/>
                <w:szCs w:val="20"/>
              </w:rPr>
              <w:t xml:space="preserve"> </w:t>
            </w:r>
            <w:r>
              <w:rPr>
                <w:spacing w:val="10"/>
                <w:sz w:val="20"/>
                <w:szCs w:val="20"/>
              </w:rPr>
              <w:t>善目标的区域。</w:t>
            </w:r>
          </w:p>
          <w:p w14:paraId="2748DFAE">
            <w:pPr>
              <w:pStyle w:val="6"/>
              <w:spacing w:before="1" w:line="246" w:lineRule="auto"/>
              <w:ind w:left="67" w:right="61" w:firstLine="1"/>
              <w:jc w:val="both"/>
              <w:rPr>
                <w:sz w:val="20"/>
                <w:szCs w:val="20"/>
              </w:rPr>
            </w:pPr>
            <w:r>
              <w:rPr>
                <w:spacing w:val="16"/>
                <w:sz w:val="20"/>
                <w:szCs w:val="20"/>
              </w:rPr>
              <w:t>项</w:t>
            </w:r>
            <w:r>
              <w:rPr>
                <w:spacing w:val="-31"/>
                <w:sz w:val="20"/>
                <w:szCs w:val="20"/>
              </w:rPr>
              <w:t xml:space="preserve"> </w:t>
            </w:r>
            <w:r>
              <w:rPr>
                <w:spacing w:val="16"/>
                <w:sz w:val="20"/>
                <w:szCs w:val="20"/>
              </w:rPr>
              <w:t>目生产废水、生活污水</w:t>
            </w:r>
            <w:r>
              <w:rPr>
                <w:sz w:val="20"/>
                <w:szCs w:val="20"/>
              </w:rPr>
              <w:t xml:space="preserve"> </w:t>
            </w:r>
            <w:r>
              <w:rPr>
                <w:spacing w:val="22"/>
                <w:sz w:val="20"/>
                <w:szCs w:val="20"/>
              </w:rPr>
              <w:t>经处理达标后排入污水管</w:t>
            </w:r>
            <w:r>
              <w:rPr>
                <w:spacing w:val="4"/>
                <w:sz w:val="20"/>
                <w:szCs w:val="20"/>
              </w:rPr>
              <w:t xml:space="preserve"> </w:t>
            </w:r>
            <w:r>
              <w:rPr>
                <w:spacing w:val="18"/>
                <w:sz w:val="20"/>
                <w:szCs w:val="20"/>
              </w:rPr>
              <w:t>网</w:t>
            </w:r>
            <w:r>
              <w:rPr>
                <w:spacing w:val="-52"/>
                <w:sz w:val="20"/>
                <w:szCs w:val="20"/>
              </w:rPr>
              <w:t xml:space="preserve"> </w:t>
            </w:r>
            <w:r>
              <w:rPr>
                <w:spacing w:val="18"/>
                <w:sz w:val="20"/>
                <w:szCs w:val="20"/>
              </w:rPr>
              <w:t>，最后汇入可塘镇污水</w:t>
            </w:r>
            <w:r>
              <w:rPr>
                <w:sz w:val="20"/>
                <w:szCs w:val="20"/>
              </w:rPr>
              <w:t xml:space="preserve"> </w:t>
            </w:r>
            <w:r>
              <w:rPr>
                <w:spacing w:val="10"/>
                <w:sz w:val="20"/>
                <w:szCs w:val="20"/>
              </w:rPr>
              <w:t>处理厂。</w:t>
            </w:r>
          </w:p>
        </w:tc>
        <w:tc>
          <w:tcPr>
            <w:tcW w:w="658" w:type="dxa"/>
            <w:vAlign w:val="top"/>
          </w:tcPr>
          <w:p w14:paraId="58799BD8">
            <w:pPr>
              <w:spacing w:line="313" w:lineRule="auto"/>
              <w:rPr>
                <w:rFonts w:ascii="Arial"/>
                <w:sz w:val="21"/>
              </w:rPr>
            </w:pPr>
          </w:p>
          <w:p w14:paraId="24B5D12B">
            <w:pPr>
              <w:spacing w:line="314" w:lineRule="auto"/>
              <w:rPr>
                <w:rFonts w:ascii="Arial"/>
                <w:sz w:val="21"/>
              </w:rPr>
            </w:pPr>
          </w:p>
          <w:p w14:paraId="5DE54436">
            <w:pPr>
              <w:spacing w:line="314" w:lineRule="auto"/>
              <w:rPr>
                <w:rFonts w:ascii="Arial"/>
                <w:sz w:val="21"/>
              </w:rPr>
            </w:pPr>
          </w:p>
          <w:p w14:paraId="63636738">
            <w:pPr>
              <w:pStyle w:val="6"/>
              <w:spacing w:before="65" w:line="228" w:lineRule="auto"/>
              <w:ind w:left="130"/>
              <w:rPr>
                <w:sz w:val="20"/>
                <w:szCs w:val="20"/>
              </w:rPr>
            </w:pPr>
            <w:r>
              <w:rPr>
                <w:spacing w:val="4"/>
                <w:sz w:val="20"/>
                <w:szCs w:val="20"/>
              </w:rPr>
              <w:t>相符</w:t>
            </w:r>
          </w:p>
        </w:tc>
        <w:tc>
          <w:tcPr>
            <w:tcW w:w="185" w:type="dxa"/>
            <w:vMerge w:val="continue"/>
            <w:tcBorders>
              <w:top w:val="nil"/>
              <w:bottom w:val="nil"/>
              <w:right w:val="single" w:color="000000" w:sz="6" w:space="0"/>
            </w:tcBorders>
            <w:vAlign w:val="top"/>
          </w:tcPr>
          <w:p w14:paraId="68211A65">
            <w:pPr>
              <w:rPr>
                <w:rFonts w:ascii="Arial"/>
                <w:sz w:val="21"/>
              </w:rPr>
            </w:pPr>
          </w:p>
        </w:tc>
      </w:tr>
      <w:tr w14:paraId="2949A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69" w:type="dxa"/>
            <w:vMerge w:val="continue"/>
            <w:tcBorders>
              <w:top w:val="nil"/>
              <w:left w:val="single" w:color="000000" w:sz="6" w:space="0"/>
              <w:bottom w:val="nil"/>
            </w:tcBorders>
            <w:vAlign w:val="top"/>
          </w:tcPr>
          <w:p w14:paraId="5FBA7A6A">
            <w:pPr>
              <w:rPr>
                <w:rFonts w:ascii="Arial"/>
                <w:sz w:val="21"/>
              </w:rPr>
            </w:pPr>
          </w:p>
        </w:tc>
        <w:tc>
          <w:tcPr>
            <w:tcW w:w="175" w:type="dxa"/>
            <w:vMerge w:val="continue"/>
            <w:tcBorders>
              <w:top w:val="nil"/>
              <w:bottom w:val="nil"/>
            </w:tcBorders>
            <w:vAlign w:val="top"/>
          </w:tcPr>
          <w:p w14:paraId="2A33161D">
            <w:pPr>
              <w:rPr>
                <w:rFonts w:ascii="Arial"/>
                <w:sz w:val="21"/>
              </w:rPr>
            </w:pPr>
          </w:p>
        </w:tc>
        <w:tc>
          <w:tcPr>
            <w:tcW w:w="521" w:type="dxa"/>
            <w:vMerge w:val="continue"/>
            <w:tcBorders>
              <w:top w:val="nil"/>
            </w:tcBorders>
            <w:textDirection w:val="tbRlV"/>
            <w:vAlign w:val="top"/>
          </w:tcPr>
          <w:p w14:paraId="2610CF00">
            <w:pPr>
              <w:rPr>
                <w:rFonts w:ascii="Arial"/>
                <w:sz w:val="21"/>
              </w:rPr>
            </w:pPr>
          </w:p>
        </w:tc>
        <w:tc>
          <w:tcPr>
            <w:tcW w:w="699" w:type="dxa"/>
            <w:vAlign w:val="top"/>
          </w:tcPr>
          <w:p w14:paraId="395A13F3">
            <w:pPr>
              <w:pStyle w:val="6"/>
              <w:spacing w:before="41" w:line="228" w:lineRule="auto"/>
              <w:ind w:left="139"/>
              <w:rPr>
                <w:sz w:val="20"/>
                <w:szCs w:val="20"/>
              </w:rPr>
            </w:pPr>
            <w:r>
              <w:rPr>
                <w:spacing w:val="4"/>
                <w:sz w:val="20"/>
                <w:szCs w:val="20"/>
              </w:rPr>
              <w:t>环境</w:t>
            </w:r>
          </w:p>
          <w:p w14:paraId="24A5C82D">
            <w:pPr>
              <w:pStyle w:val="6"/>
              <w:spacing w:before="24" w:line="228" w:lineRule="auto"/>
              <w:ind w:left="140"/>
              <w:rPr>
                <w:sz w:val="20"/>
                <w:szCs w:val="20"/>
              </w:rPr>
            </w:pPr>
            <w:r>
              <w:rPr>
                <w:spacing w:val="4"/>
                <w:sz w:val="20"/>
                <w:szCs w:val="20"/>
              </w:rPr>
              <w:t>风险</w:t>
            </w:r>
          </w:p>
          <w:p w14:paraId="69BB2ACD">
            <w:pPr>
              <w:pStyle w:val="6"/>
              <w:spacing w:before="26" w:line="228" w:lineRule="auto"/>
              <w:ind w:left="153"/>
              <w:rPr>
                <w:sz w:val="20"/>
                <w:szCs w:val="20"/>
              </w:rPr>
            </w:pPr>
            <w:r>
              <w:rPr>
                <w:spacing w:val="-2"/>
                <w:sz w:val="20"/>
                <w:szCs w:val="20"/>
              </w:rPr>
              <w:t>防控</w:t>
            </w:r>
          </w:p>
          <w:p w14:paraId="56092F10">
            <w:pPr>
              <w:pStyle w:val="6"/>
              <w:spacing w:before="23" w:line="209" w:lineRule="auto"/>
              <w:ind w:left="140"/>
              <w:rPr>
                <w:sz w:val="20"/>
                <w:szCs w:val="20"/>
              </w:rPr>
            </w:pPr>
            <w:r>
              <w:rPr>
                <w:spacing w:val="4"/>
                <w:sz w:val="20"/>
                <w:szCs w:val="20"/>
              </w:rPr>
              <w:t>要求</w:t>
            </w:r>
          </w:p>
        </w:tc>
        <w:tc>
          <w:tcPr>
            <w:tcW w:w="3585" w:type="dxa"/>
            <w:gridSpan w:val="2"/>
            <w:vAlign w:val="top"/>
          </w:tcPr>
          <w:p w14:paraId="015A925C">
            <w:pPr>
              <w:spacing w:line="380" w:lineRule="auto"/>
              <w:rPr>
                <w:rFonts w:ascii="Arial"/>
                <w:sz w:val="21"/>
              </w:rPr>
            </w:pPr>
          </w:p>
          <w:p w14:paraId="29C266FA">
            <w:pPr>
              <w:pStyle w:val="6"/>
              <w:spacing w:before="65" w:line="228" w:lineRule="auto"/>
              <w:ind w:left="58"/>
              <w:rPr>
                <w:sz w:val="20"/>
                <w:szCs w:val="20"/>
              </w:rPr>
            </w:pPr>
            <w:r>
              <w:rPr>
                <w:spacing w:val="11"/>
                <w:sz w:val="20"/>
                <w:szCs w:val="20"/>
              </w:rPr>
              <w:t>严格控制重金属超标风险。</w:t>
            </w:r>
          </w:p>
        </w:tc>
        <w:tc>
          <w:tcPr>
            <w:tcW w:w="2582" w:type="dxa"/>
            <w:gridSpan w:val="2"/>
            <w:vAlign w:val="top"/>
          </w:tcPr>
          <w:p w14:paraId="47D2F753">
            <w:pPr>
              <w:pStyle w:val="6"/>
              <w:spacing w:before="173" w:line="253" w:lineRule="auto"/>
              <w:ind w:left="64" w:firstLine="4"/>
              <w:jc w:val="both"/>
              <w:rPr>
                <w:sz w:val="20"/>
                <w:szCs w:val="20"/>
              </w:rPr>
            </w:pPr>
            <w:r>
              <w:rPr>
                <w:spacing w:val="3"/>
                <w:sz w:val="20"/>
                <w:szCs w:val="20"/>
              </w:rPr>
              <w:t>项目自建废水处理站，严格</w:t>
            </w:r>
            <w:r>
              <w:rPr>
                <w:spacing w:val="10"/>
                <w:sz w:val="20"/>
                <w:szCs w:val="20"/>
              </w:rPr>
              <w:t xml:space="preserve"> </w:t>
            </w:r>
            <w:r>
              <w:rPr>
                <w:spacing w:val="4"/>
                <w:sz w:val="20"/>
                <w:szCs w:val="20"/>
              </w:rPr>
              <w:t>按要求处理生产废水，严格</w:t>
            </w:r>
            <w:r>
              <w:rPr>
                <w:spacing w:val="2"/>
                <w:sz w:val="20"/>
                <w:szCs w:val="20"/>
              </w:rPr>
              <w:t xml:space="preserve"> </w:t>
            </w:r>
            <w:r>
              <w:rPr>
                <w:spacing w:val="9"/>
                <w:sz w:val="20"/>
                <w:szCs w:val="20"/>
              </w:rPr>
              <w:t>控制重金属污染物的排放。</w:t>
            </w:r>
          </w:p>
        </w:tc>
        <w:tc>
          <w:tcPr>
            <w:tcW w:w="658" w:type="dxa"/>
            <w:vAlign w:val="top"/>
          </w:tcPr>
          <w:p w14:paraId="686D4F9A">
            <w:pPr>
              <w:spacing w:line="380" w:lineRule="auto"/>
              <w:rPr>
                <w:rFonts w:ascii="Arial"/>
                <w:sz w:val="21"/>
              </w:rPr>
            </w:pPr>
          </w:p>
          <w:p w14:paraId="7C3D2F57">
            <w:pPr>
              <w:pStyle w:val="6"/>
              <w:spacing w:before="65" w:line="228" w:lineRule="auto"/>
              <w:ind w:left="130"/>
              <w:rPr>
                <w:sz w:val="20"/>
                <w:szCs w:val="20"/>
              </w:rPr>
            </w:pPr>
            <w:r>
              <w:rPr>
                <w:spacing w:val="4"/>
                <w:sz w:val="20"/>
                <w:szCs w:val="20"/>
              </w:rPr>
              <w:t>相符</w:t>
            </w:r>
          </w:p>
        </w:tc>
        <w:tc>
          <w:tcPr>
            <w:tcW w:w="185" w:type="dxa"/>
            <w:vMerge w:val="continue"/>
            <w:tcBorders>
              <w:top w:val="nil"/>
              <w:bottom w:val="nil"/>
              <w:right w:val="single" w:color="000000" w:sz="6" w:space="0"/>
            </w:tcBorders>
            <w:vAlign w:val="top"/>
          </w:tcPr>
          <w:p w14:paraId="719C4D9A">
            <w:pPr>
              <w:rPr>
                <w:rFonts w:ascii="Arial"/>
                <w:sz w:val="21"/>
              </w:rPr>
            </w:pPr>
          </w:p>
        </w:tc>
      </w:tr>
      <w:tr w14:paraId="1DAC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69" w:type="dxa"/>
            <w:vMerge w:val="continue"/>
            <w:tcBorders>
              <w:top w:val="nil"/>
              <w:left w:val="single" w:color="000000" w:sz="6" w:space="0"/>
              <w:bottom w:val="nil"/>
            </w:tcBorders>
            <w:vAlign w:val="top"/>
          </w:tcPr>
          <w:p w14:paraId="1D076F40">
            <w:pPr>
              <w:rPr>
                <w:rFonts w:ascii="Arial"/>
                <w:sz w:val="21"/>
              </w:rPr>
            </w:pPr>
          </w:p>
        </w:tc>
        <w:tc>
          <w:tcPr>
            <w:tcW w:w="175" w:type="dxa"/>
            <w:vMerge w:val="continue"/>
            <w:tcBorders>
              <w:top w:val="nil"/>
              <w:bottom w:val="nil"/>
            </w:tcBorders>
            <w:vAlign w:val="top"/>
          </w:tcPr>
          <w:p w14:paraId="22F69A19">
            <w:pPr>
              <w:rPr>
                <w:rFonts w:ascii="Arial"/>
                <w:sz w:val="21"/>
              </w:rPr>
            </w:pPr>
          </w:p>
        </w:tc>
        <w:tc>
          <w:tcPr>
            <w:tcW w:w="521" w:type="dxa"/>
            <w:vMerge w:val="restart"/>
            <w:tcBorders>
              <w:bottom w:val="nil"/>
            </w:tcBorders>
            <w:vAlign w:val="top"/>
          </w:tcPr>
          <w:p w14:paraId="41D843E1">
            <w:pPr>
              <w:spacing w:line="260" w:lineRule="auto"/>
              <w:rPr>
                <w:rFonts w:ascii="Arial"/>
                <w:sz w:val="21"/>
              </w:rPr>
            </w:pPr>
          </w:p>
          <w:p w14:paraId="1F36BD18">
            <w:pPr>
              <w:spacing w:line="260" w:lineRule="auto"/>
              <w:rPr>
                <w:rFonts w:ascii="Arial"/>
                <w:sz w:val="21"/>
              </w:rPr>
            </w:pPr>
          </w:p>
          <w:p w14:paraId="65B84E20">
            <w:pPr>
              <w:spacing w:line="261" w:lineRule="auto"/>
              <w:rPr>
                <w:rFonts w:ascii="Arial"/>
                <w:sz w:val="21"/>
              </w:rPr>
            </w:pPr>
          </w:p>
          <w:p w14:paraId="0E828322">
            <w:pPr>
              <w:spacing w:line="261" w:lineRule="auto"/>
              <w:rPr>
                <w:rFonts w:ascii="Arial"/>
                <w:sz w:val="21"/>
              </w:rPr>
            </w:pPr>
          </w:p>
          <w:p w14:paraId="3E5F7868">
            <w:pPr>
              <w:spacing w:line="261" w:lineRule="auto"/>
              <w:rPr>
                <w:rFonts w:ascii="Arial"/>
                <w:sz w:val="21"/>
              </w:rPr>
            </w:pPr>
          </w:p>
          <w:p w14:paraId="30DF855F">
            <w:pPr>
              <w:pStyle w:val="6"/>
              <w:spacing w:before="65" w:line="228" w:lineRule="auto"/>
              <w:ind w:left="46"/>
              <w:rPr>
                <w:sz w:val="20"/>
                <w:szCs w:val="20"/>
              </w:rPr>
            </w:pPr>
            <w:r>
              <w:rPr>
                <w:spacing w:val="7"/>
                <w:sz w:val="20"/>
                <w:szCs w:val="20"/>
              </w:rPr>
              <w:t>环境</w:t>
            </w:r>
          </w:p>
          <w:p w14:paraId="60BA29B9">
            <w:pPr>
              <w:pStyle w:val="6"/>
              <w:spacing w:before="25" w:line="228" w:lineRule="auto"/>
              <w:ind w:left="51"/>
              <w:rPr>
                <w:sz w:val="20"/>
                <w:szCs w:val="20"/>
              </w:rPr>
            </w:pPr>
            <w:r>
              <w:rPr>
                <w:spacing w:val="4"/>
                <w:sz w:val="20"/>
                <w:szCs w:val="20"/>
              </w:rPr>
              <w:t>管控</w:t>
            </w:r>
          </w:p>
          <w:p w14:paraId="532E1B9E">
            <w:pPr>
              <w:pStyle w:val="6"/>
              <w:spacing w:before="25" w:line="228" w:lineRule="auto"/>
              <w:ind w:left="48"/>
              <w:rPr>
                <w:sz w:val="20"/>
                <w:szCs w:val="20"/>
              </w:rPr>
            </w:pPr>
            <w:r>
              <w:rPr>
                <w:spacing w:val="6"/>
                <w:sz w:val="20"/>
                <w:szCs w:val="20"/>
              </w:rPr>
              <w:t>单元</w:t>
            </w:r>
          </w:p>
          <w:p w14:paraId="30A51F26">
            <w:pPr>
              <w:pStyle w:val="6"/>
              <w:spacing w:before="26" w:line="229" w:lineRule="auto"/>
              <w:ind w:left="48"/>
              <w:rPr>
                <w:sz w:val="20"/>
                <w:szCs w:val="20"/>
              </w:rPr>
            </w:pPr>
            <w:r>
              <w:rPr>
                <w:spacing w:val="6"/>
                <w:sz w:val="20"/>
                <w:szCs w:val="20"/>
              </w:rPr>
              <w:t>准入</w:t>
            </w:r>
          </w:p>
          <w:p w14:paraId="53CD3BC8">
            <w:pPr>
              <w:pStyle w:val="6"/>
              <w:spacing w:before="23" w:line="228" w:lineRule="auto"/>
              <w:ind w:left="46"/>
              <w:rPr>
                <w:sz w:val="20"/>
                <w:szCs w:val="20"/>
              </w:rPr>
            </w:pPr>
            <w:r>
              <w:rPr>
                <w:spacing w:val="7"/>
                <w:sz w:val="20"/>
                <w:szCs w:val="20"/>
              </w:rPr>
              <w:t>清单</w:t>
            </w:r>
          </w:p>
        </w:tc>
        <w:tc>
          <w:tcPr>
            <w:tcW w:w="3357" w:type="dxa"/>
            <w:gridSpan w:val="2"/>
            <w:vAlign w:val="top"/>
          </w:tcPr>
          <w:p w14:paraId="246684EE">
            <w:pPr>
              <w:pStyle w:val="6"/>
              <w:spacing w:before="159" w:line="228" w:lineRule="auto"/>
              <w:ind w:left="823"/>
              <w:rPr>
                <w:sz w:val="20"/>
                <w:szCs w:val="20"/>
              </w:rPr>
            </w:pPr>
            <w:r>
              <w:rPr>
                <w:spacing w:val="12"/>
                <w:sz w:val="20"/>
                <w:szCs w:val="20"/>
              </w:rPr>
              <w:t>环境管控单元编码</w:t>
            </w:r>
          </w:p>
        </w:tc>
        <w:tc>
          <w:tcPr>
            <w:tcW w:w="2410" w:type="dxa"/>
            <w:gridSpan w:val="2"/>
            <w:vAlign w:val="top"/>
          </w:tcPr>
          <w:p w14:paraId="7FDC3FB1">
            <w:pPr>
              <w:pStyle w:val="6"/>
              <w:spacing w:before="159" w:line="228" w:lineRule="auto"/>
              <w:ind w:left="785"/>
              <w:rPr>
                <w:sz w:val="20"/>
                <w:szCs w:val="20"/>
              </w:rPr>
            </w:pPr>
            <w:r>
              <w:rPr>
                <w:spacing w:val="9"/>
                <w:sz w:val="20"/>
                <w:szCs w:val="20"/>
              </w:rPr>
              <w:t>单元名称</w:t>
            </w:r>
          </w:p>
        </w:tc>
        <w:tc>
          <w:tcPr>
            <w:tcW w:w="1757" w:type="dxa"/>
            <w:gridSpan w:val="2"/>
            <w:vAlign w:val="top"/>
          </w:tcPr>
          <w:p w14:paraId="5C5F6D9A">
            <w:pPr>
              <w:pStyle w:val="6"/>
              <w:spacing w:before="159" w:line="228" w:lineRule="auto"/>
              <w:ind w:left="253"/>
              <w:rPr>
                <w:sz w:val="20"/>
                <w:szCs w:val="20"/>
              </w:rPr>
            </w:pPr>
            <w:r>
              <w:rPr>
                <w:spacing w:val="11"/>
                <w:sz w:val="20"/>
                <w:szCs w:val="20"/>
              </w:rPr>
              <w:t>管控单元分类</w:t>
            </w:r>
          </w:p>
        </w:tc>
        <w:tc>
          <w:tcPr>
            <w:tcW w:w="185" w:type="dxa"/>
            <w:vMerge w:val="continue"/>
            <w:tcBorders>
              <w:top w:val="nil"/>
              <w:bottom w:val="nil"/>
              <w:right w:val="single" w:color="000000" w:sz="6" w:space="0"/>
            </w:tcBorders>
            <w:vAlign w:val="top"/>
          </w:tcPr>
          <w:p w14:paraId="2132624E">
            <w:pPr>
              <w:rPr>
                <w:rFonts w:ascii="Arial"/>
                <w:sz w:val="21"/>
              </w:rPr>
            </w:pPr>
          </w:p>
        </w:tc>
      </w:tr>
      <w:tr w14:paraId="6A2AB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69" w:type="dxa"/>
            <w:vMerge w:val="continue"/>
            <w:tcBorders>
              <w:top w:val="nil"/>
              <w:left w:val="single" w:color="000000" w:sz="6" w:space="0"/>
              <w:bottom w:val="nil"/>
            </w:tcBorders>
            <w:vAlign w:val="top"/>
          </w:tcPr>
          <w:p w14:paraId="43504DB5">
            <w:pPr>
              <w:rPr>
                <w:rFonts w:ascii="Arial"/>
                <w:sz w:val="21"/>
              </w:rPr>
            </w:pPr>
          </w:p>
        </w:tc>
        <w:tc>
          <w:tcPr>
            <w:tcW w:w="175" w:type="dxa"/>
            <w:vMerge w:val="continue"/>
            <w:tcBorders>
              <w:top w:val="nil"/>
              <w:bottom w:val="nil"/>
            </w:tcBorders>
            <w:vAlign w:val="top"/>
          </w:tcPr>
          <w:p w14:paraId="289DBA50">
            <w:pPr>
              <w:rPr>
                <w:rFonts w:ascii="Arial"/>
                <w:sz w:val="21"/>
              </w:rPr>
            </w:pPr>
          </w:p>
        </w:tc>
        <w:tc>
          <w:tcPr>
            <w:tcW w:w="521" w:type="dxa"/>
            <w:vMerge w:val="continue"/>
            <w:tcBorders>
              <w:top w:val="nil"/>
              <w:bottom w:val="nil"/>
            </w:tcBorders>
            <w:vAlign w:val="top"/>
          </w:tcPr>
          <w:p w14:paraId="2550A764">
            <w:pPr>
              <w:rPr>
                <w:rFonts w:ascii="Arial"/>
                <w:sz w:val="21"/>
              </w:rPr>
            </w:pPr>
          </w:p>
        </w:tc>
        <w:tc>
          <w:tcPr>
            <w:tcW w:w="3357" w:type="dxa"/>
            <w:gridSpan w:val="2"/>
            <w:vAlign w:val="top"/>
          </w:tcPr>
          <w:p w14:paraId="2FA900DD">
            <w:pPr>
              <w:spacing w:before="197" w:line="195" w:lineRule="auto"/>
              <w:ind w:left="948"/>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7"/>
                <w:sz w:val="20"/>
                <w:szCs w:val="20"/>
              </w:rPr>
              <w:t>44152120011</w:t>
            </w:r>
          </w:p>
        </w:tc>
        <w:tc>
          <w:tcPr>
            <w:tcW w:w="2410" w:type="dxa"/>
            <w:gridSpan w:val="2"/>
            <w:vAlign w:val="top"/>
          </w:tcPr>
          <w:p w14:paraId="0B961E35">
            <w:pPr>
              <w:pStyle w:val="6"/>
              <w:spacing w:before="160" w:line="228" w:lineRule="auto"/>
              <w:ind w:left="113"/>
              <w:rPr>
                <w:rFonts w:ascii="Times New Roman" w:hAnsi="Times New Roman" w:eastAsia="Times New Roman" w:cs="Times New Roman"/>
                <w:sz w:val="20"/>
                <w:szCs w:val="20"/>
              </w:rPr>
            </w:pPr>
            <w:r>
              <w:rPr>
                <w:spacing w:val="10"/>
                <w:sz w:val="20"/>
                <w:szCs w:val="20"/>
              </w:rPr>
              <w:t>海丰县重点管控单元</w:t>
            </w:r>
            <w:r>
              <w:rPr>
                <w:spacing w:val="-29"/>
                <w:sz w:val="20"/>
                <w:szCs w:val="20"/>
              </w:rPr>
              <w:t xml:space="preserve"> </w:t>
            </w:r>
            <w:r>
              <w:rPr>
                <w:rFonts w:ascii="Times New Roman" w:hAnsi="Times New Roman" w:eastAsia="Times New Roman" w:cs="Times New Roman"/>
                <w:spacing w:val="10"/>
                <w:sz w:val="20"/>
                <w:szCs w:val="20"/>
              </w:rPr>
              <w:t>03</w:t>
            </w:r>
          </w:p>
        </w:tc>
        <w:tc>
          <w:tcPr>
            <w:tcW w:w="1757" w:type="dxa"/>
            <w:gridSpan w:val="2"/>
            <w:vAlign w:val="top"/>
          </w:tcPr>
          <w:p w14:paraId="1203BAA0">
            <w:pPr>
              <w:pStyle w:val="6"/>
              <w:spacing w:before="160" w:line="228" w:lineRule="auto"/>
              <w:ind w:left="248"/>
              <w:rPr>
                <w:sz w:val="20"/>
                <w:szCs w:val="20"/>
              </w:rPr>
            </w:pPr>
            <w:r>
              <w:rPr>
                <w:spacing w:val="11"/>
                <w:sz w:val="20"/>
                <w:szCs w:val="20"/>
              </w:rPr>
              <w:t>重点管控单元</w:t>
            </w:r>
          </w:p>
        </w:tc>
        <w:tc>
          <w:tcPr>
            <w:tcW w:w="185" w:type="dxa"/>
            <w:vMerge w:val="continue"/>
            <w:tcBorders>
              <w:top w:val="nil"/>
              <w:bottom w:val="nil"/>
              <w:right w:val="single" w:color="000000" w:sz="6" w:space="0"/>
            </w:tcBorders>
            <w:vAlign w:val="top"/>
          </w:tcPr>
          <w:p w14:paraId="684D3A6F">
            <w:pPr>
              <w:rPr>
                <w:rFonts w:ascii="Arial"/>
                <w:sz w:val="21"/>
              </w:rPr>
            </w:pPr>
          </w:p>
        </w:tc>
      </w:tr>
      <w:tr w14:paraId="49CA6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0" w:hRule="atLeast"/>
        </w:trPr>
        <w:tc>
          <w:tcPr>
            <w:tcW w:w="469" w:type="dxa"/>
            <w:vMerge w:val="continue"/>
            <w:tcBorders>
              <w:top w:val="nil"/>
              <w:left w:val="single" w:color="000000" w:sz="6" w:space="0"/>
              <w:bottom w:val="single" w:color="000000" w:sz="6" w:space="0"/>
            </w:tcBorders>
            <w:vAlign w:val="top"/>
          </w:tcPr>
          <w:p w14:paraId="3141E4C6">
            <w:pPr>
              <w:rPr>
                <w:rFonts w:ascii="Arial"/>
                <w:sz w:val="21"/>
              </w:rPr>
            </w:pPr>
          </w:p>
        </w:tc>
        <w:tc>
          <w:tcPr>
            <w:tcW w:w="175" w:type="dxa"/>
            <w:vMerge w:val="continue"/>
            <w:tcBorders>
              <w:top w:val="nil"/>
              <w:bottom w:val="single" w:color="000000" w:sz="6" w:space="0"/>
            </w:tcBorders>
            <w:vAlign w:val="top"/>
          </w:tcPr>
          <w:p w14:paraId="70804EAA">
            <w:pPr>
              <w:rPr>
                <w:rFonts w:ascii="Arial"/>
                <w:sz w:val="21"/>
              </w:rPr>
            </w:pPr>
          </w:p>
        </w:tc>
        <w:tc>
          <w:tcPr>
            <w:tcW w:w="521" w:type="dxa"/>
            <w:vMerge w:val="continue"/>
            <w:tcBorders>
              <w:top w:val="nil"/>
              <w:bottom w:val="single" w:color="000000" w:sz="6" w:space="0"/>
            </w:tcBorders>
            <w:vAlign w:val="top"/>
          </w:tcPr>
          <w:p w14:paraId="7C1E80E6">
            <w:pPr>
              <w:rPr>
                <w:rFonts w:ascii="Arial"/>
                <w:sz w:val="21"/>
              </w:rPr>
            </w:pPr>
          </w:p>
        </w:tc>
        <w:tc>
          <w:tcPr>
            <w:tcW w:w="699" w:type="dxa"/>
            <w:tcBorders>
              <w:bottom w:val="single" w:color="000000" w:sz="6" w:space="0"/>
            </w:tcBorders>
            <w:vAlign w:val="top"/>
          </w:tcPr>
          <w:p w14:paraId="68F40C49">
            <w:pPr>
              <w:spacing w:line="264" w:lineRule="auto"/>
              <w:rPr>
                <w:rFonts w:ascii="Arial"/>
                <w:sz w:val="21"/>
              </w:rPr>
            </w:pPr>
          </w:p>
          <w:p w14:paraId="38708239">
            <w:pPr>
              <w:spacing w:line="265" w:lineRule="auto"/>
              <w:rPr>
                <w:rFonts w:ascii="Arial"/>
                <w:sz w:val="21"/>
              </w:rPr>
            </w:pPr>
          </w:p>
          <w:p w14:paraId="0A1282C7">
            <w:pPr>
              <w:spacing w:line="265" w:lineRule="auto"/>
              <w:rPr>
                <w:rFonts w:ascii="Arial"/>
                <w:sz w:val="21"/>
              </w:rPr>
            </w:pPr>
          </w:p>
          <w:p w14:paraId="413F6E63">
            <w:pPr>
              <w:spacing w:line="265" w:lineRule="auto"/>
              <w:rPr>
                <w:rFonts w:ascii="Arial"/>
                <w:sz w:val="21"/>
              </w:rPr>
            </w:pPr>
          </w:p>
          <w:p w14:paraId="6895B6F0">
            <w:pPr>
              <w:pStyle w:val="6"/>
              <w:spacing w:before="65" w:line="228" w:lineRule="auto"/>
              <w:ind w:left="150"/>
              <w:rPr>
                <w:sz w:val="20"/>
                <w:szCs w:val="20"/>
              </w:rPr>
            </w:pPr>
            <w:r>
              <w:rPr>
                <w:spacing w:val="-1"/>
                <w:sz w:val="20"/>
                <w:szCs w:val="20"/>
              </w:rPr>
              <w:t>区域</w:t>
            </w:r>
          </w:p>
          <w:p w14:paraId="600B87E5">
            <w:pPr>
              <w:pStyle w:val="6"/>
              <w:spacing w:before="26" w:line="227" w:lineRule="auto"/>
              <w:ind w:left="135"/>
              <w:rPr>
                <w:sz w:val="20"/>
                <w:szCs w:val="20"/>
              </w:rPr>
            </w:pPr>
            <w:r>
              <w:rPr>
                <w:spacing w:val="7"/>
                <w:sz w:val="20"/>
                <w:szCs w:val="20"/>
              </w:rPr>
              <w:t>布局</w:t>
            </w:r>
          </w:p>
          <w:p w14:paraId="29569866">
            <w:pPr>
              <w:pStyle w:val="6"/>
              <w:spacing w:before="25" w:line="228" w:lineRule="auto"/>
              <w:ind w:left="140"/>
              <w:rPr>
                <w:sz w:val="20"/>
                <w:szCs w:val="20"/>
              </w:rPr>
            </w:pPr>
            <w:r>
              <w:rPr>
                <w:spacing w:val="4"/>
                <w:sz w:val="20"/>
                <w:szCs w:val="20"/>
              </w:rPr>
              <w:t>管控</w:t>
            </w:r>
          </w:p>
        </w:tc>
        <w:tc>
          <w:tcPr>
            <w:tcW w:w="3585" w:type="dxa"/>
            <w:gridSpan w:val="2"/>
            <w:tcBorders>
              <w:bottom w:val="single" w:color="000000" w:sz="6" w:space="0"/>
            </w:tcBorders>
            <w:vAlign w:val="top"/>
          </w:tcPr>
          <w:p w14:paraId="5C31B777">
            <w:pPr>
              <w:pStyle w:val="6"/>
              <w:spacing w:before="40" w:line="250" w:lineRule="auto"/>
              <w:ind w:left="56" w:right="55" w:firstLine="17"/>
              <w:jc w:val="both"/>
              <w:rPr>
                <w:sz w:val="20"/>
                <w:szCs w:val="20"/>
              </w:rPr>
            </w:pPr>
            <w:r>
              <w:rPr>
                <w:rFonts w:ascii="Times New Roman" w:hAnsi="Times New Roman" w:eastAsia="Times New Roman" w:cs="Times New Roman"/>
                <w:spacing w:val="6"/>
                <w:sz w:val="20"/>
                <w:szCs w:val="20"/>
              </w:rPr>
              <w:t>1-1.</w:t>
            </w:r>
            <w:r>
              <w:rPr>
                <w:spacing w:val="6"/>
                <w:sz w:val="20"/>
                <w:szCs w:val="20"/>
              </w:rPr>
              <w:t>海丰县城重点发展纺织服装、食品</w:t>
            </w:r>
            <w:r>
              <w:rPr>
                <w:spacing w:val="16"/>
                <w:sz w:val="20"/>
                <w:szCs w:val="20"/>
              </w:rPr>
              <w:t xml:space="preserve"> </w:t>
            </w:r>
            <w:r>
              <w:rPr>
                <w:spacing w:val="3"/>
                <w:sz w:val="20"/>
                <w:szCs w:val="20"/>
              </w:rPr>
              <w:t>饮料、精深加工、冷链物流、电子商务</w:t>
            </w:r>
            <w:r>
              <w:rPr>
                <w:spacing w:val="13"/>
                <w:sz w:val="20"/>
                <w:szCs w:val="20"/>
              </w:rPr>
              <w:t xml:space="preserve"> </w:t>
            </w:r>
            <w:r>
              <w:rPr>
                <w:spacing w:val="4"/>
                <w:sz w:val="20"/>
                <w:szCs w:val="20"/>
              </w:rPr>
              <w:t>业，梅陇镇重点发展金银首饰产业，可</w:t>
            </w:r>
            <w:r>
              <w:rPr>
                <w:sz w:val="20"/>
                <w:szCs w:val="20"/>
              </w:rPr>
              <w:t xml:space="preserve"> </w:t>
            </w:r>
            <w:r>
              <w:rPr>
                <w:spacing w:val="3"/>
                <w:sz w:val="20"/>
                <w:szCs w:val="20"/>
              </w:rPr>
              <w:t>塘镇重点发展珠宝首饰产业，公平镇重</w:t>
            </w:r>
            <w:r>
              <w:rPr>
                <w:spacing w:val="13"/>
                <w:sz w:val="20"/>
                <w:szCs w:val="20"/>
              </w:rPr>
              <w:t xml:space="preserve"> </w:t>
            </w:r>
            <w:r>
              <w:rPr>
                <w:spacing w:val="4"/>
                <w:sz w:val="20"/>
                <w:szCs w:val="20"/>
              </w:rPr>
              <w:t>点发展服装制造产业；农业主要发展特</w:t>
            </w:r>
            <w:r>
              <w:rPr>
                <w:sz w:val="20"/>
                <w:szCs w:val="20"/>
              </w:rPr>
              <w:t xml:space="preserve"> </w:t>
            </w:r>
            <w:r>
              <w:rPr>
                <w:spacing w:val="4"/>
                <w:sz w:val="20"/>
                <w:szCs w:val="20"/>
              </w:rPr>
              <w:t>色农业、生态农业、观光农业、加工农</w:t>
            </w:r>
            <w:r>
              <w:rPr>
                <w:sz w:val="20"/>
                <w:szCs w:val="20"/>
              </w:rPr>
              <w:t xml:space="preserve"> </w:t>
            </w:r>
            <w:r>
              <w:rPr>
                <w:spacing w:val="4"/>
                <w:sz w:val="20"/>
                <w:szCs w:val="20"/>
              </w:rPr>
              <w:t>业、都市农业、养殖业、渔业，加强农</w:t>
            </w:r>
            <w:r>
              <w:rPr>
                <w:sz w:val="20"/>
                <w:szCs w:val="20"/>
              </w:rPr>
              <w:t xml:space="preserve"> </w:t>
            </w:r>
            <w:r>
              <w:rPr>
                <w:spacing w:val="3"/>
                <w:sz w:val="20"/>
                <w:szCs w:val="20"/>
              </w:rPr>
              <w:t>产品流通基础设施建设。优化单元内产</w:t>
            </w:r>
            <w:r>
              <w:rPr>
                <w:spacing w:val="13"/>
                <w:sz w:val="20"/>
                <w:szCs w:val="20"/>
              </w:rPr>
              <w:t xml:space="preserve"> </w:t>
            </w:r>
            <w:r>
              <w:rPr>
                <w:spacing w:val="3"/>
                <w:sz w:val="20"/>
                <w:szCs w:val="20"/>
              </w:rPr>
              <w:t>业布局，引导单元内产业向深汕合作区</w:t>
            </w:r>
            <w:r>
              <w:rPr>
                <w:spacing w:val="15"/>
                <w:sz w:val="20"/>
                <w:szCs w:val="20"/>
              </w:rPr>
              <w:t xml:space="preserve"> </w:t>
            </w:r>
            <w:r>
              <w:rPr>
                <w:spacing w:val="3"/>
                <w:sz w:val="20"/>
                <w:szCs w:val="20"/>
              </w:rPr>
              <w:t>拓展区等集聚发展，形成规模化、集群</w:t>
            </w:r>
            <w:r>
              <w:rPr>
                <w:spacing w:val="13"/>
                <w:sz w:val="20"/>
                <w:szCs w:val="20"/>
              </w:rPr>
              <w:t xml:space="preserve"> </w:t>
            </w:r>
            <w:r>
              <w:rPr>
                <w:spacing w:val="7"/>
                <w:sz w:val="20"/>
                <w:szCs w:val="20"/>
              </w:rPr>
              <w:t>化的产业聚集区。</w:t>
            </w:r>
          </w:p>
        </w:tc>
        <w:tc>
          <w:tcPr>
            <w:tcW w:w="2582" w:type="dxa"/>
            <w:gridSpan w:val="2"/>
            <w:tcBorders>
              <w:bottom w:val="single" w:color="000000" w:sz="6" w:space="0"/>
            </w:tcBorders>
            <w:vAlign w:val="top"/>
          </w:tcPr>
          <w:p w14:paraId="7C0F43EE">
            <w:pPr>
              <w:pStyle w:val="6"/>
              <w:spacing w:before="238" w:line="251" w:lineRule="auto"/>
              <w:ind w:left="64" w:right="54" w:firstLine="17"/>
              <w:rPr>
                <w:sz w:val="20"/>
                <w:szCs w:val="20"/>
              </w:rPr>
            </w:pPr>
            <w:r>
              <w:rPr>
                <w:rFonts w:ascii="Times New Roman" w:hAnsi="Times New Roman" w:eastAsia="Times New Roman" w:cs="Times New Roman"/>
                <w:spacing w:val="12"/>
                <w:sz w:val="20"/>
                <w:szCs w:val="20"/>
              </w:rPr>
              <w:t>1-1.</w:t>
            </w:r>
            <w:r>
              <w:rPr>
                <w:rFonts w:ascii="Times New Roman" w:hAnsi="Times New Roman" w:eastAsia="Times New Roman" w:cs="Times New Roman"/>
                <w:sz w:val="20"/>
                <w:szCs w:val="20"/>
              </w:rPr>
              <w:t xml:space="preserve"> </w:t>
            </w:r>
            <w:r>
              <w:rPr>
                <w:spacing w:val="12"/>
                <w:sz w:val="20"/>
                <w:szCs w:val="20"/>
              </w:rPr>
              <w:t>项</w:t>
            </w:r>
            <w:r>
              <w:rPr>
                <w:spacing w:val="-24"/>
                <w:sz w:val="20"/>
                <w:szCs w:val="20"/>
              </w:rPr>
              <w:t xml:space="preserve"> </w:t>
            </w:r>
            <w:r>
              <w:rPr>
                <w:spacing w:val="12"/>
                <w:sz w:val="20"/>
                <w:szCs w:val="20"/>
              </w:rPr>
              <w:t>目所述</w:t>
            </w:r>
            <w:r>
              <w:rPr>
                <w:spacing w:val="-60"/>
                <w:sz w:val="20"/>
                <w:szCs w:val="20"/>
              </w:rPr>
              <w:t xml:space="preserve"> </w:t>
            </w:r>
            <w:r>
              <w:rPr>
                <w:spacing w:val="12"/>
                <w:sz w:val="20"/>
                <w:szCs w:val="20"/>
              </w:rPr>
              <w:t>行业为珠宝</w:t>
            </w:r>
            <w:r>
              <w:rPr>
                <w:sz w:val="20"/>
                <w:szCs w:val="20"/>
              </w:rPr>
              <w:t xml:space="preserve"> </w:t>
            </w:r>
            <w:r>
              <w:rPr>
                <w:spacing w:val="4"/>
                <w:sz w:val="20"/>
                <w:szCs w:val="20"/>
              </w:rPr>
              <w:t>首饰及有关物品制造。所在</w:t>
            </w:r>
            <w:r>
              <w:rPr>
                <w:spacing w:val="8"/>
                <w:sz w:val="20"/>
                <w:szCs w:val="20"/>
              </w:rPr>
              <w:t xml:space="preserve"> </w:t>
            </w:r>
            <w:r>
              <w:rPr>
                <w:spacing w:val="23"/>
                <w:sz w:val="20"/>
                <w:szCs w:val="20"/>
              </w:rPr>
              <w:t>地位于可塘镇圆山岭开发</w:t>
            </w:r>
            <w:r>
              <w:rPr>
                <w:spacing w:val="3"/>
                <w:sz w:val="20"/>
                <w:szCs w:val="20"/>
              </w:rPr>
              <w:t xml:space="preserve"> </w:t>
            </w:r>
            <w:r>
              <w:rPr>
                <w:spacing w:val="19"/>
                <w:sz w:val="20"/>
                <w:szCs w:val="20"/>
              </w:rPr>
              <w:t>区</w:t>
            </w:r>
            <w:r>
              <w:rPr>
                <w:spacing w:val="-53"/>
                <w:sz w:val="20"/>
                <w:szCs w:val="20"/>
              </w:rPr>
              <w:t xml:space="preserve"> </w:t>
            </w:r>
            <w:r>
              <w:rPr>
                <w:spacing w:val="19"/>
                <w:sz w:val="20"/>
                <w:szCs w:val="20"/>
              </w:rPr>
              <w:t>，符合单元重点发展产</w:t>
            </w:r>
            <w:r>
              <w:rPr>
                <w:sz w:val="20"/>
                <w:szCs w:val="20"/>
              </w:rPr>
              <w:t xml:space="preserve"> 业。</w:t>
            </w:r>
          </w:p>
          <w:p w14:paraId="26298816">
            <w:pPr>
              <w:pStyle w:val="6"/>
              <w:spacing w:before="1" w:line="252" w:lineRule="auto"/>
              <w:ind w:left="66" w:right="52" w:firstLine="15"/>
              <w:rPr>
                <w:sz w:val="20"/>
                <w:szCs w:val="20"/>
              </w:rPr>
            </w:pPr>
            <w:r>
              <w:rPr>
                <w:rFonts w:ascii="Times New Roman" w:hAnsi="Times New Roman" w:eastAsia="Times New Roman" w:cs="Times New Roman"/>
                <w:spacing w:val="9"/>
                <w:sz w:val="20"/>
                <w:szCs w:val="20"/>
              </w:rPr>
              <w:t>1-2.</w:t>
            </w:r>
            <w:r>
              <w:rPr>
                <w:spacing w:val="9"/>
                <w:sz w:val="20"/>
                <w:szCs w:val="20"/>
              </w:rPr>
              <w:t>项目不涉及在江河、水</w:t>
            </w:r>
            <w:r>
              <w:rPr>
                <w:sz w:val="20"/>
                <w:szCs w:val="20"/>
              </w:rPr>
              <w:t xml:space="preserve"> </w:t>
            </w:r>
            <w:r>
              <w:rPr>
                <w:spacing w:val="7"/>
                <w:sz w:val="20"/>
                <w:szCs w:val="20"/>
              </w:rPr>
              <w:t>库集水区域种植树木。</w:t>
            </w:r>
          </w:p>
          <w:p w14:paraId="22CB92CC">
            <w:pPr>
              <w:pStyle w:val="6"/>
              <w:spacing w:before="1" w:line="252" w:lineRule="auto"/>
              <w:ind w:left="66" w:right="49" w:firstLine="15"/>
              <w:rPr>
                <w:sz w:val="20"/>
                <w:szCs w:val="20"/>
              </w:rPr>
            </w:pPr>
            <w:r>
              <w:rPr>
                <w:rFonts w:ascii="Times New Roman" w:hAnsi="Times New Roman" w:eastAsia="Times New Roman" w:cs="Times New Roman"/>
                <w:spacing w:val="9"/>
                <w:sz w:val="20"/>
                <w:szCs w:val="20"/>
              </w:rPr>
              <w:t>1-3.</w:t>
            </w:r>
            <w:r>
              <w:rPr>
                <w:spacing w:val="9"/>
                <w:sz w:val="20"/>
                <w:szCs w:val="20"/>
              </w:rPr>
              <w:t>项目位于可塘镇圆山岭</w:t>
            </w:r>
            <w:r>
              <w:rPr>
                <w:spacing w:val="1"/>
                <w:sz w:val="20"/>
                <w:szCs w:val="20"/>
              </w:rPr>
              <w:t xml:space="preserve"> </w:t>
            </w:r>
            <w:r>
              <w:rPr>
                <w:spacing w:val="4"/>
                <w:sz w:val="20"/>
                <w:szCs w:val="20"/>
              </w:rPr>
              <w:t>开发区，不属于生态保护红</w:t>
            </w:r>
            <w:r>
              <w:rPr>
                <w:spacing w:val="9"/>
                <w:sz w:val="20"/>
                <w:szCs w:val="20"/>
              </w:rPr>
              <w:t xml:space="preserve"> </w:t>
            </w:r>
            <w:r>
              <w:rPr>
                <w:spacing w:val="4"/>
                <w:sz w:val="20"/>
                <w:szCs w:val="20"/>
              </w:rPr>
              <w:t>线区域。</w:t>
            </w:r>
          </w:p>
        </w:tc>
        <w:tc>
          <w:tcPr>
            <w:tcW w:w="658" w:type="dxa"/>
            <w:tcBorders>
              <w:bottom w:val="single" w:color="000000" w:sz="6" w:space="0"/>
            </w:tcBorders>
            <w:vAlign w:val="top"/>
          </w:tcPr>
          <w:p w14:paraId="4A4A92E4">
            <w:pPr>
              <w:spacing w:line="266" w:lineRule="auto"/>
              <w:rPr>
                <w:rFonts w:ascii="Arial"/>
                <w:sz w:val="21"/>
              </w:rPr>
            </w:pPr>
          </w:p>
          <w:p w14:paraId="1E06E00B">
            <w:pPr>
              <w:spacing w:line="266" w:lineRule="auto"/>
              <w:rPr>
                <w:rFonts w:ascii="Arial"/>
                <w:sz w:val="21"/>
              </w:rPr>
            </w:pPr>
          </w:p>
          <w:p w14:paraId="0B59FD09">
            <w:pPr>
              <w:spacing w:line="266" w:lineRule="auto"/>
              <w:rPr>
                <w:rFonts w:ascii="Arial"/>
                <w:sz w:val="21"/>
              </w:rPr>
            </w:pPr>
          </w:p>
          <w:p w14:paraId="588D135F">
            <w:pPr>
              <w:spacing w:line="266" w:lineRule="auto"/>
              <w:rPr>
                <w:rFonts w:ascii="Arial"/>
                <w:sz w:val="21"/>
              </w:rPr>
            </w:pPr>
          </w:p>
          <w:p w14:paraId="3B48490B">
            <w:pPr>
              <w:spacing w:line="266" w:lineRule="auto"/>
              <w:rPr>
                <w:rFonts w:ascii="Arial"/>
                <w:sz w:val="21"/>
              </w:rPr>
            </w:pPr>
          </w:p>
          <w:p w14:paraId="33226B39">
            <w:pPr>
              <w:pStyle w:val="6"/>
              <w:spacing w:before="65" w:line="228" w:lineRule="auto"/>
              <w:ind w:left="125"/>
              <w:rPr>
                <w:sz w:val="20"/>
                <w:szCs w:val="20"/>
              </w:rPr>
            </w:pPr>
            <w:r>
              <w:rPr>
                <w:spacing w:val="7"/>
                <w:sz w:val="20"/>
                <w:szCs w:val="20"/>
              </w:rPr>
              <w:t>相符</w:t>
            </w:r>
          </w:p>
        </w:tc>
        <w:tc>
          <w:tcPr>
            <w:tcW w:w="185" w:type="dxa"/>
            <w:vMerge w:val="continue"/>
            <w:tcBorders>
              <w:top w:val="nil"/>
              <w:bottom w:val="single" w:color="000000" w:sz="6" w:space="0"/>
              <w:right w:val="single" w:color="000000" w:sz="6" w:space="0"/>
            </w:tcBorders>
            <w:vAlign w:val="top"/>
          </w:tcPr>
          <w:p w14:paraId="0EE54477">
            <w:pPr>
              <w:rPr>
                <w:rFonts w:ascii="Arial"/>
                <w:sz w:val="21"/>
              </w:rPr>
            </w:pPr>
          </w:p>
        </w:tc>
      </w:tr>
    </w:tbl>
    <w:p w14:paraId="54E6ED62">
      <w:pPr>
        <w:rPr>
          <w:rFonts w:ascii="Arial"/>
          <w:sz w:val="21"/>
        </w:rPr>
      </w:pPr>
    </w:p>
    <w:p w14:paraId="63352AF4">
      <w:pPr>
        <w:rPr>
          <w:rFonts w:ascii="Arial" w:hAnsi="Arial" w:eastAsia="Arial" w:cs="Arial"/>
          <w:sz w:val="21"/>
          <w:szCs w:val="21"/>
        </w:rPr>
        <w:sectPr>
          <w:footerReference r:id="rId12" w:type="default"/>
          <w:pgSz w:w="11906" w:h="16839"/>
          <w:pgMar w:top="400" w:right="1508" w:bottom="1237" w:left="1508" w:header="0" w:footer="1078" w:gutter="0"/>
          <w:cols w:space="720" w:num="1"/>
        </w:sectPr>
      </w:pPr>
    </w:p>
    <w:p w14:paraId="76008807">
      <w:pPr>
        <w:spacing w:before="19"/>
      </w:pPr>
      <w:r>
        <w:pict>
          <v:shape id="_x0000_s1027" o:spid="_x0000_s1027" style="position:absolute;left:0pt;margin-left:107.4pt;margin-top:753.2pt;height:0.5pt;width:403.45pt;mso-position-horizontal-relative:page;mso-position-vertical-relative:page;z-index:251661312;mso-width-relative:page;mso-height-relative:page;" filled="f" stroked="t" coordsize="8069,10" o:allowincell="f" path="m0,4l8068,4e">
            <v:fill on="f" focussize="0,0"/>
            <v:stroke weight="0.48pt" color="#000000" miterlimit="2" joinstyle="bevel"/>
            <v:imagedata o:title=""/>
            <o:lock v:ext="edit"/>
          </v:shape>
        </w:pict>
      </w:r>
    </w:p>
    <w:p w14:paraId="74CF3F3E">
      <w:pPr>
        <w:spacing w:before="19"/>
      </w:pPr>
    </w:p>
    <w:p w14:paraId="6F796A28">
      <w:pPr>
        <w:spacing w:before="19"/>
      </w:pPr>
    </w:p>
    <w:p w14:paraId="2748911E">
      <w:pPr>
        <w:spacing w:before="18"/>
      </w:pPr>
    </w:p>
    <w:p w14:paraId="27C1FCEB">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175"/>
        <w:gridCol w:w="521"/>
        <w:gridCol w:w="699"/>
        <w:gridCol w:w="3585"/>
        <w:gridCol w:w="2582"/>
        <w:gridCol w:w="658"/>
        <w:gridCol w:w="185"/>
      </w:tblGrid>
      <w:tr w14:paraId="22B8D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2" w:hRule="atLeast"/>
        </w:trPr>
        <w:tc>
          <w:tcPr>
            <w:tcW w:w="469" w:type="dxa"/>
            <w:tcBorders>
              <w:right w:val="single" w:color="000000" w:sz="2" w:space="0"/>
            </w:tcBorders>
            <w:vAlign w:val="top"/>
          </w:tcPr>
          <w:p w14:paraId="285598A7">
            <w:pPr>
              <w:rPr>
                <w:rFonts w:ascii="Arial"/>
                <w:sz w:val="21"/>
              </w:rPr>
            </w:pPr>
          </w:p>
        </w:tc>
        <w:tc>
          <w:tcPr>
            <w:tcW w:w="175" w:type="dxa"/>
            <w:tcBorders>
              <w:left w:val="single" w:color="000000" w:sz="2" w:space="0"/>
              <w:right w:val="single" w:color="000000" w:sz="2" w:space="0"/>
            </w:tcBorders>
            <w:vAlign w:val="top"/>
          </w:tcPr>
          <w:p w14:paraId="3FE98E2E">
            <w:pPr>
              <w:rPr>
                <w:rFonts w:ascii="Arial"/>
                <w:sz w:val="21"/>
              </w:rPr>
            </w:pPr>
          </w:p>
        </w:tc>
        <w:tc>
          <w:tcPr>
            <w:tcW w:w="521" w:type="dxa"/>
            <w:tcBorders>
              <w:left w:val="single" w:color="000000" w:sz="2" w:space="0"/>
              <w:right w:val="single" w:color="000000" w:sz="2" w:space="0"/>
            </w:tcBorders>
            <w:vAlign w:val="top"/>
          </w:tcPr>
          <w:p w14:paraId="23A2CEAD">
            <w:pPr>
              <w:rPr>
                <w:rFonts w:ascii="Arial"/>
                <w:sz w:val="21"/>
              </w:rPr>
            </w:pPr>
          </w:p>
        </w:tc>
        <w:tc>
          <w:tcPr>
            <w:tcW w:w="699" w:type="dxa"/>
            <w:tcBorders>
              <w:left w:val="single" w:color="000000" w:sz="2" w:space="0"/>
              <w:right w:val="single" w:color="000000" w:sz="2" w:space="0"/>
            </w:tcBorders>
            <w:vAlign w:val="top"/>
          </w:tcPr>
          <w:p w14:paraId="1BE6158F">
            <w:pPr>
              <w:rPr>
                <w:rFonts w:ascii="Arial"/>
                <w:sz w:val="21"/>
              </w:rPr>
            </w:pPr>
          </w:p>
        </w:tc>
        <w:tc>
          <w:tcPr>
            <w:tcW w:w="3585" w:type="dxa"/>
            <w:tcBorders>
              <w:left w:val="single" w:color="000000" w:sz="2" w:space="0"/>
              <w:right w:val="single" w:color="000000" w:sz="2" w:space="0"/>
            </w:tcBorders>
            <w:vAlign w:val="top"/>
          </w:tcPr>
          <w:p w14:paraId="2BED2ABA">
            <w:pPr>
              <w:pStyle w:val="6"/>
              <w:spacing w:before="37" w:line="251" w:lineRule="auto"/>
              <w:ind w:left="57" w:right="57" w:firstLine="16"/>
              <w:rPr>
                <w:sz w:val="20"/>
                <w:szCs w:val="20"/>
              </w:rPr>
            </w:pPr>
            <w:r>
              <w:rPr>
                <w:rFonts w:ascii="Times New Roman" w:hAnsi="Times New Roman" w:eastAsia="Times New Roman" w:cs="Times New Roman"/>
                <w:spacing w:val="6"/>
                <w:sz w:val="20"/>
                <w:szCs w:val="20"/>
              </w:rPr>
              <w:t>1-2.</w:t>
            </w:r>
            <w:r>
              <w:rPr>
                <w:spacing w:val="6"/>
                <w:sz w:val="20"/>
                <w:szCs w:val="20"/>
              </w:rPr>
              <w:t>任何单位和个人不得在江河、水库</w:t>
            </w:r>
            <w:r>
              <w:rPr>
                <w:spacing w:val="16"/>
                <w:sz w:val="20"/>
                <w:szCs w:val="20"/>
              </w:rPr>
              <w:t xml:space="preserve"> 集水区域栽种速生丰产桉树等不利于</w:t>
            </w:r>
            <w:r>
              <w:rPr>
                <w:spacing w:val="7"/>
                <w:sz w:val="20"/>
                <w:szCs w:val="20"/>
              </w:rPr>
              <w:t xml:space="preserve"> </w:t>
            </w:r>
            <w:r>
              <w:rPr>
                <w:spacing w:val="8"/>
                <w:sz w:val="20"/>
                <w:szCs w:val="20"/>
              </w:rPr>
              <w:t>水源涵养和生物多样性保护的树种。</w:t>
            </w:r>
          </w:p>
          <w:p w14:paraId="55B8A60F">
            <w:pPr>
              <w:pStyle w:val="6"/>
              <w:spacing w:before="1" w:line="251" w:lineRule="auto"/>
              <w:ind w:left="57" w:right="55" w:firstLine="16"/>
              <w:rPr>
                <w:sz w:val="20"/>
                <w:szCs w:val="20"/>
              </w:rPr>
            </w:pPr>
            <w:r>
              <w:rPr>
                <w:rFonts w:ascii="Times New Roman" w:hAnsi="Times New Roman" w:eastAsia="Times New Roman" w:cs="Times New Roman"/>
                <w:spacing w:val="6"/>
                <w:sz w:val="20"/>
                <w:szCs w:val="20"/>
              </w:rPr>
              <w:t>1-3.</w:t>
            </w:r>
            <w:r>
              <w:rPr>
                <w:spacing w:val="6"/>
                <w:sz w:val="20"/>
                <w:szCs w:val="20"/>
              </w:rPr>
              <w:t>单元内的生态保护红线区域，严格</w:t>
            </w:r>
            <w:r>
              <w:rPr>
                <w:spacing w:val="16"/>
                <w:sz w:val="20"/>
                <w:szCs w:val="20"/>
              </w:rPr>
              <w:t xml:space="preserve"> </w:t>
            </w:r>
            <w:r>
              <w:rPr>
                <w:spacing w:val="3"/>
                <w:sz w:val="20"/>
                <w:szCs w:val="20"/>
              </w:rPr>
              <w:t>禁止开发性、生产性建设活动（在符合</w:t>
            </w:r>
            <w:r>
              <w:rPr>
                <w:spacing w:val="15"/>
                <w:sz w:val="20"/>
                <w:szCs w:val="20"/>
              </w:rPr>
              <w:t xml:space="preserve"> </w:t>
            </w:r>
            <w:r>
              <w:rPr>
                <w:spacing w:val="3"/>
                <w:sz w:val="20"/>
                <w:szCs w:val="20"/>
              </w:rPr>
              <w:t>现行法律法规前提下，除国家重大战略</w:t>
            </w:r>
            <w:r>
              <w:rPr>
                <w:spacing w:val="15"/>
                <w:sz w:val="20"/>
                <w:szCs w:val="20"/>
              </w:rPr>
              <w:t xml:space="preserve"> </w:t>
            </w:r>
            <w:r>
              <w:rPr>
                <w:spacing w:val="3"/>
                <w:sz w:val="20"/>
                <w:szCs w:val="20"/>
              </w:rPr>
              <w:t>项目外，仅允许对生态功能不造成破坏</w:t>
            </w:r>
            <w:r>
              <w:rPr>
                <w:spacing w:val="15"/>
                <w:sz w:val="20"/>
                <w:szCs w:val="20"/>
              </w:rPr>
              <w:t xml:space="preserve"> </w:t>
            </w:r>
            <w:r>
              <w:rPr>
                <w:spacing w:val="6"/>
                <w:sz w:val="20"/>
                <w:szCs w:val="20"/>
              </w:rPr>
              <w:t>的有限人为活动）。</w:t>
            </w:r>
          </w:p>
          <w:p w14:paraId="69245249">
            <w:pPr>
              <w:pStyle w:val="6"/>
              <w:spacing w:before="4" w:line="251" w:lineRule="auto"/>
              <w:ind w:left="56" w:firstLine="17"/>
              <w:rPr>
                <w:sz w:val="20"/>
                <w:szCs w:val="20"/>
              </w:rPr>
            </w:pPr>
            <w:r>
              <w:rPr>
                <w:rFonts w:ascii="Times New Roman" w:hAnsi="Times New Roman" w:eastAsia="Times New Roman" w:cs="Times New Roman"/>
                <w:spacing w:val="6"/>
                <w:sz w:val="20"/>
                <w:szCs w:val="20"/>
              </w:rPr>
              <w:t>1-4.</w:t>
            </w:r>
            <w:r>
              <w:rPr>
                <w:spacing w:val="6"/>
                <w:sz w:val="20"/>
                <w:szCs w:val="20"/>
              </w:rPr>
              <w:t>单元内的生一般生态空间，主导功</w:t>
            </w:r>
            <w:r>
              <w:rPr>
                <w:spacing w:val="15"/>
                <w:sz w:val="20"/>
                <w:szCs w:val="20"/>
              </w:rPr>
              <w:t xml:space="preserve"> </w:t>
            </w:r>
            <w:r>
              <w:rPr>
                <w:spacing w:val="3"/>
                <w:sz w:val="20"/>
                <w:szCs w:val="20"/>
              </w:rPr>
              <w:t>能为水土保持，不得从事影响主导生态</w:t>
            </w:r>
            <w:r>
              <w:rPr>
                <w:spacing w:val="9"/>
                <w:sz w:val="20"/>
                <w:szCs w:val="20"/>
              </w:rPr>
              <w:t xml:space="preserve"> </w:t>
            </w:r>
            <w:r>
              <w:rPr>
                <w:spacing w:val="3"/>
                <w:sz w:val="20"/>
                <w:szCs w:val="20"/>
              </w:rPr>
              <w:t>功能的建设活动，禁止在崩塌、滑坡危</w:t>
            </w:r>
            <w:r>
              <w:rPr>
                <w:spacing w:val="12"/>
                <w:sz w:val="20"/>
                <w:szCs w:val="20"/>
              </w:rPr>
              <w:t xml:space="preserve"> </w:t>
            </w:r>
            <w:r>
              <w:rPr>
                <w:spacing w:val="7"/>
                <w:sz w:val="20"/>
                <w:szCs w:val="20"/>
              </w:rPr>
              <w:t>险区和泥石流易发区从事取土、挖砂、</w:t>
            </w:r>
            <w:r>
              <w:rPr>
                <w:spacing w:val="3"/>
                <w:sz w:val="20"/>
                <w:szCs w:val="20"/>
              </w:rPr>
              <w:t xml:space="preserve"> 采石等可能造成水土流失的活动，禁止</w:t>
            </w:r>
            <w:r>
              <w:rPr>
                <w:spacing w:val="9"/>
                <w:sz w:val="20"/>
                <w:szCs w:val="20"/>
              </w:rPr>
              <w:t xml:space="preserve"> </w:t>
            </w:r>
            <w:r>
              <w:rPr>
                <w:spacing w:val="3"/>
                <w:sz w:val="20"/>
                <w:szCs w:val="20"/>
              </w:rPr>
              <w:t>毁林开荒、烧山开荒，保护和恢复自然</w:t>
            </w:r>
            <w:r>
              <w:rPr>
                <w:spacing w:val="12"/>
                <w:sz w:val="20"/>
                <w:szCs w:val="20"/>
              </w:rPr>
              <w:t xml:space="preserve"> </w:t>
            </w:r>
            <w:r>
              <w:rPr>
                <w:spacing w:val="5"/>
                <w:sz w:val="20"/>
                <w:szCs w:val="20"/>
              </w:rPr>
              <w:t>生态系统。</w:t>
            </w:r>
          </w:p>
          <w:p w14:paraId="740D28A3">
            <w:pPr>
              <w:pStyle w:val="6"/>
              <w:spacing w:before="4" w:line="251" w:lineRule="auto"/>
              <w:ind w:left="55" w:firstLine="18"/>
              <w:rPr>
                <w:sz w:val="20"/>
                <w:szCs w:val="20"/>
              </w:rPr>
            </w:pPr>
            <w:r>
              <w:rPr>
                <w:rFonts w:ascii="Times New Roman" w:hAnsi="Times New Roman" w:eastAsia="Times New Roman" w:cs="Times New Roman"/>
                <w:spacing w:val="16"/>
                <w:sz w:val="20"/>
                <w:szCs w:val="20"/>
              </w:rPr>
              <w:t>1-5.</w:t>
            </w:r>
            <w:r>
              <w:rPr>
                <w:rFonts w:ascii="Times New Roman" w:hAnsi="Times New Roman" w:eastAsia="Times New Roman" w:cs="Times New Roman"/>
                <w:spacing w:val="-9"/>
                <w:sz w:val="20"/>
                <w:szCs w:val="20"/>
              </w:rPr>
              <w:t xml:space="preserve"> </w:t>
            </w:r>
            <w:r>
              <w:rPr>
                <w:spacing w:val="16"/>
                <w:sz w:val="20"/>
                <w:szCs w:val="20"/>
              </w:rPr>
              <w:t>单元内涉及的广东海丰省级鸟类</w:t>
            </w:r>
            <w:r>
              <w:rPr>
                <w:sz w:val="20"/>
                <w:szCs w:val="20"/>
              </w:rPr>
              <w:t xml:space="preserve"> </w:t>
            </w:r>
            <w:r>
              <w:rPr>
                <w:spacing w:val="3"/>
                <w:sz w:val="20"/>
                <w:szCs w:val="20"/>
              </w:rPr>
              <w:t>自然保护区（联安围片区）、莲花山自</w:t>
            </w:r>
            <w:r>
              <w:rPr>
                <w:spacing w:val="11"/>
                <w:sz w:val="20"/>
                <w:szCs w:val="20"/>
              </w:rPr>
              <w:t xml:space="preserve"> </w:t>
            </w:r>
            <w:r>
              <w:rPr>
                <w:spacing w:val="16"/>
                <w:sz w:val="20"/>
                <w:szCs w:val="20"/>
              </w:rPr>
              <w:t>然保护区实验区严禁开设与自然保护</w:t>
            </w:r>
            <w:r>
              <w:rPr>
                <w:spacing w:val="6"/>
                <w:sz w:val="20"/>
                <w:szCs w:val="20"/>
              </w:rPr>
              <w:t xml:space="preserve"> </w:t>
            </w:r>
            <w:r>
              <w:rPr>
                <w:spacing w:val="7"/>
                <w:sz w:val="20"/>
                <w:szCs w:val="20"/>
              </w:rPr>
              <w:t>区保护方向不一致的参观、旅游项目，</w:t>
            </w:r>
            <w:r>
              <w:rPr>
                <w:spacing w:val="4"/>
                <w:sz w:val="20"/>
                <w:szCs w:val="20"/>
              </w:rPr>
              <w:t xml:space="preserve"> </w:t>
            </w:r>
            <w:r>
              <w:rPr>
                <w:spacing w:val="3"/>
                <w:sz w:val="20"/>
                <w:szCs w:val="20"/>
              </w:rPr>
              <w:t>不得建设污染环境、破坏资源或者景观</w:t>
            </w:r>
            <w:r>
              <w:rPr>
                <w:spacing w:val="11"/>
                <w:sz w:val="20"/>
                <w:szCs w:val="20"/>
              </w:rPr>
              <w:t xml:space="preserve"> </w:t>
            </w:r>
            <w:r>
              <w:rPr>
                <w:spacing w:val="3"/>
                <w:sz w:val="20"/>
                <w:szCs w:val="20"/>
              </w:rPr>
              <w:t>的生产设施，建设其他项目，其污染物</w:t>
            </w:r>
            <w:r>
              <w:rPr>
                <w:spacing w:val="11"/>
                <w:sz w:val="20"/>
                <w:szCs w:val="20"/>
              </w:rPr>
              <w:t xml:space="preserve"> </w:t>
            </w:r>
            <w:r>
              <w:rPr>
                <w:spacing w:val="16"/>
                <w:sz w:val="20"/>
                <w:szCs w:val="20"/>
              </w:rPr>
              <w:t>排放不得超过国家和地方规定的污染</w:t>
            </w:r>
            <w:r>
              <w:rPr>
                <w:spacing w:val="6"/>
                <w:sz w:val="20"/>
                <w:szCs w:val="20"/>
              </w:rPr>
              <w:t xml:space="preserve"> </w:t>
            </w:r>
            <w:r>
              <w:rPr>
                <w:spacing w:val="16"/>
                <w:sz w:val="20"/>
                <w:szCs w:val="20"/>
              </w:rPr>
              <w:t>物排放标准；禁止在保护区内进行砍</w:t>
            </w:r>
            <w:r>
              <w:rPr>
                <w:spacing w:val="6"/>
                <w:sz w:val="20"/>
                <w:szCs w:val="20"/>
              </w:rPr>
              <w:t xml:space="preserve"> </w:t>
            </w:r>
            <w:r>
              <w:rPr>
                <w:spacing w:val="7"/>
                <w:sz w:val="20"/>
                <w:szCs w:val="20"/>
              </w:rPr>
              <w:t>伐、放牧、狩猎、捕捞、采药、开垦、</w:t>
            </w:r>
            <w:r>
              <w:rPr>
                <w:spacing w:val="4"/>
                <w:sz w:val="20"/>
                <w:szCs w:val="20"/>
              </w:rPr>
              <w:t xml:space="preserve"> </w:t>
            </w:r>
            <w:r>
              <w:rPr>
                <w:spacing w:val="3"/>
                <w:sz w:val="20"/>
                <w:szCs w:val="20"/>
              </w:rPr>
              <w:t>烧荒、开矿、采石、挖沙等活动，但法</w:t>
            </w:r>
            <w:r>
              <w:rPr>
                <w:spacing w:val="11"/>
                <w:sz w:val="20"/>
                <w:szCs w:val="20"/>
              </w:rPr>
              <w:t xml:space="preserve"> </w:t>
            </w:r>
            <w:r>
              <w:rPr>
                <w:spacing w:val="8"/>
                <w:sz w:val="20"/>
                <w:szCs w:val="20"/>
              </w:rPr>
              <w:t>律、行政法规另有规定的除外。</w:t>
            </w:r>
          </w:p>
          <w:p w14:paraId="210C5A54">
            <w:pPr>
              <w:pStyle w:val="6"/>
              <w:spacing w:before="1" w:line="251" w:lineRule="auto"/>
              <w:ind w:left="56" w:firstLine="17"/>
              <w:rPr>
                <w:sz w:val="20"/>
                <w:szCs w:val="20"/>
              </w:rPr>
            </w:pPr>
            <w:r>
              <w:rPr>
                <w:rFonts w:ascii="Times New Roman" w:hAnsi="Times New Roman" w:eastAsia="Times New Roman" w:cs="Times New Roman"/>
                <w:spacing w:val="6"/>
                <w:sz w:val="20"/>
                <w:szCs w:val="20"/>
              </w:rPr>
              <w:t>1-6.</w:t>
            </w:r>
            <w:r>
              <w:rPr>
                <w:spacing w:val="6"/>
                <w:sz w:val="20"/>
                <w:szCs w:val="20"/>
              </w:rPr>
              <w:t>积极推动单元内城东镇、陶河镇的</w:t>
            </w:r>
            <w:r>
              <w:rPr>
                <w:spacing w:val="13"/>
                <w:sz w:val="20"/>
                <w:szCs w:val="20"/>
              </w:rPr>
              <w:t xml:space="preserve"> </w:t>
            </w:r>
            <w:r>
              <w:rPr>
                <w:spacing w:val="7"/>
                <w:sz w:val="20"/>
                <w:szCs w:val="20"/>
              </w:rPr>
              <w:t>黄江流域产业转型升级，引导低水耗、</w:t>
            </w:r>
            <w:r>
              <w:rPr>
                <w:spacing w:val="3"/>
                <w:sz w:val="20"/>
                <w:szCs w:val="20"/>
              </w:rPr>
              <w:t xml:space="preserve"> </w:t>
            </w:r>
            <w:r>
              <w:rPr>
                <w:spacing w:val="16"/>
                <w:sz w:val="20"/>
                <w:szCs w:val="20"/>
              </w:rPr>
              <w:t>低排放和高效率的先进制造业和现代</w:t>
            </w:r>
            <w:r>
              <w:rPr>
                <w:spacing w:val="4"/>
                <w:sz w:val="20"/>
                <w:szCs w:val="20"/>
              </w:rPr>
              <w:t xml:space="preserve"> </w:t>
            </w:r>
            <w:r>
              <w:rPr>
                <w:spacing w:val="6"/>
                <w:sz w:val="20"/>
                <w:szCs w:val="20"/>
              </w:rPr>
              <w:t>服务业发展。</w:t>
            </w:r>
          </w:p>
          <w:p w14:paraId="04086148">
            <w:pPr>
              <w:pStyle w:val="6"/>
              <w:spacing w:before="4" w:line="251" w:lineRule="auto"/>
              <w:ind w:left="56" w:firstLine="17"/>
              <w:rPr>
                <w:sz w:val="20"/>
                <w:szCs w:val="20"/>
              </w:rPr>
            </w:pPr>
            <w:r>
              <w:rPr>
                <w:rFonts w:ascii="Times New Roman" w:hAnsi="Times New Roman" w:eastAsia="Times New Roman" w:cs="Times New Roman"/>
                <w:spacing w:val="6"/>
                <w:sz w:val="20"/>
                <w:szCs w:val="20"/>
              </w:rPr>
              <w:t>1-7.</w:t>
            </w:r>
            <w:r>
              <w:rPr>
                <w:spacing w:val="6"/>
                <w:sz w:val="20"/>
                <w:szCs w:val="20"/>
              </w:rPr>
              <w:t>石牛山水库、南城水库饮用水水源</w:t>
            </w:r>
            <w:r>
              <w:rPr>
                <w:spacing w:val="15"/>
                <w:sz w:val="20"/>
                <w:szCs w:val="20"/>
              </w:rPr>
              <w:t xml:space="preserve"> </w:t>
            </w:r>
            <w:r>
              <w:rPr>
                <w:spacing w:val="3"/>
                <w:sz w:val="20"/>
                <w:szCs w:val="20"/>
              </w:rPr>
              <w:t>一级保护区内禁止新建、改建、扩建与</w:t>
            </w:r>
            <w:r>
              <w:rPr>
                <w:spacing w:val="12"/>
                <w:sz w:val="20"/>
                <w:szCs w:val="20"/>
              </w:rPr>
              <w:t xml:space="preserve"> </w:t>
            </w:r>
            <w:r>
              <w:rPr>
                <w:spacing w:val="7"/>
                <w:sz w:val="20"/>
                <w:szCs w:val="20"/>
              </w:rPr>
              <w:t>供水设施和保护水源无关的建设项目，</w:t>
            </w:r>
            <w:r>
              <w:rPr>
                <w:spacing w:val="3"/>
                <w:sz w:val="20"/>
                <w:szCs w:val="20"/>
              </w:rPr>
              <w:t xml:space="preserve"> </w:t>
            </w:r>
            <w:r>
              <w:rPr>
                <w:spacing w:val="16"/>
                <w:sz w:val="20"/>
                <w:szCs w:val="20"/>
              </w:rPr>
              <w:t>已建成的与供水设施和保护水源无关</w:t>
            </w:r>
            <w:r>
              <w:rPr>
                <w:spacing w:val="4"/>
                <w:sz w:val="20"/>
                <w:szCs w:val="20"/>
              </w:rPr>
              <w:t xml:space="preserve"> </w:t>
            </w:r>
            <w:r>
              <w:rPr>
                <w:spacing w:val="3"/>
                <w:sz w:val="20"/>
                <w:szCs w:val="20"/>
              </w:rPr>
              <w:t>的建设项目，由县级以上人民政府责令</w:t>
            </w:r>
            <w:r>
              <w:rPr>
                <w:spacing w:val="12"/>
                <w:sz w:val="20"/>
                <w:szCs w:val="20"/>
              </w:rPr>
              <w:t xml:space="preserve"> </w:t>
            </w:r>
            <w:r>
              <w:rPr>
                <w:spacing w:val="11"/>
                <w:sz w:val="20"/>
                <w:szCs w:val="20"/>
              </w:rPr>
              <w:t>拆除或者关闭；公平灌渠</w:t>
            </w:r>
            <w:r>
              <w:rPr>
                <w:rFonts w:ascii="Times New Roman" w:hAnsi="Times New Roman" w:eastAsia="Times New Roman" w:cs="Times New Roman"/>
                <w:spacing w:val="11"/>
                <w:sz w:val="20"/>
                <w:szCs w:val="20"/>
              </w:rPr>
              <w:t>-</w:t>
            </w:r>
            <w:r>
              <w:rPr>
                <w:spacing w:val="11"/>
                <w:sz w:val="20"/>
                <w:szCs w:val="20"/>
              </w:rPr>
              <w:t>赤沙水库饮</w:t>
            </w:r>
            <w:r>
              <w:rPr>
                <w:spacing w:val="9"/>
                <w:sz w:val="20"/>
                <w:szCs w:val="20"/>
              </w:rPr>
              <w:t xml:space="preserve"> </w:t>
            </w:r>
            <w:r>
              <w:rPr>
                <w:spacing w:val="3"/>
                <w:sz w:val="20"/>
                <w:szCs w:val="20"/>
              </w:rPr>
              <w:t>用水水源准保护区内禁止新建、扩建排</w:t>
            </w:r>
            <w:r>
              <w:rPr>
                <w:spacing w:val="12"/>
                <w:sz w:val="20"/>
                <w:szCs w:val="20"/>
              </w:rPr>
              <w:t xml:space="preserve"> </w:t>
            </w:r>
            <w:r>
              <w:rPr>
                <w:spacing w:val="7"/>
                <w:sz w:val="20"/>
                <w:szCs w:val="20"/>
              </w:rPr>
              <w:t>放持久性有机污染物和含汞、镉、铅、</w:t>
            </w:r>
            <w:r>
              <w:rPr>
                <w:spacing w:val="3"/>
                <w:sz w:val="20"/>
                <w:szCs w:val="20"/>
              </w:rPr>
              <w:t xml:space="preserve"> 砷、铬、银、铜、锌、锰、镍等重金属</w:t>
            </w:r>
            <w:r>
              <w:rPr>
                <w:spacing w:val="9"/>
                <w:sz w:val="20"/>
                <w:szCs w:val="20"/>
              </w:rPr>
              <w:t xml:space="preserve"> </w:t>
            </w:r>
            <w:r>
              <w:rPr>
                <w:spacing w:val="3"/>
                <w:sz w:val="20"/>
                <w:szCs w:val="20"/>
              </w:rPr>
              <w:t>污染物对水体污染严重的建设项目，改</w:t>
            </w:r>
            <w:r>
              <w:rPr>
                <w:spacing w:val="12"/>
                <w:sz w:val="20"/>
                <w:szCs w:val="20"/>
              </w:rPr>
              <w:t xml:space="preserve"> </w:t>
            </w:r>
            <w:r>
              <w:rPr>
                <w:spacing w:val="8"/>
                <w:sz w:val="20"/>
                <w:szCs w:val="20"/>
              </w:rPr>
              <w:t>建建设项目的，不得增加排污量。</w:t>
            </w:r>
          </w:p>
          <w:p w14:paraId="758E4708">
            <w:pPr>
              <w:pStyle w:val="6"/>
              <w:spacing w:before="3" w:line="251" w:lineRule="auto"/>
              <w:ind w:left="56" w:firstLine="17"/>
              <w:rPr>
                <w:sz w:val="20"/>
                <w:szCs w:val="20"/>
              </w:rPr>
            </w:pPr>
            <w:r>
              <w:rPr>
                <w:rFonts w:ascii="Times New Roman" w:hAnsi="Times New Roman" w:eastAsia="Times New Roman" w:cs="Times New Roman"/>
                <w:spacing w:val="6"/>
                <w:sz w:val="20"/>
                <w:szCs w:val="20"/>
              </w:rPr>
              <w:t>1-8.</w:t>
            </w:r>
            <w:r>
              <w:rPr>
                <w:spacing w:val="6"/>
                <w:sz w:val="20"/>
                <w:szCs w:val="20"/>
              </w:rPr>
              <w:t>城市建成区严格限制新建、改扩建</w:t>
            </w:r>
            <w:r>
              <w:rPr>
                <w:spacing w:val="15"/>
                <w:sz w:val="20"/>
                <w:szCs w:val="20"/>
              </w:rPr>
              <w:t xml:space="preserve"> </w:t>
            </w:r>
            <w:r>
              <w:rPr>
                <w:spacing w:val="3"/>
                <w:sz w:val="20"/>
                <w:szCs w:val="20"/>
              </w:rPr>
              <w:t>化工、包装印刷、工业涂装等涉挥发性</w:t>
            </w:r>
            <w:r>
              <w:rPr>
                <w:spacing w:val="12"/>
                <w:sz w:val="20"/>
                <w:szCs w:val="20"/>
              </w:rPr>
              <w:t xml:space="preserve"> </w:t>
            </w:r>
            <w:r>
              <w:rPr>
                <w:spacing w:val="7"/>
                <w:sz w:val="20"/>
                <w:szCs w:val="20"/>
              </w:rPr>
              <w:t>有机物排放项目，引导现有包装印刷、</w:t>
            </w:r>
            <w:r>
              <w:rPr>
                <w:spacing w:val="3"/>
                <w:sz w:val="20"/>
                <w:szCs w:val="20"/>
              </w:rPr>
              <w:t xml:space="preserve"> 工业涂装、人造板制造、涂料制造等涉</w:t>
            </w:r>
            <w:r>
              <w:rPr>
                <w:spacing w:val="9"/>
                <w:sz w:val="20"/>
                <w:szCs w:val="20"/>
              </w:rPr>
              <w:t xml:space="preserve"> </w:t>
            </w:r>
            <w:r>
              <w:rPr>
                <w:spacing w:val="16"/>
                <w:sz w:val="20"/>
                <w:szCs w:val="20"/>
              </w:rPr>
              <w:t>挥发性有机物排放量大的企业进入产</w:t>
            </w:r>
            <w:r>
              <w:rPr>
                <w:spacing w:val="4"/>
                <w:sz w:val="20"/>
                <w:szCs w:val="20"/>
              </w:rPr>
              <w:t xml:space="preserve"> </w:t>
            </w:r>
            <w:r>
              <w:rPr>
                <w:spacing w:val="7"/>
                <w:sz w:val="20"/>
                <w:szCs w:val="20"/>
              </w:rPr>
              <w:t>业园区，规范管理。</w:t>
            </w:r>
          </w:p>
          <w:p w14:paraId="0928500B">
            <w:pPr>
              <w:pStyle w:val="6"/>
              <w:spacing w:before="1" w:line="242" w:lineRule="auto"/>
              <w:ind w:left="61" w:firstLine="12"/>
              <w:rPr>
                <w:sz w:val="20"/>
                <w:szCs w:val="20"/>
              </w:rPr>
            </w:pPr>
            <w:r>
              <w:rPr>
                <w:rFonts w:ascii="Times New Roman" w:hAnsi="Times New Roman" w:eastAsia="Times New Roman" w:cs="Times New Roman"/>
                <w:spacing w:val="16"/>
                <w:sz w:val="20"/>
                <w:szCs w:val="20"/>
              </w:rPr>
              <w:t>1-9.</w:t>
            </w:r>
            <w:r>
              <w:rPr>
                <w:rFonts w:ascii="Times New Roman" w:hAnsi="Times New Roman" w:eastAsia="Times New Roman" w:cs="Times New Roman"/>
                <w:spacing w:val="-9"/>
                <w:sz w:val="20"/>
                <w:szCs w:val="20"/>
              </w:rPr>
              <w:t xml:space="preserve"> </w:t>
            </w:r>
            <w:r>
              <w:rPr>
                <w:spacing w:val="16"/>
                <w:sz w:val="20"/>
                <w:szCs w:val="20"/>
              </w:rPr>
              <w:t>饮用水水源保护区及大气环境优</w:t>
            </w:r>
            <w:r>
              <w:rPr>
                <w:sz w:val="20"/>
                <w:szCs w:val="20"/>
              </w:rPr>
              <w:t xml:space="preserve"> </w:t>
            </w:r>
            <w:r>
              <w:rPr>
                <w:spacing w:val="6"/>
                <w:sz w:val="20"/>
                <w:szCs w:val="20"/>
              </w:rPr>
              <w:t>先保护区内实施严格保护，禁止新建、</w:t>
            </w:r>
          </w:p>
        </w:tc>
        <w:tc>
          <w:tcPr>
            <w:tcW w:w="2582" w:type="dxa"/>
            <w:tcBorders>
              <w:left w:val="single" w:color="000000" w:sz="2" w:space="0"/>
              <w:right w:val="single" w:color="000000" w:sz="2" w:space="0"/>
            </w:tcBorders>
            <w:vAlign w:val="top"/>
          </w:tcPr>
          <w:p w14:paraId="18323334">
            <w:pPr>
              <w:pStyle w:val="6"/>
              <w:spacing w:before="37" w:line="251" w:lineRule="auto"/>
              <w:ind w:left="68" w:right="49" w:firstLine="13"/>
              <w:rPr>
                <w:sz w:val="20"/>
                <w:szCs w:val="20"/>
              </w:rPr>
            </w:pPr>
            <w:r>
              <w:rPr>
                <w:rFonts w:ascii="Times New Roman" w:hAnsi="Times New Roman" w:eastAsia="Times New Roman" w:cs="Times New Roman"/>
                <w:spacing w:val="7"/>
                <w:sz w:val="20"/>
                <w:szCs w:val="20"/>
              </w:rPr>
              <w:t>1-4.</w:t>
            </w:r>
            <w:r>
              <w:rPr>
                <w:rFonts w:ascii="Times New Roman" w:hAnsi="Times New Roman" w:eastAsia="Times New Roman" w:cs="Times New Roman"/>
                <w:spacing w:val="-20"/>
                <w:sz w:val="20"/>
                <w:szCs w:val="20"/>
              </w:rPr>
              <w:t xml:space="preserve"> </w:t>
            </w:r>
            <w:r>
              <w:rPr>
                <w:spacing w:val="7"/>
                <w:sz w:val="20"/>
                <w:szCs w:val="20"/>
              </w:rPr>
              <w:t>，项目用地性质为工业</w:t>
            </w:r>
            <w:r>
              <w:rPr>
                <w:sz w:val="20"/>
                <w:szCs w:val="20"/>
              </w:rPr>
              <w:t xml:space="preserve"> </w:t>
            </w:r>
            <w:r>
              <w:rPr>
                <w:spacing w:val="4"/>
                <w:sz w:val="20"/>
                <w:szCs w:val="20"/>
              </w:rPr>
              <w:t>厂房用地，土地主导功能不</w:t>
            </w:r>
            <w:r>
              <w:rPr>
                <w:spacing w:val="10"/>
                <w:sz w:val="20"/>
                <w:szCs w:val="20"/>
              </w:rPr>
              <w:t xml:space="preserve"> </w:t>
            </w:r>
            <w:r>
              <w:rPr>
                <w:spacing w:val="5"/>
                <w:sz w:val="20"/>
                <w:szCs w:val="20"/>
              </w:rPr>
              <w:t>是水土保持。</w:t>
            </w:r>
          </w:p>
          <w:p w14:paraId="5CE8DA60">
            <w:pPr>
              <w:pStyle w:val="6"/>
              <w:spacing w:before="2" w:line="251" w:lineRule="auto"/>
              <w:ind w:left="65" w:firstLine="16"/>
              <w:rPr>
                <w:sz w:val="20"/>
                <w:szCs w:val="20"/>
              </w:rPr>
            </w:pPr>
            <w:r>
              <w:rPr>
                <w:rFonts w:ascii="Times New Roman" w:hAnsi="Times New Roman" w:eastAsia="Times New Roman" w:cs="Times New Roman"/>
                <w:spacing w:val="7"/>
                <w:sz w:val="20"/>
                <w:szCs w:val="20"/>
              </w:rPr>
              <w:t>1-5.</w:t>
            </w:r>
            <w:r>
              <w:rPr>
                <w:spacing w:val="7"/>
                <w:sz w:val="20"/>
                <w:szCs w:val="20"/>
              </w:rPr>
              <w:t>项目位于可塘镇圆山岭</w:t>
            </w:r>
            <w:r>
              <w:rPr>
                <w:spacing w:val="11"/>
                <w:sz w:val="20"/>
                <w:szCs w:val="20"/>
              </w:rPr>
              <w:t xml:space="preserve"> </w:t>
            </w:r>
            <w:r>
              <w:rPr>
                <w:spacing w:val="3"/>
                <w:sz w:val="20"/>
                <w:szCs w:val="20"/>
              </w:rPr>
              <w:t>开发区，不涉及广东海丰省</w:t>
            </w:r>
            <w:r>
              <w:rPr>
                <w:spacing w:val="4"/>
                <w:sz w:val="20"/>
                <w:szCs w:val="20"/>
              </w:rPr>
              <w:t xml:space="preserve"> </w:t>
            </w:r>
            <w:r>
              <w:rPr>
                <w:spacing w:val="3"/>
                <w:sz w:val="20"/>
                <w:szCs w:val="20"/>
              </w:rPr>
              <w:t>级鸟类自然保护区（联安围</w:t>
            </w:r>
            <w:r>
              <w:rPr>
                <w:spacing w:val="6"/>
                <w:sz w:val="20"/>
                <w:szCs w:val="20"/>
              </w:rPr>
              <w:t xml:space="preserve"> </w:t>
            </w:r>
            <w:r>
              <w:rPr>
                <w:spacing w:val="-7"/>
                <w:sz w:val="20"/>
                <w:szCs w:val="20"/>
              </w:rPr>
              <w:t>片区）、莲花山自然保护区。</w:t>
            </w:r>
            <w:r>
              <w:rPr>
                <w:spacing w:val="1"/>
                <w:sz w:val="20"/>
                <w:szCs w:val="20"/>
              </w:rPr>
              <w:t xml:space="preserve"> </w:t>
            </w:r>
            <w:r>
              <w:rPr>
                <w:rFonts w:ascii="Times New Roman" w:hAnsi="Times New Roman" w:eastAsia="Times New Roman" w:cs="Times New Roman"/>
                <w:spacing w:val="9"/>
                <w:sz w:val="20"/>
                <w:szCs w:val="20"/>
              </w:rPr>
              <w:t>1-6.</w:t>
            </w:r>
            <w:r>
              <w:rPr>
                <w:spacing w:val="9"/>
                <w:sz w:val="20"/>
                <w:szCs w:val="20"/>
              </w:rPr>
              <w:t>本项目所在区域不涉及</w:t>
            </w:r>
            <w:r>
              <w:rPr>
                <w:sz w:val="20"/>
                <w:szCs w:val="20"/>
              </w:rPr>
              <w:t xml:space="preserve"> </w:t>
            </w:r>
            <w:r>
              <w:rPr>
                <w:spacing w:val="3"/>
                <w:sz w:val="20"/>
                <w:szCs w:val="20"/>
              </w:rPr>
              <w:t>城东镇、陶河镇内的黄江流</w:t>
            </w:r>
            <w:r>
              <w:rPr>
                <w:spacing w:val="6"/>
                <w:sz w:val="20"/>
                <w:szCs w:val="20"/>
              </w:rPr>
              <w:t xml:space="preserve"> </w:t>
            </w:r>
            <w:r>
              <w:rPr>
                <w:spacing w:val="-1"/>
                <w:sz w:val="20"/>
                <w:szCs w:val="20"/>
              </w:rPr>
              <w:t>域。</w:t>
            </w:r>
          </w:p>
          <w:p w14:paraId="569418DA">
            <w:pPr>
              <w:pStyle w:val="6"/>
              <w:spacing w:before="3" w:line="251" w:lineRule="auto"/>
              <w:ind w:left="64" w:right="49" w:firstLine="17"/>
              <w:rPr>
                <w:sz w:val="20"/>
                <w:szCs w:val="20"/>
              </w:rPr>
            </w:pPr>
            <w:r>
              <w:rPr>
                <w:rFonts w:ascii="Times New Roman" w:hAnsi="Times New Roman" w:eastAsia="Times New Roman" w:cs="Times New Roman"/>
                <w:spacing w:val="9"/>
                <w:sz w:val="20"/>
                <w:szCs w:val="20"/>
              </w:rPr>
              <w:t>1-7.</w:t>
            </w:r>
            <w:r>
              <w:rPr>
                <w:spacing w:val="9"/>
                <w:sz w:val="20"/>
                <w:szCs w:val="20"/>
              </w:rPr>
              <w:t>项目位于海丰县可塘镇</w:t>
            </w:r>
            <w:r>
              <w:rPr>
                <w:spacing w:val="1"/>
                <w:sz w:val="20"/>
                <w:szCs w:val="20"/>
              </w:rPr>
              <w:t xml:space="preserve"> </w:t>
            </w:r>
            <w:r>
              <w:rPr>
                <w:spacing w:val="5"/>
                <w:sz w:val="20"/>
                <w:szCs w:val="20"/>
              </w:rPr>
              <w:t>圆山岭开发区，不位于石牛</w:t>
            </w:r>
            <w:r>
              <w:rPr>
                <w:sz w:val="20"/>
                <w:szCs w:val="20"/>
              </w:rPr>
              <w:t xml:space="preserve"> </w:t>
            </w:r>
            <w:r>
              <w:rPr>
                <w:spacing w:val="5"/>
                <w:sz w:val="20"/>
                <w:szCs w:val="20"/>
              </w:rPr>
              <w:t>山水库、南城水库饮用水水</w:t>
            </w:r>
            <w:r>
              <w:rPr>
                <w:sz w:val="20"/>
                <w:szCs w:val="20"/>
              </w:rPr>
              <w:t xml:space="preserve"> </w:t>
            </w:r>
            <w:r>
              <w:rPr>
                <w:spacing w:val="23"/>
                <w:sz w:val="20"/>
                <w:szCs w:val="20"/>
              </w:rPr>
              <w:t>源一级保护区内和二级保</w:t>
            </w:r>
            <w:r>
              <w:rPr>
                <w:spacing w:val="6"/>
                <w:sz w:val="20"/>
                <w:szCs w:val="20"/>
              </w:rPr>
              <w:t xml:space="preserve"> </w:t>
            </w:r>
            <w:r>
              <w:rPr>
                <w:spacing w:val="5"/>
                <w:sz w:val="20"/>
                <w:szCs w:val="20"/>
              </w:rPr>
              <w:t>护区内、公平水库、公平灌</w:t>
            </w:r>
            <w:r>
              <w:rPr>
                <w:spacing w:val="1"/>
                <w:sz w:val="20"/>
                <w:szCs w:val="20"/>
              </w:rPr>
              <w:t xml:space="preserve"> </w:t>
            </w:r>
            <w:r>
              <w:rPr>
                <w:spacing w:val="16"/>
                <w:sz w:val="20"/>
                <w:szCs w:val="20"/>
              </w:rPr>
              <w:t>渠</w:t>
            </w:r>
            <w:r>
              <w:rPr>
                <w:rFonts w:ascii="Times New Roman" w:hAnsi="Times New Roman" w:eastAsia="Times New Roman" w:cs="Times New Roman"/>
                <w:spacing w:val="16"/>
                <w:sz w:val="20"/>
                <w:szCs w:val="20"/>
              </w:rPr>
              <w:t>-</w:t>
            </w:r>
            <w:r>
              <w:rPr>
                <w:spacing w:val="16"/>
                <w:sz w:val="20"/>
                <w:szCs w:val="20"/>
              </w:rPr>
              <w:t>赤沙水库饮用水水源准</w:t>
            </w:r>
            <w:r>
              <w:rPr>
                <w:spacing w:val="2"/>
                <w:sz w:val="20"/>
                <w:szCs w:val="20"/>
              </w:rPr>
              <w:t xml:space="preserve"> </w:t>
            </w:r>
            <w:r>
              <w:rPr>
                <w:spacing w:val="5"/>
                <w:sz w:val="20"/>
                <w:szCs w:val="20"/>
              </w:rPr>
              <w:t>保护区内；项目不涉及任何</w:t>
            </w:r>
            <w:r>
              <w:rPr>
                <w:spacing w:val="1"/>
                <w:sz w:val="20"/>
                <w:szCs w:val="20"/>
              </w:rPr>
              <w:t xml:space="preserve"> </w:t>
            </w:r>
            <w:r>
              <w:rPr>
                <w:spacing w:val="8"/>
                <w:sz w:val="20"/>
                <w:szCs w:val="20"/>
              </w:rPr>
              <w:t>饮用水水源二级保护区。</w:t>
            </w:r>
          </w:p>
          <w:p w14:paraId="55BA2CAE">
            <w:pPr>
              <w:pStyle w:val="6"/>
              <w:spacing w:before="1" w:line="251" w:lineRule="auto"/>
              <w:ind w:left="65" w:firstLine="16"/>
              <w:rPr>
                <w:sz w:val="20"/>
                <w:szCs w:val="20"/>
              </w:rPr>
            </w:pPr>
            <w:r>
              <w:rPr>
                <w:rFonts w:ascii="Times New Roman" w:hAnsi="Times New Roman" w:eastAsia="Times New Roman" w:cs="Times New Roman"/>
                <w:spacing w:val="7"/>
                <w:sz w:val="20"/>
                <w:szCs w:val="20"/>
              </w:rPr>
              <w:t>1-8.</w:t>
            </w:r>
            <w:r>
              <w:rPr>
                <w:spacing w:val="7"/>
                <w:sz w:val="20"/>
                <w:szCs w:val="20"/>
              </w:rPr>
              <w:t>本项目主要从事宝石加</w:t>
            </w:r>
            <w:r>
              <w:rPr>
                <w:spacing w:val="11"/>
                <w:sz w:val="20"/>
                <w:szCs w:val="20"/>
              </w:rPr>
              <w:t xml:space="preserve"> </w:t>
            </w:r>
            <w:r>
              <w:rPr>
                <w:spacing w:val="-7"/>
                <w:sz w:val="20"/>
                <w:szCs w:val="20"/>
              </w:rPr>
              <w:t>工，不属于化工、包装印刷、</w:t>
            </w:r>
            <w:r>
              <w:rPr>
                <w:spacing w:val="1"/>
                <w:sz w:val="20"/>
                <w:szCs w:val="20"/>
              </w:rPr>
              <w:t xml:space="preserve"> </w:t>
            </w:r>
            <w:r>
              <w:rPr>
                <w:spacing w:val="22"/>
                <w:sz w:val="20"/>
                <w:szCs w:val="20"/>
              </w:rPr>
              <w:t>工业涂装等涉挥发性有机</w:t>
            </w:r>
            <w:r>
              <w:rPr>
                <w:sz w:val="20"/>
                <w:szCs w:val="20"/>
              </w:rPr>
              <w:t xml:space="preserve"> </w:t>
            </w:r>
            <w:r>
              <w:rPr>
                <w:spacing w:val="5"/>
                <w:sz w:val="20"/>
                <w:szCs w:val="20"/>
              </w:rPr>
              <w:t>物排放项目。</w:t>
            </w:r>
          </w:p>
          <w:p w14:paraId="0C846038">
            <w:pPr>
              <w:pStyle w:val="6"/>
              <w:spacing w:before="3" w:line="251" w:lineRule="auto"/>
              <w:ind w:left="65" w:right="49" w:firstLine="16"/>
              <w:rPr>
                <w:sz w:val="20"/>
                <w:szCs w:val="20"/>
              </w:rPr>
            </w:pPr>
            <w:r>
              <w:rPr>
                <w:rFonts w:ascii="Times New Roman" w:hAnsi="Times New Roman" w:eastAsia="Times New Roman" w:cs="Times New Roman"/>
                <w:spacing w:val="9"/>
                <w:sz w:val="20"/>
                <w:szCs w:val="20"/>
              </w:rPr>
              <w:t>1-9.</w:t>
            </w:r>
            <w:r>
              <w:rPr>
                <w:spacing w:val="9"/>
                <w:sz w:val="20"/>
                <w:szCs w:val="20"/>
              </w:rPr>
              <w:t>本项目位于海丰县可塘</w:t>
            </w:r>
            <w:r>
              <w:rPr>
                <w:sz w:val="20"/>
                <w:szCs w:val="20"/>
              </w:rPr>
              <w:t xml:space="preserve"> </w:t>
            </w:r>
            <w:r>
              <w:rPr>
                <w:spacing w:val="5"/>
                <w:sz w:val="20"/>
                <w:szCs w:val="20"/>
              </w:rPr>
              <w:t>镇圆山岭开发区，不属于饮</w:t>
            </w:r>
            <w:r>
              <w:rPr>
                <w:sz w:val="20"/>
                <w:szCs w:val="20"/>
              </w:rPr>
              <w:t xml:space="preserve"> </w:t>
            </w:r>
            <w:r>
              <w:rPr>
                <w:spacing w:val="23"/>
                <w:sz w:val="20"/>
                <w:szCs w:val="20"/>
              </w:rPr>
              <w:t>用水水源保护区及大气环</w:t>
            </w:r>
            <w:r>
              <w:rPr>
                <w:spacing w:val="7"/>
                <w:sz w:val="20"/>
                <w:szCs w:val="20"/>
              </w:rPr>
              <w:t xml:space="preserve"> </w:t>
            </w:r>
            <w:r>
              <w:rPr>
                <w:spacing w:val="4"/>
                <w:sz w:val="20"/>
                <w:szCs w:val="20"/>
              </w:rPr>
              <w:t>境优先保护区内，不属于其</w:t>
            </w:r>
            <w:r>
              <w:rPr>
                <w:spacing w:val="10"/>
                <w:sz w:val="20"/>
                <w:szCs w:val="20"/>
              </w:rPr>
              <w:t xml:space="preserve"> </w:t>
            </w:r>
            <w:r>
              <w:rPr>
                <w:spacing w:val="5"/>
                <w:sz w:val="20"/>
                <w:szCs w:val="20"/>
              </w:rPr>
              <w:t>禁止新建、扩建排放大气污</w:t>
            </w:r>
            <w:r>
              <w:rPr>
                <w:sz w:val="20"/>
                <w:szCs w:val="20"/>
              </w:rPr>
              <w:t xml:space="preserve"> </w:t>
            </w:r>
            <w:r>
              <w:rPr>
                <w:spacing w:val="7"/>
                <w:sz w:val="20"/>
                <w:szCs w:val="20"/>
              </w:rPr>
              <w:t>染物的工业项目。</w:t>
            </w:r>
          </w:p>
          <w:p w14:paraId="013DC21B">
            <w:pPr>
              <w:pStyle w:val="6"/>
              <w:spacing w:before="4" w:line="251" w:lineRule="auto"/>
              <w:ind w:left="64" w:right="36" w:firstLine="17"/>
              <w:rPr>
                <w:sz w:val="20"/>
                <w:szCs w:val="20"/>
              </w:rPr>
            </w:pPr>
            <w:r>
              <w:rPr>
                <w:rFonts w:ascii="Times New Roman" w:hAnsi="Times New Roman" w:eastAsia="Times New Roman" w:cs="Times New Roman"/>
                <w:spacing w:val="1"/>
                <w:sz w:val="20"/>
                <w:szCs w:val="20"/>
              </w:rPr>
              <w:t>1-10.</w:t>
            </w:r>
            <w:r>
              <w:rPr>
                <w:spacing w:val="1"/>
                <w:sz w:val="20"/>
                <w:szCs w:val="20"/>
              </w:rPr>
              <w:t>项目从事宝石加工，不</w:t>
            </w:r>
            <w:r>
              <w:rPr>
                <w:spacing w:val="12"/>
                <w:sz w:val="20"/>
                <w:szCs w:val="20"/>
              </w:rPr>
              <w:t xml:space="preserve"> </w:t>
            </w:r>
            <w:r>
              <w:rPr>
                <w:spacing w:val="6"/>
                <w:sz w:val="20"/>
                <w:szCs w:val="20"/>
              </w:rPr>
              <w:t>属于钢铁、燃煤燃油火电、</w:t>
            </w:r>
            <w:r>
              <w:rPr>
                <w:spacing w:val="2"/>
                <w:sz w:val="20"/>
                <w:szCs w:val="20"/>
              </w:rPr>
              <w:t xml:space="preserve"> </w:t>
            </w:r>
            <w:r>
              <w:rPr>
                <w:spacing w:val="5"/>
                <w:sz w:val="20"/>
                <w:szCs w:val="20"/>
              </w:rPr>
              <w:t>石化、储油库等项目；不属</w:t>
            </w:r>
            <w:r>
              <w:rPr>
                <w:sz w:val="20"/>
                <w:szCs w:val="20"/>
              </w:rPr>
              <w:t xml:space="preserve"> </w:t>
            </w:r>
            <w:r>
              <w:rPr>
                <w:spacing w:val="23"/>
                <w:sz w:val="20"/>
                <w:szCs w:val="20"/>
              </w:rPr>
              <w:t>于产生和排放有毒有害大</w:t>
            </w:r>
            <w:r>
              <w:rPr>
                <w:spacing w:val="8"/>
                <w:sz w:val="20"/>
                <w:szCs w:val="20"/>
              </w:rPr>
              <w:t xml:space="preserve"> </w:t>
            </w:r>
            <w:r>
              <w:rPr>
                <w:spacing w:val="5"/>
                <w:sz w:val="20"/>
                <w:szCs w:val="20"/>
              </w:rPr>
              <w:t>气污染物项目，以及生产和</w:t>
            </w:r>
            <w:r>
              <w:rPr>
                <w:spacing w:val="1"/>
                <w:sz w:val="20"/>
                <w:szCs w:val="20"/>
              </w:rPr>
              <w:t xml:space="preserve"> </w:t>
            </w:r>
            <w:r>
              <w:rPr>
                <w:spacing w:val="5"/>
                <w:sz w:val="20"/>
                <w:szCs w:val="20"/>
              </w:rPr>
              <w:t>使用溶剂型油墨、涂料、清</w:t>
            </w:r>
            <w:r>
              <w:rPr>
                <w:spacing w:val="1"/>
                <w:sz w:val="20"/>
                <w:szCs w:val="20"/>
              </w:rPr>
              <w:t xml:space="preserve"> </w:t>
            </w:r>
            <w:r>
              <w:rPr>
                <w:spacing w:val="5"/>
                <w:sz w:val="20"/>
                <w:szCs w:val="20"/>
              </w:rPr>
              <w:t>洗剂、胶黏剂等高挥发性有</w:t>
            </w:r>
            <w:r>
              <w:rPr>
                <w:spacing w:val="1"/>
                <w:sz w:val="20"/>
                <w:szCs w:val="20"/>
              </w:rPr>
              <w:t xml:space="preserve"> </w:t>
            </w:r>
            <w:r>
              <w:rPr>
                <w:spacing w:val="8"/>
                <w:sz w:val="20"/>
                <w:szCs w:val="20"/>
              </w:rPr>
              <w:t>机物原辅材料的项目。</w:t>
            </w:r>
          </w:p>
          <w:p w14:paraId="63695379">
            <w:pPr>
              <w:pStyle w:val="6"/>
              <w:spacing w:before="14" w:line="249" w:lineRule="auto"/>
              <w:ind w:left="59" w:firstLine="22"/>
              <w:rPr>
                <w:sz w:val="20"/>
                <w:szCs w:val="20"/>
              </w:rPr>
            </w:pPr>
            <w:r>
              <w:rPr>
                <w:rFonts w:ascii="Times New Roman" w:hAnsi="Times New Roman" w:eastAsia="Times New Roman" w:cs="Times New Roman"/>
                <w:spacing w:val="9"/>
                <w:sz w:val="20"/>
                <w:szCs w:val="20"/>
              </w:rPr>
              <w:t>1-11</w:t>
            </w:r>
            <w:r>
              <w:rPr>
                <w:rFonts w:ascii="Times New Roman" w:hAnsi="Times New Roman" w:eastAsia="Times New Roman" w:cs="Times New Roman"/>
                <w:spacing w:val="23"/>
                <w:w w:val="101"/>
                <w:sz w:val="20"/>
                <w:szCs w:val="20"/>
              </w:rPr>
              <w:t xml:space="preserve"> </w:t>
            </w:r>
            <w:r>
              <w:rPr>
                <w:spacing w:val="9"/>
                <w:sz w:val="20"/>
                <w:szCs w:val="20"/>
              </w:rPr>
              <w:t>本项</w:t>
            </w:r>
            <w:r>
              <w:rPr>
                <w:spacing w:val="-34"/>
                <w:sz w:val="20"/>
                <w:szCs w:val="20"/>
              </w:rPr>
              <w:t xml:space="preserve"> </w:t>
            </w:r>
            <w:r>
              <w:rPr>
                <w:spacing w:val="9"/>
                <w:sz w:val="20"/>
                <w:szCs w:val="20"/>
              </w:rPr>
              <w:t>目注胶工序需使</w:t>
            </w:r>
            <w:r>
              <w:rPr>
                <w:sz w:val="20"/>
                <w:szCs w:val="20"/>
              </w:rPr>
              <w:t xml:space="preserve"> </w:t>
            </w:r>
            <w:r>
              <w:rPr>
                <w:spacing w:val="4"/>
                <w:sz w:val="20"/>
                <w:szCs w:val="20"/>
              </w:rPr>
              <w:t>用乙醇和丙酮，参考汕尾启</w:t>
            </w:r>
            <w:r>
              <w:rPr>
                <w:sz w:val="20"/>
                <w:szCs w:val="20"/>
              </w:rPr>
              <w:t xml:space="preserve"> </w:t>
            </w:r>
            <w:r>
              <w:rPr>
                <w:spacing w:val="22"/>
                <w:sz w:val="20"/>
                <w:szCs w:val="20"/>
              </w:rPr>
              <w:t>信商务信息有限公司宝石</w:t>
            </w:r>
            <w:r>
              <w:rPr>
                <w:spacing w:val="6"/>
                <w:sz w:val="20"/>
                <w:szCs w:val="20"/>
              </w:rPr>
              <w:t xml:space="preserve"> </w:t>
            </w:r>
            <w:r>
              <w:rPr>
                <w:spacing w:val="16"/>
                <w:sz w:val="20"/>
                <w:szCs w:val="20"/>
              </w:rPr>
              <w:t>加工项</w:t>
            </w:r>
            <w:r>
              <w:rPr>
                <w:spacing w:val="-30"/>
                <w:sz w:val="20"/>
                <w:szCs w:val="20"/>
              </w:rPr>
              <w:t xml:space="preserve"> </w:t>
            </w:r>
            <w:r>
              <w:rPr>
                <w:spacing w:val="16"/>
                <w:sz w:val="20"/>
                <w:szCs w:val="20"/>
              </w:rPr>
              <w:t>目编制的《使用高</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5"/>
                <w:w w:val="101"/>
                <w:sz w:val="20"/>
                <w:szCs w:val="20"/>
              </w:rPr>
              <w:t xml:space="preserve"> </w:t>
            </w:r>
            <w:r>
              <w:rPr>
                <w:spacing w:val="9"/>
                <w:sz w:val="20"/>
                <w:szCs w:val="20"/>
              </w:rPr>
              <w:t>原辅料不可替代性论</w:t>
            </w:r>
            <w:r>
              <w:rPr>
                <w:sz w:val="20"/>
                <w:szCs w:val="20"/>
              </w:rPr>
              <w:t xml:space="preserve"> </w:t>
            </w:r>
            <w:r>
              <w:rPr>
                <w:spacing w:val="4"/>
                <w:sz w:val="20"/>
                <w:szCs w:val="20"/>
              </w:rPr>
              <w:t>证报告》专家评审意见，乙</w:t>
            </w:r>
            <w:r>
              <w:rPr>
                <w:sz w:val="20"/>
                <w:szCs w:val="20"/>
              </w:rPr>
              <w:t xml:space="preserve"> </w:t>
            </w:r>
            <w:r>
              <w:rPr>
                <w:spacing w:val="22"/>
                <w:sz w:val="20"/>
                <w:szCs w:val="20"/>
              </w:rPr>
              <w:t>醇和丙酮在宝石注胶加工</w:t>
            </w:r>
            <w:r>
              <w:rPr>
                <w:spacing w:val="4"/>
                <w:sz w:val="20"/>
                <w:szCs w:val="20"/>
              </w:rPr>
              <w:t xml:space="preserve"> 中具有不可替代性，另外项</w:t>
            </w:r>
            <w:r>
              <w:rPr>
                <w:sz w:val="20"/>
                <w:szCs w:val="20"/>
              </w:rPr>
              <w:t xml:space="preserve"> </w:t>
            </w:r>
            <w:r>
              <w:rPr>
                <w:spacing w:val="22"/>
                <w:sz w:val="20"/>
                <w:szCs w:val="20"/>
              </w:rPr>
              <w:t>目配套建设有机废气处理</w:t>
            </w:r>
            <w:r>
              <w:rPr>
                <w:spacing w:val="6"/>
                <w:sz w:val="20"/>
                <w:szCs w:val="20"/>
              </w:rPr>
              <w:t xml:space="preserve"> </w:t>
            </w:r>
            <w:r>
              <w:rPr>
                <w:spacing w:val="4"/>
                <w:sz w:val="20"/>
                <w:szCs w:val="20"/>
              </w:rPr>
              <w:t>措施，对产生的有机废气进</w:t>
            </w:r>
            <w:r>
              <w:rPr>
                <w:sz w:val="20"/>
                <w:szCs w:val="20"/>
              </w:rPr>
              <w:t xml:space="preserve"> </w:t>
            </w:r>
            <w:r>
              <w:rPr>
                <w:spacing w:val="4"/>
                <w:sz w:val="20"/>
                <w:szCs w:val="20"/>
              </w:rPr>
              <w:t>行有效收集和处理；项目没</w:t>
            </w:r>
            <w:r>
              <w:rPr>
                <w:sz w:val="20"/>
                <w:szCs w:val="20"/>
              </w:rPr>
              <w:t xml:space="preserve"> </w:t>
            </w:r>
            <w:r>
              <w:rPr>
                <w:spacing w:val="3"/>
                <w:sz w:val="20"/>
                <w:szCs w:val="20"/>
              </w:rPr>
              <w:t>有建设锅炉，没有建氮氧化</w:t>
            </w:r>
            <w:r>
              <w:rPr>
                <w:spacing w:val="10"/>
                <w:sz w:val="20"/>
                <w:szCs w:val="20"/>
              </w:rPr>
              <w:t xml:space="preserve"> </w:t>
            </w:r>
            <w:r>
              <w:rPr>
                <w:spacing w:val="-7"/>
                <w:sz w:val="20"/>
                <w:szCs w:val="20"/>
              </w:rPr>
              <w:t>物、烟（粉）粉尘等的排放。</w:t>
            </w:r>
          </w:p>
        </w:tc>
        <w:tc>
          <w:tcPr>
            <w:tcW w:w="658" w:type="dxa"/>
            <w:tcBorders>
              <w:left w:val="single" w:color="000000" w:sz="2" w:space="0"/>
              <w:right w:val="single" w:color="000000" w:sz="2" w:space="0"/>
            </w:tcBorders>
            <w:vAlign w:val="top"/>
          </w:tcPr>
          <w:p w14:paraId="10E50573">
            <w:pPr>
              <w:rPr>
                <w:rFonts w:ascii="Arial"/>
                <w:sz w:val="21"/>
              </w:rPr>
            </w:pPr>
          </w:p>
        </w:tc>
        <w:tc>
          <w:tcPr>
            <w:tcW w:w="185" w:type="dxa"/>
            <w:tcBorders>
              <w:left w:val="single" w:color="000000" w:sz="2" w:space="0"/>
            </w:tcBorders>
            <w:vAlign w:val="top"/>
          </w:tcPr>
          <w:p w14:paraId="72B71A0A">
            <w:pPr>
              <w:rPr>
                <w:rFonts w:ascii="Arial"/>
                <w:sz w:val="21"/>
              </w:rPr>
            </w:pPr>
          </w:p>
        </w:tc>
      </w:tr>
    </w:tbl>
    <w:p w14:paraId="3C950F0B">
      <w:pPr>
        <w:rPr>
          <w:rFonts w:ascii="Arial"/>
          <w:sz w:val="21"/>
        </w:rPr>
      </w:pPr>
    </w:p>
    <w:p w14:paraId="2D1DAA80">
      <w:pPr>
        <w:rPr>
          <w:rFonts w:ascii="Arial" w:hAnsi="Arial" w:eastAsia="Arial" w:cs="Arial"/>
          <w:sz w:val="21"/>
          <w:szCs w:val="21"/>
        </w:rPr>
        <w:sectPr>
          <w:footerReference r:id="rId13" w:type="default"/>
          <w:pgSz w:w="11906" w:h="16839"/>
          <w:pgMar w:top="400" w:right="1508" w:bottom="1240" w:left="1508" w:header="0" w:footer="1078" w:gutter="0"/>
          <w:cols w:space="720" w:num="1"/>
        </w:sectPr>
      </w:pPr>
    </w:p>
    <w:p w14:paraId="71F5055B">
      <w:pPr>
        <w:spacing w:before="19"/>
      </w:pPr>
      <w:r>
        <w:pict>
          <v:shape id="_x0000_s1028" o:spid="_x0000_s1028" style="position:absolute;left:0pt;margin-left:107.4pt;margin-top:753.2pt;height:0.5pt;width:403.45pt;mso-position-horizontal-relative:page;mso-position-vertical-relative:page;z-index:251662336;mso-width-relative:page;mso-height-relative:page;" filled="f" stroked="t" coordsize="8069,10" o:allowincell="f" path="m0,4l8068,4e">
            <v:fill on="f" focussize="0,0"/>
            <v:stroke weight="0.48pt" color="#000000" miterlimit="2" joinstyle="bevel"/>
            <v:imagedata o:title=""/>
            <o:lock v:ext="edit"/>
          </v:shape>
        </w:pict>
      </w:r>
    </w:p>
    <w:p w14:paraId="1B4048BC">
      <w:pPr>
        <w:spacing w:before="19"/>
      </w:pPr>
    </w:p>
    <w:p w14:paraId="32D8E185">
      <w:pPr>
        <w:spacing w:before="19"/>
      </w:pPr>
    </w:p>
    <w:p w14:paraId="54899F6B">
      <w:pPr>
        <w:spacing w:before="18"/>
      </w:pPr>
    </w:p>
    <w:p w14:paraId="3F96E114">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175"/>
        <w:gridCol w:w="521"/>
        <w:gridCol w:w="699"/>
        <w:gridCol w:w="3585"/>
        <w:gridCol w:w="2582"/>
        <w:gridCol w:w="658"/>
        <w:gridCol w:w="185"/>
      </w:tblGrid>
      <w:tr w14:paraId="49137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2" w:hRule="atLeast"/>
        </w:trPr>
        <w:tc>
          <w:tcPr>
            <w:tcW w:w="469" w:type="dxa"/>
            <w:tcBorders>
              <w:right w:val="single" w:color="000000" w:sz="2" w:space="0"/>
            </w:tcBorders>
            <w:vAlign w:val="top"/>
          </w:tcPr>
          <w:p w14:paraId="6F4CFA04">
            <w:pPr>
              <w:rPr>
                <w:rFonts w:ascii="Arial"/>
                <w:sz w:val="21"/>
              </w:rPr>
            </w:pPr>
          </w:p>
        </w:tc>
        <w:tc>
          <w:tcPr>
            <w:tcW w:w="175" w:type="dxa"/>
            <w:tcBorders>
              <w:left w:val="single" w:color="000000" w:sz="2" w:space="0"/>
              <w:right w:val="single" w:color="000000" w:sz="2" w:space="0"/>
            </w:tcBorders>
            <w:vAlign w:val="top"/>
          </w:tcPr>
          <w:p w14:paraId="55617243">
            <w:pPr>
              <w:rPr>
                <w:rFonts w:ascii="Arial"/>
                <w:sz w:val="21"/>
              </w:rPr>
            </w:pPr>
          </w:p>
        </w:tc>
        <w:tc>
          <w:tcPr>
            <w:tcW w:w="521" w:type="dxa"/>
            <w:tcBorders>
              <w:left w:val="single" w:color="000000" w:sz="2" w:space="0"/>
              <w:right w:val="single" w:color="000000" w:sz="2" w:space="0"/>
            </w:tcBorders>
            <w:vAlign w:val="top"/>
          </w:tcPr>
          <w:p w14:paraId="3730D8FC">
            <w:pPr>
              <w:rPr>
                <w:rFonts w:ascii="Arial"/>
                <w:sz w:val="21"/>
              </w:rPr>
            </w:pPr>
          </w:p>
        </w:tc>
        <w:tc>
          <w:tcPr>
            <w:tcW w:w="699" w:type="dxa"/>
            <w:tcBorders>
              <w:left w:val="single" w:color="000000" w:sz="2" w:space="0"/>
              <w:right w:val="single" w:color="000000" w:sz="2" w:space="0"/>
            </w:tcBorders>
            <w:vAlign w:val="top"/>
          </w:tcPr>
          <w:p w14:paraId="379FBF82">
            <w:pPr>
              <w:rPr>
                <w:rFonts w:ascii="Arial"/>
                <w:sz w:val="21"/>
              </w:rPr>
            </w:pPr>
          </w:p>
        </w:tc>
        <w:tc>
          <w:tcPr>
            <w:tcW w:w="3585" w:type="dxa"/>
            <w:tcBorders>
              <w:left w:val="single" w:color="000000" w:sz="2" w:space="0"/>
              <w:right w:val="single" w:color="000000" w:sz="2" w:space="0"/>
            </w:tcBorders>
            <w:vAlign w:val="top"/>
          </w:tcPr>
          <w:p w14:paraId="1A0AAB65">
            <w:pPr>
              <w:pStyle w:val="6"/>
              <w:spacing w:before="37" w:line="228" w:lineRule="auto"/>
              <w:ind w:left="57"/>
              <w:rPr>
                <w:sz w:val="20"/>
                <w:szCs w:val="20"/>
              </w:rPr>
            </w:pPr>
            <w:r>
              <w:rPr>
                <w:spacing w:val="8"/>
                <w:sz w:val="20"/>
                <w:szCs w:val="20"/>
              </w:rPr>
              <w:t>扩建排放大气污染物的工业项目。</w:t>
            </w:r>
          </w:p>
          <w:p w14:paraId="4F23E28D">
            <w:pPr>
              <w:pStyle w:val="6"/>
              <w:spacing w:before="25" w:line="251" w:lineRule="auto"/>
              <w:ind w:left="56" w:right="55" w:firstLine="17"/>
              <w:rPr>
                <w:sz w:val="20"/>
                <w:szCs w:val="20"/>
              </w:rPr>
            </w:pPr>
            <w:r>
              <w:rPr>
                <w:rFonts w:ascii="Times New Roman" w:hAnsi="Times New Roman" w:eastAsia="Times New Roman" w:cs="Times New Roman"/>
                <w:spacing w:val="12"/>
                <w:sz w:val="20"/>
                <w:szCs w:val="20"/>
              </w:rPr>
              <w:t>1-10.</w:t>
            </w:r>
            <w:r>
              <w:rPr>
                <w:spacing w:val="12"/>
                <w:sz w:val="20"/>
                <w:szCs w:val="20"/>
              </w:rPr>
              <w:t>大气环境受体敏感重点管控区内</w:t>
            </w:r>
            <w:r>
              <w:rPr>
                <w:spacing w:val="2"/>
                <w:sz w:val="20"/>
                <w:szCs w:val="20"/>
              </w:rPr>
              <w:t xml:space="preserve"> </w:t>
            </w:r>
            <w:r>
              <w:rPr>
                <w:spacing w:val="4"/>
                <w:sz w:val="20"/>
                <w:szCs w:val="20"/>
              </w:rPr>
              <w:t>严格限制新建钢铁、燃煤燃油火电、石</w:t>
            </w:r>
            <w:r>
              <w:rPr>
                <w:sz w:val="20"/>
                <w:szCs w:val="20"/>
              </w:rPr>
              <w:t xml:space="preserve"> </w:t>
            </w:r>
            <w:r>
              <w:rPr>
                <w:spacing w:val="3"/>
                <w:sz w:val="20"/>
                <w:szCs w:val="20"/>
              </w:rPr>
              <w:t>化、储油库等项目，产生和排放有毒有</w:t>
            </w:r>
            <w:r>
              <w:rPr>
                <w:spacing w:val="13"/>
                <w:sz w:val="20"/>
                <w:szCs w:val="20"/>
              </w:rPr>
              <w:t xml:space="preserve"> </w:t>
            </w:r>
            <w:r>
              <w:rPr>
                <w:spacing w:val="3"/>
                <w:sz w:val="20"/>
                <w:szCs w:val="20"/>
              </w:rPr>
              <w:t>害大气污染物项目，以及生产和使用溶</w:t>
            </w:r>
            <w:r>
              <w:rPr>
                <w:spacing w:val="13"/>
                <w:sz w:val="20"/>
                <w:szCs w:val="20"/>
              </w:rPr>
              <w:t xml:space="preserve"> </w:t>
            </w:r>
            <w:r>
              <w:rPr>
                <w:spacing w:val="4"/>
                <w:sz w:val="20"/>
                <w:szCs w:val="20"/>
              </w:rPr>
              <w:t>剂型油墨、涂料、清洗剂、胶黏剂等高</w:t>
            </w:r>
            <w:r>
              <w:rPr>
                <w:sz w:val="20"/>
                <w:szCs w:val="20"/>
              </w:rPr>
              <w:t xml:space="preserve"> </w:t>
            </w:r>
            <w:r>
              <w:rPr>
                <w:spacing w:val="4"/>
                <w:sz w:val="20"/>
                <w:szCs w:val="20"/>
              </w:rPr>
              <w:t>挥发性有机物原辅材料的项目；鼓励现</w:t>
            </w:r>
            <w:r>
              <w:rPr>
                <w:sz w:val="20"/>
                <w:szCs w:val="20"/>
              </w:rPr>
              <w:t xml:space="preserve"> </w:t>
            </w:r>
            <w:r>
              <w:rPr>
                <w:spacing w:val="8"/>
                <w:sz w:val="20"/>
                <w:szCs w:val="20"/>
              </w:rPr>
              <w:t>有该类项目逐步搬迁退出。</w:t>
            </w:r>
          </w:p>
          <w:p w14:paraId="3EA19582">
            <w:pPr>
              <w:pStyle w:val="6"/>
              <w:spacing w:before="4" w:line="251" w:lineRule="auto"/>
              <w:ind w:left="57" w:right="55" w:firstLine="16"/>
              <w:rPr>
                <w:sz w:val="20"/>
                <w:szCs w:val="20"/>
              </w:rPr>
            </w:pPr>
            <w:r>
              <w:rPr>
                <w:rFonts w:ascii="Times New Roman" w:hAnsi="Times New Roman" w:eastAsia="Times New Roman" w:cs="Times New Roman"/>
                <w:spacing w:val="12"/>
                <w:sz w:val="20"/>
                <w:szCs w:val="20"/>
              </w:rPr>
              <w:t>1-11.</w:t>
            </w:r>
            <w:r>
              <w:rPr>
                <w:spacing w:val="12"/>
                <w:sz w:val="20"/>
                <w:szCs w:val="20"/>
              </w:rPr>
              <w:t>大气环境布局敏感重点管控区内</w:t>
            </w:r>
            <w:r>
              <w:rPr>
                <w:spacing w:val="2"/>
                <w:sz w:val="20"/>
                <w:szCs w:val="20"/>
              </w:rPr>
              <w:t xml:space="preserve"> </w:t>
            </w:r>
            <w:r>
              <w:rPr>
                <w:spacing w:val="16"/>
                <w:sz w:val="20"/>
                <w:szCs w:val="20"/>
              </w:rPr>
              <w:t>严格限制新建使用高挥发性有机物原</w:t>
            </w:r>
            <w:r>
              <w:rPr>
                <w:spacing w:val="7"/>
                <w:sz w:val="20"/>
                <w:szCs w:val="20"/>
              </w:rPr>
              <w:t xml:space="preserve"> </w:t>
            </w:r>
            <w:r>
              <w:rPr>
                <w:spacing w:val="3"/>
                <w:sz w:val="20"/>
                <w:szCs w:val="20"/>
              </w:rPr>
              <w:t>辅材料项目，大力推进低挥发性有机物</w:t>
            </w:r>
            <w:r>
              <w:rPr>
                <w:spacing w:val="15"/>
                <w:sz w:val="20"/>
                <w:szCs w:val="20"/>
              </w:rPr>
              <w:t xml:space="preserve"> </w:t>
            </w:r>
            <w:r>
              <w:rPr>
                <w:spacing w:val="3"/>
                <w:sz w:val="20"/>
                <w:szCs w:val="20"/>
              </w:rPr>
              <w:t>含量原辅材料替代，全面加强无组织排</w:t>
            </w:r>
            <w:r>
              <w:rPr>
                <w:spacing w:val="12"/>
                <w:sz w:val="20"/>
                <w:szCs w:val="20"/>
              </w:rPr>
              <w:t xml:space="preserve"> </w:t>
            </w:r>
            <w:r>
              <w:rPr>
                <w:spacing w:val="3"/>
                <w:sz w:val="20"/>
                <w:szCs w:val="20"/>
              </w:rPr>
              <w:t>放控制，实施挥发性有机物重点企业分</w:t>
            </w:r>
            <w:r>
              <w:rPr>
                <w:spacing w:val="15"/>
                <w:sz w:val="20"/>
                <w:szCs w:val="20"/>
              </w:rPr>
              <w:t xml:space="preserve"> </w:t>
            </w:r>
            <w:r>
              <w:rPr>
                <w:spacing w:val="3"/>
                <w:sz w:val="20"/>
                <w:szCs w:val="20"/>
              </w:rPr>
              <w:t>级管控；限制新建、扩建氮氧化物、烟</w:t>
            </w:r>
            <w:r>
              <w:rPr>
                <w:spacing w:val="15"/>
                <w:sz w:val="20"/>
                <w:szCs w:val="20"/>
              </w:rPr>
              <w:t xml:space="preserve"> </w:t>
            </w:r>
            <w:r>
              <w:rPr>
                <w:spacing w:val="8"/>
                <w:sz w:val="20"/>
                <w:szCs w:val="20"/>
              </w:rPr>
              <w:t>（粉）粉尘排放较高的建设项目。</w:t>
            </w:r>
          </w:p>
          <w:p w14:paraId="42D5AA9F">
            <w:pPr>
              <w:pStyle w:val="6"/>
              <w:spacing w:before="4" w:line="250" w:lineRule="auto"/>
              <w:ind w:left="56" w:right="55" w:firstLine="17"/>
              <w:rPr>
                <w:sz w:val="20"/>
                <w:szCs w:val="20"/>
              </w:rPr>
            </w:pPr>
            <w:r>
              <w:rPr>
                <w:rFonts w:ascii="Times New Roman" w:hAnsi="Times New Roman" w:eastAsia="Times New Roman" w:cs="Times New Roman"/>
                <w:spacing w:val="12"/>
                <w:sz w:val="20"/>
                <w:szCs w:val="20"/>
              </w:rPr>
              <w:t>1-12.</w:t>
            </w:r>
            <w:r>
              <w:rPr>
                <w:spacing w:val="12"/>
                <w:sz w:val="20"/>
                <w:szCs w:val="20"/>
              </w:rPr>
              <w:t>大气环境高排放重点管控区内强</w:t>
            </w:r>
            <w:r>
              <w:rPr>
                <w:spacing w:val="2"/>
                <w:sz w:val="20"/>
                <w:szCs w:val="20"/>
              </w:rPr>
              <w:t xml:space="preserve"> </w:t>
            </w:r>
            <w:r>
              <w:rPr>
                <w:spacing w:val="4"/>
                <w:sz w:val="20"/>
                <w:szCs w:val="20"/>
              </w:rPr>
              <w:t>化达标监管，引导工业项目落地集聚发</w:t>
            </w:r>
            <w:r>
              <w:rPr>
                <w:sz w:val="20"/>
                <w:szCs w:val="20"/>
              </w:rPr>
              <w:t xml:space="preserve"> </w:t>
            </w:r>
            <w:r>
              <w:rPr>
                <w:spacing w:val="16"/>
                <w:sz w:val="20"/>
                <w:szCs w:val="20"/>
              </w:rPr>
              <w:t>展，有序推进区域内行业企业提标改</w:t>
            </w:r>
            <w:r>
              <w:rPr>
                <w:spacing w:val="8"/>
                <w:sz w:val="20"/>
                <w:szCs w:val="20"/>
              </w:rPr>
              <w:t xml:space="preserve"> </w:t>
            </w:r>
            <w:r>
              <w:rPr>
                <w:sz w:val="20"/>
                <w:szCs w:val="20"/>
              </w:rPr>
              <w:t>造。</w:t>
            </w:r>
          </w:p>
          <w:p w14:paraId="5B331864">
            <w:pPr>
              <w:pStyle w:val="6"/>
              <w:spacing w:before="6" w:line="251" w:lineRule="auto"/>
              <w:ind w:left="56" w:firstLine="17"/>
              <w:rPr>
                <w:sz w:val="20"/>
                <w:szCs w:val="20"/>
              </w:rPr>
            </w:pPr>
            <w:r>
              <w:rPr>
                <w:rFonts w:ascii="Times New Roman" w:hAnsi="Times New Roman" w:eastAsia="Times New Roman" w:cs="Times New Roman"/>
                <w:spacing w:val="11"/>
                <w:sz w:val="20"/>
                <w:szCs w:val="20"/>
              </w:rPr>
              <w:t>1-13.</w:t>
            </w:r>
            <w:r>
              <w:rPr>
                <w:spacing w:val="11"/>
                <w:sz w:val="20"/>
                <w:szCs w:val="20"/>
              </w:rPr>
              <w:t>严格控制单元内建设用地污染风</w:t>
            </w:r>
            <w:r>
              <w:rPr>
                <w:spacing w:val="2"/>
                <w:sz w:val="20"/>
                <w:szCs w:val="20"/>
              </w:rPr>
              <w:t xml:space="preserve"> 险重点管控区（海丰县梅陇镇合泰电镀</w:t>
            </w:r>
            <w:r>
              <w:rPr>
                <w:spacing w:val="10"/>
                <w:sz w:val="20"/>
                <w:szCs w:val="20"/>
              </w:rPr>
              <w:t xml:space="preserve"> </w:t>
            </w:r>
            <w:r>
              <w:rPr>
                <w:spacing w:val="2"/>
                <w:sz w:val="20"/>
                <w:szCs w:val="20"/>
              </w:rPr>
              <w:t>厂有限公司地块、汕尾三峰环保发电有</w:t>
            </w:r>
            <w:r>
              <w:rPr>
                <w:spacing w:val="13"/>
                <w:sz w:val="20"/>
                <w:szCs w:val="20"/>
              </w:rPr>
              <w:t xml:space="preserve"> </w:t>
            </w:r>
            <w:r>
              <w:rPr>
                <w:spacing w:val="2"/>
                <w:sz w:val="20"/>
                <w:szCs w:val="20"/>
              </w:rPr>
              <w:t>限公司地块、汕尾市新大兴实业发展有</w:t>
            </w:r>
            <w:r>
              <w:rPr>
                <w:spacing w:val="13"/>
                <w:sz w:val="20"/>
                <w:szCs w:val="20"/>
              </w:rPr>
              <w:t xml:space="preserve"> </w:t>
            </w:r>
            <w:r>
              <w:rPr>
                <w:spacing w:val="2"/>
                <w:sz w:val="20"/>
                <w:szCs w:val="20"/>
              </w:rPr>
              <w:t>限公司地块、海丰县协祥盛染织有限公</w:t>
            </w:r>
            <w:r>
              <w:rPr>
                <w:spacing w:val="13"/>
                <w:sz w:val="20"/>
                <w:szCs w:val="20"/>
              </w:rPr>
              <w:t xml:space="preserve"> </w:t>
            </w:r>
            <w:r>
              <w:rPr>
                <w:spacing w:val="7"/>
                <w:sz w:val="20"/>
                <w:szCs w:val="20"/>
              </w:rPr>
              <w:t>司地块、海丰县银液垃圾填埋场地块）</w:t>
            </w:r>
            <w:r>
              <w:rPr>
                <w:spacing w:val="3"/>
                <w:sz w:val="20"/>
                <w:szCs w:val="20"/>
              </w:rPr>
              <w:t xml:space="preserve"> </w:t>
            </w:r>
            <w:r>
              <w:rPr>
                <w:spacing w:val="15"/>
                <w:sz w:val="20"/>
                <w:szCs w:val="20"/>
              </w:rPr>
              <w:t>及纳入广东省建设用地土壤环境联动</w:t>
            </w:r>
            <w:r>
              <w:rPr>
                <w:spacing w:val="4"/>
                <w:sz w:val="20"/>
                <w:szCs w:val="20"/>
              </w:rPr>
              <w:t xml:space="preserve"> </w:t>
            </w:r>
            <w:r>
              <w:rPr>
                <w:spacing w:val="8"/>
                <w:sz w:val="20"/>
                <w:szCs w:val="20"/>
              </w:rPr>
              <w:t>监管范围等相关地块的用途变更为</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8"/>
                <w:sz w:val="20"/>
                <w:szCs w:val="20"/>
              </w:rPr>
              <w:t xml:space="preserve"> </w:t>
            </w:r>
            <w:r>
              <w:rPr>
                <w:spacing w:val="8"/>
                <w:sz w:val="20"/>
                <w:szCs w:val="20"/>
              </w:rPr>
              <w:t>一</w:t>
            </w:r>
            <w:r>
              <w:rPr>
                <w:sz w:val="20"/>
                <w:szCs w:val="20"/>
              </w:rPr>
              <w:t xml:space="preserve"> </w:t>
            </w:r>
            <w:r>
              <w:rPr>
                <w:spacing w:val="9"/>
                <w:sz w:val="20"/>
                <w:szCs w:val="20"/>
              </w:rPr>
              <w:t>住两公</w:t>
            </w:r>
            <w:r>
              <w:rPr>
                <w:rFonts w:ascii="Times New Roman" w:hAnsi="Times New Roman" w:eastAsia="Times New Roman" w:cs="Times New Roman"/>
                <w:spacing w:val="9"/>
                <w:sz w:val="20"/>
                <w:szCs w:val="20"/>
              </w:rPr>
              <w:t>”</w:t>
            </w:r>
            <w:r>
              <w:rPr>
                <w:spacing w:val="9"/>
                <w:sz w:val="20"/>
                <w:szCs w:val="20"/>
              </w:rPr>
              <w:t>的再开发利用，未经调查评估</w:t>
            </w:r>
            <w:r>
              <w:rPr>
                <w:spacing w:val="5"/>
                <w:sz w:val="20"/>
                <w:szCs w:val="20"/>
              </w:rPr>
              <w:t xml:space="preserve"> </w:t>
            </w:r>
            <w:r>
              <w:rPr>
                <w:spacing w:val="15"/>
                <w:sz w:val="20"/>
                <w:szCs w:val="20"/>
              </w:rPr>
              <w:t>或治理修复达到土壤环境质量标准要</w:t>
            </w:r>
            <w:r>
              <w:rPr>
                <w:spacing w:val="4"/>
                <w:sz w:val="20"/>
                <w:szCs w:val="20"/>
              </w:rPr>
              <w:t xml:space="preserve"> </w:t>
            </w:r>
            <w:r>
              <w:rPr>
                <w:spacing w:val="2"/>
                <w:sz w:val="20"/>
                <w:szCs w:val="20"/>
              </w:rPr>
              <w:t>求，不得建设住宅、公共管理与公共服</w:t>
            </w:r>
            <w:r>
              <w:rPr>
                <w:spacing w:val="10"/>
                <w:sz w:val="20"/>
                <w:szCs w:val="20"/>
              </w:rPr>
              <w:t xml:space="preserve"> </w:t>
            </w:r>
            <w:r>
              <w:rPr>
                <w:spacing w:val="4"/>
                <w:sz w:val="20"/>
                <w:szCs w:val="20"/>
              </w:rPr>
              <w:t>务设施。</w:t>
            </w:r>
          </w:p>
          <w:p w14:paraId="766278B5">
            <w:pPr>
              <w:pStyle w:val="6"/>
              <w:spacing w:before="4" w:line="251" w:lineRule="auto"/>
              <w:ind w:left="56" w:right="55" w:firstLine="17"/>
              <w:rPr>
                <w:sz w:val="20"/>
                <w:szCs w:val="20"/>
              </w:rPr>
            </w:pPr>
            <w:r>
              <w:rPr>
                <w:rFonts w:ascii="Times New Roman" w:hAnsi="Times New Roman" w:eastAsia="Times New Roman" w:cs="Times New Roman"/>
                <w:spacing w:val="12"/>
                <w:sz w:val="20"/>
                <w:szCs w:val="20"/>
              </w:rPr>
              <w:t>1-14.</w:t>
            </w:r>
            <w:r>
              <w:rPr>
                <w:spacing w:val="12"/>
                <w:sz w:val="20"/>
                <w:szCs w:val="20"/>
              </w:rPr>
              <w:t>工业固体废物集中贮存、处置以</w:t>
            </w:r>
            <w:r>
              <w:rPr>
                <w:spacing w:val="2"/>
                <w:sz w:val="20"/>
                <w:szCs w:val="20"/>
              </w:rPr>
              <w:t xml:space="preserve"> </w:t>
            </w:r>
            <w:r>
              <w:rPr>
                <w:spacing w:val="4"/>
                <w:sz w:val="20"/>
                <w:szCs w:val="20"/>
              </w:rPr>
              <w:t>及生活垃圾卫生填埋、焚烧等设施、场</w:t>
            </w:r>
            <w:r>
              <w:rPr>
                <w:sz w:val="20"/>
                <w:szCs w:val="20"/>
              </w:rPr>
              <w:t xml:space="preserve"> </w:t>
            </w:r>
            <w:r>
              <w:rPr>
                <w:spacing w:val="3"/>
                <w:sz w:val="20"/>
                <w:szCs w:val="20"/>
              </w:rPr>
              <w:t>所，应当遵守国家和省相关环境保护标</w:t>
            </w:r>
            <w:r>
              <w:rPr>
                <w:spacing w:val="15"/>
                <w:sz w:val="20"/>
                <w:szCs w:val="20"/>
              </w:rPr>
              <w:t xml:space="preserve"> </w:t>
            </w:r>
            <w:r>
              <w:rPr>
                <w:spacing w:val="4"/>
                <w:sz w:val="20"/>
                <w:szCs w:val="20"/>
              </w:rPr>
              <w:t>准，其选址与学校、医院、集中居住区</w:t>
            </w:r>
            <w:r>
              <w:rPr>
                <w:sz w:val="20"/>
                <w:szCs w:val="20"/>
              </w:rPr>
              <w:t xml:space="preserve"> </w:t>
            </w:r>
            <w:r>
              <w:rPr>
                <w:spacing w:val="16"/>
                <w:sz w:val="20"/>
                <w:szCs w:val="20"/>
              </w:rPr>
              <w:t>等环境敏感目标应当保持足够防护距</w:t>
            </w:r>
            <w:r>
              <w:rPr>
                <w:spacing w:val="8"/>
                <w:sz w:val="20"/>
                <w:szCs w:val="20"/>
              </w:rPr>
              <w:t xml:space="preserve"> </w:t>
            </w:r>
            <w:r>
              <w:rPr>
                <w:spacing w:val="3"/>
                <w:sz w:val="20"/>
                <w:szCs w:val="20"/>
              </w:rPr>
              <w:t>离，防护距离应当符合经批准的环境影</w:t>
            </w:r>
            <w:r>
              <w:rPr>
                <w:spacing w:val="15"/>
                <w:sz w:val="20"/>
                <w:szCs w:val="20"/>
              </w:rPr>
              <w:t xml:space="preserve"> </w:t>
            </w:r>
            <w:r>
              <w:rPr>
                <w:spacing w:val="4"/>
                <w:sz w:val="20"/>
                <w:szCs w:val="20"/>
              </w:rPr>
              <w:t>响评价文件要求。已建固体废物集中收</w:t>
            </w:r>
            <w:r>
              <w:rPr>
                <w:sz w:val="20"/>
                <w:szCs w:val="20"/>
              </w:rPr>
              <w:t xml:space="preserve"> </w:t>
            </w:r>
            <w:r>
              <w:rPr>
                <w:spacing w:val="4"/>
                <w:sz w:val="20"/>
                <w:szCs w:val="20"/>
              </w:rPr>
              <w:t>集、贮存、利用、处置设施的防护距离</w:t>
            </w:r>
            <w:r>
              <w:rPr>
                <w:sz w:val="20"/>
                <w:szCs w:val="20"/>
              </w:rPr>
              <w:t xml:space="preserve"> </w:t>
            </w:r>
            <w:r>
              <w:rPr>
                <w:spacing w:val="4"/>
                <w:sz w:val="20"/>
                <w:szCs w:val="20"/>
              </w:rPr>
              <w:t>内，不得新建学校、医院、集中居住区</w:t>
            </w:r>
            <w:r>
              <w:rPr>
                <w:sz w:val="20"/>
                <w:szCs w:val="20"/>
              </w:rPr>
              <w:t xml:space="preserve"> </w:t>
            </w:r>
            <w:r>
              <w:rPr>
                <w:spacing w:val="7"/>
                <w:sz w:val="20"/>
                <w:szCs w:val="20"/>
              </w:rPr>
              <w:t>等环境敏感目标。</w:t>
            </w:r>
          </w:p>
          <w:p w14:paraId="5763A420">
            <w:pPr>
              <w:pStyle w:val="6"/>
              <w:spacing w:before="3" w:line="251" w:lineRule="auto"/>
              <w:ind w:left="56" w:firstLine="17"/>
              <w:rPr>
                <w:sz w:val="20"/>
                <w:szCs w:val="20"/>
              </w:rPr>
            </w:pPr>
            <w:r>
              <w:rPr>
                <w:rFonts w:ascii="Times New Roman" w:hAnsi="Times New Roman" w:eastAsia="Times New Roman" w:cs="Times New Roman"/>
                <w:spacing w:val="12"/>
                <w:sz w:val="20"/>
                <w:szCs w:val="20"/>
              </w:rPr>
              <w:t>1-15.</w:t>
            </w:r>
            <w:r>
              <w:rPr>
                <w:spacing w:val="12"/>
                <w:sz w:val="20"/>
                <w:szCs w:val="20"/>
              </w:rPr>
              <w:t>严禁以任何形式侵占河道、围垦</w:t>
            </w:r>
            <w:r>
              <w:rPr>
                <w:sz w:val="20"/>
                <w:szCs w:val="20"/>
              </w:rPr>
              <w:t xml:space="preserve"> </w:t>
            </w:r>
            <w:r>
              <w:rPr>
                <w:spacing w:val="3"/>
                <w:sz w:val="20"/>
                <w:szCs w:val="20"/>
              </w:rPr>
              <w:t>水库、非法采砂。河道管理单位组织营</w:t>
            </w:r>
            <w:r>
              <w:rPr>
                <w:spacing w:val="12"/>
                <w:sz w:val="20"/>
                <w:szCs w:val="20"/>
              </w:rPr>
              <w:t xml:space="preserve"> </w:t>
            </w:r>
            <w:r>
              <w:rPr>
                <w:spacing w:val="7"/>
                <w:sz w:val="20"/>
                <w:szCs w:val="20"/>
              </w:rPr>
              <w:t>造和管理竹仔坑水库、大液河、丽江、</w:t>
            </w:r>
            <w:r>
              <w:rPr>
                <w:spacing w:val="3"/>
                <w:sz w:val="20"/>
                <w:szCs w:val="20"/>
              </w:rPr>
              <w:t xml:space="preserve"> 黄江、东溪河等岸线护堤护岸林木，其</w:t>
            </w:r>
            <w:r>
              <w:rPr>
                <w:spacing w:val="12"/>
                <w:sz w:val="20"/>
                <w:szCs w:val="20"/>
              </w:rPr>
              <w:t xml:space="preserve"> </w:t>
            </w:r>
            <w:r>
              <w:rPr>
                <w:spacing w:val="3"/>
                <w:sz w:val="20"/>
                <w:szCs w:val="20"/>
              </w:rPr>
              <w:t>他任何单位和个人不得侵占、砍伐或者</w:t>
            </w:r>
            <w:r>
              <w:rPr>
                <w:spacing w:val="9"/>
                <w:sz w:val="20"/>
                <w:szCs w:val="20"/>
              </w:rPr>
              <w:t xml:space="preserve"> </w:t>
            </w:r>
            <w:r>
              <w:rPr>
                <w:spacing w:val="3"/>
                <w:sz w:val="20"/>
                <w:szCs w:val="20"/>
              </w:rPr>
              <w:t>破坏。</w:t>
            </w:r>
          </w:p>
          <w:p w14:paraId="30893472">
            <w:pPr>
              <w:pStyle w:val="6"/>
              <w:spacing w:before="1" w:line="242" w:lineRule="auto"/>
              <w:ind w:left="57" w:right="57" w:firstLine="16"/>
              <w:rPr>
                <w:sz w:val="20"/>
                <w:szCs w:val="20"/>
              </w:rPr>
            </w:pPr>
            <w:r>
              <w:rPr>
                <w:rFonts w:ascii="Times New Roman" w:hAnsi="Times New Roman" w:eastAsia="Times New Roman" w:cs="Times New Roman"/>
                <w:spacing w:val="12"/>
                <w:sz w:val="20"/>
                <w:szCs w:val="20"/>
              </w:rPr>
              <w:t>1-16.</w:t>
            </w:r>
            <w:r>
              <w:rPr>
                <w:spacing w:val="12"/>
                <w:sz w:val="20"/>
                <w:szCs w:val="20"/>
              </w:rPr>
              <w:t>严格控制跨库、穿库、临库建筑</w:t>
            </w:r>
            <w:r>
              <w:rPr>
                <w:spacing w:val="2"/>
                <w:sz w:val="20"/>
                <w:szCs w:val="20"/>
              </w:rPr>
              <w:t xml:space="preserve"> </w:t>
            </w:r>
            <w:r>
              <w:rPr>
                <w:spacing w:val="3"/>
                <w:sz w:val="20"/>
                <w:szCs w:val="20"/>
              </w:rPr>
              <w:t>物和设施建设，确需建设的重大项目和</w:t>
            </w:r>
          </w:p>
        </w:tc>
        <w:tc>
          <w:tcPr>
            <w:tcW w:w="2582" w:type="dxa"/>
            <w:tcBorders>
              <w:left w:val="single" w:color="000000" w:sz="2" w:space="0"/>
              <w:right w:val="single" w:color="000000" w:sz="2" w:space="0"/>
            </w:tcBorders>
            <w:vAlign w:val="top"/>
          </w:tcPr>
          <w:p w14:paraId="3FD74B9F">
            <w:pPr>
              <w:pStyle w:val="6"/>
              <w:spacing w:before="36" w:line="251" w:lineRule="auto"/>
              <w:ind w:left="67" w:right="49" w:firstLine="14"/>
              <w:rPr>
                <w:sz w:val="20"/>
                <w:szCs w:val="20"/>
              </w:rPr>
            </w:pPr>
            <w:r>
              <w:rPr>
                <w:rFonts w:ascii="Times New Roman" w:hAnsi="Times New Roman" w:eastAsia="Times New Roman" w:cs="Times New Roman"/>
                <w:spacing w:val="9"/>
                <w:sz w:val="20"/>
                <w:szCs w:val="20"/>
              </w:rPr>
              <w:t>1-12.</w:t>
            </w:r>
            <w:r>
              <w:rPr>
                <w:rFonts w:ascii="Times New Roman" w:hAnsi="Times New Roman" w:eastAsia="Times New Roman" w:cs="Times New Roman"/>
                <w:spacing w:val="-16"/>
                <w:sz w:val="20"/>
                <w:szCs w:val="20"/>
              </w:rPr>
              <w:t xml:space="preserve"> </w:t>
            </w:r>
            <w:r>
              <w:rPr>
                <w:spacing w:val="9"/>
                <w:sz w:val="20"/>
                <w:szCs w:val="20"/>
              </w:rPr>
              <w:t>项</w:t>
            </w:r>
            <w:r>
              <w:rPr>
                <w:spacing w:val="-35"/>
                <w:sz w:val="20"/>
                <w:szCs w:val="20"/>
              </w:rPr>
              <w:t xml:space="preserve"> </w:t>
            </w:r>
            <w:r>
              <w:rPr>
                <w:spacing w:val="9"/>
                <w:sz w:val="20"/>
                <w:szCs w:val="20"/>
              </w:rPr>
              <w:t>目选址位于海丰县</w:t>
            </w:r>
            <w:r>
              <w:rPr>
                <w:sz w:val="20"/>
                <w:szCs w:val="20"/>
              </w:rPr>
              <w:t xml:space="preserve"> </w:t>
            </w:r>
            <w:r>
              <w:rPr>
                <w:spacing w:val="4"/>
                <w:sz w:val="20"/>
                <w:szCs w:val="20"/>
              </w:rPr>
              <w:t>可塘镇，所在区域不部属于</w:t>
            </w:r>
            <w:r>
              <w:rPr>
                <w:spacing w:val="8"/>
                <w:sz w:val="20"/>
                <w:szCs w:val="20"/>
              </w:rPr>
              <w:t xml:space="preserve"> </w:t>
            </w:r>
            <w:r>
              <w:rPr>
                <w:spacing w:val="23"/>
                <w:sz w:val="20"/>
                <w:szCs w:val="20"/>
              </w:rPr>
              <w:t>大气环境高排放重点管控</w:t>
            </w:r>
            <w:r>
              <w:rPr>
                <w:spacing w:val="5"/>
                <w:sz w:val="20"/>
                <w:szCs w:val="20"/>
              </w:rPr>
              <w:t xml:space="preserve"> </w:t>
            </w:r>
            <w:r>
              <w:rPr>
                <w:spacing w:val="-1"/>
                <w:sz w:val="20"/>
                <w:szCs w:val="20"/>
              </w:rPr>
              <w:t>区。</w:t>
            </w:r>
          </w:p>
          <w:p w14:paraId="722FAB2F">
            <w:pPr>
              <w:pStyle w:val="6"/>
              <w:spacing w:before="3" w:line="251" w:lineRule="auto"/>
              <w:ind w:left="66" w:right="49" w:firstLine="15"/>
              <w:rPr>
                <w:sz w:val="20"/>
                <w:szCs w:val="20"/>
              </w:rPr>
            </w:pPr>
            <w:r>
              <w:rPr>
                <w:rFonts w:ascii="Times New Roman" w:hAnsi="Times New Roman" w:eastAsia="Times New Roman" w:cs="Times New Roman"/>
                <w:spacing w:val="9"/>
                <w:sz w:val="20"/>
                <w:szCs w:val="20"/>
              </w:rPr>
              <w:t>1-13.</w:t>
            </w:r>
            <w:r>
              <w:rPr>
                <w:rFonts w:ascii="Times New Roman" w:hAnsi="Times New Roman" w:eastAsia="Times New Roman" w:cs="Times New Roman"/>
                <w:spacing w:val="-13"/>
                <w:sz w:val="20"/>
                <w:szCs w:val="20"/>
              </w:rPr>
              <w:t xml:space="preserve"> </w:t>
            </w:r>
            <w:r>
              <w:rPr>
                <w:spacing w:val="9"/>
                <w:sz w:val="20"/>
                <w:szCs w:val="20"/>
              </w:rPr>
              <w:t>项</w:t>
            </w:r>
            <w:r>
              <w:rPr>
                <w:spacing w:val="-36"/>
                <w:sz w:val="20"/>
                <w:szCs w:val="20"/>
              </w:rPr>
              <w:t xml:space="preserve"> </w:t>
            </w:r>
            <w:r>
              <w:rPr>
                <w:spacing w:val="9"/>
                <w:sz w:val="20"/>
                <w:szCs w:val="20"/>
              </w:rPr>
              <w:t>目用地性质为工业</w:t>
            </w:r>
            <w:r>
              <w:rPr>
                <w:sz w:val="20"/>
                <w:szCs w:val="20"/>
              </w:rPr>
              <w:t xml:space="preserve"> </w:t>
            </w:r>
            <w:r>
              <w:rPr>
                <w:spacing w:val="4"/>
                <w:sz w:val="20"/>
                <w:szCs w:val="20"/>
              </w:rPr>
              <w:t>厂房用地，不涉及单元内建</w:t>
            </w:r>
            <w:r>
              <w:rPr>
                <w:spacing w:val="9"/>
                <w:sz w:val="20"/>
                <w:szCs w:val="20"/>
              </w:rPr>
              <w:t xml:space="preserve"> </w:t>
            </w:r>
            <w:r>
              <w:rPr>
                <w:spacing w:val="23"/>
                <w:sz w:val="20"/>
                <w:szCs w:val="20"/>
              </w:rPr>
              <w:t>设用地污染风险重点管控</w:t>
            </w:r>
            <w:r>
              <w:rPr>
                <w:spacing w:val="6"/>
                <w:sz w:val="20"/>
                <w:szCs w:val="20"/>
              </w:rPr>
              <w:t xml:space="preserve"> </w:t>
            </w:r>
            <w:r>
              <w:rPr>
                <w:spacing w:val="23"/>
                <w:sz w:val="20"/>
                <w:szCs w:val="20"/>
              </w:rPr>
              <w:t>区和纳入广东省建设用地</w:t>
            </w:r>
            <w:r>
              <w:rPr>
                <w:spacing w:val="6"/>
                <w:sz w:val="20"/>
                <w:szCs w:val="20"/>
              </w:rPr>
              <w:t xml:space="preserve"> </w:t>
            </w:r>
            <w:r>
              <w:rPr>
                <w:spacing w:val="8"/>
                <w:sz w:val="20"/>
                <w:szCs w:val="20"/>
              </w:rPr>
              <w:t>土壤环境联动监管范围。</w:t>
            </w:r>
          </w:p>
          <w:p w14:paraId="3820E8B1">
            <w:pPr>
              <w:pStyle w:val="6"/>
              <w:spacing w:before="1" w:line="251" w:lineRule="auto"/>
              <w:ind w:left="64" w:firstLine="17"/>
              <w:rPr>
                <w:sz w:val="20"/>
                <w:szCs w:val="20"/>
              </w:rPr>
            </w:pPr>
            <w:r>
              <w:rPr>
                <w:rFonts w:ascii="Times New Roman" w:hAnsi="Times New Roman" w:eastAsia="Times New Roman" w:cs="Times New Roman"/>
                <w:spacing w:val="9"/>
                <w:sz w:val="20"/>
                <w:szCs w:val="20"/>
              </w:rPr>
              <w:t>1-14.</w:t>
            </w:r>
            <w:r>
              <w:rPr>
                <w:rFonts w:ascii="Times New Roman" w:hAnsi="Times New Roman" w:eastAsia="Times New Roman" w:cs="Times New Roman"/>
                <w:spacing w:val="-22"/>
                <w:sz w:val="20"/>
                <w:szCs w:val="20"/>
              </w:rPr>
              <w:t xml:space="preserve"> </w:t>
            </w:r>
            <w:r>
              <w:rPr>
                <w:spacing w:val="9"/>
                <w:sz w:val="20"/>
                <w:szCs w:val="20"/>
              </w:rPr>
              <w:t>本项</w:t>
            </w:r>
            <w:r>
              <w:rPr>
                <w:spacing w:val="-36"/>
                <w:sz w:val="20"/>
                <w:szCs w:val="20"/>
              </w:rPr>
              <w:t xml:space="preserve"> </w:t>
            </w:r>
            <w:r>
              <w:rPr>
                <w:spacing w:val="9"/>
                <w:sz w:val="20"/>
                <w:szCs w:val="20"/>
              </w:rPr>
              <w:t>目主要从事宝石</w:t>
            </w:r>
            <w:r>
              <w:rPr>
                <w:sz w:val="20"/>
                <w:szCs w:val="20"/>
              </w:rPr>
              <w:t xml:space="preserve"> </w:t>
            </w:r>
            <w:r>
              <w:rPr>
                <w:spacing w:val="4"/>
                <w:sz w:val="20"/>
                <w:szCs w:val="20"/>
              </w:rPr>
              <w:t>加工，不涉及工业固体废物</w:t>
            </w:r>
            <w:r>
              <w:rPr>
                <w:spacing w:val="2"/>
                <w:sz w:val="20"/>
                <w:szCs w:val="20"/>
              </w:rPr>
              <w:t xml:space="preserve"> </w:t>
            </w:r>
            <w:r>
              <w:rPr>
                <w:spacing w:val="4"/>
                <w:sz w:val="20"/>
                <w:szCs w:val="20"/>
              </w:rPr>
              <w:t>集中贮存、处置以及生活垃</w:t>
            </w:r>
            <w:r>
              <w:rPr>
                <w:spacing w:val="2"/>
                <w:sz w:val="20"/>
                <w:szCs w:val="20"/>
              </w:rPr>
              <w:t xml:space="preserve"> </w:t>
            </w:r>
            <w:r>
              <w:rPr>
                <w:spacing w:val="9"/>
                <w:sz w:val="20"/>
                <w:szCs w:val="20"/>
              </w:rPr>
              <w:t>圾卫生填埋、焚烧等设施、</w:t>
            </w:r>
            <w:r>
              <w:rPr>
                <w:spacing w:val="3"/>
                <w:sz w:val="20"/>
                <w:szCs w:val="20"/>
              </w:rPr>
              <w:t xml:space="preserve"> </w:t>
            </w:r>
            <w:r>
              <w:rPr>
                <w:spacing w:val="4"/>
                <w:sz w:val="20"/>
                <w:szCs w:val="20"/>
              </w:rPr>
              <w:t>场所。</w:t>
            </w:r>
          </w:p>
          <w:p w14:paraId="642A0554">
            <w:pPr>
              <w:pStyle w:val="6"/>
              <w:spacing w:before="2" w:line="251" w:lineRule="auto"/>
              <w:ind w:left="64" w:right="49" w:firstLine="17"/>
              <w:rPr>
                <w:sz w:val="20"/>
                <w:szCs w:val="20"/>
              </w:rPr>
            </w:pPr>
            <w:r>
              <w:rPr>
                <w:rFonts w:ascii="Times New Roman" w:hAnsi="Times New Roman" w:eastAsia="Times New Roman" w:cs="Times New Roman"/>
                <w:spacing w:val="9"/>
                <w:sz w:val="20"/>
                <w:szCs w:val="20"/>
              </w:rPr>
              <w:t>1-15.</w:t>
            </w:r>
            <w:r>
              <w:rPr>
                <w:rFonts w:ascii="Times New Roman" w:hAnsi="Times New Roman" w:eastAsia="Times New Roman" w:cs="Times New Roman"/>
                <w:spacing w:val="-13"/>
                <w:sz w:val="20"/>
                <w:szCs w:val="20"/>
              </w:rPr>
              <w:t xml:space="preserve"> </w:t>
            </w:r>
            <w:r>
              <w:rPr>
                <w:spacing w:val="9"/>
                <w:sz w:val="20"/>
                <w:szCs w:val="20"/>
              </w:rPr>
              <w:t>项</w:t>
            </w:r>
            <w:r>
              <w:rPr>
                <w:spacing w:val="-36"/>
                <w:sz w:val="20"/>
                <w:szCs w:val="20"/>
              </w:rPr>
              <w:t xml:space="preserve"> </w:t>
            </w:r>
            <w:r>
              <w:rPr>
                <w:spacing w:val="9"/>
                <w:sz w:val="20"/>
                <w:szCs w:val="20"/>
              </w:rPr>
              <w:t>目建设用地位于可</w:t>
            </w:r>
            <w:r>
              <w:rPr>
                <w:sz w:val="20"/>
                <w:szCs w:val="20"/>
              </w:rPr>
              <w:t xml:space="preserve"> </w:t>
            </w:r>
            <w:r>
              <w:rPr>
                <w:spacing w:val="5"/>
                <w:sz w:val="20"/>
                <w:szCs w:val="20"/>
              </w:rPr>
              <w:t>塘镇圆山岭开发区，不侵占</w:t>
            </w:r>
            <w:r>
              <w:rPr>
                <w:sz w:val="20"/>
                <w:szCs w:val="20"/>
              </w:rPr>
              <w:t xml:space="preserve"> </w:t>
            </w:r>
            <w:r>
              <w:rPr>
                <w:spacing w:val="5"/>
                <w:sz w:val="20"/>
                <w:szCs w:val="20"/>
              </w:rPr>
              <w:t>河道、围垦水库，项目属于</w:t>
            </w:r>
            <w:r>
              <w:rPr>
                <w:sz w:val="20"/>
                <w:szCs w:val="20"/>
              </w:rPr>
              <w:t xml:space="preserve"> </w:t>
            </w:r>
            <w:r>
              <w:rPr>
                <w:spacing w:val="5"/>
                <w:sz w:val="20"/>
                <w:szCs w:val="20"/>
              </w:rPr>
              <w:t>珠宝首饰及有关物品制造，</w:t>
            </w:r>
            <w:r>
              <w:rPr>
                <w:spacing w:val="1"/>
                <w:sz w:val="20"/>
                <w:szCs w:val="20"/>
              </w:rPr>
              <w:t xml:space="preserve"> </w:t>
            </w:r>
            <w:r>
              <w:rPr>
                <w:spacing w:val="19"/>
                <w:sz w:val="20"/>
                <w:szCs w:val="20"/>
              </w:rPr>
              <w:t>不涉及非法采砂</w:t>
            </w:r>
            <w:r>
              <w:rPr>
                <w:spacing w:val="-50"/>
                <w:sz w:val="20"/>
                <w:szCs w:val="20"/>
              </w:rPr>
              <w:t xml:space="preserve"> </w:t>
            </w:r>
            <w:r>
              <w:rPr>
                <w:spacing w:val="19"/>
                <w:sz w:val="20"/>
                <w:szCs w:val="20"/>
              </w:rPr>
              <w:t>，不得侵</w:t>
            </w:r>
            <w:r>
              <w:rPr>
                <w:sz w:val="20"/>
                <w:szCs w:val="20"/>
              </w:rPr>
              <w:t xml:space="preserve"> </w:t>
            </w:r>
            <w:r>
              <w:rPr>
                <w:spacing w:val="23"/>
                <w:sz w:val="20"/>
                <w:szCs w:val="20"/>
              </w:rPr>
              <w:t>占、砍伐或者破坏任何河</w:t>
            </w:r>
            <w:r>
              <w:rPr>
                <w:spacing w:val="6"/>
                <w:sz w:val="20"/>
                <w:szCs w:val="20"/>
              </w:rPr>
              <w:t xml:space="preserve"> </w:t>
            </w:r>
            <w:r>
              <w:rPr>
                <w:spacing w:val="8"/>
                <w:sz w:val="20"/>
                <w:szCs w:val="20"/>
              </w:rPr>
              <w:t>道、水库的堤护岸林木。</w:t>
            </w:r>
          </w:p>
          <w:p w14:paraId="47F7C5C5">
            <w:pPr>
              <w:pStyle w:val="6"/>
              <w:spacing w:before="2" w:line="251" w:lineRule="auto"/>
              <w:ind w:left="66" w:right="49" w:firstLine="15"/>
              <w:rPr>
                <w:sz w:val="20"/>
                <w:szCs w:val="20"/>
              </w:rPr>
            </w:pPr>
            <w:r>
              <w:rPr>
                <w:rFonts w:ascii="Times New Roman" w:hAnsi="Times New Roman" w:eastAsia="Times New Roman" w:cs="Times New Roman"/>
                <w:spacing w:val="9"/>
                <w:sz w:val="20"/>
                <w:szCs w:val="20"/>
              </w:rPr>
              <w:t>1-16.</w:t>
            </w:r>
            <w:r>
              <w:rPr>
                <w:rFonts w:ascii="Times New Roman" w:hAnsi="Times New Roman" w:eastAsia="Times New Roman" w:cs="Times New Roman"/>
                <w:spacing w:val="-13"/>
                <w:sz w:val="20"/>
                <w:szCs w:val="20"/>
              </w:rPr>
              <w:t xml:space="preserve"> </w:t>
            </w:r>
            <w:r>
              <w:rPr>
                <w:spacing w:val="9"/>
                <w:sz w:val="20"/>
                <w:szCs w:val="20"/>
              </w:rPr>
              <w:t>项</w:t>
            </w:r>
            <w:r>
              <w:rPr>
                <w:spacing w:val="-36"/>
                <w:sz w:val="20"/>
                <w:szCs w:val="20"/>
              </w:rPr>
              <w:t xml:space="preserve"> </w:t>
            </w:r>
            <w:r>
              <w:rPr>
                <w:spacing w:val="9"/>
                <w:sz w:val="20"/>
                <w:szCs w:val="20"/>
              </w:rPr>
              <w:t>目位于可塘镇圆山</w:t>
            </w:r>
            <w:r>
              <w:rPr>
                <w:sz w:val="20"/>
                <w:szCs w:val="20"/>
              </w:rPr>
              <w:t xml:space="preserve"> </w:t>
            </w:r>
            <w:r>
              <w:rPr>
                <w:spacing w:val="5"/>
                <w:sz w:val="20"/>
                <w:szCs w:val="20"/>
              </w:rPr>
              <w:t>岭开发区，不涉及跨库、穿</w:t>
            </w:r>
            <w:r>
              <w:rPr>
                <w:sz w:val="20"/>
                <w:szCs w:val="20"/>
              </w:rPr>
              <w:t xml:space="preserve"> </w:t>
            </w:r>
            <w:r>
              <w:rPr>
                <w:spacing w:val="19"/>
                <w:sz w:val="20"/>
                <w:szCs w:val="20"/>
              </w:rPr>
              <w:t>库、</w:t>
            </w:r>
            <w:r>
              <w:rPr>
                <w:spacing w:val="-50"/>
                <w:sz w:val="20"/>
                <w:szCs w:val="20"/>
              </w:rPr>
              <w:t xml:space="preserve"> </w:t>
            </w:r>
            <w:r>
              <w:rPr>
                <w:spacing w:val="19"/>
                <w:sz w:val="20"/>
                <w:szCs w:val="20"/>
              </w:rPr>
              <w:t>临库建筑物和设施建</w:t>
            </w:r>
            <w:r>
              <w:rPr>
                <w:sz w:val="20"/>
                <w:szCs w:val="20"/>
              </w:rPr>
              <w:t xml:space="preserve"> </w:t>
            </w:r>
            <w:r>
              <w:rPr>
                <w:spacing w:val="4"/>
                <w:sz w:val="20"/>
                <w:szCs w:val="20"/>
              </w:rPr>
              <w:t>设。项目属于珠宝首饰及有</w:t>
            </w:r>
            <w:r>
              <w:rPr>
                <w:spacing w:val="9"/>
                <w:sz w:val="20"/>
                <w:szCs w:val="20"/>
              </w:rPr>
              <w:t xml:space="preserve"> </w:t>
            </w:r>
            <w:r>
              <w:rPr>
                <w:spacing w:val="5"/>
                <w:sz w:val="20"/>
                <w:szCs w:val="20"/>
              </w:rPr>
              <w:t>关物品制造，不属于围网养</w:t>
            </w:r>
            <w:r>
              <w:rPr>
                <w:sz w:val="20"/>
                <w:szCs w:val="20"/>
              </w:rPr>
              <w:t xml:space="preserve"> 殖。</w:t>
            </w:r>
          </w:p>
          <w:p w14:paraId="58586A00">
            <w:pPr>
              <w:pStyle w:val="6"/>
              <w:spacing w:before="2" w:line="252" w:lineRule="auto"/>
              <w:ind w:left="70" w:right="49" w:firstLine="11"/>
              <w:rPr>
                <w:sz w:val="20"/>
                <w:szCs w:val="20"/>
              </w:rPr>
            </w:pPr>
            <w:r>
              <w:rPr>
                <w:rFonts w:ascii="Times New Roman" w:hAnsi="Times New Roman" w:eastAsia="Times New Roman" w:cs="Times New Roman"/>
                <w:spacing w:val="9"/>
                <w:sz w:val="20"/>
                <w:szCs w:val="20"/>
              </w:rPr>
              <w:t>1-17.</w:t>
            </w:r>
            <w:r>
              <w:rPr>
                <w:rFonts w:ascii="Times New Roman" w:hAnsi="Times New Roman" w:eastAsia="Times New Roman" w:cs="Times New Roman"/>
                <w:spacing w:val="-13"/>
                <w:sz w:val="20"/>
                <w:szCs w:val="20"/>
              </w:rPr>
              <w:t xml:space="preserve"> </w:t>
            </w:r>
            <w:r>
              <w:rPr>
                <w:spacing w:val="9"/>
                <w:sz w:val="20"/>
                <w:szCs w:val="20"/>
              </w:rPr>
              <w:t>项</w:t>
            </w:r>
            <w:r>
              <w:rPr>
                <w:spacing w:val="-36"/>
                <w:sz w:val="20"/>
                <w:szCs w:val="20"/>
              </w:rPr>
              <w:t xml:space="preserve"> </w:t>
            </w:r>
            <w:r>
              <w:rPr>
                <w:spacing w:val="9"/>
                <w:sz w:val="20"/>
                <w:szCs w:val="20"/>
              </w:rPr>
              <w:t>目位于可塘镇圆山</w:t>
            </w:r>
            <w:r>
              <w:rPr>
                <w:sz w:val="20"/>
                <w:szCs w:val="20"/>
              </w:rPr>
              <w:t xml:space="preserve"> </w:t>
            </w:r>
            <w:r>
              <w:rPr>
                <w:spacing w:val="4"/>
                <w:sz w:val="20"/>
                <w:szCs w:val="20"/>
              </w:rPr>
              <w:t>岭开发区，不属于河道管理</w:t>
            </w:r>
            <w:r>
              <w:rPr>
                <w:spacing w:val="5"/>
                <w:sz w:val="20"/>
                <w:szCs w:val="20"/>
              </w:rPr>
              <w:t xml:space="preserve"> </w:t>
            </w:r>
            <w:r>
              <w:rPr>
                <w:spacing w:val="3"/>
                <w:sz w:val="20"/>
                <w:szCs w:val="20"/>
              </w:rPr>
              <w:t>范围内。</w:t>
            </w:r>
          </w:p>
        </w:tc>
        <w:tc>
          <w:tcPr>
            <w:tcW w:w="658" w:type="dxa"/>
            <w:tcBorders>
              <w:left w:val="single" w:color="000000" w:sz="2" w:space="0"/>
              <w:right w:val="single" w:color="000000" w:sz="2" w:space="0"/>
            </w:tcBorders>
            <w:vAlign w:val="top"/>
          </w:tcPr>
          <w:p w14:paraId="326AA602">
            <w:pPr>
              <w:rPr>
                <w:rFonts w:ascii="Arial"/>
                <w:sz w:val="21"/>
              </w:rPr>
            </w:pPr>
          </w:p>
        </w:tc>
        <w:tc>
          <w:tcPr>
            <w:tcW w:w="185" w:type="dxa"/>
            <w:tcBorders>
              <w:left w:val="single" w:color="000000" w:sz="2" w:space="0"/>
            </w:tcBorders>
            <w:vAlign w:val="top"/>
          </w:tcPr>
          <w:p w14:paraId="57F30F3E">
            <w:pPr>
              <w:rPr>
                <w:rFonts w:ascii="Arial"/>
                <w:sz w:val="21"/>
              </w:rPr>
            </w:pPr>
          </w:p>
        </w:tc>
      </w:tr>
    </w:tbl>
    <w:p w14:paraId="18DE9C19">
      <w:pPr>
        <w:rPr>
          <w:rFonts w:ascii="Arial"/>
          <w:sz w:val="21"/>
        </w:rPr>
      </w:pPr>
    </w:p>
    <w:p w14:paraId="12995E94">
      <w:pPr>
        <w:rPr>
          <w:rFonts w:ascii="Arial" w:hAnsi="Arial" w:eastAsia="Arial" w:cs="Arial"/>
          <w:sz w:val="21"/>
          <w:szCs w:val="21"/>
        </w:rPr>
        <w:sectPr>
          <w:footerReference r:id="rId14" w:type="default"/>
          <w:pgSz w:w="11906" w:h="16839"/>
          <w:pgMar w:top="400" w:right="1508" w:bottom="1237" w:left="1508" w:header="0" w:footer="1078" w:gutter="0"/>
          <w:cols w:space="720" w:num="1"/>
        </w:sectPr>
      </w:pPr>
    </w:p>
    <w:p w14:paraId="5564F5D7">
      <w:pPr>
        <w:spacing w:before="19"/>
      </w:pPr>
    </w:p>
    <w:p w14:paraId="7D3C2BDF">
      <w:pPr>
        <w:spacing w:before="19"/>
      </w:pPr>
    </w:p>
    <w:p w14:paraId="5800875B">
      <w:pPr>
        <w:spacing w:before="19"/>
      </w:pPr>
    </w:p>
    <w:p w14:paraId="1922801D">
      <w:pPr>
        <w:spacing w:before="18"/>
      </w:pPr>
    </w:p>
    <w:p w14:paraId="771CF00D">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75"/>
        <w:gridCol w:w="521"/>
        <w:gridCol w:w="699"/>
        <w:gridCol w:w="3585"/>
        <w:gridCol w:w="2582"/>
        <w:gridCol w:w="658"/>
        <w:gridCol w:w="185"/>
      </w:tblGrid>
      <w:tr w14:paraId="52E91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4" w:hRule="atLeast"/>
        </w:trPr>
        <w:tc>
          <w:tcPr>
            <w:tcW w:w="469" w:type="dxa"/>
            <w:vMerge w:val="restart"/>
            <w:tcBorders>
              <w:top w:val="single" w:color="000000" w:sz="6" w:space="0"/>
              <w:left w:val="single" w:color="000000" w:sz="6" w:space="0"/>
              <w:bottom w:val="nil"/>
            </w:tcBorders>
            <w:vAlign w:val="top"/>
          </w:tcPr>
          <w:p w14:paraId="1EDE6EED">
            <w:pPr>
              <w:rPr>
                <w:rFonts w:ascii="Arial"/>
                <w:sz w:val="21"/>
              </w:rPr>
            </w:pPr>
          </w:p>
        </w:tc>
        <w:tc>
          <w:tcPr>
            <w:tcW w:w="175" w:type="dxa"/>
            <w:vMerge w:val="restart"/>
            <w:tcBorders>
              <w:top w:val="single" w:color="000000" w:sz="6" w:space="0"/>
              <w:bottom w:val="nil"/>
            </w:tcBorders>
            <w:vAlign w:val="top"/>
          </w:tcPr>
          <w:p w14:paraId="0280DAE3">
            <w:pPr>
              <w:rPr>
                <w:rFonts w:ascii="Arial"/>
                <w:sz w:val="21"/>
              </w:rPr>
            </w:pPr>
          </w:p>
        </w:tc>
        <w:tc>
          <w:tcPr>
            <w:tcW w:w="521" w:type="dxa"/>
            <w:vMerge w:val="restart"/>
            <w:tcBorders>
              <w:top w:val="single" w:color="000000" w:sz="6" w:space="0"/>
              <w:bottom w:val="nil"/>
            </w:tcBorders>
            <w:vAlign w:val="top"/>
          </w:tcPr>
          <w:p w14:paraId="0FD54970">
            <w:pPr>
              <w:rPr>
                <w:rFonts w:ascii="Arial"/>
                <w:sz w:val="21"/>
              </w:rPr>
            </w:pPr>
          </w:p>
        </w:tc>
        <w:tc>
          <w:tcPr>
            <w:tcW w:w="699" w:type="dxa"/>
            <w:tcBorders>
              <w:top w:val="single" w:color="000000" w:sz="6" w:space="0"/>
            </w:tcBorders>
            <w:vAlign w:val="top"/>
          </w:tcPr>
          <w:p w14:paraId="7F4F9725">
            <w:pPr>
              <w:rPr>
                <w:rFonts w:ascii="Arial"/>
                <w:sz w:val="21"/>
              </w:rPr>
            </w:pPr>
          </w:p>
        </w:tc>
        <w:tc>
          <w:tcPr>
            <w:tcW w:w="3585" w:type="dxa"/>
            <w:tcBorders>
              <w:top w:val="single" w:color="000000" w:sz="6" w:space="0"/>
            </w:tcBorders>
            <w:vAlign w:val="top"/>
          </w:tcPr>
          <w:p w14:paraId="7F707F64">
            <w:pPr>
              <w:pStyle w:val="6"/>
              <w:spacing w:before="36" w:line="251" w:lineRule="auto"/>
              <w:ind w:left="57" w:right="57" w:firstLine="20"/>
              <w:jc w:val="both"/>
              <w:rPr>
                <w:sz w:val="20"/>
                <w:szCs w:val="20"/>
              </w:rPr>
            </w:pPr>
            <w:r>
              <w:rPr>
                <w:spacing w:val="2"/>
                <w:sz w:val="20"/>
                <w:szCs w:val="20"/>
              </w:rPr>
              <w:t>民生工程，要优化工程建设方案，采取</w:t>
            </w:r>
            <w:r>
              <w:rPr>
                <w:spacing w:val="9"/>
                <w:sz w:val="20"/>
                <w:szCs w:val="20"/>
              </w:rPr>
              <w:t xml:space="preserve"> </w:t>
            </w:r>
            <w:r>
              <w:rPr>
                <w:spacing w:val="3"/>
                <w:sz w:val="20"/>
                <w:szCs w:val="20"/>
              </w:rPr>
              <w:t>科学合理的恢复和补救措施，最大限度</w:t>
            </w:r>
            <w:r>
              <w:rPr>
                <w:spacing w:val="12"/>
                <w:sz w:val="20"/>
                <w:szCs w:val="20"/>
              </w:rPr>
              <w:t xml:space="preserve"> </w:t>
            </w:r>
            <w:r>
              <w:rPr>
                <w:spacing w:val="3"/>
                <w:sz w:val="20"/>
                <w:szCs w:val="20"/>
              </w:rPr>
              <w:t>减少对水库的不利影响。严格管控库区</w:t>
            </w:r>
            <w:r>
              <w:rPr>
                <w:spacing w:val="12"/>
                <w:sz w:val="20"/>
                <w:szCs w:val="20"/>
              </w:rPr>
              <w:t xml:space="preserve"> </w:t>
            </w:r>
            <w:r>
              <w:rPr>
                <w:spacing w:val="7"/>
                <w:sz w:val="20"/>
                <w:szCs w:val="20"/>
              </w:rPr>
              <w:t>围网养殖等活动。</w:t>
            </w:r>
          </w:p>
          <w:p w14:paraId="034FB305">
            <w:pPr>
              <w:pStyle w:val="6"/>
              <w:spacing w:before="6" w:line="251" w:lineRule="auto"/>
              <w:ind w:left="57" w:firstLine="16"/>
              <w:jc w:val="both"/>
              <w:rPr>
                <w:sz w:val="20"/>
                <w:szCs w:val="20"/>
              </w:rPr>
            </w:pPr>
            <w:r>
              <w:rPr>
                <w:rFonts w:ascii="Times New Roman" w:hAnsi="Times New Roman" w:eastAsia="Times New Roman" w:cs="Times New Roman"/>
                <w:spacing w:val="12"/>
                <w:sz w:val="20"/>
                <w:szCs w:val="20"/>
              </w:rPr>
              <w:t>1-17.</w:t>
            </w:r>
            <w:r>
              <w:rPr>
                <w:spacing w:val="12"/>
                <w:sz w:val="20"/>
                <w:szCs w:val="20"/>
              </w:rPr>
              <w:t>河道管理范围内应当严格限制建</w:t>
            </w:r>
            <w:r>
              <w:rPr>
                <w:sz w:val="20"/>
                <w:szCs w:val="20"/>
              </w:rPr>
              <w:t xml:space="preserve"> </w:t>
            </w:r>
            <w:r>
              <w:rPr>
                <w:spacing w:val="3"/>
                <w:sz w:val="20"/>
                <w:szCs w:val="20"/>
              </w:rPr>
              <w:t>设项目和生产经营活动，禁止非法占用</w:t>
            </w:r>
            <w:r>
              <w:rPr>
                <w:spacing w:val="9"/>
                <w:sz w:val="20"/>
                <w:szCs w:val="20"/>
              </w:rPr>
              <w:t xml:space="preserve"> </w:t>
            </w:r>
            <w:r>
              <w:rPr>
                <w:spacing w:val="7"/>
                <w:sz w:val="20"/>
                <w:szCs w:val="20"/>
              </w:rPr>
              <w:t>水利设施和水域。利用河道进行灌溉、</w:t>
            </w:r>
            <w:r>
              <w:rPr>
                <w:spacing w:val="2"/>
                <w:sz w:val="20"/>
                <w:szCs w:val="20"/>
              </w:rPr>
              <w:t xml:space="preserve"> </w:t>
            </w:r>
            <w:r>
              <w:rPr>
                <w:spacing w:val="3"/>
                <w:sz w:val="20"/>
                <w:szCs w:val="20"/>
              </w:rPr>
              <w:t>航运、供水、水力发电、渔业养殖等活</w:t>
            </w:r>
            <w:r>
              <w:rPr>
                <w:spacing w:val="9"/>
                <w:sz w:val="20"/>
                <w:szCs w:val="20"/>
              </w:rPr>
              <w:t xml:space="preserve"> </w:t>
            </w:r>
            <w:r>
              <w:rPr>
                <w:spacing w:val="3"/>
                <w:sz w:val="20"/>
                <w:szCs w:val="20"/>
              </w:rPr>
              <w:t>动，应当符合河道整治规划、河道岸线</w:t>
            </w:r>
            <w:r>
              <w:rPr>
                <w:spacing w:val="9"/>
                <w:sz w:val="20"/>
                <w:szCs w:val="20"/>
              </w:rPr>
              <w:t xml:space="preserve"> </w:t>
            </w:r>
            <w:r>
              <w:rPr>
                <w:spacing w:val="3"/>
                <w:sz w:val="20"/>
                <w:szCs w:val="20"/>
              </w:rPr>
              <w:t>保护和开发利用规划、水功能区保护要</w:t>
            </w:r>
            <w:r>
              <w:rPr>
                <w:spacing w:val="11"/>
                <w:sz w:val="20"/>
                <w:szCs w:val="20"/>
              </w:rPr>
              <w:t xml:space="preserve"> </w:t>
            </w:r>
            <w:r>
              <w:rPr>
                <w:spacing w:val="3"/>
                <w:sz w:val="20"/>
                <w:szCs w:val="20"/>
              </w:rPr>
              <w:t>求，统筹兼顾，合理利用，发挥河道的</w:t>
            </w:r>
            <w:r>
              <w:rPr>
                <w:spacing w:val="11"/>
                <w:sz w:val="20"/>
                <w:szCs w:val="20"/>
              </w:rPr>
              <w:t xml:space="preserve"> </w:t>
            </w:r>
            <w:r>
              <w:rPr>
                <w:spacing w:val="5"/>
                <w:sz w:val="20"/>
                <w:szCs w:val="20"/>
              </w:rPr>
              <w:t>综合效益。</w:t>
            </w:r>
          </w:p>
        </w:tc>
        <w:tc>
          <w:tcPr>
            <w:tcW w:w="2582" w:type="dxa"/>
            <w:tcBorders>
              <w:top w:val="single" w:color="000000" w:sz="6" w:space="0"/>
            </w:tcBorders>
            <w:vAlign w:val="top"/>
          </w:tcPr>
          <w:p w14:paraId="1BA517B1">
            <w:pPr>
              <w:rPr>
                <w:rFonts w:ascii="Arial"/>
                <w:sz w:val="21"/>
              </w:rPr>
            </w:pPr>
          </w:p>
        </w:tc>
        <w:tc>
          <w:tcPr>
            <w:tcW w:w="658" w:type="dxa"/>
            <w:tcBorders>
              <w:top w:val="single" w:color="000000" w:sz="6" w:space="0"/>
            </w:tcBorders>
            <w:vAlign w:val="top"/>
          </w:tcPr>
          <w:p w14:paraId="54F19F2E">
            <w:pPr>
              <w:rPr>
                <w:rFonts w:ascii="Arial"/>
                <w:sz w:val="21"/>
              </w:rPr>
            </w:pPr>
          </w:p>
        </w:tc>
        <w:tc>
          <w:tcPr>
            <w:tcW w:w="185" w:type="dxa"/>
            <w:vMerge w:val="restart"/>
            <w:tcBorders>
              <w:top w:val="single" w:color="000000" w:sz="6" w:space="0"/>
              <w:bottom w:val="nil"/>
              <w:right w:val="single" w:color="000000" w:sz="6" w:space="0"/>
            </w:tcBorders>
            <w:vAlign w:val="top"/>
          </w:tcPr>
          <w:p w14:paraId="6BDF6F6E">
            <w:pPr>
              <w:rPr>
                <w:rFonts w:ascii="Arial"/>
                <w:sz w:val="21"/>
              </w:rPr>
            </w:pPr>
          </w:p>
        </w:tc>
      </w:tr>
      <w:tr w14:paraId="2D019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6" w:hRule="atLeast"/>
        </w:trPr>
        <w:tc>
          <w:tcPr>
            <w:tcW w:w="469" w:type="dxa"/>
            <w:vMerge w:val="continue"/>
            <w:tcBorders>
              <w:top w:val="nil"/>
              <w:left w:val="single" w:color="000000" w:sz="6" w:space="0"/>
              <w:bottom w:val="nil"/>
            </w:tcBorders>
            <w:vAlign w:val="top"/>
          </w:tcPr>
          <w:p w14:paraId="642196F8">
            <w:pPr>
              <w:rPr>
                <w:rFonts w:ascii="Arial"/>
                <w:sz w:val="21"/>
              </w:rPr>
            </w:pPr>
          </w:p>
        </w:tc>
        <w:tc>
          <w:tcPr>
            <w:tcW w:w="175" w:type="dxa"/>
            <w:vMerge w:val="continue"/>
            <w:tcBorders>
              <w:top w:val="nil"/>
              <w:bottom w:val="nil"/>
            </w:tcBorders>
            <w:vAlign w:val="top"/>
          </w:tcPr>
          <w:p w14:paraId="0D128967">
            <w:pPr>
              <w:rPr>
                <w:rFonts w:ascii="Arial"/>
                <w:sz w:val="21"/>
              </w:rPr>
            </w:pPr>
          </w:p>
        </w:tc>
        <w:tc>
          <w:tcPr>
            <w:tcW w:w="521" w:type="dxa"/>
            <w:vMerge w:val="continue"/>
            <w:tcBorders>
              <w:top w:val="nil"/>
              <w:bottom w:val="nil"/>
            </w:tcBorders>
            <w:vAlign w:val="top"/>
          </w:tcPr>
          <w:p w14:paraId="767B5794">
            <w:pPr>
              <w:rPr>
                <w:rFonts w:ascii="Arial"/>
                <w:sz w:val="21"/>
              </w:rPr>
            </w:pPr>
          </w:p>
        </w:tc>
        <w:tc>
          <w:tcPr>
            <w:tcW w:w="699" w:type="dxa"/>
            <w:vAlign w:val="top"/>
          </w:tcPr>
          <w:p w14:paraId="6C0332CA">
            <w:pPr>
              <w:spacing w:line="250" w:lineRule="auto"/>
              <w:rPr>
                <w:rFonts w:ascii="Arial"/>
                <w:sz w:val="21"/>
              </w:rPr>
            </w:pPr>
          </w:p>
          <w:p w14:paraId="739CAD58">
            <w:pPr>
              <w:spacing w:line="250" w:lineRule="auto"/>
              <w:rPr>
                <w:rFonts w:ascii="Arial"/>
                <w:sz w:val="21"/>
              </w:rPr>
            </w:pPr>
          </w:p>
          <w:p w14:paraId="5A7099E7">
            <w:pPr>
              <w:spacing w:line="250" w:lineRule="auto"/>
              <w:rPr>
                <w:rFonts w:ascii="Arial"/>
                <w:sz w:val="21"/>
              </w:rPr>
            </w:pPr>
          </w:p>
          <w:p w14:paraId="04E01F27">
            <w:pPr>
              <w:spacing w:line="250" w:lineRule="auto"/>
              <w:rPr>
                <w:rFonts w:ascii="Arial"/>
                <w:sz w:val="21"/>
              </w:rPr>
            </w:pPr>
          </w:p>
          <w:p w14:paraId="0FD53783">
            <w:pPr>
              <w:spacing w:line="250" w:lineRule="auto"/>
              <w:rPr>
                <w:rFonts w:ascii="Arial"/>
                <w:sz w:val="21"/>
              </w:rPr>
            </w:pPr>
          </w:p>
          <w:p w14:paraId="5E027FEB">
            <w:pPr>
              <w:spacing w:line="250" w:lineRule="auto"/>
              <w:rPr>
                <w:rFonts w:ascii="Arial"/>
                <w:sz w:val="21"/>
              </w:rPr>
            </w:pPr>
          </w:p>
          <w:p w14:paraId="04A5F2C8">
            <w:pPr>
              <w:spacing w:line="250" w:lineRule="auto"/>
              <w:rPr>
                <w:rFonts w:ascii="Arial"/>
                <w:sz w:val="21"/>
              </w:rPr>
            </w:pPr>
          </w:p>
          <w:p w14:paraId="47E6FF06">
            <w:pPr>
              <w:spacing w:line="250" w:lineRule="auto"/>
              <w:rPr>
                <w:rFonts w:ascii="Arial"/>
                <w:sz w:val="21"/>
              </w:rPr>
            </w:pPr>
          </w:p>
          <w:p w14:paraId="122F7477">
            <w:pPr>
              <w:spacing w:line="251" w:lineRule="auto"/>
              <w:rPr>
                <w:rFonts w:ascii="Arial"/>
                <w:sz w:val="21"/>
              </w:rPr>
            </w:pPr>
          </w:p>
          <w:p w14:paraId="448D3236">
            <w:pPr>
              <w:spacing w:line="251" w:lineRule="auto"/>
              <w:rPr>
                <w:rFonts w:ascii="Arial"/>
                <w:sz w:val="21"/>
              </w:rPr>
            </w:pPr>
          </w:p>
          <w:p w14:paraId="4FFF99FD">
            <w:pPr>
              <w:spacing w:line="251" w:lineRule="auto"/>
              <w:rPr>
                <w:rFonts w:ascii="Arial"/>
                <w:sz w:val="21"/>
              </w:rPr>
            </w:pPr>
          </w:p>
          <w:p w14:paraId="3AF5EE3F">
            <w:pPr>
              <w:pStyle w:val="6"/>
              <w:spacing w:before="65" w:line="229" w:lineRule="auto"/>
              <w:ind w:left="37"/>
              <w:rPr>
                <w:sz w:val="20"/>
                <w:szCs w:val="20"/>
              </w:rPr>
            </w:pPr>
            <w:r>
              <w:rPr>
                <w:spacing w:val="6"/>
                <w:sz w:val="20"/>
                <w:szCs w:val="20"/>
              </w:rPr>
              <w:t>能源资</w:t>
            </w:r>
          </w:p>
          <w:p w14:paraId="4AAF765F">
            <w:pPr>
              <w:pStyle w:val="6"/>
              <w:spacing w:before="22" w:line="254" w:lineRule="auto"/>
              <w:ind w:left="139" w:right="36" w:hanging="111"/>
              <w:rPr>
                <w:sz w:val="20"/>
                <w:szCs w:val="20"/>
              </w:rPr>
            </w:pPr>
            <w:r>
              <w:rPr>
                <w:spacing w:val="9"/>
                <w:sz w:val="20"/>
                <w:szCs w:val="20"/>
              </w:rPr>
              <w:t>源利用</w:t>
            </w:r>
            <w:r>
              <w:rPr>
                <w:sz w:val="20"/>
                <w:szCs w:val="20"/>
              </w:rPr>
              <w:t xml:space="preserve"> </w:t>
            </w:r>
            <w:r>
              <w:rPr>
                <w:spacing w:val="4"/>
                <w:sz w:val="20"/>
                <w:szCs w:val="20"/>
              </w:rPr>
              <w:t>管控</w:t>
            </w:r>
          </w:p>
        </w:tc>
        <w:tc>
          <w:tcPr>
            <w:tcW w:w="3585" w:type="dxa"/>
            <w:vAlign w:val="top"/>
          </w:tcPr>
          <w:p w14:paraId="37A8F3B1">
            <w:pPr>
              <w:pStyle w:val="6"/>
              <w:spacing w:before="250" w:line="251" w:lineRule="auto"/>
              <w:ind w:left="57" w:right="55" w:hanging="4"/>
              <w:rPr>
                <w:sz w:val="20"/>
                <w:szCs w:val="20"/>
              </w:rPr>
            </w:pPr>
            <w:r>
              <w:rPr>
                <w:rFonts w:ascii="Times New Roman" w:hAnsi="Times New Roman" w:eastAsia="Times New Roman" w:cs="Times New Roman"/>
                <w:spacing w:val="7"/>
                <w:sz w:val="20"/>
                <w:szCs w:val="20"/>
              </w:rPr>
              <w:t>2-1.</w:t>
            </w:r>
            <w:r>
              <w:rPr>
                <w:spacing w:val="7"/>
                <w:sz w:val="20"/>
                <w:szCs w:val="20"/>
              </w:rPr>
              <w:t>贯彻落实</w:t>
            </w:r>
            <w:r>
              <w:rPr>
                <w:rFonts w:ascii="Times New Roman" w:hAnsi="Times New Roman" w:eastAsia="Times New Roman" w:cs="Times New Roman"/>
                <w:spacing w:val="7"/>
                <w:sz w:val="20"/>
                <w:szCs w:val="20"/>
              </w:rPr>
              <w:t>“</w:t>
            </w:r>
            <w:r>
              <w:rPr>
                <w:spacing w:val="7"/>
                <w:sz w:val="20"/>
                <w:szCs w:val="20"/>
              </w:rPr>
              <w:t>节水优先</w:t>
            </w:r>
            <w:r>
              <w:rPr>
                <w:rFonts w:ascii="Times New Roman" w:hAnsi="Times New Roman" w:eastAsia="Times New Roman" w:cs="Times New Roman"/>
                <w:spacing w:val="7"/>
                <w:sz w:val="20"/>
                <w:szCs w:val="20"/>
              </w:rPr>
              <w:t>”</w:t>
            </w:r>
            <w:r>
              <w:rPr>
                <w:spacing w:val="7"/>
                <w:sz w:val="20"/>
                <w:szCs w:val="20"/>
              </w:rPr>
              <w:t>方针，实行最</w:t>
            </w:r>
            <w:r>
              <w:rPr>
                <w:spacing w:val="16"/>
                <w:sz w:val="20"/>
                <w:szCs w:val="20"/>
              </w:rPr>
              <w:t xml:space="preserve"> </w:t>
            </w:r>
            <w:r>
              <w:rPr>
                <w:spacing w:val="3"/>
                <w:sz w:val="20"/>
                <w:szCs w:val="20"/>
              </w:rPr>
              <w:t>严格水资源管理制度，用水总量、万元</w:t>
            </w:r>
            <w:r>
              <w:rPr>
                <w:spacing w:val="11"/>
                <w:sz w:val="20"/>
                <w:szCs w:val="20"/>
              </w:rPr>
              <w:t xml:space="preserve"> </w:t>
            </w:r>
            <w:r>
              <w:rPr>
                <w:spacing w:val="3"/>
                <w:sz w:val="20"/>
                <w:szCs w:val="20"/>
              </w:rPr>
              <w:t>国内生产总值用水量、万元工业增加值</w:t>
            </w:r>
            <w:r>
              <w:rPr>
                <w:spacing w:val="14"/>
                <w:sz w:val="20"/>
                <w:szCs w:val="20"/>
              </w:rPr>
              <w:t xml:space="preserve"> </w:t>
            </w:r>
            <w:r>
              <w:rPr>
                <w:spacing w:val="3"/>
                <w:sz w:val="20"/>
                <w:szCs w:val="20"/>
              </w:rPr>
              <w:t>用水量、农田灌溉水有效利用系数等用</w:t>
            </w:r>
            <w:r>
              <w:rPr>
                <w:spacing w:val="14"/>
                <w:sz w:val="20"/>
                <w:szCs w:val="20"/>
              </w:rPr>
              <w:t xml:space="preserve"> </w:t>
            </w:r>
            <w:r>
              <w:rPr>
                <w:spacing w:val="9"/>
                <w:sz w:val="20"/>
                <w:szCs w:val="20"/>
              </w:rPr>
              <w:t>水总量和效率指标达到市下达目标要</w:t>
            </w:r>
            <w:r>
              <w:rPr>
                <w:spacing w:val="1"/>
                <w:sz w:val="20"/>
                <w:szCs w:val="20"/>
              </w:rPr>
              <w:t xml:space="preserve">  </w:t>
            </w:r>
            <w:r>
              <w:rPr>
                <w:sz w:val="20"/>
                <w:szCs w:val="20"/>
              </w:rPr>
              <w:t>求。</w:t>
            </w:r>
          </w:p>
          <w:p w14:paraId="3477A398">
            <w:pPr>
              <w:pStyle w:val="6"/>
              <w:spacing w:before="1" w:line="251" w:lineRule="auto"/>
              <w:ind w:left="56" w:hanging="3"/>
              <w:rPr>
                <w:sz w:val="20"/>
                <w:szCs w:val="20"/>
              </w:rPr>
            </w:pPr>
            <w:r>
              <w:rPr>
                <w:rFonts w:ascii="Times New Roman" w:hAnsi="Times New Roman" w:eastAsia="Times New Roman" w:cs="Times New Roman"/>
                <w:spacing w:val="7"/>
                <w:sz w:val="20"/>
                <w:szCs w:val="20"/>
              </w:rPr>
              <w:t>2-2.</w:t>
            </w:r>
            <w:r>
              <w:rPr>
                <w:spacing w:val="7"/>
                <w:sz w:val="20"/>
                <w:szCs w:val="20"/>
              </w:rPr>
              <w:t>新建、改建、扩建建设项目应当配</w:t>
            </w:r>
            <w:r>
              <w:rPr>
                <w:spacing w:val="16"/>
                <w:sz w:val="20"/>
                <w:szCs w:val="20"/>
              </w:rPr>
              <w:t xml:space="preserve"> </w:t>
            </w:r>
            <w:r>
              <w:rPr>
                <w:spacing w:val="3"/>
                <w:sz w:val="20"/>
                <w:szCs w:val="20"/>
              </w:rPr>
              <w:t>套建设节水设施，采取节水型工艺、设</w:t>
            </w:r>
            <w:r>
              <w:rPr>
                <w:spacing w:val="11"/>
                <w:sz w:val="20"/>
                <w:szCs w:val="20"/>
              </w:rPr>
              <w:t xml:space="preserve"> </w:t>
            </w:r>
            <w:r>
              <w:rPr>
                <w:spacing w:val="7"/>
                <w:sz w:val="20"/>
                <w:szCs w:val="20"/>
              </w:rPr>
              <w:t>备和器具。城市规划区内新建、改建、</w:t>
            </w:r>
            <w:r>
              <w:rPr>
                <w:spacing w:val="2"/>
                <w:sz w:val="20"/>
                <w:szCs w:val="20"/>
              </w:rPr>
              <w:t xml:space="preserve"> </w:t>
            </w:r>
            <w:r>
              <w:rPr>
                <w:spacing w:val="3"/>
                <w:sz w:val="20"/>
                <w:szCs w:val="20"/>
              </w:rPr>
              <w:t>扩建建设项目需要用水的，还应当制定</w:t>
            </w:r>
            <w:r>
              <w:rPr>
                <w:spacing w:val="11"/>
                <w:sz w:val="20"/>
                <w:szCs w:val="20"/>
              </w:rPr>
              <w:t xml:space="preserve"> </w:t>
            </w:r>
            <w:r>
              <w:rPr>
                <w:spacing w:val="6"/>
                <w:sz w:val="20"/>
                <w:szCs w:val="20"/>
              </w:rPr>
              <w:t>节约用水方案。</w:t>
            </w:r>
          </w:p>
          <w:p w14:paraId="11DC8E9E">
            <w:pPr>
              <w:pStyle w:val="6"/>
              <w:spacing w:line="251" w:lineRule="auto"/>
              <w:ind w:left="59" w:right="55" w:hanging="6"/>
              <w:rPr>
                <w:sz w:val="20"/>
                <w:szCs w:val="20"/>
              </w:rPr>
            </w:pPr>
            <w:r>
              <w:rPr>
                <w:rFonts w:ascii="Times New Roman" w:hAnsi="Times New Roman" w:eastAsia="Times New Roman" w:cs="Times New Roman"/>
                <w:spacing w:val="8"/>
                <w:sz w:val="20"/>
                <w:szCs w:val="20"/>
              </w:rPr>
              <w:t>2-3.</w:t>
            </w:r>
            <w:r>
              <w:rPr>
                <w:spacing w:val="8"/>
                <w:sz w:val="20"/>
                <w:szCs w:val="20"/>
              </w:rPr>
              <w:t>在地下水禁采区内，不得新建、改</w:t>
            </w:r>
            <w:r>
              <w:rPr>
                <w:spacing w:val="1"/>
                <w:sz w:val="20"/>
                <w:szCs w:val="20"/>
              </w:rPr>
              <w:t xml:space="preserve"> </w:t>
            </w:r>
            <w:r>
              <w:rPr>
                <w:spacing w:val="8"/>
                <w:sz w:val="20"/>
                <w:szCs w:val="20"/>
              </w:rPr>
              <w:t>建或者扩建地下水取水工程。</w:t>
            </w:r>
          </w:p>
          <w:p w14:paraId="37BF10DF">
            <w:pPr>
              <w:pStyle w:val="6"/>
              <w:spacing w:before="3" w:line="251" w:lineRule="auto"/>
              <w:ind w:left="55" w:hanging="2"/>
              <w:rPr>
                <w:sz w:val="20"/>
                <w:szCs w:val="20"/>
              </w:rPr>
            </w:pPr>
            <w:r>
              <w:rPr>
                <w:rFonts w:ascii="Times New Roman" w:hAnsi="Times New Roman" w:eastAsia="Times New Roman" w:cs="Times New Roman"/>
                <w:spacing w:val="7"/>
                <w:sz w:val="20"/>
                <w:szCs w:val="20"/>
              </w:rPr>
              <w:t>2-4.</w:t>
            </w:r>
            <w:r>
              <w:rPr>
                <w:spacing w:val="7"/>
                <w:sz w:val="20"/>
                <w:szCs w:val="20"/>
              </w:rPr>
              <w:t>禁止在高污染燃料禁燃区销售、燃</w:t>
            </w:r>
            <w:r>
              <w:rPr>
                <w:spacing w:val="16"/>
                <w:sz w:val="20"/>
                <w:szCs w:val="20"/>
              </w:rPr>
              <w:t xml:space="preserve"> </w:t>
            </w:r>
            <w:r>
              <w:rPr>
                <w:spacing w:val="3"/>
                <w:sz w:val="20"/>
                <w:szCs w:val="20"/>
              </w:rPr>
              <w:t>用高污染燃料；禁止新建、扩建燃用高</w:t>
            </w:r>
            <w:r>
              <w:rPr>
                <w:spacing w:val="12"/>
                <w:sz w:val="20"/>
                <w:szCs w:val="20"/>
              </w:rPr>
              <w:t xml:space="preserve"> </w:t>
            </w:r>
            <w:r>
              <w:rPr>
                <w:spacing w:val="3"/>
                <w:sz w:val="20"/>
                <w:szCs w:val="20"/>
              </w:rPr>
              <w:t>污染燃料的设施，已建成的按县人民政</w:t>
            </w:r>
            <w:r>
              <w:rPr>
                <w:spacing w:val="12"/>
                <w:sz w:val="20"/>
                <w:szCs w:val="20"/>
              </w:rPr>
              <w:t xml:space="preserve"> </w:t>
            </w:r>
            <w:r>
              <w:rPr>
                <w:spacing w:val="7"/>
                <w:sz w:val="20"/>
                <w:szCs w:val="20"/>
              </w:rPr>
              <w:t>府规定的期限内改用天然气、页岩气、</w:t>
            </w:r>
            <w:r>
              <w:rPr>
                <w:spacing w:val="3"/>
                <w:sz w:val="20"/>
                <w:szCs w:val="20"/>
              </w:rPr>
              <w:t xml:space="preserve"> </w:t>
            </w:r>
            <w:r>
              <w:rPr>
                <w:spacing w:val="6"/>
                <w:sz w:val="20"/>
                <w:szCs w:val="20"/>
              </w:rPr>
              <w:t>液化石油气、</w:t>
            </w:r>
            <w:r>
              <w:rPr>
                <w:spacing w:val="-59"/>
                <w:sz w:val="20"/>
                <w:szCs w:val="20"/>
              </w:rPr>
              <w:t xml:space="preserve"> </w:t>
            </w:r>
            <w:r>
              <w:rPr>
                <w:spacing w:val="6"/>
                <w:sz w:val="20"/>
                <w:szCs w:val="20"/>
              </w:rPr>
              <w:t>电或者其他清洁能源。</w:t>
            </w:r>
          </w:p>
          <w:p w14:paraId="475CEE8A">
            <w:pPr>
              <w:pStyle w:val="6"/>
              <w:spacing w:before="4" w:line="251" w:lineRule="auto"/>
              <w:ind w:left="55" w:right="57" w:hanging="2"/>
              <w:rPr>
                <w:sz w:val="20"/>
                <w:szCs w:val="20"/>
              </w:rPr>
            </w:pPr>
            <w:r>
              <w:rPr>
                <w:rFonts w:ascii="Times New Roman" w:hAnsi="Times New Roman" w:eastAsia="Times New Roman" w:cs="Times New Roman"/>
                <w:spacing w:val="13"/>
                <w:sz w:val="20"/>
                <w:szCs w:val="20"/>
              </w:rPr>
              <w:t>2-5.</w:t>
            </w:r>
            <w:r>
              <w:rPr>
                <w:spacing w:val="13"/>
                <w:sz w:val="20"/>
                <w:szCs w:val="20"/>
              </w:rPr>
              <w:t>科学实施能源消费总量和强度</w:t>
            </w:r>
            <w:r>
              <w:rPr>
                <w:rFonts w:ascii="Times New Roman" w:hAnsi="Times New Roman" w:eastAsia="Times New Roman" w:cs="Times New Roman"/>
                <w:spacing w:val="13"/>
                <w:sz w:val="20"/>
                <w:szCs w:val="20"/>
              </w:rPr>
              <w:t>“</w:t>
            </w:r>
            <w:r>
              <w:rPr>
                <w:spacing w:val="13"/>
                <w:sz w:val="20"/>
                <w:szCs w:val="20"/>
              </w:rPr>
              <w:t>双</w:t>
            </w:r>
            <w:r>
              <w:rPr>
                <w:spacing w:val="15"/>
                <w:sz w:val="20"/>
                <w:szCs w:val="20"/>
              </w:rPr>
              <w:t xml:space="preserve"> </w:t>
            </w:r>
            <w:r>
              <w:rPr>
                <w:spacing w:val="8"/>
                <w:sz w:val="20"/>
                <w:szCs w:val="20"/>
              </w:rPr>
              <w:t>控</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1"/>
                <w:sz w:val="20"/>
                <w:szCs w:val="20"/>
              </w:rPr>
              <w:t xml:space="preserve"> </w:t>
            </w:r>
            <w:r>
              <w:rPr>
                <w:spacing w:val="8"/>
                <w:sz w:val="20"/>
                <w:szCs w:val="20"/>
              </w:rPr>
              <w:t>，把清洁生产审核方案主要内容纳</w:t>
            </w:r>
            <w:r>
              <w:rPr>
                <w:sz w:val="20"/>
                <w:szCs w:val="20"/>
              </w:rPr>
              <w:t xml:space="preserve"> </w:t>
            </w:r>
            <w:r>
              <w:rPr>
                <w:spacing w:val="3"/>
                <w:sz w:val="20"/>
                <w:szCs w:val="20"/>
              </w:rPr>
              <w:t>入海丰县节能降耗、污染防治等行动计</w:t>
            </w:r>
            <w:r>
              <w:rPr>
                <w:spacing w:val="13"/>
                <w:sz w:val="20"/>
                <w:szCs w:val="20"/>
              </w:rPr>
              <w:t xml:space="preserve"> </w:t>
            </w:r>
            <w:r>
              <w:rPr>
                <w:spacing w:val="3"/>
                <w:sz w:val="20"/>
                <w:szCs w:val="20"/>
              </w:rPr>
              <w:t>划中。</w:t>
            </w:r>
          </w:p>
        </w:tc>
        <w:tc>
          <w:tcPr>
            <w:tcW w:w="2582" w:type="dxa"/>
            <w:vAlign w:val="top"/>
          </w:tcPr>
          <w:p w14:paraId="2FBBB516">
            <w:pPr>
              <w:pStyle w:val="6"/>
              <w:spacing w:before="251" w:line="251" w:lineRule="auto"/>
              <w:ind w:left="63" w:right="49" w:hanging="2"/>
              <w:jc w:val="both"/>
              <w:rPr>
                <w:sz w:val="20"/>
                <w:szCs w:val="20"/>
              </w:rPr>
            </w:pPr>
            <w:r>
              <w:rPr>
                <w:rFonts w:ascii="Times New Roman" w:hAnsi="Times New Roman" w:eastAsia="Times New Roman" w:cs="Times New Roman"/>
                <w:spacing w:val="10"/>
                <w:sz w:val="20"/>
                <w:szCs w:val="20"/>
              </w:rPr>
              <w:t>2-1.</w:t>
            </w:r>
            <w:r>
              <w:rPr>
                <w:spacing w:val="10"/>
                <w:sz w:val="20"/>
                <w:szCs w:val="20"/>
              </w:rPr>
              <w:t>本项目主要从事宝石加</w:t>
            </w:r>
            <w:r>
              <w:rPr>
                <w:spacing w:val="7"/>
                <w:sz w:val="20"/>
                <w:szCs w:val="20"/>
              </w:rPr>
              <w:t xml:space="preserve"> </w:t>
            </w:r>
            <w:r>
              <w:rPr>
                <w:spacing w:val="5"/>
                <w:sz w:val="20"/>
                <w:szCs w:val="20"/>
              </w:rPr>
              <w:t>工，水量使用少，可以多次</w:t>
            </w:r>
            <w:r>
              <w:rPr>
                <w:sz w:val="20"/>
                <w:szCs w:val="20"/>
              </w:rPr>
              <w:t xml:space="preserve"> </w:t>
            </w:r>
            <w:r>
              <w:rPr>
                <w:spacing w:val="5"/>
                <w:sz w:val="20"/>
                <w:szCs w:val="20"/>
              </w:rPr>
              <w:t>使用、循环使用；配套建设</w:t>
            </w:r>
            <w:r>
              <w:rPr>
                <w:sz w:val="20"/>
                <w:szCs w:val="20"/>
              </w:rPr>
              <w:t xml:space="preserve"> </w:t>
            </w:r>
            <w:r>
              <w:rPr>
                <w:spacing w:val="5"/>
                <w:sz w:val="20"/>
                <w:szCs w:val="20"/>
              </w:rPr>
              <w:t>生产废水处理站、生活污水</w:t>
            </w:r>
            <w:r>
              <w:rPr>
                <w:sz w:val="20"/>
                <w:szCs w:val="20"/>
              </w:rPr>
              <w:t xml:space="preserve"> </w:t>
            </w:r>
            <w:r>
              <w:rPr>
                <w:spacing w:val="16"/>
                <w:sz w:val="20"/>
                <w:szCs w:val="20"/>
              </w:rPr>
              <w:t>预处理设施，项</w:t>
            </w:r>
            <w:r>
              <w:rPr>
                <w:spacing w:val="-27"/>
                <w:sz w:val="20"/>
                <w:szCs w:val="20"/>
              </w:rPr>
              <w:t xml:space="preserve"> </w:t>
            </w:r>
            <w:r>
              <w:rPr>
                <w:spacing w:val="16"/>
                <w:sz w:val="20"/>
                <w:szCs w:val="20"/>
              </w:rPr>
              <w:t>目生产废</w:t>
            </w:r>
            <w:r>
              <w:rPr>
                <w:sz w:val="20"/>
                <w:szCs w:val="20"/>
              </w:rPr>
              <w:t xml:space="preserve"> </w:t>
            </w:r>
            <w:r>
              <w:rPr>
                <w:spacing w:val="22"/>
                <w:sz w:val="20"/>
                <w:szCs w:val="20"/>
              </w:rPr>
              <w:t>水、生活污水经处理达标</w:t>
            </w:r>
            <w:r>
              <w:rPr>
                <w:spacing w:val="7"/>
                <w:sz w:val="20"/>
                <w:szCs w:val="20"/>
              </w:rPr>
              <w:t xml:space="preserve"> </w:t>
            </w:r>
            <w:r>
              <w:rPr>
                <w:spacing w:val="18"/>
                <w:sz w:val="20"/>
                <w:szCs w:val="20"/>
              </w:rPr>
              <w:t>后排入污水管网</w:t>
            </w:r>
            <w:r>
              <w:rPr>
                <w:spacing w:val="-49"/>
                <w:sz w:val="20"/>
                <w:szCs w:val="20"/>
              </w:rPr>
              <w:t xml:space="preserve"> </w:t>
            </w:r>
            <w:r>
              <w:rPr>
                <w:spacing w:val="18"/>
                <w:sz w:val="20"/>
                <w:szCs w:val="20"/>
              </w:rPr>
              <w:t>，最后汇</w:t>
            </w:r>
            <w:r>
              <w:rPr>
                <w:sz w:val="20"/>
                <w:szCs w:val="20"/>
              </w:rPr>
              <w:t xml:space="preserve"> </w:t>
            </w:r>
            <w:r>
              <w:rPr>
                <w:spacing w:val="17"/>
                <w:sz w:val="20"/>
                <w:szCs w:val="20"/>
              </w:rPr>
              <w:t>入可塘镇污水处理厂。</w:t>
            </w:r>
          </w:p>
          <w:p w14:paraId="0404EC61">
            <w:pPr>
              <w:pStyle w:val="6"/>
              <w:spacing w:line="245" w:lineRule="auto"/>
              <w:ind w:left="63" w:right="49" w:hanging="2"/>
              <w:rPr>
                <w:sz w:val="20"/>
                <w:szCs w:val="20"/>
              </w:rPr>
            </w:pPr>
            <w:r>
              <w:rPr>
                <w:rFonts w:ascii="Times New Roman" w:hAnsi="Times New Roman" w:eastAsia="Times New Roman" w:cs="Times New Roman"/>
                <w:spacing w:val="11"/>
                <w:sz w:val="20"/>
                <w:szCs w:val="20"/>
              </w:rPr>
              <w:t>2.2.</w:t>
            </w:r>
            <w:r>
              <w:rPr>
                <w:spacing w:val="11"/>
                <w:sz w:val="20"/>
                <w:szCs w:val="20"/>
              </w:rPr>
              <w:t>项目从事宝石加工，用</w:t>
            </w:r>
            <w:r>
              <w:rPr>
                <w:spacing w:val="7"/>
                <w:sz w:val="20"/>
                <w:szCs w:val="20"/>
              </w:rPr>
              <w:t xml:space="preserve"> </w:t>
            </w:r>
            <w:r>
              <w:rPr>
                <w:spacing w:val="23"/>
                <w:sz w:val="20"/>
                <w:szCs w:val="20"/>
              </w:rPr>
              <w:t>水仅为稀释酸液和对宝石</w:t>
            </w:r>
            <w:r>
              <w:rPr>
                <w:spacing w:val="9"/>
                <w:sz w:val="20"/>
                <w:szCs w:val="20"/>
              </w:rPr>
              <w:t xml:space="preserve"> </w:t>
            </w:r>
            <w:r>
              <w:rPr>
                <w:spacing w:val="5"/>
                <w:sz w:val="20"/>
                <w:szCs w:val="20"/>
              </w:rPr>
              <w:t>进行简单冲洗，工艺技术成</w:t>
            </w:r>
            <w:r>
              <w:rPr>
                <w:spacing w:val="2"/>
                <w:sz w:val="20"/>
                <w:szCs w:val="20"/>
              </w:rPr>
              <w:t xml:space="preserve"> </w:t>
            </w:r>
            <w:r>
              <w:rPr>
                <w:spacing w:val="7"/>
                <w:sz w:val="20"/>
                <w:szCs w:val="20"/>
              </w:rPr>
              <w:t>熟，节水节电。</w:t>
            </w:r>
          </w:p>
          <w:p w14:paraId="7E99728F">
            <w:pPr>
              <w:pStyle w:val="6"/>
              <w:spacing w:before="24" w:line="247" w:lineRule="auto"/>
              <w:ind w:left="65" w:right="49" w:hanging="4"/>
              <w:rPr>
                <w:sz w:val="20"/>
                <w:szCs w:val="20"/>
              </w:rPr>
            </w:pPr>
            <w:r>
              <w:rPr>
                <w:rFonts w:ascii="Times New Roman" w:hAnsi="Times New Roman" w:eastAsia="Times New Roman" w:cs="Times New Roman"/>
                <w:spacing w:val="11"/>
                <w:sz w:val="20"/>
                <w:szCs w:val="20"/>
              </w:rPr>
              <w:t>2.3.</w:t>
            </w:r>
            <w:r>
              <w:rPr>
                <w:spacing w:val="11"/>
                <w:sz w:val="20"/>
                <w:szCs w:val="20"/>
              </w:rPr>
              <w:t>项目位于可塘镇圆山岭</w:t>
            </w:r>
            <w:r>
              <w:rPr>
                <w:spacing w:val="10"/>
                <w:sz w:val="20"/>
                <w:szCs w:val="20"/>
              </w:rPr>
              <w:t xml:space="preserve"> </w:t>
            </w:r>
            <w:r>
              <w:rPr>
                <w:spacing w:val="19"/>
                <w:sz w:val="20"/>
                <w:szCs w:val="20"/>
              </w:rPr>
              <w:t>开发区</w:t>
            </w:r>
            <w:r>
              <w:rPr>
                <w:spacing w:val="-52"/>
                <w:sz w:val="20"/>
                <w:szCs w:val="20"/>
              </w:rPr>
              <w:t xml:space="preserve"> </w:t>
            </w:r>
            <w:r>
              <w:rPr>
                <w:spacing w:val="19"/>
                <w:sz w:val="20"/>
                <w:szCs w:val="20"/>
              </w:rPr>
              <w:t>，有完善的供水管</w:t>
            </w:r>
            <w:r>
              <w:rPr>
                <w:sz w:val="20"/>
                <w:szCs w:val="20"/>
              </w:rPr>
              <w:t xml:space="preserve"> </w:t>
            </w:r>
            <w:r>
              <w:rPr>
                <w:spacing w:val="4"/>
                <w:sz w:val="20"/>
                <w:szCs w:val="20"/>
              </w:rPr>
              <w:t>网，项目使用自来水，生产</w:t>
            </w:r>
            <w:r>
              <w:rPr>
                <w:spacing w:val="9"/>
                <w:sz w:val="20"/>
                <w:szCs w:val="20"/>
              </w:rPr>
              <w:t xml:space="preserve"> </w:t>
            </w:r>
            <w:r>
              <w:rPr>
                <w:spacing w:val="23"/>
                <w:sz w:val="20"/>
                <w:szCs w:val="20"/>
              </w:rPr>
              <w:t>过程中严格执行节水优先</w:t>
            </w:r>
            <w:r>
              <w:rPr>
                <w:spacing w:val="6"/>
                <w:sz w:val="20"/>
                <w:szCs w:val="20"/>
              </w:rPr>
              <w:t xml:space="preserve"> </w:t>
            </w:r>
            <w:r>
              <w:rPr>
                <w:spacing w:val="7"/>
                <w:sz w:val="20"/>
                <w:szCs w:val="20"/>
              </w:rPr>
              <w:t>制度，不开采地下水。</w:t>
            </w:r>
          </w:p>
          <w:p w14:paraId="2FD122BE">
            <w:pPr>
              <w:pStyle w:val="6"/>
              <w:spacing w:before="25" w:line="244" w:lineRule="auto"/>
              <w:ind w:left="66" w:right="49" w:hanging="5"/>
              <w:rPr>
                <w:sz w:val="20"/>
                <w:szCs w:val="20"/>
              </w:rPr>
            </w:pPr>
            <w:r>
              <w:rPr>
                <w:rFonts w:ascii="Times New Roman" w:hAnsi="Times New Roman" w:eastAsia="Times New Roman" w:cs="Times New Roman"/>
                <w:spacing w:val="11"/>
                <w:sz w:val="20"/>
                <w:szCs w:val="20"/>
              </w:rPr>
              <w:t>2.4.</w:t>
            </w:r>
            <w:r>
              <w:rPr>
                <w:spacing w:val="11"/>
                <w:sz w:val="20"/>
                <w:szCs w:val="20"/>
              </w:rPr>
              <w:t>项目部使用锅炉，不使</w:t>
            </w:r>
            <w:r>
              <w:rPr>
                <w:spacing w:val="7"/>
                <w:sz w:val="20"/>
                <w:szCs w:val="20"/>
              </w:rPr>
              <w:t xml:space="preserve"> </w:t>
            </w:r>
            <w:r>
              <w:rPr>
                <w:spacing w:val="4"/>
                <w:sz w:val="20"/>
                <w:szCs w:val="20"/>
              </w:rPr>
              <w:t>用高污染燃料，项目能源仅</w:t>
            </w:r>
            <w:r>
              <w:rPr>
                <w:spacing w:val="10"/>
                <w:sz w:val="20"/>
                <w:szCs w:val="20"/>
              </w:rPr>
              <w:t xml:space="preserve"> </w:t>
            </w:r>
            <w:r>
              <w:rPr>
                <w:spacing w:val="4"/>
                <w:sz w:val="20"/>
                <w:szCs w:val="20"/>
              </w:rPr>
              <w:t>为电能。</w:t>
            </w:r>
          </w:p>
          <w:p w14:paraId="708D02A6">
            <w:pPr>
              <w:pStyle w:val="6"/>
              <w:spacing w:before="24"/>
              <w:ind w:left="65" w:right="52" w:hanging="4"/>
              <w:rPr>
                <w:sz w:val="20"/>
                <w:szCs w:val="20"/>
              </w:rPr>
            </w:pPr>
            <w:r>
              <w:rPr>
                <w:rFonts w:ascii="Times New Roman" w:hAnsi="Times New Roman" w:eastAsia="Times New Roman" w:cs="Times New Roman"/>
                <w:spacing w:val="11"/>
                <w:sz w:val="20"/>
                <w:szCs w:val="20"/>
              </w:rPr>
              <w:t>2.5.</w:t>
            </w:r>
            <w:r>
              <w:rPr>
                <w:spacing w:val="11"/>
                <w:sz w:val="20"/>
                <w:szCs w:val="20"/>
              </w:rPr>
              <w:t>项目从事宝石加工，操</w:t>
            </w:r>
            <w:r>
              <w:rPr>
                <w:spacing w:val="7"/>
                <w:sz w:val="20"/>
                <w:szCs w:val="20"/>
              </w:rPr>
              <w:t xml:space="preserve"> </w:t>
            </w:r>
            <w:r>
              <w:rPr>
                <w:spacing w:val="8"/>
                <w:sz w:val="20"/>
                <w:szCs w:val="20"/>
              </w:rPr>
              <w:t>作多为工人，用电量少。</w:t>
            </w:r>
          </w:p>
        </w:tc>
        <w:tc>
          <w:tcPr>
            <w:tcW w:w="658" w:type="dxa"/>
            <w:vAlign w:val="top"/>
          </w:tcPr>
          <w:p w14:paraId="62E71094">
            <w:pPr>
              <w:spacing w:line="251" w:lineRule="auto"/>
              <w:rPr>
                <w:rFonts w:ascii="Arial"/>
                <w:sz w:val="21"/>
              </w:rPr>
            </w:pPr>
          </w:p>
          <w:p w14:paraId="3885ED61">
            <w:pPr>
              <w:spacing w:line="251" w:lineRule="auto"/>
              <w:rPr>
                <w:rFonts w:ascii="Arial"/>
                <w:sz w:val="21"/>
              </w:rPr>
            </w:pPr>
          </w:p>
          <w:p w14:paraId="219FB703">
            <w:pPr>
              <w:spacing w:line="252" w:lineRule="auto"/>
              <w:rPr>
                <w:rFonts w:ascii="Arial"/>
                <w:sz w:val="21"/>
              </w:rPr>
            </w:pPr>
          </w:p>
          <w:p w14:paraId="27E114D2">
            <w:pPr>
              <w:spacing w:line="252" w:lineRule="auto"/>
              <w:rPr>
                <w:rFonts w:ascii="Arial"/>
                <w:sz w:val="21"/>
              </w:rPr>
            </w:pPr>
          </w:p>
          <w:p w14:paraId="0E5669D0">
            <w:pPr>
              <w:spacing w:line="252" w:lineRule="auto"/>
              <w:rPr>
                <w:rFonts w:ascii="Arial"/>
                <w:sz w:val="21"/>
              </w:rPr>
            </w:pPr>
          </w:p>
          <w:p w14:paraId="0AB52A19">
            <w:pPr>
              <w:spacing w:line="252" w:lineRule="auto"/>
              <w:rPr>
                <w:rFonts w:ascii="Arial"/>
                <w:sz w:val="21"/>
              </w:rPr>
            </w:pPr>
          </w:p>
          <w:p w14:paraId="1B5B63BF">
            <w:pPr>
              <w:spacing w:line="252" w:lineRule="auto"/>
              <w:rPr>
                <w:rFonts w:ascii="Arial"/>
                <w:sz w:val="21"/>
              </w:rPr>
            </w:pPr>
          </w:p>
          <w:p w14:paraId="0C0F45D9">
            <w:pPr>
              <w:spacing w:line="252" w:lineRule="auto"/>
              <w:rPr>
                <w:rFonts w:ascii="Arial"/>
                <w:sz w:val="21"/>
              </w:rPr>
            </w:pPr>
          </w:p>
          <w:p w14:paraId="2C299D46">
            <w:pPr>
              <w:spacing w:line="252" w:lineRule="auto"/>
              <w:rPr>
                <w:rFonts w:ascii="Arial"/>
                <w:sz w:val="21"/>
              </w:rPr>
            </w:pPr>
          </w:p>
          <w:p w14:paraId="200CD5C7">
            <w:pPr>
              <w:spacing w:line="252" w:lineRule="auto"/>
              <w:rPr>
                <w:rFonts w:ascii="Arial"/>
                <w:sz w:val="21"/>
              </w:rPr>
            </w:pPr>
          </w:p>
          <w:p w14:paraId="4731A0C6">
            <w:pPr>
              <w:spacing w:line="252" w:lineRule="auto"/>
              <w:rPr>
                <w:rFonts w:ascii="Arial"/>
                <w:sz w:val="21"/>
              </w:rPr>
            </w:pPr>
          </w:p>
          <w:p w14:paraId="0937440B">
            <w:pPr>
              <w:spacing w:line="252" w:lineRule="auto"/>
              <w:rPr>
                <w:rFonts w:ascii="Arial"/>
                <w:sz w:val="21"/>
              </w:rPr>
            </w:pPr>
          </w:p>
          <w:p w14:paraId="3C06F9C4">
            <w:pPr>
              <w:pStyle w:val="6"/>
              <w:spacing w:before="65" w:line="228" w:lineRule="auto"/>
              <w:ind w:left="125"/>
              <w:rPr>
                <w:sz w:val="20"/>
                <w:szCs w:val="20"/>
              </w:rPr>
            </w:pPr>
            <w:r>
              <w:rPr>
                <w:spacing w:val="7"/>
                <w:sz w:val="20"/>
                <w:szCs w:val="20"/>
              </w:rPr>
              <w:t>相符</w:t>
            </w:r>
          </w:p>
        </w:tc>
        <w:tc>
          <w:tcPr>
            <w:tcW w:w="185" w:type="dxa"/>
            <w:vMerge w:val="continue"/>
            <w:tcBorders>
              <w:top w:val="nil"/>
              <w:bottom w:val="nil"/>
              <w:right w:val="single" w:color="000000" w:sz="6" w:space="0"/>
            </w:tcBorders>
            <w:vAlign w:val="top"/>
          </w:tcPr>
          <w:p w14:paraId="4FB81DEF">
            <w:pPr>
              <w:rPr>
                <w:rFonts w:ascii="Arial"/>
                <w:sz w:val="21"/>
              </w:rPr>
            </w:pPr>
          </w:p>
        </w:tc>
      </w:tr>
      <w:tr w14:paraId="5029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1" w:hRule="atLeast"/>
        </w:trPr>
        <w:tc>
          <w:tcPr>
            <w:tcW w:w="469" w:type="dxa"/>
            <w:vMerge w:val="continue"/>
            <w:tcBorders>
              <w:top w:val="nil"/>
              <w:left w:val="single" w:color="000000" w:sz="6" w:space="0"/>
              <w:bottom w:val="single" w:color="000000" w:sz="6" w:space="0"/>
            </w:tcBorders>
            <w:vAlign w:val="top"/>
          </w:tcPr>
          <w:p w14:paraId="462483E8">
            <w:pPr>
              <w:rPr>
                <w:rFonts w:ascii="Arial"/>
                <w:sz w:val="21"/>
              </w:rPr>
            </w:pPr>
          </w:p>
        </w:tc>
        <w:tc>
          <w:tcPr>
            <w:tcW w:w="175" w:type="dxa"/>
            <w:vMerge w:val="continue"/>
            <w:tcBorders>
              <w:top w:val="nil"/>
              <w:bottom w:val="single" w:color="000000" w:sz="6" w:space="0"/>
            </w:tcBorders>
            <w:vAlign w:val="top"/>
          </w:tcPr>
          <w:p w14:paraId="74B360C4">
            <w:pPr>
              <w:rPr>
                <w:rFonts w:ascii="Arial"/>
                <w:sz w:val="21"/>
              </w:rPr>
            </w:pPr>
          </w:p>
        </w:tc>
        <w:tc>
          <w:tcPr>
            <w:tcW w:w="521" w:type="dxa"/>
            <w:vMerge w:val="continue"/>
            <w:tcBorders>
              <w:top w:val="nil"/>
              <w:bottom w:val="single" w:color="000000" w:sz="6" w:space="0"/>
            </w:tcBorders>
            <w:vAlign w:val="top"/>
          </w:tcPr>
          <w:p w14:paraId="0CB15449">
            <w:pPr>
              <w:rPr>
                <w:rFonts w:ascii="Arial"/>
                <w:sz w:val="21"/>
              </w:rPr>
            </w:pPr>
          </w:p>
        </w:tc>
        <w:tc>
          <w:tcPr>
            <w:tcW w:w="699" w:type="dxa"/>
            <w:tcBorders>
              <w:bottom w:val="single" w:color="000000" w:sz="6" w:space="0"/>
            </w:tcBorders>
            <w:vAlign w:val="top"/>
          </w:tcPr>
          <w:p w14:paraId="557F0FAB">
            <w:pPr>
              <w:spacing w:line="251" w:lineRule="auto"/>
              <w:rPr>
                <w:rFonts w:ascii="Arial"/>
                <w:sz w:val="21"/>
              </w:rPr>
            </w:pPr>
          </w:p>
          <w:p w14:paraId="47682E19">
            <w:pPr>
              <w:spacing w:line="251" w:lineRule="auto"/>
              <w:rPr>
                <w:rFonts w:ascii="Arial"/>
                <w:sz w:val="21"/>
              </w:rPr>
            </w:pPr>
          </w:p>
          <w:p w14:paraId="0E0EC189">
            <w:pPr>
              <w:spacing w:line="251" w:lineRule="auto"/>
              <w:rPr>
                <w:rFonts w:ascii="Arial"/>
                <w:sz w:val="21"/>
              </w:rPr>
            </w:pPr>
          </w:p>
          <w:p w14:paraId="60D551BF">
            <w:pPr>
              <w:spacing w:line="251" w:lineRule="auto"/>
              <w:rPr>
                <w:rFonts w:ascii="Arial"/>
                <w:sz w:val="21"/>
              </w:rPr>
            </w:pPr>
          </w:p>
          <w:p w14:paraId="69622CB7">
            <w:pPr>
              <w:spacing w:line="251" w:lineRule="auto"/>
              <w:rPr>
                <w:rFonts w:ascii="Arial"/>
                <w:sz w:val="21"/>
              </w:rPr>
            </w:pPr>
          </w:p>
          <w:p w14:paraId="2A74EE2A">
            <w:pPr>
              <w:pStyle w:val="6"/>
              <w:spacing w:before="65" w:line="251" w:lineRule="auto"/>
              <w:ind w:left="134" w:right="36" w:hanging="103"/>
              <w:rPr>
                <w:sz w:val="20"/>
                <w:szCs w:val="20"/>
              </w:rPr>
            </w:pPr>
            <w:r>
              <w:rPr>
                <w:spacing w:val="8"/>
                <w:sz w:val="20"/>
                <w:szCs w:val="20"/>
              </w:rPr>
              <w:t>污染物</w:t>
            </w:r>
            <w:r>
              <w:rPr>
                <w:spacing w:val="1"/>
                <w:sz w:val="20"/>
                <w:szCs w:val="20"/>
              </w:rPr>
              <w:t xml:space="preserve"> </w:t>
            </w:r>
            <w:r>
              <w:rPr>
                <w:spacing w:val="7"/>
                <w:sz w:val="20"/>
                <w:szCs w:val="20"/>
              </w:rPr>
              <w:t>排放</w:t>
            </w:r>
          </w:p>
          <w:p w14:paraId="334CFC3F">
            <w:pPr>
              <w:pStyle w:val="6"/>
              <w:spacing w:line="227" w:lineRule="auto"/>
              <w:ind w:left="140"/>
              <w:rPr>
                <w:sz w:val="20"/>
                <w:szCs w:val="20"/>
              </w:rPr>
            </w:pPr>
            <w:r>
              <w:rPr>
                <w:spacing w:val="4"/>
                <w:sz w:val="20"/>
                <w:szCs w:val="20"/>
              </w:rPr>
              <w:t>管控</w:t>
            </w:r>
          </w:p>
        </w:tc>
        <w:tc>
          <w:tcPr>
            <w:tcW w:w="3585" w:type="dxa"/>
            <w:tcBorders>
              <w:bottom w:val="single" w:color="000000" w:sz="6" w:space="0"/>
            </w:tcBorders>
            <w:vAlign w:val="top"/>
          </w:tcPr>
          <w:p w14:paraId="79E44CD6">
            <w:pPr>
              <w:pStyle w:val="6"/>
              <w:spacing w:before="162" w:line="228" w:lineRule="auto"/>
              <w:ind w:left="58"/>
              <w:rPr>
                <w:sz w:val="20"/>
                <w:szCs w:val="20"/>
              </w:rPr>
            </w:pPr>
            <w:r>
              <w:rPr>
                <w:rFonts w:ascii="Times New Roman" w:hAnsi="Times New Roman" w:eastAsia="Times New Roman" w:cs="Times New Roman"/>
                <w:spacing w:val="8"/>
                <w:sz w:val="20"/>
                <w:szCs w:val="20"/>
              </w:rPr>
              <w:t>3-1.</w:t>
            </w:r>
            <w:r>
              <w:rPr>
                <w:spacing w:val="8"/>
                <w:sz w:val="20"/>
                <w:szCs w:val="20"/>
              </w:rPr>
              <w:t>加快单元内城镇污水管网排查和</w:t>
            </w:r>
          </w:p>
          <w:p w14:paraId="6DF6009D">
            <w:pPr>
              <w:pStyle w:val="6"/>
              <w:spacing w:before="22" w:line="250" w:lineRule="auto"/>
              <w:ind w:left="56" w:right="12"/>
              <w:rPr>
                <w:sz w:val="20"/>
                <w:szCs w:val="20"/>
              </w:rPr>
            </w:pPr>
            <w:r>
              <w:rPr>
                <w:spacing w:val="3"/>
                <w:sz w:val="20"/>
                <w:szCs w:val="20"/>
              </w:rPr>
              <w:t>修复，完善污水管网建设，在有条件区</w:t>
            </w:r>
            <w:r>
              <w:rPr>
                <w:spacing w:val="15"/>
                <w:sz w:val="20"/>
                <w:szCs w:val="20"/>
              </w:rPr>
              <w:t xml:space="preserve"> </w:t>
            </w:r>
            <w:r>
              <w:rPr>
                <w:spacing w:val="4"/>
                <w:sz w:val="20"/>
                <w:szCs w:val="20"/>
              </w:rPr>
              <w:t>域开展雨污分流；加快海丰县城第二污</w:t>
            </w:r>
            <w:r>
              <w:rPr>
                <w:sz w:val="20"/>
                <w:szCs w:val="20"/>
              </w:rPr>
              <w:t xml:space="preserve"> </w:t>
            </w:r>
            <w:r>
              <w:rPr>
                <w:spacing w:val="4"/>
                <w:sz w:val="20"/>
                <w:szCs w:val="20"/>
              </w:rPr>
              <w:t>水处理厂、陶河镇污水处理厂、赤坑镇</w:t>
            </w:r>
            <w:r>
              <w:rPr>
                <w:sz w:val="20"/>
                <w:szCs w:val="20"/>
              </w:rPr>
              <w:t xml:space="preserve"> </w:t>
            </w:r>
            <w:r>
              <w:rPr>
                <w:spacing w:val="4"/>
                <w:sz w:val="20"/>
                <w:szCs w:val="20"/>
              </w:rPr>
              <w:t>污水处理厂和平东镇、公平镇、陶河镇</w:t>
            </w:r>
            <w:r>
              <w:rPr>
                <w:sz w:val="20"/>
                <w:szCs w:val="20"/>
              </w:rPr>
              <w:t xml:space="preserve"> </w:t>
            </w:r>
            <w:r>
              <w:rPr>
                <w:spacing w:val="6"/>
                <w:sz w:val="20"/>
                <w:szCs w:val="20"/>
              </w:rPr>
              <w:t>等镇污水处理设施配套污水管网建设，</w:t>
            </w:r>
            <w:r>
              <w:rPr>
                <w:spacing w:val="7"/>
                <w:sz w:val="20"/>
                <w:szCs w:val="20"/>
              </w:rPr>
              <w:t xml:space="preserve"> </w:t>
            </w:r>
            <w:r>
              <w:rPr>
                <w:spacing w:val="4"/>
                <w:sz w:val="20"/>
                <w:szCs w:val="20"/>
              </w:rPr>
              <w:t>确保黄江河、东溪河流域城镇污水得到</w:t>
            </w:r>
            <w:r>
              <w:rPr>
                <w:sz w:val="20"/>
                <w:szCs w:val="20"/>
              </w:rPr>
              <w:t xml:space="preserve"> </w:t>
            </w:r>
            <w:r>
              <w:rPr>
                <w:spacing w:val="3"/>
                <w:sz w:val="20"/>
                <w:szCs w:val="20"/>
              </w:rPr>
              <w:t>有效处理；加快推进海丰县污水处理设</w:t>
            </w:r>
            <w:r>
              <w:rPr>
                <w:spacing w:val="13"/>
                <w:sz w:val="20"/>
                <w:szCs w:val="20"/>
              </w:rPr>
              <w:t xml:space="preserve"> </w:t>
            </w:r>
            <w:r>
              <w:rPr>
                <w:spacing w:val="3"/>
                <w:sz w:val="20"/>
                <w:szCs w:val="20"/>
              </w:rPr>
              <w:t>施建设，加快单元内自然村农村生活污</w:t>
            </w:r>
            <w:r>
              <w:rPr>
                <w:spacing w:val="15"/>
                <w:sz w:val="20"/>
                <w:szCs w:val="20"/>
              </w:rPr>
              <w:t xml:space="preserve"> </w:t>
            </w:r>
            <w:r>
              <w:rPr>
                <w:spacing w:val="3"/>
                <w:sz w:val="20"/>
                <w:szCs w:val="20"/>
              </w:rPr>
              <w:t>水治理，推进农村配套污水干管和入户</w:t>
            </w:r>
            <w:r>
              <w:rPr>
                <w:spacing w:val="15"/>
                <w:sz w:val="20"/>
                <w:szCs w:val="20"/>
              </w:rPr>
              <w:t xml:space="preserve"> </w:t>
            </w:r>
            <w:r>
              <w:rPr>
                <w:spacing w:val="4"/>
                <w:sz w:val="20"/>
                <w:szCs w:val="20"/>
              </w:rPr>
              <w:t>支管的建设，全面核查已建农村生活污</w:t>
            </w:r>
            <w:r>
              <w:rPr>
                <w:sz w:val="20"/>
                <w:szCs w:val="20"/>
              </w:rPr>
              <w:t xml:space="preserve"> </w:t>
            </w:r>
            <w:r>
              <w:rPr>
                <w:spacing w:val="8"/>
                <w:sz w:val="20"/>
                <w:szCs w:val="20"/>
              </w:rPr>
              <w:t>水处理设施，确保正常运营。</w:t>
            </w:r>
          </w:p>
        </w:tc>
        <w:tc>
          <w:tcPr>
            <w:tcW w:w="2582" w:type="dxa"/>
            <w:tcBorders>
              <w:bottom w:val="single" w:color="000000" w:sz="6" w:space="0"/>
            </w:tcBorders>
            <w:vAlign w:val="top"/>
          </w:tcPr>
          <w:p w14:paraId="61D41A5C">
            <w:pPr>
              <w:pStyle w:val="6"/>
              <w:spacing w:before="161" w:line="250" w:lineRule="auto"/>
              <w:ind w:left="64" w:right="49" w:firstLine="1"/>
              <w:rPr>
                <w:sz w:val="20"/>
                <w:szCs w:val="20"/>
              </w:rPr>
            </w:pPr>
            <w:r>
              <w:rPr>
                <w:rFonts w:ascii="Times New Roman" w:hAnsi="Times New Roman" w:eastAsia="Times New Roman" w:cs="Times New Roman"/>
                <w:spacing w:val="10"/>
                <w:sz w:val="20"/>
                <w:szCs w:val="20"/>
              </w:rPr>
              <w:t>3-1.</w:t>
            </w:r>
            <w:r>
              <w:rPr>
                <w:spacing w:val="10"/>
                <w:sz w:val="20"/>
                <w:szCs w:val="20"/>
              </w:rPr>
              <w:t>项目位于可塘镇圆山岭</w:t>
            </w:r>
            <w:r>
              <w:rPr>
                <w:spacing w:val="3"/>
                <w:sz w:val="20"/>
                <w:szCs w:val="20"/>
              </w:rPr>
              <w:t xml:space="preserve"> </w:t>
            </w:r>
            <w:r>
              <w:rPr>
                <w:spacing w:val="5"/>
                <w:sz w:val="20"/>
                <w:szCs w:val="20"/>
              </w:rPr>
              <w:t>开发区，项目区周边有完善</w:t>
            </w:r>
            <w:r>
              <w:rPr>
                <w:spacing w:val="1"/>
                <w:sz w:val="20"/>
                <w:szCs w:val="20"/>
              </w:rPr>
              <w:t xml:space="preserve"> </w:t>
            </w:r>
            <w:r>
              <w:rPr>
                <w:spacing w:val="5"/>
                <w:sz w:val="20"/>
                <w:szCs w:val="20"/>
              </w:rPr>
              <w:t>的市政污水管道，项目配套</w:t>
            </w:r>
            <w:r>
              <w:rPr>
                <w:sz w:val="20"/>
                <w:szCs w:val="20"/>
              </w:rPr>
              <w:t xml:space="preserve"> </w:t>
            </w:r>
            <w:r>
              <w:rPr>
                <w:spacing w:val="5"/>
                <w:sz w:val="20"/>
                <w:szCs w:val="20"/>
              </w:rPr>
              <w:t>建设生产废水处理站、生活</w:t>
            </w:r>
            <w:r>
              <w:rPr>
                <w:sz w:val="20"/>
                <w:szCs w:val="20"/>
              </w:rPr>
              <w:t xml:space="preserve"> </w:t>
            </w:r>
            <w:r>
              <w:rPr>
                <w:spacing w:val="4"/>
                <w:sz w:val="20"/>
                <w:szCs w:val="20"/>
              </w:rPr>
              <w:t>污水预处理设施，项目生产</w:t>
            </w:r>
            <w:r>
              <w:rPr>
                <w:sz w:val="20"/>
                <w:szCs w:val="20"/>
              </w:rPr>
              <w:t xml:space="preserve"> </w:t>
            </w:r>
            <w:r>
              <w:rPr>
                <w:spacing w:val="22"/>
                <w:sz w:val="20"/>
                <w:szCs w:val="20"/>
              </w:rPr>
              <w:t>废水、生活污水经处理达</w:t>
            </w:r>
            <w:r>
              <w:rPr>
                <w:spacing w:val="5"/>
                <w:sz w:val="20"/>
                <w:szCs w:val="20"/>
              </w:rPr>
              <w:t xml:space="preserve"> </w:t>
            </w:r>
            <w:r>
              <w:rPr>
                <w:spacing w:val="18"/>
                <w:sz w:val="20"/>
                <w:szCs w:val="20"/>
              </w:rPr>
              <w:t>标后排入污水管网</w:t>
            </w:r>
            <w:r>
              <w:rPr>
                <w:spacing w:val="-51"/>
                <w:sz w:val="20"/>
                <w:szCs w:val="20"/>
              </w:rPr>
              <w:t xml:space="preserve"> </w:t>
            </w:r>
            <w:r>
              <w:rPr>
                <w:spacing w:val="18"/>
                <w:sz w:val="20"/>
                <w:szCs w:val="20"/>
              </w:rPr>
              <w:t>，最后</w:t>
            </w:r>
            <w:r>
              <w:rPr>
                <w:sz w:val="20"/>
                <w:szCs w:val="20"/>
              </w:rPr>
              <w:t xml:space="preserve"> </w:t>
            </w:r>
            <w:r>
              <w:rPr>
                <w:spacing w:val="18"/>
                <w:sz w:val="20"/>
                <w:szCs w:val="20"/>
              </w:rPr>
              <w:t>汇入可塘镇污水处理厂</w:t>
            </w:r>
            <w:r>
              <w:rPr>
                <w:spacing w:val="-58"/>
                <w:sz w:val="20"/>
                <w:szCs w:val="20"/>
              </w:rPr>
              <w:t xml:space="preserve"> </w:t>
            </w:r>
            <w:r>
              <w:rPr>
                <w:spacing w:val="18"/>
                <w:sz w:val="20"/>
                <w:szCs w:val="20"/>
              </w:rPr>
              <w:t>。</w:t>
            </w:r>
            <w:r>
              <w:rPr>
                <w:sz w:val="20"/>
                <w:szCs w:val="20"/>
              </w:rPr>
              <w:t xml:space="preserve"> </w:t>
            </w:r>
            <w:r>
              <w:rPr>
                <w:rFonts w:ascii="Times New Roman" w:hAnsi="Times New Roman" w:eastAsia="Times New Roman" w:cs="Times New Roman"/>
                <w:spacing w:val="10"/>
                <w:sz w:val="20"/>
                <w:szCs w:val="20"/>
              </w:rPr>
              <w:t>3-2.</w:t>
            </w:r>
            <w:r>
              <w:rPr>
                <w:spacing w:val="10"/>
                <w:sz w:val="20"/>
                <w:szCs w:val="20"/>
              </w:rPr>
              <w:t>项目所在区域不存在规</w:t>
            </w:r>
            <w:r>
              <w:rPr>
                <w:spacing w:val="4"/>
                <w:sz w:val="20"/>
                <w:szCs w:val="20"/>
              </w:rPr>
              <w:t xml:space="preserve"> </w:t>
            </w:r>
            <w:r>
              <w:rPr>
                <w:spacing w:val="9"/>
                <w:sz w:val="20"/>
                <w:szCs w:val="20"/>
              </w:rPr>
              <w:t>模化畜禽养殖场（小区</w:t>
            </w:r>
            <w:r>
              <w:rPr>
                <w:spacing w:val="-14"/>
                <w:sz w:val="20"/>
                <w:szCs w:val="20"/>
              </w:rPr>
              <w:t>），</w:t>
            </w:r>
            <w:r>
              <w:rPr>
                <w:sz w:val="20"/>
                <w:szCs w:val="20"/>
              </w:rPr>
              <w:t xml:space="preserve"> </w:t>
            </w:r>
            <w:r>
              <w:rPr>
                <w:spacing w:val="17"/>
                <w:sz w:val="20"/>
                <w:szCs w:val="20"/>
              </w:rPr>
              <w:t>项</w:t>
            </w:r>
            <w:r>
              <w:rPr>
                <w:spacing w:val="-26"/>
                <w:sz w:val="20"/>
                <w:szCs w:val="20"/>
              </w:rPr>
              <w:t xml:space="preserve"> </w:t>
            </w:r>
            <w:r>
              <w:rPr>
                <w:spacing w:val="17"/>
                <w:sz w:val="20"/>
                <w:szCs w:val="20"/>
              </w:rPr>
              <w:t>目周边河道不存在水产</w:t>
            </w:r>
            <w:r>
              <w:rPr>
                <w:sz w:val="20"/>
                <w:szCs w:val="20"/>
              </w:rPr>
              <w:t xml:space="preserve"> </w:t>
            </w:r>
            <w:r>
              <w:rPr>
                <w:spacing w:val="3"/>
                <w:sz w:val="20"/>
                <w:szCs w:val="20"/>
              </w:rPr>
              <w:t>养殖。</w:t>
            </w:r>
          </w:p>
        </w:tc>
        <w:tc>
          <w:tcPr>
            <w:tcW w:w="658" w:type="dxa"/>
            <w:tcBorders>
              <w:bottom w:val="single" w:color="000000" w:sz="6" w:space="0"/>
            </w:tcBorders>
            <w:vAlign w:val="top"/>
          </w:tcPr>
          <w:p w14:paraId="495CC4C3">
            <w:pPr>
              <w:spacing w:line="253" w:lineRule="auto"/>
              <w:rPr>
                <w:rFonts w:ascii="Arial"/>
                <w:sz w:val="21"/>
              </w:rPr>
            </w:pPr>
          </w:p>
          <w:p w14:paraId="3F6036D7">
            <w:pPr>
              <w:spacing w:line="254" w:lineRule="auto"/>
              <w:rPr>
                <w:rFonts w:ascii="Arial"/>
                <w:sz w:val="21"/>
              </w:rPr>
            </w:pPr>
          </w:p>
          <w:p w14:paraId="2D69272C">
            <w:pPr>
              <w:spacing w:line="254" w:lineRule="auto"/>
              <w:rPr>
                <w:rFonts w:ascii="Arial"/>
                <w:sz w:val="21"/>
              </w:rPr>
            </w:pPr>
          </w:p>
          <w:p w14:paraId="6599D914">
            <w:pPr>
              <w:spacing w:line="254" w:lineRule="auto"/>
              <w:rPr>
                <w:rFonts w:ascii="Arial"/>
                <w:sz w:val="21"/>
              </w:rPr>
            </w:pPr>
          </w:p>
          <w:p w14:paraId="60CA6305">
            <w:pPr>
              <w:spacing w:line="254" w:lineRule="auto"/>
              <w:rPr>
                <w:rFonts w:ascii="Arial"/>
                <w:sz w:val="21"/>
              </w:rPr>
            </w:pPr>
          </w:p>
          <w:p w14:paraId="79B1BD87">
            <w:pPr>
              <w:spacing w:line="254" w:lineRule="auto"/>
              <w:rPr>
                <w:rFonts w:ascii="Arial"/>
                <w:sz w:val="21"/>
              </w:rPr>
            </w:pPr>
          </w:p>
          <w:p w14:paraId="1186EEF5">
            <w:pPr>
              <w:pStyle w:val="6"/>
              <w:spacing w:before="65" w:line="228" w:lineRule="auto"/>
              <w:ind w:left="125"/>
              <w:rPr>
                <w:sz w:val="20"/>
                <w:szCs w:val="20"/>
              </w:rPr>
            </w:pPr>
            <w:r>
              <w:rPr>
                <w:spacing w:val="7"/>
                <w:sz w:val="20"/>
                <w:szCs w:val="20"/>
              </w:rPr>
              <w:t>相符</w:t>
            </w:r>
          </w:p>
        </w:tc>
        <w:tc>
          <w:tcPr>
            <w:tcW w:w="185" w:type="dxa"/>
            <w:vMerge w:val="continue"/>
            <w:tcBorders>
              <w:top w:val="nil"/>
              <w:bottom w:val="single" w:color="000000" w:sz="6" w:space="0"/>
              <w:right w:val="single" w:color="000000" w:sz="6" w:space="0"/>
            </w:tcBorders>
            <w:vAlign w:val="top"/>
          </w:tcPr>
          <w:p w14:paraId="5D5BDADA">
            <w:pPr>
              <w:rPr>
                <w:rFonts w:ascii="Arial"/>
                <w:sz w:val="21"/>
              </w:rPr>
            </w:pPr>
          </w:p>
        </w:tc>
      </w:tr>
    </w:tbl>
    <w:p w14:paraId="5A298B61">
      <w:pPr>
        <w:rPr>
          <w:rFonts w:ascii="Arial"/>
          <w:sz w:val="21"/>
        </w:rPr>
      </w:pPr>
    </w:p>
    <w:p w14:paraId="2A11044B">
      <w:pPr>
        <w:rPr>
          <w:rFonts w:ascii="Arial" w:hAnsi="Arial" w:eastAsia="Arial" w:cs="Arial"/>
          <w:sz w:val="21"/>
          <w:szCs w:val="21"/>
        </w:rPr>
        <w:sectPr>
          <w:footerReference r:id="rId15" w:type="default"/>
          <w:pgSz w:w="11906" w:h="16839"/>
          <w:pgMar w:top="400" w:right="1508" w:bottom="1240" w:left="1508" w:header="0" w:footer="1078" w:gutter="0"/>
          <w:cols w:space="720" w:num="1"/>
        </w:sectPr>
      </w:pPr>
    </w:p>
    <w:p w14:paraId="3D1025D6">
      <w:pPr>
        <w:spacing w:before="19"/>
      </w:pPr>
    </w:p>
    <w:p w14:paraId="4763034F">
      <w:pPr>
        <w:spacing w:before="19"/>
      </w:pPr>
    </w:p>
    <w:p w14:paraId="719645DE">
      <w:pPr>
        <w:spacing w:before="19"/>
      </w:pPr>
    </w:p>
    <w:p w14:paraId="0671B6C3">
      <w:pPr>
        <w:spacing w:before="18"/>
      </w:pPr>
    </w:p>
    <w:p w14:paraId="7D5411C5">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75"/>
        <w:gridCol w:w="521"/>
        <w:gridCol w:w="699"/>
        <w:gridCol w:w="3585"/>
        <w:gridCol w:w="2582"/>
        <w:gridCol w:w="658"/>
        <w:gridCol w:w="185"/>
      </w:tblGrid>
      <w:tr w14:paraId="71305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8" w:hRule="atLeast"/>
        </w:trPr>
        <w:tc>
          <w:tcPr>
            <w:tcW w:w="469" w:type="dxa"/>
            <w:vMerge w:val="restart"/>
            <w:tcBorders>
              <w:top w:val="single" w:color="000000" w:sz="6" w:space="0"/>
              <w:left w:val="single" w:color="000000" w:sz="6" w:space="0"/>
              <w:bottom w:val="nil"/>
            </w:tcBorders>
            <w:vAlign w:val="top"/>
          </w:tcPr>
          <w:p w14:paraId="00C09531">
            <w:pPr>
              <w:rPr>
                <w:rFonts w:ascii="Arial"/>
                <w:sz w:val="21"/>
              </w:rPr>
            </w:pPr>
          </w:p>
        </w:tc>
        <w:tc>
          <w:tcPr>
            <w:tcW w:w="175" w:type="dxa"/>
            <w:vMerge w:val="restart"/>
            <w:tcBorders>
              <w:top w:val="single" w:color="000000" w:sz="6" w:space="0"/>
              <w:bottom w:val="nil"/>
            </w:tcBorders>
            <w:vAlign w:val="top"/>
          </w:tcPr>
          <w:p w14:paraId="214D83FA">
            <w:pPr>
              <w:rPr>
                <w:rFonts w:ascii="Arial"/>
                <w:sz w:val="21"/>
              </w:rPr>
            </w:pPr>
          </w:p>
        </w:tc>
        <w:tc>
          <w:tcPr>
            <w:tcW w:w="521" w:type="dxa"/>
            <w:vMerge w:val="restart"/>
            <w:tcBorders>
              <w:top w:val="single" w:color="000000" w:sz="6" w:space="0"/>
              <w:bottom w:val="nil"/>
            </w:tcBorders>
            <w:vAlign w:val="top"/>
          </w:tcPr>
          <w:p w14:paraId="2F66E07A">
            <w:pPr>
              <w:rPr>
                <w:rFonts w:ascii="Arial"/>
                <w:sz w:val="21"/>
              </w:rPr>
            </w:pPr>
          </w:p>
        </w:tc>
        <w:tc>
          <w:tcPr>
            <w:tcW w:w="699" w:type="dxa"/>
            <w:tcBorders>
              <w:top w:val="single" w:color="000000" w:sz="6" w:space="0"/>
            </w:tcBorders>
            <w:vAlign w:val="top"/>
          </w:tcPr>
          <w:p w14:paraId="7EA81B59">
            <w:pPr>
              <w:rPr>
                <w:rFonts w:ascii="Arial"/>
                <w:sz w:val="21"/>
              </w:rPr>
            </w:pPr>
          </w:p>
        </w:tc>
        <w:tc>
          <w:tcPr>
            <w:tcW w:w="3585" w:type="dxa"/>
            <w:tcBorders>
              <w:top w:val="single" w:color="000000" w:sz="6" w:space="0"/>
            </w:tcBorders>
            <w:vAlign w:val="top"/>
          </w:tcPr>
          <w:p w14:paraId="765D9F08">
            <w:pPr>
              <w:pStyle w:val="6"/>
              <w:spacing w:before="38" w:line="251" w:lineRule="auto"/>
              <w:ind w:left="56" w:right="55" w:firstLine="1"/>
              <w:rPr>
                <w:sz w:val="20"/>
                <w:szCs w:val="20"/>
              </w:rPr>
            </w:pPr>
            <w:r>
              <w:rPr>
                <w:rFonts w:ascii="Times New Roman" w:hAnsi="Times New Roman" w:eastAsia="Times New Roman" w:cs="Times New Roman"/>
                <w:spacing w:val="7"/>
                <w:sz w:val="20"/>
                <w:szCs w:val="20"/>
              </w:rPr>
              <w:t>3-2.</w:t>
            </w:r>
            <w:r>
              <w:rPr>
                <w:spacing w:val="7"/>
                <w:sz w:val="20"/>
                <w:szCs w:val="20"/>
              </w:rPr>
              <w:t>加强单元内禁养区畜禽养殖排查，</w:t>
            </w:r>
            <w:r>
              <w:rPr>
                <w:spacing w:val="16"/>
                <w:sz w:val="20"/>
                <w:szCs w:val="20"/>
              </w:rPr>
              <w:t xml:space="preserve"> </w:t>
            </w:r>
            <w:r>
              <w:rPr>
                <w:spacing w:val="3"/>
                <w:sz w:val="20"/>
                <w:szCs w:val="20"/>
              </w:rPr>
              <w:t>严厉打击非法养殖行为，整治关闭养殖</w:t>
            </w:r>
            <w:r>
              <w:rPr>
                <w:spacing w:val="13"/>
                <w:sz w:val="20"/>
                <w:szCs w:val="20"/>
              </w:rPr>
              <w:t xml:space="preserve"> </w:t>
            </w:r>
            <w:r>
              <w:rPr>
                <w:spacing w:val="3"/>
                <w:sz w:val="20"/>
                <w:szCs w:val="20"/>
              </w:rPr>
              <w:t>场遗留粪污塘。单元内现有规模化畜禽</w:t>
            </w:r>
            <w:r>
              <w:rPr>
                <w:spacing w:val="13"/>
                <w:sz w:val="20"/>
                <w:szCs w:val="20"/>
              </w:rPr>
              <w:t xml:space="preserve"> </w:t>
            </w:r>
            <w:r>
              <w:rPr>
                <w:spacing w:val="8"/>
                <w:sz w:val="20"/>
                <w:szCs w:val="20"/>
              </w:rPr>
              <w:t>养殖场（小区）</w:t>
            </w:r>
            <w:r>
              <w:rPr>
                <w:rFonts w:ascii="Times New Roman" w:hAnsi="Times New Roman" w:eastAsia="Times New Roman" w:cs="Times New Roman"/>
                <w:spacing w:val="8"/>
                <w:sz w:val="20"/>
                <w:szCs w:val="20"/>
              </w:rPr>
              <w:t>100%</w:t>
            </w:r>
            <w:r>
              <w:rPr>
                <w:spacing w:val="8"/>
                <w:sz w:val="20"/>
                <w:szCs w:val="20"/>
              </w:rPr>
              <w:t>配套建设粪便污</w:t>
            </w:r>
            <w:r>
              <w:rPr>
                <w:spacing w:val="10"/>
                <w:sz w:val="20"/>
                <w:szCs w:val="20"/>
              </w:rPr>
              <w:t xml:space="preserve"> </w:t>
            </w:r>
            <w:r>
              <w:rPr>
                <w:spacing w:val="4"/>
                <w:sz w:val="20"/>
                <w:szCs w:val="20"/>
              </w:rPr>
              <w:t>水贮存、处理与利用设施，提高畜禽养</w:t>
            </w:r>
            <w:r>
              <w:rPr>
                <w:sz w:val="20"/>
                <w:szCs w:val="20"/>
              </w:rPr>
              <w:t xml:space="preserve"> </w:t>
            </w:r>
            <w:r>
              <w:rPr>
                <w:spacing w:val="3"/>
                <w:sz w:val="20"/>
                <w:szCs w:val="20"/>
              </w:rPr>
              <w:t>殖废弃物资源化利用率；加强河道内外</w:t>
            </w:r>
            <w:r>
              <w:rPr>
                <w:spacing w:val="13"/>
                <w:sz w:val="20"/>
                <w:szCs w:val="20"/>
              </w:rPr>
              <w:t xml:space="preserve"> </w:t>
            </w:r>
            <w:r>
              <w:rPr>
                <w:spacing w:val="3"/>
                <w:sz w:val="20"/>
                <w:szCs w:val="20"/>
              </w:rPr>
              <w:t>水产养殖尾水污染治理，实施养殖尾水</w:t>
            </w:r>
            <w:r>
              <w:rPr>
                <w:spacing w:val="13"/>
                <w:sz w:val="20"/>
                <w:szCs w:val="20"/>
              </w:rPr>
              <w:t xml:space="preserve"> </w:t>
            </w:r>
            <w:r>
              <w:rPr>
                <w:spacing w:val="6"/>
                <w:sz w:val="20"/>
                <w:szCs w:val="20"/>
              </w:rPr>
              <w:t>达标排放。</w:t>
            </w:r>
          </w:p>
          <w:p w14:paraId="7A7A5E94">
            <w:pPr>
              <w:pStyle w:val="6"/>
              <w:spacing w:before="3" w:line="251" w:lineRule="auto"/>
              <w:ind w:left="58"/>
              <w:rPr>
                <w:sz w:val="20"/>
                <w:szCs w:val="20"/>
              </w:rPr>
            </w:pPr>
            <w:r>
              <w:rPr>
                <w:rFonts w:ascii="Times New Roman" w:hAnsi="Times New Roman" w:eastAsia="Times New Roman" w:cs="Times New Roman"/>
                <w:spacing w:val="7"/>
                <w:sz w:val="20"/>
                <w:szCs w:val="20"/>
              </w:rPr>
              <w:t>3-3.</w:t>
            </w:r>
            <w:r>
              <w:rPr>
                <w:spacing w:val="7"/>
                <w:sz w:val="20"/>
                <w:szCs w:val="20"/>
              </w:rPr>
              <w:t>按照</w:t>
            </w:r>
            <w:r>
              <w:rPr>
                <w:rFonts w:ascii="Times New Roman" w:hAnsi="Times New Roman" w:eastAsia="Times New Roman" w:cs="Times New Roman"/>
                <w:spacing w:val="7"/>
                <w:sz w:val="20"/>
                <w:szCs w:val="20"/>
              </w:rPr>
              <w:t>“</w:t>
            </w:r>
            <w:r>
              <w:rPr>
                <w:spacing w:val="7"/>
                <w:sz w:val="20"/>
                <w:szCs w:val="20"/>
              </w:rPr>
              <w:t>一支流一策</w:t>
            </w:r>
            <w:r>
              <w:rPr>
                <w:rFonts w:ascii="Times New Roman" w:hAnsi="Times New Roman" w:eastAsia="Times New Roman" w:cs="Times New Roman"/>
                <w:spacing w:val="7"/>
                <w:sz w:val="20"/>
                <w:szCs w:val="20"/>
              </w:rPr>
              <w:t>”</w:t>
            </w:r>
            <w:r>
              <w:rPr>
                <w:spacing w:val="7"/>
                <w:sz w:val="20"/>
                <w:szCs w:val="20"/>
              </w:rPr>
              <w:t>的原则，开展单</w:t>
            </w:r>
            <w:r>
              <w:rPr>
                <w:spacing w:val="11"/>
                <w:sz w:val="20"/>
                <w:szCs w:val="20"/>
              </w:rPr>
              <w:t xml:space="preserve"> </w:t>
            </w:r>
            <w:r>
              <w:rPr>
                <w:spacing w:val="9"/>
                <w:sz w:val="20"/>
                <w:szCs w:val="20"/>
              </w:rPr>
              <w:t>元内黄江河、东溪河支流污染综合整</w:t>
            </w:r>
            <w:r>
              <w:rPr>
                <w:sz w:val="20"/>
                <w:szCs w:val="20"/>
              </w:rPr>
              <w:t xml:space="preserve">  </w:t>
            </w:r>
            <w:r>
              <w:rPr>
                <w:spacing w:val="7"/>
                <w:sz w:val="20"/>
                <w:szCs w:val="20"/>
              </w:rPr>
              <w:t>治；大力推进黄江河、东溪河流域干、</w:t>
            </w:r>
            <w:r>
              <w:rPr>
                <w:spacing w:val="1"/>
                <w:sz w:val="20"/>
                <w:szCs w:val="20"/>
              </w:rPr>
              <w:t xml:space="preserve"> </w:t>
            </w:r>
            <w:r>
              <w:rPr>
                <w:spacing w:val="3"/>
                <w:sz w:val="20"/>
                <w:szCs w:val="20"/>
              </w:rPr>
              <w:t>支流入河排污口</w:t>
            </w:r>
            <w:r>
              <w:rPr>
                <w:rFonts w:ascii="Times New Roman" w:hAnsi="Times New Roman" w:eastAsia="Times New Roman" w:cs="Times New Roman"/>
                <w:spacing w:val="3"/>
                <w:sz w:val="20"/>
                <w:szCs w:val="20"/>
              </w:rPr>
              <w:t>“</w:t>
            </w:r>
            <w:r>
              <w:rPr>
                <w:spacing w:val="3"/>
                <w:sz w:val="20"/>
                <w:szCs w:val="20"/>
              </w:rPr>
              <w:t>查、测、溯、治</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0"/>
                <w:sz w:val="20"/>
                <w:szCs w:val="20"/>
              </w:rPr>
              <w:t xml:space="preserve"> </w:t>
            </w:r>
            <w:r>
              <w:rPr>
                <w:spacing w:val="3"/>
                <w:sz w:val="20"/>
                <w:szCs w:val="20"/>
              </w:rPr>
              <w:t>，形</w:t>
            </w:r>
            <w:r>
              <w:rPr>
                <w:sz w:val="20"/>
                <w:szCs w:val="20"/>
              </w:rPr>
              <w:t xml:space="preserve"> </w:t>
            </w:r>
            <w:r>
              <w:rPr>
                <w:spacing w:val="8"/>
                <w:sz w:val="20"/>
                <w:szCs w:val="20"/>
              </w:rPr>
              <w:t>成明晰规范的入河排污口监管体系。</w:t>
            </w:r>
          </w:p>
          <w:p w14:paraId="3B2BB546">
            <w:pPr>
              <w:pStyle w:val="6"/>
              <w:spacing w:before="1" w:line="251" w:lineRule="auto"/>
              <w:ind w:left="57" w:right="55"/>
              <w:rPr>
                <w:sz w:val="20"/>
                <w:szCs w:val="20"/>
              </w:rPr>
            </w:pPr>
            <w:r>
              <w:rPr>
                <w:rFonts w:ascii="Times New Roman" w:hAnsi="Times New Roman" w:eastAsia="Times New Roman" w:cs="Times New Roman"/>
                <w:spacing w:val="7"/>
                <w:sz w:val="20"/>
                <w:szCs w:val="20"/>
              </w:rPr>
              <w:t>3-4.</w:t>
            </w:r>
            <w:r>
              <w:rPr>
                <w:spacing w:val="7"/>
                <w:sz w:val="20"/>
                <w:szCs w:val="20"/>
              </w:rPr>
              <w:t>建立健全重污染行业退出机制，建</w:t>
            </w:r>
            <w:r>
              <w:rPr>
                <w:spacing w:val="16"/>
                <w:sz w:val="20"/>
                <w:szCs w:val="20"/>
              </w:rPr>
              <w:t xml:space="preserve"> </w:t>
            </w:r>
            <w:r>
              <w:rPr>
                <w:spacing w:val="7"/>
                <w:sz w:val="20"/>
                <w:szCs w:val="20"/>
              </w:rPr>
              <w:t>立长效监管机制防止</w:t>
            </w:r>
            <w:r>
              <w:rPr>
                <w:rFonts w:ascii="Times New Roman" w:hAnsi="Times New Roman" w:eastAsia="Times New Roman" w:cs="Times New Roman"/>
                <w:spacing w:val="7"/>
                <w:sz w:val="20"/>
                <w:szCs w:val="20"/>
              </w:rPr>
              <w:t>“</w:t>
            </w:r>
            <w:r>
              <w:rPr>
                <w:spacing w:val="7"/>
                <w:sz w:val="20"/>
                <w:szCs w:val="20"/>
              </w:rPr>
              <w:t>散乱污</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5"/>
                <w:sz w:val="20"/>
                <w:szCs w:val="20"/>
              </w:rPr>
              <w:t xml:space="preserve"> </w:t>
            </w:r>
            <w:r>
              <w:rPr>
                <w:spacing w:val="7"/>
                <w:sz w:val="20"/>
                <w:szCs w:val="20"/>
              </w:rPr>
              <w:t>、</w:t>
            </w:r>
            <w:r>
              <w:rPr>
                <w:rFonts w:ascii="Times New Roman" w:hAnsi="Times New Roman" w:eastAsia="Times New Roman" w:cs="Times New Roman"/>
                <w:spacing w:val="7"/>
                <w:sz w:val="20"/>
                <w:szCs w:val="20"/>
              </w:rPr>
              <w:t>“</w:t>
            </w:r>
            <w:r>
              <w:rPr>
                <w:spacing w:val="7"/>
                <w:sz w:val="20"/>
                <w:szCs w:val="20"/>
              </w:rPr>
              <w:t>十小</w:t>
            </w:r>
            <w:r>
              <w:rPr>
                <w:sz w:val="20"/>
                <w:szCs w:val="20"/>
              </w:rPr>
              <w:t xml:space="preserve"> </w:t>
            </w:r>
            <w:r>
              <w:rPr>
                <w:spacing w:val="9"/>
                <w:sz w:val="20"/>
                <w:szCs w:val="20"/>
              </w:rPr>
              <w:t>企业</w:t>
            </w:r>
            <w:r>
              <w:rPr>
                <w:rFonts w:ascii="Times New Roman" w:hAnsi="Times New Roman" w:eastAsia="Times New Roman" w:cs="Times New Roman"/>
                <w:spacing w:val="9"/>
                <w:sz w:val="20"/>
                <w:szCs w:val="20"/>
              </w:rPr>
              <w:t>”</w:t>
            </w:r>
            <w:r>
              <w:rPr>
                <w:spacing w:val="9"/>
                <w:sz w:val="20"/>
                <w:szCs w:val="20"/>
              </w:rPr>
              <w:t>回潮，强化企业废水处理设施及</w:t>
            </w:r>
            <w:r>
              <w:rPr>
                <w:sz w:val="20"/>
                <w:szCs w:val="20"/>
              </w:rPr>
              <w:t xml:space="preserve"> </w:t>
            </w:r>
            <w:r>
              <w:rPr>
                <w:spacing w:val="9"/>
                <w:sz w:val="20"/>
                <w:szCs w:val="20"/>
              </w:rPr>
              <w:t>工业集聚区污水集中处理设施运行维</w:t>
            </w:r>
            <w:r>
              <w:rPr>
                <w:spacing w:val="2"/>
                <w:sz w:val="20"/>
                <w:szCs w:val="20"/>
              </w:rPr>
              <w:t xml:space="preserve">  </w:t>
            </w:r>
            <w:r>
              <w:rPr>
                <w:spacing w:val="5"/>
                <w:sz w:val="20"/>
                <w:szCs w:val="20"/>
              </w:rPr>
              <w:t>护管理。</w:t>
            </w:r>
          </w:p>
          <w:p w14:paraId="50FDEB3C">
            <w:pPr>
              <w:pStyle w:val="6"/>
              <w:spacing w:before="4" w:line="251" w:lineRule="auto"/>
              <w:ind w:left="56" w:firstLine="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3-5.</w:t>
            </w:r>
            <w:r>
              <w:rPr>
                <w:spacing w:val="8"/>
                <w:sz w:val="20"/>
                <w:szCs w:val="20"/>
              </w:rPr>
              <w:t>重点加强采石场、露天施工场地、</w:t>
            </w:r>
            <w:r>
              <w:rPr>
                <w:spacing w:val="3"/>
                <w:sz w:val="20"/>
                <w:szCs w:val="20"/>
              </w:rPr>
              <w:t xml:space="preserve"> </w:t>
            </w:r>
            <w:r>
              <w:rPr>
                <w:spacing w:val="8"/>
                <w:sz w:val="20"/>
                <w:szCs w:val="20"/>
              </w:rPr>
              <w:t>水泥制品行业堆场地等扬尘面源的控</w:t>
            </w:r>
            <w:r>
              <w:rPr>
                <w:spacing w:val="2"/>
                <w:sz w:val="20"/>
                <w:szCs w:val="20"/>
              </w:rPr>
              <w:t xml:space="preserve">   </w:t>
            </w:r>
            <w:r>
              <w:rPr>
                <w:spacing w:val="7"/>
                <w:sz w:val="20"/>
                <w:szCs w:val="20"/>
              </w:rPr>
              <w:t>制，提高露天面源的精细化管理水平。</w:t>
            </w:r>
            <w:r>
              <w:rPr>
                <w:spacing w:val="3"/>
                <w:sz w:val="20"/>
                <w:szCs w:val="20"/>
              </w:rPr>
              <w:t xml:space="preserve"> </w:t>
            </w:r>
            <w:r>
              <w:rPr>
                <w:rFonts w:ascii="Times New Roman" w:hAnsi="Times New Roman" w:eastAsia="Times New Roman" w:cs="Times New Roman"/>
                <w:sz w:val="20"/>
                <w:szCs w:val="20"/>
              </w:rPr>
              <w:t>3-6.</w:t>
            </w:r>
            <w:r>
              <w:rPr>
                <w:sz w:val="20"/>
                <w:szCs w:val="20"/>
              </w:rPr>
              <w:t>禁止向竹仔坑水库、大液河、丽江、</w:t>
            </w:r>
            <w:r>
              <w:rPr>
                <w:spacing w:val="5"/>
                <w:sz w:val="20"/>
                <w:szCs w:val="20"/>
              </w:rPr>
              <w:t xml:space="preserve"> </w:t>
            </w:r>
            <w:r>
              <w:rPr>
                <w:spacing w:val="3"/>
                <w:sz w:val="20"/>
                <w:szCs w:val="20"/>
              </w:rPr>
              <w:t>黄江、东溪河等水体排放、倾倒生活垃</w:t>
            </w:r>
            <w:r>
              <w:rPr>
                <w:sz w:val="20"/>
                <w:szCs w:val="20"/>
              </w:rPr>
              <w:t xml:space="preserve"> </w:t>
            </w:r>
            <w:r>
              <w:rPr>
                <w:spacing w:val="8"/>
                <w:sz w:val="20"/>
                <w:szCs w:val="20"/>
              </w:rPr>
              <w:t>圾、建筑垃圾或者其他废弃物。</w:t>
            </w:r>
            <w:r>
              <w:rPr>
                <w:rFonts w:ascii="Times New Roman" w:hAnsi="Times New Roman" w:eastAsia="Times New Roman" w:cs="Times New Roman"/>
                <w:spacing w:val="8"/>
                <w:sz w:val="20"/>
                <w:szCs w:val="20"/>
              </w:rPr>
              <w:t>.</w:t>
            </w:r>
          </w:p>
        </w:tc>
        <w:tc>
          <w:tcPr>
            <w:tcW w:w="2582" w:type="dxa"/>
            <w:tcBorders>
              <w:top w:val="single" w:color="000000" w:sz="6" w:space="0"/>
            </w:tcBorders>
            <w:vAlign w:val="top"/>
          </w:tcPr>
          <w:p w14:paraId="670E55BC">
            <w:pPr>
              <w:pStyle w:val="6"/>
              <w:spacing w:before="36" w:line="251" w:lineRule="auto"/>
              <w:ind w:left="65" w:right="49"/>
              <w:jc w:val="both"/>
              <w:rPr>
                <w:sz w:val="20"/>
                <w:szCs w:val="20"/>
              </w:rPr>
            </w:pPr>
            <w:r>
              <w:rPr>
                <w:rFonts w:ascii="Times New Roman" w:hAnsi="Times New Roman" w:eastAsia="Times New Roman" w:cs="Times New Roman"/>
                <w:spacing w:val="10"/>
                <w:sz w:val="20"/>
                <w:szCs w:val="20"/>
              </w:rPr>
              <w:t>3-3.</w:t>
            </w:r>
            <w:r>
              <w:rPr>
                <w:spacing w:val="10"/>
                <w:sz w:val="20"/>
                <w:szCs w:val="20"/>
              </w:rPr>
              <w:t>项目生产废水、生活污</w:t>
            </w:r>
            <w:r>
              <w:rPr>
                <w:spacing w:val="3"/>
                <w:sz w:val="20"/>
                <w:szCs w:val="20"/>
              </w:rPr>
              <w:t xml:space="preserve"> </w:t>
            </w:r>
            <w:r>
              <w:rPr>
                <w:spacing w:val="23"/>
                <w:sz w:val="20"/>
                <w:szCs w:val="20"/>
              </w:rPr>
              <w:t>水均通过市政管道排入可</w:t>
            </w:r>
            <w:r>
              <w:rPr>
                <w:spacing w:val="6"/>
                <w:sz w:val="20"/>
                <w:szCs w:val="20"/>
              </w:rPr>
              <w:t xml:space="preserve"> </w:t>
            </w:r>
            <w:r>
              <w:rPr>
                <w:spacing w:val="4"/>
                <w:sz w:val="20"/>
                <w:szCs w:val="20"/>
              </w:rPr>
              <w:t>塘镇污水处理厂，尾水排入</w:t>
            </w:r>
            <w:r>
              <w:rPr>
                <w:spacing w:val="9"/>
                <w:sz w:val="20"/>
                <w:szCs w:val="20"/>
              </w:rPr>
              <w:t xml:space="preserve"> </w:t>
            </w:r>
            <w:r>
              <w:rPr>
                <w:spacing w:val="2"/>
                <w:sz w:val="20"/>
                <w:szCs w:val="20"/>
              </w:rPr>
              <w:t>东溪。</w:t>
            </w:r>
          </w:p>
          <w:p w14:paraId="01E37A2D">
            <w:pPr>
              <w:pStyle w:val="6"/>
              <w:spacing w:before="2" w:line="251" w:lineRule="auto"/>
              <w:ind w:left="65" w:right="49"/>
              <w:jc w:val="both"/>
              <w:rPr>
                <w:sz w:val="20"/>
                <w:szCs w:val="20"/>
              </w:rPr>
            </w:pPr>
            <w:r>
              <w:rPr>
                <w:rFonts w:ascii="Times New Roman" w:hAnsi="Times New Roman" w:eastAsia="Times New Roman" w:cs="Times New Roman"/>
                <w:spacing w:val="7"/>
                <w:sz w:val="20"/>
                <w:szCs w:val="20"/>
              </w:rPr>
              <w:t>3-4.</w:t>
            </w:r>
            <w:r>
              <w:rPr>
                <w:rFonts w:ascii="Times New Roman" w:hAnsi="Times New Roman" w:eastAsia="Times New Roman" w:cs="Times New Roman"/>
                <w:spacing w:val="-5"/>
                <w:sz w:val="20"/>
                <w:szCs w:val="20"/>
              </w:rPr>
              <w:t xml:space="preserve"> </w:t>
            </w:r>
            <w:r>
              <w:rPr>
                <w:spacing w:val="7"/>
                <w:sz w:val="20"/>
                <w:szCs w:val="20"/>
              </w:rPr>
              <w:t>。项目配套建设生产废</w:t>
            </w:r>
            <w:r>
              <w:rPr>
                <w:sz w:val="20"/>
                <w:szCs w:val="20"/>
              </w:rPr>
              <w:t xml:space="preserve"> </w:t>
            </w:r>
            <w:r>
              <w:rPr>
                <w:spacing w:val="5"/>
                <w:sz w:val="20"/>
                <w:szCs w:val="20"/>
              </w:rPr>
              <w:t>水处理站、生活污水预处理</w:t>
            </w:r>
            <w:r>
              <w:rPr>
                <w:sz w:val="20"/>
                <w:szCs w:val="20"/>
              </w:rPr>
              <w:t xml:space="preserve"> </w:t>
            </w:r>
            <w:r>
              <w:rPr>
                <w:spacing w:val="12"/>
                <w:sz w:val="20"/>
                <w:szCs w:val="20"/>
              </w:rPr>
              <w:t>设施，项</w:t>
            </w:r>
            <w:r>
              <w:rPr>
                <w:spacing w:val="-28"/>
                <w:sz w:val="20"/>
                <w:szCs w:val="20"/>
              </w:rPr>
              <w:t xml:space="preserve"> </w:t>
            </w:r>
            <w:r>
              <w:rPr>
                <w:spacing w:val="12"/>
                <w:sz w:val="20"/>
                <w:szCs w:val="20"/>
              </w:rPr>
              <w:t>目生产废水</w:t>
            </w:r>
            <w:r>
              <w:rPr>
                <w:spacing w:val="-58"/>
                <w:sz w:val="20"/>
                <w:szCs w:val="20"/>
              </w:rPr>
              <w:t xml:space="preserve"> </w:t>
            </w:r>
            <w:r>
              <w:rPr>
                <w:spacing w:val="12"/>
                <w:sz w:val="20"/>
                <w:szCs w:val="20"/>
              </w:rPr>
              <w:t>、生</w:t>
            </w:r>
            <w:r>
              <w:rPr>
                <w:sz w:val="20"/>
                <w:szCs w:val="20"/>
              </w:rPr>
              <w:t xml:space="preserve"> </w:t>
            </w:r>
            <w:r>
              <w:rPr>
                <w:spacing w:val="22"/>
                <w:sz w:val="20"/>
                <w:szCs w:val="20"/>
              </w:rPr>
              <w:t>活污水经处理达标后排入</w:t>
            </w:r>
            <w:r>
              <w:rPr>
                <w:spacing w:val="4"/>
                <w:sz w:val="20"/>
                <w:szCs w:val="20"/>
              </w:rPr>
              <w:t xml:space="preserve"> </w:t>
            </w:r>
            <w:r>
              <w:rPr>
                <w:spacing w:val="18"/>
                <w:sz w:val="20"/>
                <w:szCs w:val="20"/>
              </w:rPr>
              <w:t>污水管网</w:t>
            </w:r>
            <w:r>
              <w:rPr>
                <w:spacing w:val="-50"/>
                <w:sz w:val="20"/>
                <w:szCs w:val="20"/>
              </w:rPr>
              <w:t xml:space="preserve"> </w:t>
            </w:r>
            <w:r>
              <w:rPr>
                <w:spacing w:val="18"/>
                <w:sz w:val="20"/>
                <w:szCs w:val="20"/>
              </w:rPr>
              <w:t>，最后汇入可塘</w:t>
            </w:r>
            <w:r>
              <w:rPr>
                <w:sz w:val="20"/>
                <w:szCs w:val="20"/>
              </w:rPr>
              <w:t xml:space="preserve"> </w:t>
            </w:r>
            <w:r>
              <w:rPr>
                <w:spacing w:val="15"/>
                <w:sz w:val="20"/>
                <w:szCs w:val="20"/>
              </w:rPr>
              <w:t>镇污水处理厂。</w:t>
            </w:r>
          </w:p>
          <w:p w14:paraId="1096986A">
            <w:pPr>
              <w:pStyle w:val="6"/>
              <w:spacing w:before="1" w:line="251" w:lineRule="auto"/>
              <w:ind w:left="64" w:right="49" w:firstLine="1"/>
              <w:jc w:val="both"/>
              <w:rPr>
                <w:sz w:val="20"/>
                <w:szCs w:val="20"/>
              </w:rPr>
            </w:pPr>
            <w:r>
              <w:rPr>
                <w:rFonts w:ascii="Times New Roman" w:hAnsi="Times New Roman" w:eastAsia="Times New Roman" w:cs="Times New Roman"/>
                <w:spacing w:val="10"/>
                <w:sz w:val="20"/>
                <w:szCs w:val="20"/>
              </w:rPr>
              <w:t>3-5.</w:t>
            </w:r>
            <w:r>
              <w:rPr>
                <w:spacing w:val="10"/>
                <w:sz w:val="20"/>
                <w:szCs w:val="20"/>
              </w:rPr>
              <w:t>项目从事宝石的加工，</w:t>
            </w:r>
            <w:r>
              <w:rPr>
                <w:spacing w:val="3"/>
                <w:sz w:val="20"/>
                <w:szCs w:val="20"/>
              </w:rPr>
              <w:t xml:space="preserve"> </w:t>
            </w:r>
            <w:r>
              <w:rPr>
                <w:spacing w:val="5"/>
                <w:sz w:val="20"/>
                <w:szCs w:val="20"/>
              </w:rPr>
              <w:t>不涉及采石场、露天施工场</w:t>
            </w:r>
            <w:r>
              <w:rPr>
                <w:spacing w:val="1"/>
                <w:sz w:val="20"/>
                <w:szCs w:val="20"/>
              </w:rPr>
              <w:t xml:space="preserve"> </w:t>
            </w:r>
            <w:r>
              <w:rPr>
                <w:spacing w:val="5"/>
                <w:sz w:val="20"/>
                <w:szCs w:val="20"/>
              </w:rPr>
              <w:t>地、水泥制品行业堆场地等</w:t>
            </w:r>
            <w:r>
              <w:rPr>
                <w:sz w:val="20"/>
                <w:szCs w:val="20"/>
              </w:rPr>
              <w:t xml:space="preserve"> </w:t>
            </w:r>
            <w:r>
              <w:rPr>
                <w:spacing w:val="6"/>
                <w:sz w:val="20"/>
                <w:szCs w:val="20"/>
              </w:rPr>
              <w:t>扬尘面源。</w:t>
            </w:r>
          </w:p>
          <w:p w14:paraId="72C97B99">
            <w:pPr>
              <w:pStyle w:val="6"/>
              <w:spacing w:before="7" w:line="251" w:lineRule="auto"/>
              <w:ind w:left="65"/>
              <w:jc w:val="both"/>
              <w:rPr>
                <w:sz w:val="20"/>
                <w:szCs w:val="20"/>
              </w:rPr>
            </w:pPr>
            <w:r>
              <w:rPr>
                <w:rFonts w:ascii="Times New Roman" w:hAnsi="Times New Roman" w:eastAsia="Times New Roman" w:cs="Times New Roman"/>
                <w:spacing w:val="9"/>
                <w:sz w:val="20"/>
                <w:szCs w:val="20"/>
              </w:rPr>
              <w:t>3-6.</w:t>
            </w:r>
            <w:r>
              <w:rPr>
                <w:spacing w:val="9"/>
                <w:sz w:val="20"/>
                <w:szCs w:val="20"/>
              </w:rPr>
              <w:t>项目位于可塘镇圆山岭</w:t>
            </w:r>
            <w:r>
              <w:rPr>
                <w:sz w:val="20"/>
                <w:szCs w:val="20"/>
              </w:rPr>
              <w:t xml:space="preserve"> </w:t>
            </w:r>
            <w:r>
              <w:rPr>
                <w:spacing w:val="3"/>
                <w:sz w:val="20"/>
                <w:szCs w:val="20"/>
              </w:rPr>
              <w:t>开发区，有成熟的垃圾转运</w:t>
            </w:r>
            <w:r>
              <w:rPr>
                <w:spacing w:val="4"/>
                <w:sz w:val="20"/>
                <w:szCs w:val="20"/>
              </w:rPr>
              <w:t xml:space="preserve"> </w:t>
            </w:r>
            <w:r>
              <w:rPr>
                <w:spacing w:val="3"/>
                <w:sz w:val="20"/>
                <w:szCs w:val="20"/>
              </w:rPr>
              <w:t>系统，且项目不位于竹仔坑</w:t>
            </w:r>
            <w:r>
              <w:rPr>
                <w:spacing w:val="6"/>
                <w:sz w:val="20"/>
                <w:szCs w:val="20"/>
              </w:rPr>
              <w:t xml:space="preserve"> </w:t>
            </w:r>
            <w:r>
              <w:rPr>
                <w:spacing w:val="-7"/>
                <w:sz w:val="20"/>
                <w:szCs w:val="20"/>
              </w:rPr>
              <w:t>水库、大液河、丽江、黄江、</w:t>
            </w:r>
            <w:r>
              <w:rPr>
                <w:spacing w:val="1"/>
                <w:sz w:val="20"/>
                <w:szCs w:val="20"/>
              </w:rPr>
              <w:t xml:space="preserve"> </w:t>
            </w:r>
            <w:r>
              <w:rPr>
                <w:spacing w:val="3"/>
                <w:sz w:val="20"/>
                <w:szCs w:val="20"/>
              </w:rPr>
              <w:t>东溪河等水体附近，不会排</w:t>
            </w:r>
            <w:r>
              <w:rPr>
                <w:spacing w:val="6"/>
                <w:sz w:val="20"/>
                <w:szCs w:val="20"/>
              </w:rPr>
              <w:t xml:space="preserve"> </w:t>
            </w:r>
            <w:r>
              <w:rPr>
                <w:spacing w:val="3"/>
                <w:sz w:val="20"/>
                <w:szCs w:val="20"/>
              </w:rPr>
              <w:t>放、倾倒生活垃圾、建筑垃</w:t>
            </w:r>
            <w:r>
              <w:rPr>
                <w:spacing w:val="6"/>
                <w:sz w:val="20"/>
                <w:szCs w:val="20"/>
              </w:rPr>
              <w:t xml:space="preserve"> 圾或者其他废弃物。</w:t>
            </w:r>
          </w:p>
        </w:tc>
        <w:tc>
          <w:tcPr>
            <w:tcW w:w="658" w:type="dxa"/>
            <w:tcBorders>
              <w:top w:val="single" w:color="000000" w:sz="6" w:space="0"/>
            </w:tcBorders>
            <w:vAlign w:val="top"/>
          </w:tcPr>
          <w:p w14:paraId="1BCB2BE4">
            <w:pPr>
              <w:rPr>
                <w:rFonts w:ascii="Arial"/>
                <w:sz w:val="21"/>
              </w:rPr>
            </w:pPr>
          </w:p>
        </w:tc>
        <w:tc>
          <w:tcPr>
            <w:tcW w:w="185" w:type="dxa"/>
            <w:vMerge w:val="restart"/>
            <w:tcBorders>
              <w:top w:val="single" w:color="000000" w:sz="6" w:space="0"/>
              <w:bottom w:val="nil"/>
              <w:right w:val="single" w:color="000000" w:sz="6" w:space="0"/>
            </w:tcBorders>
            <w:vAlign w:val="top"/>
          </w:tcPr>
          <w:p w14:paraId="77F9F4FD">
            <w:pPr>
              <w:rPr>
                <w:rFonts w:ascii="Arial"/>
                <w:sz w:val="21"/>
              </w:rPr>
            </w:pPr>
          </w:p>
        </w:tc>
      </w:tr>
      <w:tr w14:paraId="74373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5" w:hRule="atLeast"/>
        </w:trPr>
        <w:tc>
          <w:tcPr>
            <w:tcW w:w="469" w:type="dxa"/>
            <w:vMerge w:val="continue"/>
            <w:tcBorders>
              <w:top w:val="nil"/>
              <w:left w:val="single" w:color="000000" w:sz="6" w:space="0"/>
              <w:bottom w:val="nil"/>
            </w:tcBorders>
            <w:vAlign w:val="top"/>
          </w:tcPr>
          <w:p w14:paraId="402E9439">
            <w:pPr>
              <w:rPr>
                <w:rFonts w:ascii="Arial"/>
                <w:sz w:val="21"/>
              </w:rPr>
            </w:pPr>
          </w:p>
        </w:tc>
        <w:tc>
          <w:tcPr>
            <w:tcW w:w="175" w:type="dxa"/>
            <w:vMerge w:val="continue"/>
            <w:tcBorders>
              <w:top w:val="nil"/>
              <w:bottom w:val="nil"/>
            </w:tcBorders>
            <w:vAlign w:val="top"/>
          </w:tcPr>
          <w:p w14:paraId="6E29E59C">
            <w:pPr>
              <w:rPr>
                <w:rFonts w:ascii="Arial"/>
                <w:sz w:val="21"/>
              </w:rPr>
            </w:pPr>
          </w:p>
        </w:tc>
        <w:tc>
          <w:tcPr>
            <w:tcW w:w="521" w:type="dxa"/>
            <w:vMerge w:val="continue"/>
            <w:tcBorders>
              <w:top w:val="nil"/>
            </w:tcBorders>
            <w:vAlign w:val="top"/>
          </w:tcPr>
          <w:p w14:paraId="5535824B">
            <w:pPr>
              <w:rPr>
                <w:rFonts w:ascii="Arial"/>
                <w:sz w:val="21"/>
              </w:rPr>
            </w:pPr>
          </w:p>
        </w:tc>
        <w:tc>
          <w:tcPr>
            <w:tcW w:w="699" w:type="dxa"/>
            <w:vAlign w:val="top"/>
          </w:tcPr>
          <w:p w14:paraId="5C83A3F1">
            <w:pPr>
              <w:spacing w:line="276" w:lineRule="auto"/>
              <w:rPr>
                <w:rFonts w:ascii="Arial"/>
                <w:sz w:val="21"/>
              </w:rPr>
            </w:pPr>
          </w:p>
          <w:p w14:paraId="0A926D43">
            <w:pPr>
              <w:spacing w:line="276" w:lineRule="auto"/>
              <w:rPr>
                <w:rFonts w:ascii="Arial"/>
                <w:sz w:val="21"/>
              </w:rPr>
            </w:pPr>
          </w:p>
          <w:p w14:paraId="36AD0A2C">
            <w:pPr>
              <w:spacing w:line="276" w:lineRule="auto"/>
              <w:rPr>
                <w:rFonts w:ascii="Arial"/>
                <w:sz w:val="21"/>
              </w:rPr>
            </w:pPr>
          </w:p>
          <w:p w14:paraId="0ED57D1F">
            <w:pPr>
              <w:spacing w:line="276" w:lineRule="auto"/>
              <w:rPr>
                <w:rFonts w:ascii="Arial"/>
                <w:sz w:val="21"/>
              </w:rPr>
            </w:pPr>
          </w:p>
          <w:p w14:paraId="536EBA3A">
            <w:pPr>
              <w:spacing w:line="276" w:lineRule="auto"/>
              <w:rPr>
                <w:rFonts w:ascii="Arial"/>
                <w:sz w:val="21"/>
              </w:rPr>
            </w:pPr>
          </w:p>
          <w:p w14:paraId="09792988">
            <w:pPr>
              <w:spacing w:line="276" w:lineRule="auto"/>
              <w:rPr>
                <w:rFonts w:ascii="Arial"/>
                <w:sz w:val="21"/>
              </w:rPr>
            </w:pPr>
          </w:p>
          <w:p w14:paraId="4F550CFC">
            <w:pPr>
              <w:pStyle w:val="6"/>
              <w:spacing w:before="65" w:line="228" w:lineRule="auto"/>
              <w:ind w:left="135"/>
              <w:rPr>
                <w:sz w:val="20"/>
                <w:szCs w:val="20"/>
              </w:rPr>
            </w:pPr>
            <w:r>
              <w:rPr>
                <w:spacing w:val="7"/>
                <w:sz w:val="20"/>
                <w:szCs w:val="20"/>
              </w:rPr>
              <w:t>环境</w:t>
            </w:r>
          </w:p>
          <w:p w14:paraId="0813F79B">
            <w:pPr>
              <w:pStyle w:val="6"/>
              <w:spacing w:before="26" w:line="228" w:lineRule="auto"/>
              <w:ind w:left="135"/>
              <w:rPr>
                <w:sz w:val="20"/>
                <w:szCs w:val="20"/>
              </w:rPr>
            </w:pPr>
            <w:r>
              <w:rPr>
                <w:spacing w:val="6"/>
                <w:sz w:val="20"/>
                <w:szCs w:val="20"/>
              </w:rPr>
              <w:t>风险</w:t>
            </w:r>
          </w:p>
          <w:p w14:paraId="2DB350E6">
            <w:pPr>
              <w:pStyle w:val="6"/>
              <w:spacing w:before="24" w:line="228" w:lineRule="auto"/>
              <w:ind w:left="148"/>
              <w:rPr>
                <w:sz w:val="20"/>
                <w:szCs w:val="20"/>
              </w:rPr>
            </w:pPr>
            <w:r>
              <w:rPr>
                <w:sz w:val="20"/>
                <w:szCs w:val="20"/>
              </w:rPr>
              <w:t>防控</w:t>
            </w:r>
          </w:p>
        </w:tc>
        <w:tc>
          <w:tcPr>
            <w:tcW w:w="3585" w:type="dxa"/>
            <w:vAlign w:val="top"/>
          </w:tcPr>
          <w:p w14:paraId="59F22815">
            <w:pPr>
              <w:pStyle w:val="6"/>
              <w:spacing w:before="236" w:line="250" w:lineRule="auto"/>
              <w:ind w:left="58" w:right="55" w:hanging="6"/>
              <w:rPr>
                <w:sz w:val="20"/>
                <w:szCs w:val="20"/>
              </w:rPr>
            </w:pPr>
            <w:r>
              <w:rPr>
                <w:rFonts w:ascii="Times New Roman" w:hAnsi="Times New Roman" w:eastAsia="Times New Roman" w:cs="Times New Roman"/>
                <w:spacing w:val="8"/>
                <w:sz w:val="20"/>
                <w:szCs w:val="20"/>
              </w:rPr>
              <w:t>4-1.</w:t>
            </w:r>
            <w:r>
              <w:rPr>
                <w:spacing w:val="8"/>
                <w:sz w:val="20"/>
                <w:szCs w:val="20"/>
              </w:rPr>
              <w:t>禁止在江河、水库集水区域使用剧</w:t>
            </w:r>
            <w:r>
              <w:rPr>
                <w:spacing w:val="2"/>
                <w:sz w:val="20"/>
                <w:szCs w:val="20"/>
              </w:rPr>
              <w:t xml:space="preserve"> </w:t>
            </w:r>
            <w:r>
              <w:rPr>
                <w:spacing w:val="7"/>
                <w:sz w:val="20"/>
                <w:szCs w:val="20"/>
              </w:rPr>
              <w:t>毒和高残留农药。</w:t>
            </w:r>
          </w:p>
          <w:p w14:paraId="39B4490E">
            <w:pPr>
              <w:pStyle w:val="6"/>
              <w:spacing w:before="9" w:line="251" w:lineRule="auto"/>
              <w:ind w:left="56" w:hanging="4"/>
              <w:rPr>
                <w:sz w:val="20"/>
                <w:szCs w:val="20"/>
              </w:rPr>
            </w:pPr>
            <w:r>
              <w:rPr>
                <w:rFonts w:ascii="Times New Roman" w:hAnsi="Times New Roman" w:eastAsia="Times New Roman" w:cs="Times New Roman"/>
                <w:spacing w:val="17"/>
                <w:sz w:val="20"/>
                <w:szCs w:val="20"/>
              </w:rPr>
              <w:t>4-2.</w:t>
            </w:r>
            <w:r>
              <w:rPr>
                <w:rFonts w:ascii="Times New Roman" w:hAnsi="Times New Roman" w:eastAsia="Times New Roman" w:cs="Times New Roman"/>
                <w:spacing w:val="-18"/>
                <w:sz w:val="20"/>
                <w:szCs w:val="20"/>
              </w:rPr>
              <w:t xml:space="preserve"> </w:t>
            </w:r>
            <w:r>
              <w:rPr>
                <w:spacing w:val="17"/>
                <w:sz w:val="20"/>
                <w:szCs w:val="20"/>
              </w:rPr>
              <w:t>生产经营活动涉及有毒有害物质</w:t>
            </w:r>
            <w:r>
              <w:rPr>
                <w:sz w:val="20"/>
                <w:szCs w:val="20"/>
              </w:rPr>
              <w:t xml:space="preserve"> </w:t>
            </w:r>
            <w:r>
              <w:rPr>
                <w:spacing w:val="7"/>
                <w:sz w:val="20"/>
                <w:szCs w:val="20"/>
              </w:rPr>
              <w:t>的企业需持续防止有毒有害物质渗漏、</w:t>
            </w:r>
            <w:r>
              <w:rPr>
                <w:spacing w:val="2"/>
                <w:sz w:val="20"/>
                <w:szCs w:val="20"/>
              </w:rPr>
              <w:t xml:space="preserve"> </w:t>
            </w:r>
            <w:r>
              <w:rPr>
                <w:spacing w:val="3"/>
                <w:sz w:val="20"/>
                <w:szCs w:val="20"/>
              </w:rPr>
              <w:t>流失、扬散。土壤环境污染重点监管单</w:t>
            </w:r>
            <w:r>
              <w:rPr>
                <w:sz w:val="20"/>
                <w:szCs w:val="20"/>
              </w:rPr>
              <w:t xml:space="preserve"> </w:t>
            </w:r>
            <w:r>
              <w:rPr>
                <w:spacing w:val="2"/>
                <w:sz w:val="20"/>
                <w:szCs w:val="20"/>
              </w:rPr>
              <w:t>位涉及有毒有害物质的生产装置、储罐</w:t>
            </w:r>
            <w:r>
              <w:rPr>
                <w:spacing w:val="14"/>
                <w:sz w:val="20"/>
                <w:szCs w:val="20"/>
              </w:rPr>
              <w:t xml:space="preserve"> </w:t>
            </w:r>
            <w:r>
              <w:rPr>
                <w:spacing w:val="3"/>
                <w:sz w:val="20"/>
                <w:szCs w:val="20"/>
              </w:rPr>
              <w:t>和管道，或者建设污水处理池、应急池</w:t>
            </w:r>
            <w:r>
              <w:rPr>
                <w:sz w:val="20"/>
                <w:szCs w:val="20"/>
              </w:rPr>
              <w:t xml:space="preserve"> </w:t>
            </w:r>
            <w:r>
              <w:rPr>
                <w:spacing w:val="2"/>
                <w:sz w:val="20"/>
                <w:szCs w:val="20"/>
              </w:rPr>
              <w:t>等存在土壤污染风险的设施，应当按照</w:t>
            </w:r>
            <w:r>
              <w:rPr>
                <w:spacing w:val="14"/>
                <w:sz w:val="20"/>
                <w:szCs w:val="20"/>
              </w:rPr>
              <w:t xml:space="preserve"> </w:t>
            </w:r>
            <w:r>
              <w:rPr>
                <w:spacing w:val="3"/>
                <w:sz w:val="20"/>
                <w:szCs w:val="20"/>
              </w:rPr>
              <w:t>国家有关标准和规范的要求，设计、建</w:t>
            </w:r>
            <w:r>
              <w:rPr>
                <w:sz w:val="20"/>
                <w:szCs w:val="20"/>
              </w:rPr>
              <w:t xml:space="preserve"> </w:t>
            </w:r>
            <w:r>
              <w:rPr>
                <w:spacing w:val="3"/>
                <w:sz w:val="20"/>
                <w:szCs w:val="20"/>
              </w:rPr>
              <w:t>设和安装有关防腐蚀、防泄漏设施和泄</w:t>
            </w:r>
            <w:r>
              <w:rPr>
                <w:sz w:val="20"/>
                <w:szCs w:val="20"/>
              </w:rPr>
              <w:t xml:space="preserve"> </w:t>
            </w:r>
            <w:r>
              <w:rPr>
                <w:spacing w:val="3"/>
                <w:sz w:val="20"/>
                <w:szCs w:val="20"/>
              </w:rPr>
              <w:t>漏监测装置，防止有毒有害物质污染土</w:t>
            </w:r>
            <w:r>
              <w:rPr>
                <w:sz w:val="20"/>
                <w:szCs w:val="20"/>
              </w:rPr>
              <w:t xml:space="preserve"> </w:t>
            </w:r>
            <w:r>
              <w:rPr>
                <w:spacing w:val="3"/>
                <w:sz w:val="20"/>
                <w:szCs w:val="20"/>
              </w:rPr>
              <w:t>壤和地下水，并应定期对重点区域、重</w:t>
            </w:r>
            <w:r>
              <w:rPr>
                <w:sz w:val="20"/>
                <w:szCs w:val="20"/>
              </w:rPr>
              <w:t xml:space="preserve"> </w:t>
            </w:r>
            <w:r>
              <w:rPr>
                <w:spacing w:val="15"/>
                <w:sz w:val="20"/>
                <w:szCs w:val="20"/>
              </w:rPr>
              <w:t>点设施开展隐患排查，发现污染隐患</w:t>
            </w:r>
            <w:r>
              <w:rPr>
                <w:spacing w:val="8"/>
                <w:sz w:val="20"/>
                <w:szCs w:val="20"/>
              </w:rPr>
              <w:t xml:space="preserve"> </w:t>
            </w:r>
            <w:r>
              <w:rPr>
                <w:spacing w:val="-5"/>
                <w:sz w:val="20"/>
                <w:szCs w:val="20"/>
              </w:rPr>
              <w:t>的，及时采取技术、管理措施消除隐患。</w:t>
            </w:r>
          </w:p>
        </w:tc>
        <w:tc>
          <w:tcPr>
            <w:tcW w:w="2582" w:type="dxa"/>
            <w:vAlign w:val="top"/>
          </w:tcPr>
          <w:p w14:paraId="09C6003E">
            <w:pPr>
              <w:pStyle w:val="6"/>
              <w:spacing w:before="41" w:line="251" w:lineRule="auto"/>
              <w:ind w:left="63" w:right="54" w:hanging="3"/>
              <w:rPr>
                <w:sz w:val="20"/>
                <w:szCs w:val="20"/>
              </w:rPr>
            </w:pPr>
            <w:r>
              <w:rPr>
                <w:rFonts w:ascii="Times New Roman" w:hAnsi="Times New Roman" w:eastAsia="Times New Roman" w:cs="Times New Roman"/>
                <w:spacing w:val="14"/>
                <w:sz w:val="20"/>
                <w:szCs w:val="20"/>
              </w:rPr>
              <w:t>4-1.</w:t>
            </w:r>
            <w:r>
              <w:rPr>
                <w:rFonts w:ascii="Times New Roman" w:hAnsi="Times New Roman" w:eastAsia="Times New Roman" w:cs="Times New Roman"/>
                <w:spacing w:val="-5"/>
                <w:sz w:val="20"/>
                <w:szCs w:val="20"/>
              </w:rPr>
              <w:t xml:space="preserve"> </w:t>
            </w:r>
            <w:r>
              <w:rPr>
                <w:spacing w:val="14"/>
                <w:sz w:val="20"/>
                <w:szCs w:val="20"/>
              </w:rPr>
              <w:t>项</w:t>
            </w:r>
            <w:r>
              <w:rPr>
                <w:spacing w:val="-24"/>
                <w:sz w:val="20"/>
                <w:szCs w:val="20"/>
              </w:rPr>
              <w:t xml:space="preserve"> </w:t>
            </w:r>
            <w:r>
              <w:rPr>
                <w:spacing w:val="14"/>
                <w:sz w:val="20"/>
                <w:szCs w:val="20"/>
              </w:rPr>
              <w:t>目所属</w:t>
            </w:r>
            <w:r>
              <w:rPr>
                <w:spacing w:val="-60"/>
                <w:sz w:val="20"/>
                <w:szCs w:val="20"/>
              </w:rPr>
              <w:t xml:space="preserve"> </w:t>
            </w:r>
            <w:r>
              <w:rPr>
                <w:spacing w:val="14"/>
                <w:sz w:val="20"/>
                <w:szCs w:val="20"/>
              </w:rPr>
              <w:t>行业为珠宝</w:t>
            </w:r>
            <w:r>
              <w:rPr>
                <w:sz w:val="20"/>
                <w:szCs w:val="20"/>
              </w:rPr>
              <w:t xml:space="preserve"> </w:t>
            </w:r>
            <w:r>
              <w:rPr>
                <w:spacing w:val="4"/>
                <w:sz w:val="20"/>
                <w:szCs w:val="20"/>
              </w:rPr>
              <w:t>首饰及有关物品制造，不涉</w:t>
            </w:r>
            <w:r>
              <w:rPr>
                <w:spacing w:val="8"/>
                <w:sz w:val="20"/>
                <w:szCs w:val="20"/>
              </w:rPr>
              <w:t xml:space="preserve"> </w:t>
            </w:r>
            <w:r>
              <w:rPr>
                <w:spacing w:val="4"/>
                <w:sz w:val="20"/>
                <w:szCs w:val="20"/>
              </w:rPr>
              <w:t>及在江河、水库集水区域使</w:t>
            </w:r>
            <w:r>
              <w:rPr>
                <w:spacing w:val="8"/>
                <w:sz w:val="20"/>
                <w:szCs w:val="20"/>
              </w:rPr>
              <w:t xml:space="preserve"> 用剧毒和高残留农药。</w:t>
            </w:r>
          </w:p>
          <w:p w14:paraId="4AD029D9">
            <w:pPr>
              <w:pStyle w:val="6"/>
              <w:spacing w:before="5" w:line="251" w:lineRule="auto"/>
              <w:ind w:left="63" w:right="49" w:hanging="3"/>
              <w:rPr>
                <w:sz w:val="20"/>
                <w:szCs w:val="20"/>
              </w:rPr>
            </w:pPr>
            <w:r>
              <w:rPr>
                <w:rFonts w:ascii="Times New Roman" w:hAnsi="Times New Roman" w:eastAsia="Times New Roman" w:cs="Times New Roman"/>
                <w:spacing w:val="10"/>
                <w:sz w:val="20"/>
                <w:szCs w:val="20"/>
              </w:rPr>
              <w:t>4-2.</w:t>
            </w:r>
            <w:r>
              <w:rPr>
                <w:spacing w:val="10"/>
                <w:sz w:val="20"/>
                <w:szCs w:val="20"/>
              </w:rPr>
              <w:t>项目对生产车间、废水</w:t>
            </w:r>
            <w:r>
              <w:rPr>
                <w:spacing w:val="4"/>
                <w:sz w:val="20"/>
                <w:szCs w:val="20"/>
              </w:rPr>
              <w:t xml:space="preserve"> 收集管道、化学品仓库、危</w:t>
            </w:r>
            <w:r>
              <w:rPr>
                <w:spacing w:val="8"/>
                <w:sz w:val="20"/>
                <w:szCs w:val="20"/>
              </w:rPr>
              <w:t xml:space="preserve"> </w:t>
            </w:r>
            <w:r>
              <w:rPr>
                <w:spacing w:val="4"/>
                <w:sz w:val="20"/>
                <w:szCs w:val="20"/>
              </w:rPr>
              <w:t>废暂存间，废水处理站等防</w:t>
            </w:r>
            <w:r>
              <w:rPr>
                <w:spacing w:val="8"/>
                <w:sz w:val="20"/>
                <w:szCs w:val="20"/>
              </w:rPr>
              <w:t xml:space="preserve"> </w:t>
            </w:r>
            <w:r>
              <w:rPr>
                <w:spacing w:val="4"/>
                <w:sz w:val="20"/>
                <w:szCs w:val="20"/>
              </w:rPr>
              <w:t>渗、防腐，防止有毒有害物</w:t>
            </w:r>
            <w:r>
              <w:rPr>
                <w:spacing w:val="8"/>
                <w:sz w:val="20"/>
                <w:szCs w:val="20"/>
              </w:rPr>
              <w:t xml:space="preserve"> </w:t>
            </w:r>
            <w:r>
              <w:rPr>
                <w:spacing w:val="5"/>
                <w:sz w:val="20"/>
                <w:szCs w:val="20"/>
              </w:rPr>
              <w:t>质渗漏、流失、扬散。项目</w:t>
            </w:r>
            <w:r>
              <w:rPr>
                <w:sz w:val="20"/>
                <w:szCs w:val="20"/>
              </w:rPr>
              <w:t xml:space="preserve"> </w:t>
            </w:r>
            <w:r>
              <w:rPr>
                <w:spacing w:val="23"/>
                <w:sz w:val="20"/>
                <w:szCs w:val="20"/>
              </w:rPr>
              <w:t>的生产废水处理和事故应</w:t>
            </w:r>
            <w:r>
              <w:rPr>
                <w:spacing w:val="8"/>
                <w:sz w:val="20"/>
                <w:szCs w:val="20"/>
              </w:rPr>
              <w:t xml:space="preserve"> </w:t>
            </w:r>
            <w:r>
              <w:rPr>
                <w:spacing w:val="23"/>
                <w:sz w:val="20"/>
                <w:szCs w:val="20"/>
              </w:rPr>
              <w:t>急池等按照国家有关标准</w:t>
            </w:r>
            <w:r>
              <w:rPr>
                <w:spacing w:val="6"/>
                <w:sz w:val="20"/>
                <w:szCs w:val="20"/>
              </w:rPr>
              <w:t xml:space="preserve"> </w:t>
            </w:r>
            <w:r>
              <w:rPr>
                <w:spacing w:val="5"/>
                <w:sz w:val="20"/>
                <w:szCs w:val="20"/>
              </w:rPr>
              <w:t>和规范的要求，设计、建设</w:t>
            </w:r>
            <w:r>
              <w:rPr>
                <w:sz w:val="20"/>
                <w:szCs w:val="20"/>
              </w:rPr>
              <w:t xml:space="preserve"> </w:t>
            </w:r>
            <w:r>
              <w:rPr>
                <w:spacing w:val="5"/>
                <w:sz w:val="20"/>
                <w:szCs w:val="20"/>
              </w:rPr>
              <w:t>和安装有关防腐蚀、防泄漏</w:t>
            </w:r>
            <w:r>
              <w:rPr>
                <w:spacing w:val="1"/>
                <w:sz w:val="20"/>
                <w:szCs w:val="20"/>
              </w:rPr>
              <w:t xml:space="preserve"> </w:t>
            </w:r>
            <w:r>
              <w:rPr>
                <w:spacing w:val="5"/>
                <w:sz w:val="20"/>
                <w:szCs w:val="20"/>
              </w:rPr>
              <w:t>设施，防止污染土壤和地下</w:t>
            </w:r>
            <w:r>
              <w:rPr>
                <w:spacing w:val="1"/>
                <w:sz w:val="20"/>
                <w:szCs w:val="20"/>
              </w:rPr>
              <w:t xml:space="preserve"> </w:t>
            </w:r>
            <w:r>
              <w:rPr>
                <w:sz w:val="20"/>
                <w:szCs w:val="20"/>
              </w:rPr>
              <w:t>水。</w:t>
            </w:r>
          </w:p>
        </w:tc>
        <w:tc>
          <w:tcPr>
            <w:tcW w:w="658" w:type="dxa"/>
            <w:vAlign w:val="top"/>
          </w:tcPr>
          <w:p w14:paraId="17301A00">
            <w:pPr>
              <w:rPr>
                <w:rFonts w:ascii="Arial"/>
                <w:sz w:val="21"/>
              </w:rPr>
            </w:pPr>
          </w:p>
          <w:p w14:paraId="6B53A844">
            <w:pPr>
              <w:spacing w:line="241" w:lineRule="auto"/>
              <w:rPr>
                <w:rFonts w:ascii="Arial"/>
                <w:sz w:val="21"/>
              </w:rPr>
            </w:pPr>
          </w:p>
          <w:p w14:paraId="73A18AB2">
            <w:pPr>
              <w:spacing w:line="241" w:lineRule="auto"/>
              <w:rPr>
                <w:rFonts w:ascii="Arial"/>
                <w:sz w:val="21"/>
              </w:rPr>
            </w:pPr>
          </w:p>
          <w:p w14:paraId="68BCEEBB">
            <w:pPr>
              <w:spacing w:line="241" w:lineRule="auto"/>
              <w:rPr>
                <w:rFonts w:ascii="Arial"/>
                <w:sz w:val="21"/>
              </w:rPr>
            </w:pPr>
          </w:p>
          <w:p w14:paraId="733B2518">
            <w:pPr>
              <w:spacing w:line="241" w:lineRule="auto"/>
              <w:rPr>
                <w:rFonts w:ascii="Arial"/>
                <w:sz w:val="21"/>
              </w:rPr>
            </w:pPr>
          </w:p>
          <w:p w14:paraId="07116DCF">
            <w:pPr>
              <w:spacing w:line="241" w:lineRule="auto"/>
              <w:rPr>
                <w:rFonts w:ascii="Arial"/>
                <w:sz w:val="21"/>
              </w:rPr>
            </w:pPr>
          </w:p>
          <w:p w14:paraId="1CB067F2">
            <w:pPr>
              <w:spacing w:line="241" w:lineRule="auto"/>
              <w:rPr>
                <w:rFonts w:ascii="Arial"/>
                <w:sz w:val="21"/>
              </w:rPr>
            </w:pPr>
          </w:p>
          <w:p w14:paraId="6EDAAE1C">
            <w:pPr>
              <w:spacing w:line="241" w:lineRule="auto"/>
              <w:rPr>
                <w:rFonts w:ascii="Arial"/>
                <w:sz w:val="21"/>
              </w:rPr>
            </w:pPr>
          </w:p>
          <w:p w14:paraId="70F2BF10">
            <w:pPr>
              <w:pStyle w:val="6"/>
              <w:spacing w:before="65" w:line="228" w:lineRule="auto"/>
              <w:ind w:left="125"/>
              <w:rPr>
                <w:sz w:val="20"/>
                <w:szCs w:val="20"/>
              </w:rPr>
            </w:pPr>
            <w:r>
              <w:rPr>
                <w:spacing w:val="7"/>
                <w:sz w:val="20"/>
                <w:szCs w:val="20"/>
              </w:rPr>
              <w:t>相符</w:t>
            </w:r>
          </w:p>
        </w:tc>
        <w:tc>
          <w:tcPr>
            <w:tcW w:w="185" w:type="dxa"/>
            <w:vMerge w:val="continue"/>
            <w:tcBorders>
              <w:top w:val="nil"/>
              <w:bottom w:val="nil"/>
              <w:right w:val="single" w:color="000000" w:sz="6" w:space="0"/>
            </w:tcBorders>
            <w:vAlign w:val="top"/>
          </w:tcPr>
          <w:p w14:paraId="61AC6262">
            <w:pPr>
              <w:rPr>
                <w:rFonts w:ascii="Arial"/>
                <w:sz w:val="21"/>
              </w:rPr>
            </w:pPr>
          </w:p>
        </w:tc>
      </w:tr>
      <w:tr w14:paraId="4A8EB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69" w:type="dxa"/>
            <w:vMerge w:val="continue"/>
            <w:tcBorders>
              <w:top w:val="nil"/>
              <w:left w:val="single" w:color="000000" w:sz="6" w:space="0"/>
              <w:bottom w:val="single" w:color="000000" w:sz="6" w:space="0"/>
            </w:tcBorders>
            <w:vAlign w:val="top"/>
          </w:tcPr>
          <w:p w14:paraId="7D3DF757">
            <w:pPr>
              <w:rPr>
                <w:rFonts w:ascii="Arial"/>
                <w:sz w:val="21"/>
              </w:rPr>
            </w:pPr>
          </w:p>
        </w:tc>
        <w:tc>
          <w:tcPr>
            <w:tcW w:w="8405" w:type="dxa"/>
            <w:gridSpan w:val="7"/>
            <w:tcBorders>
              <w:bottom w:val="single" w:color="000000" w:sz="6" w:space="0"/>
              <w:right w:val="single" w:color="000000" w:sz="6" w:space="0"/>
            </w:tcBorders>
            <w:vAlign w:val="top"/>
          </w:tcPr>
          <w:p w14:paraId="08FD71F4">
            <w:pPr>
              <w:pStyle w:val="6"/>
              <w:spacing w:before="168" w:line="359" w:lineRule="auto"/>
              <w:ind w:left="109" w:right="46" w:firstLine="507"/>
            </w:pPr>
            <w:r>
              <w:rPr>
                <w:spacing w:val="-12"/>
              </w:rPr>
              <w:t>由上表可知，本项目建设符合《汕尾市生态环境局关于印发汕尾市</w:t>
            </w:r>
            <w:r>
              <w:rPr>
                <w:rFonts w:ascii="Times New Roman" w:hAnsi="Times New Roman" w:eastAsia="Times New Roman" w:cs="Times New Roman"/>
                <w:spacing w:val="-12"/>
              </w:rPr>
              <w:t>“</w:t>
            </w:r>
            <w:r>
              <w:rPr>
                <w:spacing w:val="-12"/>
              </w:rPr>
              <w:t>三线一单</w:t>
            </w:r>
            <w:r>
              <w:rPr>
                <w:rFonts w:ascii="Times New Roman" w:hAnsi="Times New Roman" w:eastAsia="Times New Roman" w:cs="Times New Roman"/>
                <w:spacing w:val="-12"/>
              </w:rPr>
              <w:t>”</w:t>
            </w:r>
            <w:r>
              <w:rPr>
                <w:rFonts w:ascii="Times New Roman" w:hAnsi="Times New Roman" w:eastAsia="Times New Roman" w:cs="Times New Roman"/>
                <w:spacing w:val="17"/>
                <w:w w:val="101"/>
              </w:rPr>
              <w:t xml:space="preserve"> </w:t>
            </w:r>
            <w:r>
              <w:rPr>
                <w:spacing w:val="-10"/>
              </w:rPr>
              <w:t>生态环境分区管控方案</w:t>
            </w:r>
            <w:r>
              <w:rPr>
                <w:rFonts w:ascii="Times New Roman" w:hAnsi="Times New Roman" w:eastAsia="Times New Roman" w:cs="Times New Roman"/>
                <w:spacing w:val="-10"/>
              </w:rPr>
              <w:t>(</w:t>
            </w:r>
            <w:r>
              <w:rPr>
                <w:spacing w:val="-10"/>
              </w:rPr>
              <w:t>修订版</w:t>
            </w:r>
            <w:r>
              <w:rPr>
                <w:rFonts w:ascii="Times New Roman" w:hAnsi="Times New Roman" w:eastAsia="Times New Roman" w:cs="Times New Roman"/>
                <w:spacing w:val="-10"/>
              </w:rPr>
              <w:t>)</w:t>
            </w:r>
            <w:r>
              <w:rPr>
                <w:spacing w:val="-10"/>
              </w:rPr>
              <w:t>》的通知》（汕府〔</w:t>
            </w:r>
            <w:r>
              <w:rPr>
                <w:rFonts w:ascii="Times New Roman" w:hAnsi="Times New Roman" w:eastAsia="Times New Roman" w:cs="Times New Roman"/>
                <w:spacing w:val="-10"/>
              </w:rPr>
              <w:t>2024</w:t>
            </w:r>
            <w:r>
              <w:rPr>
                <w:spacing w:val="-10"/>
              </w:rPr>
              <w:t>〕</w:t>
            </w:r>
            <w:r>
              <w:rPr>
                <w:rFonts w:ascii="Times New Roman" w:hAnsi="Times New Roman" w:eastAsia="Times New Roman" w:cs="Times New Roman"/>
                <w:spacing w:val="-10"/>
              </w:rPr>
              <w:t>1</w:t>
            </w:r>
            <w:r>
              <w:rPr>
                <w:rFonts w:ascii="Times New Roman" w:hAnsi="Times New Roman" w:eastAsia="Times New Roman" w:cs="Times New Roman"/>
                <w:spacing w:val="-11"/>
              </w:rPr>
              <w:t>54</w:t>
            </w:r>
            <w:r>
              <w:rPr>
                <w:spacing w:val="-11"/>
              </w:rPr>
              <w:t>号）。</w:t>
            </w:r>
          </w:p>
          <w:p w14:paraId="30F4591F">
            <w:pPr>
              <w:pStyle w:val="6"/>
              <w:spacing w:line="219" w:lineRule="auto"/>
              <w:ind w:left="586"/>
            </w:pPr>
            <w:r>
              <w:rPr>
                <w:rFonts w:ascii="Times New Roman" w:hAnsi="Times New Roman" w:eastAsia="Times New Roman" w:cs="Times New Roman"/>
                <w:b/>
                <w:bCs/>
                <w:spacing w:val="-3"/>
              </w:rPr>
              <w:t>5</w:t>
            </w:r>
            <w:r>
              <w:rPr>
                <w:rFonts w:ascii="Times New Roman" w:hAnsi="Times New Roman" w:eastAsia="Times New Roman" w:cs="Times New Roman"/>
                <w:b/>
                <w:bCs/>
                <w:spacing w:val="-26"/>
              </w:rPr>
              <w:t xml:space="preserve"> </w:t>
            </w:r>
            <w:r>
              <w:rPr>
                <w:b/>
                <w:bCs/>
                <w:spacing w:val="-3"/>
              </w:rPr>
              <w:t>、与相关生态环境保护法律法规政策、生态环境保护规划的符合性：</w:t>
            </w:r>
          </w:p>
          <w:p w14:paraId="72B1D9B4">
            <w:pPr>
              <w:pStyle w:val="6"/>
              <w:spacing w:before="183" w:line="219" w:lineRule="auto"/>
              <w:ind w:left="591"/>
            </w:pPr>
            <w:r>
              <w:rPr>
                <w:spacing w:val="-1"/>
              </w:rPr>
              <w:t>项目与相关政策的相符性分析见下表：</w:t>
            </w:r>
          </w:p>
        </w:tc>
      </w:tr>
    </w:tbl>
    <w:p w14:paraId="1FCDEAEC">
      <w:pPr>
        <w:rPr>
          <w:rFonts w:ascii="Arial"/>
          <w:sz w:val="21"/>
        </w:rPr>
      </w:pPr>
    </w:p>
    <w:p w14:paraId="175B52F3">
      <w:pPr>
        <w:rPr>
          <w:rFonts w:ascii="Arial" w:hAnsi="Arial" w:eastAsia="Arial" w:cs="Arial"/>
          <w:sz w:val="21"/>
          <w:szCs w:val="21"/>
        </w:rPr>
        <w:sectPr>
          <w:footerReference r:id="rId16" w:type="default"/>
          <w:pgSz w:w="11906" w:h="16839"/>
          <w:pgMar w:top="400" w:right="1508" w:bottom="1240" w:left="1508" w:header="0" w:footer="1078" w:gutter="0"/>
          <w:cols w:space="720" w:num="1"/>
        </w:sectPr>
      </w:pPr>
    </w:p>
    <w:p w14:paraId="04693E56">
      <w:pPr>
        <w:spacing w:before="19"/>
      </w:pPr>
      <w:r>
        <w:pict>
          <v:shape id="_x0000_s1029" o:spid="_x0000_s1029" style="position:absolute;left:0pt;margin-left:105.95pt;margin-top:753.8pt;height:0.5pt;width:406.4pt;mso-position-horizontal-relative:page;mso-position-vertical-relative:page;z-index:-251653120;mso-width-relative:page;mso-height-relative:page;" filled="f" stroked="t" coordsize="8127,10" o:allowincell="f" path="m0,4l8127,4e">
            <v:fill on="f" focussize="0,0"/>
            <v:stroke weight="0.48pt" color="#000000" miterlimit="2" joinstyle="bevel"/>
            <v:imagedata o:title=""/>
            <o:lock v:ext="edit"/>
          </v:shape>
        </w:pict>
      </w:r>
    </w:p>
    <w:p w14:paraId="34AA0DBA">
      <w:pPr>
        <w:spacing w:before="19"/>
      </w:pPr>
    </w:p>
    <w:p w14:paraId="69BF23F4">
      <w:pPr>
        <w:spacing w:before="19"/>
      </w:pPr>
    </w:p>
    <w:p w14:paraId="686D8887">
      <w:pPr>
        <w:spacing w:before="18"/>
      </w:pPr>
    </w:p>
    <w:p w14:paraId="004F4A0F">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46"/>
        <w:gridCol w:w="690"/>
        <w:gridCol w:w="3599"/>
        <w:gridCol w:w="2907"/>
        <w:gridCol w:w="908"/>
        <w:gridCol w:w="155"/>
      </w:tblGrid>
      <w:tr w14:paraId="709D4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469" w:type="dxa"/>
            <w:vMerge w:val="restart"/>
            <w:tcBorders>
              <w:top w:val="single" w:color="000000" w:sz="6" w:space="0"/>
              <w:left w:val="single" w:color="000000" w:sz="6" w:space="0"/>
              <w:bottom w:val="nil"/>
            </w:tcBorders>
            <w:vAlign w:val="top"/>
          </w:tcPr>
          <w:p w14:paraId="0F1AFFBE">
            <w:pPr>
              <w:rPr>
                <w:rFonts w:ascii="Arial"/>
                <w:sz w:val="21"/>
              </w:rPr>
            </w:pPr>
          </w:p>
        </w:tc>
        <w:tc>
          <w:tcPr>
            <w:tcW w:w="8405" w:type="dxa"/>
            <w:gridSpan w:val="6"/>
            <w:tcBorders>
              <w:top w:val="single" w:color="000000" w:sz="6" w:space="0"/>
              <w:right w:val="single" w:color="000000" w:sz="6" w:space="0"/>
            </w:tcBorders>
            <w:vAlign w:val="top"/>
          </w:tcPr>
          <w:p w14:paraId="2C0EBCB2">
            <w:pPr>
              <w:spacing w:line="363" w:lineRule="auto"/>
              <w:rPr>
                <w:rFonts w:ascii="Arial"/>
                <w:sz w:val="21"/>
              </w:rPr>
            </w:pPr>
          </w:p>
          <w:p w14:paraId="5B218211">
            <w:pPr>
              <w:pStyle w:val="6"/>
              <w:spacing w:before="78" w:line="219" w:lineRule="auto"/>
              <w:ind w:left="2448"/>
            </w:pPr>
            <w:r>
              <w:rPr>
                <w:b/>
                <w:bCs/>
                <w:spacing w:val="-3"/>
              </w:rPr>
              <w:t>表</w:t>
            </w:r>
            <w:r>
              <w:rPr>
                <w:spacing w:val="-34"/>
              </w:rPr>
              <w:t xml:space="preserve"> </w:t>
            </w:r>
            <w:r>
              <w:rPr>
                <w:rFonts w:ascii="Times New Roman" w:hAnsi="Times New Roman" w:eastAsia="Times New Roman" w:cs="Times New Roman"/>
                <w:b/>
                <w:bCs/>
                <w:spacing w:val="-3"/>
              </w:rPr>
              <w:t xml:space="preserve">1-4    </w:t>
            </w:r>
            <w:r>
              <w:rPr>
                <w:b/>
                <w:bCs/>
                <w:spacing w:val="-3"/>
              </w:rPr>
              <w:t>项目与相关政策的相符性</w:t>
            </w:r>
          </w:p>
        </w:tc>
      </w:tr>
      <w:tr w14:paraId="1AD29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69" w:type="dxa"/>
            <w:vMerge w:val="continue"/>
            <w:tcBorders>
              <w:top w:val="nil"/>
              <w:left w:val="single" w:color="000000" w:sz="6" w:space="0"/>
              <w:bottom w:val="nil"/>
            </w:tcBorders>
            <w:vAlign w:val="top"/>
          </w:tcPr>
          <w:p w14:paraId="745A21B9">
            <w:pPr>
              <w:rPr>
                <w:rFonts w:ascii="Arial"/>
                <w:sz w:val="21"/>
              </w:rPr>
            </w:pPr>
          </w:p>
        </w:tc>
        <w:tc>
          <w:tcPr>
            <w:tcW w:w="146" w:type="dxa"/>
            <w:tcBorders>
              <w:top w:val="nil"/>
              <w:bottom w:val="nil"/>
            </w:tcBorders>
            <w:vAlign w:val="top"/>
          </w:tcPr>
          <w:p w14:paraId="7BF715B2">
            <w:pPr>
              <w:rPr>
                <w:rFonts w:ascii="Arial"/>
                <w:sz w:val="21"/>
              </w:rPr>
            </w:pPr>
          </w:p>
        </w:tc>
        <w:tc>
          <w:tcPr>
            <w:tcW w:w="690" w:type="dxa"/>
            <w:vAlign w:val="top"/>
          </w:tcPr>
          <w:p w14:paraId="12BB56D2">
            <w:pPr>
              <w:pStyle w:val="6"/>
              <w:spacing w:before="102" w:line="229" w:lineRule="auto"/>
              <w:ind w:left="132"/>
              <w:rPr>
                <w:sz w:val="20"/>
                <w:szCs w:val="20"/>
              </w:rPr>
            </w:pPr>
            <w:r>
              <w:rPr>
                <w:spacing w:val="5"/>
                <w:sz w:val="20"/>
                <w:szCs w:val="20"/>
              </w:rPr>
              <w:t>序号</w:t>
            </w:r>
          </w:p>
        </w:tc>
        <w:tc>
          <w:tcPr>
            <w:tcW w:w="3599" w:type="dxa"/>
            <w:vAlign w:val="top"/>
          </w:tcPr>
          <w:p w14:paraId="13DCD12C">
            <w:pPr>
              <w:pStyle w:val="6"/>
              <w:spacing w:before="103" w:line="228" w:lineRule="auto"/>
              <w:ind w:left="1381"/>
              <w:rPr>
                <w:sz w:val="20"/>
                <w:szCs w:val="20"/>
              </w:rPr>
            </w:pPr>
            <w:r>
              <w:rPr>
                <w:spacing w:val="7"/>
                <w:sz w:val="20"/>
                <w:szCs w:val="20"/>
              </w:rPr>
              <w:t>政策要求</w:t>
            </w:r>
          </w:p>
        </w:tc>
        <w:tc>
          <w:tcPr>
            <w:tcW w:w="2907" w:type="dxa"/>
            <w:vAlign w:val="top"/>
          </w:tcPr>
          <w:p w14:paraId="3D282965">
            <w:pPr>
              <w:pStyle w:val="6"/>
              <w:spacing w:before="102" w:line="228" w:lineRule="auto"/>
              <w:ind w:left="1045"/>
              <w:rPr>
                <w:sz w:val="20"/>
                <w:szCs w:val="20"/>
              </w:rPr>
            </w:pPr>
            <w:r>
              <w:rPr>
                <w:spacing w:val="6"/>
                <w:sz w:val="20"/>
                <w:szCs w:val="20"/>
              </w:rPr>
              <w:t>项目内容</w:t>
            </w:r>
          </w:p>
        </w:tc>
        <w:tc>
          <w:tcPr>
            <w:tcW w:w="908" w:type="dxa"/>
            <w:vAlign w:val="top"/>
          </w:tcPr>
          <w:p w14:paraId="6299066C">
            <w:pPr>
              <w:pStyle w:val="6"/>
              <w:spacing w:before="102" w:line="228" w:lineRule="auto"/>
              <w:ind w:left="151"/>
              <w:rPr>
                <w:sz w:val="20"/>
                <w:szCs w:val="20"/>
              </w:rPr>
            </w:pPr>
            <w:r>
              <w:rPr>
                <w:spacing w:val="6"/>
                <w:sz w:val="20"/>
                <w:szCs w:val="20"/>
              </w:rPr>
              <w:t>相符性</w:t>
            </w:r>
          </w:p>
        </w:tc>
        <w:tc>
          <w:tcPr>
            <w:tcW w:w="155" w:type="dxa"/>
            <w:vMerge w:val="restart"/>
            <w:tcBorders>
              <w:top w:val="nil"/>
              <w:bottom w:val="nil"/>
              <w:right w:val="single" w:color="000000" w:sz="6" w:space="0"/>
            </w:tcBorders>
            <w:vAlign w:val="top"/>
          </w:tcPr>
          <w:p w14:paraId="3BB3ED39">
            <w:pPr>
              <w:rPr>
                <w:rFonts w:ascii="Arial"/>
                <w:sz w:val="21"/>
              </w:rPr>
            </w:pPr>
          </w:p>
        </w:tc>
      </w:tr>
      <w:tr w14:paraId="531A3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69" w:type="dxa"/>
            <w:vMerge w:val="continue"/>
            <w:tcBorders>
              <w:top w:val="nil"/>
              <w:left w:val="single" w:color="000000" w:sz="6" w:space="0"/>
              <w:bottom w:val="nil"/>
            </w:tcBorders>
            <w:vAlign w:val="top"/>
          </w:tcPr>
          <w:p w14:paraId="18765B12">
            <w:pPr>
              <w:rPr>
                <w:rFonts w:ascii="Arial"/>
                <w:sz w:val="21"/>
              </w:rPr>
            </w:pPr>
          </w:p>
        </w:tc>
        <w:tc>
          <w:tcPr>
            <w:tcW w:w="146" w:type="dxa"/>
            <w:tcBorders>
              <w:top w:val="nil"/>
              <w:bottom w:val="nil"/>
            </w:tcBorders>
            <w:vAlign w:val="top"/>
          </w:tcPr>
          <w:p w14:paraId="18AADAEB">
            <w:pPr>
              <w:rPr>
                <w:rFonts w:ascii="Arial"/>
                <w:sz w:val="21"/>
              </w:rPr>
            </w:pPr>
          </w:p>
        </w:tc>
        <w:tc>
          <w:tcPr>
            <w:tcW w:w="8104" w:type="dxa"/>
            <w:gridSpan w:val="4"/>
            <w:vAlign w:val="top"/>
          </w:tcPr>
          <w:p w14:paraId="483814FB">
            <w:pPr>
              <w:pStyle w:val="6"/>
              <w:spacing w:before="45" w:line="239" w:lineRule="auto"/>
              <w:ind w:left="190" w:right="98" w:hanging="67"/>
              <w:rPr>
                <w:sz w:val="20"/>
                <w:szCs w:val="20"/>
              </w:rPr>
            </w:pPr>
            <w:r>
              <w:rPr>
                <w:rFonts w:ascii="Times New Roman" w:hAnsi="Times New Roman" w:eastAsia="Times New Roman" w:cs="Times New Roman"/>
                <w:spacing w:val="8"/>
                <w:sz w:val="20"/>
                <w:szCs w:val="20"/>
              </w:rPr>
              <w:t>1.</w:t>
            </w:r>
            <w:r>
              <w:rPr>
                <w:spacing w:val="8"/>
                <w:sz w:val="20"/>
                <w:szCs w:val="20"/>
              </w:rPr>
              <w:t>广东省人民政府关于印发《广东省生态文明建设</w:t>
            </w:r>
            <w:r>
              <w:rPr>
                <w:rFonts w:ascii="Times New Roman" w:hAnsi="Times New Roman" w:eastAsia="Times New Roman" w:cs="Times New Roman"/>
                <w:spacing w:val="8"/>
                <w:sz w:val="20"/>
                <w:szCs w:val="20"/>
              </w:rPr>
              <w:t>“</w:t>
            </w:r>
            <w:r>
              <w:rPr>
                <w:spacing w:val="8"/>
                <w:sz w:val="20"/>
                <w:szCs w:val="20"/>
              </w:rPr>
              <w:t>十四五</w:t>
            </w:r>
            <w:r>
              <w:rPr>
                <w:rFonts w:ascii="Times New Roman" w:hAnsi="Times New Roman" w:eastAsia="Times New Roman" w:cs="Times New Roman"/>
                <w:spacing w:val="8"/>
                <w:sz w:val="20"/>
                <w:szCs w:val="20"/>
              </w:rPr>
              <w:t>”</w:t>
            </w:r>
            <w:r>
              <w:rPr>
                <w:spacing w:val="8"/>
                <w:sz w:val="20"/>
                <w:szCs w:val="20"/>
              </w:rPr>
              <w:t>规划》的通知（粤府﹝</w:t>
            </w:r>
            <w:r>
              <w:rPr>
                <w:rFonts w:ascii="Times New Roman" w:hAnsi="Times New Roman" w:eastAsia="Times New Roman" w:cs="Times New Roman"/>
                <w:spacing w:val="8"/>
                <w:sz w:val="20"/>
                <w:szCs w:val="20"/>
              </w:rPr>
              <w:t>2021</w:t>
            </w:r>
            <w:r>
              <w:rPr>
                <w:rFonts w:ascii="Times New Roman" w:hAnsi="Times New Roman" w:eastAsia="Times New Roman" w:cs="Times New Roman"/>
                <w:spacing w:val="13"/>
                <w:sz w:val="20"/>
                <w:szCs w:val="20"/>
              </w:rPr>
              <w:t xml:space="preserve"> </w:t>
            </w:r>
            <w:r>
              <w:rPr>
                <w:spacing w:val="-16"/>
                <w:sz w:val="20"/>
                <w:szCs w:val="20"/>
              </w:rPr>
              <w:t>﹞</w:t>
            </w:r>
            <w:r>
              <w:rPr>
                <w:rFonts w:ascii="Times New Roman" w:hAnsi="Times New Roman" w:eastAsia="Times New Roman" w:cs="Times New Roman"/>
                <w:spacing w:val="-16"/>
                <w:sz w:val="20"/>
                <w:szCs w:val="20"/>
              </w:rPr>
              <w:t>61</w:t>
            </w:r>
            <w:r>
              <w:rPr>
                <w:rFonts w:ascii="Times New Roman" w:hAnsi="Times New Roman" w:eastAsia="Times New Roman" w:cs="Times New Roman"/>
                <w:spacing w:val="19"/>
                <w:sz w:val="20"/>
                <w:szCs w:val="20"/>
              </w:rPr>
              <w:t xml:space="preserve"> </w:t>
            </w:r>
            <w:r>
              <w:rPr>
                <w:spacing w:val="-16"/>
                <w:sz w:val="20"/>
                <w:szCs w:val="20"/>
              </w:rPr>
              <w:t>号）</w:t>
            </w:r>
          </w:p>
        </w:tc>
        <w:tc>
          <w:tcPr>
            <w:tcW w:w="155" w:type="dxa"/>
            <w:vMerge w:val="continue"/>
            <w:tcBorders>
              <w:top w:val="nil"/>
              <w:bottom w:val="nil"/>
              <w:right w:val="single" w:color="000000" w:sz="6" w:space="0"/>
            </w:tcBorders>
            <w:vAlign w:val="top"/>
          </w:tcPr>
          <w:p w14:paraId="0DA6A048">
            <w:pPr>
              <w:rPr>
                <w:rFonts w:ascii="Arial"/>
                <w:sz w:val="21"/>
              </w:rPr>
            </w:pPr>
          </w:p>
        </w:tc>
      </w:tr>
      <w:tr w14:paraId="36C73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69" w:type="dxa"/>
            <w:vMerge w:val="continue"/>
            <w:tcBorders>
              <w:top w:val="nil"/>
              <w:left w:val="single" w:color="000000" w:sz="6" w:space="0"/>
              <w:bottom w:val="nil"/>
            </w:tcBorders>
            <w:vAlign w:val="top"/>
          </w:tcPr>
          <w:p w14:paraId="7434C2A9">
            <w:pPr>
              <w:rPr>
                <w:rFonts w:ascii="Arial"/>
                <w:sz w:val="21"/>
              </w:rPr>
            </w:pPr>
          </w:p>
        </w:tc>
        <w:tc>
          <w:tcPr>
            <w:tcW w:w="146" w:type="dxa"/>
            <w:tcBorders>
              <w:top w:val="nil"/>
              <w:bottom w:val="nil"/>
            </w:tcBorders>
            <w:vAlign w:val="top"/>
          </w:tcPr>
          <w:p w14:paraId="1D6DE324">
            <w:pPr>
              <w:rPr>
                <w:rFonts w:ascii="Arial"/>
                <w:sz w:val="21"/>
              </w:rPr>
            </w:pPr>
          </w:p>
        </w:tc>
        <w:tc>
          <w:tcPr>
            <w:tcW w:w="690" w:type="dxa"/>
            <w:vAlign w:val="top"/>
          </w:tcPr>
          <w:p w14:paraId="38234798">
            <w:pPr>
              <w:spacing w:line="249" w:lineRule="auto"/>
              <w:rPr>
                <w:rFonts w:ascii="Arial"/>
                <w:sz w:val="21"/>
              </w:rPr>
            </w:pPr>
          </w:p>
          <w:p w14:paraId="6D6CAC51">
            <w:pPr>
              <w:spacing w:line="249" w:lineRule="auto"/>
              <w:rPr>
                <w:rFonts w:ascii="Arial"/>
                <w:sz w:val="21"/>
              </w:rPr>
            </w:pPr>
          </w:p>
          <w:p w14:paraId="55B73707">
            <w:pPr>
              <w:spacing w:line="250" w:lineRule="auto"/>
              <w:rPr>
                <w:rFonts w:ascii="Arial"/>
                <w:sz w:val="21"/>
              </w:rPr>
            </w:pPr>
          </w:p>
          <w:p w14:paraId="479853AC">
            <w:pPr>
              <w:spacing w:line="250" w:lineRule="auto"/>
              <w:rPr>
                <w:rFonts w:ascii="Arial"/>
                <w:sz w:val="21"/>
              </w:rPr>
            </w:pPr>
          </w:p>
          <w:p w14:paraId="09FF8AEE">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3599" w:type="dxa"/>
            <w:vAlign w:val="top"/>
          </w:tcPr>
          <w:p w14:paraId="62BBE02F">
            <w:pPr>
              <w:pStyle w:val="6"/>
              <w:spacing w:before="214" w:line="251" w:lineRule="auto"/>
              <w:ind w:left="107" w:right="105"/>
              <w:rPr>
                <w:sz w:val="20"/>
                <w:szCs w:val="20"/>
              </w:rPr>
            </w:pPr>
            <w:r>
              <w:rPr>
                <w:spacing w:val="11"/>
                <w:sz w:val="20"/>
                <w:szCs w:val="20"/>
              </w:rPr>
              <w:t>全面推进节水型社会建设。严格水资</w:t>
            </w:r>
            <w:r>
              <w:rPr>
                <w:spacing w:val="3"/>
                <w:sz w:val="20"/>
                <w:szCs w:val="20"/>
              </w:rPr>
              <w:t xml:space="preserve"> </w:t>
            </w:r>
            <w:r>
              <w:rPr>
                <w:spacing w:val="11"/>
                <w:sz w:val="20"/>
                <w:szCs w:val="20"/>
              </w:rPr>
              <w:t>源刚性约束，全面落实最严格水资源</w:t>
            </w:r>
            <w:r>
              <w:rPr>
                <w:spacing w:val="4"/>
                <w:sz w:val="20"/>
                <w:szCs w:val="20"/>
              </w:rPr>
              <w:t xml:space="preserve"> </w:t>
            </w:r>
            <w:r>
              <w:rPr>
                <w:spacing w:val="11"/>
                <w:sz w:val="20"/>
                <w:szCs w:val="20"/>
              </w:rPr>
              <w:t>管理制度，实施水资源消耗总量和强</w:t>
            </w:r>
            <w:r>
              <w:rPr>
                <w:spacing w:val="4"/>
                <w:sz w:val="20"/>
                <w:szCs w:val="20"/>
              </w:rPr>
              <w:t xml:space="preserve"> </w:t>
            </w:r>
            <w:r>
              <w:rPr>
                <w:spacing w:val="12"/>
                <w:sz w:val="20"/>
                <w:szCs w:val="20"/>
              </w:rPr>
              <w:t>度</w:t>
            </w:r>
            <w:r>
              <w:rPr>
                <w:rFonts w:ascii="Times New Roman" w:hAnsi="Times New Roman" w:eastAsia="Times New Roman" w:cs="Times New Roman"/>
                <w:spacing w:val="12"/>
                <w:sz w:val="20"/>
                <w:szCs w:val="20"/>
              </w:rPr>
              <w:t>“</w:t>
            </w:r>
            <w:r>
              <w:rPr>
                <w:spacing w:val="12"/>
                <w:sz w:val="20"/>
                <w:szCs w:val="20"/>
              </w:rPr>
              <w:t>双控</w:t>
            </w:r>
            <w:r>
              <w:rPr>
                <w:rFonts w:ascii="Times New Roman" w:hAnsi="Times New Roman" w:eastAsia="Times New Roman" w:cs="Times New Roman"/>
                <w:spacing w:val="12"/>
                <w:sz w:val="20"/>
                <w:szCs w:val="20"/>
              </w:rPr>
              <w:t>”</w:t>
            </w:r>
            <w:r>
              <w:rPr>
                <w:spacing w:val="12"/>
                <w:sz w:val="20"/>
                <w:szCs w:val="20"/>
              </w:rPr>
              <w:t>行动，健全用水总量和用水</w:t>
            </w:r>
            <w:r>
              <w:rPr>
                <w:sz w:val="20"/>
                <w:szCs w:val="20"/>
              </w:rPr>
              <w:t xml:space="preserve"> </w:t>
            </w:r>
            <w:r>
              <w:rPr>
                <w:spacing w:val="11"/>
                <w:sz w:val="20"/>
                <w:szCs w:val="20"/>
              </w:rPr>
              <w:t>强度管控指标体系，逐步将用水总量</w:t>
            </w:r>
            <w:r>
              <w:rPr>
                <w:spacing w:val="4"/>
                <w:sz w:val="20"/>
                <w:szCs w:val="20"/>
              </w:rPr>
              <w:t xml:space="preserve"> </w:t>
            </w:r>
            <w:r>
              <w:rPr>
                <w:spacing w:val="11"/>
                <w:sz w:val="20"/>
                <w:szCs w:val="20"/>
              </w:rPr>
              <w:t>和用水强度控制指标分解落实到江、</w:t>
            </w:r>
            <w:r>
              <w:rPr>
                <w:spacing w:val="4"/>
                <w:sz w:val="20"/>
                <w:szCs w:val="20"/>
              </w:rPr>
              <w:t xml:space="preserve"> </w:t>
            </w:r>
            <w:r>
              <w:rPr>
                <w:spacing w:val="8"/>
                <w:sz w:val="20"/>
                <w:szCs w:val="20"/>
              </w:rPr>
              <w:t>河、湖、库等地表水源和地下水源。</w:t>
            </w:r>
          </w:p>
        </w:tc>
        <w:tc>
          <w:tcPr>
            <w:tcW w:w="2907" w:type="dxa"/>
            <w:vAlign w:val="top"/>
          </w:tcPr>
          <w:p w14:paraId="66695C99">
            <w:pPr>
              <w:spacing w:line="277" w:lineRule="auto"/>
              <w:rPr>
                <w:rFonts w:ascii="Arial"/>
                <w:sz w:val="21"/>
              </w:rPr>
            </w:pPr>
          </w:p>
          <w:p w14:paraId="0C7B70E8">
            <w:pPr>
              <w:pStyle w:val="6"/>
              <w:spacing w:before="65" w:line="252" w:lineRule="auto"/>
              <w:ind w:left="113" w:right="101"/>
              <w:jc w:val="both"/>
              <w:rPr>
                <w:sz w:val="20"/>
                <w:szCs w:val="20"/>
              </w:rPr>
            </w:pPr>
            <w:r>
              <w:rPr>
                <w:spacing w:val="6"/>
                <w:sz w:val="20"/>
                <w:szCs w:val="20"/>
              </w:rPr>
              <w:t>本项目注胶加工部需要用水，</w:t>
            </w:r>
            <w:r>
              <w:rPr>
                <w:spacing w:val="7"/>
                <w:sz w:val="20"/>
                <w:szCs w:val="20"/>
              </w:rPr>
              <w:t xml:space="preserve"> </w:t>
            </w:r>
            <w:r>
              <w:rPr>
                <w:spacing w:val="23"/>
                <w:sz w:val="20"/>
                <w:szCs w:val="20"/>
              </w:rPr>
              <w:t>泡酸工序用水严格控制单位</w:t>
            </w:r>
            <w:r>
              <w:rPr>
                <w:spacing w:val="10"/>
                <w:sz w:val="20"/>
                <w:szCs w:val="20"/>
              </w:rPr>
              <w:t xml:space="preserve"> </w:t>
            </w:r>
            <w:r>
              <w:rPr>
                <w:spacing w:val="6"/>
                <w:sz w:val="20"/>
                <w:szCs w:val="20"/>
              </w:rPr>
              <w:t>产品用水指标。另外本项目清</w:t>
            </w:r>
            <w:r>
              <w:rPr>
                <w:spacing w:val="5"/>
                <w:sz w:val="20"/>
                <w:szCs w:val="20"/>
              </w:rPr>
              <w:t xml:space="preserve"> </w:t>
            </w:r>
            <w:r>
              <w:rPr>
                <w:spacing w:val="23"/>
                <w:sz w:val="20"/>
                <w:szCs w:val="20"/>
              </w:rPr>
              <w:t>洁生产水平按国内先进水平</w:t>
            </w:r>
            <w:r>
              <w:rPr>
                <w:spacing w:val="10"/>
                <w:sz w:val="20"/>
                <w:szCs w:val="20"/>
              </w:rPr>
              <w:t xml:space="preserve"> </w:t>
            </w:r>
            <w:r>
              <w:rPr>
                <w:spacing w:val="6"/>
                <w:sz w:val="20"/>
                <w:szCs w:val="20"/>
              </w:rPr>
              <w:t>设计，可满足行业清洁生产要</w:t>
            </w:r>
            <w:r>
              <w:rPr>
                <w:spacing w:val="5"/>
                <w:sz w:val="20"/>
                <w:szCs w:val="20"/>
              </w:rPr>
              <w:t xml:space="preserve"> </w:t>
            </w:r>
            <w:r>
              <w:rPr>
                <w:sz w:val="20"/>
                <w:szCs w:val="20"/>
              </w:rPr>
              <w:t>求。</w:t>
            </w:r>
          </w:p>
        </w:tc>
        <w:tc>
          <w:tcPr>
            <w:tcW w:w="908" w:type="dxa"/>
            <w:vAlign w:val="top"/>
          </w:tcPr>
          <w:p w14:paraId="5F20A0A6">
            <w:pPr>
              <w:spacing w:line="318" w:lineRule="auto"/>
              <w:rPr>
                <w:rFonts w:ascii="Arial"/>
                <w:sz w:val="21"/>
              </w:rPr>
            </w:pPr>
          </w:p>
          <w:p w14:paraId="779F2A34">
            <w:pPr>
              <w:spacing w:line="318" w:lineRule="auto"/>
              <w:rPr>
                <w:rFonts w:ascii="Arial"/>
                <w:sz w:val="21"/>
              </w:rPr>
            </w:pPr>
          </w:p>
          <w:p w14:paraId="1B2CED4A">
            <w:pPr>
              <w:spacing w:line="319" w:lineRule="auto"/>
              <w:rPr>
                <w:rFonts w:ascii="Arial"/>
                <w:sz w:val="21"/>
              </w:rPr>
            </w:pPr>
          </w:p>
          <w:p w14:paraId="317F2700">
            <w:pPr>
              <w:pStyle w:val="6"/>
              <w:spacing w:before="65" w:line="228" w:lineRule="auto"/>
              <w:ind w:left="256"/>
              <w:rPr>
                <w:sz w:val="20"/>
                <w:szCs w:val="20"/>
              </w:rPr>
            </w:pPr>
            <w:r>
              <w:rPr>
                <w:spacing w:val="3"/>
                <w:sz w:val="20"/>
                <w:szCs w:val="20"/>
              </w:rPr>
              <w:t>符合</w:t>
            </w:r>
          </w:p>
        </w:tc>
        <w:tc>
          <w:tcPr>
            <w:tcW w:w="155" w:type="dxa"/>
            <w:vMerge w:val="continue"/>
            <w:tcBorders>
              <w:top w:val="nil"/>
              <w:bottom w:val="nil"/>
              <w:right w:val="single" w:color="000000" w:sz="6" w:space="0"/>
            </w:tcBorders>
            <w:vAlign w:val="top"/>
          </w:tcPr>
          <w:p w14:paraId="6E3BB241">
            <w:pPr>
              <w:rPr>
                <w:rFonts w:ascii="Arial"/>
                <w:sz w:val="21"/>
              </w:rPr>
            </w:pPr>
          </w:p>
        </w:tc>
      </w:tr>
      <w:tr w14:paraId="355FB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469" w:type="dxa"/>
            <w:vMerge w:val="continue"/>
            <w:tcBorders>
              <w:top w:val="nil"/>
              <w:left w:val="single" w:color="000000" w:sz="6" w:space="0"/>
              <w:bottom w:val="nil"/>
            </w:tcBorders>
            <w:vAlign w:val="top"/>
          </w:tcPr>
          <w:p w14:paraId="2E25F048">
            <w:pPr>
              <w:rPr>
                <w:rFonts w:ascii="Arial"/>
                <w:sz w:val="21"/>
              </w:rPr>
            </w:pPr>
          </w:p>
        </w:tc>
        <w:tc>
          <w:tcPr>
            <w:tcW w:w="146" w:type="dxa"/>
            <w:tcBorders>
              <w:top w:val="nil"/>
              <w:bottom w:val="nil"/>
            </w:tcBorders>
            <w:vAlign w:val="top"/>
          </w:tcPr>
          <w:p w14:paraId="6B793BEA">
            <w:pPr>
              <w:rPr>
                <w:rFonts w:ascii="Arial"/>
                <w:sz w:val="21"/>
              </w:rPr>
            </w:pPr>
          </w:p>
        </w:tc>
        <w:tc>
          <w:tcPr>
            <w:tcW w:w="690" w:type="dxa"/>
            <w:vAlign w:val="top"/>
          </w:tcPr>
          <w:p w14:paraId="3EF6CB4C">
            <w:pPr>
              <w:spacing w:line="459" w:lineRule="auto"/>
              <w:rPr>
                <w:rFonts w:ascii="Arial"/>
                <w:sz w:val="21"/>
              </w:rPr>
            </w:pPr>
          </w:p>
          <w:p w14:paraId="32CAA18A">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3599" w:type="dxa"/>
            <w:vAlign w:val="top"/>
          </w:tcPr>
          <w:p w14:paraId="4812C09F">
            <w:pPr>
              <w:pStyle w:val="6"/>
              <w:spacing w:before="210" w:line="252" w:lineRule="auto"/>
              <w:ind w:left="112" w:right="105"/>
              <w:jc w:val="both"/>
              <w:rPr>
                <w:sz w:val="20"/>
                <w:szCs w:val="20"/>
              </w:rPr>
            </w:pPr>
            <w:r>
              <w:rPr>
                <w:spacing w:val="10"/>
                <w:sz w:val="20"/>
                <w:szCs w:val="20"/>
              </w:rPr>
              <w:t>实行最严格的耕地保护制度和节约集</w:t>
            </w:r>
            <w:r>
              <w:rPr>
                <w:spacing w:val="14"/>
                <w:sz w:val="20"/>
                <w:szCs w:val="20"/>
              </w:rPr>
              <w:t xml:space="preserve"> </w:t>
            </w:r>
            <w:r>
              <w:rPr>
                <w:spacing w:val="10"/>
                <w:sz w:val="20"/>
                <w:szCs w:val="20"/>
              </w:rPr>
              <w:t>约用地制度。严守耕地保护红线，坚</w:t>
            </w:r>
            <w:r>
              <w:rPr>
                <w:spacing w:val="14"/>
                <w:sz w:val="20"/>
                <w:szCs w:val="20"/>
              </w:rPr>
              <w:t xml:space="preserve"> </w:t>
            </w:r>
            <w:r>
              <w:rPr>
                <w:spacing w:val="7"/>
                <w:sz w:val="20"/>
                <w:szCs w:val="20"/>
              </w:rPr>
              <w:t>决制止各类耕地</w:t>
            </w:r>
            <w:r>
              <w:rPr>
                <w:rFonts w:ascii="Times New Roman" w:hAnsi="Times New Roman" w:eastAsia="Times New Roman" w:cs="Times New Roman"/>
                <w:spacing w:val="7"/>
                <w:sz w:val="20"/>
                <w:szCs w:val="20"/>
              </w:rPr>
              <w:t>“</w:t>
            </w:r>
            <w:r>
              <w:rPr>
                <w:spacing w:val="7"/>
                <w:sz w:val="20"/>
                <w:szCs w:val="20"/>
              </w:rPr>
              <w:t>非农化</w:t>
            </w:r>
            <w:r>
              <w:rPr>
                <w:rFonts w:ascii="Times New Roman" w:hAnsi="Times New Roman" w:eastAsia="Times New Roman" w:cs="Times New Roman"/>
                <w:spacing w:val="7"/>
                <w:sz w:val="20"/>
                <w:szCs w:val="20"/>
              </w:rPr>
              <w:t>”</w:t>
            </w:r>
            <w:r>
              <w:rPr>
                <w:spacing w:val="7"/>
                <w:sz w:val="20"/>
                <w:szCs w:val="20"/>
              </w:rPr>
              <w:t>行为。</w:t>
            </w:r>
          </w:p>
        </w:tc>
        <w:tc>
          <w:tcPr>
            <w:tcW w:w="2907" w:type="dxa"/>
            <w:vAlign w:val="top"/>
          </w:tcPr>
          <w:p w14:paraId="2399FA07">
            <w:pPr>
              <w:spacing w:line="280" w:lineRule="auto"/>
              <w:rPr>
                <w:rFonts w:ascii="Arial"/>
                <w:sz w:val="21"/>
              </w:rPr>
            </w:pPr>
          </w:p>
          <w:p w14:paraId="3E63DFE3">
            <w:pPr>
              <w:pStyle w:val="6"/>
              <w:spacing w:before="65" w:line="252" w:lineRule="auto"/>
              <w:ind w:left="118" w:right="101" w:hanging="1"/>
              <w:rPr>
                <w:sz w:val="20"/>
                <w:szCs w:val="20"/>
              </w:rPr>
            </w:pPr>
            <w:r>
              <w:rPr>
                <w:spacing w:val="18"/>
                <w:sz w:val="20"/>
                <w:szCs w:val="20"/>
              </w:rPr>
              <w:t>项</w:t>
            </w:r>
            <w:r>
              <w:rPr>
                <w:spacing w:val="-34"/>
                <w:sz w:val="20"/>
                <w:szCs w:val="20"/>
              </w:rPr>
              <w:t xml:space="preserve"> </w:t>
            </w:r>
            <w:r>
              <w:rPr>
                <w:spacing w:val="18"/>
                <w:sz w:val="20"/>
                <w:szCs w:val="20"/>
              </w:rPr>
              <w:t>目位于海丰县可塘镇圆山</w:t>
            </w:r>
            <w:r>
              <w:rPr>
                <w:sz w:val="20"/>
                <w:szCs w:val="20"/>
              </w:rPr>
              <w:t xml:space="preserve"> </w:t>
            </w:r>
            <w:r>
              <w:rPr>
                <w:spacing w:val="7"/>
                <w:sz w:val="20"/>
                <w:szCs w:val="20"/>
              </w:rPr>
              <w:t>岭开发区，属于工业用地。</w:t>
            </w:r>
          </w:p>
        </w:tc>
        <w:tc>
          <w:tcPr>
            <w:tcW w:w="908" w:type="dxa"/>
            <w:vAlign w:val="top"/>
          </w:tcPr>
          <w:p w14:paraId="3F3C728D">
            <w:pPr>
              <w:rPr>
                <w:rFonts w:ascii="Arial"/>
                <w:sz w:val="21"/>
              </w:rPr>
            </w:pPr>
          </w:p>
        </w:tc>
        <w:tc>
          <w:tcPr>
            <w:tcW w:w="155" w:type="dxa"/>
            <w:vMerge w:val="continue"/>
            <w:tcBorders>
              <w:top w:val="nil"/>
              <w:bottom w:val="nil"/>
              <w:right w:val="single" w:color="000000" w:sz="6" w:space="0"/>
            </w:tcBorders>
            <w:vAlign w:val="top"/>
          </w:tcPr>
          <w:p w14:paraId="4B3721F3">
            <w:pPr>
              <w:rPr>
                <w:rFonts w:ascii="Arial"/>
                <w:sz w:val="21"/>
              </w:rPr>
            </w:pPr>
          </w:p>
        </w:tc>
      </w:tr>
      <w:tr w14:paraId="21A94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6" w:hRule="atLeast"/>
        </w:trPr>
        <w:tc>
          <w:tcPr>
            <w:tcW w:w="469" w:type="dxa"/>
            <w:vMerge w:val="continue"/>
            <w:tcBorders>
              <w:top w:val="nil"/>
              <w:left w:val="single" w:color="000000" w:sz="6" w:space="0"/>
              <w:bottom w:val="single" w:color="000000" w:sz="6" w:space="0"/>
            </w:tcBorders>
            <w:vAlign w:val="top"/>
          </w:tcPr>
          <w:p w14:paraId="4258A24E">
            <w:pPr>
              <w:rPr>
                <w:rFonts w:ascii="Arial"/>
                <w:sz w:val="21"/>
              </w:rPr>
            </w:pPr>
          </w:p>
        </w:tc>
        <w:tc>
          <w:tcPr>
            <w:tcW w:w="146" w:type="dxa"/>
            <w:tcBorders>
              <w:top w:val="nil"/>
              <w:bottom w:val="single" w:color="000000" w:sz="6" w:space="0"/>
            </w:tcBorders>
            <w:vAlign w:val="top"/>
          </w:tcPr>
          <w:p w14:paraId="140564E3">
            <w:pPr>
              <w:rPr>
                <w:rFonts w:ascii="Arial"/>
                <w:sz w:val="21"/>
              </w:rPr>
            </w:pPr>
          </w:p>
        </w:tc>
        <w:tc>
          <w:tcPr>
            <w:tcW w:w="690" w:type="dxa"/>
            <w:tcBorders>
              <w:bottom w:val="single" w:color="000000" w:sz="6" w:space="0"/>
            </w:tcBorders>
            <w:vAlign w:val="top"/>
          </w:tcPr>
          <w:p w14:paraId="094B6B77">
            <w:pPr>
              <w:spacing w:line="241" w:lineRule="auto"/>
              <w:rPr>
                <w:rFonts w:ascii="Arial"/>
                <w:sz w:val="21"/>
              </w:rPr>
            </w:pPr>
          </w:p>
          <w:p w14:paraId="00D10125">
            <w:pPr>
              <w:spacing w:line="241" w:lineRule="auto"/>
              <w:rPr>
                <w:rFonts w:ascii="Arial"/>
                <w:sz w:val="21"/>
              </w:rPr>
            </w:pPr>
          </w:p>
          <w:p w14:paraId="0C95B331">
            <w:pPr>
              <w:spacing w:line="241" w:lineRule="auto"/>
              <w:rPr>
                <w:rFonts w:ascii="Arial"/>
                <w:sz w:val="21"/>
              </w:rPr>
            </w:pPr>
          </w:p>
          <w:p w14:paraId="24D9FECA">
            <w:pPr>
              <w:spacing w:line="241" w:lineRule="auto"/>
              <w:rPr>
                <w:rFonts w:ascii="Arial"/>
                <w:sz w:val="21"/>
              </w:rPr>
            </w:pPr>
          </w:p>
          <w:p w14:paraId="4BCBEF26">
            <w:pPr>
              <w:spacing w:line="241" w:lineRule="auto"/>
              <w:rPr>
                <w:rFonts w:ascii="Arial"/>
                <w:sz w:val="21"/>
              </w:rPr>
            </w:pPr>
          </w:p>
          <w:p w14:paraId="2A9FC966">
            <w:pPr>
              <w:spacing w:line="241" w:lineRule="auto"/>
              <w:rPr>
                <w:rFonts w:ascii="Arial"/>
                <w:sz w:val="21"/>
              </w:rPr>
            </w:pPr>
          </w:p>
          <w:p w14:paraId="7F078952">
            <w:pPr>
              <w:spacing w:line="241" w:lineRule="auto"/>
              <w:rPr>
                <w:rFonts w:ascii="Arial"/>
                <w:sz w:val="21"/>
              </w:rPr>
            </w:pPr>
          </w:p>
          <w:p w14:paraId="4F939F5B">
            <w:pPr>
              <w:spacing w:line="241" w:lineRule="auto"/>
              <w:rPr>
                <w:rFonts w:ascii="Arial"/>
                <w:sz w:val="21"/>
              </w:rPr>
            </w:pPr>
          </w:p>
          <w:p w14:paraId="113C0C92">
            <w:pPr>
              <w:spacing w:line="241" w:lineRule="auto"/>
              <w:rPr>
                <w:rFonts w:ascii="Arial"/>
                <w:sz w:val="21"/>
              </w:rPr>
            </w:pPr>
          </w:p>
          <w:p w14:paraId="6D762772">
            <w:pPr>
              <w:spacing w:line="241" w:lineRule="auto"/>
              <w:rPr>
                <w:rFonts w:ascii="Arial"/>
                <w:sz w:val="21"/>
              </w:rPr>
            </w:pPr>
          </w:p>
          <w:p w14:paraId="10BDF2F5">
            <w:pPr>
              <w:spacing w:line="242" w:lineRule="auto"/>
              <w:rPr>
                <w:rFonts w:ascii="Arial"/>
                <w:sz w:val="21"/>
              </w:rPr>
            </w:pPr>
          </w:p>
          <w:p w14:paraId="3B6EA19B">
            <w:pPr>
              <w:spacing w:line="242" w:lineRule="auto"/>
              <w:rPr>
                <w:rFonts w:ascii="Arial"/>
                <w:sz w:val="21"/>
              </w:rPr>
            </w:pPr>
          </w:p>
          <w:p w14:paraId="6E981B90">
            <w:pPr>
              <w:spacing w:line="242" w:lineRule="auto"/>
              <w:rPr>
                <w:rFonts w:ascii="Arial"/>
                <w:sz w:val="21"/>
              </w:rPr>
            </w:pPr>
          </w:p>
          <w:p w14:paraId="21123766">
            <w:pPr>
              <w:spacing w:line="242" w:lineRule="auto"/>
              <w:rPr>
                <w:rFonts w:ascii="Arial"/>
                <w:sz w:val="21"/>
              </w:rPr>
            </w:pPr>
          </w:p>
          <w:p w14:paraId="0B5CCE88">
            <w:pPr>
              <w:spacing w:line="242" w:lineRule="auto"/>
              <w:rPr>
                <w:rFonts w:ascii="Arial"/>
                <w:sz w:val="21"/>
              </w:rPr>
            </w:pPr>
          </w:p>
          <w:p w14:paraId="1862671A">
            <w:pPr>
              <w:spacing w:line="242" w:lineRule="auto"/>
              <w:rPr>
                <w:rFonts w:ascii="Arial"/>
                <w:sz w:val="21"/>
              </w:rPr>
            </w:pPr>
          </w:p>
          <w:p w14:paraId="41D5CD44">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3599" w:type="dxa"/>
            <w:tcBorders>
              <w:bottom w:val="single" w:color="000000" w:sz="6" w:space="0"/>
            </w:tcBorders>
            <w:vAlign w:val="top"/>
          </w:tcPr>
          <w:p w14:paraId="64BADC57">
            <w:pPr>
              <w:pStyle w:val="6"/>
              <w:spacing w:before="217" w:line="252" w:lineRule="auto"/>
              <w:ind w:left="101" w:right="36" w:firstLine="8"/>
              <w:jc w:val="both"/>
              <w:rPr>
                <w:sz w:val="20"/>
                <w:szCs w:val="20"/>
              </w:rPr>
            </w:pPr>
            <w:r>
              <w:rPr>
                <w:spacing w:val="5"/>
                <w:sz w:val="20"/>
                <w:szCs w:val="20"/>
              </w:rPr>
              <w:t>大力推进挥发性有机物（</w:t>
            </w:r>
            <w:r>
              <w:rPr>
                <w:rFonts w:ascii="Times New Roman" w:hAnsi="Times New Roman" w:eastAsia="Times New Roman" w:cs="Times New Roman"/>
                <w:sz w:val="20"/>
                <w:szCs w:val="20"/>
              </w:rPr>
              <w:t>VOCs</w:t>
            </w:r>
            <w:r>
              <w:rPr>
                <w:spacing w:val="5"/>
                <w:sz w:val="20"/>
                <w:szCs w:val="20"/>
              </w:rPr>
              <w:t>）源头</w:t>
            </w:r>
            <w:r>
              <w:rPr>
                <w:spacing w:val="4"/>
                <w:sz w:val="20"/>
                <w:szCs w:val="20"/>
              </w:rPr>
              <w:t xml:space="preserve"> </w:t>
            </w:r>
            <w:r>
              <w:rPr>
                <w:spacing w:val="3"/>
                <w:sz w:val="20"/>
                <w:szCs w:val="20"/>
              </w:rPr>
              <w:t xml:space="preserve">控制和重点行业深度治理。开展原油、 </w:t>
            </w:r>
            <w:r>
              <w:rPr>
                <w:spacing w:val="12"/>
                <w:sz w:val="20"/>
                <w:szCs w:val="20"/>
              </w:rPr>
              <w:t>成品油、有机化学品等涉</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2"/>
                <w:sz w:val="20"/>
                <w:szCs w:val="20"/>
              </w:rPr>
              <w:t>物质</w:t>
            </w:r>
            <w:r>
              <w:rPr>
                <w:sz w:val="20"/>
                <w:szCs w:val="20"/>
              </w:rPr>
              <w:t xml:space="preserve"> </w:t>
            </w:r>
            <w:r>
              <w:rPr>
                <w:spacing w:val="12"/>
                <w:sz w:val="20"/>
                <w:szCs w:val="20"/>
              </w:rPr>
              <w:t>储罐排查，深化重点行业</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2"/>
                <w:sz w:val="20"/>
                <w:szCs w:val="20"/>
              </w:rPr>
              <w:t>排放</w:t>
            </w:r>
            <w:r>
              <w:rPr>
                <w:sz w:val="20"/>
                <w:szCs w:val="20"/>
              </w:rPr>
              <w:t xml:space="preserve"> </w:t>
            </w:r>
            <w:r>
              <w:rPr>
                <w:spacing w:val="12"/>
                <w:sz w:val="20"/>
                <w:szCs w:val="20"/>
              </w:rPr>
              <w:t>基数调查，系统掌握工业源</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产</w:t>
            </w:r>
            <w:r>
              <w:rPr>
                <w:sz w:val="20"/>
                <w:szCs w:val="20"/>
              </w:rPr>
              <w:t xml:space="preserve"> </w:t>
            </w:r>
            <w:r>
              <w:rPr>
                <w:spacing w:val="11"/>
                <w:sz w:val="20"/>
                <w:szCs w:val="20"/>
              </w:rPr>
              <w:t>生、处理、排放及分布情况，分类建</w:t>
            </w:r>
            <w:r>
              <w:rPr>
                <w:spacing w:val="9"/>
                <w:sz w:val="20"/>
                <w:szCs w:val="20"/>
              </w:rPr>
              <w:t xml:space="preserve"> </w:t>
            </w:r>
            <w:r>
              <w:rPr>
                <w:spacing w:val="12"/>
                <w:sz w:val="20"/>
                <w:szCs w:val="20"/>
              </w:rPr>
              <w:t>立台账，实施</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2"/>
                <w:sz w:val="20"/>
                <w:szCs w:val="20"/>
              </w:rPr>
              <w:t>精细化管理。在</w:t>
            </w:r>
            <w:r>
              <w:rPr>
                <w:sz w:val="20"/>
                <w:szCs w:val="20"/>
              </w:rPr>
              <w:t xml:space="preserve"> </w:t>
            </w:r>
            <w:r>
              <w:rPr>
                <w:spacing w:val="11"/>
                <w:sz w:val="20"/>
                <w:szCs w:val="20"/>
              </w:rPr>
              <w:t>石化、化工、包装印刷、工业涂装等</w:t>
            </w:r>
            <w:r>
              <w:rPr>
                <w:spacing w:val="9"/>
                <w:sz w:val="20"/>
                <w:szCs w:val="20"/>
              </w:rPr>
              <w:t xml:space="preserve"> </w:t>
            </w:r>
            <w:r>
              <w:rPr>
                <w:spacing w:val="11"/>
                <w:sz w:val="20"/>
                <w:szCs w:val="20"/>
              </w:rPr>
              <w:t>重点行业建立完善源头、过程和末端</w:t>
            </w:r>
            <w:r>
              <w:rPr>
                <w:spacing w:val="9"/>
                <w:sz w:val="20"/>
                <w:szCs w:val="20"/>
              </w:rPr>
              <w:t xml:space="preserve"> </w:t>
            </w:r>
            <w:r>
              <w:rPr>
                <w:spacing w:val="12"/>
                <w:sz w:val="20"/>
                <w:szCs w:val="20"/>
              </w:rPr>
              <w:t>的</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2"/>
                <w:sz w:val="20"/>
                <w:szCs w:val="20"/>
              </w:rPr>
              <w:t>全过程控制体系。大力推进</w:t>
            </w:r>
            <w:r>
              <w:rPr>
                <w:sz w:val="20"/>
                <w:szCs w:val="20"/>
              </w:rPr>
              <w:t xml:space="preserve"> </w:t>
            </w:r>
            <w:r>
              <w:rPr>
                <w:spacing w:val="12"/>
                <w:sz w:val="20"/>
                <w:szCs w:val="20"/>
              </w:rPr>
              <w:t>低</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2"/>
                <w:sz w:val="20"/>
                <w:szCs w:val="20"/>
              </w:rPr>
              <w:t>含量原辅材料源头替代，严</w:t>
            </w:r>
            <w:r>
              <w:rPr>
                <w:sz w:val="20"/>
                <w:szCs w:val="20"/>
              </w:rPr>
              <w:t xml:space="preserve"> </w:t>
            </w:r>
            <w:r>
              <w:rPr>
                <w:spacing w:val="16"/>
                <w:sz w:val="20"/>
                <w:szCs w:val="20"/>
              </w:rPr>
              <w:t>格落实国家和地方产品</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16"/>
                <w:sz w:val="20"/>
                <w:szCs w:val="20"/>
              </w:rPr>
              <w:t>含量限</w:t>
            </w:r>
            <w:r>
              <w:rPr>
                <w:spacing w:val="9"/>
                <w:sz w:val="20"/>
                <w:szCs w:val="20"/>
              </w:rPr>
              <w:t xml:space="preserve"> 值质量标准，禁止建设生产和使用高</w:t>
            </w:r>
            <w:r>
              <w:rPr>
                <w:spacing w:val="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5"/>
                <w:w w:val="101"/>
                <w:sz w:val="20"/>
                <w:szCs w:val="20"/>
              </w:rPr>
              <w:t xml:space="preserve"> </w:t>
            </w:r>
            <w:r>
              <w:rPr>
                <w:spacing w:val="16"/>
                <w:sz w:val="20"/>
                <w:szCs w:val="20"/>
              </w:rPr>
              <w:t>含量的溶剂型涂料、油墨、胶</w:t>
            </w:r>
            <w:r>
              <w:rPr>
                <w:sz w:val="20"/>
                <w:szCs w:val="20"/>
              </w:rPr>
              <w:t xml:space="preserve"> </w:t>
            </w:r>
            <w:r>
              <w:rPr>
                <w:spacing w:val="12"/>
                <w:sz w:val="20"/>
                <w:szCs w:val="20"/>
              </w:rPr>
              <w:t>粘剂等项目。严格实施</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排放企</w:t>
            </w:r>
            <w:r>
              <w:rPr>
                <w:sz w:val="20"/>
                <w:szCs w:val="20"/>
              </w:rPr>
              <w:t xml:space="preserve"> </w:t>
            </w:r>
            <w:r>
              <w:rPr>
                <w:spacing w:val="12"/>
                <w:sz w:val="20"/>
                <w:szCs w:val="20"/>
              </w:rPr>
              <w:t>业分级管控，全面推进涉</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12"/>
                <w:sz w:val="20"/>
                <w:szCs w:val="20"/>
              </w:rPr>
              <w:t>排放</w:t>
            </w:r>
            <w:r>
              <w:rPr>
                <w:sz w:val="20"/>
                <w:szCs w:val="20"/>
              </w:rPr>
              <w:t xml:space="preserve"> </w:t>
            </w:r>
            <w:r>
              <w:rPr>
                <w:spacing w:val="11"/>
                <w:sz w:val="20"/>
                <w:szCs w:val="20"/>
              </w:rPr>
              <w:t>企业深度治理。开展中小型企业废气</w:t>
            </w:r>
            <w:r>
              <w:rPr>
                <w:spacing w:val="9"/>
                <w:sz w:val="20"/>
                <w:szCs w:val="20"/>
              </w:rPr>
              <w:t xml:space="preserve"> </w:t>
            </w:r>
            <w:r>
              <w:rPr>
                <w:spacing w:val="11"/>
                <w:sz w:val="20"/>
                <w:szCs w:val="20"/>
              </w:rPr>
              <w:t>收集和治理设施建设、运行情况的评</w:t>
            </w:r>
            <w:r>
              <w:rPr>
                <w:spacing w:val="9"/>
                <w:sz w:val="20"/>
                <w:szCs w:val="20"/>
              </w:rPr>
              <w:t xml:space="preserve"> </w:t>
            </w:r>
            <w:r>
              <w:rPr>
                <w:spacing w:val="7"/>
                <w:sz w:val="20"/>
                <w:szCs w:val="20"/>
              </w:rPr>
              <w:t>估，强化对企业涉</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7"/>
                <w:sz w:val="20"/>
                <w:szCs w:val="20"/>
              </w:rPr>
              <w:t>生产车间</w:t>
            </w:r>
            <w:r>
              <w:rPr>
                <w:rFonts w:ascii="Times New Roman" w:hAnsi="Times New Roman" w:eastAsia="Times New Roman" w:cs="Times New Roman"/>
                <w:spacing w:val="7"/>
                <w:sz w:val="20"/>
                <w:szCs w:val="20"/>
              </w:rPr>
              <w:t>/</w:t>
            </w:r>
            <w:r>
              <w:rPr>
                <w:spacing w:val="7"/>
                <w:sz w:val="20"/>
                <w:szCs w:val="20"/>
              </w:rPr>
              <w:t>工</w:t>
            </w:r>
            <w:r>
              <w:rPr>
                <w:sz w:val="20"/>
                <w:szCs w:val="20"/>
              </w:rPr>
              <w:t xml:space="preserve"> </w:t>
            </w:r>
            <w:r>
              <w:rPr>
                <w:spacing w:val="11"/>
                <w:sz w:val="20"/>
                <w:szCs w:val="20"/>
              </w:rPr>
              <w:t>序废气的收集管理，推动企业开展治</w:t>
            </w:r>
            <w:r>
              <w:rPr>
                <w:spacing w:val="9"/>
                <w:sz w:val="20"/>
                <w:szCs w:val="20"/>
              </w:rPr>
              <w:t xml:space="preserve"> </w:t>
            </w:r>
            <w:r>
              <w:rPr>
                <w:spacing w:val="11"/>
                <w:sz w:val="20"/>
                <w:szCs w:val="20"/>
              </w:rPr>
              <w:t>理设施升级改造。推进工业园区、企</w:t>
            </w:r>
            <w:r>
              <w:rPr>
                <w:spacing w:val="9"/>
                <w:sz w:val="20"/>
                <w:szCs w:val="20"/>
              </w:rPr>
              <w:t xml:space="preserve"> </w:t>
            </w:r>
            <w:r>
              <w:rPr>
                <w:spacing w:val="11"/>
                <w:sz w:val="20"/>
                <w:szCs w:val="20"/>
              </w:rPr>
              <w:t>业集群因地制宜统筹规划建设一批集</w:t>
            </w:r>
            <w:r>
              <w:rPr>
                <w:spacing w:val="9"/>
                <w:sz w:val="20"/>
                <w:szCs w:val="20"/>
              </w:rPr>
              <w:t xml:space="preserve"> </w:t>
            </w:r>
            <w:r>
              <w:rPr>
                <w:spacing w:val="11"/>
                <w:sz w:val="20"/>
                <w:szCs w:val="20"/>
              </w:rPr>
              <w:t>中喷涂中心（共性工厂）、活性炭集</w:t>
            </w:r>
            <w:r>
              <w:rPr>
                <w:spacing w:val="9"/>
                <w:sz w:val="20"/>
                <w:szCs w:val="20"/>
              </w:rPr>
              <w:t xml:space="preserve"> </w:t>
            </w:r>
            <w:r>
              <w:rPr>
                <w:spacing w:val="12"/>
                <w:sz w:val="20"/>
                <w:szCs w:val="20"/>
              </w:rPr>
              <w:t>中再生中心，实现</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spacing w:val="12"/>
                <w:sz w:val="20"/>
                <w:szCs w:val="20"/>
              </w:rPr>
              <w:t>集中高效处</w:t>
            </w:r>
            <w:r>
              <w:rPr>
                <w:sz w:val="20"/>
                <w:szCs w:val="20"/>
              </w:rPr>
              <w:t xml:space="preserve"> </w:t>
            </w:r>
            <w:r>
              <w:rPr>
                <w:spacing w:val="9"/>
                <w:sz w:val="20"/>
                <w:szCs w:val="20"/>
              </w:rPr>
              <w:t>理。开展无组织排放源排查，加强含</w:t>
            </w:r>
            <w:r>
              <w:rPr>
                <w:spacing w:val="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5"/>
                <w:w w:val="101"/>
                <w:sz w:val="20"/>
                <w:szCs w:val="20"/>
              </w:rPr>
              <w:t xml:space="preserve"> </w:t>
            </w:r>
            <w:r>
              <w:rPr>
                <w:spacing w:val="16"/>
                <w:sz w:val="20"/>
                <w:szCs w:val="20"/>
              </w:rPr>
              <w:t>物料全方位、全链条、全环节</w:t>
            </w:r>
            <w:r>
              <w:rPr>
                <w:sz w:val="20"/>
                <w:szCs w:val="20"/>
              </w:rPr>
              <w:t xml:space="preserve"> </w:t>
            </w:r>
            <w:r>
              <w:rPr>
                <w:spacing w:val="11"/>
                <w:sz w:val="20"/>
                <w:szCs w:val="20"/>
              </w:rPr>
              <w:t>密闭管理，深入推进泄漏检测与修复</w:t>
            </w:r>
            <w:r>
              <w:rPr>
                <w:spacing w:val="9"/>
                <w:sz w:val="20"/>
                <w:szCs w:val="20"/>
              </w:rPr>
              <w:t xml:space="preserve"> </w:t>
            </w:r>
            <w:r>
              <w:rPr>
                <w:spacing w:val="12"/>
                <w:sz w:val="20"/>
                <w:szCs w:val="20"/>
              </w:rPr>
              <w:t>（</w:t>
            </w:r>
            <w:r>
              <w:rPr>
                <w:rFonts w:ascii="Times New Roman" w:hAnsi="Times New Roman" w:eastAsia="Times New Roman" w:cs="Times New Roman"/>
                <w:sz w:val="20"/>
                <w:szCs w:val="20"/>
              </w:rPr>
              <w:t>LDAR</w:t>
            </w:r>
            <w:r>
              <w:rPr>
                <w:spacing w:val="12"/>
                <w:sz w:val="20"/>
                <w:szCs w:val="20"/>
              </w:rPr>
              <w:t>）工作。</w:t>
            </w:r>
          </w:p>
        </w:tc>
        <w:tc>
          <w:tcPr>
            <w:tcW w:w="2907" w:type="dxa"/>
            <w:tcBorders>
              <w:bottom w:val="single" w:color="000000" w:sz="6" w:space="0"/>
            </w:tcBorders>
            <w:vAlign w:val="top"/>
          </w:tcPr>
          <w:p w14:paraId="67D84A6F">
            <w:pPr>
              <w:pStyle w:val="6"/>
              <w:spacing w:before="150" w:line="251" w:lineRule="auto"/>
              <w:ind w:left="107" w:right="30" w:firstLine="7"/>
              <w:jc w:val="both"/>
              <w:rPr>
                <w:sz w:val="20"/>
                <w:szCs w:val="20"/>
              </w:rPr>
            </w:pPr>
            <w:r>
              <w:rPr>
                <w:spacing w:val="18"/>
                <w:sz w:val="20"/>
                <w:szCs w:val="20"/>
              </w:rPr>
              <w:t>本项</w:t>
            </w:r>
            <w:r>
              <w:rPr>
                <w:spacing w:val="-34"/>
                <w:sz w:val="20"/>
                <w:szCs w:val="20"/>
              </w:rPr>
              <w:t xml:space="preserve"> </w:t>
            </w:r>
            <w:r>
              <w:rPr>
                <w:spacing w:val="18"/>
                <w:sz w:val="20"/>
                <w:szCs w:val="20"/>
              </w:rPr>
              <w:t>目注胶工序需使用乙醇</w:t>
            </w:r>
            <w:r>
              <w:rPr>
                <w:sz w:val="20"/>
                <w:szCs w:val="20"/>
              </w:rPr>
              <w:t xml:space="preserve"> </w:t>
            </w:r>
            <w:r>
              <w:rPr>
                <w:spacing w:val="7"/>
                <w:sz w:val="20"/>
                <w:szCs w:val="20"/>
              </w:rPr>
              <w:t>和丙酮，参考汕尾启信商务信</w:t>
            </w:r>
            <w:r>
              <w:rPr>
                <w:spacing w:val="1"/>
                <w:sz w:val="20"/>
                <w:szCs w:val="20"/>
              </w:rPr>
              <w:t xml:space="preserve"> </w:t>
            </w:r>
            <w:r>
              <w:rPr>
                <w:spacing w:val="18"/>
                <w:sz w:val="20"/>
                <w:szCs w:val="20"/>
              </w:rPr>
              <w:t>息有限公司宝石加工项</w:t>
            </w:r>
            <w:r>
              <w:rPr>
                <w:spacing w:val="-24"/>
                <w:sz w:val="20"/>
                <w:szCs w:val="20"/>
              </w:rPr>
              <w:t xml:space="preserve"> </w:t>
            </w:r>
            <w:r>
              <w:rPr>
                <w:spacing w:val="18"/>
                <w:sz w:val="20"/>
                <w:szCs w:val="20"/>
              </w:rPr>
              <w:t>目编</w:t>
            </w:r>
            <w:r>
              <w:rPr>
                <w:sz w:val="20"/>
                <w:szCs w:val="20"/>
              </w:rPr>
              <w:t xml:space="preserve"> </w:t>
            </w:r>
            <w:r>
              <w:rPr>
                <w:spacing w:val="6"/>
                <w:sz w:val="20"/>
                <w:szCs w:val="20"/>
              </w:rPr>
              <w:t>制的《使用高</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6"/>
                <w:sz w:val="20"/>
                <w:szCs w:val="20"/>
              </w:rPr>
              <w:t>原辅料不</w:t>
            </w:r>
            <w:r>
              <w:rPr>
                <w:sz w:val="20"/>
                <w:szCs w:val="20"/>
              </w:rPr>
              <w:t xml:space="preserve"> </w:t>
            </w:r>
            <w:r>
              <w:rPr>
                <w:spacing w:val="7"/>
                <w:sz w:val="20"/>
                <w:szCs w:val="20"/>
              </w:rPr>
              <w:t>可替代性论证报告》专家评审</w:t>
            </w:r>
            <w:r>
              <w:rPr>
                <w:sz w:val="20"/>
                <w:szCs w:val="20"/>
              </w:rPr>
              <w:t xml:space="preserve"> </w:t>
            </w:r>
            <w:r>
              <w:rPr>
                <w:spacing w:val="7"/>
                <w:sz w:val="20"/>
                <w:szCs w:val="20"/>
              </w:rPr>
              <w:t>意见，乙醇和丙酮在宝石注胶</w:t>
            </w:r>
            <w:r>
              <w:rPr>
                <w:sz w:val="20"/>
                <w:szCs w:val="20"/>
              </w:rPr>
              <w:t xml:space="preserve"> </w:t>
            </w:r>
            <w:r>
              <w:rPr>
                <w:spacing w:val="7"/>
                <w:sz w:val="20"/>
                <w:szCs w:val="20"/>
              </w:rPr>
              <w:t>加工中具有不可替代性；本项</w:t>
            </w:r>
            <w:r>
              <w:rPr>
                <w:sz w:val="20"/>
                <w:szCs w:val="20"/>
              </w:rPr>
              <w:t xml:space="preserve"> </w:t>
            </w:r>
            <w:r>
              <w:rPr>
                <w:spacing w:val="12"/>
                <w:sz w:val="20"/>
                <w:szCs w:val="20"/>
              </w:rPr>
              <w:t>目不属于涉</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重点行业。</w:t>
            </w:r>
            <w:r>
              <w:rPr>
                <w:sz w:val="20"/>
                <w:szCs w:val="20"/>
              </w:rPr>
              <w:t xml:space="preserve"> </w:t>
            </w:r>
            <w:r>
              <w:rPr>
                <w:spacing w:val="7"/>
                <w:sz w:val="20"/>
                <w:szCs w:val="20"/>
              </w:rPr>
              <w:t>本项目没有原油、成品油、有</w:t>
            </w:r>
            <w:r>
              <w:rPr>
                <w:spacing w:val="1"/>
                <w:sz w:val="20"/>
                <w:szCs w:val="20"/>
              </w:rPr>
              <w:t xml:space="preserve"> </w:t>
            </w:r>
            <w:r>
              <w:rPr>
                <w:spacing w:val="20"/>
                <w:sz w:val="20"/>
                <w:szCs w:val="20"/>
              </w:rPr>
              <w:t>机化学</w:t>
            </w:r>
            <w:r>
              <w:rPr>
                <w:spacing w:val="-47"/>
                <w:sz w:val="20"/>
                <w:szCs w:val="20"/>
              </w:rPr>
              <w:t xml:space="preserve"> </w:t>
            </w:r>
            <w:r>
              <w:rPr>
                <w:spacing w:val="20"/>
                <w:sz w:val="20"/>
                <w:szCs w:val="20"/>
              </w:rPr>
              <w:t>品等涉</w:t>
            </w:r>
            <w:r>
              <w:rPr>
                <w:spacing w:val="-2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3"/>
                <w:sz w:val="20"/>
                <w:szCs w:val="20"/>
              </w:rPr>
              <w:t xml:space="preserve"> </w:t>
            </w:r>
            <w:r>
              <w:rPr>
                <w:spacing w:val="20"/>
                <w:sz w:val="20"/>
                <w:szCs w:val="20"/>
              </w:rPr>
              <w:t>物质储</w:t>
            </w:r>
            <w:r>
              <w:rPr>
                <w:sz w:val="20"/>
                <w:szCs w:val="20"/>
              </w:rPr>
              <w:t xml:space="preserve"> </w:t>
            </w:r>
            <w:r>
              <w:rPr>
                <w:spacing w:val="-3"/>
                <w:sz w:val="20"/>
                <w:szCs w:val="20"/>
              </w:rPr>
              <w:t>罐。本项目不属于石化、化工、</w:t>
            </w:r>
            <w:r>
              <w:rPr>
                <w:spacing w:val="5"/>
                <w:sz w:val="20"/>
                <w:szCs w:val="20"/>
              </w:rPr>
              <w:t xml:space="preserve"> </w:t>
            </w:r>
            <w:r>
              <w:rPr>
                <w:spacing w:val="7"/>
                <w:sz w:val="20"/>
                <w:szCs w:val="20"/>
              </w:rPr>
              <w:t>包装印刷、工业涂装等重点行</w:t>
            </w:r>
            <w:r>
              <w:rPr>
                <w:sz w:val="20"/>
                <w:szCs w:val="20"/>
              </w:rPr>
              <w:t xml:space="preserve"> </w:t>
            </w:r>
            <w:r>
              <w:rPr>
                <w:spacing w:val="7"/>
                <w:sz w:val="20"/>
                <w:szCs w:val="20"/>
              </w:rPr>
              <w:t>业。项目原辅材料中的乙醇和</w:t>
            </w:r>
            <w:r>
              <w:rPr>
                <w:spacing w:val="1"/>
                <w:sz w:val="20"/>
                <w:szCs w:val="20"/>
              </w:rPr>
              <w:t xml:space="preserve"> </w:t>
            </w:r>
            <w:r>
              <w:rPr>
                <w:spacing w:val="24"/>
                <w:sz w:val="20"/>
                <w:szCs w:val="20"/>
              </w:rPr>
              <w:t>丙酮在宝石注胶加工中具有</w:t>
            </w:r>
            <w:r>
              <w:rPr>
                <w:spacing w:val="4"/>
                <w:sz w:val="20"/>
                <w:szCs w:val="20"/>
              </w:rPr>
              <w:t xml:space="preserve"> </w:t>
            </w:r>
            <w:r>
              <w:rPr>
                <w:spacing w:val="7"/>
                <w:sz w:val="20"/>
                <w:szCs w:val="20"/>
              </w:rPr>
              <w:t>不可替代行，但所形成的胶粘</w:t>
            </w:r>
            <w:r>
              <w:rPr>
                <w:spacing w:val="1"/>
                <w:sz w:val="20"/>
                <w:szCs w:val="20"/>
              </w:rPr>
              <w:t xml:space="preserve"> </w:t>
            </w:r>
            <w:r>
              <w:rPr>
                <w:spacing w:val="21"/>
                <w:sz w:val="20"/>
                <w:szCs w:val="20"/>
              </w:rPr>
              <w:t>剂中挥发性有机物</w:t>
            </w:r>
            <w:r>
              <w:rPr>
                <w:rFonts w:ascii="Times New Roman" w:hAnsi="Times New Roman" w:eastAsia="Times New Roman" w:cs="Times New Roman"/>
                <w:spacing w:val="21"/>
                <w:sz w:val="20"/>
                <w:szCs w:val="20"/>
              </w:rPr>
              <w:t>(</w:t>
            </w:r>
            <w:r>
              <w:rPr>
                <w:spacing w:val="21"/>
                <w:sz w:val="20"/>
                <w:szCs w:val="20"/>
              </w:rPr>
              <w:t>以</w:t>
            </w:r>
            <w:r>
              <w:rPr>
                <w:spacing w:val="-29"/>
                <w:sz w:val="20"/>
                <w:szCs w:val="20"/>
              </w:rPr>
              <w:t xml:space="preserve"> </w:t>
            </w:r>
            <w:r>
              <w:rPr>
                <w:rFonts w:ascii="Times New Roman" w:hAnsi="Times New Roman" w:eastAsia="Times New Roman" w:cs="Times New Roman"/>
                <w:sz w:val="20"/>
                <w:szCs w:val="20"/>
              </w:rPr>
              <w:t xml:space="preserve">TVOC  </w:t>
            </w:r>
            <w:r>
              <w:rPr>
                <w:spacing w:val="7"/>
                <w:sz w:val="20"/>
                <w:szCs w:val="20"/>
              </w:rPr>
              <w:t>计）的含量满足《胶粘剂挥发</w:t>
            </w:r>
            <w:r>
              <w:rPr>
                <w:spacing w:val="1"/>
                <w:sz w:val="20"/>
                <w:szCs w:val="20"/>
              </w:rPr>
              <w:t xml:space="preserve"> </w:t>
            </w:r>
            <w:r>
              <w:rPr>
                <w:spacing w:val="15"/>
                <w:sz w:val="20"/>
                <w:szCs w:val="20"/>
              </w:rPr>
              <w:t>性有机化</w:t>
            </w:r>
            <w:r>
              <w:rPr>
                <w:spacing w:val="-52"/>
                <w:sz w:val="20"/>
                <w:szCs w:val="20"/>
              </w:rPr>
              <w:t xml:space="preserve"> </w:t>
            </w:r>
            <w:r>
              <w:rPr>
                <w:spacing w:val="15"/>
                <w:sz w:val="20"/>
                <w:szCs w:val="20"/>
              </w:rPr>
              <w:t>合物</w:t>
            </w:r>
            <w:r>
              <w:rPr>
                <w:spacing w:val="-47"/>
                <w:sz w:val="20"/>
                <w:szCs w:val="20"/>
              </w:rPr>
              <w:t xml:space="preserve"> </w:t>
            </w:r>
            <w:r>
              <w:rPr>
                <w:spacing w:val="15"/>
                <w:sz w:val="20"/>
                <w:szCs w:val="20"/>
              </w:rPr>
              <w:t>限量</w:t>
            </w:r>
            <w:r>
              <w:rPr>
                <w:spacing w:val="-49"/>
                <w:sz w:val="20"/>
                <w:szCs w:val="20"/>
              </w:rPr>
              <w:t xml:space="preserve"> </w:t>
            </w:r>
            <w:r>
              <w:rPr>
                <w:spacing w:val="15"/>
                <w:sz w:val="20"/>
                <w:szCs w:val="20"/>
              </w:rPr>
              <w:t>》</w:t>
            </w:r>
            <w:r>
              <w:rPr>
                <w:spacing w:val="-59"/>
                <w:sz w:val="20"/>
                <w:szCs w:val="20"/>
              </w:rPr>
              <w:t xml:space="preserve"> </w:t>
            </w:r>
            <w:r>
              <w:rPr>
                <w:spacing w:val="15"/>
                <w:sz w:val="20"/>
                <w:szCs w:val="20"/>
              </w:rPr>
              <w:t>（</w:t>
            </w:r>
            <w:r>
              <w:rPr>
                <w:spacing w:val="-29"/>
                <w:sz w:val="20"/>
                <w:szCs w:val="20"/>
              </w:rPr>
              <w:t xml:space="preserve"> </w:t>
            </w:r>
            <w:r>
              <w:rPr>
                <w:rFonts w:ascii="Times New Roman" w:hAnsi="Times New Roman" w:eastAsia="Times New Roman" w:cs="Times New Roman"/>
                <w:sz w:val="20"/>
                <w:szCs w:val="20"/>
              </w:rPr>
              <w:t xml:space="preserve">GB  </w:t>
            </w:r>
            <w:r>
              <w:rPr>
                <w:rFonts w:ascii="Times New Roman" w:hAnsi="Times New Roman" w:eastAsia="Times New Roman" w:cs="Times New Roman"/>
                <w:spacing w:val="7"/>
                <w:sz w:val="20"/>
                <w:szCs w:val="20"/>
              </w:rPr>
              <w:t>33372-2020</w:t>
            </w:r>
            <w:r>
              <w:rPr>
                <w:spacing w:val="7"/>
                <w:sz w:val="20"/>
                <w:szCs w:val="20"/>
              </w:rPr>
              <w:t>）的要求。项目不</w:t>
            </w:r>
            <w:r>
              <w:rPr>
                <w:sz w:val="20"/>
                <w:szCs w:val="20"/>
              </w:rPr>
              <w:t xml:space="preserve"> </w:t>
            </w:r>
            <w:r>
              <w:rPr>
                <w:spacing w:val="9"/>
                <w:sz w:val="20"/>
                <w:szCs w:val="20"/>
              </w:rPr>
              <w:t>属于生产和使用高</w:t>
            </w:r>
            <w:r>
              <w:rPr>
                <w:spacing w:val="-6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w:t>
            </w:r>
            <w:r>
              <w:rPr>
                <w:sz w:val="20"/>
                <w:szCs w:val="20"/>
              </w:rPr>
              <w:t xml:space="preserve"> </w:t>
            </w:r>
            <w:r>
              <w:rPr>
                <w:spacing w:val="7"/>
                <w:sz w:val="20"/>
                <w:szCs w:val="20"/>
              </w:rPr>
              <w:t>的溶剂型涂料、油墨、胶粘剂</w:t>
            </w:r>
            <w:r>
              <w:rPr>
                <w:spacing w:val="1"/>
                <w:sz w:val="20"/>
                <w:szCs w:val="20"/>
              </w:rPr>
              <w:t xml:space="preserve"> </w:t>
            </w:r>
            <w:r>
              <w:rPr>
                <w:spacing w:val="33"/>
                <w:sz w:val="20"/>
                <w:szCs w:val="20"/>
              </w:rPr>
              <w:t>是项目</w:t>
            </w:r>
            <w:r>
              <w:rPr>
                <w:spacing w:val="-31"/>
                <w:sz w:val="20"/>
                <w:szCs w:val="20"/>
              </w:rPr>
              <w:t xml:space="preserve"> </w:t>
            </w:r>
            <w:r>
              <w:rPr>
                <w:spacing w:val="33"/>
                <w:sz w:val="20"/>
                <w:szCs w:val="20"/>
              </w:rPr>
              <w:t>。</w:t>
            </w:r>
            <w:r>
              <w:rPr>
                <w:spacing w:val="-42"/>
                <w:sz w:val="20"/>
                <w:szCs w:val="20"/>
              </w:rPr>
              <w:t xml:space="preserve"> </w:t>
            </w:r>
            <w:r>
              <w:rPr>
                <w:spacing w:val="33"/>
                <w:sz w:val="20"/>
                <w:szCs w:val="20"/>
              </w:rPr>
              <w:t>项目运营期加强</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0"/>
                <w:w w:val="101"/>
                <w:sz w:val="20"/>
                <w:szCs w:val="20"/>
              </w:rPr>
              <w:t xml:space="preserve"> </w:t>
            </w:r>
            <w:r>
              <w:rPr>
                <w:spacing w:val="11"/>
                <w:sz w:val="20"/>
                <w:szCs w:val="20"/>
              </w:rPr>
              <w:t>的产生和排放，配套建</w:t>
            </w:r>
            <w:r>
              <w:rPr>
                <w:sz w:val="20"/>
                <w:szCs w:val="20"/>
              </w:rPr>
              <w:t xml:space="preserve"> </w:t>
            </w:r>
            <w:r>
              <w:rPr>
                <w:spacing w:val="7"/>
                <w:sz w:val="20"/>
                <w:szCs w:val="20"/>
              </w:rPr>
              <w:t>设废气收集治理措施，确保大</w:t>
            </w:r>
            <w:r>
              <w:rPr>
                <w:spacing w:val="1"/>
                <w:sz w:val="20"/>
                <w:szCs w:val="20"/>
              </w:rPr>
              <w:t xml:space="preserve"> </w:t>
            </w:r>
            <w:r>
              <w:rPr>
                <w:spacing w:val="7"/>
                <w:sz w:val="20"/>
                <w:szCs w:val="20"/>
              </w:rPr>
              <w:t>气污染物达标排放。项目位于</w:t>
            </w:r>
            <w:r>
              <w:rPr>
                <w:sz w:val="20"/>
                <w:szCs w:val="20"/>
              </w:rPr>
              <w:t xml:space="preserve"> </w:t>
            </w:r>
            <w:r>
              <w:rPr>
                <w:spacing w:val="11"/>
                <w:sz w:val="20"/>
                <w:szCs w:val="20"/>
              </w:rPr>
              <w:t>海丰县可塘镇圆山岭开发区，</w:t>
            </w:r>
            <w:r>
              <w:rPr>
                <w:sz w:val="20"/>
                <w:szCs w:val="20"/>
              </w:rPr>
              <w:t xml:space="preserve"> </w:t>
            </w:r>
            <w:r>
              <w:rPr>
                <w:spacing w:val="7"/>
                <w:sz w:val="20"/>
                <w:szCs w:val="20"/>
              </w:rPr>
              <w:t>逐步推进业园区、企业集群因</w:t>
            </w:r>
            <w:r>
              <w:rPr>
                <w:spacing w:val="1"/>
                <w:sz w:val="20"/>
                <w:szCs w:val="20"/>
              </w:rPr>
              <w:t xml:space="preserve"> </w:t>
            </w:r>
            <w:r>
              <w:rPr>
                <w:spacing w:val="24"/>
                <w:sz w:val="20"/>
                <w:szCs w:val="20"/>
              </w:rPr>
              <w:t>地制宜统筹规划建设一批集</w:t>
            </w:r>
            <w:r>
              <w:rPr>
                <w:spacing w:val="4"/>
                <w:sz w:val="20"/>
                <w:szCs w:val="20"/>
              </w:rPr>
              <w:t xml:space="preserve"> </w:t>
            </w:r>
            <w:r>
              <w:rPr>
                <w:spacing w:val="7"/>
                <w:sz w:val="20"/>
                <w:szCs w:val="20"/>
              </w:rPr>
              <w:t>中喷涂中心（共性工厂）、活</w:t>
            </w:r>
          </w:p>
        </w:tc>
        <w:tc>
          <w:tcPr>
            <w:tcW w:w="908" w:type="dxa"/>
            <w:tcBorders>
              <w:bottom w:val="single" w:color="000000" w:sz="6" w:space="0"/>
            </w:tcBorders>
            <w:vAlign w:val="top"/>
          </w:tcPr>
          <w:p w14:paraId="5FB00F87">
            <w:pPr>
              <w:spacing w:line="254" w:lineRule="auto"/>
              <w:rPr>
                <w:rFonts w:ascii="Arial"/>
                <w:sz w:val="21"/>
              </w:rPr>
            </w:pPr>
          </w:p>
          <w:p w14:paraId="320CE1C9">
            <w:pPr>
              <w:spacing w:line="254" w:lineRule="auto"/>
              <w:rPr>
                <w:rFonts w:ascii="Arial"/>
                <w:sz w:val="21"/>
              </w:rPr>
            </w:pPr>
          </w:p>
          <w:p w14:paraId="6AECBA0A">
            <w:pPr>
              <w:spacing w:line="254" w:lineRule="auto"/>
              <w:rPr>
                <w:rFonts w:ascii="Arial"/>
                <w:sz w:val="21"/>
              </w:rPr>
            </w:pPr>
          </w:p>
          <w:p w14:paraId="06E545C7">
            <w:pPr>
              <w:spacing w:line="254" w:lineRule="auto"/>
              <w:rPr>
                <w:rFonts w:ascii="Arial"/>
                <w:sz w:val="21"/>
              </w:rPr>
            </w:pPr>
          </w:p>
          <w:p w14:paraId="55B0BC94">
            <w:pPr>
              <w:spacing w:line="254" w:lineRule="auto"/>
              <w:rPr>
                <w:rFonts w:ascii="Arial"/>
                <w:sz w:val="21"/>
              </w:rPr>
            </w:pPr>
          </w:p>
          <w:p w14:paraId="00406842">
            <w:pPr>
              <w:spacing w:line="254" w:lineRule="auto"/>
              <w:rPr>
                <w:rFonts w:ascii="Arial"/>
                <w:sz w:val="21"/>
              </w:rPr>
            </w:pPr>
          </w:p>
          <w:p w14:paraId="025DC169">
            <w:pPr>
              <w:spacing w:line="255" w:lineRule="auto"/>
              <w:rPr>
                <w:rFonts w:ascii="Arial"/>
                <w:sz w:val="21"/>
              </w:rPr>
            </w:pPr>
          </w:p>
          <w:p w14:paraId="6F9A44D6">
            <w:pPr>
              <w:spacing w:line="255" w:lineRule="auto"/>
              <w:rPr>
                <w:rFonts w:ascii="Arial"/>
                <w:sz w:val="21"/>
              </w:rPr>
            </w:pPr>
          </w:p>
          <w:p w14:paraId="26A0DAC8">
            <w:pPr>
              <w:spacing w:line="255" w:lineRule="auto"/>
              <w:rPr>
                <w:rFonts w:ascii="Arial"/>
                <w:sz w:val="21"/>
              </w:rPr>
            </w:pPr>
          </w:p>
          <w:p w14:paraId="41BA81E1">
            <w:pPr>
              <w:spacing w:line="255" w:lineRule="auto"/>
              <w:rPr>
                <w:rFonts w:ascii="Arial"/>
                <w:sz w:val="21"/>
              </w:rPr>
            </w:pPr>
          </w:p>
          <w:p w14:paraId="64C664B3">
            <w:pPr>
              <w:spacing w:line="255" w:lineRule="auto"/>
              <w:rPr>
                <w:rFonts w:ascii="Arial"/>
                <w:sz w:val="21"/>
              </w:rPr>
            </w:pPr>
          </w:p>
          <w:p w14:paraId="0D23F2CC">
            <w:pPr>
              <w:spacing w:line="255" w:lineRule="auto"/>
              <w:rPr>
                <w:rFonts w:ascii="Arial"/>
                <w:sz w:val="21"/>
              </w:rPr>
            </w:pPr>
          </w:p>
          <w:p w14:paraId="417399C6">
            <w:pPr>
              <w:spacing w:line="255" w:lineRule="auto"/>
              <w:rPr>
                <w:rFonts w:ascii="Arial"/>
                <w:sz w:val="21"/>
              </w:rPr>
            </w:pPr>
          </w:p>
          <w:p w14:paraId="2F250E75">
            <w:pPr>
              <w:spacing w:line="255" w:lineRule="auto"/>
              <w:rPr>
                <w:rFonts w:ascii="Arial"/>
                <w:sz w:val="21"/>
              </w:rPr>
            </w:pPr>
          </w:p>
          <w:p w14:paraId="6A584C9E">
            <w:pPr>
              <w:spacing w:line="255" w:lineRule="auto"/>
              <w:rPr>
                <w:rFonts w:ascii="Arial"/>
                <w:sz w:val="21"/>
              </w:rPr>
            </w:pPr>
          </w:p>
          <w:p w14:paraId="4E1F4A9F">
            <w:pPr>
              <w:pStyle w:val="6"/>
              <w:spacing w:before="65" w:line="228" w:lineRule="auto"/>
              <w:ind w:left="256"/>
              <w:rPr>
                <w:sz w:val="20"/>
                <w:szCs w:val="20"/>
              </w:rPr>
            </w:pPr>
            <w:r>
              <w:rPr>
                <w:spacing w:val="3"/>
                <w:sz w:val="20"/>
                <w:szCs w:val="20"/>
              </w:rPr>
              <w:t>符合</w:t>
            </w:r>
          </w:p>
        </w:tc>
        <w:tc>
          <w:tcPr>
            <w:tcW w:w="155" w:type="dxa"/>
            <w:vMerge w:val="continue"/>
            <w:tcBorders>
              <w:top w:val="nil"/>
              <w:bottom w:val="single" w:color="000000" w:sz="6" w:space="0"/>
              <w:right w:val="single" w:color="000000" w:sz="6" w:space="0"/>
            </w:tcBorders>
            <w:vAlign w:val="top"/>
          </w:tcPr>
          <w:p w14:paraId="43466A9E">
            <w:pPr>
              <w:rPr>
                <w:rFonts w:ascii="Arial"/>
                <w:sz w:val="21"/>
              </w:rPr>
            </w:pPr>
          </w:p>
        </w:tc>
      </w:tr>
    </w:tbl>
    <w:p w14:paraId="2EEBEA5A">
      <w:pPr>
        <w:rPr>
          <w:rFonts w:ascii="Arial"/>
          <w:sz w:val="21"/>
        </w:rPr>
      </w:pPr>
    </w:p>
    <w:p w14:paraId="7DE119CE">
      <w:pPr>
        <w:rPr>
          <w:rFonts w:ascii="Arial" w:hAnsi="Arial" w:eastAsia="Arial" w:cs="Arial"/>
          <w:sz w:val="21"/>
          <w:szCs w:val="21"/>
        </w:rPr>
        <w:sectPr>
          <w:footerReference r:id="rId17" w:type="default"/>
          <w:pgSz w:w="11906" w:h="16839"/>
          <w:pgMar w:top="400" w:right="1508" w:bottom="1240" w:left="1508" w:header="0" w:footer="1078" w:gutter="0"/>
          <w:cols w:space="720" w:num="1"/>
        </w:sectPr>
      </w:pPr>
    </w:p>
    <w:p w14:paraId="624BC062">
      <w:pPr>
        <w:spacing w:before="19"/>
      </w:pPr>
      <w:r>
        <w:pict>
          <v:shape id="_x0000_s1030" o:spid="_x0000_s1030" style="position:absolute;left:0pt;margin-left:105.95pt;margin-top:741.95pt;height:0.5pt;width:406.4pt;mso-position-horizontal-relative:page;mso-position-vertical-relative:page;z-index:-251652096;mso-width-relative:page;mso-height-relative:page;" filled="f" stroked="t" coordsize="8127,10" o:allowincell="f" path="m0,4l8127,4e">
            <v:fill on="f" focussize="0,0"/>
            <v:stroke weight="0.48pt" color="#000000" miterlimit="2" joinstyle="bevel"/>
            <v:imagedata o:title=""/>
            <o:lock v:ext="edit"/>
          </v:shape>
        </w:pict>
      </w:r>
    </w:p>
    <w:p w14:paraId="0BA83BE5">
      <w:pPr>
        <w:spacing w:before="19"/>
      </w:pPr>
    </w:p>
    <w:p w14:paraId="75FBBA40">
      <w:pPr>
        <w:spacing w:before="19"/>
      </w:pPr>
    </w:p>
    <w:p w14:paraId="3DE93893">
      <w:pPr>
        <w:spacing w:before="18"/>
      </w:pPr>
    </w:p>
    <w:p w14:paraId="76C53D59">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46"/>
        <w:gridCol w:w="690"/>
        <w:gridCol w:w="3599"/>
        <w:gridCol w:w="2907"/>
        <w:gridCol w:w="908"/>
        <w:gridCol w:w="155"/>
      </w:tblGrid>
      <w:tr w14:paraId="2F080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469" w:type="dxa"/>
            <w:vMerge w:val="restart"/>
            <w:tcBorders>
              <w:top w:val="single" w:color="000000" w:sz="6" w:space="0"/>
              <w:left w:val="single" w:color="000000" w:sz="6" w:space="0"/>
              <w:bottom w:val="nil"/>
            </w:tcBorders>
            <w:vAlign w:val="top"/>
          </w:tcPr>
          <w:p w14:paraId="564A2BB8">
            <w:pPr>
              <w:rPr>
                <w:rFonts w:ascii="Arial"/>
                <w:sz w:val="21"/>
              </w:rPr>
            </w:pPr>
          </w:p>
        </w:tc>
        <w:tc>
          <w:tcPr>
            <w:tcW w:w="146" w:type="dxa"/>
            <w:tcBorders>
              <w:top w:val="single" w:color="000000" w:sz="6" w:space="0"/>
              <w:bottom w:val="nil"/>
            </w:tcBorders>
            <w:vAlign w:val="top"/>
          </w:tcPr>
          <w:p w14:paraId="660F64E5">
            <w:pPr>
              <w:rPr>
                <w:rFonts w:ascii="Arial"/>
                <w:sz w:val="21"/>
              </w:rPr>
            </w:pPr>
          </w:p>
        </w:tc>
        <w:tc>
          <w:tcPr>
            <w:tcW w:w="690" w:type="dxa"/>
            <w:tcBorders>
              <w:top w:val="single" w:color="000000" w:sz="6" w:space="0"/>
            </w:tcBorders>
            <w:vAlign w:val="top"/>
          </w:tcPr>
          <w:p w14:paraId="2F060728">
            <w:pPr>
              <w:rPr>
                <w:rFonts w:ascii="Arial"/>
                <w:sz w:val="21"/>
              </w:rPr>
            </w:pPr>
          </w:p>
        </w:tc>
        <w:tc>
          <w:tcPr>
            <w:tcW w:w="3599" w:type="dxa"/>
            <w:tcBorders>
              <w:top w:val="single" w:color="000000" w:sz="6" w:space="0"/>
            </w:tcBorders>
            <w:vAlign w:val="top"/>
          </w:tcPr>
          <w:p w14:paraId="62771ECF">
            <w:pPr>
              <w:rPr>
                <w:rFonts w:ascii="Arial"/>
                <w:sz w:val="21"/>
              </w:rPr>
            </w:pPr>
          </w:p>
        </w:tc>
        <w:tc>
          <w:tcPr>
            <w:tcW w:w="2907" w:type="dxa"/>
            <w:tcBorders>
              <w:top w:val="single" w:color="000000" w:sz="6" w:space="0"/>
            </w:tcBorders>
            <w:vAlign w:val="top"/>
          </w:tcPr>
          <w:p w14:paraId="796403BF">
            <w:pPr>
              <w:pStyle w:val="6"/>
              <w:spacing w:before="38" w:line="246" w:lineRule="auto"/>
              <w:ind w:left="107" w:right="13" w:firstLine="8"/>
              <w:jc w:val="both"/>
              <w:rPr>
                <w:sz w:val="20"/>
                <w:szCs w:val="20"/>
              </w:rPr>
            </w:pPr>
            <w:r>
              <w:rPr>
                <w:spacing w:val="32"/>
                <w:sz w:val="20"/>
                <w:szCs w:val="20"/>
              </w:rPr>
              <w:t>性炭集中再生中心</w:t>
            </w:r>
            <w:r>
              <w:rPr>
                <w:spacing w:val="-29"/>
                <w:sz w:val="20"/>
                <w:szCs w:val="20"/>
              </w:rPr>
              <w:t xml:space="preserve"> </w:t>
            </w:r>
            <w:r>
              <w:rPr>
                <w:spacing w:val="32"/>
                <w:sz w:val="20"/>
                <w:szCs w:val="20"/>
              </w:rPr>
              <w:t>，</w:t>
            </w:r>
            <w:r>
              <w:rPr>
                <w:spacing w:val="-42"/>
                <w:sz w:val="20"/>
                <w:szCs w:val="20"/>
              </w:rPr>
              <w:t xml:space="preserve"> </w:t>
            </w:r>
            <w:r>
              <w:rPr>
                <w:spacing w:val="32"/>
                <w:sz w:val="20"/>
                <w:szCs w:val="20"/>
              </w:rPr>
              <w:t>实现</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3"/>
                <w:sz w:val="20"/>
                <w:szCs w:val="20"/>
              </w:rPr>
              <w:t xml:space="preserve"> </w:t>
            </w:r>
            <w:r>
              <w:rPr>
                <w:spacing w:val="13"/>
                <w:sz w:val="20"/>
                <w:szCs w:val="20"/>
              </w:rPr>
              <w:t>集中高效处理。建设单</w:t>
            </w:r>
            <w:r>
              <w:rPr>
                <w:sz w:val="20"/>
                <w:szCs w:val="20"/>
              </w:rPr>
              <w:t xml:space="preserve">  </w:t>
            </w:r>
            <w:r>
              <w:rPr>
                <w:spacing w:val="11"/>
                <w:sz w:val="20"/>
                <w:szCs w:val="20"/>
              </w:rPr>
              <w:t>位需开展无组织排放源排查，</w:t>
            </w:r>
            <w:r>
              <w:rPr>
                <w:sz w:val="20"/>
                <w:szCs w:val="20"/>
              </w:rPr>
              <w:t xml:space="preserve"> </w:t>
            </w:r>
            <w:r>
              <w:rPr>
                <w:spacing w:val="8"/>
                <w:sz w:val="20"/>
                <w:szCs w:val="20"/>
              </w:rPr>
              <w:t>加强含</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物料全方位、全</w:t>
            </w:r>
            <w:r>
              <w:rPr>
                <w:sz w:val="20"/>
                <w:szCs w:val="20"/>
              </w:rPr>
              <w:t xml:space="preserve">  </w:t>
            </w:r>
            <w:r>
              <w:rPr>
                <w:spacing w:val="7"/>
                <w:sz w:val="20"/>
                <w:szCs w:val="20"/>
              </w:rPr>
              <w:t>链条、全环节密闭管理，深入</w:t>
            </w:r>
            <w:r>
              <w:rPr>
                <w:sz w:val="20"/>
                <w:szCs w:val="20"/>
              </w:rPr>
              <w:t xml:space="preserve">  </w:t>
            </w:r>
            <w:r>
              <w:rPr>
                <w:spacing w:val="3"/>
                <w:sz w:val="20"/>
                <w:szCs w:val="20"/>
              </w:rPr>
              <w:t>推进泄漏检测与修复（</w:t>
            </w:r>
            <w:r>
              <w:rPr>
                <w:rFonts w:ascii="Times New Roman" w:hAnsi="Times New Roman" w:eastAsia="Times New Roman" w:cs="Times New Roman"/>
                <w:sz w:val="20"/>
                <w:szCs w:val="20"/>
              </w:rPr>
              <w:t>LDAR</w:t>
            </w:r>
            <w:r>
              <w:rPr>
                <w:spacing w:val="3"/>
                <w:sz w:val="20"/>
                <w:szCs w:val="20"/>
              </w:rPr>
              <w:t>）</w:t>
            </w:r>
            <w:r>
              <w:rPr>
                <w:spacing w:val="2"/>
                <w:sz w:val="20"/>
                <w:szCs w:val="20"/>
              </w:rPr>
              <w:t xml:space="preserve"> </w:t>
            </w:r>
            <w:r>
              <w:rPr>
                <w:spacing w:val="5"/>
                <w:sz w:val="20"/>
                <w:szCs w:val="20"/>
              </w:rPr>
              <w:t>工作。</w:t>
            </w:r>
          </w:p>
        </w:tc>
        <w:tc>
          <w:tcPr>
            <w:tcW w:w="908" w:type="dxa"/>
            <w:tcBorders>
              <w:top w:val="single" w:color="000000" w:sz="6" w:space="0"/>
            </w:tcBorders>
            <w:vAlign w:val="top"/>
          </w:tcPr>
          <w:p w14:paraId="2FC03962">
            <w:pPr>
              <w:rPr>
                <w:rFonts w:ascii="Arial"/>
                <w:sz w:val="21"/>
              </w:rPr>
            </w:pPr>
          </w:p>
        </w:tc>
        <w:tc>
          <w:tcPr>
            <w:tcW w:w="155" w:type="dxa"/>
            <w:vMerge w:val="restart"/>
            <w:tcBorders>
              <w:top w:val="single" w:color="000000" w:sz="6" w:space="0"/>
              <w:bottom w:val="nil"/>
              <w:right w:val="single" w:color="000000" w:sz="6" w:space="0"/>
            </w:tcBorders>
            <w:vAlign w:val="top"/>
          </w:tcPr>
          <w:p w14:paraId="4BE32B13">
            <w:pPr>
              <w:rPr>
                <w:rFonts w:ascii="Arial"/>
                <w:sz w:val="21"/>
              </w:rPr>
            </w:pPr>
          </w:p>
        </w:tc>
      </w:tr>
      <w:tr w14:paraId="48DE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69" w:type="dxa"/>
            <w:vMerge w:val="continue"/>
            <w:tcBorders>
              <w:top w:val="nil"/>
              <w:left w:val="single" w:color="000000" w:sz="6" w:space="0"/>
              <w:bottom w:val="nil"/>
            </w:tcBorders>
            <w:vAlign w:val="top"/>
          </w:tcPr>
          <w:p w14:paraId="71BF5877">
            <w:pPr>
              <w:rPr>
                <w:rFonts w:ascii="Arial"/>
                <w:sz w:val="21"/>
              </w:rPr>
            </w:pPr>
          </w:p>
        </w:tc>
        <w:tc>
          <w:tcPr>
            <w:tcW w:w="146" w:type="dxa"/>
            <w:tcBorders>
              <w:top w:val="nil"/>
              <w:bottom w:val="nil"/>
            </w:tcBorders>
            <w:vAlign w:val="top"/>
          </w:tcPr>
          <w:p w14:paraId="7103D1EC">
            <w:pPr>
              <w:rPr>
                <w:rFonts w:ascii="Arial"/>
                <w:sz w:val="21"/>
              </w:rPr>
            </w:pPr>
          </w:p>
        </w:tc>
        <w:tc>
          <w:tcPr>
            <w:tcW w:w="8104" w:type="dxa"/>
            <w:gridSpan w:val="4"/>
            <w:vAlign w:val="top"/>
          </w:tcPr>
          <w:p w14:paraId="379D021C">
            <w:pPr>
              <w:pStyle w:val="6"/>
              <w:spacing w:before="198" w:line="228" w:lineRule="auto"/>
              <w:ind w:left="102"/>
              <w:rPr>
                <w:sz w:val="20"/>
                <w:szCs w:val="20"/>
              </w:rPr>
            </w:pPr>
            <w:r>
              <w:rPr>
                <w:rFonts w:ascii="Times New Roman" w:hAnsi="Times New Roman" w:eastAsia="Times New Roman" w:cs="Times New Roman"/>
                <w:spacing w:val="7"/>
                <w:sz w:val="20"/>
                <w:szCs w:val="20"/>
              </w:rPr>
              <w:t>2.</w:t>
            </w:r>
            <w:r>
              <w:rPr>
                <w:spacing w:val="7"/>
                <w:sz w:val="20"/>
                <w:szCs w:val="20"/>
              </w:rPr>
              <w:t>《汕尾市环境保护</w:t>
            </w:r>
            <w:r>
              <w:rPr>
                <w:rFonts w:ascii="Times New Roman" w:hAnsi="Times New Roman" w:eastAsia="Times New Roman" w:cs="Times New Roman"/>
                <w:spacing w:val="7"/>
                <w:sz w:val="20"/>
                <w:szCs w:val="20"/>
              </w:rPr>
              <w:t>“</w:t>
            </w:r>
            <w:r>
              <w:rPr>
                <w:spacing w:val="7"/>
                <w:sz w:val="20"/>
                <w:szCs w:val="20"/>
              </w:rPr>
              <w:t>十四五</w:t>
            </w:r>
            <w:r>
              <w:rPr>
                <w:rFonts w:ascii="Times New Roman" w:hAnsi="Times New Roman" w:eastAsia="Times New Roman" w:cs="Times New Roman"/>
                <w:spacing w:val="7"/>
                <w:sz w:val="20"/>
                <w:szCs w:val="20"/>
              </w:rPr>
              <w:t>”</w:t>
            </w:r>
            <w:r>
              <w:rPr>
                <w:spacing w:val="7"/>
                <w:sz w:val="20"/>
                <w:szCs w:val="20"/>
              </w:rPr>
              <w:t>规划》</w:t>
            </w:r>
          </w:p>
        </w:tc>
        <w:tc>
          <w:tcPr>
            <w:tcW w:w="155" w:type="dxa"/>
            <w:vMerge w:val="continue"/>
            <w:tcBorders>
              <w:top w:val="nil"/>
              <w:bottom w:val="nil"/>
              <w:right w:val="single" w:color="000000" w:sz="6" w:space="0"/>
            </w:tcBorders>
            <w:vAlign w:val="top"/>
          </w:tcPr>
          <w:p w14:paraId="520E6E9A">
            <w:pPr>
              <w:rPr>
                <w:rFonts w:ascii="Arial"/>
                <w:sz w:val="21"/>
              </w:rPr>
            </w:pPr>
          </w:p>
        </w:tc>
      </w:tr>
      <w:tr w14:paraId="1807B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4" w:hRule="atLeast"/>
        </w:trPr>
        <w:tc>
          <w:tcPr>
            <w:tcW w:w="469" w:type="dxa"/>
            <w:vMerge w:val="continue"/>
            <w:tcBorders>
              <w:top w:val="nil"/>
              <w:left w:val="single" w:color="000000" w:sz="6" w:space="0"/>
              <w:bottom w:val="nil"/>
            </w:tcBorders>
            <w:vAlign w:val="top"/>
          </w:tcPr>
          <w:p w14:paraId="37F15F11">
            <w:pPr>
              <w:rPr>
                <w:rFonts w:ascii="Arial"/>
                <w:sz w:val="21"/>
              </w:rPr>
            </w:pPr>
          </w:p>
        </w:tc>
        <w:tc>
          <w:tcPr>
            <w:tcW w:w="146" w:type="dxa"/>
            <w:tcBorders>
              <w:top w:val="nil"/>
              <w:bottom w:val="nil"/>
            </w:tcBorders>
            <w:vAlign w:val="top"/>
          </w:tcPr>
          <w:p w14:paraId="5EFF6E72">
            <w:pPr>
              <w:rPr>
                <w:rFonts w:ascii="Arial"/>
                <w:sz w:val="21"/>
              </w:rPr>
            </w:pPr>
          </w:p>
        </w:tc>
        <w:tc>
          <w:tcPr>
            <w:tcW w:w="690" w:type="dxa"/>
            <w:vAlign w:val="top"/>
          </w:tcPr>
          <w:p w14:paraId="26AF50C1">
            <w:pPr>
              <w:rPr>
                <w:rFonts w:ascii="Arial"/>
                <w:sz w:val="21"/>
              </w:rPr>
            </w:pPr>
          </w:p>
          <w:p w14:paraId="01389C20">
            <w:pPr>
              <w:rPr>
                <w:rFonts w:ascii="Arial"/>
                <w:sz w:val="21"/>
              </w:rPr>
            </w:pPr>
          </w:p>
          <w:p w14:paraId="184EE85B">
            <w:pPr>
              <w:rPr>
                <w:rFonts w:ascii="Arial"/>
                <w:sz w:val="21"/>
              </w:rPr>
            </w:pPr>
          </w:p>
          <w:p w14:paraId="53CC62CE">
            <w:pPr>
              <w:rPr>
                <w:rFonts w:ascii="Arial"/>
                <w:sz w:val="21"/>
              </w:rPr>
            </w:pPr>
          </w:p>
          <w:p w14:paraId="4B5622CB">
            <w:pPr>
              <w:rPr>
                <w:rFonts w:ascii="Arial"/>
                <w:sz w:val="21"/>
              </w:rPr>
            </w:pPr>
          </w:p>
          <w:p w14:paraId="6D754E2A">
            <w:pPr>
              <w:rPr>
                <w:rFonts w:ascii="Arial"/>
                <w:sz w:val="21"/>
              </w:rPr>
            </w:pPr>
          </w:p>
          <w:p w14:paraId="34F512EC">
            <w:pPr>
              <w:rPr>
                <w:rFonts w:ascii="Arial"/>
                <w:sz w:val="21"/>
              </w:rPr>
            </w:pPr>
          </w:p>
          <w:p w14:paraId="26DD7C4D">
            <w:pPr>
              <w:rPr>
                <w:rFonts w:ascii="Arial"/>
                <w:sz w:val="21"/>
              </w:rPr>
            </w:pPr>
          </w:p>
          <w:p w14:paraId="528B70F9">
            <w:pPr>
              <w:rPr>
                <w:rFonts w:ascii="Arial"/>
                <w:sz w:val="21"/>
              </w:rPr>
            </w:pPr>
          </w:p>
          <w:p w14:paraId="36042957">
            <w:pPr>
              <w:spacing w:line="241" w:lineRule="auto"/>
              <w:rPr>
                <w:rFonts w:ascii="Arial"/>
                <w:sz w:val="21"/>
              </w:rPr>
            </w:pPr>
          </w:p>
          <w:p w14:paraId="48C986AF">
            <w:pPr>
              <w:spacing w:line="241" w:lineRule="auto"/>
              <w:rPr>
                <w:rFonts w:ascii="Arial"/>
                <w:sz w:val="21"/>
              </w:rPr>
            </w:pPr>
          </w:p>
          <w:p w14:paraId="7CAC3490">
            <w:pPr>
              <w:spacing w:line="241" w:lineRule="auto"/>
              <w:rPr>
                <w:rFonts w:ascii="Arial"/>
                <w:sz w:val="21"/>
              </w:rPr>
            </w:pPr>
          </w:p>
          <w:p w14:paraId="4B8BF763">
            <w:pPr>
              <w:spacing w:line="241" w:lineRule="auto"/>
              <w:rPr>
                <w:rFonts w:ascii="Arial"/>
                <w:sz w:val="21"/>
              </w:rPr>
            </w:pPr>
          </w:p>
          <w:p w14:paraId="22EA19D9">
            <w:pPr>
              <w:spacing w:before="5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w:t>
            </w:r>
          </w:p>
        </w:tc>
        <w:tc>
          <w:tcPr>
            <w:tcW w:w="3599" w:type="dxa"/>
            <w:vAlign w:val="top"/>
          </w:tcPr>
          <w:p w14:paraId="2B553CDA">
            <w:pPr>
              <w:pStyle w:val="6"/>
              <w:spacing w:before="33" w:line="248" w:lineRule="auto"/>
              <w:ind w:left="107" w:right="136"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）调整优化产业集群发展空间布</w:t>
            </w:r>
            <w:r>
              <w:rPr>
                <w:spacing w:val="3"/>
                <w:sz w:val="20"/>
                <w:szCs w:val="20"/>
              </w:rPr>
              <w:t xml:space="preserve">  </w:t>
            </w:r>
            <w:r>
              <w:rPr>
                <w:spacing w:val="9"/>
                <w:sz w:val="20"/>
                <w:szCs w:val="20"/>
              </w:rPr>
              <w:t>局，推动城市功能定位与产业集群发</w:t>
            </w:r>
            <w:r>
              <w:rPr>
                <w:spacing w:val="4"/>
                <w:sz w:val="20"/>
                <w:szCs w:val="20"/>
              </w:rPr>
              <w:t xml:space="preserve"> </w:t>
            </w:r>
            <w:r>
              <w:rPr>
                <w:spacing w:val="9"/>
                <w:sz w:val="20"/>
                <w:szCs w:val="20"/>
              </w:rPr>
              <w:t>展协同匹配。积极引导北部绿色发展</w:t>
            </w:r>
            <w:r>
              <w:rPr>
                <w:spacing w:val="4"/>
                <w:sz w:val="20"/>
                <w:szCs w:val="20"/>
              </w:rPr>
              <w:t xml:space="preserve"> </w:t>
            </w:r>
            <w:r>
              <w:rPr>
                <w:spacing w:val="9"/>
                <w:sz w:val="20"/>
                <w:szCs w:val="20"/>
              </w:rPr>
              <w:t>示范区和中部城镇发展区发展绿色低</w:t>
            </w:r>
            <w:r>
              <w:rPr>
                <w:spacing w:val="4"/>
                <w:sz w:val="20"/>
                <w:szCs w:val="20"/>
              </w:rPr>
              <w:t xml:space="preserve"> </w:t>
            </w:r>
            <w:r>
              <w:rPr>
                <w:spacing w:val="9"/>
                <w:sz w:val="20"/>
                <w:szCs w:val="20"/>
              </w:rPr>
              <w:t>碳循环产业，推进生态环境治理与生</w:t>
            </w:r>
            <w:r>
              <w:rPr>
                <w:spacing w:val="4"/>
                <w:sz w:val="20"/>
                <w:szCs w:val="20"/>
              </w:rPr>
              <w:t xml:space="preserve"> </w:t>
            </w:r>
            <w:r>
              <w:rPr>
                <w:spacing w:val="9"/>
                <w:sz w:val="20"/>
                <w:szCs w:val="20"/>
              </w:rPr>
              <w:t>态旅游、休闲康养等产业融合发展，</w:t>
            </w:r>
            <w:r>
              <w:rPr>
                <w:spacing w:val="4"/>
                <w:sz w:val="20"/>
                <w:szCs w:val="20"/>
              </w:rPr>
              <w:t xml:space="preserve"> </w:t>
            </w:r>
            <w:r>
              <w:rPr>
                <w:spacing w:val="9"/>
                <w:sz w:val="20"/>
                <w:szCs w:val="20"/>
              </w:rPr>
              <w:t>形成节约资源和保护环境的空间布</w:t>
            </w:r>
          </w:p>
          <w:p w14:paraId="7A2C7C53">
            <w:pPr>
              <w:pStyle w:val="6"/>
              <w:spacing w:before="23" w:line="249" w:lineRule="auto"/>
              <w:ind w:left="107" w:right="136" w:firstLine="3"/>
              <w:rPr>
                <w:sz w:val="20"/>
                <w:szCs w:val="20"/>
              </w:rPr>
            </w:pPr>
            <w:r>
              <w:rPr>
                <w:spacing w:val="9"/>
                <w:sz w:val="20"/>
                <w:szCs w:val="20"/>
              </w:rPr>
              <w:t>局、产业结构和生产生活方式。严格</w:t>
            </w:r>
            <w:r>
              <w:rPr>
                <w:spacing w:val="2"/>
                <w:sz w:val="20"/>
                <w:szCs w:val="20"/>
              </w:rPr>
              <w:t xml:space="preserve"> </w:t>
            </w:r>
            <w:r>
              <w:rPr>
                <w:spacing w:val="9"/>
                <w:sz w:val="20"/>
                <w:szCs w:val="20"/>
              </w:rPr>
              <w:t>执行差别化环境政策，推动形成与主</w:t>
            </w:r>
            <w:r>
              <w:rPr>
                <w:spacing w:val="5"/>
                <w:sz w:val="20"/>
                <w:szCs w:val="20"/>
              </w:rPr>
              <w:t xml:space="preserve"> </w:t>
            </w:r>
            <w:r>
              <w:rPr>
                <w:spacing w:val="9"/>
                <w:sz w:val="20"/>
                <w:szCs w:val="20"/>
              </w:rPr>
              <w:t>体功能区相适应的产业空间布局，推</w:t>
            </w:r>
            <w:r>
              <w:rPr>
                <w:spacing w:val="5"/>
                <w:sz w:val="20"/>
                <w:szCs w:val="20"/>
              </w:rPr>
              <w:t xml:space="preserve"> </w:t>
            </w:r>
            <w:r>
              <w:rPr>
                <w:spacing w:val="9"/>
                <w:sz w:val="20"/>
                <w:szCs w:val="20"/>
              </w:rPr>
              <w:t>动工业项目向汕尾高新技术产业开发</w:t>
            </w:r>
            <w:r>
              <w:rPr>
                <w:spacing w:val="5"/>
                <w:sz w:val="20"/>
                <w:szCs w:val="20"/>
              </w:rPr>
              <w:t xml:space="preserve"> </w:t>
            </w:r>
            <w:r>
              <w:rPr>
                <w:spacing w:val="9"/>
                <w:sz w:val="20"/>
                <w:szCs w:val="20"/>
              </w:rPr>
              <w:t>区、广东汕尾红海湾经济开发区、广</w:t>
            </w:r>
            <w:r>
              <w:rPr>
                <w:spacing w:val="5"/>
                <w:sz w:val="20"/>
                <w:szCs w:val="20"/>
              </w:rPr>
              <w:t xml:space="preserve"> </w:t>
            </w:r>
            <w:r>
              <w:rPr>
                <w:spacing w:val="9"/>
                <w:sz w:val="20"/>
                <w:szCs w:val="20"/>
              </w:rPr>
              <w:t>东海丰经济开发区、海丰首饰产业环</w:t>
            </w:r>
            <w:r>
              <w:rPr>
                <w:spacing w:val="5"/>
                <w:sz w:val="20"/>
                <w:szCs w:val="20"/>
              </w:rPr>
              <w:t xml:space="preserve"> </w:t>
            </w:r>
            <w:r>
              <w:rPr>
                <w:spacing w:val="9"/>
                <w:sz w:val="20"/>
                <w:szCs w:val="20"/>
              </w:rPr>
              <w:t>保集聚区、广东陆河县产业转移工业</w:t>
            </w:r>
            <w:r>
              <w:rPr>
                <w:spacing w:val="5"/>
                <w:sz w:val="20"/>
                <w:szCs w:val="20"/>
              </w:rPr>
              <w:t xml:space="preserve"> </w:t>
            </w:r>
            <w:r>
              <w:rPr>
                <w:spacing w:val="9"/>
                <w:sz w:val="20"/>
                <w:szCs w:val="20"/>
              </w:rPr>
              <w:t>园区（陆河高新技术产业开发区）等</w:t>
            </w:r>
            <w:r>
              <w:rPr>
                <w:spacing w:val="5"/>
                <w:sz w:val="20"/>
                <w:szCs w:val="20"/>
              </w:rPr>
              <w:t xml:space="preserve"> </w:t>
            </w:r>
            <w:r>
              <w:rPr>
                <w:spacing w:val="7"/>
                <w:sz w:val="20"/>
                <w:szCs w:val="20"/>
              </w:rPr>
              <w:t>入园集聚发展。</w:t>
            </w:r>
          </w:p>
          <w:p w14:paraId="2FF9BD64">
            <w:pPr>
              <w:pStyle w:val="6"/>
              <w:spacing w:before="26" w:line="246" w:lineRule="auto"/>
              <w:ind w:left="107" w:right="65" w:firstLine="10"/>
              <w:rPr>
                <w:sz w:val="20"/>
                <w:szCs w:val="20"/>
              </w:rPr>
            </w:pPr>
            <w:r>
              <w:rPr>
                <w:spacing w:val="6"/>
                <w:sz w:val="20"/>
                <w:szCs w:val="20"/>
              </w:rPr>
              <w:t>（</w:t>
            </w:r>
            <w:r>
              <w:rPr>
                <w:rFonts w:ascii="Times New Roman" w:hAnsi="Times New Roman" w:eastAsia="Times New Roman" w:cs="Times New Roman"/>
                <w:spacing w:val="6"/>
                <w:sz w:val="20"/>
                <w:szCs w:val="20"/>
              </w:rPr>
              <w:t>2</w:t>
            </w:r>
            <w:r>
              <w:rPr>
                <w:spacing w:val="6"/>
                <w:sz w:val="20"/>
                <w:szCs w:val="20"/>
              </w:rPr>
              <w:t>）积极推进纺织服装、食品加工、</w:t>
            </w:r>
            <w:r>
              <w:rPr>
                <w:spacing w:val="7"/>
                <w:sz w:val="20"/>
                <w:szCs w:val="20"/>
              </w:rPr>
              <w:t xml:space="preserve"> </w:t>
            </w:r>
            <w:r>
              <w:rPr>
                <w:spacing w:val="9"/>
                <w:sz w:val="20"/>
                <w:szCs w:val="20"/>
              </w:rPr>
              <w:t>珠宝金银首饰、五金塑料等传统优势</w:t>
            </w:r>
            <w:r>
              <w:rPr>
                <w:spacing w:val="4"/>
                <w:sz w:val="20"/>
                <w:szCs w:val="20"/>
              </w:rPr>
              <w:t xml:space="preserve"> </w:t>
            </w:r>
            <w:r>
              <w:rPr>
                <w:spacing w:val="9"/>
                <w:sz w:val="20"/>
                <w:szCs w:val="20"/>
              </w:rPr>
              <w:t>产业集群转型升级，加快培育新型显</w:t>
            </w:r>
            <w:r>
              <w:rPr>
                <w:spacing w:val="4"/>
                <w:sz w:val="20"/>
                <w:szCs w:val="20"/>
              </w:rPr>
              <w:t xml:space="preserve"> </w:t>
            </w:r>
            <w:r>
              <w:rPr>
                <w:spacing w:val="10"/>
                <w:sz w:val="20"/>
                <w:szCs w:val="20"/>
              </w:rPr>
              <w:t>示、高端新型电子信息、人工智能、</w:t>
            </w:r>
            <w:r>
              <w:rPr>
                <w:spacing w:val="2"/>
                <w:sz w:val="20"/>
                <w:szCs w:val="20"/>
              </w:rPr>
              <w:t xml:space="preserve"> </w:t>
            </w:r>
            <w:r>
              <w:rPr>
                <w:spacing w:val="9"/>
                <w:sz w:val="20"/>
                <w:szCs w:val="20"/>
              </w:rPr>
              <w:t>新能源、新材料、新能源汽车、生物</w:t>
            </w:r>
            <w:r>
              <w:rPr>
                <w:spacing w:val="4"/>
                <w:sz w:val="20"/>
                <w:szCs w:val="20"/>
              </w:rPr>
              <w:t xml:space="preserve"> </w:t>
            </w:r>
            <w:r>
              <w:rPr>
                <w:spacing w:val="9"/>
                <w:sz w:val="20"/>
                <w:szCs w:val="20"/>
              </w:rPr>
              <w:t>医药、高端装备制造、海洋工程装备</w:t>
            </w:r>
            <w:r>
              <w:rPr>
                <w:spacing w:val="4"/>
                <w:sz w:val="20"/>
                <w:szCs w:val="20"/>
              </w:rPr>
              <w:t xml:space="preserve"> </w:t>
            </w:r>
            <w:r>
              <w:rPr>
                <w:spacing w:val="9"/>
                <w:sz w:val="20"/>
                <w:szCs w:val="20"/>
              </w:rPr>
              <w:t>等战略性新兴产业集群规模化、集约</w:t>
            </w:r>
            <w:r>
              <w:rPr>
                <w:spacing w:val="4"/>
                <w:sz w:val="20"/>
                <w:szCs w:val="20"/>
              </w:rPr>
              <w:t xml:space="preserve"> </w:t>
            </w:r>
            <w:r>
              <w:rPr>
                <w:spacing w:val="5"/>
                <w:sz w:val="20"/>
                <w:szCs w:val="20"/>
              </w:rPr>
              <w:t>化发展。</w:t>
            </w:r>
          </w:p>
        </w:tc>
        <w:tc>
          <w:tcPr>
            <w:tcW w:w="2907" w:type="dxa"/>
            <w:vAlign w:val="top"/>
          </w:tcPr>
          <w:p w14:paraId="42AAE3B2">
            <w:pPr>
              <w:spacing w:line="320" w:lineRule="auto"/>
              <w:rPr>
                <w:rFonts w:ascii="Arial"/>
                <w:sz w:val="21"/>
              </w:rPr>
            </w:pPr>
          </w:p>
          <w:p w14:paraId="67B4AF61">
            <w:pPr>
              <w:spacing w:line="321" w:lineRule="auto"/>
              <w:rPr>
                <w:rFonts w:ascii="Arial"/>
                <w:sz w:val="21"/>
              </w:rPr>
            </w:pPr>
          </w:p>
          <w:p w14:paraId="1B6899A3">
            <w:pPr>
              <w:pStyle w:val="6"/>
              <w:spacing w:before="65" w:line="251" w:lineRule="auto"/>
              <w:ind w:left="112" w:right="101" w:firstLine="1"/>
              <w:jc w:val="both"/>
              <w:rPr>
                <w:sz w:val="20"/>
                <w:szCs w:val="20"/>
              </w:rPr>
            </w:pPr>
            <w:r>
              <w:rPr>
                <w:spacing w:val="18"/>
                <w:sz w:val="20"/>
                <w:szCs w:val="20"/>
              </w:rPr>
              <w:t>本项</w:t>
            </w:r>
            <w:r>
              <w:rPr>
                <w:spacing w:val="-31"/>
                <w:sz w:val="20"/>
                <w:szCs w:val="20"/>
              </w:rPr>
              <w:t xml:space="preserve"> </w:t>
            </w:r>
            <w:r>
              <w:rPr>
                <w:spacing w:val="18"/>
                <w:sz w:val="20"/>
                <w:szCs w:val="20"/>
              </w:rPr>
              <w:t>目主要从事宝石的泡酸</w:t>
            </w:r>
            <w:r>
              <w:rPr>
                <w:sz w:val="20"/>
                <w:szCs w:val="20"/>
              </w:rPr>
              <w:t xml:space="preserve"> </w:t>
            </w:r>
            <w:r>
              <w:rPr>
                <w:spacing w:val="6"/>
                <w:sz w:val="20"/>
                <w:szCs w:val="20"/>
              </w:rPr>
              <w:t>加工和注胶加工，位于项目位</w:t>
            </w:r>
            <w:r>
              <w:rPr>
                <w:spacing w:val="9"/>
                <w:sz w:val="20"/>
                <w:szCs w:val="20"/>
              </w:rPr>
              <w:t xml:space="preserve"> </w:t>
            </w:r>
            <w:r>
              <w:rPr>
                <w:spacing w:val="24"/>
                <w:sz w:val="20"/>
                <w:szCs w:val="20"/>
              </w:rPr>
              <w:t>于海丰县可塘镇圆山岭开发</w:t>
            </w:r>
            <w:r>
              <w:rPr>
                <w:sz w:val="20"/>
                <w:szCs w:val="20"/>
              </w:rPr>
              <w:t xml:space="preserve"> </w:t>
            </w:r>
            <w:r>
              <w:rPr>
                <w:spacing w:val="6"/>
                <w:sz w:val="20"/>
                <w:szCs w:val="20"/>
              </w:rPr>
              <w:t>区。可塘镇是汕尾地区主要的</w:t>
            </w:r>
            <w:r>
              <w:rPr>
                <w:spacing w:val="9"/>
                <w:sz w:val="20"/>
                <w:szCs w:val="20"/>
              </w:rPr>
              <w:t xml:space="preserve"> </w:t>
            </w:r>
            <w:r>
              <w:rPr>
                <w:spacing w:val="6"/>
                <w:sz w:val="20"/>
                <w:szCs w:val="20"/>
              </w:rPr>
              <w:t xml:space="preserve">宝石加工基地，产业布局符合 </w:t>
            </w:r>
            <w:r>
              <w:rPr>
                <w:spacing w:val="24"/>
                <w:sz w:val="20"/>
                <w:szCs w:val="20"/>
              </w:rPr>
              <w:t>城市功能定位和产业集群发</w:t>
            </w:r>
            <w:r>
              <w:rPr>
                <w:sz w:val="20"/>
                <w:szCs w:val="20"/>
              </w:rPr>
              <w:t xml:space="preserve"> </w:t>
            </w:r>
            <w:r>
              <w:rPr>
                <w:spacing w:val="6"/>
                <w:sz w:val="20"/>
                <w:szCs w:val="20"/>
              </w:rPr>
              <w:t xml:space="preserve">展空间布局。本项目旨在将全 </w:t>
            </w:r>
            <w:r>
              <w:rPr>
                <w:spacing w:val="24"/>
                <w:sz w:val="20"/>
                <w:szCs w:val="20"/>
              </w:rPr>
              <w:t>镇宝石加工中的泡酸和注胶</w:t>
            </w:r>
            <w:r>
              <w:rPr>
                <w:sz w:val="20"/>
                <w:szCs w:val="20"/>
              </w:rPr>
              <w:t xml:space="preserve"> </w:t>
            </w:r>
            <w:r>
              <w:rPr>
                <w:spacing w:val="20"/>
                <w:sz w:val="20"/>
                <w:szCs w:val="20"/>
              </w:rPr>
              <w:t>工序集中起来</w:t>
            </w:r>
            <w:r>
              <w:rPr>
                <w:spacing w:val="-53"/>
                <w:sz w:val="20"/>
                <w:szCs w:val="20"/>
              </w:rPr>
              <w:t xml:space="preserve"> </w:t>
            </w:r>
            <w:r>
              <w:rPr>
                <w:spacing w:val="20"/>
                <w:sz w:val="20"/>
                <w:szCs w:val="20"/>
              </w:rPr>
              <w:t>，统一设置废</w:t>
            </w:r>
            <w:r>
              <w:rPr>
                <w:sz w:val="20"/>
                <w:szCs w:val="20"/>
              </w:rPr>
              <w:t xml:space="preserve"> </w:t>
            </w:r>
            <w:r>
              <w:rPr>
                <w:spacing w:val="6"/>
                <w:sz w:val="20"/>
                <w:szCs w:val="20"/>
              </w:rPr>
              <w:t>气、废水收集和治理，配套危</w:t>
            </w:r>
            <w:r>
              <w:rPr>
                <w:spacing w:val="9"/>
                <w:sz w:val="20"/>
                <w:szCs w:val="20"/>
              </w:rPr>
              <w:t xml:space="preserve"> </w:t>
            </w:r>
            <w:r>
              <w:rPr>
                <w:spacing w:val="6"/>
                <w:sz w:val="20"/>
                <w:szCs w:val="20"/>
              </w:rPr>
              <w:t>险废物暂存设施，实现废气、</w:t>
            </w:r>
            <w:r>
              <w:rPr>
                <w:spacing w:val="9"/>
                <w:sz w:val="20"/>
                <w:szCs w:val="20"/>
              </w:rPr>
              <w:t xml:space="preserve"> </w:t>
            </w:r>
            <w:r>
              <w:rPr>
                <w:spacing w:val="19"/>
                <w:sz w:val="20"/>
                <w:szCs w:val="20"/>
              </w:rPr>
              <w:t>废水、</w:t>
            </w:r>
            <w:r>
              <w:rPr>
                <w:spacing w:val="-41"/>
                <w:sz w:val="20"/>
                <w:szCs w:val="20"/>
              </w:rPr>
              <w:t xml:space="preserve"> </w:t>
            </w:r>
            <w:r>
              <w:rPr>
                <w:spacing w:val="19"/>
                <w:sz w:val="20"/>
                <w:szCs w:val="20"/>
              </w:rPr>
              <w:t>固废的有效收集和治</w:t>
            </w:r>
            <w:r>
              <w:rPr>
                <w:sz w:val="20"/>
                <w:szCs w:val="20"/>
              </w:rPr>
              <w:t xml:space="preserve"> </w:t>
            </w:r>
            <w:r>
              <w:rPr>
                <w:spacing w:val="6"/>
                <w:sz w:val="20"/>
                <w:szCs w:val="20"/>
              </w:rPr>
              <w:t xml:space="preserve">理，从而改善环境质量，确保 </w:t>
            </w:r>
            <w:r>
              <w:rPr>
                <w:spacing w:val="7"/>
                <w:sz w:val="20"/>
                <w:szCs w:val="20"/>
              </w:rPr>
              <w:t>生态环境安全。</w:t>
            </w:r>
          </w:p>
          <w:p w14:paraId="34288B80">
            <w:pPr>
              <w:pStyle w:val="6"/>
              <w:spacing w:line="252" w:lineRule="auto"/>
              <w:ind w:left="113" w:right="100"/>
              <w:jc w:val="both"/>
              <w:rPr>
                <w:sz w:val="20"/>
                <w:szCs w:val="20"/>
              </w:rPr>
            </w:pPr>
            <w:r>
              <w:rPr>
                <w:spacing w:val="6"/>
                <w:sz w:val="20"/>
                <w:szCs w:val="20"/>
              </w:rPr>
              <w:t>本项目属于宝石加工行业，是</w:t>
            </w:r>
            <w:r>
              <w:rPr>
                <w:spacing w:val="7"/>
                <w:sz w:val="20"/>
                <w:szCs w:val="20"/>
              </w:rPr>
              <w:t xml:space="preserve"> </w:t>
            </w:r>
            <w:r>
              <w:rPr>
                <w:spacing w:val="6"/>
                <w:sz w:val="20"/>
                <w:szCs w:val="20"/>
              </w:rPr>
              <w:t>汕尾市的传统优势产业；项目</w:t>
            </w:r>
            <w:r>
              <w:rPr>
                <w:spacing w:val="5"/>
                <w:sz w:val="20"/>
                <w:szCs w:val="20"/>
              </w:rPr>
              <w:t xml:space="preserve"> </w:t>
            </w:r>
            <w:r>
              <w:rPr>
                <w:spacing w:val="23"/>
                <w:sz w:val="20"/>
                <w:szCs w:val="20"/>
              </w:rPr>
              <w:t>的建设将宝石加工中重污染</w:t>
            </w:r>
            <w:r>
              <w:rPr>
                <w:spacing w:val="10"/>
                <w:sz w:val="20"/>
                <w:szCs w:val="20"/>
              </w:rPr>
              <w:t xml:space="preserve"> </w:t>
            </w:r>
            <w:r>
              <w:rPr>
                <w:spacing w:val="6"/>
                <w:sz w:val="20"/>
                <w:szCs w:val="20"/>
              </w:rPr>
              <w:t>环节集中起来，可以更好实现</w:t>
            </w:r>
            <w:r>
              <w:rPr>
                <w:spacing w:val="5"/>
                <w:sz w:val="20"/>
                <w:szCs w:val="20"/>
              </w:rPr>
              <w:t xml:space="preserve"> </w:t>
            </w:r>
            <w:r>
              <w:rPr>
                <w:spacing w:val="8"/>
                <w:sz w:val="20"/>
                <w:szCs w:val="20"/>
              </w:rPr>
              <w:t>产业的集群升级转型。</w:t>
            </w:r>
          </w:p>
        </w:tc>
        <w:tc>
          <w:tcPr>
            <w:tcW w:w="908" w:type="dxa"/>
            <w:vAlign w:val="top"/>
          </w:tcPr>
          <w:p w14:paraId="252C434C">
            <w:pPr>
              <w:spacing w:line="256" w:lineRule="auto"/>
              <w:rPr>
                <w:rFonts w:ascii="Arial"/>
                <w:sz w:val="21"/>
              </w:rPr>
            </w:pPr>
          </w:p>
          <w:p w14:paraId="2CD232DA">
            <w:pPr>
              <w:spacing w:line="256" w:lineRule="auto"/>
              <w:rPr>
                <w:rFonts w:ascii="Arial"/>
                <w:sz w:val="21"/>
              </w:rPr>
            </w:pPr>
          </w:p>
          <w:p w14:paraId="53C2166E">
            <w:pPr>
              <w:spacing w:line="256" w:lineRule="auto"/>
              <w:rPr>
                <w:rFonts w:ascii="Arial"/>
                <w:sz w:val="21"/>
              </w:rPr>
            </w:pPr>
          </w:p>
          <w:p w14:paraId="0E09AA73">
            <w:pPr>
              <w:spacing w:line="257" w:lineRule="auto"/>
              <w:rPr>
                <w:rFonts w:ascii="Arial"/>
                <w:sz w:val="21"/>
              </w:rPr>
            </w:pPr>
          </w:p>
          <w:p w14:paraId="6D19EE16">
            <w:pPr>
              <w:spacing w:line="257" w:lineRule="auto"/>
              <w:rPr>
                <w:rFonts w:ascii="Arial"/>
                <w:sz w:val="21"/>
              </w:rPr>
            </w:pPr>
          </w:p>
          <w:p w14:paraId="1EA3C9C9">
            <w:pPr>
              <w:spacing w:line="257" w:lineRule="auto"/>
              <w:rPr>
                <w:rFonts w:ascii="Arial"/>
                <w:sz w:val="21"/>
              </w:rPr>
            </w:pPr>
          </w:p>
          <w:p w14:paraId="782DDE7F">
            <w:pPr>
              <w:spacing w:line="257" w:lineRule="auto"/>
              <w:rPr>
                <w:rFonts w:ascii="Arial"/>
                <w:sz w:val="21"/>
              </w:rPr>
            </w:pPr>
          </w:p>
          <w:p w14:paraId="59CF87BE">
            <w:pPr>
              <w:spacing w:line="257" w:lineRule="auto"/>
              <w:rPr>
                <w:rFonts w:ascii="Arial"/>
                <w:sz w:val="21"/>
              </w:rPr>
            </w:pPr>
          </w:p>
          <w:p w14:paraId="5E43CB32">
            <w:pPr>
              <w:spacing w:line="257" w:lineRule="auto"/>
              <w:rPr>
                <w:rFonts w:ascii="Arial"/>
                <w:sz w:val="21"/>
              </w:rPr>
            </w:pPr>
          </w:p>
          <w:p w14:paraId="51B03F7B">
            <w:pPr>
              <w:spacing w:line="257" w:lineRule="auto"/>
              <w:rPr>
                <w:rFonts w:ascii="Arial"/>
                <w:sz w:val="21"/>
              </w:rPr>
            </w:pPr>
          </w:p>
          <w:p w14:paraId="1A896B08">
            <w:pPr>
              <w:spacing w:line="257" w:lineRule="auto"/>
              <w:rPr>
                <w:rFonts w:ascii="Arial"/>
                <w:sz w:val="21"/>
              </w:rPr>
            </w:pPr>
          </w:p>
          <w:p w14:paraId="75D5CF28">
            <w:pPr>
              <w:spacing w:line="257" w:lineRule="auto"/>
              <w:rPr>
                <w:rFonts w:ascii="Arial"/>
                <w:sz w:val="21"/>
              </w:rPr>
            </w:pPr>
          </w:p>
          <w:p w14:paraId="49DAF2F2">
            <w:pPr>
              <w:pStyle w:val="6"/>
              <w:spacing w:before="65" w:line="228" w:lineRule="auto"/>
              <w:ind w:left="256"/>
              <w:rPr>
                <w:sz w:val="20"/>
                <w:szCs w:val="20"/>
              </w:rPr>
            </w:pPr>
            <w:r>
              <w:rPr>
                <w:spacing w:val="3"/>
                <w:sz w:val="20"/>
                <w:szCs w:val="20"/>
              </w:rPr>
              <w:t>符合</w:t>
            </w:r>
          </w:p>
        </w:tc>
        <w:tc>
          <w:tcPr>
            <w:tcW w:w="155" w:type="dxa"/>
            <w:vMerge w:val="continue"/>
            <w:tcBorders>
              <w:top w:val="nil"/>
              <w:bottom w:val="nil"/>
              <w:right w:val="single" w:color="000000" w:sz="6" w:space="0"/>
            </w:tcBorders>
            <w:vAlign w:val="top"/>
          </w:tcPr>
          <w:p w14:paraId="4AF9A09D">
            <w:pPr>
              <w:rPr>
                <w:rFonts w:ascii="Arial"/>
                <w:sz w:val="21"/>
              </w:rPr>
            </w:pPr>
          </w:p>
        </w:tc>
      </w:tr>
      <w:tr w14:paraId="11FC8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69" w:type="dxa"/>
            <w:vMerge w:val="continue"/>
            <w:tcBorders>
              <w:top w:val="nil"/>
              <w:left w:val="single" w:color="000000" w:sz="6" w:space="0"/>
              <w:bottom w:val="nil"/>
            </w:tcBorders>
            <w:vAlign w:val="top"/>
          </w:tcPr>
          <w:p w14:paraId="786B330F">
            <w:pPr>
              <w:rPr>
                <w:rFonts w:ascii="Arial"/>
                <w:sz w:val="21"/>
              </w:rPr>
            </w:pPr>
          </w:p>
        </w:tc>
        <w:tc>
          <w:tcPr>
            <w:tcW w:w="146" w:type="dxa"/>
            <w:tcBorders>
              <w:top w:val="nil"/>
              <w:bottom w:val="nil"/>
            </w:tcBorders>
            <w:vAlign w:val="top"/>
          </w:tcPr>
          <w:p w14:paraId="52DD3975">
            <w:pPr>
              <w:rPr>
                <w:rFonts w:ascii="Arial"/>
                <w:sz w:val="21"/>
              </w:rPr>
            </w:pPr>
          </w:p>
        </w:tc>
        <w:tc>
          <w:tcPr>
            <w:tcW w:w="8104" w:type="dxa"/>
            <w:gridSpan w:val="4"/>
            <w:vAlign w:val="top"/>
          </w:tcPr>
          <w:p w14:paraId="757C64C3">
            <w:pPr>
              <w:pStyle w:val="6"/>
              <w:spacing w:before="168" w:line="252" w:lineRule="auto"/>
              <w:ind w:left="106" w:right="178"/>
              <w:rPr>
                <w:sz w:val="20"/>
                <w:szCs w:val="20"/>
              </w:rPr>
            </w:pPr>
            <w:r>
              <w:rPr>
                <w:rFonts w:ascii="Times New Roman" w:hAnsi="Times New Roman" w:eastAsia="Times New Roman" w:cs="Times New Roman"/>
                <w:spacing w:val="9"/>
                <w:sz w:val="20"/>
                <w:szCs w:val="20"/>
              </w:rPr>
              <w:t>3.</w:t>
            </w:r>
            <w:r>
              <w:rPr>
                <w:spacing w:val="9"/>
                <w:sz w:val="20"/>
                <w:szCs w:val="20"/>
              </w:rPr>
              <w:t>广东省人民政府办公厅关于印发广东省</w:t>
            </w:r>
            <w:r>
              <w:rPr>
                <w:spacing w:val="-40"/>
                <w:sz w:val="20"/>
                <w:szCs w:val="20"/>
              </w:rPr>
              <w:t xml:space="preserve"> </w:t>
            </w:r>
            <w:r>
              <w:rPr>
                <w:rFonts w:ascii="Times New Roman" w:hAnsi="Times New Roman" w:eastAsia="Times New Roman" w:cs="Times New Roman"/>
                <w:spacing w:val="9"/>
                <w:sz w:val="20"/>
                <w:szCs w:val="20"/>
              </w:rPr>
              <w:t xml:space="preserve">2021 </w:t>
            </w:r>
            <w:r>
              <w:rPr>
                <w:spacing w:val="8"/>
                <w:sz w:val="20"/>
                <w:szCs w:val="20"/>
              </w:rPr>
              <w:t>年大气、水、土壤污染防治工作方案的</w:t>
            </w:r>
            <w:r>
              <w:rPr>
                <w:sz w:val="20"/>
                <w:szCs w:val="20"/>
              </w:rPr>
              <w:t xml:space="preserve"> </w:t>
            </w:r>
            <w:r>
              <w:rPr>
                <w:spacing w:val="6"/>
                <w:sz w:val="20"/>
                <w:szCs w:val="20"/>
              </w:rPr>
              <w:t>通知（粤办函﹝</w:t>
            </w:r>
            <w:r>
              <w:rPr>
                <w:rFonts w:ascii="Times New Roman" w:hAnsi="Times New Roman" w:eastAsia="Times New Roman" w:cs="Times New Roman"/>
                <w:spacing w:val="6"/>
                <w:sz w:val="20"/>
                <w:szCs w:val="20"/>
              </w:rPr>
              <w:t>2021</w:t>
            </w:r>
            <w:r>
              <w:rPr>
                <w:spacing w:val="6"/>
                <w:sz w:val="20"/>
                <w:szCs w:val="20"/>
              </w:rPr>
              <w:t>﹞</w:t>
            </w:r>
            <w:r>
              <w:rPr>
                <w:rFonts w:ascii="Times New Roman" w:hAnsi="Times New Roman" w:eastAsia="Times New Roman" w:cs="Times New Roman"/>
                <w:spacing w:val="6"/>
                <w:sz w:val="20"/>
                <w:szCs w:val="20"/>
              </w:rPr>
              <w:t xml:space="preserve">58 </w:t>
            </w:r>
            <w:r>
              <w:rPr>
                <w:spacing w:val="6"/>
                <w:sz w:val="20"/>
                <w:szCs w:val="20"/>
              </w:rPr>
              <w:t>号）</w:t>
            </w:r>
          </w:p>
        </w:tc>
        <w:tc>
          <w:tcPr>
            <w:tcW w:w="155" w:type="dxa"/>
            <w:vMerge w:val="continue"/>
            <w:tcBorders>
              <w:top w:val="nil"/>
              <w:bottom w:val="nil"/>
              <w:right w:val="single" w:color="000000" w:sz="6" w:space="0"/>
            </w:tcBorders>
            <w:vAlign w:val="top"/>
          </w:tcPr>
          <w:p w14:paraId="17AF311C">
            <w:pPr>
              <w:rPr>
                <w:rFonts w:ascii="Arial"/>
                <w:sz w:val="21"/>
              </w:rPr>
            </w:pPr>
          </w:p>
        </w:tc>
      </w:tr>
      <w:tr w14:paraId="77470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469" w:type="dxa"/>
            <w:vMerge w:val="continue"/>
            <w:tcBorders>
              <w:top w:val="nil"/>
              <w:left w:val="single" w:color="000000" w:sz="6" w:space="0"/>
              <w:bottom w:val="single" w:color="000000" w:sz="6" w:space="0"/>
            </w:tcBorders>
            <w:vAlign w:val="top"/>
          </w:tcPr>
          <w:p w14:paraId="7C49C7B0">
            <w:pPr>
              <w:rPr>
                <w:rFonts w:ascii="Arial"/>
                <w:sz w:val="21"/>
              </w:rPr>
            </w:pPr>
          </w:p>
        </w:tc>
        <w:tc>
          <w:tcPr>
            <w:tcW w:w="146" w:type="dxa"/>
            <w:tcBorders>
              <w:top w:val="nil"/>
              <w:bottom w:val="single" w:color="000000" w:sz="6" w:space="0"/>
            </w:tcBorders>
            <w:vAlign w:val="top"/>
          </w:tcPr>
          <w:p w14:paraId="558A324F">
            <w:pPr>
              <w:rPr>
                <w:rFonts w:ascii="Arial"/>
                <w:sz w:val="21"/>
              </w:rPr>
            </w:pPr>
          </w:p>
        </w:tc>
        <w:tc>
          <w:tcPr>
            <w:tcW w:w="690" w:type="dxa"/>
            <w:tcBorders>
              <w:bottom w:val="single" w:color="000000" w:sz="6" w:space="0"/>
            </w:tcBorders>
            <w:vAlign w:val="top"/>
          </w:tcPr>
          <w:p w14:paraId="01D16C64">
            <w:pPr>
              <w:spacing w:line="248" w:lineRule="auto"/>
              <w:rPr>
                <w:rFonts w:ascii="Arial"/>
                <w:sz w:val="21"/>
              </w:rPr>
            </w:pPr>
          </w:p>
          <w:p w14:paraId="345BA22F">
            <w:pPr>
              <w:spacing w:line="248" w:lineRule="auto"/>
              <w:rPr>
                <w:rFonts w:ascii="Arial"/>
                <w:sz w:val="21"/>
              </w:rPr>
            </w:pPr>
          </w:p>
          <w:p w14:paraId="525E1EE7">
            <w:pPr>
              <w:spacing w:line="249" w:lineRule="auto"/>
              <w:rPr>
                <w:rFonts w:ascii="Arial"/>
                <w:sz w:val="21"/>
              </w:rPr>
            </w:pPr>
          </w:p>
          <w:p w14:paraId="2985D9BB">
            <w:pPr>
              <w:spacing w:line="249" w:lineRule="auto"/>
              <w:rPr>
                <w:rFonts w:ascii="Arial"/>
                <w:sz w:val="21"/>
              </w:rPr>
            </w:pPr>
          </w:p>
          <w:p w14:paraId="5BD6DEE1">
            <w:pPr>
              <w:spacing w:line="249" w:lineRule="auto"/>
              <w:rPr>
                <w:rFonts w:ascii="Arial"/>
                <w:sz w:val="21"/>
              </w:rPr>
            </w:pPr>
          </w:p>
          <w:p w14:paraId="72017EA7">
            <w:pPr>
              <w:spacing w:line="249" w:lineRule="auto"/>
              <w:rPr>
                <w:rFonts w:ascii="Arial"/>
                <w:sz w:val="21"/>
              </w:rPr>
            </w:pPr>
          </w:p>
          <w:p w14:paraId="3EE44AD9">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tc>
        <w:tc>
          <w:tcPr>
            <w:tcW w:w="3599" w:type="dxa"/>
            <w:tcBorders>
              <w:bottom w:val="single" w:color="000000" w:sz="6" w:space="0"/>
            </w:tcBorders>
            <w:vAlign w:val="top"/>
          </w:tcPr>
          <w:p w14:paraId="0274C03A">
            <w:pPr>
              <w:spacing w:line="256" w:lineRule="auto"/>
              <w:rPr>
                <w:rFonts w:ascii="Arial"/>
                <w:sz w:val="21"/>
              </w:rPr>
            </w:pPr>
          </w:p>
          <w:p w14:paraId="4327854E">
            <w:pPr>
              <w:spacing w:line="257" w:lineRule="auto"/>
              <w:rPr>
                <w:rFonts w:ascii="Arial"/>
                <w:sz w:val="21"/>
              </w:rPr>
            </w:pPr>
          </w:p>
          <w:p w14:paraId="5D5CF9E6">
            <w:pPr>
              <w:spacing w:line="257" w:lineRule="auto"/>
              <w:rPr>
                <w:rFonts w:ascii="Arial"/>
                <w:sz w:val="21"/>
              </w:rPr>
            </w:pPr>
          </w:p>
          <w:p w14:paraId="378023D5">
            <w:pPr>
              <w:pStyle w:val="6"/>
              <w:spacing w:before="65" w:line="252" w:lineRule="auto"/>
              <w:ind w:left="107" w:right="36" w:firstLine="24"/>
              <w:rPr>
                <w:sz w:val="20"/>
                <w:szCs w:val="20"/>
              </w:rPr>
            </w:pPr>
            <w:r>
              <w:rPr>
                <w:spacing w:val="9"/>
                <w:sz w:val="20"/>
                <w:szCs w:val="20"/>
              </w:rPr>
              <w:t>以改善水环境质量为目标，深入推进</w:t>
            </w:r>
            <w:r>
              <w:rPr>
                <w:spacing w:val="12"/>
                <w:sz w:val="20"/>
                <w:szCs w:val="20"/>
              </w:rPr>
              <w:t xml:space="preserve"> </w:t>
            </w:r>
            <w:r>
              <w:rPr>
                <w:spacing w:val="11"/>
                <w:sz w:val="20"/>
                <w:szCs w:val="20"/>
              </w:rPr>
              <w:t>城市生活污水、工业污染、农村生活</w:t>
            </w:r>
            <w:r>
              <w:rPr>
                <w:spacing w:val="4"/>
                <w:sz w:val="20"/>
                <w:szCs w:val="20"/>
              </w:rPr>
              <w:t xml:space="preserve"> </w:t>
            </w:r>
            <w:r>
              <w:rPr>
                <w:spacing w:val="12"/>
                <w:sz w:val="20"/>
                <w:szCs w:val="20"/>
              </w:rPr>
              <w:t>污染、农业面源污染、地下水污染、</w:t>
            </w:r>
            <w:r>
              <w:rPr>
                <w:spacing w:val="2"/>
                <w:sz w:val="20"/>
                <w:szCs w:val="20"/>
              </w:rPr>
              <w:t xml:space="preserve"> </w:t>
            </w:r>
            <w:r>
              <w:rPr>
                <w:spacing w:val="11"/>
                <w:sz w:val="20"/>
                <w:szCs w:val="20"/>
              </w:rPr>
              <w:t>港口船舶污染等治理，并巩固提升饮</w:t>
            </w:r>
            <w:r>
              <w:rPr>
                <w:spacing w:val="4"/>
                <w:sz w:val="20"/>
                <w:szCs w:val="20"/>
              </w:rPr>
              <w:t xml:space="preserve"> </w:t>
            </w:r>
            <w:r>
              <w:rPr>
                <w:spacing w:val="2"/>
                <w:sz w:val="20"/>
                <w:szCs w:val="20"/>
              </w:rPr>
              <w:t>用水源保护、水环境水生态协同管理、</w:t>
            </w:r>
            <w:r>
              <w:rPr>
                <w:spacing w:val="15"/>
                <w:sz w:val="20"/>
                <w:szCs w:val="20"/>
              </w:rPr>
              <w:t xml:space="preserve"> </w:t>
            </w:r>
            <w:r>
              <w:rPr>
                <w:spacing w:val="8"/>
                <w:sz w:val="20"/>
                <w:szCs w:val="20"/>
              </w:rPr>
              <w:t>重点流域协同治理水平。</w:t>
            </w:r>
          </w:p>
        </w:tc>
        <w:tc>
          <w:tcPr>
            <w:tcW w:w="2907" w:type="dxa"/>
            <w:tcBorders>
              <w:bottom w:val="single" w:color="000000" w:sz="6" w:space="0"/>
            </w:tcBorders>
            <w:vAlign w:val="top"/>
          </w:tcPr>
          <w:p w14:paraId="24229EA9">
            <w:pPr>
              <w:pStyle w:val="6"/>
              <w:spacing w:before="168" w:line="251" w:lineRule="auto"/>
              <w:ind w:left="113" w:right="100"/>
              <w:jc w:val="both"/>
              <w:rPr>
                <w:sz w:val="20"/>
                <w:szCs w:val="20"/>
              </w:rPr>
            </w:pPr>
            <w:r>
              <w:rPr>
                <w:spacing w:val="18"/>
                <w:sz w:val="20"/>
                <w:szCs w:val="20"/>
              </w:rPr>
              <w:t>本项</w:t>
            </w:r>
            <w:r>
              <w:rPr>
                <w:spacing w:val="-31"/>
                <w:sz w:val="20"/>
                <w:szCs w:val="20"/>
              </w:rPr>
              <w:t xml:space="preserve"> </w:t>
            </w:r>
            <w:r>
              <w:rPr>
                <w:spacing w:val="18"/>
                <w:sz w:val="20"/>
                <w:szCs w:val="20"/>
              </w:rPr>
              <w:t>目拟将全镇宝石加工中</w:t>
            </w:r>
            <w:r>
              <w:rPr>
                <w:sz w:val="20"/>
                <w:szCs w:val="20"/>
              </w:rPr>
              <w:t xml:space="preserve"> </w:t>
            </w:r>
            <w:r>
              <w:rPr>
                <w:spacing w:val="6"/>
                <w:sz w:val="20"/>
                <w:szCs w:val="20"/>
              </w:rPr>
              <w:t>的泡酸和注胶工序集中起来，</w:t>
            </w:r>
            <w:r>
              <w:rPr>
                <w:spacing w:val="8"/>
                <w:sz w:val="20"/>
                <w:szCs w:val="20"/>
              </w:rPr>
              <w:t xml:space="preserve"> </w:t>
            </w:r>
            <w:r>
              <w:rPr>
                <w:spacing w:val="6"/>
                <w:sz w:val="20"/>
                <w:szCs w:val="20"/>
              </w:rPr>
              <w:t>统一设置废气、废水收集和治</w:t>
            </w:r>
            <w:r>
              <w:rPr>
                <w:spacing w:val="5"/>
                <w:sz w:val="20"/>
                <w:szCs w:val="20"/>
              </w:rPr>
              <w:t xml:space="preserve"> </w:t>
            </w:r>
            <w:r>
              <w:rPr>
                <w:spacing w:val="6"/>
                <w:sz w:val="20"/>
                <w:szCs w:val="20"/>
              </w:rPr>
              <w:t>理，配套危险废物暂存设施，</w:t>
            </w:r>
            <w:r>
              <w:rPr>
                <w:spacing w:val="8"/>
                <w:sz w:val="20"/>
                <w:szCs w:val="20"/>
              </w:rPr>
              <w:t xml:space="preserve"> </w:t>
            </w:r>
            <w:r>
              <w:rPr>
                <w:spacing w:val="6"/>
                <w:sz w:val="20"/>
                <w:szCs w:val="20"/>
              </w:rPr>
              <w:t>实现废气、废水、固废的有效</w:t>
            </w:r>
            <w:r>
              <w:rPr>
                <w:spacing w:val="8"/>
                <w:sz w:val="20"/>
                <w:szCs w:val="20"/>
              </w:rPr>
              <w:t xml:space="preserve"> </w:t>
            </w:r>
            <w:r>
              <w:rPr>
                <w:spacing w:val="6"/>
                <w:sz w:val="20"/>
                <w:szCs w:val="20"/>
              </w:rPr>
              <w:t>收集和治理，从而改善环境质</w:t>
            </w:r>
            <w:r>
              <w:rPr>
                <w:spacing w:val="8"/>
                <w:sz w:val="20"/>
                <w:szCs w:val="20"/>
              </w:rPr>
              <w:t xml:space="preserve"> </w:t>
            </w:r>
            <w:r>
              <w:rPr>
                <w:spacing w:val="6"/>
                <w:sz w:val="20"/>
                <w:szCs w:val="20"/>
              </w:rPr>
              <w:t>量，确保生态环境安全。项目</w:t>
            </w:r>
            <w:r>
              <w:rPr>
                <w:spacing w:val="5"/>
                <w:sz w:val="20"/>
                <w:szCs w:val="20"/>
              </w:rPr>
              <w:t xml:space="preserve"> </w:t>
            </w:r>
            <w:r>
              <w:rPr>
                <w:spacing w:val="6"/>
                <w:sz w:val="20"/>
                <w:szCs w:val="20"/>
              </w:rPr>
              <w:t>的废水最终排入东溪，经过配</w:t>
            </w:r>
            <w:r>
              <w:rPr>
                <w:spacing w:val="8"/>
                <w:sz w:val="20"/>
                <w:szCs w:val="20"/>
              </w:rPr>
              <w:t xml:space="preserve"> </w:t>
            </w:r>
            <w:r>
              <w:rPr>
                <w:spacing w:val="6"/>
                <w:sz w:val="20"/>
                <w:szCs w:val="20"/>
              </w:rPr>
              <w:t>套废水站、可塘镇污水厂的处</w:t>
            </w:r>
            <w:r>
              <w:rPr>
                <w:spacing w:val="5"/>
                <w:sz w:val="20"/>
                <w:szCs w:val="20"/>
              </w:rPr>
              <w:t xml:space="preserve"> </w:t>
            </w:r>
            <w:r>
              <w:rPr>
                <w:spacing w:val="6"/>
                <w:sz w:val="20"/>
                <w:szCs w:val="20"/>
              </w:rPr>
              <w:t>理，可以改善区域水环境，提</w:t>
            </w:r>
            <w:r>
              <w:rPr>
                <w:spacing w:val="8"/>
                <w:sz w:val="20"/>
                <w:szCs w:val="20"/>
              </w:rPr>
              <w:t xml:space="preserve"> </w:t>
            </w:r>
            <w:r>
              <w:rPr>
                <w:spacing w:val="7"/>
                <w:sz w:val="20"/>
                <w:szCs w:val="20"/>
              </w:rPr>
              <w:t>升东溪的治理水平。</w:t>
            </w:r>
          </w:p>
        </w:tc>
        <w:tc>
          <w:tcPr>
            <w:tcW w:w="908" w:type="dxa"/>
            <w:tcBorders>
              <w:bottom w:val="single" w:color="000000" w:sz="6" w:space="0"/>
            </w:tcBorders>
            <w:vAlign w:val="top"/>
          </w:tcPr>
          <w:p w14:paraId="5A3E0E3E">
            <w:pPr>
              <w:spacing w:line="241" w:lineRule="auto"/>
              <w:rPr>
                <w:rFonts w:ascii="Arial"/>
                <w:sz w:val="21"/>
              </w:rPr>
            </w:pPr>
          </w:p>
          <w:p w14:paraId="742B307E">
            <w:pPr>
              <w:spacing w:line="241" w:lineRule="auto"/>
              <w:rPr>
                <w:rFonts w:ascii="Arial"/>
                <w:sz w:val="21"/>
              </w:rPr>
            </w:pPr>
          </w:p>
          <w:p w14:paraId="211A3E66">
            <w:pPr>
              <w:spacing w:line="241" w:lineRule="auto"/>
              <w:rPr>
                <w:rFonts w:ascii="Arial"/>
                <w:sz w:val="21"/>
              </w:rPr>
            </w:pPr>
          </w:p>
          <w:p w14:paraId="20E0330F">
            <w:pPr>
              <w:spacing w:line="242" w:lineRule="auto"/>
              <w:rPr>
                <w:rFonts w:ascii="Arial"/>
                <w:sz w:val="21"/>
              </w:rPr>
            </w:pPr>
          </w:p>
          <w:p w14:paraId="29DE2249">
            <w:pPr>
              <w:spacing w:line="242" w:lineRule="auto"/>
              <w:rPr>
                <w:rFonts w:ascii="Arial"/>
                <w:sz w:val="21"/>
              </w:rPr>
            </w:pPr>
          </w:p>
          <w:p w14:paraId="4228AC82">
            <w:pPr>
              <w:spacing w:line="242" w:lineRule="auto"/>
              <w:rPr>
                <w:rFonts w:ascii="Arial"/>
                <w:sz w:val="21"/>
              </w:rPr>
            </w:pPr>
          </w:p>
          <w:p w14:paraId="6D1BD137">
            <w:pPr>
              <w:pStyle w:val="6"/>
              <w:spacing w:before="65" w:line="228" w:lineRule="auto"/>
              <w:ind w:left="256"/>
              <w:rPr>
                <w:sz w:val="20"/>
                <w:szCs w:val="20"/>
              </w:rPr>
            </w:pPr>
            <w:r>
              <w:rPr>
                <w:spacing w:val="3"/>
                <w:sz w:val="20"/>
                <w:szCs w:val="20"/>
              </w:rPr>
              <w:t>符合</w:t>
            </w:r>
          </w:p>
        </w:tc>
        <w:tc>
          <w:tcPr>
            <w:tcW w:w="155" w:type="dxa"/>
            <w:vMerge w:val="continue"/>
            <w:tcBorders>
              <w:top w:val="nil"/>
              <w:bottom w:val="single" w:color="000000" w:sz="6" w:space="0"/>
              <w:right w:val="single" w:color="000000" w:sz="6" w:space="0"/>
            </w:tcBorders>
            <w:vAlign w:val="top"/>
          </w:tcPr>
          <w:p w14:paraId="20DFB8DC">
            <w:pPr>
              <w:rPr>
                <w:rFonts w:ascii="Arial"/>
                <w:sz w:val="21"/>
              </w:rPr>
            </w:pPr>
          </w:p>
        </w:tc>
      </w:tr>
    </w:tbl>
    <w:p w14:paraId="4424BDC8">
      <w:pPr>
        <w:rPr>
          <w:rFonts w:ascii="Arial"/>
          <w:sz w:val="21"/>
        </w:rPr>
      </w:pPr>
    </w:p>
    <w:p w14:paraId="681358A1">
      <w:pPr>
        <w:rPr>
          <w:rFonts w:ascii="Arial" w:hAnsi="Arial" w:eastAsia="Arial" w:cs="Arial"/>
          <w:sz w:val="21"/>
          <w:szCs w:val="21"/>
        </w:rPr>
        <w:sectPr>
          <w:footerReference r:id="rId18" w:type="default"/>
          <w:pgSz w:w="11906" w:h="16839"/>
          <w:pgMar w:top="400" w:right="1508" w:bottom="1240" w:left="1508" w:header="0" w:footer="1078" w:gutter="0"/>
          <w:cols w:space="720" w:num="1"/>
        </w:sectPr>
      </w:pPr>
    </w:p>
    <w:p w14:paraId="43550E45">
      <w:pPr>
        <w:spacing w:before="19"/>
      </w:pPr>
      <w:r>
        <w:pict>
          <v:shape id="_x0000_s1031" o:spid="_x0000_s1031" style="position:absolute;left:0pt;margin-left:105.95pt;margin-top:742.3pt;height:0.5pt;width:406.4pt;mso-position-horizontal-relative:page;mso-position-vertical-relative:page;z-index:-251651072;mso-width-relative:page;mso-height-relative:page;" filled="f" stroked="t" coordsize="8127,10" o:allowincell="f" path="m0,4l8127,4e">
            <v:fill on="f" focussize="0,0"/>
            <v:stroke weight="0.48pt" color="#000000" miterlimit="2" joinstyle="bevel"/>
            <v:imagedata o:title=""/>
            <o:lock v:ext="edit"/>
          </v:shape>
        </w:pict>
      </w:r>
    </w:p>
    <w:p w14:paraId="0227C951">
      <w:pPr>
        <w:spacing w:before="19"/>
      </w:pPr>
    </w:p>
    <w:p w14:paraId="2ED6D21F">
      <w:pPr>
        <w:spacing w:before="19"/>
      </w:pPr>
    </w:p>
    <w:p w14:paraId="3FF57394">
      <w:pPr>
        <w:spacing w:before="18"/>
      </w:pPr>
    </w:p>
    <w:p w14:paraId="2C97806D">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46"/>
        <w:gridCol w:w="690"/>
        <w:gridCol w:w="3599"/>
        <w:gridCol w:w="2907"/>
        <w:gridCol w:w="908"/>
        <w:gridCol w:w="155"/>
      </w:tblGrid>
      <w:tr w14:paraId="47B1C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0" w:hRule="atLeast"/>
        </w:trPr>
        <w:tc>
          <w:tcPr>
            <w:tcW w:w="469" w:type="dxa"/>
            <w:vMerge w:val="restart"/>
            <w:tcBorders>
              <w:top w:val="single" w:color="000000" w:sz="6" w:space="0"/>
              <w:left w:val="single" w:color="000000" w:sz="6" w:space="0"/>
              <w:bottom w:val="nil"/>
            </w:tcBorders>
            <w:vAlign w:val="top"/>
          </w:tcPr>
          <w:p w14:paraId="6ECE38DA">
            <w:pPr>
              <w:rPr>
                <w:rFonts w:ascii="Arial"/>
                <w:sz w:val="21"/>
              </w:rPr>
            </w:pPr>
          </w:p>
        </w:tc>
        <w:tc>
          <w:tcPr>
            <w:tcW w:w="146" w:type="dxa"/>
            <w:tcBorders>
              <w:top w:val="single" w:color="000000" w:sz="6" w:space="0"/>
              <w:bottom w:val="nil"/>
            </w:tcBorders>
            <w:vAlign w:val="top"/>
          </w:tcPr>
          <w:p w14:paraId="0189E6F1">
            <w:pPr>
              <w:rPr>
                <w:rFonts w:ascii="Arial"/>
                <w:sz w:val="21"/>
              </w:rPr>
            </w:pPr>
          </w:p>
        </w:tc>
        <w:tc>
          <w:tcPr>
            <w:tcW w:w="690" w:type="dxa"/>
            <w:tcBorders>
              <w:top w:val="single" w:color="000000" w:sz="6" w:space="0"/>
            </w:tcBorders>
            <w:vAlign w:val="top"/>
          </w:tcPr>
          <w:p w14:paraId="57A93A92">
            <w:pPr>
              <w:rPr>
                <w:rFonts w:ascii="Arial"/>
                <w:sz w:val="21"/>
              </w:rPr>
            </w:pPr>
          </w:p>
          <w:p w14:paraId="5439800C">
            <w:pPr>
              <w:rPr>
                <w:rFonts w:ascii="Arial"/>
                <w:sz w:val="21"/>
              </w:rPr>
            </w:pPr>
          </w:p>
          <w:p w14:paraId="6C47EAEC">
            <w:pPr>
              <w:rPr>
                <w:rFonts w:ascii="Arial"/>
                <w:sz w:val="21"/>
              </w:rPr>
            </w:pPr>
          </w:p>
          <w:p w14:paraId="55CB5906">
            <w:pPr>
              <w:rPr>
                <w:rFonts w:ascii="Arial"/>
                <w:sz w:val="21"/>
              </w:rPr>
            </w:pPr>
          </w:p>
          <w:p w14:paraId="203D3571">
            <w:pPr>
              <w:rPr>
                <w:rFonts w:ascii="Arial"/>
                <w:sz w:val="21"/>
              </w:rPr>
            </w:pPr>
          </w:p>
          <w:p w14:paraId="4EFFF532">
            <w:pPr>
              <w:rPr>
                <w:rFonts w:ascii="Arial"/>
                <w:sz w:val="21"/>
              </w:rPr>
            </w:pPr>
          </w:p>
          <w:p w14:paraId="2047DD49">
            <w:pPr>
              <w:rPr>
                <w:rFonts w:ascii="Arial"/>
                <w:sz w:val="21"/>
              </w:rPr>
            </w:pPr>
          </w:p>
          <w:p w14:paraId="3CBE1AE7">
            <w:pPr>
              <w:spacing w:line="241" w:lineRule="auto"/>
              <w:rPr>
                <w:rFonts w:ascii="Arial"/>
                <w:sz w:val="21"/>
              </w:rPr>
            </w:pPr>
          </w:p>
          <w:p w14:paraId="2175EB91">
            <w:pPr>
              <w:spacing w:line="241" w:lineRule="auto"/>
              <w:rPr>
                <w:rFonts w:ascii="Arial"/>
                <w:sz w:val="21"/>
              </w:rPr>
            </w:pPr>
          </w:p>
          <w:p w14:paraId="7278F731">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3599" w:type="dxa"/>
            <w:tcBorders>
              <w:top w:val="single" w:color="000000" w:sz="6" w:space="0"/>
            </w:tcBorders>
            <w:vAlign w:val="top"/>
          </w:tcPr>
          <w:p w14:paraId="7A33B2B6">
            <w:pPr>
              <w:pStyle w:val="6"/>
              <w:spacing w:before="127" w:line="314" w:lineRule="auto"/>
              <w:ind w:left="107" w:right="105"/>
              <w:jc w:val="both"/>
              <w:rPr>
                <w:sz w:val="20"/>
                <w:szCs w:val="20"/>
              </w:rPr>
            </w:pPr>
            <w:r>
              <w:rPr>
                <w:spacing w:val="11"/>
                <w:sz w:val="20"/>
                <w:szCs w:val="20"/>
              </w:rPr>
              <w:t>推进土壤污染状况调查、土壤污染源</w:t>
            </w:r>
            <w:r>
              <w:rPr>
                <w:spacing w:val="1"/>
                <w:sz w:val="20"/>
                <w:szCs w:val="20"/>
              </w:rPr>
              <w:t xml:space="preserve"> </w:t>
            </w:r>
            <w:r>
              <w:rPr>
                <w:spacing w:val="11"/>
                <w:sz w:val="20"/>
                <w:szCs w:val="20"/>
              </w:rPr>
              <w:t>头控制、农用地分类管理与建设用地</w:t>
            </w:r>
            <w:r>
              <w:rPr>
                <w:spacing w:val="4"/>
                <w:sz w:val="20"/>
                <w:szCs w:val="20"/>
              </w:rPr>
              <w:t xml:space="preserve"> </w:t>
            </w:r>
            <w:r>
              <w:rPr>
                <w:spacing w:val="11"/>
                <w:sz w:val="20"/>
                <w:szCs w:val="20"/>
              </w:rPr>
              <w:t>环境管理。完成重点行业企业用地调</w:t>
            </w:r>
            <w:r>
              <w:rPr>
                <w:spacing w:val="4"/>
                <w:sz w:val="20"/>
                <w:szCs w:val="20"/>
              </w:rPr>
              <w:t xml:space="preserve"> </w:t>
            </w:r>
            <w:r>
              <w:rPr>
                <w:spacing w:val="11"/>
                <w:sz w:val="20"/>
                <w:szCs w:val="20"/>
              </w:rPr>
              <w:t>查成果集成，开展典型行业用地及周</w:t>
            </w:r>
            <w:r>
              <w:rPr>
                <w:spacing w:val="4"/>
                <w:sz w:val="20"/>
                <w:szCs w:val="20"/>
              </w:rPr>
              <w:t xml:space="preserve"> </w:t>
            </w:r>
            <w:r>
              <w:rPr>
                <w:spacing w:val="11"/>
                <w:sz w:val="20"/>
                <w:szCs w:val="20"/>
              </w:rPr>
              <w:t>边耕地土壤污染状况调查，加强工业</w:t>
            </w:r>
            <w:r>
              <w:rPr>
                <w:spacing w:val="4"/>
                <w:sz w:val="20"/>
                <w:szCs w:val="20"/>
              </w:rPr>
              <w:t xml:space="preserve"> </w:t>
            </w:r>
            <w:r>
              <w:rPr>
                <w:spacing w:val="11"/>
                <w:sz w:val="20"/>
                <w:szCs w:val="20"/>
              </w:rPr>
              <w:t>污染源、农业面源、生活垃圾污染源</w:t>
            </w:r>
            <w:r>
              <w:rPr>
                <w:spacing w:val="4"/>
                <w:sz w:val="20"/>
                <w:szCs w:val="20"/>
              </w:rPr>
              <w:t xml:space="preserve"> </w:t>
            </w:r>
            <w:r>
              <w:rPr>
                <w:spacing w:val="11"/>
                <w:sz w:val="20"/>
                <w:szCs w:val="20"/>
              </w:rPr>
              <w:t>防治。同时，加大耕地保护力度，稳</w:t>
            </w:r>
            <w:r>
              <w:rPr>
                <w:spacing w:val="2"/>
                <w:sz w:val="20"/>
                <w:szCs w:val="20"/>
              </w:rPr>
              <w:t xml:space="preserve"> </w:t>
            </w:r>
            <w:r>
              <w:rPr>
                <w:spacing w:val="11"/>
                <w:sz w:val="20"/>
                <w:szCs w:val="20"/>
              </w:rPr>
              <w:t>步推进农用地分类管理，严防重金属</w:t>
            </w:r>
            <w:r>
              <w:rPr>
                <w:spacing w:val="4"/>
                <w:sz w:val="20"/>
                <w:szCs w:val="20"/>
              </w:rPr>
              <w:t xml:space="preserve"> </w:t>
            </w:r>
            <w:r>
              <w:rPr>
                <w:spacing w:val="11"/>
                <w:sz w:val="20"/>
                <w:szCs w:val="20"/>
              </w:rPr>
              <w:t>超标粮食进入口粮市场。严格建设用</w:t>
            </w:r>
            <w:r>
              <w:rPr>
                <w:spacing w:val="4"/>
                <w:sz w:val="20"/>
                <w:szCs w:val="20"/>
              </w:rPr>
              <w:t xml:space="preserve"> </w:t>
            </w:r>
            <w:r>
              <w:rPr>
                <w:spacing w:val="11"/>
                <w:sz w:val="20"/>
                <w:szCs w:val="20"/>
              </w:rPr>
              <w:t>地准入，深化部门联动，加强地块风</w:t>
            </w:r>
            <w:r>
              <w:rPr>
                <w:spacing w:val="4"/>
                <w:sz w:val="20"/>
                <w:szCs w:val="20"/>
              </w:rPr>
              <w:t xml:space="preserve"> </w:t>
            </w:r>
            <w:r>
              <w:rPr>
                <w:spacing w:val="11"/>
                <w:sz w:val="20"/>
                <w:szCs w:val="20"/>
              </w:rPr>
              <w:t>险管控和修复活动监管，探索污染土</w:t>
            </w:r>
            <w:r>
              <w:rPr>
                <w:spacing w:val="4"/>
                <w:sz w:val="20"/>
                <w:szCs w:val="20"/>
              </w:rPr>
              <w:t xml:space="preserve"> 壤异地处置和</w:t>
            </w:r>
            <w:r>
              <w:rPr>
                <w:rFonts w:ascii="Times New Roman" w:hAnsi="Times New Roman" w:eastAsia="Times New Roman" w:cs="Times New Roman"/>
                <w:spacing w:val="4"/>
                <w:sz w:val="20"/>
                <w:szCs w:val="20"/>
              </w:rPr>
              <w:t>“</w:t>
            </w:r>
            <w:r>
              <w:rPr>
                <w:spacing w:val="4"/>
                <w:sz w:val="20"/>
                <w:szCs w:val="20"/>
              </w:rPr>
              <w:t>修复</w:t>
            </w:r>
            <w:r>
              <w:rPr>
                <w:rFonts w:ascii="Times New Roman" w:hAnsi="Times New Roman" w:eastAsia="Times New Roman" w:cs="Times New Roman"/>
                <w:spacing w:val="4"/>
                <w:sz w:val="20"/>
                <w:szCs w:val="20"/>
              </w:rPr>
              <w:t>+”</w:t>
            </w:r>
            <w:r>
              <w:rPr>
                <w:spacing w:val="4"/>
                <w:sz w:val="20"/>
                <w:szCs w:val="20"/>
              </w:rPr>
              <w:t>监管新模式，并</w:t>
            </w:r>
            <w:r>
              <w:rPr>
                <w:spacing w:val="15"/>
                <w:sz w:val="20"/>
                <w:szCs w:val="20"/>
              </w:rPr>
              <w:t xml:space="preserve"> </w:t>
            </w:r>
            <w:r>
              <w:rPr>
                <w:spacing w:val="8"/>
                <w:sz w:val="20"/>
                <w:szCs w:val="20"/>
              </w:rPr>
              <w:t>开展典型行业企业风险管控试点。</w:t>
            </w:r>
          </w:p>
        </w:tc>
        <w:tc>
          <w:tcPr>
            <w:tcW w:w="2907" w:type="dxa"/>
            <w:tcBorders>
              <w:top w:val="single" w:color="000000" w:sz="6" w:space="0"/>
            </w:tcBorders>
            <w:vAlign w:val="top"/>
          </w:tcPr>
          <w:p w14:paraId="1403F5B5">
            <w:pPr>
              <w:spacing w:line="282" w:lineRule="auto"/>
              <w:rPr>
                <w:rFonts w:ascii="Arial"/>
                <w:sz w:val="21"/>
              </w:rPr>
            </w:pPr>
          </w:p>
          <w:p w14:paraId="030A6B84">
            <w:pPr>
              <w:spacing w:line="282" w:lineRule="auto"/>
              <w:rPr>
                <w:rFonts w:ascii="Arial"/>
                <w:sz w:val="21"/>
              </w:rPr>
            </w:pPr>
          </w:p>
          <w:p w14:paraId="32D6C655">
            <w:pPr>
              <w:spacing w:line="282" w:lineRule="auto"/>
              <w:rPr>
                <w:rFonts w:ascii="Arial"/>
                <w:sz w:val="21"/>
              </w:rPr>
            </w:pPr>
          </w:p>
          <w:p w14:paraId="5849D32A">
            <w:pPr>
              <w:pStyle w:val="6"/>
              <w:spacing w:before="65" w:line="315" w:lineRule="auto"/>
              <w:ind w:left="112" w:right="103" w:firstLine="4"/>
              <w:jc w:val="both"/>
              <w:rPr>
                <w:sz w:val="20"/>
                <w:szCs w:val="20"/>
              </w:rPr>
            </w:pPr>
            <w:r>
              <w:rPr>
                <w:spacing w:val="18"/>
                <w:sz w:val="20"/>
                <w:szCs w:val="20"/>
              </w:rPr>
              <w:t>项</w:t>
            </w:r>
            <w:r>
              <w:rPr>
                <w:spacing w:val="-36"/>
                <w:sz w:val="20"/>
                <w:szCs w:val="20"/>
              </w:rPr>
              <w:t xml:space="preserve"> </w:t>
            </w:r>
            <w:r>
              <w:rPr>
                <w:spacing w:val="18"/>
                <w:sz w:val="20"/>
                <w:szCs w:val="20"/>
              </w:rPr>
              <w:t>目主要从事宝石的注胶和</w:t>
            </w:r>
            <w:r>
              <w:rPr>
                <w:sz w:val="20"/>
                <w:szCs w:val="20"/>
              </w:rPr>
              <w:t xml:space="preserve"> </w:t>
            </w:r>
            <w:r>
              <w:rPr>
                <w:spacing w:val="6"/>
                <w:sz w:val="20"/>
                <w:szCs w:val="20"/>
              </w:rPr>
              <w:t xml:space="preserve">泡酸加工，不属于农业生产项 </w:t>
            </w:r>
            <w:r>
              <w:rPr>
                <w:spacing w:val="22"/>
                <w:sz w:val="20"/>
                <w:szCs w:val="20"/>
              </w:rPr>
              <w:t>目。项目位于海丰县可塘镇</w:t>
            </w:r>
            <w:r>
              <w:rPr>
                <w:spacing w:val="8"/>
                <w:sz w:val="20"/>
                <w:szCs w:val="20"/>
              </w:rPr>
              <w:t xml:space="preserve"> </w:t>
            </w:r>
            <w:r>
              <w:rPr>
                <w:spacing w:val="23"/>
                <w:sz w:val="20"/>
                <w:szCs w:val="20"/>
              </w:rPr>
              <w:t>圆山岭开发区，项目用地为</w:t>
            </w:r>
            <w:r>
              <w:rPr>
                <w:sz w:val="20"/>
                <w:szCs w:val="20"/>
              </w:rPr>
              <w:t xml:space="preserve"> </w:t>
            </w:r>
            <w:r>
              <w:rPr>
                <w:spacing w:val="6"/>
                <w:sz w:val="20"/>
                <w:szCs w:val="20"/>
              </w:rPr>
              <w:t>工业用地。项目生产车间、废</w:t>
            </w:r>
            <w:r>
              <w:rPr>
                <w:spacing w:val="4"/>
                <w:sz w:val="20"/>
                <w:szCs w:val="20"/>
              </w:rPr>
              <w:t xml:space="preserve"> </w:t>
            </w:r>
            <w:r>
              <w:rPr>
                <w:spacing w:val="6"/>
                <w:sz w:val="20"/>
                <w:szCs w:val="20"/>
              </w:rPr>
              <w:t>水收集管道、化学品仓库、危</w:t>
            </w:r>
            <w:r>
              <w:rPr>
                <w:spacing w:val="4"/>
                <w:sz w:val="20"/>
                <w:szCs w:val="20"/>
              </w:rPr>
              <w:t xml:space="preserve"> </w:t>
            </w:r>
            <w:r>
              <w:rPr>
                <w:spacing w:val="6"/>
                <w:sz w:val="20"/>
                <w:szCs w:val="20"/>
              </w:rPr>
              <w:t>废暂存间，废水处理站等均做</w:t>
            </w:r>
            <w:r>
              <w:rPr>
                <w:spacing w:val="4"/>
                <w:sz w:val="20"/>
                <w:szCs w:val="20"/>
              </w:rPr>
              <w:t xml:space="preserve"> </w:t>
            </w:r>
            <w:r>
              <w:rPr>
                <w:spacing w:val="6"/>
                <w:sz w:val="20"/>
                <w:szCs w:val="20"/>
              </w:rPr>
              <w:t>好防渗、防腐，不会污染项目</w:t>
            </w:r>
            <w:r>
              <w:rPr>
                <w:spacing w:val="4"/>
                <w:sz w:val="20"/>
                <w:szCs w:val="20"/>
              </w:rPr>
              <w:t xml:space="preserve"> </w:t>
            </w:r>
            <w:r>
              <w:rPr>
                <w:spacing w:val="11"/>
                <w:sz w:val="20"/>
                <w:szCs w:val="20"/>
              </w:rPr>
              <w:t>及周边的土壤和地下水。</w:t>
            </w:r>
          </w:p>
        </w:tc>
        <w:tc>
          <w:tcPr>
            <w:tcW w:w="908" w:type="dxa"/>
            <w:tcBorders>
              <w:top w:val="single" w:color="000000" w:sz="6" w:space="0"/>
            </w:tcBorders>
            <w:vAlign w:val="top"/>
          </w:tcPr>
          <w:p w14:paraId="2391B495">
            <w:pPr>
              <w:spacing w:line="264" w:lineRule="auto"/>
              <w:rPr>
                <w:rFonts w:ascii="Arial"/>
                <w:sz w:val="21"/>
              </w:rPr>
            </w:pPr>
          </w:p>
          <w:p w14:paraId="71DA8695">
            <w:pPr>
              <w:spacing w:line="265" w:lineRule="auto"/>
              <w:rPr>
                <w:rFonts w:ascii="Arial"/>
                <w:sz w:val="21"/>
              </w:rPr>
            </w:pPr>
          </w:p>
          <w:p w14:paraId="02CC0F52">
            <w:pPr>
              <w:spacing w:line="265" w:lineRule="auto"/>
              <w:rPr>
                <w:rFonts w:ascii="Arial"/>
                <w:sz w:val="21"/>
              </w:rPr>
            </w:pPr>
          </w:p>
          <w:p w14:paraId="45AB429A">
            <w:pPr>
              <w:spacing w:line="265" w:lineRule="auto"/>
              <w:rPr>
                <w:rFonts w:ascii="Arial"/>
                <w:sz w:val="21"/>
              </w:rPr>
            </w:pPr>
          </w:p>
          <w:p w14:paraId="139ED615">
            <w:pPr>
              <w:spacing w:line="265" w:lineRule="auto"/>
              <w:rPr>
                <w:rFonts w:ascii="Arial"/>
                <w:sz w:val="21"/>
              </w:rPr>
            </w:pPr>
          </w:p>
          <w:p w14:paraId="06CCCADF">
            <w:pPr>
              <w:spacing w:line="265" w:lineRule="auto"/>
              <w:rPr>
                <w:rFonts w:ascii="Arial"/>
                <w:sz w:val="21"/>
              </w:rPr>
            </w:pPr>
          </w:p>
          <w:p w14:paraId="4488ADDD">
            <w:pPr>
              <w:spacing w:line="265" w:lineRule="auto"/>
              <w:rPr>
                <w:rFonts w:ascii="Arial"/>
                <w:sz w:val="21"/>
              </w:rPr>
            </w:pPr>
          </w:p>
          <w:p w14:paraId="5AEA8D79">
            <w:pPr>
              <w:spacing w:line="265" w:lineRule="auto"/>
              <w:rPr>
                <w:rFonts w:ascii="Arial"/>
                <w:sz w:val="21"/>
              </w:rPr>
            </w:pPr>
          </w:p>
          <w:p w14:paraId="041BE0A6">
            <w:pPr>
              <w:pStyle w:val="6"/>
              <w:spacing w:before="65" w:line="228" w:lineRule="auto"/>
              <w:ind w:left="256"/>
              <w:rPr>
                <w:sz w:val="20"/>
                <w:szCs w:val="20"/>
              </w:rPr>
            </w:pPr>
            <w:r>
              <w:rPr>
                <w:spacing w:val="3"/>
                <w:sz w:val="20"/>
                <w:szCs w:val="20"/>
              </w:rPr>
              <w:t>符合</w:t>
            </w:r>
          </w:p>
        </w:tc>
        <w:tc>
          <w:tcPr>
            <w:tcW w:w="155" w:type="dxa"/>
            <w:vMerge w:val="restart"/>
            <w:tcBorders>
              <w:top w:val="single" w:color="000000" w:sz="6" w:space="0"/>
              <w:bottom w:val="nil"/>
              <w:right w:val="single" w:color="000000" w:sz="6" w:space="0"/>
            </w:tcBorders>
            <w:vAlign w:val="top"/>
          </w:tcPr>
          <w:p w14:paraId="11420890">
            <w:pPr>
              <w:rPr>
                <w:rFonts w:ascii="Arial"/>
                <w:sz w:val="21"/>
              </w:rPr>
            </w:pPr>
          </w:p>
        </w:tc>
      </w:tr>
      <w:tr w14:paraId="2477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5" w:hRule="atLeast"/>
        </w:trPr>
        <w:tc>
          <w:tcPr>
            <w:tcW w:w="469" w:type="dxa"/>
            <w:vMerge w:val="continue"/>
            <w:tcBorders>
              <w:top w:val="nil"/>
              <w:left w:val="single" w:color="000000" w:sz="6" w:space="0"/>
              <w:bottom w:val="nil"/>
            </w:tcBorders>
            <w:vAlign w:val="top"/>
          </w:tcPr>
          <w:p w14:paraId="70D0079D">
            <w:pPr>
              <w:rPr>
                <w:rFonts w:ascii="Arial"/>
                <w:sz w:val="21"/>
              </w:rPr>
            </w:pPr>
          </w:p>
        </w:tc>
        <w:tc>
          <w:tcPr>
            <w:tcW w:w="146" w:type="dxa"/>
            <w:tcBorders>
              <w:top w:val="nil"/>
              <w:bottom w:val="nil"/>
            </w:tcBorders>
            <w:vAlign w:val="top"/>
          </w:tcPr>
          <w:p w14:paraId="3121FE87">
            <w:pPr>
              <w:rPr>
                <w:rFonts w:ascii="Arial"/>
                <w:sz w:val="21"/>
              </w:rPr>
            </w:pPr>
          </w:p>
        </w:tc>
        <w:tc>
          <w:tcPr>
            <w:tcW w:w="690" w:type="dxa"/>
            <w:vAlign w:val="top"/>
          </w:tcPr>
          <w:p w14:paraId="595D2520">
            <w:pPr>
              <w:spacing w:line="294" w:lineRule="auto"/>
              <w:rPr>
                <w:rFonts w:ascii="Arial"/>
                <w:sz w:val="21"/>
              </w:rPr>
            </w:pPr>
          </w:p>
          <w:p w14:paraId="0DD714DC">
            <w:pPr>
              <w:spacing w:line="294" w:lineRule="auto"/>
              <w:rPr>
                <w:rFonts w:ascii="Arial"/>
                <w:sz w:val="21"/>
              </w:rPr>
            </w:pPr>
          </w:p>
          <w:p w14:paraId="5B94C465">
            <w:pPr>
              <w:spacing w:line="295" w:lineRule="auto"/>
              <w:rPr>
                <w:rFonts w:ascii="Arial"/>
                <w:sz w:val="21"/>
              </w:rPr>
            </w:pPr>
          </w:p>
          <w:p w14:paraId="03F4455F">
            <w:pPr>
              <w:spacing w:line="295" w:lineRule="auto"/>
              <w:rPr>
                <w:rFonts w:ascii="Arial"/>
                <w:sz w:val="21"/>
              </w:rPr>
            </w:pPr>
          </w:p>
          <w:p w14:paraId="3EF71277">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3599" w:type="dxa"/>
            <w:vAlign w:val="top"/>
          </w:tcPr>
          <w:p w14:paraId="0EE13642">
            <w:pPr>
              <w:pStyle w:val="6"/>
              <w:spacing w:before="147" w:line="315" w:lineRule="auto"/>
              <w:ind w:left="108" w:right="49" w:firstLine="1"/>
              <w:jc w:val="both"/>
              <w:rPr>
                <w:sz w:val="20"/>
                <w:szCs w:val="20"/>
              </w:rPr>
            </w:pPr>
            <w:r>
              <w:rPr>
                <w:spacing w:val="9"/>
                <w:sz w:val="20"/>
                <w:szCs w:val="20"/>
              </w:rPr>
              <w:t>大气环境方面挥发性有机物（</w:t>
            </w:r>
            <w:r>
              <w:rPr>
                <w:rFonts w:ascii="Times New Roman" w:hAnsi="Times New Roman" w:eastAsia="Times New Roman" w:cs="Times New Roman"/>
                <w:sz w:val="20"/>
                <w:szCs w:val="20"/>
              </w:rPr>
              <w:t>VOCs</w:t>
            </w:r>
            <w:r>
              <w:rPr>
                <w:spacing w:val="9"/>
                <w:sz w:val="20"/>
                <w:szCs w:val="20"/>
              </w:rPr>
              <w:t>）</w:t>
            </w:r>
            <w:r>
              <w:rPr>
                <w:spacing w:val="7"/>
                <w:sz w:val="20"/>
                <w:szCs w:val="20"/>
              </w:rPr>
              <w:t xml:space="preserve"> </w:t>
            </w:r>
            <w:r>
              <w:rPr>
                <w:spacing w:val="11"/>
                <w:sz w:val="20"/>
                <w:szCs w:val="20"/>
              </w:rPr>
              <w:t>综合治理是关键。《方案》要求各地</w:t>
            </w:r>
            <w:r>
              <w:rPr>
                <w:spacing w:val="2"/>
                <w:sz w:val="20"/>
                <w:szCs w:val="20"/>
              </w:rPr>
              <w:t xml:space="preserve"> </w:t>
            </w:r>
            <w:r>
              <w:rPr>
                <w:spacing w:val="11"/>
                <w:sz w:val="20"/>
                <w:szCs w:val="20"/>
              </w:rPr>
              <w:t>制定、实施低</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5"/>
                <w:w w:val="101"/>
                <w:sz w:val="20"/>
                <w:szCs w:val="20"/>
              </w:rPr>
              <w:t xml:space="preserve"> </w:t>
            </w:r>
            <w:r>
              <w:rPr>
                <w:spacing w:val="11"/>
                <w:sz w:val="20"/>
                <w:szCs w:val="20"/>
              </w:rPr>
              <w:t>替代计划，制定</w:t>
            </w:r>
            <w:r>
              <w:rPr>
                <w:sz w:val="20"/>
                <w:szCs w:val="20"/>
              </w:rPr>
              <w:t xml:space="preserve"> </w:t>
            </w:r>
            <w:r>
              <w:rPr>
                <w:spacing w:val="11"/>
                <w:sz w:val="20"/>
                <w:szCs w:val="20"/>
              </w:rPr>
              <w:t>省重点涉</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11"/>
                <w:sz w:val="20"/>
                <w:szCs w:val="20"/>
              </w:rPr>
              <w:t>行业企业清单、治理</w:t>
            </w:r>
            <w:r>
              <w:rPr>
                <w:sz w:val="20"/>
                <w:szCs w:val="20"/>
              </w:rPr>
              <w:t xml:space="preserve"> </w:t>
            </w:r>
            <w:r>
              <w:rPr>
                <w:spacing w:val="11"/>
                <w:sz w:val="20"/>
                <w:szCs w:val="20"/>
              </w:rPr>
              <w:t>指引和分级管理规则。并深化炉窑分</w:t>
            </w:r>
            <w:r>
              <w:rPr>
                <w:spacing w:val="2"/>
                <w:sz w:val="20"/>
                <w:szCs w:val="20"/>
              </w:rPr>
              <w:t xml:space="preserve"> </w:t>
            </w:r>
            <w:r>
              <w:rPr>
                <w:spacing w:val="11"/>
                <w:sz w:val="20"/>
                <w:szCs w:val="20"/>
              </w:rPr>
              <w:t>级管控，推进钢铁和水泥行业等重点</w:t>
            </w:r>
            <w:r>
              <w:rPr>
                <w:spacing w:val="2"/>
                <w:sz w:val="20"/>
                <w:szCs w:val="20"/>
              </w:rPr>
              <w:t xml:space="preserve"> </w:t>
            </w:r>
            <w:r>
              <w:rPr>
                <w:spacing w:val="7"/>
                <w:sz w:val="20"/>
                <w:szCs w:val="20"/>
              </w:rPr>
              <w:t>项目减排降污等。</w:t>
            </w:r>
          </w:p>
        </w:tc>
        <w:tc>
          <w:tcPr>
            <w:tcW w:w="2907" w:type="dxa"/>
            <w:vAlign w:val="top"/>
          </w:tcPr>
          <w:p w14:paraId="3FA6B653">
            <w:pPr>
              <w:pStyle w:val="6"/>
              <w:spacing w:before="147" w:line="315" w:lineRule="auto"/>
              <w:ind w:left="113" w:right="101"/>
              <w:jc w:val="both"/>
              <w:rPr>
                <w:sz w:val="20"/>
                <w:szCs w:val="20"/>
              </w:rPr>
            </w:pPr>
            <w:r>
              <w:rPr>
                <w:spacing w:val="18"/>
                <w:sz w:val="20"/>
                <w:szCs w:val="20"/>
              </w:rPr>
              <w:t>本项</w:t>
            </w:r>
            <w:r>
              <w:rPr>
                <w:spacing w:val="-34"/>
                <w:sz w:val="20"/>
                <w:szCs w:val="20"/>
              </w:rPr>
              <w:t xml:space="preserve"> </w:t>
            </w:r>
            <w:r>
              <w:rPr>
                <w:spacing w:val="18"/>
                <w:sz w:val="20"/>
                <w:szCs w:val="20"/>
              </w:rPr>
              <w:t>目注胶工序需使用乙醇</w:t>
            </w:r>
            <w:r>
              <w:rPr>
                <w:sz w:val="20"/>
                <w:szCs w:val="20"/>
              </w:rPr>
              <w:t xml:space="preserve"> </w:t>
            </w:r>
            <w:r>
              <w:rPr>
                <w:spacing w:val="6"/>
                <w:sz w:val="20"/>
                <w:szCs w:val="20"/>
              </w:rPr>
              <w:t>和丙酮，参考汕尾启信商务信</w:t>
            </w:r>
            <w:r>
              <w:rPr>
                <w:spacing w:val="8"/>
                <w:sz w:val="20"/>
                <w:szCs w:val="20"/>
              </w:rPr>
              <w:t xml:space="preserve"> </w:t>
            </w:r>
            <w:r>
              <w:rPr>
                <w:spacing w:val="18"/>
                <w:sz w:val="20"/>
                <w:szCs w:val="20"/>
              </w:rPr>
              <w:t>息有限公司宝石加工项</w:t>
            </w:r>
            <w:r>
              <w:rPr>
                <w:spacing w:val="-30"/>
                <w:sz w:val="20"/>
                <w:szCs w:val="20"/>
              </w:rPr>
              <w:t xml:space="preserve"> </w:t>
            </w:r>
            <w:r>
              <w:rPr>
                <w:spacing w:val="18"/>
                <w:sz w:val="20"/>
                <w:szCs w:val="20"/>
              </w:rPr>
              <w:t>目编</w:t>
            </w:r>
            <w:r>
              <w:rPr>
                <w:sz w:val="20"/>
                <w:szCs w:val="20"/>
              </w:rPr>
              <w:t xml:space="preserve"> </w:t>
            </w:r>
            <w:r>
              <w:rPr>
                <w:spacing w:val="6"/>
                <w:sz w:val="20"/>
                <w:szCs w:val="20"/>
              </w:rPr>
              <w:t>制的《使用高</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6"/>
                <w:sz w:val="20"/>
                <w:szCs w:val="20"/>
              </w:rPr>
              <w:t>原辅料不</w:t>
            </w:r>
            <w:r>
              <w:rPr>
                <w:sz w:val="20"/>
                <w:szCs w:val="20"/>
              </w:rPr>
              <w:t xml:space="preserve"> </w:t>
            </w:r>
            <w:r>
              <w:rPr>
                <w:spacing w:val="6"/>
                <w:sz w:val="20"/>
                <w:szCs w:val="20"/>
              </w:rPr>
              <w:t>可替代性论证报告》专家评审</w:t>
            </w:r>
            <w:r>
              <w:rPr>
                <w:spacing w:val="5"/>
                <w:sz w:val="20"/>
                <w:szCs w:val="20"/>
              </w:rPr>
              <w:t xml:space="preserve"> </w:t>
            </w:r>
            <w:r>
              <w:rPr>
                <w:spacing w:val="6"/>
                <w:sz w:val="20"/>
                <w:szCs w:val="20"/>
              </w:rPr>
              <w:t>意见，乙醇和丙酮在宝石注胶</w:t>
            </w:r>
            <w:r>
              <w:rPr>
                <w:spacing w:val="5"/>
                <w:sz w:val="20"/>
                <w:szCs w:val="20"/>
              </w:rPr>
              <w:t xml:space="preserve"> </w:t>
            </w:r>
            <w:r>
              <w:rPr>
                <w:spacing w:val="8"/>
                <w:sz w:val="20"/>
                <w:szCs w:val="20"/>
              </w:rPr>
              <w:t>加工中具有不可替代性。</w:t>
            </w:r>
          </w:p>
        </w:tc>
        <w:tc>
          <w:tcPr>
            <w:tcW w:w="908" w:type="dxa"/>
            <w:vAlign w:val="top"/>
          </w:tcPr>
          <w:p w14:paraId="5FDD6046">
            <w:pPr>
              <w:spacing w:line="249" w:lineRule="auto"/>
              <w:rPr>
                <w:rFonts w:ascii="Arial"/>
                <w:sz w:val="21"/>
              </w:rPr>
            </w:pPr>
          </w:p>
          <w:p w14:paraId="7EFD7C6B">
            <w:pPr>
              <w:spacing w:line="249" w:lineRule="auto"/>
              <w:rPr>
                <w:rFonts w:ascii="Arial"/>
                <w:sz w:val="21"/>
              </w:rPr>
            </w:pPr>
          </w:p>
          <w:p w14:paraId="04365817">
            <w:pPr>
              <w:spacing w:line="250" w:lineRule="auto"/>
              <w:rPr>
                <w:rFonts w:ascii="Arial"/>
                <w:sz w:val="21"/>
              </w:rPr>
            </w:pPr>
          </w:p>
          <w:p w14:paraId="0C3F725E">
            <w:pPr>
              <w:spacing w:line="250" w:lineRule="auto"/>
              <w:rPr>
                <w:rFonts w:ascii="Arial"/>
                <w:sz w:val="21"/>
              </w:rPr>
            </w:pPr>
          </w:p>
          <w:p w14:paraId="0C4A43F8">
            <w:pPr>
              <w:pStyle w:val="6"/>
              <w:spacing w:before="65" w:line="228" w:lineRule="auto"/>
              <w:ind w:left="153"/>
              <w:rPr>
                <w:sz w:val="20"/>
                <w:szCs w:val="20"/>
              </w:rPr>
            </w:pPr>
            <w:r>
              <w:rPr>
                <w:spacing w:val="6"/>
                <w:sz w:val="20"/>
                <w:szCs w:val="20"/>
              </w:rPr>
              <w:t>符合要</w:t>
            </w:r>
          </w:p>
          <w:p w14:paraId="0202A09F">
            <w:pPr>
              <w:pStyle w:val="6"/>
              <w:spacing w:before="24" w:line="229" w:lineRule="auto"/>
              <w:ind w:left="362"/>
              <w:rPr>
                <w:sz w:val="20"/>
                <w:szCs w:val="20"/>
              </w:rPr>
            </w:pPr>
            <w:r>
              <w:rPr>
                <w:sz w:val="20"/>
                <w:szCs w:val="20"/>
              </w:rPr>
              <w:t>求</w:t>
            </w:r>
          </w:p>
        </w:tc>
        <w:tc>
          <w:tcPr>
            <w:tcW w:w="155" w:type="dxa"/>
            <w:vMerge w:val="continue"/>
            <w:tcBorders>
              <w:top w:val="nil"/>
              <w:bottom w:val="nil"/>
              <w:right w:val="single" w:color="000000" w:sz="6" w:space="0"/>
            </w:tcBorders>
            <w:vAlign w:val="top"/>
          </w:tcPr>
          <w:p w14:paraId="495A67B3">
            <w:pPr>
              <w:rPr>
                <w:rFonts w:ascii="Arial"/>
                <w:sz w:val="21"/>
              </w:rPr>
            </w:pPr>
          </w:p>
        </w:tc>
      </w:tr>
      <w:tr w14:paraId="74229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469" w:type="dxa"/>
            <w:vMerge w:val="continue"/>
            <w:tcBorders>
              <w:top w:val="nil"/>
              <w:left w:val="single" w:color="000000" w:sz="6" w:space="0"/>
              <w:bottom w:val="nil"/>
            </w:tcBorders>
            <w:vAlign w:val="top"/>
          </w:tcPr>
          <w:p w14:paraId="73DA5BE4">
            <w:pPr>
              <w:rPr>
                <w:rFonts w:ascii="Arial"/>
                <w:sz w:val="21"/>
              </w:rPr>
            </w:pPr>
          </w:p>
        </w:tc>
        <w:tc>
          <w:tcPr>
            <w:tcW w:w="146" w:type="dxa"/>
            <w:tcBorders>
              <w:top w:val="nil"/>
              <w:bottom w:val="nil"/>
            </w:tcBorders>
            <w:vAlign w:val="top"/>
          </w:tcPr>
          <w:p w14:paraId="0BF6B479">
            <w:pPr>
              <w:rPr>
                <w:rFonts w:ascii="Arial"/>
                <w:sz w:val="21"/>
              </w:rPr>
            </w:pPr>
          </w:p>
        </w:tc>
        <w:tc>
          <w:tcPr>
            <w:tcW w:w="8104" w:type="dxa"/>
            <w:gridSpan w:val="4"/>
            <w:vAlign w:val="top"/>
          </w:tcPr>
          <w:p w14:paraId="05CDBECA">
            <w:pPr>
              <w:pStyle w:val="6"/>
              <w:spacing w:before="172" w:line="228" w:lineRule="auto"/>
              <w:ind w:left="101"/>
              <w:rPr>
                <w:sz w:val="20"/>
                <w:szCs w:val="20"/>
              </w:rPr>
            </w:pPr>
            <w:r>
              <w:rPr>
                <w:rFonts w:ascii="Times New Roman" w:hAnsi="Times New Roman" w:eastAsia="Times New Roman" w:cs="Times New Roman"/>
                <w:spacing w:val="8"/>
                <w:sz w:val="20"/>
                <w:szCs w:val="20"/>
              </w:rPr>
              <w:t>4.</w:t>
            </w:r>
            <w:r>
              <w:rPr>
                <w:spacing w:val="8"/>
                <w:sz w:val="20"/>
                <w:szCs w:val="20"/>
              </w:rPr>
              <w:t>《广东省重金属污染综合防治</w:t>
            </w:r>
            <w:r>
              <w:rPr>
                <w:rFonts w:ascii="Times New Roman" w:hAnsi="Times New Roman" w:eastAsia="Times New Roman" w:cs="Times New Roman"/>
                <w:spacing w:val="8"/>
                <w:sz w:val="20"/>
                <w:szCs w:val="20"/>
              </w:rPr>
              <w:t>“</w:t>
            </w:r>
            <w:r>
              <w:rPr>
                <w:spacing w:val="8"/>
                <w:sz w:val="20"/>
                <w:szCs w:val="20"/>
              </w:rPr>
              <w:t>十三五</w:t>
            </w:r>
            <w:r>
              <w:rPr>
                <w:rFonts w:ascii="Times New Roman" w:hAnsi="Times New Roman" w:eastAsia="Times New Roman" w:cs="Times New Roman"/>
                <w:spacing w:val="8"/>
                <w:sz w:val="20"/>
                <w:szCs w:val="20"/>
              </w:rPr>
              <w:t>”</w:t>
            </w:r>
            <w:r>
              <w:rPr>
                <w:spacing w:val="8"/>
                <w:sz w:val="20"/>
                <w:szCs w:val="20"/>
              </w:rPr>
              <w:t>规划》（粤环发〔</w:t>
            </w:r>
            <w:r>
              <w:rPr>
                <w:rFonts w:ascii="Times New Roman" w:hAnsi="Times New Roman" w:eastAsia="Times New Roman" w:cs="Times New Roman"/>
                <w:spacing w:val="7"/>
                <w:sz w:val="20"/>
                <w:szCs w:val="20"/>
              </w:rPr>
              <w:t>2017</w:t>
            </w:r>
            <w:r>
              <w:rPr>
                <w:spacing w:val="7"/>
                <w:sz w:val="20"/>
                <w:szCs w:val="20"/>
              </w:rPr>
              <w:t>〕</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7"/>
                <w:sz w:val="20"/>
                <w:szCs w:val="20"/>
              </w:rPr>
              <w:t xml:space="preserve"> </w:t>
            </w:r>
            <w:r>
              <w:rPr>
                <w:spacing w:val="7"/>
                <w:sz w:val="20"/>
                <w:szCs w:val="20"/>
              </w:rPr>
              <w:t>号 ）</w:t>
            </w:r>
          </w:p>
        </w:tc>
        <w:tc>
          <w:tcPr>
            <w:tcW w:w="155" w:type="dxa"/>
            <w:vMerge w:val="continue"/>
            <w:tcBorders>
              <w:top w:val="nil"/>
              <w:bottom w:val="nil"/>
              <w:right w:val="single" w:color="000000" w:sz="6" w:space="0"/>
            </w:tcBorders>
            <w:vAlign w:val="top"/>
          </w:tcPr>
          <w:p w14:paraId="79248B43">
            <w:pPr>
              <w:rPr>
                <w:rFonts w:ascii="Arial"/>
                <w:sz w:val="21"/>
              </w:rPr>
            </w:pPr>
          </w:p>
        </w:tc>
      </w:tr>
      <w:tr w14:paraId="5D6FD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7" w:hRule="atLeast"/>
        </w:trPr>
        <w:tc>
          <w:tcPr>
            <w:tcW w:w="469" w:type="dxa"/>
            <w:vMerge w:val="continue"/>
            <w:tcBorders>
              <w:top w:val="nil"/>
              <w:left w:val="single" w:color="000000" w:sz="6" w:space="0"/>
              <w:bottom w:val="single" w:color="000000" w:sz="6" w:space="0"/>
            </w:tcBorders>
            <w:vAlign w:val="top"/>
          </w:tcPr>
          <w:p w14:paraId="0ADB314B">
            <w:pPr>
              <w:rPr>
                <w:rFonts w:ascii="Arial"/>
                <w:sz w:val="21"/>
              </w:rPr>
            </w:pPr>
          </w:p>
        </w:tc>
        <w:tc>
          <w:tcPr>
            <w:tcW w:w="146" w:type="dxa"/>
            <w:tcBorders>
              <w:top w:val="nil"/>
              <w:bottom w:val="single" w:color="000000" w:sz="6" w:space="0"/>
            </w:tcBorders>
            <w:vAlign w:val="top"/>
          </w:tcPr>
          <w:p w14:paraId="3BB3323D">
            <w:pPr>
              <w:rPr>
                <w:rFonts w:ascii="Arial"/>
                <w:sz w:val="21"/>
              </w:rPr>
            </w:pPr>
          </w:p>
        </w:tc>
        <w:tc>
          <w:tcPr>
            <w:tcW w:w="690" w:type="dxa"/>
            <w:tcBorders>
              <w:bottom w:val="single" w:color="000000" w:sz="6" w:space="0"/>
            </w:tcBorders>
            <w:vAlign w:val="top"/>
          </w:tcPr>
          <w:p w14:paraId="3FFAE2BB">
            <w:pPr>
              <w:spacing w:line="254" w:lineRule="auto"/>
              <w:rPr>
                <w:rFonts w:ascii="Arial"/>
                <w:sz w:val="21"/>
              </w:rPr>
            </w:pPr>
          </w:p>
          <w:p w14:paraId="20139BC4">
            <w:pPr>
              <w:spacing w:line="254" w:lineRule="auto"/>
              <w:rPr>
                <w:rFonts w:ascii="Arial"/>
                <w:sz w:val="21"/>
              </w:rPr>
            </w:pPr>
          </w:p>
          <w:p w14:paraId="01213124">
            <w:pPr>
              <w:spacing w:line="254" w:lineRule="auto"/>
              <w:rPr>
                <w:rFonts w:ascii="Arial"/>
                <w:sz w:val="21"/>
              </w:rPr>
            </w:pPr>
          </w:p>
          <w:p w14:paraId="1680F61E">
            <w:pPr>
              <w:spacing w:line="254" w:lineRule="auto"/>
              <w:rPr>
                <w:rFonts w:ascii="Arial"/>
                <w:sz w:val="21"/>
              </w:rPr>
            </w:pPr>
          </w:p>
          <w:p w14:paraId="1DD2A94A">
            <w:pPr>
              <w:spacing w:line="254" w:lineRule="auto"/>
              <w:rPr>
                <w:rFonts w:ascii="Arial"/>
                <w:sz w:val="21"/>
              </w:rPr>
            </w:pPr>
          </w:p>
          <w:p w14:paraId="4888F324">
            <w:pPr>
              <w:spacing w:line="254" w:lineRule="auto"/>
              <w:rPr>
                <w:rFonts w:ascii="Arial"/>
                <w:sz w:val="21"/>
              </w:rPr>
            </w:pPr>
          </w:p>
          <w:p w14:paraId="3AA1D85A">
            <w:pPr>
              <w:spacing w:line="254" w:lineRule="auto"/>
              <w:rPr>
                <w:rFonts w:ascii="Arial"/>
                <w:sz w:val="21"/>
              </w:rPr>
            </w:pPr>
          </w:p>
          <w:p w14:paraId="02959A60">
            <w:pPr>
              <w:spacing w:line="254" w:lineRule="auto"/>
              <w:rPr>
                <w:rFonts w:ascii="Arial"/>
                <w:sz w:val="21"/>
              </w:rPr>
            </w:pPr>
          </w:p>
          <w:p w14:paraId="00944E06">
            <w:pPr>
              <w:spacing w:line="254" w:lineRule="auto"/>
              <w:rPr>
                <w:rFonts w:ascii="Arial"/>
                <w:sz w:val="21"/>
              </w:rPr>
            </w:pPr>
          </w:p>
          <w:p w14:paraId="16DF5296">
            <w:pPr>
              <w:spacing w:line="254" w:lineRule="auto"/>
              <w:rPr>
                <w:rFonts w:ascii="Arial"/>
                <w:sz w:val="21"/>
              </w:rPr>
            </w:pPr>
          </w:p>
          <w:p w14:paraId="783B3EC4">
            <w:pPr>
              <w:spacing w:before="5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3599" w:type="dxa"/>
            <w:tcBorders>
              <w:bottom w:val="single" w:color="000000" w:sz="6" w:space="0"/>
            </w:tcBorders>
            <w:vAlign w:val="top"/>
          </w:tcPr>
          <w:p w14:paraId="07C3C317">
            <w:pPr>
              <w:pStyle w:val="6"/>
              <w:spacing w:before="166" w:line="314" w:lineRule="auto"/>
              <w:ind w:left="107" w:right="105" w:firstLine="5"/>
              <w:rPr>
                <w:sz w:val="20"/>
                <w:szCs w:val="20"/>
              </w:rPr>
            </w:pPr>
            <w:r>
              <w:rPr>
                <w:spacing w:val="11"/>
                <w:sz w:val="20"/>
                <w:szCs w:val="20"/>
              </w:rPr>
              <w:t>继续严格实施重金属污染防治分区防</w:t>
            </w:r>
            <w:r>
              <w:rPr>
                <w:sz w:val="20"/>
                <w:szCs w:val="20"/>
              </w:rPr>
              <w:t xml:space="preserve"> </w:t>
            </w:r>
            <w:r>
              <w:rPr>
                <w:spacing w:val="11"/>
                <w:sz w:val="20"/>
                <w:szCs w:val="20"/>
              </w:rPr>
              <w:t>控策略，重金属污染重点防控区内禁</w:t>
            </w:r>
            <w:r>
              <w:rPr>
                <w:spacing w:val="4"/>
                <w:sz w:val="20"/>
                <w:szCs w:val="20"/>
              </w:rPr>
              <w:t xml:space="preserve"> </w:t>
            </w:r>
            <w:r>
              <w:rPr>
                <w:spacing w:val="11"/>
                <w:sz w:val="20"/>
                <w:szCs w:val="20"/>
              </w:rPr>
              <w:t>止新建、扩建增加重金属污染物排放</w:t>
            </w:r>
            <w:r>
              <w:rPr>
                <w:spacing w:val="4"/>
                <w:sz w:val="20"/>
                <w:szCs w:val="20"/>
              </w:rPr>
              <w:t xml:space="preserve"> </w:t>
            </w:r>
            <w:r>
              <w:rPr>
                <w:spacing w:val="11"/>
                <w:sz w:val="20"/>
                <w:szCs w:val="20"/>
              </w:rPr>
              <w:t>的建设项目，现有技术改造项目应通</w:t>
            </w:r>
            <w:r>
              <w:rPr>
                <w:spacing w:val="4"/>
                <w:sz w:val="20"/>
                <w:szCs w:val="20"/>
              </w:rPr>
              <w:t xml:space="preserve"> </w:t>
            </w:r>
            <w:r>
              <w:rPr>
                <w:spacing w:val="10"/>
                <w:sz w:val="20"/>
                <w:szCs w:val="20"/>
              </w:rPr>
              <w:t>过实施</w:t>
            </w:r>
            <w:r>
              <w:rPr>
                <w:rFonts w:ascii="Times New Roman" w:hAnsi="Times New Roman" w:eastAsia="Times New Roman" w:cs="Times New Roman"/>
                <w:spacing w:val="10"/>
                <w:sz w:val="20"/>
                <w:szCs w:val="20"/>
              </w:rPr>
              <w:t>“</w:t>
            </w:r>
            <w:r>
              <w:rPr>
                <w:spacing w:val="10"/>
                <w:sz w:val="20"/>
                <w:szCs w:val="20"/>
              </w:rPr>
              <w:t>区域削减</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18"/>
                <w:sz w:val="20"/>
                <w:szCs w:val="20"/>
              </w:rPr>
              <w:t xml:space="preserve"> </w:t>
            </w:r>
            <w:r>
              <w:rPr>
                <w:spacing w:val="10"/>
                <w:sz w:val="20"/>
                <w:szCs w:val="20"/>
              </w:rPr>
              <w:t>，实现增产减污。</w:t>
            </w:r>
            <w:r>
              <w:rPr>
                <w:sz w:val="20"/>
                <w:szCs w:val="20"/>
              </w:rPr>
              <w:t xml:space="preserve"> </w:t>
            </w:r>
            <w:r>
              <w:rPr>
                <w:spacing w:val="11"/>
                <w:sz w:val="20"/>
                <w:szCs w:val="20"/>
              </w:rPr>
              <w:t>重金属污染防控非重点区新、改扩建</w:t>
            </w:r>
            <w:r>
              <w:rPr>
                <w:spacing w:val="4"/>
                <w:sz w:val="20"/>
                <w:szCs w:val="20"/>
              </w:rPr>
              <w:t xml:space="preserve"> </w:t>
            </w:r>
            <w:r>
              <w:rPr>
                <w:spacing w:val="11"/>
                <w:sz w:val="20"/>
                <w:szCs w:val="20"/>
              </w:rPr>
              <w:t>重金属排放项目，应严格落实重金属</w:t>
            </w:r>
            <w:r>
              <w:rPr>
                <w:spacing w:val="4"/>
                <w:sz w:val="20"/>
                <w:szCs w:val="20"/>
              </w:rPr>
              <w:t xml:space="preserve"> </w:t>
            </w:r>
            <w:r>
              <w:rPr>
                <w:spacing w:val="11"/>
                <w:sz w:val="20"/>
                <w:szCs w:val="20"/>
              </w:rPr>
              <w:t>总量替代与削减要求，严格控制重点</w:t>
            </w:r>
            <w:r>
              <w:rPr>
                <w:spacing w:val="4"/>
                <w:sz w:val="20"/>
                <w:szCs w:val="20"/>
              </w:rPr>
              <w:t xml:space="preserve"> </w:t>
            </w:r>
            <w:r>
              <w:rPr>
                <w:spacing w:val="11"/>
                <w:sz w:val="20"/>
                <w:szCs w:val="20"/>
              </w:rPr>
              <w:t>行业发展规模。强化涉重金属污染行</w:t>
            </w:r>
            <w:r>
              <w:rPr>
                <w:spacing w:val="4"/>
                <w:sz w:val="20"/>
                <w:szCs w:val="20"/>
              </w:rPr>
              <w:t xml:space="preserve"> </w:t>
            </w:r>
            <w:r>
              <w:rPr>
                <w:spacing w:val="11"/>
                <w:sz w:val="20"/>
                <w:szCs w:val="20"/>
              </w:rPr>
              <w:t>业建设项目环评审批管理，严格执行</w:t>
            </w:r>
            <w:r>
              <w:rPr>
                <w:spacing w:val="4"/>
                <w:sz w:val="20"/>
                <w:szCs w:val="20"/>
              </w:rPr>
              <w:t xml:space="preserve"> </w:t>
            </w:r>
            <w:r>
              <w:rPr>
                <w:spacing w:val="11"/>
                <w:sz w:val="20"/>
                <w:szCs w:val="20"/>
              </w:rPr>
              <w:t>环保</w:t>
            </w:r>
            <w:r>
              <w:rPr>
                <w:rFonts w:ascii="Times New Roman" w:hAnsi="Times New Roman" w:eastAsia="Times New Roman" w:cs="Times New Roman"/>
                <w:spacing w:val="11"/>
                <w:sz w:val="20"/>
                <w:szCs w:val="20"/>
              </w:rPr>
              <w:t>“</w:t>
            </w:r>
            <w:r>
              <w:rPr>
                <w:spacing w:val="11"/>
                <w:sz w:val="20"/>
                <w:szCs w:val="20"/>
              </w:rPr>
              <w:t>三同时</w:t>
            </w:r>
            <w:r>
              <w:rPr>
                <w:rFonts w:ascii="Times New Roman" w:hAnsi="Times New Roman" w:eastAsia="Times New Roman" w:cs="Times New Roman"/>
                <w:spacing w:val="11"/>
                <w:sz w:val="20"/>
                <w:szCs w:val="20"/>
              </w:rPr>
              <w:t>”</w:t>
            </w:r>
            <w:r>
              <w:rPr>
                <w:spacing w:val="11"/>
                <w:sz w:val="20"/>
                <w:szCs w:val="20"/>
              </w:rPr>
              <w:t>制度。涉重金属行业分</w:t>
            </w:r>
            <w:r>
              <w:rPr>
                <w:spacing w:val="13"/>
                <w:sz w:val="20"/>
                <w:szCs w:val="20"/>
              </w:rPr>
              <w:t xml:space="preserve"> </w:t>
            </w:r>
            <w:r>
              <w:rPr>
                <w:spacing w:val="11"/>
                <w:sz w:val="20"/>
                <w:szCs w:val="20"/>
              </w:rPr>
              <w:t>布集中、发展速度快、环境问题突出</w:t>
            </w:r>
            <w:r>
              <w:rPr>
                <w:spacing w:val="4"/>
                <w:sz w:val="20"/>
                <w:szCs w:val="20"/>
              </w:rPr>
              <w:t xml:space="preserve"> </w:t>
            </w:r>
            <w:r>
              <w:rPr>
                <w:spacing w:val="11"/>
                <w:sz w:val="20"/>
                <w:szCs w:val="20"/>
              </w:rPr>
              <w:t>的地区应进一步严格环境准入标准，</w:t>
            </w:r>
            <w:r>
              <w:rPr>
                <w:spacing w:val="4"/>
                <w:sz w:val="20"/>
                <w:szCs w:val="20"/>
              </w:rPr>
              <w:t xml:space="preserve"> </w:t>
            </w:r>
            <w:r>
              <w:rPr>
                <w:spacing w:val="11"/>
                <w:sz w:val="20"/>
                <w:szCs w:val="20"/>
              </w:rPr>
              <w:t>强化清洁生产和污染物排放标准等环</w:t>
            </w:r>
            <w:r>
              <w:rPr>
                <w:spacing w:val="4"/>
                <w:sz w:val="20"/>
                <w:szCs w:val="20"/>
              </w:rPr>
              <w:t xml:space="preserve"> </w:t>
            </w:r>
            <w:r>
              <w:rPr>
                <w:spacing w:val="6"/>
                <w:sz w:val="20"/>
                <w:szCs w:val="20"/>
              </w:rPr>
              <w:t>境指标约束。</w:t>
            </w:r>
          </w:p>
        </w:tc>
        <w:tc>
          <w:tcPr>
            <w:tcW w:w="2907" w:type="dxa"/>
            <w:tcBorders>
              <w:bottom w:val="single" w:color="000000" w:sz="6" w:space="0"/>
            </w:tcBorders>
            <w:vAlign w:val="top"/>
          </w:tcPr>
          <w:p w14:paraId="5CCA5C35">
            <w:pPr>
              <w:spacing w:line="276" w:lineRule="auto"/>
              <w:rPr>
                <w:rFonts w:ascii="Arial"/>
                <w:sz w:val="21"/>
              </w:rPr>
            </w:pPr>
          </w:p>
          <w:p w14:paraId="0F57A53A">
            <w:pPr>
              <w:spacing w:line="276" w:lineRule="auto"/>
              <w:rPr>
                <w:rFonts w:ascii="Arial"/>
                <w:sz w:val="21"/>
              </w:rPr>
            </w:pPr>
          </w:p>
          <w:p w14:paraId="1D7D1C95">
            <w:pPr>
              <w:spacing w:line="276" w:lineRule="auto"/>
              <w:rPr>
                <w:rFonts w:ascii="Arial"/>
                <w:sz w:val="21"/>
              </w:rPr>
            </w:pPr>
          </w:p>
          <w:p w14:paraId="3F667BF9">
            <w:pPr>
              <w:spacing w:line="277" w:lineRule="auto"/>
              <w:rPr>
                <w:rFonts w:ascii="Arial"/>
                <w:sz w:val="21"/>
              </w:rPr>
            </w:pPr>
          </w:p>
          <w:p w14:paraId="70C07262">
            <w:pPr>
              <w:pStyle w:val="6"/>
              <w:spacing w:before="65" w:line="315" w:lineRule="auto"/>
              <w:ind w:left="60" w:right="48" w:firstLine="1"/>
              <w:rPr>
                <w:sz w:val="20"/>
                <w:szCs w:val="20"/>
              </w:rPr>
            </w:pPr>
            <w:r>
              <w:rPr>
                <w:spacing w:val="14"/>
                <w:sz w:val="20"/>
                <w:szCs w:val="20"/>
              </w:rPr>
              <w:t>本项目位于海丰县可塘镇圆山</w:t>
            </w:r>
            <w:r>
              <w:rPr>
                <w:spacing w:val="9"/>
                <w:sz w:val="20"/>
                <w:szCs w:val="20"/>
              </w:rPr>
              <w:t xml:space="preserve"> </w:t>
            </w:r>
            <w:r>
              <w:rPr>
                <w:spacing w:val="14"/>
                <w:sz w:val="20"/>
                <w:szCs w:val="20"/>
              </w:rPr>
              <w:t>岭开发区，是城镇建成区，不</w:t>
            </w:r>
            <w:r>
              <w:rPr>
                <w:spacing w:val="10"/>
                <w:sz w:val="20"/>
                <w:szCs w:val="20"/>
              </w:rPr>
              <w:t xml:space="preserve"> </w:t>
            </w:r>
            <w:r>
              <w:rPr>
                <w:spacing w:val="14"/>
                <w:sz w:val="20"/>
                <w:szCs w:val="20"/>
              </w:rPr>
              <w:t>属于重金属污染重点防控区。</w:t>
            </w:r>
            <w:r>
              <w:rPr>
                <w:spacing w:val="10"/>
                <w:sz w:val="20"/>
                <w:szCs w:val="20"/>
              </w:rPr>
              <w:t xml:space="preserve"> </w:t>
            </w:r>
            <w:r>
              <w:rPr>
                <w:spacing w:val="14"/>
                <w:sz w:val="20"/>
                <w:szCs w:val="20"/>
              </w:rPr>
              <w:t>本项目宝石泡酸加工会产生废</w:t>
            </w:r>
            <w:r>
              <w:rPr>
                <w:spacing w:val="10"/>
                <w:sz w:val="20"/>
                <w:szCs w:val="20"/>
              </w:rPr>
              <w:t xml:space="preserve"> </w:t>
            </w:r>
            <w:r>
              <w:rPr>
                <w:spacing w:val="14"/>
                <w:sz w:val="20"/>
                <w:szCs w:val="20"/>
              </w:rPr>
              <w:t>水，废水中有少量重金属污染</w:t>
            </w:r>
            <w:r>
              <w:rPr>
                <w:spacing w:val="10"/>
                <w:sz w:val="20"/>
                <w:szCs w:val="20"/>
              </w:rPr>
              <w:t xml:space="preserve"> </w:t>
            </w:r>
            <w:r>
              <w:rPr>
                <w:spacing w:val="14"/>
                <w:sz w:val="20"/>
                <w:szCs w:val="20"/>
              </w:rPr>
              <w:t>物，建设项目严格落实重金属</w:t>
            </w:r>
            <w:r>
              <w:rPr>
                <w:spacing w:val="10"/>
                <w:sz w:val="20"/>
                <w:szCs w:val="20"/>
              </w:rPr>
              <w:t xml:space="preserve"> </w:t>
            </w:r>
            <w:r>
              <w:rPr>
                <w:spacing w:val="14"/>
                <w:sz w:val="20"/>
                <w:szCs w:val="20"/>
              </w:rPr>
              <w:t>总量替代与削减要求。项目规</w:t>
            </w:r>
            <w:r>
              <w:rPr>
                <w:spacing w:val="10"/>
                <w:sz w:val="20"/>
                <w:szCs w:val="20"/>
              </w:rPr>
              <w:t xml:space="preserve"> </w:t>
            </w:r>
            <w:r>
              <w:rPr>
                <w:spacing w:val="14"/>
                <w:sz w:val="20"/>
                <w:szCs w:val="20"/>
              </w:rPr>
              <w:t>模应严格遵守加工规模，严格</w:t>
            </w:r>
            <w:r>
              <w:rPr>
                <w:spacing w:val="10"/>
                <w:sz w:val="20"/>
                <w:szCs w:val="20"/>
              </w:rPr>
              <w:t xml:space="preserve"> </w:t>
            </w:r>
            <w:r>
              <w:rPr>
                <w:spacing w:val="7"/>
                <w:sz w:val="20"/>
                <w:szCs w:val="20"/>
              </w:rPr>
              <w:t>执行环保</w:t>
            </w:r>
            <w:r>
              <w:rPr>
                <w:rFonts w:ascii="Times New Roman" w:hAnsi="Times New Roman" w:eastAsia="Times New Roman" w:cs="Times New Roman"/>
                <w:spacing w:val="7"/>
                <w:sz w:val="20"/>
                <w:szCs w:val="20"/>
              </w:rPr>
              <w:t>“</w:t>
            </w:r>
            <w:r>
              <w:rPr>
                <w:spacing w:val="7"/>
                <w:sz w:val="20"/>
                <w:szCs w:val="20"/>
              </w:rPr>
              <w:t>三同时</w:t>
            </w:r>
            <w:r>
              <w:rPr>
                <w:rFonts w:ascii="Times New Roman" w:hAnsi="Times New Roman" w:eastAsia="Times New Roman" w:cs="Times New Roman"/>
                <w:spacing w:val="7"/>
                <w:sz w:val="20"/>
                <w:szCs w:val="20"/>
              </w:rPr>
              <w:t>”</w:t>
            </w:r>
            <w:r>
              <w:rPr>
                <w:spacing w:val="7"/>
                <w:sz w:val="20"/>
                <w:szCs w:val="20"/>
              </w:rPr>
              <w:t>制度。</w:t>
            </w:r>
          </w:p>
        </w:tc>
        <w:tc>
          <w:tcPr>
            <w:tcW w:w="908" w:type="dxa"/>
            <w:tcBorders>
              <w:bottom w:val="single" w:color="000000" w:sz="6" w:space="0"/>
            </w:tcBorders>
            <w:vAlign w:val="top"/>
          </w:tcPr>
          <w:p w14:paraId="46C3CB8F">
            <w:pPr>
              <w:spacing w:line="262" w:lineRule="auto"/>
              <w:rPr>
                <w:rFonts w:ascii="Arial"/>
                <w:sz w:val="21"/>
              </w:rPr>
            </w:pPr>
          </w:p>
          <w:p w14:paraId="3F0D9E7B">
            <w:pPr>
              <w:spacing w:line="262" w:lineRule="auto"/>
              <w:rPr>
                <w:rFonts w:ascii="Arial"/>
                <w:sz w:val="21"/>
              </w:rPr>
            </w:pPr>
          </w:p>
          <w:p w14:paraId="2768B914">
            <w:pPr>
              <w:spacing w:line="262" w:lineRule="auto"/>
              <w:rPr>
                <w:rFonts w:ascii="Arial"/>
                <w:sz w:val="21"/>
              </w:rPr>
            </w:pPr>
          </w:p>
          <w:p w14:paraId="12DF1BFE">
            <w:pPr>
              <w:spacing w:line="262" w:lineRule="auto"/>
              <w:rPr>
                <w:rFonts w:ascii="Arial"/>
                <w:sz w:val="21"/>
              </w:rPr>
            </w:pPr>
          </w:p>
          <w:p w14:paraId="11BBBDEE">
            <w:pPr>
              <w:spacing w:line="262" w:lineRule="auto"/>
              <w:rPr>
                <w:rFonts w:ascii="Arial"/>
                <w:sz w:val="21"/>
              </w:rPr>
            </w:pPr>
          </w:p>
          <w:p w14:paraId="2C1613A0">
            <w:pPr>
              <w:spacing w:line="262" w:lineRule="auto"/>
              <w:rPr>
                <w:rFonts w:ascii="Arial"/>
                <w:sz w:val="21"/>
              </w:rPr>
            </w:pPr>
          </w:p>
          <w:p w14:paraId="1E4CD64B">
            <w:pPr>
              <w:spacing w:line="263" w:lineRule="auto"/>
              <w:rPr>
                <w:rFonts w:ascii="Arial"/>
                <w:sz w:val="21"/>
              </w:rPr>
            </w:pPr>
          </w:p>
          <w:p w14:paraId="77C829A1">
            <w:pPr>
              <w:spacing w:line="263" w:lineRule="auto"/>
              <w:rPr>
                <w:rFonts w:ascii="Arial"/>
                <w:sz w:val="21"/>
              </w:rPr>
            </w:pPr>
          </w:p>
          <w:p w14:paraId="7DE0C038">
            <w:pPr>
              <w:spacing w:line="263" w:lineRule="auto"/>
              <w:rPr>
                <w:rFonts w:ascii="Arial"/>
                <w:sz w:val="21"/>
              </w:rPr>
            </w:pPr>
          </w:p>
          <w:p w14:paraId="14E260EC">
            <w:pPr>
              <w:pStyle w:val="6"/>
              <w:spacing w:before="65" w:line="228" w:lineRule="auto"/>
              <w:ind w:left="153"/>
              <w:rPr>
                <w:sz w:val="20"/>
                <w:szCs w:val="20"/>
              </w:rPr>
            </w:pPr>
            <w:r>
              <w:rPr>
                <w:spacing w:val="6"/>
                <w:sz w:val="20"/>
                <w:szCs w:val="20"/>
              </w:rPr>
              <w:t>符合要</w:t>
            </w:r>
          </w:p>
          <w:p w14:paraId="6254ECEE">
            <w:pPr>
              <w:pStyle w:val="6"/>
              <w:spacing w:before="24" w:line="229" w:lineRule="auto"/>
              <w:ind w:left="362"/>
              <w:rPr>
                <w:sz w:val="20"/>
                <w:szCs w:val="20"/>
              </w:rPr>
            </w:pPr>
            <w:r>
              <w:rPr>
                <w:sz w:val="20"/>
                <w:szCs w:val="20"/>
              </w:rPr>
              <w:t>求</w:t>
            </w:r>
          </w:p>
        </w:tc>
        <w:tc>
          <w:tcPr>
            <w:tcW w:w="155" w:type="dxa"/>
            <w:vMerge w:val="continue"/>
            <w:tcBorders>
              <w:top w:val="nil"/>
              <w:bottom w:val="single" w:color="000000" w:sz="6" w:space="0"/>
              <w:right w:val="single" w:color="000000" w:sz="6" w:space="0"/>
            </w:tcBorders>
            <w:vAlign w:val="top"/>
          </w:tcPr>
          <w:p w14:paraId="623DF8DA">
            <w:pPr>
              <w:rPr>
                <w:rFonts w:ascii="Arial"/>
                <w:sz w:val="21"/>
              </w:rPr>
            </w:pPr>
          </w:p>
        </w:tc>
      </w:tr>
    </w:tbl>
    <w:p w14:paraId="661DA744">
      <w:pPr>
        <w:rPr>
          <w:rFonts w:ascii="Arial"/>
          <w:sz w:val="21"/>
        </w:rPr>
      </w:pPr>
    </w:p>
    <w:p w14:paraId="00E4A0E9">
      <w:pPr>
        <w:rPr>
          <w:rFonts w:ascii="Arial" w:hAnsi="Arial" w:eastAsia="Arial" w:cs="Arial"/>
          <w:sz w:val="21"/>
          <w:szCs w:val="21"/>
        </w:rPr>
        <w:sectPr>
          <w:footerReference r:id="rId19" w:type="default"/>
          <w:pgSz w:w="11906" w:h="16839"/>
          <w:pgMar w:top="400" w:right="1508" w:bottom="1240" w:left="1508" w:header="0" w:footer="1078" w:gutter="0"/>
          <w:cols w:space="720" w:num="1"/>
        </w:sectPr>
      </w:pPr>
    </w:p>
    <w:p w14:paraId="1EA4EC55">
      <w:pPr>
        <w:spacing w:before="19"/>
      </w:pPr>
    </w:p>
    <w:p w14:paraId="7320983C">
      <w:pPr>
        <w:spacing w:before="19"/>
      </w:pPr>
    </w:p>
    <w:p w14:paraId="3F876A30">
      <w:pPr>
        <w:spacing w:before="19"/>
      </w:pPr>
    </w:p>
    <w:p w14:paraId="5BAC02D2">
      <w:pPr>
        <w:spacing w:before="18"/>
      </w:pPr>
    </w:p>
    <w:p w14:paraId="6FAD909D">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46"/>
        <w:gridCol w:w="690"/>
        <w:gridCol w:w="3599"/>
        <w:gridCol w:w="2907"/>
        <w:gridCol w:w="908"/>
        <w:gridCol w:w="155"/>
      </w:tblGrid>
      <w:tr w14:paraId="6C261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8" w:hRule="atLeast"/>
        </w:trPr>
        <w:tc>
          <w:tcPr>
            <w:tcW w:w="469" w:type="dxa"/>
            <w:vMerge w:val="restart"/>
            <w:tcBorders>
              <w:top w:val="single" w:color="000000" w:sz="6" w:space="0"/>
              <w:left w:val="single" w:color="000000" w:sz="6" w:space="0"/>
              <w:bottom w:val="nil"/>
            </w:tcBorders>
            <w:vAlign w:val="top"/>
          </w:tcPr>
          <w:p w14:paraId="2BB16164">
            <w:pPr>
              <w:rPr>
                <w:rFonts w:ascii="Arial"/>
                <w:sz w:val="21"/>
              </w:rPr>
            </w:pPr>
          </w:p>
        </w:tc>
        <w:tc>
          <w:tcPr>
            <w:tcW w:w="146" w:type="dxa"/>
            <w:tcBorders>
              <w:top w:val="single" w:color="000000" w:sz="6" w:space="0"/>
              <w:bottom w:val="nil"/>
            </w:tcBorders>
            <w:vAlign w:val="top"/>
          </w:tcPr>
          <w:p w14:paraId="066AB41D">
            <w:pPr>
              <w:rPr>
                <w:rFonts w:ascii="Arial"/>
                <w:sz w:val="21"/>
              </w:rPr>
            </w:pPr>
          </w:p>
        </w:tc>
        <w:tc>
          <w:tcPr>
            <w:tcW w:w="690" w:type="dxa"/>
            <w:tcBorders>
              <w:top w:val="single" w:color="000000" w:sz="6" w:space="0"/>
            </w:tcBorders>
            <w:vAlign w:val="top"/>
          </w:tcPr>
          <w:p w14:paraId="3DB472AE">
            <w:pPr>
              <w:spacing w:line="258" w:lineRule="auto"/>
              <w:rPr>
                <w:rFonts w:ascii="Arial"/>
                <w:sz w:val="21"/>
              </w:rPr>
            </w:pPr>
          </w:p>
          <w:p w14:paraId="0E9DE39F">
            <w:pPr>
              <w:spacing w:line="258" w:lineRule="auto"/>
              <w:rPr>
                <w:rFonts w:ascii="Arial"/>
                <w:sz w:val="21"/>
              </w:rPr>
            </w:pPr>
          </w:p>
          <w:p w14:paraId="32D75561">
            <w:pPr>
              <w:spacing w:line="258" w:lineRule="auto"/>
              <w:rPr>
                <w:rFonts w:ascii="Arial"/>
                <w:sz w:val="21"/>
              </w:rPr>
            </w:pPr>
          </w:p>
          <w:p w14:paraId="0E7CAE1D">
            <w:pPr>
              <w:spacing w:line="258" w:lineRule="auto"/>
              <w:rPr>
                <w:rFonts w:ascii="Arial"/>
                <w:sz w:val="21"/>
              </w:rPr>
            </w:pPr>
          </w:p>
          <w:p w14:paraId="6902D7DA">
            <w:pPr>
              <w:spacing w:line="259" w:lineRule="auto"/>
              <w:rPr>
                <w:rFonts w:ascii="Arial"/>
                <w:sz w:val="21"/>
              </w:rPr>
            </w:pPr>
          </w:p>
          <w:p w14:paraId="45329C2B">
            <w:pPr>
              <w:spacing w:line="259" w:lineRule="auto"/>
              <w:rPr>
                <w:rFonts w:ascii="Arial"/>
                <w:sz w:val="21"/>
              </w:rPr>
            </w:pPr>
          </w:p>
          <w:p w14:paraId="38B722F4">
            <w:pPr>
              <w:spacing w:line="259" w:lineRule="auto"/>
              <w:rPr>
                <w:rFonts w:ascii="Arial"/>
                <w:sz w:val="21"/>
              </w:rPr>
            </w:pPr>
          </w:p>
          <w:p w14:paraId="36A702C0">
            <w:pPr>
              <w:spacing w:line="259" w:lineRule="auto"/>
              <w:rPr>
                <w:rFonts w:ascii="Arial"/>
                <w:sz w:val="21"/>
              </w:rPr>
            </w:pPr>
          </w:p>
          <w:p w14:paraId="2CA44B88">
            <w:pPr>
              <w:spacing w:line="259" w:lineRule="auto"/>
              <w:rPr>
                <w:rFonts w:ascii="Arial"/>
                <w:sz w:val="21"/>
              </w:rPr>
            </w:pPr>
          </w:p>
          <w:p w14:paraId="282A01B9">
            <w:pPr>
              <w:spacing w:before="5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3599" w:type="dxa"/>
            <w:tcBorders>
              <w:top w:val="single" w:color="000000" w:sz="6" w:space="0"/>
            </w:tcBorders>
            <w:vAlign w:val="top"/>
          </w:tcPr>
          <w:p w14:paraId="096D431D">
            <w:pPr>
              <w:pStyle w:val="6"/>
              <w:spacing w:before="192" w:line="251" w:lineRule="auto"/>
              <w:ind w:left="106" w:right="105" w:firstLine="3"/>
              <w:jc w:val="both"/>
              <w:rPr>
                <w:sz w:val="20"/>
                <w:szCs w:val="20"/>
              </w:rPr>
            </w:pPr>
            <w:r>
              <w:rPr>
                <w:spacing w:val="11"/>
                <w:sz w:val="20"/>
                <w:szCs w:val="20"/>
              </w:rPr>
              <w:t>金属表面处理及热处理加工行业：制</w:t>
            </w:r>
            <w:r>
              <w:rPr>
                <w:spacing w:val="2"/>
                <w:sz w:val="20"/>
                <w:szCs w:val="20"/>
              </w:rPr>
              <w:t xml:space="preserve"> </w:t>
            </w:r>
            <w:r>
              <w:rPr>
                <w:spacing w:val="11"/>
                <w:sz w:val="20"/>
                <w:szCs w:val="20"/>
              </w:rPr>
              <w:t>定实施《关于加快推进电镀行业转型</w:t>
            </w:r>
            <w:r>
              <w:rPr>
                <w:spacing w:val="5"/>
                <w:sz w:val="20"/>
                <w:szCs w:val="20"/>
              </w:rPr>
              <w:t xml:space="preserve"> </w:t>
            </w:r>
            <w:r>
              <w:rPr>
                <w:spacing w:val="8"/>
                <w:sz w:val="20"/>
                <w:szCs w:val="20"/>
              </w:rPr>
              <w:t>升级和绿色发展的指导意见》</w:t>
            </w:r>
            <w:r>
              <w:rPr>
                <w:spacing w:val="-47"/>
                <w:sz w:val="20"/>
                <w:szCs w:val="20"/>
              </w:rPr>
              <w:t xml:space="preserve"> </w:t>
            </w:r>
            <w:r>
              <w:rPr>
                <w:spacing w:val="8"/>
                <w:sz w:val="20"/>
                <w:szCs w:val="20"/>
              </w:rPr>
              <w:t>，继续</w:t>
            </w:r>
            <w:r>
              <w:rPr>
                <w:sz w:val="20"/>
                <w:szCs w:val="20"/>
              </w:rPr>
              <w:t xml:space="preserve"> </w:t>
            </w:r>
            <w:r>
              <w:rPr>
                <w:spacing w:val="11"/>
                <w:sz w:val="20"/>
                <w:szCs w:val="20"/>
              </w:rPr>
              <w:t>实施电镀企业清洁化改造，全面推广</w:t>
            </w:r>
            <w:r>
              <w:rPr>
                <w:spacing w:val="5"/>
                <w:sz w:val="20"/>
                <w:szCs w:val="20"/>
              </w:rPr>
              <w:t xml:space="preserve"> </w:t>
            </w:r>
            <w:r>
              <w:rPr>
                <w:spacing w:val="11"/>
                <w:sz w:val="20"/>
                <w:szCs w:val="20"/>
              </w:rPr>
              <w:t>三价铬镀铬、镀锌层钝化非六价铬转</w:t>
            </w:r>
            <w:r>
              <w:rPr>
                <w:spacing w:val="5"/>
                <w:sz w:val="20"/>
                <w:szCs w:val="20"/>
              </w:rPr>
              <w:t xml:space="preserve"> </w:t>
            </w:r>
            <w:r>
              <w:rPr>
                <w:spacing w:val="11"/>
                <w:sz w:val="20"/>
                <w:szCs w:val="20"/>
              </w:rPr>
              <w:t>化膜等工艺技术，推广使用间歇逆流</w:t>
            </w:r>
            <w:r>
              <w:rPr>
                <w:spacing w:val="5"/>
                <w:sz w:val="20"/>
                <w:szCs w:val="20"/>
              </w:rPr>
              <w:t xml:space="preserve"> </w:t>
            </w:r>
            <w:r>
              <w:rPr>
                <w:spacing w:val="11"/>
                <w:sz w:val="20"/>
                <w:szCs w:val="20"/>
              </w:rPr>
              <w:t>清洗等电镀清洗水减量化技术；推广</w:t>
            </w:r>
            <w:r>
              <w:rPr>
                <w:spacing w:val="5"/>
                <w:sz w:val="20"/>
                <w:szCs w:val="20"/>
              </w:rPr>
              <w:t xml:space="preserve"> </w:t>
            </w:r>
            <w:r>
              <w:rPr>
                <w:spacing w:val="11"/>
                <w:sz w:val="20"/>
                <w:szCs w:val="20"/>
              </w:rPr>
              <w:t>采用镀铬、镀镍、镀铜溶液净化回收</w:t>
            </w:r>
            <w:r>
              <w:rPr>
                <w:spacing w:val="5"/>
                <w:sz w:val="20"/>
                <w:szCs w:val="20"/>
              </w:rPr>
              <w:t xml:space="preserve"> </w:t>
            </w:r>
            <w:r>
              <w:rPr>
                <w:spacing w:val="11"/>
                <w:sz w:val="20"/>
                <w:szCs w:val="20"/>
              </w:rPr>
              <w:t>技术，减少重金属末端排放。加快推</w:t>
            </w:r>
            <w:r>
              <w:rPr>
                <w:spacing w:val="5"/>
                <w:sz w:val="20"/>
                <w:szCs w:val="20"/>
              </w:rPr>
              <w:t xml:space="preserve"> </w:t>
            </w:r>
            <w:r>
              <w:rPr>
                <w:spacing w:val="11"/>
                <w:sz w:val="20"/>
                <w:szCs w:val="20"/>
              </w:rPr>
              <w:t>进粤东西北地区电镀企业污水治理设</w:t>
            </w:r>
            <w:r>
              <w:rPr>
                <w:spacing w:val="5"/>
                <w:sz w:val="20"/>
                <w:szCs w:val="20"/>
              </w:rPr>
              <w:t xml:space="preserve"> </w:t>
            </w:r>
            <w:r>
              <w:rPr>
                <w:spacing w:val="11"/>
                <w:sz w:val="20"/>
                <w:szCs w:val="20"/>
              </w:rPr>
              <w:t>施的升级改造，实施企业在全指标达</w:t>
            </w:r>
            <w:r>
              <w:rPr>
                <w:spacing w:val="5"/>
                <w:sz w:val="20"/>
                <w:szCs w:val="20"/>
              </w:rPr>
              <w:t xml:space="preserve"> </w:t>
            </w:r>
            <w:r>
              <w:rPr>
                <w:spacing w:val="11"/>
                <w:sz w:val="20"/>
                <w:szCs w:val="20"/>
              </w:rPr>
              <w:t>标排放基础上进行深度处理，提升废</w:t>
            </w:r>
            <w:r>
              <w:rPr>
                <w:spacing w:val="5"/>
                <w:sz w:val="20"/>
                <w:szCs w:val="20"/>
              </w:rPr>
              <w:t xml:space="preserve"> </w:t>
            </w:r>
            <w:r>
              <w:rPr>
                <w:spacing w:val="6"/>
                <w:sz w:val="20"/>
                <w:szCs w:val="20"/>
              </w:rPr>
              <w:t>水回用率，</w:t>
            </w:r>
            <w:r>
              <w:rPr>
                <w:rFonts w:ascii="Times New Roman" w:hAnsi="Times New Roman" w:eastAsia="Times New Roman" w:cs="Times New Roman"/>
                <w:spacing w:val="6"/>
                <w:sz w:val="20"/>
                <w:szCs w:val="20"/>
              </w:rPr>
              <w:t xml:space="preserve">2020 </w:t>
            </w:r>
            <w:r>
              <w:rPr>
                <w:spacing w:val="6"/>
                <w:sz w:val="20"/>
                <w:szCs w:val="20"/>
              </w:rPr>
              <w:t>年底前，废水回用率</w:t>
            </w:r>
            <w:r>
              <w:rPr>
                <w:spacing w:val="15"/>
                <w:sz w:val="20"/>
                <w:szCs w:val="20"/>
              </w:rPr>
              <w:t xml:space="preserve"> </w:t>
            </w:r>
            <w:r>
              <w:rPr>
                <w:spacing w:val="8"/>
                <w:sz w:val="20"/>
                <w:szCs w:val="20"/>
              </w:rPr>
              <w:t>达</w:t>
            </w:r>
            <w:r>
              <w:rPr>
                <w:spacing w:val="-24"/>
                <w:sz w:val="20"/>
                <w:szCs w:val="20"/>
              </w:rPr>
              <w:t xml:space="preserve"> </w:t>
            </w:r>
            <w:r>
              <w:rPr>
                <w:rFonts w:ascii="Times New Roman" w:hAnsi="Times New Roman" w:eastAsia="Times New Roman" w:cs="Times New Roman"/>
                <w:spacing w:val="8"/>
                <w:sz w:val="20"/>
                <w:szCs w:val="20"/>
              </w:rPr>
              <w:t>60%</w:t>
            </w:r>
            <w:r>
              <w:rPr>
                <w:spacing w:val="8"/>
                <w:sz w:val="20"/>
                <w:szCs w:val="20"/>
              </w:rPr>
              <w:t>以上。加强车间酸雾收集处理</w:t>
            </w:r>
            <w:r>
              <w:rPr>
                <w:sz w:val="20"/>
                <w:szCs w:val="20"/>
              </w:rPr>
              <w:t xml:space="preserve"> </w:t>
            </w:r>
            <w:r>
              <w:rPr>
                <w:spacing w:val="11"/>
                <w:sz w:val="20"/>
                <w:szCs w:val="20"/>
              </w:rPr>
              <w:t>设施建设，强化无组织酸雾排放收集</w:t>
            </w:r>
            <w:r>
              <w:rPr>
                <w:spacing w:val="5"/>
                <w:sz w:val="20"/>
                <w:szCs w:val="20"/>
              </w:rPr>
              <w:t xml:space="preserve"> </w:t>
            </w:r>
            <w:r>
              <w:rPr>
                <w:spacing w:val="7"/>
                <w:sz w:val="20"/>
                <w:szCs w:val="20"/>
              </w:rPr>
              <w:t>处理（收集率达</w:t>
            </w:r>
            <w:r>
              <w:rPr>
                <w:spacing w:val="-37"/>
                <w:sz w:val="20"/>
                <w:szCs w:val="20"/>
              </w:rPr>
              <w:t xml:space="preserve"> </w:t>
            </w:r>
            <w:r>
              <w:rPr>
                <w:rFonts w:ascii="Times New Roman" w:hAnsi="Times New Roman" w:eastAsia="Times New Roman" w:cs="Times New Roman"/>
                <w:spacing w:val="7"/>
                <w:sz w:val="20"/>
                <w:szCs w:val="20"/>
              </w:rPr>
              <w:t>90%</w:t>
            </w:r>
            <w:r>
              <w:rPr>
                <w:spacing w:val="7"/>
                <w:sz w:val="20"/>
                <w:szCs w:val="20"/>
              </w:rPr>
              <w:t>以上</w:t>
            </w:r>
            <w:r>
              <w:rPr>
                <w:spacing w:val="22"/>
                <w:sz w:val="20"/>
                <w:szCs w:val="20"/>
              </w:rPr>
              <w:t>），</w:t>
            </w:r>
            <w:r>
              <w:rPr>
                <w:spacing w:val="7"/>
                <w:sz w:val="20"/>
                <w:szCs w:val="20"/>
              </w:rPr>
              <w:t>实现废</w:t>
            </w:r>
            <w:r>
              <w:rPr>
                <w:sz w:val="20"/>
                <w:szCs w:val="20"/>
              </w:rPr>
              <w:t xml:space="preserve"> </w:t>
            </w:r>
            <w:r>
              <w:rPr>
                <w:spacing w:val="8"/>
                <w:sz w:val="20"/>
                <w:szCs w:val="20"/>
              </w:rPr>
              <w:t>气重金属稳定达标排放。</w:t>
            </w:r>
          </w:p>
        </w:tc>
        <w:tc>
          <w:tcPr>
            <w:tcW w:w="2907" w:type="dxa"/>
            <w:tcBorders>
              <w:top w:val="single" w:color="000000" w:sz="6" w:space="0"/>
            </w:tcBorders>
            <w:vAlign w:val="top"/>
          </w:tcPr>
          <w:p w14:paraId="79F1349B">
            <w:pPr>
              <w:spacing w:line="251" w:lineRule="auto"/>
              <w:rPr>
                <w:rFonts w:ascii="Arial"/>
                <w:sz w:val="21"/>
              </w:rPr>
            </w:pPr>
          </w:p>
          <w:p w14:paraId="7F7E5F0C">
            <w:pPr>
              <w:spacing w:line="251" w:lineRule="auto"/>
              <w:rPr>
                <w:rFonts w:ascii="Arial"/>
                <w:sz w:val="21"/>
              </w:rPr>
            </w:pPr>
          </w:p>
          <w:p w14:paraId="4037BD3C">
            <w:pPr>
              <w:spacing w:line="251" w:lineRule="auto"/>
              <w:rPr>
                <w:rFonts w:ascii="Arial"/>
                <w:sz w:val="21"/>
              </w:rPr>
            </w:pPr>
          </w:p>
          <w:p w14:paraId="042A71FB">
            <w:pPr>
              <w:spacing w:line="251" w:lineRule="auto"/>
              <w:rPr>
                <w:rFonts w:ascii="Arial"/>
                <w:sz w:val="21"/>
              </w:rPr>
            </w:pPr>
          </w:p>
          <w:p w14:paraId="1256F957">
            <w:pPr>
              <w:spacing w:line="251" w:lineRule="auto"/>
              <w:rPr>
                <w:rFonts w:ascii="Arial"/>
                <w:sz w:val="21"/>
              </w:rPr>
            </w:pPr>
          </w:p>
          <w:p w14:paraId="74731BB2">
            <w:pPr>
              <w:spacing w:line="251" w:lineRule="auto"/>
              <w:rPr>
                <w:rFonts w:ascii="Arial"/>
                <w:sz w:val="21"/>
              </w:rPr>
            </w:pPr>
          </w:p>
          <w:p w14:paraId="4A77AA2B">
            <w:pPr>
              <w:spacing w:line="252" w:lineRule="auto"/>
              <w:rPr>
                <w:rFonts w:ascii="Arial"/>
                <w:sz w:val="21"/>
              </w:rPr>
            </w:pPr>
          </w:p>
          <w:p w14:paraId="7D320C04">
            <w:pPr>
              <w:spacing w:line="252" w:lineRule="auto"/>
              <w:rPr>
                <w:rFonts w:ascii="Arial"/>
                <w:sz w:val="21"/>
              </w:rPr>
            </w:pPr>
          </w:p>
          <w:p w14:paraId="053AEDAD">
            <w:pPr>
              <w:pStyle w:val="6"/>
              <w:spacing w:before="65" w:line="253" w:lineRule="auto"/>
              <w:ind w:left="112" w:right="101" w:firstLine="1"/>
              <w:jc w:val="both"/>
              <w:rPr>
                <w:sz w:val="20"/>
                <w:szCs w:val="20"/>
              </w:rPr>
            </w:pPr>
            <w:r>
              <w:rPr>
                <w:spacing w:val="18"/>
                <w:sz w:val="20"/>
                <w:szCs w:val="20"/>
              </w:rPr>
              <w:t>本项</w:t>
            </w:r>
            <w:r>
              <w:rPr>
                <w:spacing w:val="-31"/>
                <w:sz w:val="20"/>
                <w:szCs w:val="20"/>
              </w:rPr>
              <w:t xml:space="preserve"> </w:t>
            </w:r>
            <w:r>
              <w:rPr>
                <w:spacing w:val="18"/>
                <w:sz w:val="20"/>
                <w:szCs w:val="20"/>
              </w:rPr>
              <w:t>目主要从事宝石的泡酸</w:t>
            </w:r>
            <w:r>
              <w:rPr>
                <w:sz w:val="20"/>
                <w:szCs w:val="20"/>
              </w:rPr>
              <w:t xml:space="preserve"> </w:t>
            </w:r>
            <w:r>
              <w:rPr>
                <w:spacing w:val="6"/>
                <w:sz w:val="20"/>
                <w:szCs w:val="20"/>
              </w:rPr>
              <w:t>加工和注胶加工，不属于金属 表面处理及热处理加工行业。</w:t>
            </w:r>
          </w:p>
        </w:tc>
        <w:tc>
          <w:tcPr>
            <w:tcW w:w="908" w:type="dxa"/>
            <w:tcBorders>
              <w:top w:val="single" w:color="000000" w:sz="6" w:space="0"/>
            </w:tcBorders>
            <w:vAlign w:val="top"/>
          </w:tcPr>
          <w:p w14:paraId="682869C6">
            <w:pPr>
              <w:spacing w:line="268" w:lineRule="auto"/>
              <w:rPr>
                <w:rFonts w:ascii="Arial"/>
                <w:sz w:val="21"/>
              </w:rPr>
            </w:pPr>
          </w:p>
          <w:p w14:paraId="689816A6">
            <w:pPr>
              <w:spacing w:line="268" w:lineRule="auto"/>
              <w:rPr>
                <w:rFonts w:ascii="Arial"/>
                <w:sz w:val="21"/>
              </w:rPr>
            </w:pPr>
          </w:p>
          <w:p w14:paraId="4089A323">
            <w:pPr>
              <w:spacing w:line="268" w:lineRule="auto"/>
              <w:rPr>
                <w:rFonts w:ascii="Arial"/>
                <w:sz w:val="21"/>
              </w:rPr>
            </w:pPr>
          </w:p>
          <w:p w14:paraId="22F44F0C">
            <w:pPr>
              <w:spacing w:line="268" w:lineRule="auto"/>
              <w:rPr>
                <w:rFonts w:ascii="Arial"/>
                <w:sz w:val="21"/>
              </w:rPr>
            </w:pPr>
          </w:p>
          <w:p w14:paraId="30239B53">
            <w:pPr>
              <w:spacing w:line="268" w:lineRule="auto"/>
              <w:rPr>
                <w:rFonts w:ascii="Arial"/>
                <w:sz w:val="21"/>
              </w:rPr>
            </w:pPr>
          </w:p>
          <w:p w14:paraId="47DD84FB">
            <w:pPr>
              <w:spacing w:line="269" w:lineRule="auto"/>
              <w:rPr>
                <w:rFonts w:ascii="Arial"/>
                <w:sz w:val="21"/>
              </w:rPr>
            </w:pPr>
          </w:p>
          <w:p w14:paraId="746C384C">
            <w:pPr>
              <w:spacing w:line="269" w:lineRule="auto"/>
              <w:rPr>
                <w:rFonts w:ascii="Arial"/>
                <w:sz w:val="21"/>
              </w:rPr>
            </w:pPr>
          </w:p>
          <w:p w14:paraId="5AD02E9C">
            <w:pPr>
              <w:spacing w:line="269" w:lineRule="auto"/>
              <w:rPr>
                <w:rFonts w:ascii="Arial"/>
                <w:sz w:val="21"/>
              </w:rPr>
            </w:pPr>
          </w:p>
          <w:p w14:paraId="2EA88468">
            <w:pPr>
              <w:pStyle w:val="6"/>
              <w:spacing w:before="65" w:line="228" w:lineRule="auto"/>
              <w:ind w:left="153"/>
              <w:rPr>
                <w:sz w:val="20"/>
                <w:szCs w:val="20"/>
              </w:rPr>
            </w:pPr>
            <w:r>
              <w:rPr>
                <w:spacing w:val="6"/>
                <w:sz w:val="20"/>
                <w:szCs w:val="20"/>
              </w:rPr>
              <w:t>符合要</w:t>
            </w:r>
          </w:p>
          <w:p w14:paraId="520F64BF">
            <w:pPr>
              <w:pStyle w:val="6"/>
              <w:spacing w:before="24" w:line="229" w:lineRule="auto"/>
              <w:ind w:left="362"/>
              <w:rPr>
                <w:sz w:val="20"/>
                <w:szCs w:val="20"/>
              </w:rPr>
            </w:pPr>
            <w:r>
              <w:rPr>
                <w:sz w:val="20"/>
                <w:szCs w:val="20"/>
              </w:rPr>
              <w:t>求</w:t>
            </w:r>
          </w:p>
        </w:tc>
        <w:tc>
          <w:tcPr>
            <w:tcW w:w="155" w:type="dxa"/>
            <w:vMerge w:val="restart"/>
            <w:tcBorders>
              <w:top w:val="single" w:color="000000" w:sz="6" w:space="0"/>
              <w:bottom w:val="nil"/>
              <w:right w:val="single" w:color="000000" w:sz="6" w:space="0"/>
            </w:tcBorders>
            <w:vAlign w:val="top"/>
          </w:tcPr>
          <w:p w14:paraId="6CA05A44">
            <w:pPr>
              <w:rPr>
                <w:rFonts w:ascii="Arial"/>
                <w:sz w:val="21"/>
              </w:rPr>
            </w:pPr>
          </w:p>
        </w:tc>
      </w:tr>
      <w:tr w14:paraId="0C200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5" w:hRule="atLeast"/>
        </w:trPr>
        <w:tc>
          <w:tcPr>
            <w:tcW w:w="469" w:type="dxa"/>
            <w:vMerge w:val="continue"/>
            <w:tcBorders>
              <w:top w:val="nil"/>
              <w:left w:val="single" w:color="000000" w:sz="6" w:space="0"/>
              <w:bottom w:val="nil"/>
            </w:tcBorders>
            <w:vAlign w:val="top"/>
          </w:tcPr>
          <w:p w14:paraId="6D8A1670">
            <w:pPr>
              <w:rPr>
                <w:rFonts w:ascii="Arial"/>
                <w:sz w:val="21"/>
              </w:rPr>
            </w:pPr>
          </w:p>
        </w:tc>
        <w:tc>
          <w:tcPr>
            <w:tcW w:w="146" w:type="dxa"/>
            <w:tcBorders>
              <w:top w:val="nil"/>
              <w:bottom w:val="nil"/>
            </w:tcBorders>
            <w:vAlign w:val="top"/>
          </w:tcPr>
          <w:p w14:paraId="6F98AC1F">
            <w:pPr>
              <w:rPr>
                <w:rFonts w:ascii="Arial"/>
                <w:sz w:val="21"/>
              </w:rPr>
            </w:pPr>
          </w:p>
        </w:tc>
        <w:tc>
          <w:tcPr>
            <w:tcW w:w="690" w:type="dxa"/>
            <w:vAlign w:val="top"/>
          </w:tcPr>
          <w:p w14:paraId="4851D7E8">
            <w:pPr>
              <w:spacing w:line="263" w:lineRule="auto"/>
              <w:rPr>
                <w:rFonts w:ascii="Arial"/>
                <w:sz w:val="21"/>
              </w:rPr>
            </w:pPr>
          </w:p>
          <w:p w14:paraId="3359B899">
            <w:pPr>
              <w:spacing w:line="263" w:lineRule="auto"/>
              <w:rPr>
                <w:rFonts w:ascii="Arial"/>
                <w:sz w:val="21"/>
              </w:rPr>
            </w:pPr>
          </w:p>
          <w:p w14:paraId="1ECE4CEC">
            <w:pPr>
              <w:spacing w:line="264" w:lineRule="auto"/>
              <w:rPr>
                <w:rFonts w:ascii="Arial"/>
                <w:sz w:val="21"/>
              </w:rPr>
            </w:pPr>
          </w:p>
          <w:p w14:paraId="6FC2A825">
            <w:pPr>
              <w:spacing w:line="264" w:lineRule="auto"/>
              <w:rPr>
                <w:rFonts w:ascii="Arial"/>
                <w:sz w:val="21"/>
              </w:rPr>
            </w:pPr>
          </w:p>
          <w:p w14:paraId="418D2A11">
            <w:pPr>
              <w:spacing w:before="5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3599" w:type="dxa"/>
            <w:vAlign w:val="top"/>
          </w:tcPr>
          <w:p w14:paraId="1514DDB1">
            <w:pPr>
              <w:pStyle w:val="6"/>
              <w:spacing w:before="264" w:line="252" w:lineRule="auto"/>
              <w:ind w:left="107" w:right="105"/>
              <w:jc w:val="both"/>
              <w:rPr>
                <w:sz w:val="20"/>
                <w:szCs w:val="20"/>
              </w:rPr>
            </w:pPr>
            <w:r>
              <w:rPr>
                <w:spacing w:val="11"/>
                <w:sz w:val="20"/>
                <w:szCs w:val="20"/>
              </w:rPr>
              <w:t>加快重点区域有色金属冶炼废渣、含</w:t>
            </w:r>
            <w:r>
              <w:rPr>
                <w:spacing w:val="3"/>
                <w:sz w:val="20"/>
                <w:szCs w:val="20"/>
              </w:rPr>
              <w:t xml:space="preserve"> </w:t>
            </w:r>
            <w:r>
              <w:rPr>
                <w:spacing w:val="25"/>
                <w:sz w:val="20"/>
                <w:szCs w:val="20"/>
              </w:rPr>
              <w:t>汞废物等无害化利用和处置工程建</w:t>
            </w:r>
            <w:r>
              <w:rPr>
                <w:spacing w:val="3"/>
                <w:sz w:val="20"/>
                <w:szCs w:val="20"/>
              </w:rPr>
              <w:t xml:space="preserve"> </w:t>
            </w:r>
            <w:r>
              <w:rPr>
                <w:spacing w:val="8"/>
                <w:sz w:val="20"/>
                <w:szCs w:val="20"/>
              </w:rPr>
              <w:t>设。</w:t>
            </w:r>
            <w:r>
              <w:rPr>
                <w:spacing w:val="-50"/>
                <w:sz w:val="20"/>
                <w:szCs w:val="20"/>
              </w:rPr>
              <w:t xml:space="preserve"> </w:t>
            </w:r>
            <w:r>
              <w:rPr>
                <w:spacing w:val="8"/>
                <w:sz w:val="20"/>
                <w:szCs w:val="20"/>
              </w:rPr>
              <w:t>以电镀统一定点基地和大型有色</w:t>
            </w:r>
            <w:r>
              <w:rPr>
                <w:sz w:val="20"/>
                <w:szCs w:val="20"/>
              </w:rPr>
              <w:t xml:space="preserve"> </w:t>
            </w:r>
            <w:r>
              <w:rPr>
                <w:spacing w:val="11"/>
                <w:sz w:val="20"/>
                <w:szCs w:val="20"/>
              </w:rPr>
              <w:t>金属采选和冶炼企业为重点，加强含</w:t>
            </w:r>
            <w:r>
              <w:rPr>
                <w:spacing w:val="2"/>
                <w:sz w:val="20"/>
                <w:szCs w:val="20"/>
              </w:rPr>
              <w:t xml:space="preserve"> </w:t>
            </w:r>
            <w:r>
              <w:rPr>
                <w:spacing w:val="25"/>
                <w:sz w:val="20"/>
                <w:szCs w:val="20"/>
              </w:rPr>
              <w:t>重金属危险废物处理处置的技术研</w:t>
            </w:r>
            <w:r>
              <w:rPr>
                <w:spacing w:val="3"/>
                <w:sz w:val="20"/>
                <w:szCs w:val="20"/>
              </w:rPr>
              <w:t xml:space="preserve"> </w:t>
            </w:r>
            <w:r>
              <w:rPr>
                <w:spacing w:val="11"/>
                <w:sz w:val="20"/>
                <w:szCs w:val="20"/>
              </w:rPr>
              <w:t>发、示范和推广，配套建设危险废物</w:t>
            </w:r>
            <w:r>
              <w:rPr>
                <w:spacing w:val="2"/>
                <w:sz w:val="20"/>
                <w:szCs w:val="20"/>
              </w:rPr>
              <w:t xml:space="preserve"> </w:t>
            </w:r>
            <w:r>
              <w:rPr>
                <w:spacing w:val="6"/>
                <w:sz w:val="20"/>
                <w:szCs w:val="20"/>
              </w:rPr>
              <w:t>处理处置设施。</w:t>
            </w:r>
          </w:p>
        </w:tc>
        <w:tc>
          <w:tcPr>
            <w:tcW w:w="2907" w:type="dxa"/>
            <w:vAlign w:val="top"/>
          </w:tcPr>
          <w:p w14:paraId="423F200D">
            <w:pPr>
              <w:pStyle w:val="6"/>
              <w:spacing w:before="126" w:line="252" w:lineRule="auto"/>
              <w:ind w:left="114" w:right="100"/>
              <w:jc w:val="both"/>
              <w:rPr>
                <w:sz w:val="20"/>
                <w:szCs w:val="20"/>
              </w:rPr>
            </w:pPr>
            <w:r>
              <w:rPr>
                <w:spacing w:val="18"/>
                <w:sz w:val="20"/>
                <w:szCs w:val="20"/>
              </w:rPr>
              <w:t>本项</w:t>
            </w:r>
            <w:r>
              <w:rPr>
                <w:spacing w:val="-31"/>
                <w:sz w:val="20"/>
                <w:szCs w:val="20"/>
              </w:rPr>
              <w:t xml:space="preserve"> </w:t>
            </w:r>
            <w:r>
              <w:rPr>
                <w:spacing w:val="18"/>
                <w:sz w:val="20"/>
                <w:szCs w:val="20"/>
              </w:rPr>
              <w:t>目位于海丰县可塘镇圆</w:t>
            </w:r>
            <w:r>
              <w:rPr>
                <w:sz w:val="20"/>
                <w:szCs w:val="20"/>
              </w:rPr>
              <w:t xml:space="preserve"> </w:t>
            </w:r>
            <w:r>
              <w:rPr>
                <w:spacing w:val="6"/>
                <w:sz w:val="20"/>
                <w:szCs w:val="20"/>
              </w:rPr>
              <w:t>山岭开发区，是城镇建成区，</w:t>
            </w:r>
            <w:r>
              <w:rPr>
                <w:spacing w:val="7"/>
                <w:sz w:val="20"/>
                <w:szCs w:val="20"/>
              </w:rPr>
              <w:t xml:space="preserve"> </w:t>
            </w:r>
            <w:r>
              <w:rPr>
                <w:spacing w:val="6"/>
                <w:sz w:val="20"/>
                <w:szCs w:val="20"/>
              </w:rPr>
              <w:t>不属于重点区域，不涉及有色</w:t>
            </w:r>
            <w:r>
              <w:rPr>
                <w:spacing w:val="4"/>
                <w:sz w:val="20"/>
                <w:szCs w:val="20"/>
              </w:rPr>
              <w:t xml:space="preserve"> </w:t>
            </w:r>
            <w:r>
              <w:rPr>
                <w:spacing w:val="6"/>
                <w:sz w:val="20"/>
                <w:szCs w:val="20"/>
              </w:rPr>
              <w:t>金属冶炼废渣、含汞废物等无</w:t>
            </w:r>
            <w:r>
              <w:rPr>
                <w:spacing w:val="4"/>
                <w:sz w:val="20"/>
                <w:szCs w:val="20"/>
              </w:rPr>
              <w:t xml:space="preserve"> </w:t>
            </w:r>
            <w:r>
              <w:rPr>
                <w:spacing w:val="6"/>
                <w:sz w:val="20"/>
                <w:szCs w:val="20"/>
              </w:rPr>
              <w:t>害化利用和处置工程建设。项</w:t>
            </w:r>
            <w:r>
              <w:rPr>
                <w:spacing w:val="7"/>
                <w:sz w:val="20"/>
                <w:szCs w:val="20"/>
              </w:rPr>
              <w:t xml:space="preserve"> </w:t>
            </w:r>
            <w:r>
              <w:rPr>
                <w:spacing w:val="23"/>
                <w:sz w:val="20"/>
                <w:szCs w:val="20"/>
              </w:rPr>
              <w:t>目主要从事宝石的泡酸加工</w:t>
            </w:r>
            <w:r>
              <w:rPr>
                <w:spacing w:val="9"/>
                <w:sz w:val="20"/>
                <w:szCs w:val="20"/>
              </w:rPr>
              <w:t xml:space="preserve"> </w:t>
            </w:r>
            <w:r>
              <w:rPr>
                <w:spacing w:val="6"/>
                <w:sz w:val="20"/>
                <w:szCs w:val="20"/>
              </w:rPr>
              <w:t>和注胶加工，不涉及电镀、有</w:t>
            </w:r>
            <w:r>
              <w:rPr>
                <w:spacing w:val="7"/>
                <w:sz w:val="20"/>
                <w:szCs w:val="20"/>
              </w:rPr>
              <w:t xml:space="preserve"> </w:t>
            </w:r>
            <w:r>
              <w:rPr>
                <w:spacing w:val="9"/>
                <w:sz w:val="20"/>
                <w:szCs w:val="20"/>
              </w:rPr>
              <w:t>色金属采选和冶炼等行业</w:t>
            </w:r>
          </w:p>
        </w:tc>
        <w:tc>
          <w:tcPr>
            <w:tcW w:w="908" w:type="dxa"/>
            <w:vAlign w:val="top"/>
          </w:tcPr>
          <w:p w14:paraId="3F7F7D5A">
            <w:pPr>
              <w:spacing w:line="291" w:lineRule="auto"/>
              <w:rPr>
                <w:rFonts w:ascii="Arial"/>
                <w:sz w:val="21"/>
              </w:rPr>
            </w:pPr>
          </w:p>
          <w:p w14:paraId="0BF07D57">
            <w:pPr>
              <w:spacing w:line="292" w:lineRule="auto"/>
              <w:rPr>
                <w:rFonts w:ascii="Arial"/>
                <w:sz w:val="21"/>
              </w:rPr>
            </w:pPr>
          </w:p>
          <w:p w14:paraId="2FB14357">
            <w:pPr>
              <w:spacing w:line="292" w:lineRule="auto"/>
              <w:rPr>
                <w:rFonts w:ascii="Arial"/>
                <w:sz w:val="21"/>
              </w:rPr>
            </w:pPr>
          </w:p>
          <w:p w14:paraId="566662B3">
            <w:pPr>
              <w:pStyle w:val="6"/>
              <w:spacing w:before="65" w:line="228" w:lineRule="auto"/>
              <w:ind w:left="153"/>
              <w:rPr>
                <w:sz w:val="20"/>
                <w:szCs w:val="20"/>
              </w:rPr>
            </w:pPr>
            <w:r>
              <w:rPr>
                <w:spacing w:val="6"/>
                <w:sz w:val="20"/>
                <w:szCs w:val="20"/>
              </w:rPr>
              <w:t>符合要</w:t>
            </w:r>
          </w:p>
          <w:p w14:paraId="26CDF418">
            <w:pPr>
              <w:pStyle w:val="6"/>
              <w:spacing w:before="24" w:line="229" w:lineRule="auto"/>
              <w:ind w:left="362"/>
              <w:rPr>
                <w:sz w:val="20"/>
                <w:szCs w:val="20"/>
              </w:rPr>
            </w:pPr>
            <w:r>
              <w:rPr>
                <w:sz w:val="20"/>
                <w:szCs w:val="20"/>
              </w:rPr>
              <w:t>求</w:t>
            </w:r>
          </w:p>
        </w:tc>
        <w:tc>
          <w:tcPr>
            <w:tcW w:w="155" w:type="dxa"/>
            <w:vMerge w:val="continue"/>
            <w:tcBorders>
              <w:top w:val="nil"/>
              <w:bottom w:val="nil"/>
              <w:right w:val="single" w:color="000000" w:sz="6" w:space="0"/>
            </w:tcBorders>
            <w:vAlign w:val="top"/>
          </w:tcPr>
          <w:p w14:paraId="4D32D5D7">
            <w:pPr>
              <w:rPr>
                <w:rFonts w:ascii="Arial"/>
                <w:sz w:val="21"/>
              </w:rPr>
            </w:pPr>
          </w:p>
        </w:tc>
      </w:tr>
      <w:tr w14:paraId="581AD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6" w:hRule="atLeast"/>
        </w:trPr>
        <w:tc>
          <w:tcPr>
            <w:tcW w:w="469" w:type="dxa"/>
            <w:vMerge w:val="continue"/>
            <w:tcBorders>
              <w:top w:val="nil"/>
              <w:left w:val="single" w:color="000000" w:sz="6" w:space="0"/>
              <w:bottom w:val="nil"/>
            </w:tcBorders>
            <w:vAlign w:val="top"/>
          </w:tcPr>
          <w:p w14:paraId="43660BD4">
            <w:pPr>
              <w:rPr>
                <w:rFonts w:ascii="Arial"/>
                <w:sz w:val="21"/>
              </w:rPr>
            </w:pPr>
          </w:p>
        </w:tc>
        <w:tc>
          <w:tcPr>
            <w:tcW w:w="146" w:type="dxa"/>
            <w:tcBorders>
              <w:top w:val="nil"/>
              <w:bottom w:val="nil"/>
            </w:tcBorders>
            <w:vAlign w:val="top"/>
          </w:tcPr>
          <w:p w14:paraId="11CFE00F">
            <w:pPr>
              <w:rPr>
                <w:rFonts w:ascii="Arial"/>
                <w:sz w:val="21"/>
              </w:rPr>
            </w:pPr>
          </w:p>
        </w:tc>
        <w:tc>
          <w:tcPr>
            <w:tcW w:w="690" w:type="dxa"/>
            <w:vAlign w:val="top"/>
          </w:tcPr>
          <w:p w14:paraId="5E99261C">
            <w:pPr>
              <w:spacing w:line="246" w:lineRule="auto"/>
              <w:rPr>
                <w:rFonts w:ascii="Arial"/>
                <w:sz w:val="21"/>
              </w:rPr>
            </w:pPr>
          </w:p>
          <w:p w14:paraId="5A0A2096">
            <w:pPr>
              <w:spacing w:line="246" w:lineRule="auto"/>
              <w:rPr>
                <w:rFonts w:ascii="Arial"/>
                <w:sz w:val="21"/>
              </w:rPr>
            </w:pPr>
          </w:p>
          <w:p w14:paraId="09323534">
            <w:pPr>
              <w:spacing w:line="246" w:lineRule="auto"/>
              <w:rPr>
                <w:rFonts w:ascii="Arial"/>
                <w:sz w:val="21"/>
              </w:rPr>
            </w:pPr>
          </w:p>
          <w:p w14:paraId="26DC4AAD">
            <w:pPr>
              <w:spacing w:line="246" w:lineRule="auto"/>
              <w:rPr>
                <w:rFonts w:ascii="Arial"/>
                <w:sz w:val="21"/>
              </w:rPr>
            </w:pPr>
          </w:p>
          <w:p w14:paraId="022D6FDF">
            <w:pPr>
              <w:spacing w:line="246" w:lineRule="auto"/>
              <w:rPr>
                <w:rFonts w:ascii="Arial"/>
                <w:sz w:val="21"/>
              </w:rPr>
            </w:pPr>
          </w:p>
          <w:p w14:paraId="5161FC2B">
            <w:pPr>
              <w:spacing w:line="246" w:lineRule="auto"/>
              <w:rPr>
                <w:rFonts w:ascii="Arial"/>
                <w:sz w:val="21"/>
              </w:rPr>
            </w:pPr>
          </w:p>
          <w:p w14:paraId="45ED2C3B">
            <w:pPr>
              <w:spacing w:line="246" w:lineRule="auto"/>
              <w:rPr>
                <w:rFonts w:ascii="Arial"/>
                <w:sz w:val="21"/>
              </w:rPr>
            </w:pPr>
          </w:p>
          <w:p w14:paraId="7E8F08B5">
            <w:pPr>
              <w:spacing w:line="246" w:lineRule="auto"/>
              <w:rPr>
                <w:rFonts w:ascii="Arial"/>
                <w:sz w:val="21"/>
              </w:rPr>
            </w:pPr>
          </w:p>
          <w:p w14:paraId="3001349D">
            <w:pPr>
              <w:spacing w:line="246" w:lineRule="auto"/>
              <w:rPr>
                <w:rFonts w:ascii="Arial"/>
                <w:sz w:val="21"/>
              </w:rPr>
            </w:pPr>
          </w:p>
          <w:p w14:paraId="3932F04C">
            <w:pPr>
              <w:spacing w:line="246" w:lineRule="auto"/>
              <w:rPr>
                <w:rFonts w:ascii="Arial"/>
                <w:sz w:val="21"/>
              </w:rPr>
            </w:pPr>
          </w:p>
          <w:p w14:paraId="1367A0E0">
            <w:pPr>
              <w:spacing w:before="5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3599" w:type="dxa"/>
            <w:vAlign w:val="top"/>
          </w:tcPr>
          <w:p w14:paraId="7D130D7C">
            <w:pPr>
              <w:pStyle w:val="6"/>
              <w:spacing w:before="172" w:line="252" w:lineRule="auto"/>
              <w:ind w:left="107" w:right="20" w:firstLine="2"/>
              <w:rPr>
                <w:sz w:val="20"/>
                <w:szCs w:val="20"/>
              </w:rPr>
            </w:pPr>
            <w:r>
              <w:rPr>
                <w:spacing w:val="11"/>
                <w:sz w:val="20"/>
                <w:szCs w:val="20"/>
              </w:rPr>
              <w:t>涉重金属工业园区（基地）应严格建</w:t>
            </w:r>
            <w:r>
              <w:rPr>
                <w:spacing w:val="1"/>
                <w:sz w:val="20"/>
                <w:szCs w:val="20"/>
              </w:rPr>
              <w:t xml:space="preserve">  </w:t>
            </w:r>
            <w:r>
              <w:rPr>
                <w:spacing w:val="11"/>
                <w:sz w:val="20"/>
                <w:szCs w:val="20"/>
              </w:rPr>
              <w:t>设项目环境准入标准，科学评估园区</w:t>
            </w:r>
            <w:r>
              <w:rPr>
                <w:spacing w:val="2"/>
                <w:sz w:val="20"/>
                <w:szCs w:val="20"/>
              </w:rPr>
              <w:t xml:space="preserve">  </w:t>
            </w:r>
            <w:r>
              <w:rPr>
                <w:spacing w:val="3"/>
                <w:sz w:val="20"/>
                <w:szCs w:val="20"/>
              </w:rPr>
              <w:t>（基地）环境风险，提出园区（基地）</w:t>
            </w:r>
            <w:r>
              <w:rPr>
                <w:spacing w:val="14"/>
                <w:sz w:val="20"/>
                <w:szCs w:val="20"/>
              </w:rPr>
              <w:t xml:space="preserve"> </w:t>
            </w:r>
            <w:r>
              <w:rPr>
                <w:spacing w:val="11"/>
                <w:sz w:val="20"/>
                <w:szCs w:val="20"/>
              </w:rPr>
              <w:t>风险防范工程措施，推进园区化集中</w:t>
            </w:r>
            <w:r>
              <w:rPr>
                <w:spacing w:val="2"/>
                <w:sz w:val="20"/>
                <w:szCs w:val="20"/>
              </w:rPr>
              <w:t xml:space="preserve">  </w:t>
            </w:r>
            <w:r>
              <w:rPr>
                <w:spacing w:val="3"/>
                <w:sz w:val="20"/>
                <w:szCs w:val="20"/>
              </w:rPr>
              <w:t>建设、集中管理，实现产业集聚发展。</w:t>
            </w:r>
            <w:r>
              <w:rPr>
                <w:spacing w:val="14"/>
                <w:sz w:val="20"/>
                <w:szCs w:val="20"/>
              </w:rPr>
              <w:t xml:space="preserve"> </w:t>
            </w:r>
            <w:r>
              <w:rPr>
                <w:spacing w:val="11"/>
                <w:sz w:val="20"/>
                <w:szCs w:val="20"/>
              </w:rPr>
              <w:t>加快推进中德金属生态城等涉重金属</w:t>
            </w:r>
            <w:r>
              <w:rPr>
                <w:spacing w:val="2"/>
                <w:sz w:val="20"/>
                <w:szCs w:val="20"/>
              </w:rPr>
              <w:t xml:space="preserve">  </w:t>
            </w:r>
            <w:r>
              <w:rPr>
                <w:spacing w:val="12"/>
                <w:sz w:val="20"/>
                <w:szCs w:val="20"/>
              </w:rPr>
              <w:t>工业园区建设，建设污水处理设施、</w:t>
            </w:r>
            <w:r>
              <w:rPr>
                <w:spacing w:val="2"/>
                <w:sz w:val="20"/>
                <w:szCs w:val="20"/>
              </w:rPr>
              <w:t xml:space="preserve"> </w:t>
            </w:r>
            <w:r>
              <w:rPr>
                <w:spacing w:val="11"/>
                <w:sz w:val="20"/>
                <w:szCs w:val="20"/>
              </w:rPr>
              <w:t>固体废物收集处理系统及雨污分流系</w:t>
            </w:r>
            <w:r>
              <w:rPr>
                <w:spacing w:val="2"/>
                <w:sz w:val="20"/>
                <w:szCs w:val="20"/>
              </w:rPr>
              <w:t xml:space="preserve">  </w:t>
            </w:r>
            <w:r>
              <w:rPr>
                <w:spacing w:val="11"/>
                <w:sz w:val="20"/>
                <w:szCs w:val="20"/>
              </w:rPr>
              <w:t>统等环保基础设施，确保污染治理设</w:t>
            </w:r>
            <w:r>
              <w:rPr>
                <w:spacing w:val="2"/>
                <w:sz w:val="20"/>
                <w:szCs w:val="20"/>
              </w:rPr>
              <w:t xml:space="preserve">  </w:t>
            </w:r>
            <w:r>
              <w:rPr>
                <w:spacing w:val="8"/>
                <w:sz w:val="20"/>
                <w:szCs w:val="20"/>
              </w:rPr>
              <w:t>施与园区（基地）</w:t>
            </w:r>
            <w:r>
              <w:rPr>
                <w:spacing w:val="-48"/>
                <w:sz w:val="20"/>
                <w:szCs w:val="20"/>
              </w:rPr>
              <w:t xml:space="preserve"> </w:t>
            </w:r>
            <w:r>
              <w:rPr>
                <w:spacing w:val="8"/>
                <w:sz w:val="20"/>
                <w:szCs w:val="20"/>
              </w:rPr>
              <w:t>同步规划、同步建</w:t>
            </w:r>
            <w:r>
              <w:rPr>
                <w:sz w:val="20"/>
                <w:szCs w:val="20"/>
              </w:rPr>
              <w:t xml:space="preserve">  </w:t>
            </w:r>
            <w:r>
              <w:rPr>
                <w:spacing w:val="11"/>
                <w:sz w:val="20"/>
                <w:szCs w:val="20"/>
              </w:rPr>
              <w:t>设、同步投入使用。对建成的涉重金</w:t>
            </w:r>
            <w:r>
              <w:rPr>
                <w:spacing w:val="2"/>
                <w:sz w:val="20"/>
                <w:szCs w:val="20"/>
              </w:rPr>
              <w:t xml:space="preserve">  </w:t>
            </w:r>
            <w:r>
              <w:rPr>
                <w:spacing w:val="10"/>
                <w:sz w:val="20"/>
                <w:szCs w:val="20"/>
              </w:rPr>
              <w:t>属工业园区（基地</w:t>
            </w:r>
            <w:r>
              <w:rPr>
                <w:spacing w:val="-1"/>
                <w:sz w:val="20"/>
                <w:szCs w:val="20"/>
              </w:rPr>
              <w:t>）</w:t>
            </w:r>
            <w:r>
              <w:rPr>
                <w:spacing w:val="-58"/>
                <w:sz w:val="20"/>
                <w:szCs w:val="20"/>
              </w:rPr>
              <w:t xml:space="preserve"> </w:t>
            </w:r>
            <w:r>
              <w:rPr>
                <w:spacing w:val="-1"/>
                <w:sz w:val="20"/>
                <w:szCs w:val="20"/>
              </w:rPr>
              <w:t>，</w:t>
            </w:r>
            <w:r>
              <w:rPr>
                <w:spacing w:val="10"/>
                <w:sz w:val="20"/>
                <w:szCs w:val="20"/>
              </w:rPr>
              <w:t>环保基础设施</w:t>
            </w:r>
            <w:r>
              <w:rPr>
                <w:sz w:val="20"/>
                <w:szCs w:val="20"/>
              </w:rPr>
              <w:t xml:space="preserve">  </w:t>
            </w:r>
            <w:r>
              <w:rPr>
                <w:spacing w:val="25"/>
                <w:sz w:val="20"/>
                <w:szCs w:val="20"/>
              </w:rPr>
              <w:t>不完善或治理设施长期运行不正常</w:t>
            </w:r>
            <w:r>
              <w:rPr>
                <w:spacing w:val="2"/>
                <w:sz w:val="20"/>
                <w:szCs w:val="20"/>
              </w:rPr>
              <w:t xml:space="preserve">  </w:t>
            </w:r>
            <w:r>
              <w:rPr>
                <w:spacing w:val="8"/>
                <w:sz w:val="20"/>
                <w:szCs w:val="20"/>
              </w:rPr>
              <w:t>的，暂停审批园区（基地）</w:t>
            </w:r>
            <w:r>
              <w:rPr>
                <w:spacing w:val="-48"/>
                <w:sz w:val="20"/>
                <w:szCs w:val="20"/>
              </w:rPr>
              <w:t xml:space="preserve"> </w:t>
            </w:r>
            <w:r>
              <w:rPr>
                <w:spacing w:val="8"/>
                <w:sz w:val="20"/>
                <w:szCs w:val="20"/>
              </w:rPr>
              <w:t>内生产建</w:t>
            </w:r>
            <w:r>
              <w:rPr>
                <w:sz w:val="20"/>
                <w:szCs w:val="20"/>
              </w:rPr>
              <w:t xml:space="preserve">  </w:t>
            </w:r>
            <w:r>
              <w:rPr>
                <w:spacing w:val="11"/>
                <w:sz w:val="20"/>
                <w:szCs w:val="20"/>
              </w:rPr>
              <w:t>设项目。加强园区（基地）风险防控</w:t>
            </w:r>
            <w:r>
              <w:rPr>
                <w:spacing w:val="2"/>
                <w:sz w:val="20"/>
                <w:szCs w:val="20"/>
              </w:rPr>
              <w:t xml:space="preserve">  </w:t>
            </w:r>
            <w:r>
              <w:rPr>
                <w:spacing w:val="3"/>
                <w:sz w:val="20"/>
                <w:szCs w:val="20"/>
              </w:rPr>
              <w:t>及应急设施建设，完善事故应急体系，</w:t>
            </w:r>
            <w:r>
              <w:rPr>
                <w:spacing w:val="14"/>
                <w:sz w:val="20"/>
                <w:szCs w:val="20"/>
              </w:rPr>
              <w:t xml:space="preserve"> </w:t>
            </w:r>
            <w:r>
              <w:rPr>
                <w:spacing w:val="11"/>
                <w:sz w:val="20"/>
                <w:szCs w:val="20"/>
              </w:rPr>
              <w:t>全面提升园区（基地）风险防控和事</w:t>
            </w:r>
            <w:r>
              <w:rPr>
                <w:spacing w:val="2"/>
                <w:sz w:val="20"/>
                <w:szCs w:val="20"/>
              </w:rPr>
              <w:t xml:space="preserve">  </w:t>
            </w:r>
            <w:r>
              <w:rPr>
                <w:spacing w:val="7"/>
                <w:sz w:val="20"/>
                <w:szCs w:val="20"/>
              </w:rPr>
              <w:t>故应急处置能力。</w:t>
            </w:r>
          </w:p>
        </w:tc>
        <w:tc>
          <w:tcPr>
            <w:tcW w:w="2907" w:type="dxa"/>
            <w:vAlign w:val="top"/>
          </w:tcPr>
          <w:p w14:paraId="47776211">
            <w:pPr>
              <w:spacing w:line="268" w:lineRule="auto"/>
              <w:rPr>
                <w:rFonts w:ascii="Arial"/>
                <w:sz w:val="21"/>
              </w:rPr>
            </w:pPr>
          </w:p>
          <w:p w14:paraId="2ACB9EA3">
            <w:pPr>
              <w:spacing w:line="268" w:lineRule="auto"/>
              <w:rPr>
                <w:rFonts w:ascii="Arial"/>
                <w:sz w:val="21"/>
              </w:rPr>
            </w:pPr>
          </w:p>
          <w:p w14:paraId="46ADC97D">
            <w:pPr>
              <w:spacing w:line="268" w:lineRule="auto"/>
              <w:rPr>
                <w:rFonts w:ascii="Arial"/>
                <w:sz w:val="21"/>
              </w:rPr>
            </w:pPr>
          </w:p>
          <w:p w14:paraId="0C2957FA">
            <w:pPr>
              <w:spacing w:line="268" w:lineRule="auto"/>
              <w:rPr>
                <w:rFonts w:ascii="Arial"/>
                <w:sz w:val="21"/>
              </w:rPr>
            </w:pPr>
          </w:p>
          <w:p w14:paraId="6D9F12F5">
            <w:pPr>
              <w:spacing w:line="268" w:lineRule="auto"/>
              <w:rPr>
                <w:rFonts w:ascii="Arial"/>
                <w:sz w:val="21"/>
              </w:rPr>
            </w:pPr>
          </w:p>
          <w:p w14:paraId="238B725D">
            <w:pPr>
              <w:spacing w:line="268" w:lineRule="auto"/>
              <w:rPr>
                <w:rFonts w:ascii="Arial"/>
                <w:sz w:val="21"/>
              </w:rPr>
            </w:pPr>
          </w:p>
          <w:p w14:paraId="002D5B48">
            <w:pPr>
              <w:spacing w:line="268" w:lineRule="auto"/>
              <w:rPr>
                <w:rFonts w:ascii="Arial"/>
                <w:sz w:val="21"/>
              </w:rPr>
            </w:pPr>
          </w:p>
          <w:p w14:paraId="3601B486">
            <w:pPr>
              <w:spacing w:line="269" w:lineRule="auto"/>
              <w:rPr>
                <w:rFonts w:ascii="Arial"/>
                <w:sz w:val="21"/>
              </w:rPr>
            </w:pPr>
          </w:p>
          <w:p w14:paraId="3614A77C">
            <w:pPr>
              <w:pStyle w:val="6"/>
              <w:spacing w:before="65" w:line="253" w:lineRule="auto"/>
              <w:ind w:left="167" w:right="156"/>
              <w:jc w:val="both"/>
              <w:rPr>
                <w:sz w:val="20"/>
                <w:szCs w:val="20"/>
              </w:rPr>
            </w:pPr>
            <w:r>
              <w:rPr>
                <w:spacing w:val="14"/>
                <w:sz w:val="20"/>
                <w:szCs w:val="20"/>
              </w:rPr>
              <w:t>本项目位于海丰县可塘镇圆</w:t>
            </w:r>
            <w:r>
              <w:rPr>
                <w:spacing w:val="9"/>
                <w:sz w:val="20"/>
                <w:szCs w:val="20"/>
              </w:rPr>
              <w:t xml:space="preserve"> </w:t>
            </w:r>
            <w:r>
              <w:rPr>
                <w:spacing w:val="14"/>
                <w:sz w:val="20"/>
                <w:szCs w:val="20"/>
              </w:rPr>
              <w:t>山岭开发区，不属于涉重金</w:t>
            </w:r>
            <w:r>
              <w:rPr>
                <w:spacing w:val="8"/>
                <w:sz w:val="20"/>
                <w:szCs w:val="20"/>
              </w:rPr>
              <w:t xml:space="preserve"> </w:t>
            </w:r>
            <w:r>
              <w:rPr>
                <w:spacing w:val="6"/>
                <w:sz w:val="20"/>
                <w:szCs w:val="20"/>
              </w:rPr>
              <w:t>属工业园区（基地）。</w:t>
            </w:r>
          </w:p>
        </w:tc>
        <w:tc>
          <w:tcPr>
            <w:tcW w:w="908" w:type="dxa"/>
            <w:vAlign w:val="top"/>
          </w:tcPr>
          <w:p w14:paraId="08E73EF6">
            <w:pPr>
              <w:spacing w:line="253" w:lineRule="auto"/>
              <w:rPr>
                <w:rFonts w:ascii="Arial"/>
                <w:sz w:val="21"/>
              </w:rPr>
            </w:pPr>
          </w:p>
          <w:p w14:paraId="459ABBE1">
            <w:pPr>
              <w:spacing w:line="253" w:lineRule="auto"/>
              <w:rPr>
                <w:rFonts w:ascii="Arial"/>
                <w:sz w:val="21"/>
              </w:rPr>
            </w:pPr>
          </w:p>
          <w:p w14:paraId="13E0D6EE">
            <w:pPr>
              <w:spacing w:line="253" w:lineRule="auto"/>
              <w:rPr>
                <w:rFonts w:ascii="Arial"/>
                <w:sz w:val="21"/>
              </w:rPr>
            </w:pPr>
          </w:p>
          <w:p w14:paraId="698E1D8D">
            <w:pPr>
              <w:spacing w:line="253" w:lineRule="auto"/>
              <w:rPr>
                <w:rFonts w:ascii="Arial"/>
                <w:sz w:val="21"/>
              </w:rPr>
            </w:pPr>
          </w:p>
          <w:p w14:paraId="2C6A8737">
            <w:pPr>
              <w:spacing w:line="253" w:lineRule="auto"/>
              <w:rPr>
                <w:rFonts w:ascii="Arial"/>
                <w:sz w:val="21"/>
              </w:rPr>
            </w:pPr>
          </w:p>
          <w:p w14:paraId="774F3291">
            <w:pPr>
              <w:spacing w:line="254" w:lineRule="auto"/>
              <w:rPr>
                <w:rFonts w:ascii="Arial"/>
                <w:sz w:val="21"/>
              </w:rPr>
            </w:pPr>
          </w:p>
          <w:p w14:paraId="0736C864">
            <w:pPr>
              <w:spacing w:line="254" w:lineRule="auto"/>
              <w:rPr>
                <w:rFonts w:ascii="Arial"/>
                <w:sz w:val="21"/>
              </w:rPr>
            </w:pPr>
          </w:p>
          <w:p w14:paraId="2E24823E">
            <w:pPr>
              <w:spacing w:line="254" w:lineRule="auto"/>
              <w:rPr>
                <w:rFonts w:ascii="Arial"/>
                <w:sz w:val="21"/>
              </w:rPr>
            </w:pPr>
          </w:p>
          <w:p w14:paraId="61ED60C7">
            <w:pPr>
              <w:spacing w:line="254" w:lineRule="auto"/>
              <w:rPr>
                <w:rFonts w:ascii="Arial"/>
                <w:sz w:val="21"/>
              </w:rPr>
            </w:pPr>
          </w:p>
          <w:p w14:paraId="06C30815">
            <w:pPr>
              <w:pStyle w:val="6"/>
              <w:spacing w:before="65" w:line="228" w:lineRule="auto"/>
              <w:ind w:left="153"/>
              <w:rPr>
                <w:sz w:val="20"/>
                <w:szCs w:val="20"/>
              </w:rPr>
            </w:pPr>
            <w:r>
              <w:rPr>
                <w:spacing w:val="6"/>
                <w:sz w:val="20"/>
                <w:szCs w:val="20"/>
              </w:rPr>
              <w:t>符合要</w:t>
            </w:r>
          </w:p>
          <w:p w14:paraId="54958AA2">
            <w:pPr>
              <w:pStyle w:val="6"/>
              <w:spacing w:before="27" w:line="229" w:lineRule="auto"/>
              <w:ind w:left="362"/>
              <w:rPr>
                <w:sz w:val="20"/>
                <w:szCs w:val="20"/>
              </w:rPr>
            </w:pPr>
            <w:r>
              <w:rPr>
                <w:sz w:val="20"/>
                <w:szCs w:val="20"/>
              </w:rPr>
              <w:t>求</w:t>
            </w:r>
          </w:p>
        </w:tc>
        <w:tc>
          <w:tcPr>
            <w:tcW w:w="155" w:type="dxa"/>
            <w:vMerge w:val="continue"/>
            <w:tcBorders>
              <w:top w:val="nil"/>
              <w:bottom w:val="nil"/>
              <w:right w:val="single" w:color="000000" w:sz="6" w:space="0"/>
            </w:tcBorders>
            <w:vAlign w:val="top"/>
          </w:tcPr>
          <w:p w14:paraId="74CBAA27">
            <w:pPr>
              <w:rPr>
                <w:rFonts w:ascii="Arial"/>
                <w:sz w:val="21"/>
              </w:rPr>
            </w:pPr>
          </w:p>
        </w:tc>
      </w:tr>
      <w:tr w14:paraId="34659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469" w:type="dxa"/>
            <w:vMerge w:val="continue"/>
            <w:tcBorders>
              <w:top w:val="nil"/>
              <w:left w:val="single" w:color="000000" w:sz="6" w:space="0"/>
              <w:bottom w:val="single" w:color="000000" w:sz="6" w:space="0"/>
            </w:tcBorders>
            <w:vAlign w:val="top"/>
          </w:tcPr>
          <w:p w14:paraId="4E43FD63">
            <w:pPr>
              <w:rPr>
                <w:rFonts w:ascii="Arial"/>
                <w:sz w:val="21"/>
              </w:rPr>
            </w:pPr>
          </w:p>
        </w:tc>
        <w:tc>
          <w:tcPr>
            <w:tcW w:w="8405" w:type="dxa"/>
            <w:gridSpan w:val="6"/>
            <w:tcBorders>
              <w:bottom w:val="single" w:color="000000" w:sz="6" w:space="0"/>
              <w:right w:val="single" w:color="000000" w:sz="6" w:space="0"/>
            </w:tcBorders>
            <w:vAlign w:val="top"/>
          </w:tcPr>
          <w:p w14:paraId="59106D32">
            <w:pPr>
              <w:rPr>
                <w:rFonts w:ascii="Arial"/>
                <w:sz w:val="21"/>
              </w:rPr>
            </w:pPr>
          </w:p>
        </w:tc>
      </w:tr>
    </w:tbl>
    <w:p w14:paraId="2A06B2D0">
      <w:pPr>
        <w:rPr>
          <w:rFonts w:ascii="Arial"/>
          <w:sz w:val="21"/>
        </w:rPr>
      </w:pPr>
    </w:p>
    <w:p w14:paraId="015E33EA">
      <w:pPr>
        <w:rPr>
          <w:rFonts w:ascii="Arial" w:hAnsi="Arial" w:eastAsia="Arial" w:cs="Arial"/>
          <w:sz w:val="21"/>
          <w:szCs w:val="21"/>
        </w:rPr>
        <w:sectPr>
          <w:footerReference r:id="rId20" w:type="default"/>
          <w:pgSz w:w="11906" w:h="16839"/>
          <w:pgMar w:top="400" w:right="1508" w:bottom="1240" w:left="1508" w:header="0" w:footer="1078" w:gutter="0"/>
          <w:cols w:space="720" w:num="1"/>
        </w:sectPr>
      </w:pPr>
    </w:p>
    <w:p w14:paraId="1C3EC486">
      <w:pPr>
        <w:spacing w:line="248" w:lineRule="auto"/>
        <w:rPr>
          <w:rFonts w:ascii="Arial"/>
          <w:sz w:val="21"/>
        </w:rPr>
      </w:pPr>
    </w:p>
    <w:p w14:paraId="2CFBBD78">
      <w:pPr>
        <w:spacing w:line="248" w:lineRule="auto"/>
        <w:rPr>
          <w:rFonts w:ascii="Arial"/>
          <w:sz w:val="21"/>
        </w:rPr>
      </w:pPr>
    </w:p>
    <w:p w14:paraId="2CCB094E">
      <w:pPr>
        <w:spacing w:line="248" w:lineRule="auto"/>
        <w:rPr>
          <w:rFonts w:ascii="Arial"/>
          <w:sz w:val="21"/>
        </w:rPr>
      </w:pPr>
    </w:p>
    <w:p w14:paraId="5EE7419E">
      <w:pPr>
        <w:spacing w:line="248" w:lineRule="auto"/>
        <w:rPr>
          <w:rFonts w:ascii="Arial"/>
          <w:sz w:val="21"/>
        </w:rPr>
      </w:pPr>
    </w:p>
    <w:p w14:paraId="50321661">
      <w:pPr>
        <w:spacing w:line="249" w:lineRule="auto"/>
        <w:rPr>
          <w:rFonts w:ascii="Arial"/>
          <w:sz w:val="21"/>
        </w:rPr>
      </w:pPr>
    </w:p>
    <w:p w14:paraId="794734FC">
      <w:pPr>
        <w:spacing w:before="101" w:line="218" w:lineRule="auto"/>
        <w:ind w:left="2919"/>
        <w:outlineLvl w:val="0"/>
        <w:rPr>
          <w:rFonts w:ascii="宋体" w:hAnsi="宋体" w:eastAsia="宋体" w:cs="宋体"/>
          <w:sz w:val="31"/>
          <w:szCs w:val="31"/>
        </w:rPr>
      </w:pPr>
      <w:bookmarkStart w:id="1" w:name="bookmark2"/>
      <w:bookmarkEnd w:id="1"/>
      <w:r>
        <w:rPr>
          <w:rFonts w:ascii="宋体" w:hAnsi="宋体" w:eastAsia="宋体" w:cs="宋体"/>
          <w:spacing w:val="8"/>
          <w:sz w:val="31"/>
          <w:szCs w:val="31"/>
        </w:rPr>
        <w:t>二、建设项目工程分析</w:t>
      </w: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6C728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53" w:hRule="atLeast"/>
        </w:trPr>
        <w:tc>
          <w:tcPr>
            <w:tcW w:w="778" w:type="dxa"/>
            <w:tcBorders>
              <w:right w:val="single" w:color="000000" w:sz="2" w:space="0"/>
            </w:tcBorders>
            <w:vAlign w:val="top"/>
          </w:tcPr>
          <w:p w14:paraId="2883CF95">
            <w:pPr>
              <w:spacing w:line="241" w:lineRule="auto"/>
              <w:rPr>
                <w:rFonts w:ascii="Arial"/>
                <w:sz w:val="21"/>
              </w:rPr>
            </w:pPr>
          </w:p>
          <w:p w14:paraId="5552D479">
            <w:pPr>
              <w:spacing w:line="241" w:lineRule="auto"/>
              <w:rPr>
                <w:rFonts w:ascii="Arial"/>
                <w:sz w:val="21"/>
              </w:rPr>
            </w:pPr>
          </w:p>
          <w:p w14:paraId="661CC180">
            <w:pPr>
              <w:spacing w:line="241" w:lineRule="auto"/>
              <w:rPr>
                <w:rFonts w:ascii="Arial"/>
                <w:sz w:val="21"/>
              </w:rPr>
            </w:pPr>
          </w:p>
          <w:p w14:paraId="1A4880FC">
            <w:pPr>
              <w:spacing w:line="241" w:lineRule="auto"/>
              <w:rPr>
                <w:rFonts w:ascii="Arial"/>
                <w:sz w:val="21"/>
              </w:rPr>
            </w:pPr>
          </w:p>
          <w:p w14:paraId="2C07F284">
            <w:pPr>
              <w:spacing w:line="241" w:lineRule="auto"/>
              <w:rPr>
                <w:rFonts w:ascii="Arial"/>
                <w:sz w:val="21"/>
              </w:rPr>
            </w:pPr>
          </w:p>
          <w:p w14:paraId="76F773EB">
            <w:pPr>
              <w:spacing w:line="241" w:lineRule="auto"/>
              <w:rPr>
                <w:rFonts w:ascii="Arial"/>
                <w:sz w:val="21"/>
              </w:rPr>
            </w:pPr>
          </w:p>
          <w:p w14:paraId="68B6264A">
            <w:pPr>
              <w:spacing w:line="241" w:lineRule="auto"/>
              <w:rPr>
                <w:rFonts w:ascii="Arial"/>
                <w:sz w:val="21"/>
              </w:rPr>
            </w:pPr>
          </w:p>
          <w:p w14:paraId="66B678B9">
            <w:pPr>
              <w:spacing w:line="241" w:lineRule="auto"/>
              <w:rPr>
                <w:rFonts w:ascii="Arial"/>
                <w:sz w:val="21"/>
              </w:rPr>
            </w:pPr>
          </w:p>
          <w:p w14:paraId="7EEFC51E">
            <w:pPr>
              <w:spacing w:line="241" w:lineRule="auto"/>
              <w:rPr>
                <w:rFonts w:ascii="Arial"/>
                <w:sz w:val="21"/>
              </w:rPr>
            </w:pPr>
          </w:p>
          <w:p w14:paraId="05892315">
            <w:pPr>
              <w:spacing w:line="241" w:lineRule="auto"/>
              <w:rPr>
                <w:rFonts w:ascii="Arial"/>
                <w:sz w:val="21"/>
              </w:rPr>
            </w:pPr>
          </w:p>
          <w:p w14:paraId="147A03A5">
            <w:pPr>
              <w:spacing w:line="241" w:lineRule="auto"/>
              <w:rPr>
                <w:rFonts w:ascii="Arial"/>
                <w:sz w:val="21"/>
              </w:rPr>
            </w:pPr>
          </w:p>
          <w:p w14:paraId="57D04FF3">
            <w:pPr>
              <w:spacing w:line="241" w:lineRule="auto"/>
              <w:rPr>
                <w:rFonts w:ascii="Arial"/>
                <w:sz w:val="21"/>
              </w:rPr>
            </w:pPr>
          </w:p>
          <w:p w14:paraId="5CF5E02C">
            <w:pPr>
              <w:spacing w:line="241" w:lineRule="auto"/>
              <w:rPr>
                <w:rFonts w:ascii="Arial"/>
                <w:sz w:val="21"/>
              </w:rPr>
            </w:pPr>
          </w:p>
          <w:p w14:paraId="352E5B8D">
            <w:pPr>
              <w:spacing w:line="242" w:lineRule="auto"/>
              <w:rPr>
                <w:rFonts w:ascii="Arial"/>
                <w:sz w:val="21"/>
              </w:rPr>
            </w:pPr>
          </w:p>
          <w:p w14:paraId="19747A43">
            <w:pPr>
              <w:spacing w:line="242" w:lineRule="auto"/>
              <w:rPr>
                <w:rFonts w:ascii="Arial"/>
                <w:sz w:val="21"/>
              </w:rPr>
            </w:pPr>
          </w:p>
          <w:p w14:paraId="660A18C3">
            <w:pPr>
              <w:spacing w:line="242" w:lineRule="auto"/>
              <w:rPr>
                <w:rFonts w:ascii="Arial"/>
                <w:sz w:val="21"/>
              </w:rPr>
            </w:pPr>
          </w:p>
          <w:p w14:paraId="13BF436A">
            <w:pPr>
              <w:spacing w:line="242" w:lineRule="auto"/>
              <w:rPr>
                <w:rFonts w:ascii="Arial"/>
                <w:sz w:val="21"/>
              </w:rPr>
            </w:pPr>
          </w:p>
          <w:p w14:paraId="4B1E1006">
            <w:pPr>
              <w:spacing w:line="242" w:lineRule="auto"/>
              <w:rPr>
                <w:rFonts w:ascii="Arial"/>
                <w:sz w:val="21"/>
              </w:rPr>
            </w:pPr>
          </w:p>
          <w:p w14:paraId="0AA719B8">
            <w:pPr>
              <w:spacing w:line="242" w:lineRule="auto"/>
              <w:rPr>
                <w:rFonts w:ascii="Arial"/>
                <w:sz w:val="21"/>
              </w:rPr>
            </w:pPr>
          </w:p>
          <w:p w14:paraId="46A9D9A4">
            <w:pPr>
              <w:spacing w:line="242" w:lineRule="auto"/>
              <w:rPr>
                <w:rFonts w:ascii="Arial"/>
                <w:sz w:val="21"/>
              </w:rPr>
            </w:pPr>
          </w:p>
          <w:p w14:paraId="32B5C7FE">
            <w:pPr>
              <w:spacing w:line="242" w:lineRule="auto"/>
              <w:rPr>
                <w:rFonts w:ascii="Arial"/>
                <w:sz w:val="21"/>
              </w:rPr>
            </w:pPr>
          </w:p>
          <w:p w14:paraId="02FD82E9">
            <w:pPr>
              <w:spacing w:line="242" w:lineRule="auto"/>
              <w:rPr>
                <w:rFonts w:ascii="Arial"/>
                <w:sz w:val="21"/>
              </w:rPr>
            </w:pPr>
          </w:p>
          <w:p w14:paraId="0B292BE8">
            <w:pPr>
              <w:spacing w:line="242" w:lineRule="auto"/>
              <w:rPr>
                <w:rFonts w:ascii="Arial"/>
                <w:sz w:val="21"/>
              </w:rPr>
            </w:pPr>
          </w:p>
          <w:p w14:paraId="11DEF3F7">
            <w:pPr>
              <w:spacing w:line="242" w:lineRule="auto"/>
              <w:rPr>
                <w:rFonts w:ascii="Arial"/>
                <w:sz w:val="21"/>
              </w:rPr>
            </w:pPr>
          </w:p>
          <w:p w14:paraId="2BDE3F81">
            <w:pPr>
              <w:spacing w:line="242" w:lineRule="auto"/>
              <w:rPr>
                <w:rFonts w:ascii="Arial"/>
                <w:sz w:val="21"/>
              </w:rPr>
            </w:pPr>
          </w:p>
          <w:p w14:paraId="7EF72037">
            <w:pPr>
              <w:pStyle w:val="6"/>
              <w:spacing w:before="78" w:line="221" w:lineRule="auto"/>
              <w:ind w:left="151"/>
            </w:pPr>
            <w:r>
              <w:rPr>
                <w:spacing w:val="-7"/>
              </w:rPr>
              <w:t>建设</w:t>
            </w:r>
          </w:p>
          <w:p w14:paraId="69003551">
            <w:pPr>
              <w:pStyle w:val="6"/>
              <w:spacing w:before="23" w:line="219" w:lineRule="auto"/>
              <w:ind w:left="177"/>
            </w:pPr>
            <w:r>
              <w:rPr>
                <w:spacing w:val="-20"/>
              </w:rPr>
              <w:t>内容</w:t>
            </w:r>
          </w:p>
        </w:tc>
        <w:tc>
          <w:tcPr>
            <w:tcW w:w="8210" w:type="dxa"/>
            <w:tcBorders>
              <w:left w:val="single" w:color="000000" w:sz="2" w:space="0"/>
            </w:tcBorders>
            <w:vAlign w:val="top"/>
          </w:tcPr>
          <w:p w14:paraId="50FD869A">
            <w:pPr>
              <w:pStyle w:val="6"/>
              <w:spacing w:before="280" w:line="219" w:lineRule="auto"/>
              <w:ind w:left="608"/>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、项目背景</w:t>
            </w:r>
          </w:p>
          <w:p w14:paraId="4F450CF0">
            <w:pPr>
              <w:pStyle w:val="6"/>
              <w:spacing w:before="183" w:line="359" w:lineRule="auto"/>
              <w:ind w:left="108" w:right="102" w:firstLine="482"/>
            </w:pPr>
            <w:r>
              <w:rPr>
                <w:spacing w:val="2"/>
              </w:rPr>
              <w:t>可塘镇宝石工厂（场）有几千家，多为小微企业或家庭式作坊，大多数 的宝石小微企业利用自家房屋作为加工场所，分散镇区各个区域，道路窄，</w:t>
            </w:r>
            <w:r>
              <w:rPr>
                <w:spacing w:val="1"/>
              </w:rPr>
              <w:t xml:space="preserve"> </w:t>
            </w:r>
            <w:r>
              <w:rPr>
                <w:spacing w:val="2"/>
              </w:rPr>
              <w:t>场地小、规模小，难以配套废水、废气等污染防治设施，废水、废气未经处</w:t>
            </w:r>
            <w:r>
              <w:rPr>
                <w:spacing w:val="1"/>
              </w:rPr>
              <w:t xml:space="preserve"> </w:t>
            </w:r>
            <w:r>
              <w:rPr>
                <w:spacing w:val="-1"/>
              </w:rPr>
              <w:t>理直排，对可塘镇区域和东溪河生态环境影响很大。</w:t>
            </w:r>
          </w:p>
          <w:p w14:paraId="7EA73694">
            <w:pPr>
              <w:pStyle w:val="6"/>
              <w:spacing w:before="1" w:line="359" w:lineRule="auto"/>
              <w:ind w:left="111" w:right="102" w:firstLine="480"/>
              <w:jc w:val="both"/>
            </w:pPr>
            <w:r>
              <w:rPr>
                <w:spacing w:val="2"/>
              </w:rPr>
              <w:t>建设共性工厂，将宝石加工中对环境影响较大的污染工序集中，做到废</w:t>
            </w:r>
            <w:r>
              <w:rPr>
                <w:spacing w:val="1"/>
              </w:rPr>
              <w:t xml:space="preserve"> </w:t>
            </w:r>
            <w:r>
              <w:rPr>
                <w:spacing w:val="2"/>
              </w:rPr>
              <w:t>水、废气集中收集和处理，达标排放，大大减少污染物进入水体</w:t>
            </w:r>
            <w:r>
              <w:rPr>
                <w:spacing w:val="1"/>
              </w:rPr>
              <w:t>和大气环境</w:t>
            </w:r>
            <w:r>
              <w:t xml:space="preserve"> </w:t>
            </w:r>
            <w:r>
              <w:rPr>
                <w:spacing w:val="2"/>
              </w:rPr>
              <w:t>的总量，有利于改善区域环境质量，达到环境保护与产业发展的目的。</w:t>
            </w:r>
            <w:r>
              <w:rPr>
                <w:spacing w:val="1"/>
              </w:rPr>
              <w:t>原项</w:t>
            </w:r>
            <w:r>
              <w:t xml:space="preserve"> </w:t>
            </w:r>
            <w:r>
              <w:rPr>
                <w:spacing w:val="2"/>
              </w:rPr>
              <w:t>目为宝石泡酸和注胶工序共性工厂项目，也是可塘镇唯一有环评</w:t>
            </w:r>
            <w:r>
              <w:rPr>
                <w:spacing w:val="1"/>
              </w:rPr>
              <w:t>手续且投产</w:t>
            </w:r>
            <w:r>
              <w:t xml:space="preserve"> </w:t>
            </w:r>
            <w:r>
              <w:rPr>
                <w:spacing w:val="2"/>
              </w:rPr>
              <w:t>的泡酸聚集工厂，但规模很小，远远满足不了可塘镇宝石产业泡酸聚集</w:t>
            </w:r>
            <w:r>
              <w:rPr>
                <w:spacing w:val="1"/>
              </w:rPr>
              <w:t>的需</w:t>
            </w:r>
            <w:r>
              <w:t xml:space="preserve"> </w:t>
            </w:r>
            <w:r>
              <w:rPr>
                <w:spacing w:val="2"/>
              </w:rPr>
              <w:t>求。为此，对原项目进行扩建，有利于减少区域未经处理泡酸废水对可</w:t>
            </w:r>
            <w:r>
              <w:rPr>
                <w:spacing w:val="1"/>
              </w:rPr>
              <w:t>塘污</w:t>
            </w:r>
            <w:r>
              <w:t xml:space="preserve"> </w:t>
            </w:r>
            <w:r>
              <w:rPr>
                <w:spacing w:val="-1"/>
              </w:rPr>
              <w:t>水厂和东溪河的不利影响，改善可塘镇区域环境质量和产业的发展。</w:t>
            </w:r>
          </w:p>
          <w:p w14:paraId="6FF083C2">
            <w:pPr>
              <w:pStyle w:val="6"/>
              <w:spacing w:before="5" w:line="358" w:lineRule="auto"/>
              <w:ind w:left="108" w:right="41" w:firstLine="480"/>
              <w:jc w:val="both"/>
            </w:pPr>
            <w:r>
              <w:rPr>
                <w:spacing w:val="10"/>
              </w:rPr>
              <w:t>海丰县金盛宝石首饰有限公司宝石泡酸和注胶工序加工项目（现有工</w:t>
            </w:r>
            <w:r>
              <w:rPr>
                <w:spacing w:val="7"/>
              </w:rPr>
              <w:t xml:space="preserve"> </w:t>
            </w:r>
            <w:r>
              <w:rPr>
                <w:spacing w:val="1"/>
              </w:rPr>
              <w:t>程</w:t>
            </w:r>
            <w:r>
              <w:rPr>
                <w:spacing w:val="18"/>
              </w:rPr>
              <w:t>），</w:t>
            </w:r>
            <w:r>
              <w:rPr>
                <w:spacing w:val="1"/>
              </w:rPr>
              <w:t>主要从事宝石的泡酸加工和注胶加工，稀释剂（乙醇和丙酮）的使用</w:t>
            </w:r>
            <w:r>
              <w:t xml:space="preserve"> </w:t>
            </w:r>
            <w:r>
              <w:rPr>
                <w:spacing w:val="-4"/>
              </w:rPr>
              <w:t>总量约为</w:t>
            </w:r>
            <w:r>
              <w:rPr>
                <w:spacing w:val="-45"/>
              </w:rPr>
              <w:t xml:space="preserve"> </w:t>
            </w:r>
            <w:r>
              <w:rPr>
                <w:rFonts w:ascii="Times New Roman" w:hAnsi="Times New Roman" w:eastAsia="Times New Roman" w:cs="Times New Roman"/>
                <w:spacing w:val="-4"/>
              </w:rPr>
              <w:t>2t/a</w:t>
            </w:r>
            <w:r>
              <w:rPr>
                <w:rFonts w:ascii="Times New Roman" w:hAnsi="Times New Roman" w:eastAsia="Times New Roman" w:cs="Times New Roman"/>
                <w:spacing w:val="-31"/>
              </w:rPr>
              <w:t xml:space="preserve"> </w:t>
            </w:r>
            <w:r>
              <w:rPr>
                <w:spacing w:val="-4"/>
              </w:rPr>
              <w:t>。对照《建设项目环境影响评价分类管理名录（</w:t>
            </w:r>
            <w:r>
              <w:rPr>
                <w:rFonts w:ascii="Times New Roman" w:hAnsi="Times New Roman" w:eastAsia="Times New Roman" w:cs="Times New Roman"/>
                <w:spacing w:val="-4"/>
              </w:rPr>
              <w:t xml:space="preserve">2021 </w:t>
            </w:r>
            <w:r>
              <w:rPr>
                <w:spacing w:val="-4"/>
              </w:rPr>
              <w:t>年版）》，</w:t>
            </w:r>
            <w:r>
              <w:t xml:space="preserve"> 属于工艺美术及礼仪用品制造，年用溶剂型涂料（含稀释剂）</w:t>
            </w:r>
            <w:r>
              <w:rPr>
                <w:rFonts w:ascii="Times New Roman" w:hAnsi="Times New Roman" w:eastAsia="Times New Roman" w:cs="Times New Roman"/>
              </w:rPr>
              <w:t>10</w:t>
            </w:r>
            <w:r>
              <w:rPr>
                <w:rFonts w:ascii="Times New Roman" w:hAnsi="Times New Roman" w:eastAsia="Times New Roman" w:cs="Times New Roman"/>
                <w:spacing w:val="36"/>
              </w:rPr>
              <w:t xml:space="preserve"> </w:t>
            </w:r>
            <w:r>
              <w:t xml:space="preserve">吨以下的， </w:t>
            </w:r>
            <w:r>
              <w:rPr>
                <w:spacing w:val="-1"/>
              </w:rPr>
              <w:t>需要编制环境影响评价报告表。</w:t>
            </w:r>
          </w:p>
          <w:p w14:paraId="2F165736">
            <w:pPr>
              <w:pStyle w:val="6"/>
              <w:spacing w:before="5" w:line="358" w:lineRule="auto"/>
              <w:ind w:left="104" w:right="102" w:firstLine="488"/>
              <w:jc w:val="both"/>
            </w:pPr>
            <w:r>
              <w:rPr>
                <w:spacing w:val="-2"/>
              </w:rPr>
              <w:t>建设单位海丰县金盛宝石首饰有限公司于</w:t>
            </w:r>
            <w:r>
              <w:rPr>
                <w:spacing w:val="-47"/>
              </w:rPr>
              <w:t xml:space="preserve"> </w:t>
            </w:r>
            <w:r>
              <w:rPr>
                <w:rFonts w:ascii="Times New Roman" w:hAnsi="Times New Roman" w:eastAsia="Times New Roman" w:cs="Times New Roman"/>
                <w:spacing w:val="-2"/>
              </w:rPr>
              <w:t xml:space="preserve">2021 </w:t>
            </w:r>
            <w:r>
              <w:rPr>
                <w:spacing w:val="-2"/>
              </w:rPr>
              <w:t>年</w:t>
            </w:r>
            <w:r>
              <w:rPr>
                <w:spacing w:val="-60"/>
              </w:rPr>
              <w:t xml:space="preserve"> </w:t>
            </w:r>
            <w:r>
              <w:rPr>
                <w:rFonts w:ascii="Times New Roman" w:hAnsi="Times New Roman" w:eastAsia="Times New Roman" w:cs="Times New Roman"/>
                <w:spacing w:val="-2"/>
              </w:rPr>
              <w:t xml:space="preserve">3 </w:t>
            </w:r>
            <w:r>
              <w:rPr>
                <w:spacing w:val="-2"/>
              </w:rPr>
              <w:t>月委托广东绿美环境</w:t>
            </w:r>
            <w:r>
              <w:t xml:space="preserve"> </w:t>
            </w:r>
            <w:r>
              <w:rPr>
                <w:spacing w:val="2"/>
              </w:rPr>
              <w:t>科技有限公司编制了《海丰县金盛宝石首饰有限公司宝石泡酸和注胶工序加</w:t>
            </w:r>
            <w:r>
              <w:rPr>
                <w:spacing w:val="5"/>
              </w:rPr>
              <w:t xml:space="preserve"> </w:t>
            </w:r>
            <w:r>
              <w:rPr>
                <w:spacing w:val="-9"/>
              </w:rPr>
              <w:t>工项目环境影响报告表》，并于</w:t>
            </w:r>
            <w:r>
              <w:rPr>
                <w:spacing w:val="-42"/>
              </w:rPr>
              <w:t xml:space="preserve"> </w:t>
            </w:r>
            <w:r>
              <w:rPr>
                <w:rFonts w:ascii="Times New Roman" w:hAnsi="Times New Roman" w:eastAsia="Times New Roman" w:cs="Times New Roman"/>
                <w:spacing w:val="-9"/>
              </w:rPr>
              <w:t xml:space="preserve">2021 </w:t>
            </w:r>
            <w:r>
              <w:rPr>
                <w:spacing w:val="-9"/>
              </w:rPr>
              <w:t>年</w:t>
            </w:r>
            <w:r>
              <w:rPr>
                <w:spacing w:val="-49"/>
              </w:rPr>
              <w:t xml:space="preserve"> </w:t>
            </w:r>
            <w:r>
              <w:rPr>
                <w:rFonts w:ascii="Times New Roman" w:hAnsi="Times New Roman" w:eastAsia="Times New Roman" w:cs="Times New Roman"/>
                <w:spacing w:val="-9"/>
              </w:rPr>
              <w:t>5</w:t>
            </w:r>
            <w:r>
              <w:rPr>
                <w:rFonts w:ascii="Times New Roman" w:hAnsi="Times New Roman" w:eastAsia="Times New Roman" w:cs="Times New Roman"/>
                <w:spacing w:val="15"/>
                <w:w w:val="101"/>
              </w:rPr>
              <w:t xml:space="preserve"> </w:t>
            </w:r>
            <w:r>
              <w:rPr>
                <w:spacing w:val="-9"/>
              </w:rPr>
              <w:t>月取得了汕尾市生态环境局关于《汕</w:t>
            </w:r>
            <w:r>
              <w:t xml:space="preserve"> </w:t>
            </w:r>
            <w:r>
              <w:rPr>
                <w:spacing w:val="-4"/>
              </w:rPr>
              <w:t>尾市建设项目环境影响评价文件告知承诺制审批表》，编号为汕环海丰建告</w:t>
            </w:r>
            <w:r>
              <w:rPr>
                <w:rFonts w:ascii="Times New Roman" w:hAnsi="Times New Roman" w:eastAsia="Times New Roman" w:cs="Times New Roman"/>
                <w:spacing w:val="-4"/>
              </w:rPr>
              <w:t>(2</w:t>
            </w:r>
            <w:r>
              <w:rPr>
                <w:rFonts w:ascii="Times New Roman" w:hAnsi="Times New Roman" w:eastAsia="Times New Roman" w:cs="Times New Roman"/>
                <w:spacing w:val="12"/>
              </w:rPr>
              <w:t xml:space="preserve"> </w:t>
            </w:r>
            <w:r>
              <w:rPr>
                <w:rFonts w:ascii="Times New Roman" w:hAnsi="Times New Roman" w:eastAsia="Times New Roman" w:cs="Times New Roman"/>
              </w:rPr>
              <w:t>021)2</w:t>
            </w:r>
            <w:r>
              <w:rPr>
                <w:rFonts w:ascii="Times New Roman" w:hAnsi="Times New Roman" w:eastAsia="Times New Roman" w:cs="Times New Roman"/>
                <w:spacing w:val="32"/>
              </w:rPr>
              <w:t xml:space="preserve"> </w:t>
            </w:r>
            <w:r>
              <w:t>号（详见附件）。对照《固定污染源排污许可分类管理名录》</w:t>
            </w:r>
            <w:r>
              <w:rPr>
                <w:rFonts w:ascii="Times New Roman" w:hAnsi="Times New Roman" w:eastAsia="Times New Roman" w:cs="Times New Roman"/>
              </w:rPr>
              <w:t xml:space="preserve">(2019 </w:t>
            </w:r>
            <w:r>
              <w:t xml:space="preserve">年 </w:t>
            </w:r>
            <w:r>
              <w:rPr>
                <w:spacing w:val="1"/>
              </w:rPr>
              <w:t>版</w:t>
            </w:r>
            <w:r>
              <w:rPr>
                <w:rFonts w:ascii="Times New Roman" w:hAnsi="Times New Roman" w:eastAsia="Times New Roman" w:cs="Times New Roman"/>
                <w:spacing w:val="1"/>
              </w:rPr>
              <w:t>)</w:t>
            </w:r>
            <w:r>
              <w:rPr>
                <w:spacing w:val="1"/>
              </w:rPr>
              <w:t>的规定，现有工程已经进行了固定污染源排污登记，登记回执编号为</w:t>
            </w:r>
            <w:r>
              <w:rPr>
                <w:spacing w:val="-46"/>
              </w:rPr>
              <w:t xml:space="preserve"> </w:t>
            </w:r>
            <w:r>
              <w:rPr>
                <w:rFonts w:ascii="Times New Roman" w:hAnsi="Times New Roman" w:eastAsia="Times New Roman" w:cs="Times New Roman"/>
                <w:spacing w:val="1"/>
              </w:rPr>
              <w:t>914</w:t>
            </w:r>
            <w:r>
              <w:rPr>
                <w:rFonts w:ascii="Times New Roman" w:hAnsi="Times New Roman" w:eastAsia="Times New Roman" w:cs="Times New Roman"/>
              </w:rPr>
              <w:t xml:space="preserve"> </w:t>
            </w:r>
            <w:r>
              <w:rPr>
                <w:rFonts w:ascii="Times New Roman" w:hAnsi="Times New Roman" w:eastAsia="Times New Roman" w:cs="Times New Roman"/>
                <w:spacing w:val="-2"/>
              </w:rPr>
              <w:t>4152171484634XT001Y</w:t>
            </w:r>
            <w:r>
              <w:rPr>
                <w:spacing w:val="-2"/>
              </w:rPr>
              <w:t>。现有工程已经投产运行，并于</w:t>
            </w:r>
            <w:r>
              <w:rPr>
                <w:spacing w:val="-55"/>
              </w:rPr>
              <w:t xml:space="preserve"> </w:t>
            </w:r>
            <w:r>
              <w:rPr>
                <w:rFonts w:ascii="Times New Roman" w:hAnsi="Times New Roman" w:eastAsia="Times New Roman" w:cs="Times New Roman"/>
                <w:spacing w:val="-2"/>
              </w:rPr>
              <w:t xml:space="preserve">2021 </w:t>
            </w:r>
            <w:r>
              <w:rPr>
                <w:spacing w:val="-2"/>
              </w:rPr>
              <w:t>年</w:t>
            </w:r>
            <w:r>
              <w:rPr>
                <w:spacing w:val="-52"/>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15"/>
                <w:w w:val="101"/>
              </w:rPr>
              <w:t xml:space="preserve"> </w:t>
            </w:r>
            <w:r>
              <w:rPr>
                <w:spacing w:val="-2"/>
              </w:rPr>
              <w:t>月完成了建</w:t>
            </w:r>
            <w:r>
              <w:t xml:space="preserve"> </w:t>
            </w:r>
            <w:r>
              <w:rPr>
                <w:spacing w:val="-1"/>
              </w:rPr>
              <w:t>设项目的竣工环境保护验收。</w:t>
            </w:r>
          </w:p>
          <w:p w14:paraId="5B667B30">
            <w:pPr>
              <w:pStyle w:val="6"/>
              <w:spacing w:before="6" w:line="343" w:lineRule="auto"/>
              <w:ind w:left="109" w:right="41" w:firstLine="481"/>
            </w:pPr>
            <w:r>
              <w:rPr>
                <w:spacing w:val="-4"/>
              </w:rPr>
              <w:t>现因市场的需求，建设单位拟计划在现有工程的基础上对产能进行扩建，</w:t>
            </w:r>
            <w:r>
              <w:rPr>
                <w:spacing w:val="13"/>
              </w:rPr>
              <w:t xml:space="preserve"> </w:t>
            </w:r>
            <w:r>
              <w:rPr>
                <w:spacing w:val="1"/>
              </w:rPr>
              <w:t>扩建完成后稀释剂的使用总量约为</w:t>
            </w:r>
            <w:r>
              <w:rPr>
                <w:spacing w:val="-48"/>
              </w:rPr>
              <w:t xml:space="preserve"> </w:t>
            </w:r>
            <w:r>
              <w:rPr>
                <w:rFonts w:ascii="Times New Roman" w:hAnsi="Times New Roman" w:eastAsia="Times New Roman" w:cs="Times New Roman"/>
                <w:spacing w:val="1"/>
              </w:rPr>
              <w:t>9.72</w:t>
            </w:r>
            <w:r>
              <w:rPr>
                <w:rFonts w:ascii="Times New Roman" w:hAnsi="Times New Roman" w:eastAsia="Times New Roman" w:cs="Times New Roman"/>
              </w:rPr>
              <w:t>t/a</w:t>
            </w:r>
            <w:r>
              <w:rPr>
                <w:rFonts w:ascii="Times New Roman" w:hAnsi="Times New Roman" w:eastAsia="Times New Roman" w:cs="Times New Roman"/>
                <w:spacing w:val="-25"/>
              </w:rPr>
              <w:t xml:space="preserve"> </w:t>
            </w:r>
            <w:r>
              <w:t>。对照《建设项目环境影响评价分</w:t>
            </w:r>
          </w:p>
        </w:tc>
      </w:tr>
    </w:tbl>
    <w:p w14:paraId="7AA8F382">
      <w:pPr>
        <w:rPr>
          <w:rFonts w:ascii="Arial"/>
          <w:sz w:val="21"/>
        </w:rPr>
      </w:pPr>
    </w:p>
    <w:p w14:paraId="44A18285">
      <w:pPr>
        <w:rPr>
          <w:rFonts w:ascii="Arial" w:hAnsi="Arial" w:eastAsia="Arial" w:cs="Arial"/>
          <w:sz w:val="21"/>
          <w:szCs w:val="21"/>
        </w:rPr>
        <w:sectPr>
          <w:footerReference r:id="rId21" w:type="default"/>
          <w:pgSz w:w="11906" w:h="16839"/>
          <w:pgMar w:top="400" w:right="1451" w:bottom="1240" w:left="1451" w:header="0" w:footer="1078" w:gutter="0"/>
          <w:cols w:space="720" w:num="1"/>
        </w:sectPr>
      </w:pPr>
    </w:p>
    <w:p w14:paraId="2E9DF7AA">
      <w:pPr>
        <w:spacing w:before="19"/>
      </w:pPr>
    </w:p>
    <w:p w14:paraId="5F2EDC43">
      <w:pPr>
        <w:spacing w:before="19"/>
      </w:pPr>
    </w:p>
    <w:p w14:paraId="36F33D4D">
      <w:pPr>
        <w:spacing w:before="19"/>
      </w:pPr>
    </w:p>
    <w:p w14:paraId="36A4EE02">
      <w:pPr>
        <w:spacing w:before="18"/>
      </w:pPr>
    </w:p>
    <w:p w14:paraId="72CF88F9">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278"/>
        <w:gridCol w:w="744"/>
        <w:gridCol w:w="1050"/>
        <w:gridCol w:w="746"/>
        <w:gridCol w:w="2714"/>
        <w:gridCol w:w="2391"/>
        <w:gridCol w:w="287"/>
      </w:tblGrid>
      <w:tr w14:paraId="7CD72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6" w:hRule="atLeast"/>
        </w:trPr>
        <w:tc>
          <w:tcPr>
            <w:tcW w:w="778" w:type="dxa"/>
            <w:vMerge w:val="restart"/>
            <w:tcBorders>
              <w:top w:val="single" w:color="000000" w:sz="6" w:space="0"/>
              <w:left w:val="single" w:color="000000" w:sz="6" w:space="0"/>
              <w:bottom w:val="nil"/>
            </w:tcBorders>
            <w:vAlign w:val="top"/>
          </w:tcPr>
          <w:p w14:paraId="3246512E">
            <w:pPr>
              <w:rPr>
                <w:rFonts w:ascii="Arial"/>
                <w:sz w:val="21"/>
              </w:rPr>
            </w:pPr>
          </w:p>
        </w:tc>
        <w:tc>
          <w:tcPr>
            <w:tcW w:w="8210" w:type="dxa"/>
            <w:gridSpan w:val="7"/>
            <w:tcBorders>
              <w:top w:val="single" w:color="000000" w:sz="6" w:space="0"/>
              <w:right w:val="single" w:color="000000" w:sz="6" w:space="0"/>
            </w:tcBorders>
            <w:vAlign w:val="top"/>
          </w:tcPr>
          <w:p w14:paraId="24E8B4CF">
            <w:pPr>
              <w:pStyle w:val="6"/>
              <w:spacing w:before="39" w:line="359" w:lineRule="auto"/>
              <w:ind w:left="109" w:right="102"/>
            </w:pPr>
            <w:r>
              <w:rPr>
                <w:spacing w:val="2"/>
              </w:rPr>
              <w:t>类管理名录（</w:t>
            </w:r>
            <w:r>
              <w:rPr>
                <w:rFonts w:ascii="Times New Roman" w:hAnsi="Times New Roman" w:eastAsia="Times New Roman" w:cs="Times New Roman"/>
                <w:spacing w:val="2"/>
              </w:rPr>
              <w:t>2021</w:t>
            </w:r>
            <w:r>
              <w:rPr>
                <w:spacing w:val="2"/>
              </w:rPr>
              <w:t>年版）》，属于工艺美术及礼仪用品制造，年用</w:t>
            </w:r>
            <w:r>
              <w:rPr>
                <w:spacing w:val="1"/>
              </w:rPr>
              <w:t>溶剂型涂</w:t>
            </w:r>
            <w:r>
              <w:t xml:space="preserve"> </w:t>
            </w:r>
            <w:r>
              <w:rPr>
                <w:spacing w:val="-1"/>
              </w:rPr>
              <w:t>料（含稀释剂）</w:t>
            </w:r>
            <w:r>
              <w:rPr>
                <w:rFonts w:ascii="Times New Roman" w:hAnsi="Times New Roman" w:eastAsia="Times New Roman" w:cs="Times New Roman"/>
                <w:spacing w:val="-1"/>
              </w:rPr>
              <w:t>10</w:t>
            </w:r>
            <w:r>
              <w:rPr>
                <w:rFonts w:ascii="Times New Roman" w:hAnsi="Times New Roman" w:eastAsia="Times New Roman" w:cs="Times New Roman"/>
                <w:spacing w:val="21"/>
                <w:w w:val="101"/>
              </w:rPr>
              <w:t xml:space="preserve"> </w:t>
            </w:r>
            <w:r>
              <w:rPr>
                <w:spacing w:val="-1"/>
              </w:rPr>
              <w:t>吨以下的需要编制环</w:t>
            </w:r>
            <w:r>
              <w:rPr>
                <w:spacing w:val="-2"/>
              </w:rPr>
              <w:t>境影响报告表。</w:t>
            </w:r>
          </w:p>
          <w:p w14:paraId="441FACBB">
            <w:pPr>
              <w:pStyle w:val="6"/>
              <w:spacing w:before="2" w:line="359" w:lineRule="auto"/>
              <w:ind w:left="110" w:right="102" w:firstLine="481"/>
            </w:pPr>
            <w:r>
              <w:rPr>
                <w:spacing w:val="2"/>
              </w:rPr>
              <w:t>为此，受海丰县金盛宝石首饰有限公司委托，广东绿美环境科技有限公</w:t>
            </w:r>
            <w:r>
              <w:rPr>
                <w:spacing w:val="1"/>
              </w:rPr>
              <w:t xml:space="preserve"> </w:t>
            </w:r>
            <w:r>
              <w:rPr>
                <w:spacing w:val="2"/>
              </w:rPr>
              <w:t>司承担该项目的环境影响评价工作。在资料收集、分析、研究和现场踏勘、</w:t>
            </w:r>
            <w:r>
              <w:t xml:space="preserve"> </w:t>
            </w:r>
            <w:r>
              <w:rPr>
                <w:spacing w:val="2"/>
              </w:rPr>
              <w:t>调查的基础上，依据《环境影响评价技术导则》等有关技术规范的要求，编</w:t>
            </w:r>
            <w:r>
              <w:t xml:space="preserve"> </w:t>
            </w:r>
            <w:r>
              <w:rPr>
                <w:spacing w:val="-1"/>
              </w:rPr>
              <w:t>制了本环境影响评价报告表。</w:t>
            </w:r>
          </w:p>
          <w:p w14:paraId="51AF9784">
            <w:pPr>
              <w:pStyle w:val="6"/>
              <w:spacing w:line="219" w:lineRule="auto"/>
              <w:ind w:left="585"/>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、现有工程概况</w:t>
            </w:r>
          </w:p>
          <w:p w14:paraId="78687274">
            <w:pPr>
              <w:pStyle w:val="6"/>
              <w:spacing w:before="178" w:line="360" w:lineRule="auto"/>
              <w:ind w:left="97" w:right="3" w:firstLine="491"/>
            </w:pPr>
            <w:r>
              <w:rPr>
                <w:spacing w:val="-2"/>
              </w:rPr>
              <w:t>海丰县金盛宝石首饰有限公司宝石泡酸和注胶工序</w:t>
            </w:r>
            <w:r>
              <w:rPr>
                <w:spacing w:val="-3"/>
              </w:rPr>
              <w:t>加工项目（现有工程）</w:t>
            </w:r>
            <w:r>
              <w:t xml:space="preserve"> </w:t>
            </w:r>
            <w:r>
              <w:rPr>
                <w:spacing w:val="-5"/>
              </w:rPr>
              <w:t>位于海丰县可塘镇圆山岭开发区，其地理位置中心坐标为：</w:t>
            </w:r>
            <w:r>
              <w:rPr>
                <w:rFonts w:ascii="Times New Roman" w:hAnsi="Times New Roman" w:eastAsia="Times New Roman" w:cs="Times New Roman"/>
                <w:spacing w:val="-5"/>
              </w:rPr>
              <w:t>E115</w:t>
            </w:r>
            <w:r>
              <w:rPr>
                <w:rFonts w:ascii="Times New Roman" w:hAnsi="Times New Roman" w:eastAsia="Times New Roman" w:cs="Times New Roman"/>
                <w:spacing w:val="-20"/>
              </w:rPr>
              <w:t xml:space="preserve"> </w:t>
            </w:r>
            <w:r>
              <w:rPr>
                <w:spacing w:val="-5"/>
              </w:rPr>
              <w:t>°</w:t>
            </w:r>
            <w:r>
              <w:rPr>
                <w:rFonts w:ascii="Times New Roman" w:hAnsi="Times New Roman" w:eastAsia="Times New Roman" w:cs="Times New Roman"/>
                <w:spacing w:val="-5"/>
              </w:rPr>
              <w:t>27'41.912"</w:t>
            </w:r>
            <w:r>
              <w:rPr>
                <w:spacing w:val="-5"/>
              </w:rPr>
              <w:t>、</w:t>
            </w:r>
            <w:r>
              <w:t xml:space="preserve"> </w:t>
            </w:r>
            <w:r>
              <w:rPr>
                <w:rFonts w:ascii="Times New Roman" w:hAnsi="Times New Roman" w:eastAsia="Times New Roman" w:cs="Times New Roman"/>
                <w:spacing w:val="-1"/>
              </w:rPr>
              <w:t>N22</w:t>
            </w:r>
            <w:r>
              <w:rPr>
                <w:rFonts w:ascii="Times New Roman" w:hAnsi="Times New Roman" w:eastAsia="Times New Roman" w:cs="Times New Roman"/>
                <w:spacing w:val="-20"/>
              </w:rPr>
              <w:t xml:space="preserve"> </w:t>
            </w:r>
            <w:r>
              <w:rPr>
                <w:spacing w:val="-1"/>
              </w:rPr>
              <w:t>°</w:t>
            </w:r>
            <w:r>
              <w:rPr>
                <w:rFonts w:ascii="Times New Roman" w:hAnsi="Times New Roman" w:eastAsia="Times New Roman" w:cs="Times New Roman"/>
                <w:spacing w:val="-1"/>
              </w:rPr>
              <w:t>57'42.567"</w:t>
            </w:r>
            <w:r>
              <w:rPr>
                <w:rFonts w:ascii="Times New Roman" w:hAnsi="Times New Roman" w:eastAsia="Times New Roman" w:cs="Times New Roman"/>
                <w:spacing w:val="-22"/>
              </w:rPr>
              <w:t xml:space="preserve"> </w:t>
            </w:r>
            <w:r>
              <w:rPr>
                <w:spacing w:val="-1"/>
              </w:rPr>
              <w:t>。现有工程总占地面积约</w:t>
            </w:r>
            <w:r>
              <w:rPr>
                <w:spacing w:val="-31"/>
              </w:rPr>
              <w:t xml:space="preserve"> </w:t>
            </w:r>
            <w:r>
              <w:rPr>
                <w:rFonts w:ascii="Times New Roman" w:hAnsi="Times New Roman" w:eastAsia="Times New Roman" w:cs="Times New Roman"/>
                <w:spacing w:val="-1"/>
              </w:rPr>
              <w:t xml:space="preserve">12625 </w:t>
            </w:r>
            <w:r>
              <w:rPr>
                <w:spacing w:val="-1"/>
              </w:rPr>
              <w:t>平方米，厂区平面布置详见</w:t>
            </w:r>
            <w:r>
              <w:t xml:space="preserve"> 附图，现有工程概况详见下表：</w:t>
            </w:r>
          </w:p>
          <w:p w14:paraId="4543F59C">
            <w:pPr>
              <w:pStyle w:val="6"/>
              <w:spacing w:before="117" w:line="220" w:lineRule="auto"/>
              <w:ind w:left="2953"/>
            </w:pPr>
            <w:r>
              <w:rPr>
                <w:b/>
                <w:bCs/>
                <w:spacing w:val="-2"/>
              </w:rPr>
              <w:t>表</w:t>
            </w:r>
            <w:r>
              <w:rPr>
                <w:spacing w:val="-55"/>
              </w:rPr>
              <w:t xml:space="preserve"> </w:t>
            </w:r>
            <w:r>
              <w:rPr>
                <w:rFonts w:ascii="Times New Roman" w:hAnsi="Times New Roman" w:eastAsia="Times New Roman" w:cs="Times New Roman"/>
                <w:b/>
                <w:bCs/>
                <w:spacing w:val="-2"/>
              </w:rPr>
              <w:t xml:space="preserve">2-1    </w:t>
            </w:r>
            <w:r>
              <w:rPr>
                <w:b/>
                <w:bCs/>
                <w:spacing w:val="-2"/>
              </w:rPr>
              <w:t>现有工程组成</w:t>
            </w:r>
          </w:p>
        </w:tc>
      </w:tr>
      <w:tr w14:paraId="6CE48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78" w:type="dxa"/>
            <w:vMerge w:val="continue"/>
            <w:tcBorders>
              <w:top w:val="nil"/>
              <w:left w:val="single" w:color="000000" w:sz="6" w:space="0"/>
              <w:bottom w:val="nil"/>
            </w:tcBorders>
            <w:vAlign w:val="top"/>
          </w:tcPr>
          <w:p w14:paraId="64763F3F">
            <w:pPr>
              <w:rPr>
                <w:rFonts w:ascii="Arial"/>
                <w:sz w:val="21"/>
              </w:rPr>
            </w:pPr>
          </w:p>
        </w:tc>
        <w:tc>
          <w:tcPr>
            <w:tcW w:w="278" w:type="dxa"/>
            <w:vMerge w:val="restart"/>
            <w:tcBorders>
              <w:top w:val="nil"/>
              <w:bottom w:val="nil"/>
            </w:tcBorders>
            <w:vAlign w:val="top"/>
          </w:tcPr>
          <w:p w14:paraId="1B3CC115">
            <w:pPr>
              <w:rPr>
                <w:rFonts w:ascii="Arial"/>
                <w:sz w:val="21"/>
              </w:rPr>
            </w:pPr>
          </w:p>
        </w:tc>
        <w:tc>
          <w:tcPr>
            <w:tcW w:w="744" w:type="dxa"/>
            <w:vAlign w:val="top"/>
          </w:tcPr>
          <w:p w14:paraId="5C626056">
            <w:pPr>
              <w:pStyle w:val="6"/>
              <w:spacing w:before="169" w:line="228" w:lineRule="auto"/>
              <w:ind w:left="159"/>
              <w:rPr>
                <w:sz w:val="20"/>
                <w:szCs w:val="20"/>
              </w:rPr>
            </w:pPr>
            <w:r>
              <w:rPr>
                <w:b/>
                <w:bCs/>
                <w:spacing w:val="3"/>
                <w:sz w:val="20"/>
                <w:szCs w:val="20"/>
              </w:rPr>
              <w:t>类别</w:t>
            </w:r>
          </w:p>
        </w:tc>
        <w:tc>
          <w:tcPr>
            <w:tcW w:w="1796" w:type="dxa"/>
            <w:gridSpan w:val="2"/>
            <w:vAlign w:val="top"/>
          </w:tcPr>
          <w:p w14:paraId="266E3EFA">
            <w:pPr>
              <w:pStyle w:val="6"/>
              <w:spacing w:before="170" w:line="228" w:lineRule="auto"/>
              <w:ind w:left="269"/>
              <w:rPr>
                <w:sz w:val="20"/>
                <w:szCs w:val="20"/>
              </w:rPr>
            </w:pPr>
            <w:r>
              <w:rPr>
                <w:b/>
                <w:bCs/>
                <w:spacing w:val="6"/>
                <w:sz w:val="20"/>
                <w:szCs w:val="20"/>
              </w:rPr>
              <w:t>单项工程名称</w:t>
            </w:r>
          </w:p>
        </w:tc>
        <w:tc>
          <w:tcPr>
            <w:tcW w:w="2714" w:type="dxa"/>
            <w:vAlign w:val="top"/>
          </w:tcPr>
          <w:p w14:paraId="57BA7CE7">
            <w:pPr>
              <w:pStyle w:val="6"/>
              <w:spacing w:before="169" w:line="228" w:lineRule="auto"/>
              <w:ind w:left="418"/>
              <w:rPr>
                <w:sz w:val="20"/>
                <w:szCs w:val="20"/>
              </w:rPr>
            </w:pPr>
            <w:r>
              <w:rPr>
                <w:b/>
                <w:bCs/>
                <w:spacing w:val="7"/>
                <w:sz w:val="20"/>
                <w:szCs w:val="20"/>
              </w:rPr>
              <w:t>建设面积或建设内容</w:t>
            </w:r>
          </w:p>
        </w:tc>
        <w:tc>
          <w:tcPr>
            <w:tcW w:w="2391" w:type="dxa"/>
            <w:vAlign w:val="top"/>
          </w:tcPr>
          <w:p w14:paraId="679C28C3">
            <w:pPr>
              <w:pStyle w:val="6"/>
              <w:spacing w:before="169" w:line="229" w:lineRule="auto"/>
              <w:ind w:left="996"/>
              <w:rPr>
                <w:sz w:val="20"/>
                <w:szCs w:val="20"/>
              </w:rPr>
            </w:pPr>
            <w:r>
              <w:rPr>
                <w:b/>
                <w:bCs/>
                <w:spacing w:val="2"/>
                <w:sz w:val="20"/>
                <w:szCs w:val="20"/>
              </w:rPr>
              <w:t>备注</w:t>
            </w:r>
          </w:p>
        </w:tc>
        <w:tc>
          <w:tcPr>
            <w:tcW w:w="287" w:type="dxa"/>
            <w:vMerge w:val="restart"/>
            <w:tcBorders>
              <w:top w:val="nil"/>
              <w:bottom w:val="nil"/>
              <w:right w:val="single" w:color="000000" w:sz="6" w:space="0"/>
            </w:tcBorders>
            <w:vAlign w:val="top"/>
          </w:tcPr>
          <w:p w14:paraId="510A40FF">
            <w:pPr>
              <w:rPr>
                <w:rFonts w:ascii="Arial"/>
                <w:sz w:val="21"/>
              </w:rPr>
            </w:pPr>
          </w:p>
        </w:tc>
      </w:tr>
      <w:tr w14:paraId="4526E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78" w:type="dxa"/>
            <w:vMerge w:val="continue"/>
            <w:tcBorders>
              <w:top w:val="nil"/>
              <w:left w:val="single" w:color="000000" w:sz="6" w:space="0"/>
              <w:bottom w:val="nil"/>
            </w:tcBorders>
            <w:vAlign w:val="top"/>
          </w:tcPr>
          <w:p w14:paraId="6654DF50">
            <w:pPr>
              <w:rPr>
                <w:rFonts w:ascii="Arial"/>
                <w:sz w:val="21"/>
              </w:rPr>
            </w:pPr>
          </w:p>
        </w:tc>
        <w:tc>
          <w:tcPr>
            <w:tcW w:w="278" w:type="dxa"/>
            <w:vMerge w:val="continue"/>
            <w:tcBorders>
              <w:top w:val="nil"/>
              <w:bottom w:val="nil"/>
            </w:tcBorders>
            <w:vAlign w:val="top"/>
          </w:tcPr>
          <w:p w14:paraId="306B3EBA">
            <w:pPr>
              <w:rPr>
                <w:rFonts w:ascii="Arial"/>
                <w:sz w:val="21"/>
              </w:rPr>
            </w:pPr>
          </w:p>
        </w:tc>
        <w:tc>
          <w:tcPr>
            <w:tcW w:w="744" w:type="dxa"/>
            <w:vMerge w:val="restart"/>
            <w:tcBorders>
              <w:bottom w:val="nil"/>
            </w:tcBorders>
            <w:vAlign w:val="top"/>
          </w:tcPr>
          <w:p w14:paraId="6184A7A9">
            <w:pPr>
              <w:spacing w:line="254" w:lineRule="auto"/>
              <w:rPr>
                <w:rFonts w:ascii="Arial"/>
                <w:sz w:val="21"/>
              </w:rPr>
            </w:pPr>
          </w:p>
          <w:p w14:paraId="27BBDD2E">
            <w:pPr>
              <w:spacing w:line="254" w:lineRule="auto"/>
              <w:rPr>
                <w:rFonts w:ascii="Arial"/>
                <w:sz w:val="21"/>
              </w:rPr>
            </w:pPr>
          </w:p>
          <w:p w14:paraId="3FBA6AEB">
            <w:pPr>
              <w:spacing w:line="255" w:lineRule="auto"/>
              <w:rPr>
                <w:rFonts w:ascii="Arial"/>
                <w:sz w:val="21"/>
              </w:rPr>
            </w:pPr>
          </w:p>
          <w:p w14:paraId="6C079237">
            <w:pPr>
              <w:spacing w:line="255" w:lineRule="auto"/>
              <w:rPr>
                <w:rFonts w:ascii="Arial"/>
                <w:sz w:val="21"/>
              </w:rPr>
            </w:pPr>
          </w:p>
          <w:p w14:paraId="2B974F76">
            <w:pPr>
              <w:spacing w:line="255" w:lineRule="auto"/>
              <w:rPr>
                <w:rFonts w:ascii="Arial"/>
                <w:sz w:val="21"/>
              </w:rPr>
            </w:pPr>
          </w:p>
          <w:p w14:paraId="26FFEC6F">
            <w:pPr>
              <w:spacing w:line="255" w:lineRule="auto"/>
              <w:rPr>
                <w:rFonts w:ascii="Arial"/>
                <w:sz w:val="21"/>
              </w:rPr>
            </w:pPr>
          </w:p>
          <w:p w14:paraId="1E041B68">
            <w:pPr>
              <w:spacing w:line="255" w:lineRule="auto"/>
              <w:rPr>
                <w:rFonts w:ascii="Arial"/>
                <w:sz w:val="21"/>
              </w:rPr>
            </w:pPr>
          </w:p>
          <w:p w14:paraId="19377245">
            <w:pPr>
              <w:spacing w:line="255" w:lineRule="auto"/>
              <w:rPr>
                <w:rFonts w:ascii="Arial"/>
                <w:sz w:val="21"/>
              </w:rPr>
            </w:pPr>
          </w:p>
          <w:p w14:paraId="3CD7A80B">
            <w:pPr>
              <w:spacing w:line="255" w:lineRule="auto"/>
              <w:rPr>
                <w:rFonts w:ascii="Arial"/>
                <w:sz w:val="21"/>
              </w:rPr>
            </w:pPr>
          </w:p>
          <w:p w14:paraId="52240967">
            <w:pPr>
              <w:spacing w:line="255" w:lineRule="auto"/>
              <w:rPr>
                <w:rFonts w:ascii="Arial"/>
                <w:sz w:val="21"/>
              </w:rPr>
            </w:pPr>
          </w:p>
          <w:p w14:paraId="74B960A7">
            <w:pPr>
              <w:spacing w:line="255" w:lineRule="auto"/>
              <w:rPr>
                <w:rFonts w:ascii="Arial"/>
                <w:sz w:val="21"/>
              </w:rPr>
            </w:pPr>
          </w:p>
          <w:p w14:paraId="1C504B80">
            <w:pPr>
              <w:spacing w:line="255" w:lineRule="auto"/>
              <w:rPr>
                <w:rFonts w:ascii="Arial"/>
                <w:sz w:val="21"/>
              </w:rPr>
            </w:pPr>
          </w:p>
          <w:p w14:paraId="4A8530FD">
            <w:pPr>
              <w:pStyle w:val="6"/>
              <w:spacing w:before="65" w:line="229" w:lineRule="auto"/>
              <w:ind w:left="163"/>
              <w:rPr>
                <w:sz w:val="20"/>
                <w:szCs w:val="20"/>
              </w:rPr>
            </w:pPr>
            <w:r>
              <w:rPr>
                <w:spacing w:val="3"/>
                <w:sz w:val="20"/>
                <w:szCs w:val="20"/>
              </w:rPr>
              <w:t>主体</w:t>
            </w:r>
          </w:p>
          <w:p w14:paraId="2A4E4E87">
            <w:pPr>
              <w:pStyle w:val="6"/>
              <w:spacing w:before="23" w:line="228" w:lineRule="auto"/>
              <w:ind w:left="164"/>
              <w:rPr>
                <w:sz w:val="20"/>
                <w:szCs w:val="20"/>
              </w:rPr>
            </w:pPr>
            <w:r>
              <w:rPr>
                <w:spacing w:val="3"/>
                <w:sz w:val="20"/>
                <w:szCs w:val="20"/>
              </w:rPr>
              <w:t>工程</w:t>
            </w:r>
          </w:p>
        </w:tc>
        <w:tc>
          <w:tcPr>
            <w:tcW w:w="1050" w:type="dxa"/>
            <w:vMerge w:val="restart"/>
            <w:tcBorders>
              <w:bottom w:val="nil"/>
            </w:tcBorders>
            <w:vAlign w:val="top"/>
          </w:tcPr>
          <w:p w14:paraId="03AD7B5E">
            <w:pPr>
              <w:spacing w:line="307" w:lineRule="auto"/>
              <w:rPr>
                <w:rFonts w:ascii="Arial"/>
                <w:sz w:val="21"/>
              </w:rPr>
            </w:pPr>
          </w:p>
          <w:p w14:paraId="371D8095">
            <w:pPr>
              <w:spacing w:line="308" w:lineRule="auto"/>
              <w:rPr>
                <w:rFonts w:ascii="Arial"/>
                <w:sz w:val="21"/>
              </w:rPr>
            </w:pPr>
          </w:p>
          <w:p w14:paraId="1BE2131E">
            <w:pPr>
              <w:pStyle w:val="6"/>
              <w:spacing w:before="65" w:line="228" w:lineRule="auto"/>
              <w:ind w:left="331"/>
              <w:rPr>
                <w:sz w:val="20"/>
                <w:szCs w:val="20"/>
              </w:rPr>
            </w:pPr>
            <w:r>
              <w:rPr>
                <w:rFonts w:ascii="Times New Roman" w:hAnsi="Times New Roman" w:eastAsia="Times New Roman" w:cs="Times New Roman"/>
                <w:spacing w:val="-2"/>
                <w:sz w:val="20"/>
                <w:szCs w:val="20"/>
              </w:rPr>
              <w:t>1#</w:t>
            </w:r>
            <w:r>
              <w:rPr>
                <w:spacing w:val="-2"/>
                <w:sz w:val="20"/>
                <w:szCs w:val="20"/>
              </w:rPr>
              <w:t>楼</w:t>
            </w:r>
          </w:p>
          <w:p w14:paraId="3A33C815">
            <w:pPr>
              <w:pStyle w:val="6"/>
              <w:spacing w:before="24" w:line="252" w:lineRule="auto"/>
              <w:ind w:left="109" w:right="125" w:firstLine="137"/>
              <w:rPr>
                <w:sz w:val="20"/>
                <w:szCs w:val="20"/>
              </w:rPr>
            </w:pPr>
            <w:r>
              <w:rPr>
                <w:spacing w:val="-5"/>
                <w:sz w:val="20"/>
                <w:szCs w:val="20"/>
              </w:rPr>
              <w:t>占地面</w:t>
            </w:r>
            <w:r>
              <w:rPr>
                <w:sz w:val="20"/>
                <w:szCs w:val="20"/>
              </w:rPr>
              <w:t xml:space="preserve">  </w:t>
            </w:r>
            <w:r>
              <w:rPr>
                <w:spacing w:val="-4"/>
                <w:sz w:val="20"/>
                <w:szCs w:val="20"/>
              </w:rPr>
              <w:t>积</w:t>
            </w:r>
            <w:r>
              <w:rPr>
                <w:spacing w:val="-40"/>
                <w:sz w:val="20"/>
                <w:szCs w:val="20"/>
              </w:rPr>
              <w:t xml:space="preserve"> </w:t>
            </w:r>
            <w:r>
              <w:rPr>
                <w:rFonts w:ascii="Times New Roman" w:hAnsi="Times New Roman" w:eastAsia="Times New Roman" w:cs="Times New Roman"/>
                <w:spacing w:val="-4"/>
                <w:sz w:val="20"/>
                <w:szCs w:val="20"/>
              </w:rPr>
              <w:t>980</w:t>
            </w:r>
            <w:r>
              <w:rPr>
                <w:rFonts w:ascii="Times New Roman" w:hAnsi="Times New Roman" w:eastAsia="Times New Roman" w:cs="Times New Roman"/>
                <w:spacing w:val="19"/>
                <w:sz w:val="20"/>
                <w:szCs w:val="20"/>
              </w:rPr>
              <w:t xml:space="preserve"> </w:t>
            </w:r>
            <w:r>
              <w:rPr>
                <w:spacing w:val="-4"/>
                <w:sz w:val="20"/>
                <w:szCs w:val="20"/>
              </w:rPr>
              <w:t>㎡</w:t>
            </w:r>
          </w:p>
        </w:tc>
        <w:tc>
          <w:tcPr>
            <w:tcW w:w="746" w:type="dxa"/>
            <w:vAlign w:val="top"/>
          </w:tcPr>
          <w:p w14:paraId="6308C5D0">
            <w:pPr>
              <w:pStyle w:val="6"/>
              <w:spacing w:before="108" w:line="228" w:lineRule="auto"/>
              <w:ind w:left="20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层</w:t>
            </w:r>
          </w:p>
        </w:tc>
        <w:tc>
          <w:tcPr>
            <w:tcW w:w="2714" w:type="dxa"/>
            <w:vAlign w:val="top"/>
          </w:tcPr>
          <w:p w14:paraId="03F71FC9">
            <w:pPr>
              <w:pStyle w:val="6"/>
              <w:spacing w:before="109"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68133C99">
            <w:pPr>
              <w:pStyle w:val="6"/>
              <w:spacing w:before="108" w:line="228" w:lineRule="auto"/>
              <w:ind w:left="475"/>
              <w:rPr>
                <w:sz w:val="20"/>
                <w:szCs w:val="20"/>
              </w:rPr>
            </w:pPr>
            <w:r>
              <w:rPr>
                <w:spacing w:val="8"/>
                <w:sz w:val="20"/>
                <w:szCs w:val="20"/>
              </w:rPr>
              <w:t>办公室和杂物房</w:t>
            </w:r>
          </w:p>
        </w:tc>
        <w:tc>
          <w:tcPr>
            <w:tcW w:w="287" w:type="dxa"/>
            <w:vMerge w:val="continue"/>
            <w:tcBorders>
              <w:top w:val="nil"/>
              <w:bottom w:val="nil"/>
              <w:right w:val="single" w:color="000000" w:sz="6" w:space="0"/>
            </w:tcBorders>
            <w:vAlign w:val="top"/>
          </w:tcPr>
          <w:p w14:paraId="7B77C0A0">
            <w:pPr>
              <w:rPr>
                <w:rFonts w:ascii="Arial"/>
                <w:sz w:val="21"/>
              </w:rPr>
            </w:pPr>
          </w:p>
        </w:tc>
      </w:tr>
      <w:tr w14:paraId="0AEA4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78" w:type="dxa"/>
            <w:vMerge w:val="continue"/>
            <w:tcBorders>
              <w:top w:val="nil"/>
              <w:left w:val="single" w:color="000000" w:sz="6" w:space="0"/>
              <w:bottom w:val="nil"/>
            </w:tcBorders>
            <w:vAlign w:val="top"/>
          </w:tcPr>
          <w:p w14:paraId="7A725EB9">
            <w:pPr>
              <w:rPr>
                <w:rFonts w:ascii="Arial"/>
                <w:sz w:val="21"/>
              </w:rPr>
            </w:pPr>
          </w:p>
        </w:tc>
        <w:tc>
          <w:tcPr>
            <w:tcW w:w="278" w:type="dxa"/>
            <w:vMerge w:val="continue"/>
            <w:tcBorders>
              <w:top w:val="nil"/>
              <w:bottom w:val="nil"/>
            </w:tcBorders>
            <w:vAlign w:val="top"/>
          </w:tcPr>
          <w:p w14:paraId="2C985486">
            <w:pPr>
              <w:rPr>
                <w:rFonts w:ascii="Arial"/>
                <w:sz w:val="21"/>
              </w:rPr>
            </w:pPr>
          </w:p>
        </w:tc>
        <w:tc>
          <w:tcPr>
            <w:tcW w:w="744" w:type="dxa"/>
            <w:vMerge w:val="continue"/>
            <w:tcBorders>
              <w:top w:val="nil"/>
              <w:bottom w:val="nil"/>
            </w:tcBorders>
            <w:vAlign w:val="top"/>
          </w:tcPr>
          <w:p w14:paraId="290F3CB6">
            <w:pPr>
              <w:rPr>
                <w:rFonts w:ascii="Arial"/>
                <w:sz w:val="21"/>
              </w:rPr>
            </w:pPr>
          </w:p>
        </w:tc>
        <w:tc>
          <w:tcPr>
            <w:tcW w:w="1050" w:type="dxa"/>
            <w:vMerge w:val="continue"/>
            <w:tcBorders>
              <w:top w:val="nil"/>
              <w:bottom w:val="nil"/>
            </w:tcBorders>
            <w:vAlign w:val="top"/>
          </w:tcPr>
          <w:p w14:paraId="081E62AD">
            <w:pPr>
              <w:rPr>
                <w:rFonts w:ascii="Arial"/>
                <w:sz w:val="21"/>
              </w:rPr>
            </w:pPr>
          </w:p>
        </w:tc>
        <w:tc>
          <w:tcPr>
            <w:tcW w:w="746" w:type="dxa"/>
            <w:vAlign w:val="top"/>
          </w:tcPr>
          <w:p w14:paraId="06B481E6">
            <w:pPr>
              <w:pStyle w:val="6"/>
              <w:spacing w:before="107" w:line="228" w:lineRule="auto"/>
              <w:ind w:left="18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层</w:t>
            </w:r>
          </w:p>
        </w:tc>
        <w:tc>
          <w:tcPr>
            <w:tcW w:w="2714" w:type="dxa"/>
            <w:vAlign w:val="top"/>
          </w:tcPr>
          <w:p w14:paraId="6943712C">
            <w:pPr>
              <w:pStyle w:val="6"/>
              <w:spacing w:before="108"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5271FE9E">
            <w:pPr>
              <w:pStyle w:val="6"/>
              <w:spacing w:before="107" w:line="228" w:lineRule="auto"/>
              <w:ind w:left="995"/>
              <w:rPr>
                <w:sz w:val="20"/>
                <w:szCs w:val="20"/>
              </w:rPr>
            </w:pPr>
            <w:r>
              <w:rPr>
                <w:spacing w:val="5"/>
                <w:sz w:val="20"/>
                <w:szCs w:val="20"/>
              </w:rPr>
              <w:t>仓库</w:t>
            </w:r>
          </w:p>
        </w:tc>
        <w:tc>
          <w:tcPr>
            <w:tcW w:w="287" w:type="dxa"/>
            <w:vMerge w:val="continue"/>
            <w:tcBorders>
              <w:top w:val="nil"/>
              <w:bottom w:val="nil"/>
              <w:right w:val="single" w:color="000000" w:sz="6" w:space="0"/>
            </w:tcBorders>
            <w:vAlign w:val="top"/>
          </w:tcPr>
          <w:p w14:paraId="0223387B">
            <w:pPr>
              <w:rPr>
                <w:rFonts w:ascii="Arial"/>
                <w:sz w:val="21"/>
              </w:rPr>
            </w:pPr>
          </w:p>
        </w:tc>
      </w:tr>
      <w:tr w14:paraId="3BA20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78" w:type="dxa"/>
            <w:vMerge w:val="continue"/>
            <w:tcBorders>
              <w:top w:val="nil"/>
              <w:left w:val="single" w:color="000000" w:sz="6" w:space="0"/>
              <w:bottom w:val="nil"/>
            </w:tcBorders>
            <w:vAlign w:val="top"/>
          </w:tcPr>
          <w:p w14:paraId="36275E81">
            <w:pPr>
              <w:rPr>
                <w:rFonts w:ascii="Arial"/>
                <w:sz w:val="21"/>
              </w:rPr>
            </w:pPr>
          </w:p>
        </w:tc>
        <w:tc>
          <w:tcPr>
            <w:tcW w:w="278" w:type="dxa"/>
            <w:vMerge w:val="continue"/>
            <w:tcBorders>
              <w:top w:val="nil"/>
              <w:bottom w:val="nil"/>
            </w:tcBorders>
            <w:vAlign w:val="top"/>
          </w:tcPr>
          <w:p w14:paraId="37FD3967">
            <w:pPr>
              <w:rPr>
                <w:rFonts w:ascii="Arial"/>
                <w:sz w:val="21"/>
              </w:rPr>
            </w:pPr>
          </w:p>
        </w:tc>
        <w:tc>
          <w:tcPr>
            <w:tcW w:w="744" w:type="dxa"/>
            <w:vMerge w:val="continue"/>
            <w:tcBorders>
              <w:top w:val="nil"/>
              <w:bottom w:val="nil"/>
            </w:tcBorders>
            <w:vAlign w:val="top"/>
          </w:tcPr>
          <w:p w14:paraId="556DC61C">
            <w:pPr>
              <w:rPr>
                <w:rFonts w:ascii="Arial"/>
                <w:sz w:val="21"/>
              </w:rPr>
            </w:pPr>
          </w:p>
        </w:tc>
        <w:tc>
          <w:tcPr>
            <w:tcW w:w="1050" w:type="dxa"/>
            <w:vMerge w:val="continue"/>
            <w:tcBorders>
              <w:top w:val="nil"/>
              <w:bottom w:val="nil"/>
            </w:tcBorders>
            <w:vAlign w:val="top"/>
          </w:tcPr>
          <w:p w14:paraId="2DEA090F">
            <w:pPr>
              <w:rPr>
                <w:rFonts w:ascii="Arial"/>
                <w:sz w:val="21"/>
              </w:rPr>
            </w:pPr>
          </w:p>
        </w:tc>
        <w:tc>
          <w:tcPr>
            <w:tcW w:w="746" w:type="dxa"/>
            <w:vAlign w:val="top"/>
          </w:tcPr>
          <w:p w14:paraId="7FFCCF07">
            <w:pPr>
              <w:pStyle w:val="6"/>
              <w:spacing w:before="109" w:line="228" w:lineRule="auto"/>
              <w:ind w:left="192"/>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层</w:t>
            </w:r>
          </w:p>
        </w:tc>
        <w:tc>
          <w:tcPr>
            <w:tcW w:w="2714" w:type="dxa"/>
            <w:vAlign w:val="top"/>
          </w:tcPr>
          <w:p w14:paraId="6385E60F">
            <w:pPr>
              <w:pStyle w:val="6"/>
              <w:spacing w:before="110"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4AA5C80F">
            <w:pPr>
              <w:pStyle w:val="6"/>
              <w:spacing w:before="109"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451B9B5E">
            <w:pPr>
              <w:rPr>
                <w:rFonts w:ascii="Arial"/>
                <w:sz w:val="21"/>
              </w:rPr>
            </w:pPr>
          </w:p>
        </w:tc>
      </w:tr>
      <w:tr w14:paraId="0DA2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5CD44E99">
            <w:pPr>
              <w:rPr>
                <w:rFonts w:ascii="Arial"/>
                <w:sz w:val="21"/>
              </w:rPr>
            </w:pPr>
          </w:p>
        </w:tc>
        <w:tc>
          <w:tcPr>
            <w:tcW w:w="278" w:type="dxa"/>
            <w:vMerge w:val="continue"/>
            <w:tcBorders>
              <w:top w:val="nil"/>
              <w:bottom w:val="nil"/>
            </w:tcBorders>
            <w:vAlign w:val="top"/>
          </w:tcPr>
          <w:p w14:paraId="514F5AA2">
            <w:pPr>
              <w:rPr>
                <w:rFonts w:ascii="Arial"/>
                <w:sz w:val="21"/>
              </w:rPr>
            </w:pPr>
          </w:p>
        </w:tc>
        <w:tc>
          <w:tcPr>
            <w:tcW w:w="744" w:type="dxa"/>
            <w:vMerge w:val="continue"/>
            <w:tcBorders>
              <w:top w:val="nil"/>
              <w:bottom w:val="nil"/>
            </w:tcBorders>
            <w:vAlign w:val="top"/>
          </w:tcPr>
          <w:p w14:paraId="74022949">
            <w:pPr>
              <w:rPr>
                <w:rFonts w:ascii="Arial"/>
                <w:sz w:val="21"/>
              </w:rPr>
            </w:pPr>
          </w:p>
        </w:tc>
        <w:tc>
          <w:tcPr>
            <w:tcW w:w="1050" w:type="dxa"/>
            <w:vMerge w:val="continue"/>
            <w:tcBorders>
              <w:top w:val="nil"/>
              <w:bottom w:val="nil"/>
            </w:tcBorders>
            <w:vAlign w:val="top"/>
          </w:tcPr>
          <w:p w14:paraId="78614769">
            <w:pPr>
              <w:rPr>
                <w:rFonts w:ascii="Arial"/>
                <w:sz w:val="21"/>
              </w:rPr>
            </w:pPr>
          </w:p>
        </w:tc>
        <w:tc>
          <w:tcPr>
            <w:tcW w:w="746" w:type="dxa"/>
            <w:vAlign w:val="top"/>
          </w:tcPr>
          <w:p w14:paraId="0036CF2F">
            <w:pPr>
              <w:pStyle w:val="6"/>
              <w:spacing w:before="111" w:line="228" w:lineRule="auto"/>
              <w:ind w:left="187"/>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9"/>
                <w:sz w:val="20"/>
                <w:szCs w:val="20"/>
              </w:rPr>
              <w:t xml:space="preserve"> </w:t>
            </w:r>
            <w:r>
              <w:rPr>
                <w:spacing w:val="1"/>
                <w:sz w:val="20"/>
                <w:szCs w:val="20"/>
              </w:rPr>
              <w:t>层</w:t>
            </w:r>
          </w:p>
        </w:tc>
        <w:tc>
          <w:tcPr>
            <w:tcW w:w="2714" w:type="dxa"/>
            <w:vAlign w:val="top"/>
          </w:tcPr>
          <w:p w14:paraId="5B63E8ED">
            <w:pPr>
              <w:pStyle w:val="6"/>
              <w:spacing w:before="112"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3D03B64E">
            <w:pPr>
              <w:pStyle w:val="6"/>
              <w:spacing w:before="111"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12B30B81">
            <w:pPr>
              <w:rPr>
                <w:rFonts w:ascii="Arial"/>
                <w:sz w:val="21"/>
              </w:rPr>
            </w:pPr>
          </w:p>
        </w:tc>
      </w:tr>
      <w:tr w14:paraId="3986B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78" w:type="dxa"/>
            <w:vMerge w:val="continue"/>
            <w:tcBorders>
              <w:top w:val="nil"/>
              <w:left w:val="single" w:color="000000" w:sz="6" w:space="0"/>
              <w:bottom w:val="nil"/>
            </w:tcBorders>
            <w:vAlign w:val="top"/>
          </w:tcPr>
          <w:p w14:paraId="533BD763">
            <w:pPr>
              <w:rPr>
                <w:rFonts w:ascii="Arial"/>
                <w:sz w:val="21"/>
              </w:rPr>
            </w:pPr>
          </w:p>
        </w:tc>
        <w:tc>
          <w:tcPr>
            <w:tcW w:w="278" w:type="dxa"/>
            <w:vMerge w:val="continue"/>
            <w:tcBorders>
              <w:top w:val="nil"/>
              <w:bottom w:val="nil"/>
            </w:tcBorders>
            <w:vAlign w:val="top"/>
          </w:tcPr>
          <w:p w14:paraId="38A37BFE">
            <w:pPr>
              <w:rPr>
                <w:rFonts w:ascii="Arial"/>
                <w:sz w:val="21"/>
              </w:rPr>
            </w:pPr>
          </w:p>
        </w:tc>
        <w:tc>
          <w:tcPr>
            <w:tcW w:w="744" w:type="dxa"/>
            <w:vMerge w:val="continue"/>
            <w:tcBorders>
              <w:top w:val="nil"/>
              <w:bottom w:val="nil"/>
            </w:tcBorders>
            <w:vAlign w:val="top"/>
          </w:tcPr>
          <w:p w14:paraId="64BD17FC">
            <w:pPr>
              <w:rPr>
                <w:rFonts w:ascii="Arial"/>
                <w:sz w:val="21"/>
              </w:rPr>
            </w:pPr>
          </w:p>
        </w:tc>
        <w:tc>
          <w:tcPr>
            <w:tcW w:w="1050" w:type="dxa"/>
            <w:vMerge w:val="continue"/>
            <w:tcBorders>
              <w:top w:val="nil"/>
            </w:tcBorders>
            <w:vAlign w:val="top"/>
          </w:tcPr>
          <w:p w14:paraId="7422F4A4">
            <w:pPr>
              <w:rPr>
                <w:rFonts w:ascii="Arial"/>
                <w:sz w:val="21"/>
              </w:rPr>
            </w:pPr>
          </w:p>
        </w:tc>
        <w:tc>
          <w:tcPr>
            <w:tcW w:w="746" w:type="dxa"/>
            <w:vAlign w:val="top"/>
          </w:tcPr>
          <w:p w14:paraId="13655BF0">
            <w:pPr>
              <w:pStyle w:val="6"/>
              <w:spacing w:before="109" w:line="228" w:lineRule="auto"/>
              <w:ind w:left="193"/>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9"/>
                <w:sz w:val="20"/>
                <w:szCs w:val="20"/>
              </w:rPr>
              <w:t xml:space="preserve"> </w:t>
            </w:r>
            <w:r>
              <w:rPr>
                <w:spacing w:val="-3"/>
                <w:sz w:val="20"/>
                <w:szCs w:val="20"/>
              </w:rPr>
              <w:t>层</w:t>
            </w:r>
          </w:p>
        </w:tc>
        <w:tc>
          <w:tcPr>
            <w:tcW w:w="2714" w:type="dxa"/>
            <w:vAlign w:val="top"/>
          </w:tcPr>
          <w:p w14:paraId="4950C6D6">
            <w:pPr>
              <w:pStyle w:val="6"/>
              <w:spacing w:before="110"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3D6E7FE9">
            <w:pPr>
              <w:pStyle w:val="6"/>
              <w:spacing w:before="109"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46B36E54">
            <w:pPr>
              <w:rPr>
                <w:rFonts w:ascii="Arial"/>
                <w:sz w:val="21"/>
              </w:rPr>
            </w:pPr>
          </w:p>
        </w:tc>
      </w:tr>
      <w:tr w14:paraId="5ED48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67E8E36D">
            <w:pPr>
              <w:rPr>
                <w:rFonts w:ascii="Arial"/>
                <w:sz w:val="21"/>
              </w:rPr>
            </w:pPr>
          </w:p>
        </w:tc>
        <w:tc>
          <w:tcPr>
            <w:tcW w:w="278" w:type="dxa"/>
            <w:vMerge w:val="continue"/>
            <w:tcBorders>
              <w:top w:val="nil"/>
              <w:bottom w:val="nil"/>
            </w:tcBorders>
            <w:vAlign w:val="top"/>
          </w:tcPr>
          <w:p w14:paraId="05519408">
            <w:pPr>
              <w:rPr>
                <w:rFonts w:ascii="Arial"/>
                <w:sz w:val="21"/>
              </w:rPr>
            </w:pPr>
          </w:p>
        </w:tc>
        <w:tc>
          <w:tcPr>
            <w:tcW w:w="744" w:type="dxa"/>
            <w:vMerge w:val="continue"/>
            <w:tcBorders>
              <w:top w:val="nil"/>
              <w:bottom w:val="nil"/>
            </w:tcBorders>
            <w:vAlign w:val="top"/>
          </w:tcPr>
          <w:p w14:paraId="19122FCF">
            <w:pPr>
              <w:rPr>
                <w:rFonts w:ascii="Arial"/>
                <w:sz w:val="21"/>
              </w:rPr>
            </w:pPr>
          </w:p>
        </w:tc>
        <w:tc>
          <w:tcPr>
            <w:tcW w:w="1050" w:type="dxa"/>
            <w:vMerge w:val="restart"/>
            <w:tcBorders>
              <w:bottom w:val="nil"/>
            </w:tcBorders>
            <w:vAlign w:val="top"/>
          </w:tcPr>
          <w:p w14:paraId="32B20233">
            <w:pPr>
              <w:spacing w:line="408" w:lineRule="auto"/>
              <w:rPr>
                <w:rFonts w:ascii="Arial"/>
                <w:sz w:val="21"/>
              </w:rPr>
            </w:pPr>
          </w:p>
          <w:p w14:paraId="2DBA6226">
            <w:pPr>
              <w:pStyle w:val="6"/>
              <w:spacing w:before="65" w:line="228" w:lineRule="auto"/>
              <w:ind w:left="311"/>
              <w:rPr>
                <w:sz w:val="20"/>
                <w:szCs w:val="20"/>
              </w:rPr>
            </w:pPr>
            <w:r>
              <w:rPr>
                <w:rFonts w:ascii="Times New Roman" w:hAnsi="Times New Roman" w:eastAsia="Times New Roman" w:cs="Times New Roman"/>
                <w:spacing w:val="5"/>
                <w:sz w:val="20"/>
                <w:szCs w:val="20"/>
              </w:rPr>
              <w:t>2#</w:t>
            </w:r>
            <w:r>
              <w:rPr>
                <w:spacing w:val="5"/>
                <w:sz w:val="20"/>
                <w:szCs w:val="20"/>
              </w:rPr>
              <w:t>楼</w:t>
            </w:r>
          </w:p>
          <w:p w14:paraId="147C445C">
            <w:pPr>
              <w:pStyle w:val="6"/>
              <w:spacing w:before="24" w:line="252" w:lineRule="auto"/>
              <w:ind w:left="109" w:right="125" w:firstLine="137"/>
              <w:rPr>
                <w:sz w:val="20"/>
                <w:szCs w:val="20"/>
              </w:rPr>
            </w:pPr>
            <w:r>
              <w:rPr>
                <w:spacing w:val="-5"/>
                <w:sz w:val="20"/>
                <w:szCs w:val="20"/>
              </w:rPr>
              <w:t>占地面</w:t>
            </w:r>
            <w:r>
              <w:rPr>
                <w:sz w:val="20"/>
                <w:szCs w:val="20"/>
              </w:rPr>
              <w:t xml:space="preserve">  </w:t>
            </w:r>
            <w:r>
              <w:rPr>
                <w:spacing w:val="-4"/>
                <w:sz w:val="20"/>
                <w:szCs w:val="20"/>
              </w:rPr>
              <w:t>积</w:t>
            </w:r>
            <w:r>
              <w:rPr>
                <w:spacing w:val="-40"/>
                <w:sz w:val="20"/>
                <w:szCs w:val="20"/>
              </w:rPr>
              <w:t xml:space="preserve"> </w:t>
            </w:r>
            <w:r>
              <w:rPr>
                <w:rFonts w:ascii="Times New Roman" w:hAnsi="Times New Roman" w:eastAsia="Times New Roman" w:cs="Times New Roman"/>
                <w:spacing w:val="-4"/>
                <w:sz w:val="20"/>
                <w:szCs w:val="20"/>
              </w:rPr>
              <w:t>980</w:t>
            </w:r>
            <w:r>
              <w:rPr>
                <w:rFonts w:ascii="Times New Roman" w:hAnsi="Times New Roman" w:eastAsia="Times New Roman" w:cs="Times New Roman"/>
                <w:spacing w:val="19"/>
                <w:sz w:val="20"/>
                <w:szCs w:val="20"/>
              </w:rPr>
              <w:t xml:space="preserve"> </w:t>
            </w:r>
            <w:r>
              <w:rPr>
                <w:spacing w:val="-4"/>
                <w:sz w:val="20"/>
                <w:szCs w:val="20"/>
              </w:rPr>
              <w:t>㎡</w:t>
            </w:r>
          </w:p>
        </w:tc>
        <w:tc>
          <w:tcPr>
            <w:tcW w:w="746" w:type="dxa"/>
            <w:vAlign w:val="top"/>
          </w:tcPr>
          <w:p w14:paraId="5D6FB984">
            <w:pPr>
              <w:pStyle w:val="6"/>
              <w:spacing w:before="111" w:line="228" w:lineRule="auto"/>
              <w:ind w:left="20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层</w:t>
            </w:r>
          </w:p>
        </w:tc>
        <w:tc>
          <w:tcPr>
            <w:tcW w:w="2714" w:type="dxa"/>
            <w:vAlign w:val="top"/>
          </w:tcPr>
          <w:p w14:paraId="584C9833">
            <w:pPr>
              <w:pStyle w:val="6"/>
              <w:spacing w:before="112"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0F5AB910">
            <w:pPr>
              <w:pStyle w:val="6"/>
              <w:spacing w:before="111" w:line="228" w:lineRule="auto"/>
              <w:ind w:left="995"/>
              <w:rPr>
                <w:sz w:val="20"/>
                <w:szCs w:val="20"/>
              </w:rPr>
            </w:pPr>
            <w:r>
              <w:rPr>
                <w:spacing w:val="5"/>
                <w:sz w:val="20"/>
                <w:szCs w:val="20"/>
              </w:rPr>
              <w:t>仓库</w:t>
            </w:r>
          </w:p>
        </w:tc>
        <w:tc>
          <w:tcPr>
            <w:tcW w:w="287" w:type="dxa"/>
            <w:vMerge w:val="continue"/>
            <w:tcBorders>
              <w:top w:val="nil"/>
              <w:bottom w:val="nil"/>
              <w:right w:val="single" w:color="000000" w:sz="6" w:space="0"/>
            </w:tcBorders>
            <w:vAlign w:val="top"/>
          </w:tcPr>
          <w:p w14:paraId="25F6831F">
            <w:pPr>
              <w:rPr>
                <w:rFonts w:ascii="Arial"/>
                <w:sz w:val="21"/>
              </w:rPr>
            </w:pPr>
          </w:p>
        </w:tc>
      </w:tr>
      <w:tr w14:paraId="01FFE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4B2D467A">
            <w:pPr>
              <w:rPr>
                <w:rFonts w:ascii="Arial"/>
                <w:sz w:val="21"/>
              </w:rPr>
            </w:pPr>
          </w:p>
        </w:tc>
        <w:tc>
          <w:tcPr>
            <w:tcW w:w="278" w:type="dxa"/>
            <w:vMerge w:val="continue"/>
            <w:tcBorders>
              <w:top w:val="nil"/>
              <w:bottom w:val="nil"/>
            </w:tcBorders>
            <w:vAlign w:val="top"/>
          </w:tcPr>
          <w:p w14:paraId="061CB02E">
            <w:pPr>
              <w:rPr>
                <w:rFonts w:ascii="Arial"/>
                <w:sz w:val="21"/>
              </w:rPr>
            </w:pPr>
          </w:p>
        </w:tc>
        <w:tc>
          <w:tcPr>
            <w:tcW w:w="744" w:type="dxa"/>
            <w:vMerge w:val="continue"/>
            <w:tcBorders>
              <w:top w:val="nil"/>
              <w:bottom w:val="nil"/>
            </w:tcBorders>
            <w:vAlign w:val="top"/>
          </w:tcPr>
          <w:p w14:paraId="734C5805">
            <w:pPr>
              <w:rPr>
                <w:rFonts w:ascii="Arial"/>
                <w:sz w:val="21"/>
              </w:rPr>
            </w:pPr>
          </w:p>
        </w:tc>
        <w:tc>
          <w:tcPr>
            <w:tcW w:w="1050" w:type="dxa"/>
            <w:vMerge w:val="continue"/>
            <w:tcBorders>
              <w:top w:val="nil"/>
              <w:bottom w:val="nil"/>
            </w:tcBorders>
            <w:vAlign w:val="top"/>
          </w:tcPr>
          <w:p w14:paraId="6A5D3016">
            <w:pPr>
              <w:rPr>
                <w:rFonts w:ascii="Arial"/>
                <w:sz w:val="21"/>
              </w:rPr>
            </w:pPr>
          </w:p>
        </w:tc>
        <w:tc>
          <w:tcPr>
            <w:tcW w:w="746" w:type="dxa"/>
            <w:vAlign w:val="top"/>
          </w:tcPr>
          <w:p w14:paraId="390CD170">
            <w:pPr>
              <w:pStyle w:val="6"/>
              <w:spacing w:before="112" w:line="228" w:lineRule="auto"/>
              <w:ind w:left="18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层</w:t>
            </w:r>
          </w:p>
        </w:tc>
        <w:tc>
          <w:tcPr>
            <w:tcW w:w="2714" w:type="dxa"/>
            <w:vAlign w:val="top"/>
          </w:tcPr>
          <w:p w14:paraId="3E89D1EA">
            <w:pPr>
              <w:pStyle w:val="6"/>
              <w:spacing w:before="113"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29F174EB">
            <w:pPr>
              <w:pStyle w:val="6"/>
              <w:spacing w:before="112"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280B208D">
            <w:pPr>
              <w:rPr>
                <w:rFonts w:ascii="Arial"/>
                <w:sz w:val="21"/>
              </w:rPr>
            </w:pPr>
          </w:p>
        </w:tc>
      </w:tr>
      <w:tr w14:paraId="24E59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5C029308">
            <w:pPr>
              <w:rPr>
                <w:rFonts w:ascii="Arial"/>
                <w:sz w:val="21"/>
              </w:rPr>
            </w:pPr>
          </w:p>
        </w:tc>
        <w:tc>
          <w:tcPr>
            <w:tcW w:w="278" w:type="dxa"/>
            <w:vMerge w:val="continue"/>
            <w:tcBorders>
              <w:top w:val="nil"/>
              <w:bottom w:val="nil"/>
            </w:tcBorders>
            <w:vAlign w:val="top"/>
          </w:tcPr>
          <w:p w14:paraId="376101AC">
            <w:pPr>
              <w:rPr>
                <w:rFonts w:ascii="Arial"/>
                <w:sz w:val="21"/>
              </w:rPr>
            </w:pPr>
          </w:p>
        </w:tc>
        <w:tc>
          <w:tcPr>
            <w:tcW w:w="744" w:type="dxa"/>
            <w:vMerge w:val="continue"/>
            <w:tcBorders>
              <w:top w:val="nil"/>
              <w:bottom w:val="nil"/>
            </w:tcBorders>
            <w:vAlign w:val="top"/>
          </w:tcPr>
          <w:p w14:paraId="3AC59DFC">
            <w:pPr>
              <w:rPr>
                <w:rFonts w:ascii="Arial"/>
                <w:sz w:val="21"/>
              </w:rPr>
            </w:pPr>
          </w:p>
        </w:tc>
        <w:tc>
          <w:tcPr>
            <w:tcW w:w="1050" w:type="dxa"/>
            <w:vMerge w:val="continue"/>
            <w:tcBorders>
              <w:top w:val="nil"/>
              <w:bottom w:val="nil"/>
            </w:tcBorders>
            <w:vAlign w:val="top"/>
          </w:tcPr>
          <w:p w14:paraId="1022A261">
            <w:pPr>
              <w:rPr>
                <w:rFonts w:ascii="Arial"/>
                <w:sz w:val="21"/>
              </w:rPr>
            </w:pPr>
          </w:p>
        </w:tc>
        <w:tc>
          <w:tcPr>
            <w:tcW w:w="746" w:type="dxa"/>
            <w:vAlign w:val="top"/>
          </w:tcPr>
          <w:p w14:paraId="64BB43DE">
            <w:pPr>
              <w:pStyle w:val="6"/>
              <w:spacing w:before="110" w:line="228" w:lineRule="auto"/>
              <w:ind w:left="192"/>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层</w:t>
            </w:r>
          </w:p>
        </w:tc>
        <w:tc>
          <w:tcPr>
            <w:tcW w:w="2714" w:type="dxa"/>
            <w:vAlign w:val="top"/>
          </w:tcPr>
          <w:p w14:paraId="2869700C">
            <w:pPr>
              <w:pStyle w:val="6"/>
              <w:spacing w:before="111"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269A08FA">
            <w:pPr>
              <w:pStyle w:val="6"/>
              <w:spacing w:before="110"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61BCC321">
            <w:pPr>
              <w:rPr>
                <w:rFonts w:ascii="Arial"/>
                <w:sz w:val="21"/>
              </w:rPr>
            </w:pPr>
          </w:p>
        </w:tc>
      </w:tr>
      <w:tr w14:paraId="2830F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78" w:type="dxa"/>
            <w:vMerge w:val="continue"/>
            <w:tcBorders>
              <w:top w:val="nil"/>
              <w:left w:val="single" w:color="000000" w:sz="6" w:space="0"/>
              <w:bottom w:val="nil"/>
            </w:tcBorders>
            <w:vAlign w:val="top"/>
          </w:tcPr>
          <w:p w14:paraId="2B9DC76F">
            <w:pPr>
              <w:rPr>
                <w:rFonts w:ascii="Arial"/>
                <w:sz w:val="21"/>
              </w:rPr>
            </w:pPr>
          </w:p>
        </w:tc>
        <w:tc>
          <w:tcPr>
            <w:tcW w:w="278" w:type="dxa"/>
            <w:vMerge w:val="continue"/>
            <w:tcBorders>
              <w:top w:val="nil"/>
              <w:bottom w:val="nil"/>
            </w:tcBorders>
            <w:vAlign w:val="top"/>
          </w:tcPr>
          <w:p w14:paraId="7AE80908">
            <w:pPr>
              <w:rPr>
                <w:rFonts w:ascii="Arial"/>
                <w:sz w:val="21"/>
              </w:rPr>
            </w:pPr>
          </w:p>
        </w:tc>
        <w:tc>
          <w:tcPr>
            <w:tcW w:w="744" w:type="dxa"/>
            <w:vMerge w:val="continue"/>
            <w:tcBorders>
              <w:top w:val="nil"/>
              <w:bottom w:val="nil"/>
            </w:tcBorders>
            <w:vAlign w:val="top"/>
          </w:tcPr>
          <w:p w14:paraId="61A0860D">
            <w:pPr>
              <w:rPr>
                <w:rFonts w:ascii="Arial"/>
                <w:sz w:val="21"/>
              </w:rPr>
            </w:pPr>
          </w:p>
        </w:tc>
        <w:tc>
          <w:tcPr>
            <w:tcW w:w="1050" w:type="dxa"/>
            <w:vMerge w:val="continue"/>
            <w:tcBorders>
              <w:top w:val="nil"/>
            </w:tcBorders>
            <w:vAlign w:val="top"/>
          </w:tcPr>
          <w:p w14:paraId="2B630A97">
            <w:pPr>
              <w:rPr>
                <w:rFonts w:ascii="Arial"/>
                <w:sz w:val="21"/>
              </w:rPr>
            </w:pPr>
          </w:p>
        </w:tc>
        <w:tc>
          <w:tcPr>
            <w:tcW w:w="746" w:type="dxa"/>
            <w:vAlign w:val="top"/>
          </w:tcPr>
          <w:p w14:paraId="39A22E09">
            <w:pPr>
              <w:pStyle w:val="6"/>
              <w:spacing w:before="111" w:line="228" w:lineRule="auto"/>
              <w:ind w:left="187"/>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9"/>
                <w:sz w:val="20"/>
                <w:szCs w:val="20"/>
              </w:rPr>
              <w:t xml:space="preserve"> </w:t>
            </w:r>
            <w:r>
              <w:rPr>
                <w:spacing w:val="1"/>
                <w:sz w:val="20"/>
                <w:szCs w:val="20"/>
              </w:rPr>
              <w:t>层</w:t>
            </w:r>
          </w:p>
        </w:tc>
        <w:tc>
          <w:tcPr>
            <w:tcW w:w="2714" w:type="dxa"/>
            <w:vAlign w:val="top"/>
          </w:tcPr>
          <w:p w14:paraId="1101CA56">
            <w:pPr>
              <w:pStyle w:val="6"/>
              <w:spacing w:before="112"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201711AC">
            <w:pPr>
              <w:pStyle w:val="6"/>
              <w:spacing w:before="111"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42F5DC85">
            <w:pPr>
              <w:rPr>
                <w:rFonts w:ascii="Arial"/>
                <w:sz w:val="21"/>
              </w:rPr>
            </w:pPr>
          </w:p>
        </w:tc>
      </w:tr>
      <w:tr w14:paraId="2B484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4B6622CC">
            <w:pPr>
              <w:rPr>
                <w:rFonts w:ascii="Arial"/>
                <w:sz w:val="21"/>
              </w:rPr>
            </w:pPr>
          </w:p>
        </w:tc>
        <w:tc>
          <w:tcPr>
            <w:tcW w:w="278" w:type="dxa"/>
            <w:vMerge w:val="continue"/>
            <w:tcBorders>
              <w:top w:val="nil"/>
              <w:bottom w:val="nil"/>
            </w:tcBorders>
            <w:vAlign w:val="top"/>
          </w:tcPr>
          <w:p w14:paraId="2F054535">
            <w:pPr>
              <w:rPr>
                <w:rFonts w:ascii="Arial"/>
                <w:sz w:val="21"/>
              </w:rPr>
            </w:pPr>
          </w:p>
        </w:tc>
        <w:tc>
          <w:tcPr>
            <w:tcW w:w="744" w:type="dxa"/>
            <w:vMerge w:val="continue"/>
            <w:tcBorders>
              <w:top w:val="nil"/>
              <w:bottom w:val="nil"/>
            </w:tcBorders>
            <w:vAlign w:val="top"/>
          </w:tcPr>
          <w:p w14:paraId="1983C418">
            <w:pPr>
              <w:rPr>
                <w:rFonts w:ascii="Arial"/>
                <w:sz w:val="21"/>
              </w:rPr>
            </w:pPr>
          </w:p>
        </w:tc>
        <w:tc>
          <w:tcPr>
            <w:tcW w:w="1050" w:type="dxa"/>
            <w:vMerge w:val="restart"/>
            <w:tcBorders>
              <w:bottom w:val="nil"/>
            </w:tcBorders>
            <w:vAlign w:val="top"/>
          </w:tcPr>
          <w:p w14:paraId="7B655EF1">
            <w:pPr>
              <w:spacing w:line="310" w:lineRule="auto"/>
              <w:rPr>
                <w:rFonts w:ascii="Arial"/>
                <w:sz w:val="21"/>
              </w:rPr>
            </w:pPr>
          </w:p>
          <w:p w14:paraId="107AF8FE">
            <w:pPr>
              <w:spacing w:line="310" w:lineRule="auto"/>
              <w:rPr>
                <w:rFonts w:ascii="Arial"/>
                <w:sz w:val="21"/>
              </w:rPr>
            </w:pPr>
          </w:p>
          <w:p w14:paraId="3FD2135B">
            <w:pPr>
              <w:pStyle w:val="6"/>
              <w:spacing w:before="65" w:line="228" w:lineRule="auto"/>
              <w:ind w:left="315"/>
              <w:rPr>
                <w:sz w:val="20"/>
                <w:szCs w:val="20"/>
              </w:rPr>
            </w:pPr>
            <w:r>
              <w:rPr>
                <w:rFonts w:ascii="Times New Roman" w:hAnsi="Times New Roman" w:eastAsia="Times New Roman" w:cs="Times New Roman"/>
                <w:spacing w:val="3"/>
                <w:sz w:val="20"/>
                <w:szCs w:val="20"/>
              </w:rPr>
              <w:t>3#</w:t>
            </w:r>
            <w:r>
              <w:rPr>
                <w:spacing w:val="3"/>
                <w:sz w:val="20"/>
                <w:szCs w:val="20"/>
              </w:rPr>
              <w:t>楼</w:t>
            </w:r>
          </w:p>
          <w:p w14:paraId="78BDC117">
            <w:pPr>
              <w:pStyle w:val="6"/>
              <w:spacing w:before="24" w:line="252" w:lineRule="auto"/>
              <w:ind w:left="109" w:right="125" w:firstLine="137"/>
              <w:rPr>
                <w:sz w:val="20"/>
                <w:szCs w:val="20"/>
              </w:rPr>
            </w:pPr>
            <w:r>
              <w:rPr>
                <w:spacing w:val="-5"/>
                <w:sz w:val="20"/>
                <w:szCs w:val="20"/>
              </w:rPr>
              <w:t>占地面</w:t>
            </w:r>
            <w:r>
              <w:rPr>
                <w:sz w:val="20"/>
                <w:szCs w:val="20"/>
              </w:rPr>
              <w:t xml:space="preserve">  </w:t>
            </w:r>
            <w:r>
              <w:rPr>
                <w:spacing w:val="-4"/>
                <w:sz w:val="20"/>
                <w:szCs w:val="20"/>
              </w:rPr>
              <w:t>积</w:t>
            </w:r>
            <w:r>
              <w:rPr>
                <w:spacing w:val="-40"/>
                <w:sz w:val="20"/>
                <w:szCs w:val="20"/>
              </w:rPr>
              <w:t xml:space="preserve"> </w:t>
            </w:r>
            <w:r>
              <w:rPr>
                <w:rFonts w:ascii="Times New Roman" w:hAnsi="Times New Roman" w:eastAsia="Times New Roman" w:cs="Times New Roman"/>
                <w:spacing w:val="-4"/>
                <w:sz w:val="20"/>
                <w:szCs w:val="20"/>
              </w:rPr>
              <w:t>370</w:t>
            </w:r>
            <w:r>
              <w:rPr>
                <w:rFonts w:ascii="Times New Roman" w:hAnsi="Times New Roman" w:eastAsia="Times New Roman" w:cs="Times New Roman"/>
                <w:spacing w:val="19"/>
                <w:sz w:val="20"/>
                <w:szCs w:val="20"/>
              </w:rPr>
              <w:t xml:space="preserve"> </w:t>
            </w:r>
            <w:r>
              <w:rPr>
                <w:spacing w:val="-4"/>
                <w:sz w:val="20"/>
                <w:szCs w:val="20"/>
              </w:rPr>
              <w:t>㎡</w:t>
            </w:r>
          </w:p>
        </w:tc>
        <w:tc>
          <w:tcPr>
            <w:tcW w:w="746" w:type="dxa"/>
            <w:vAlign w:val="top"/>
          </w:tcPr>
          <w:p w14:paraId="79F77C17">
            <w:pPr>
              <w:pStyle w:val="6"/>
              <w:spacing w:before="113" w:line="228" w:lineRule="auto"/>
              <w:ind w:left="20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层</w:t>
            </w:r>
          </w:p>
        </w:tc>
        <w:tc>
          <w:tcPr>
            <w:tcW w:w="2714" w:type="dxa"/>
            <w:vAlign w:val="top"/>
          </w:tcPr>
          <w:p w14:paraId="5E899A08">
            <w:pPr>
              <w:pStyle w:val="6"/>
              <w:spacing w:before="114"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3BED855E">
            <w:pPr>
              <w:pStyle w:val="6"/>
              <w:spacing w:before="113" w:line="228" w:lineRule="auto"/>
              <w:ind w:left="577"/>
              <w:rPr>
                <w:sz w:val="20"/>
                <w:szCs w:val="20"/>
              </w:rPr>
            </w:pPr>
            <w:r>
              <w:rPr>
                <w:spacing w:val="8"/>
                <w:sz w:val="20"/>
                <w:szCs w:val="20"/>
              </w:rPr>
              <w:t>架空和杂物房</w:t>
            </w:r>
          </w:p>
        </w:tc>
        <w:tc>
          <w:tcPr>
            <w:tcW w:w="287" w:type="dxa"/>
            <w:vMerge w:val="continue"/>
            <w:tcBorders>
              <w:top w:val="nil"/>
              <w:bottom w:val="nil"/>
              <w:right w:val="single" w:color="000000" w:sz="6" w:space="0"/>
            </w:tcBorders>
            <w:vAlign w:val="top"/>
          </w:tcPr>
          <w:p w14:paraId="5B753B09">
            <w:pPr>
              <w:rPr>
                <w:rFonts w:ascii="Arial"/>
                <w:sz w:val="21"/>
              </w:rPr>
            </w:pPr>
          </w:p>
        </w:tc>
      </w:tr>
      <w:tr w14:paraId="75CC8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3AFF0ECC">
            <w:pPr>
              <w:rPr>
                <w:rFonts w:ascii="Arial"/>
                <w:sz w:val="21"/>
              </w:rPr>
            </w:pPr>
          </w:p>
        </w:tc>
        <w:tc>
          <w:tcPr>
            <w:tcW w:w="278" w:type="dxa"/>
            <w:vMerge w:val="continue"/>
            <w:tcBorders>
              <w:top w:val="nil"/>
              <w:bottom w:val="nil"/>
            </w:tcBorders>
            <w:vAlign w:val="top"/>
          </w:tcPr>
          <w:p w14:paraId="097BD544">
            <w:pPr>
              <w:rPr>
                <w:rFonts w:ascii="Arial"/>
                <w:sz w:val="21"/>
              </w:rPr>
            </w:pPr>
          </w:p>
        </w:tc>
        <w:tc>
          <w:tcPr>
            <w:tcW w:w="744" w:type="dxa"/>
            <w:vMerge w:val="continue"/>
            <w:tcBorders>
              <w:top w:val="nil"/>
              <w:bottom w:val="nil"/>
            </w:tcBorders>
            <w:vAlign w:val="top"/>
          </w:tcPr>
          <w:p w14:paraId="722C2901">
            <w:pPr>
              <w:rPr>
                <w:rFonts w:ascii="Arial"/>
                <w:sz w:val="21"/>
              </w:rPr>
            </w:pPr>
          </w:p>
        </w:tc>
        <w:tc>
          <w:tcPr>
            <w:tcW w:w="1050" w:type="dxa"/>
            <w:vMerge w:val="continue"/>
            <w:tcBorders>
              <w:top w:val="nil"/>
              <w:bottom w:val="nil"/>
            </w:tcBorders>
            <w:vAlign w:val="top"/>
          </w:tcPr>
          <w:p w14:paraId="09996796">
            <w:pPr>
              <w:rPr>
                <w:rFonts w:ascii="Arial"/>
                <w:sz w:val="21"/>
              </w:rPr>
            </w:pPr>
          </w:p>
        </w:tc>
        <w:tc>
          <w:tcPr>
            <w:tcW w:w="746" w:type="dxa"/>
            <w:vAlign w:val="top"/>
          </w:tcPr>
          <w:p w14:paraId="6B35A35F">
            <w:pPr>
              <w:pStyle w:val="6"/>
              <w:spacing w:before="111" w:line="228" w:lineRule="auto"/>
              <w:ind w:left="18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层</w:t>
            </w:r>
          </w:p>
        </w:tc>
        <w:tc>
          <w:tcPr>
            <w:tcW w:w="2714" w:type="dxa"/>
            <w:vAlign w:val="top"/>
          </w:tcPr>
          <w:p w14:paraId="1AAB087A">
            <w:pPr>
              <w:pStyle w:val="6"/>
              <w:spacing w:before="112"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5014E36B">
            <w:pPr>
              <w:pStyle w:val="6"/>
              <w:spacing w:before="111" w:line="228" w:lineRule="auto"/>
              <w:ind w:left="995"/>
              <w:rPr>
                <w:sz w:val="20"/>
                <w:szCs w:val="20"/>
              </w:rPr>
            </w:pPr>
            <w:r>
              <w:rPr>
                <w:spacing w:val="5"/>
                <w:sz w:val="20"/>
                <w:szCs w:val="20"/>
              </w:rPr>
              <w:t>仓库</w:t>
            </w:r>
          </w:p>
        </w:tc>
        <w:tc>
          <w:tcPr>
            <w:tcW w:w="287" w:type="dxa"/>
            <w:vMerge w:val="continue"/>
            <w:tcBorders>
              <w:top w:val="nil"/>
              <w:bottom w:val="nil"/>
              <w:right w:val="single" w:color="000000" w:sz="6" w:space="0"/>
            </w:tcBorders>
            <w:vAlign w:val="top"/>
          </w:tcPr>
          <w:p w14:paraId="3098EE90">
            <w:pPr>
              <w:rPr>
                <w:rFonts w:ascii="Arial"/>
                <w:sz w:val="21"/>
              </w:rPr>
            </w:pPr>
          </w:p>
        </w:tc>
      </w:tr>
      <w:tr w14:paraId="3CA5D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1D3A1110">
            <w:pPr>
              <w:rPr>
                <w:rFonts w:ascii="Arial"/>
                <w:sz w:val="21"/>
              </w:rPr>
            </w:pPr>
          </w:p>
        </w:tc>
        <w:tc>
          <w:tcPr>
            <w:tcW w:w="278" w:type="dxa"/>
            <w:vMerge w:val="continue"/>
            <w:tcBorders>
              <w:top w:val="nil"/>
              <w:bottom w:val="nil"/>
            </w:tcBorders>
            <w:vAlign w:val="top"/>
          </w:tcPr>
          <w:p w14:paraId="61EEEB17">
            <w:pPr>
              <w:rPr>
                <w:rFonts w:ascii="Arial"/>
                <w:sz w:val="21"/>
              </w:rPr>
            </w:pPr>
          </w:p>
        </w:tc>
        <w:tc>
          <w:tcPr>
            <w:tcW w:w="744" w:type="dxa"/>
            <w:vMerge w:val="continue"/>
            <w:tcBorders>
              <w:top w:val="nil"/>
              <w:bottom w:val="nil"/>
            </w:tcBorders>
            <w:vAlign w:val="top"/>
          </w:tcPr>
          <w:p w14:paraId="02CA90E4">
            <w:pPr>
              <w:rPr>
                <w:rFonts w:ascii="Arial"/>
                <w:sz w:val="21"/>
              </w:rPr>
            </w:pPr>
          </w:p>
        </w:tc>
        <w:tc>
          <w:tcPr>
            <w:tcW w:w="1050" w:type="dxa"/>
            <w:vMerge w:val="continue"/>
            <w:tcBorders>
              <w:top w:val="nil"/>
              <w:bottom w:val="nil"/>
            </w:tcBorders>
            <w:vAlign w:val="top"/>
          </w:tcPr>
          <w:p w14:paraId="4BD0F8C3">
            <w:pPr>
              <w:rPr>
                <w:rFonts w:ascii="Arial"/>
                <w:sz w:val="21"/>
              </w:rPr>
            </w:pPr>
          </w:p>
        </w:tc>
        <w:tc>
          <w:tcPr>
            <w:tcW w:w="746" w:type="dxa"/>
            <w:vAlign w:val="top"/>
          </w:tcPr>
          <w:p w14:paraId="7B4572EE">
            <w:pPr>
              <w:pStyle w:val="6"/>
              <w:spacing w:before="112" w:line="228" w:lineRule="auto"/>
              <w:ind w:left="192"/>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层</w:t>
            </w:r>
          </w:p>
        </w:tc>
        <w:tc>
          <w:tcPr>
            <w:tcW w:w="2714" w:type="dxa"/>
            <w:vAlign w:val="top"/>
          </w:tcPr>
          <w:p w14:paraId="7164640B">
            <w:pPr>
              <w:pStyle w:val="6"/>
              <w:spacing w:before="113"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0D4F436B">
            <w:pPr>
              <w:pStyle w:val="6"/>
              <w:spacing w:before="112"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5FD7EE6A">
            <w:pPr>
              <w:rPr>
                <w:rFonts w:ascii="Arial"/>
                <w:sz w:val="21"/>
              </w:rPr>
            </w:pPr>
          </w:p>
        </w:tc>
      </w:tr>
      <w:tr w14:paraId="74C1B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301B6803">
            <w:pPr>
              <w:rPr>
                <w:rFonts w:ascii="Arial"/>
                <w:sz w:val="21"/>
              </w:rPr>
            </w:pPr>
          </w:p>
        </w:tc>
        <w:tc>
          <w:tcPr>
            <w:tcW w:w="278" w:type="dxa"/>
            <w:vMerge w:val="continue"/>
            <w:tcBorders>
              <w:top w:val="nil"/>
              <w:bottom w:val="nil"/>
            </w:tcBorders>
            <w:vAlign w:val="top"/>
          </w:tcPr>
          <w:p w14:paraId="7B13D55D">
            <w:pPr>
              <w:rPr>
                <w:rFonts w:ascii="Arial"/>
                <w:sz w:val="21"/>
              </w:rPr>
            </w:pPr>
          </w:p>
        </w:tc>
        <w:tc>
          <w:tcPr>
            <w:tcW w:w="744" w:type="dxa"/>
            <w:vMerge w:val="continue"/>
            <w:tcBorders>
              <w:top w:val="nil"/>
              <w:bottom w:val="nil"/>
            </w:tcBorders>
            <w:vAlign w:val="top"/>
          </w:tcPr>
          <w:p w14:paraId="5ACFC2B6">
            <w:pPr>
              <w:rPr>
                <w:rFonts w:ascii="Arial"/>
                <w:sz w:val="21"/>
              </w:rPr>
            </w:pPr>
          </w:p>
        </w:tc>
        <w:tc>
          <w:tcPr>
            <w:tcW w:w="1050" w:type="dxa"/>
            <w:vMerge w:val="continue"/>
            <w:tcBorders>
              <w:top w:val="nil"/>
              <w:bottom w:val="nil"/>
            </w:tcBorders>
            <w:vAlign w:val="top"/>
          </w:tcPr>
          <w:p w14:paraId="3F127557">
            <w:pPr>
              <w:rPr>
                <w:rFonts w:ascii="Arial"/>
                <w:sz w:val="21"/>
              </w:rPr>
            </w:pPr>
          </w:p>
        </w:tc>
        <w:tc>
          <w:tcPr>
            <w:tcW w:w="746" w:type="dxa"/>
            <w:vAlign w:val="top"/>
          </w:tcPr>
          <w:p w14:paraId="01BE5165">
            <w:pPr>
              <w:pStyle w:val="6"/>
              <w:spacing w:before="113" w:line="228" w:lineRule="auto"/>
              <w:ind w:left="187"/>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9"/>
                <w:sz w:val="20"/>
                <w:szCs w:val="20"/>
              </w:rPr>
              <w:t xml:space="preserve"> </w:t>
            </w:r>
            <w:r>
              <w:rPr>
                <w:spacing w:val="1"/>
                <w:sz w:val="20"/>
                <w:szCs w:val="20"/>
              </w:rPr>
              <w:t>层</w:t>
            </w:r>
          </w:p>
        </w:tc>
        <w:tc>
          <w:tcPr>
            <w:tcW w:w="2714" w:type="dxa"/>
            <w:vAlign w:val="top"/>
          </w:tcPr>
          <w:p w14:paraId="2F4DAF2B">
            <w:pPr>
              <w:pStyle w:val="6"/>
              <w:spacing w:before="114"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40AF8CB5">
            <w:pPr>
              <w:pStyle w:val="6"/>
              <w:spacing w:before="113"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0B25BB02">
            <w:pPr>
              <w:rPr>
                <w:rFonts w:ascii="Arial"/>
                <w:sz w:val="21"/>
              </w:rPr>
            </w:pPr>
          </w:p>
        </w:tc>
      </w:tr>
      <w:tr w14:paraId="5B4DF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78" w:type="dxa"/>
            <w:vMerge w:val="continue"/>
            <w:tcBorders>
              <w:top w:val="nil"/>
              <w:left w:val="single" w:color="000000" w:sz="6" w:space="0"/>
              <w:bottom w:val="nil"/>
            </w:tcBorders>
            <w:vAlign w:val="top"/>
          </w:tcPr>
          <w:p w14:paraId="00FA4A93">
            <w:pPr>
              <w:rPr>
                <w:rFonts w:ascii="Arial"/>
                <w:sz w:val="21"/>
              </w:rPr>
            </w:pPr>
          </w:p>
        </w:tc>
        <w:tc>
          <w:tcPr>
            <w:tcW w:w="278" w:type="dxa"/>
            <w:vMerge w:val="continue"/>
            <w:tcBorders>
              <w:top w:val="nil"/>
              <w:bottom w:val="nil"/>
            </w:tcBorders>
            <w:vAlign w:val="top"/>
          </w:tcPr>
          <w:p w14:paraId="7376F52B">
            <w:pPr>
              <w:rPr>
                <w:rFonts w:ascii="Arial"/>
                <w:sz w:val="21"/>
              </w:rPr>
            </w:pPr>
          </w:p>
        </w:tc>
        <w:tc>
          <w:tcPr>
            <w:tcW w:w="744" w:type="dxa"/>
            <w:vMerge w:val="continue"/>
            <w:tcBorders>
              <w:top w:val="nil"/>
              <w:bottom w:val="nil"/>
            </w:tcBorders>
            <w:vAlign w:val="top"/>
          </w:tcPr>
          <w:p w14:paraId="54357ED3">
            <w:pPr>
              <w:rPr>
                <w:rFonts w:ascii="Arial"/>
                <w:sz w:val="21"/>
              </w:rPr>
            </w:pPr>
          </w:p>
        </w:tc>
        <w:tc>
          <w:tcPr>
            <w:tcW w:w="1050" w:type="dxa"/>
            <w:vMerge w:val="continue"/>
            <w:tcBorders>
              <w:top w:val="nil"/>
            </w:tcBorders>
            <w:vAlign w:val="top"/>
          </w:tcPr>
          <w:p w14:paraId="3B841DBA">
            <w:pPr>
              <w:rPr>
                <w:rFonts w:ascii="Arial"/>
                <w:sz w:val="21"/>
              </w:rPr>
            </w:pPr>
          </w:p>
        </w:tc>
        <w:tc>
          <w:tcPr>
            <w:tcW w:w="746" w:type="dxa"/>
            <w:vAlign w:val="top"/>
          </w:tcPr>
          <w:p w14:paraId="57115EA6">
            <w:pPr>
              <w:pStyle w:val="6"/>
              <w:spacing w:before="111" w:line="228" w:lineRule="auto"/>
              <w:ind w:left="193"/>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9"/>
                <w:sz w:val="20"/>
                <w:szCs w:val="20"/>
              </w:rPr>
              <w:t xml:space="preserve"> </w:t>
            </w:r>
            <w:r>
              <w:rPr>
                <w:spacing w:val="-3"/>
                <w:sz w:val="20"/>
                <w:szCs w:val="20"/>
              </w:rPr>
              <w:t>层</w:t>
            </w:r>
          </w:p>
        </w:tc>
        <w:tc>
          <w:tcPr>
            <w:tcW w:w="2714" w:type="dxa"/>
            <w:vAlign w:val="top"/>
          </w:tcPr>
          <w:p w14:paraId="11F71439">
            <w:pPr>
              <w:pStyle w:val="6"/>
              <w:spacing w:before="112" w:line="228" w:lineRule="auto"/>
              <w:ind w:left="134"/>
              <w:rPr>
                <w:sz w:val="20"/>
                <w:szCs w:val="20"/>
              </w:rPr>
            </w:pPr>
            <w:r>
              <w:rPr>
                <w:spacing w:val="3"/>
                <w:sz w:val="20"/>
                <w:szCs w:val="20"/>
              </w:rPr>
              <w:t>旧有建筑，建筑面积</w:t>
            </w:r>
            <w:r>
              <w:rPr>
                <w:spacing w:val="-32"/>
                <w:sz w:val="20"/>
                <w:szCs w:val="20"/>
              </w:rPr>
              <w:t xml:space="preserve"> </w:t>
            </w:r>
            <w:r>
              <w:rPr>
                <w:rFonts w:ascii="Times New Roman" w:hAnsi="Times New Roman" w:eastAsia="Times New Roman" w:cs="Times New Roman"/>
                <w:spacing w:val="3"/>
                <w:sz w:val="20"/>
                <w:szCs w:val="20"/>
              </w:rPr>
              <w:t>980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35698FA8">
            <w:pPr>
              <w:pStyle w:val="6"/>
              <w:spacing w:before="111"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5D504BD3">
            <w:pPr>
              <w:rPr>
                <w:rFonts w:ascii="Arial"/>
                <w:sz w:val="21"/>
              </w:rPr>
            </w:pPr>
          </w:p>
        </w:tc>
      </w:tr>
      <w:tr w14:paraId="3E170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778" w:type="dxa"/>
            <w:vMerge w:val="continue"/>
            <w:tcBorders>
              <w:top w:val="nil"/>
              <w:left w:val="single" w:color="000000" w:sz="6" w:space="0"/>
              <w:bottom w:val="single" w:color="000000" w:sz="6" w:space="0"/>
            </w:tcBorders>
            <w:vAlign w:val="top"/>
          </w:tcPr>
          <w:p w14:paraId="540A125E">
            <w:pPr>
              <w:rPr>
                <w:rFonts w:ascii="Arial"/>
                <w:sz w:val="21"/>
              </w:rPr>
            </w:pPr>
          </w:p>
        </w:tc>
        <w:tc>
          <w:tcPr>
            <w:tcW w:w="278" w:type="dxa"/>
            <w:vMerge w:val="continue"/>
            <w:tcBorders>
              <w:top w:val="nil"/>
              <w:bottom w:val="single" w:color="000000" w:sz="6" w:space="0"/>
            </w:tcBorders>
            <w:vAlign w:val="top"/>
          </w:tcPr>
          <w:p w14:paraId="3258BD88">
            <w:pPr>
              <w:rPr>
                <w:rFonts w:ascii="Arial"/>
                <w:sz w:val="21"/>
              </w:rPr>
            </w:pPr>
          </w:p>
        </w:tc>
        <w:tc>
          <w:tcPr>
            <w:tcW w:w="744" w:type="dxa"/>
            <w:vMerge w:val="continue"/>
            <w:tcBorders>
              <w:top w:val="nil"/>
              <w:bottom w:val="single" w:color="000000" w:sz="6" w:space="0"/>
            </w:tcBorders>
            <w:vAlign w:val="top"/>
          </w:tcPr>
          <w:p w14:paraId="628ACEED">
            <w:pPr>
              <w:rPr>
                <w:rFonts w:ascii="Arial"/>
                <w:sz w:val="21"/>
              </w:rPr>
            </w:pPr>
          </w:p>
        </w:tc>
        <w:tc>
          <w:tcPr>
            <w:tcW w:w="1050" w:type="dxa"/>
            <w:tcBorders>
              <w:bottom w:val="single" w:color="000000" w:sz="6" w:space="0"/>
            </w:tcBorders>
            <w:vAlign w:val="top"/>
          </w:tcPr>
          <w:p w14:paraId="01435B51">
            <w:pPr>
              <w:pStyle w:val="6"/>
              <w:spacing w:before="43"/>
              <w:ind w:left="179" w:right="204" w:firstLine="27"/>
              <w:jc w:val="both"/>
              <w:rPr>
                <w:sz w:val="20"/>
                <w:szCs w:val="20"/>
              </w:rPr>
            </w:pPr>
            <w:r>
              <w:rPr>
                <w:rFonts w:ascii="Times New Roman" w:hAnsi="Times New Roman" w:eastAsia="Times New Roman" w:cs="Times New Roman"/>
                <w:spacing w:val="6"/>
                <w:sz w:val="20"/>
                <w:szCs w:val="20"/>
              </w:rPr>
              <w:t>4#</w:t>
            </w:r>
            <w:r>
              <w:rPr>
                <w:spacing w:val="6"/>
                <w:sz w:val="20"/>
                <w:szCs w:val="20"/>
              </w:rPr>
              <w:t>楼占</w:t>
            </w:r>
            <w:r>
              <w:rPr>
                <w:sz w:val="20"/>
                <w:szCs w:val="20"/>
              </w:rPr>
              <w:t xml:space="preserve"> </w:t>
            </w:r>
            <w:r>
              <w:rPr>
                <w:spacing w:val="17"/>
                <w:sz w:val="20"/>
                <w:szCs w:val="20"/>
              </w:rPr>
              <w:t>地面积</w:t>
            </w:r>
            <w:r>
              <w:rPr>
                <w:spacing w:val="1"/>
                <w:sz w:val="20"/>
                <w:szCs w:val="20"/>
              </w:rPr>
              <w:t xml:space="preserve"> </w:t>
            </w:r>
            <w:r>
              <w:rPr>
                <w:rFonts w:ascii="Times New Roman" w:hAnsi="Times New Roman" w:eastAsia="Times New Roman" w:cs="Times New Roman"/>
                <w:spacing w:val="-2"/>
                <w:sz w:val="20"/>
                <w:szCs w:val="20"/>
              </w:rPr>
              <w:t>2300</w:t>
            </w:r>
            <w:r>
              <w:rPr>
                <w:rFonts w:ascii="Times New Roman" w:hAnsi="Times New Roman" w:eastAsia="Times New Roman" w:cs="Times New Roman"/>
                <w:spacing w:val="19"/>
                <w:sz w:val="20"/>
                <w:szCs w:val="20"/>
              </w:rPr>
              <w:t xml:space="preserve"> </w:t>
            </w:r>
            <w:r>
              <w:rPr>
                <w:spacing w:val="-2"/>
                <w:sz w:val="20"/>
                <w:szCs w:val="20"/>
              </w:rPr>
              <w:t>㎡</w:t>
            </w:r>
          </w:p>
        </w:tc>
        <w:tc>
          <w:tcPr>
            <w:tcW w:w="746" w:type="dxa"/>
            <w:tcBorders>
              <w:bottom w:val="single" w:color="000000" w:sz="6" w:space="0"/>
            </w:tcBorders>
            <w:vAlign w:val="top"/>
          </w:tcPr>
          <w:p w14:paraId="411FCDC8">
            <w:pPr>
              <w:spacing w:line="248" w:lineRule="auto"/>
              <w:rPr>
                <w:rFonts w:ascii="Arial"/>
                <w:sz w:val="21"/>
              </w:rPr>
            </w:pPr>
          </w:p>
          <w:p w14:paraId="243E7811">
            <w:pPr>
              <w:pStyle w:val="6"/>
              <w:spacing w:before="65" w:line="228" w:lineRule="auto"/>
              <w:ind w:left="20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层</w:t>
            </w:r>
          </w:p>
        </w:tc>
        <w:tc>
          <w:tcPr>
            <w:tcW w:w="2714" w:type="dxa"/>
            <w:tcBorders>
              <w:bottom w:val="single" w:color="000000" w:sz="6" w:space="0"/>
            </w:tcBorders>
            <w:vAlign w:val="top"/>
          </w:tcPr>
          <w:p w14:paraId="6F7629E2">
            <w:pPr>
              <w:spacing w:line="249" w:lineRule="auto"/>
              <w:rPr>
                <w:rFonts w:ascii="Arial"/>
                <w:sz w:val="21"/>
              </w:rPr>
            </w:pPr>
          </w:p>
          <w:p w14:paraId="04B66BE6">
            <w:pPr>
              <w:pStyle w:val="6"/>
              <w:spacing w:before="65" w:line="228" w:lineRule="auto"/>
              <w:ind w:left="260"/>
              <w:rPr>
                <w:sz w:val="20"/>
                <w:szCs w:val="20"/>
              </w:rPr>
            </w:pPr>
            <w:r>
              <w:rPr>
                <w:spacing w:val="6"/>
                <w:sz w:val="20"/>
                <w:szCs w:val="20"/>
              </w:rPr>
              <w:t>新建，建筑面积</w:t>
            </w:r>
            <w:r>
              <w:rPr>
                <w:spacing w:val="-40"/>
                <w:sz w:val="20"/>
                <w:szCs w:val="20"/>
              </w:rPr>
              <w:t xml:space="preserve"> </w:t>
            </w:r>
            <w:r>
              <w:rPr>
                <w:rFonts w:ascii="Times New Roman" w:hAnsi="Times New Roman" w:eastAsia="Times New Roman" w:cs="Times New Roman"/>
                <w:spacing w:val="6"/>
                <w:sz w:val="20"/>
                <w:szCs w:val="20"/>
              </w:rPr>
              <w:t>2300</w:t>
            </w:r>
            <w:r>
              <w:rPr>
                <w:rFonts w:ascii="Times New Roman" w:hAnsi="Times New Roman" w:eastAsia="Times New Roman" w:cs="Times New Roman"/>
                <w:spacing w:val="21"/>
                <w:w w:val="101"/>
                <w:sz w:val="20"/>
                <w:szCs w:val="20"/>
              </w:rPr>
              <w:t xml:space="preserve"> </w:t>
            </w:r>
            <w:r>
              <w:rPr>
                <w:spacing w:val="6"/>
                <w:sz w:val="20"/>
                <w:szCs w:val="20"/>
              </w:rPr>
              <w:t>㎡</w:t>
            </w:r>
          </w:p>
        </w:tc>
        <w:tc>
          <w:tcPr>
            <w:tcW w:w="2391" w:type="dxa"/>
            <w:tcBorders>
              <w:bottom w:val="single" w:color="000000" w:sz="6" w:space="0"/>
            </w:tcBorders>
            <w:vAlign w:val="top"/>
          </w:tcPr>
          <w:p w14:paraId="51B03DD6">
            <w:pPr>
              <w:pStyle w:val="6"/>
              <w:spacing w:before="180" w:line="252" w:lineRule="auto"/>
              <w:ind w:left="367" w:right="139" w:hanging="210"/>
              <w:rPr>
                <w:sz w:val="20"/>
                <w:szCs w:val="20"/>
              </w:rPr>
            </w:pPr>
            <w:r>
              <w:rPr>
                <w:spacing w:val="8"/>
                <w:sz w:val="20"/>
                <w:szCs w:val="20"/>
              </w:rPr>
              <w:t>彩钢瓦单层建筑，作为</w:t>
            </w:r>
            <w:r>
              <w:rPr>
                <w:spacing w:val="7"/>
                <w:sz w:val="20"/>
                <w:szCs w:val="20"/>
              </w:rPr>
              <w:t xml:space="preserve"> </w:t>
            </w:r>
            <w:r>
              <w:rPr>
                <w:spacing w:val="8"/>
                <w:sz w:val="20"/>
                <w:szCs w:val="20"/>
              </w:rPr>
              <w:t>宝石泡酸加工车间</w:t>
            </w:r>
          </w:p>
        </w:tc>
        <w:tc>
          <w:tcPr>
            <w:tcW w:w="287" w:type="dxa"/>
            <w:vMerge w:val="continue"/>
            <w:tcBorders>
              <w:top w:val="nil"/>
              <w:bottom w:val="single" w:color="000000" w:sz="6" w:space="0"/>
              <w:right w:val="single" w:color="000000" w:sz="6" w:space="0"/>
            </w:tcBorders>
            <w:vAlign w:val="top"/>
          </w:tcPr>
          <w:p w14:paraId="1A2216FB">
            <w:pPr>
              <w:rPr>
                <w:rFonts w:ascii="Arial"/>
                <w:sz w:val="21"/>
              </w:rPr>
            </w:pPr>
          </w:p>
        </w:tc>
      </w:tr>
    </w:tbl>
    <w:p w14:paraId="24DC04E8">
      <w:pPr>
        <w:rPr>
          <w:rFonts w:ascii="Arial"/>
          <w:sz w:val="21"/>
        </w:rPr>
      </w:pPr>
    </w:p>
    <w:p w14:paraId="10CC969C">
      <w:pPr>
        <w:rPr>
          <w:rFonts w:ascii="Arial" w:hAnsi="Arial" w:eastAsia="Arial" w:cs="Arial"/>
          <w:sz w:val="21"/>
          <w:szCs w:val="21"/>
        </w:rPr>
        <w:sectPr>
          <w:footerReference r:id="rId22" w:type="default"/>
          <w:pgSz w:w="11906" w:h="16839"/>
          <w:pgMar w:top="400" w:right="1451" w:bottom="1240" w:left="1451" w:header="0" w:footer="1078" w:gutter="0"/>
          <w:cols w:space="720" w:num="1"/>
        </w:sectPr>
      </w:pPr>
    </w:p>
    <w:p w14:paraId="7A6605D2">
      <w:pPr>
        <w:spacing w:before="19"/>
      </w:pPr>
    </w:p>
    <w:p w14:paraId="630FE065">
      <w:pPr>
        <w:spacing w:before="19"/>
      </w:pPr>
    </w:p>
    <w:p w14:paraId="46825C5F">
      <w:pPr>
        <w:spacing w:before="19"/>
      </w:pPr>
    </w:p>
    <w:p w14:paraId="7F528D14">
      <w:pPr>
        <w:spacing w:before="18"/>
      </w:pPr>
    </w:p>
    <w:p w14:paraId="06A3998C">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278"/>
        <w:gridCol w:w="744"/>
        <w:gridCol w:w="589"/>
        <w:gridCol w:w="461"/>
        <w:gridCol w:w="746"/>
        <w:gridCol w:w="2714"/>
        <w:gridCol w:w="2391"/>
        <w:gridCol w:w="287"/>
      </w:tblGrid>
      <w:tr w14:paraId="112D4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dxa"/>
            <w:vMerge w:val="restart"/>
            <w:tcBorders>
              <w:top w:val="single" w:color="000000" w:sz="6" w:space="0"/>
              <w:left w:val="single" w:color="000000" w:sz="6" w:space="0"/>
              <w:bottom w:val="nil"/>
            </w:tcBorders>
            <w:vAlign w:val="top"/>
          </w:tcPr>
          <w:p w14:paraId="3CBAC7FC">
            <w:pPr>
              <w:rPr>
                <w:rFonts w:ascii="Arial"/>
                <w:sz w:val="21"/>
              </w:rPr>
            </w:pPr>
          </w:p>
        </w:tc>
        <w:tc>
          <w:tcPr>
            <w:tcW w:w="278" w:type="dxa"/>
            <w:vMerge w:val="restart"/>
            <w:tcBorders>
              <w:top w:val="single" w:color="000000" w:sz="6" w:space="0"/>
              <w:bottom w:val="nil"/>
            </w:tcBorders>
            <w:vAlign w:val="top"/>
          </w:tcPr>
          <w:p w14:paraId="2E201184">
            <w:pPr>
              <w:rPr>
                <w:rFonts w:ascii="Arial"/>
                <w:sz w:val="21"/>
              </w:rPr>
            </w:pPr>
          </w:p>
        </w:tc>
        <w:tc>
          <w:tcPr>
            <w:tcW w:w="744" w:type="dxa"/>
            <w:vMerge w:val="restart"/>
            <w:tcBorders>
              <w:top w:val="single" w:color="000000" w:sz="6" w:space="0"/>
              <w:bottom w:val="nil"/>
            </w:tcBorders>
            <w:vAlign w:val="top"/>
          </w:tcPr>
          <w:p w14:paraId="38A0CAA3">
            <w:pPr>
              <w:rPr>
                <w:rFonts w:ascii="Arial"/>
                <w:sz w:val="21"/>
              </w:rPr>
            </w:pPr>
          </w:p>
        </w:tc>
        <w:tc>
          <w:tcPr>
            <w:tcW w:w="1050" w:type="dxa"/>
            <w:gridSpan w:val="2"/>
            <w:vMerge w:val="restart"/>
            <w:tcBorders>
              <w:top w:val="single" w:color="000000" w:sz="6" w:space="0"/>
              <w:bottom w:val="nil"/>
            </w:tcBorders>
            <w:vAlign w:val="top"/>
          </w:tcPr>
          <w:p w14:paraId="700C7525">
            <w:pPr>
              <w:spacing w:line="439" w:lineRule="auto"/>
              <w:rPr>
                <w:rFonts w:ascii="Arial"/>
                <w:sz w:val="21"/>
              </w:rPr>
            </w:pPr>
          </w:p>
          <w:p w14:paraId="099FB828">
            <w:pPr>
              <w:pStyle w:val="6"/>
              <w:spacing w:before="65" w:line="228" w:lineRule="auto"/>
              <w:ind w:left="214"/>
              <w:rPr>
                <w:sz w:val="20"/>
                <w:szCs w:val="20"/>
              </w:rPr>
            </w:pPr>
            <w:r>
              <w:rPr>
                <w:rFonts w:ascii="Times New Roman" w:hAnsi="Times New Roman" w:eastAsia="Times New Roman" w:cs="Times New Roman"/>
                <w:spacing w:val="4"/>
                <w:sz w:val="20"/>
                <w:szCs w:val="20"/>
              </w:rPr>
              <w:t>5#</w:t>
            </w:r>
            <w:r>
              <w:rPr>
                <w:spacing w:val="4"/>
                <w:sz w:val="20"/>
                <w:szCs w:val="20"/>
              </w:rPr>
              <w:t>楼占</w:t>
            </w:r>
          </w:p>
          <w:p w14:paraId="53B72A4A">
            <w:pPr>
              <w:pStyle w:val="6"/>
              <w:spacing w:before="27" w:line="228" w:lineRule="auto"/>
              <w:ind w:left="212"/>
              <w:rPr>
                <w:sz w:val="20"/>
                <w:szCs w:val="20"/>
              </w:rPr>
            </w:pPr>
            <w:r>
              <w:rPr>
                <w:spacing w:val="6"/>
                <w:sz w:val="20"/>
                <w:szCs w:val="20"/>
              </w:rPr>
              <w:t>地面积</w:t>
            </w:r>
          </w:p>
          <w:p w14:paraId="482E5AC8">
            <w:pPr>
              <w:pStyle w:val="6"/>
              <w:spacing w:before="23" w:line="264" w:lineRule="exact"/>
              <w:ind w:left="238"/>
              <w:rPr>
                <w:sz w:val="20"/>
                <w:szCs w:val="20"/>
              </w:rPr>
            </w:pPr>
            <w:r>
              <w:rPr>
                <w:rFonts w:ascii="Times New Roman" w:hAnsi="Times New Roman" w:eastAsia="Times New Roman" w:cs="Times New Roman"/>
                <w:spacing w:val="1"/>
                <w:position w:val="1"/>
                <w:sz w:val="20"/>
                <w:szCs w:val="20"/>
              </w:rPr>
              <w:t>960</w:t>
            </w:r>
            <w:r>
              <w:rPr>
                <w:rFonts w:ascii="Times New Roman" w:hAnsi="Times New Roman" w:eastAsia="Times New Roman" w:cs="Times New Roman"/>
                <w:spacing w:val="18"/>
                <w:w w:val="101"/>
                <w:position w:val="1"/>
                <w:sz w:val="20"/>
                <w:szCs w:val="20"/>
              </w:rPr>
              <w:t xml:space="preserve"> </w:t>
            </w:r>
            <w:r>
              <w:rPr>
                <w:spacing w:val="1"/>
                <w:position w:val="1"/>
                <w:sz w:val="20"/>
                <w:szCs w:val="20"/>
              </w:rPr>
              <w:t>㎡</w:t>
            </w:r>
          </w:p>
          <w:p w14:paraId="63D0B149">
            <w:pPr>
              <w:pStyle w:val="6"/>
              <w:spacing w:before="9" w:line="228" w:lineRule="auto"/>
              <w:ind w:left="222"/>
              <w:rPr>
                <w:sz w:val="20"/>
                <w:szCs w:val="20"/>
              </w:rPr>
            </w:pPr>
            <w:r>
              <w:rPr>
                <w:spacing w:val="2"/>
                <w:sz w:val="20"/>
                <w:szCs w:val="20"/>
              </w:rPr>
              <w:t>（实际</w:t>
            </w:r>
          </w:p>
          <w:p w14:paraId="6EBACB53">
            <w:pPr>
              <w:pStyle w:val="6"/>
              <w:spacing w:before="25" w:line="228" w:lineRule="auto"/>
              <w:ind w:left="112"/>
              <w:rPr>
                <w:sz w:val="20"/>
                <w:szCs w:val="20"/>
              </w:rPr>
            </w:pPr>
            <w:r>
              <w:rPr>
                <w:spacing w:val="4"/>
                <w:sz w:val="20"/>
                <w:szCs w:val="20"/>
              </w:rPr>
              <w:t>未建设）</w:t>
            </w:r>
          </w:p>
        </w:tc>
        <w:tc>
          <w:tcPr>
            <w:tcW w:w="746" w:type="dxa"/>
            <w:tcBorders>
              <w:top w:val="single" w:color="000000" w:sz="6" w:space="0"/>
            </w:tcBorders>
            <w:vAlign w:val="top"/>
          </w:tcPr>
          <w:p w14:paraId="63166883">
            <w:pPr>
              <w:pStyle w:val="6"/>
              <w:spacing w:before="190" w:line="228" w:lineRule="auto"/>
              <w:ind w:left="20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层</w:t>
            </w:r>
          </w:p>
        </w:tc>
        <w:tc>
          <w:tcPr>
            <w:tcW w:w="2714" w:type="dxa"/>
            <w:tcBorders>
              <w:top w:val="single" w:color="000000" w:sz="6" w:space="0"/>
            </w:tcBorders>
            <w:vAlign w:val="top"/>
          </w:tcPr>
          <w:p w14:paraId="3C0F3872">
            <w:pPr>
              <w:pStyle w:val="6"/>
              <w:spacing w:before="191" w:line="228" w:lineRule="auto"/>
              <w:ind w:left="313"/>
              <w:rPr>
                <w:sz w:val="20"/>
                <w:szCs w:val="20"/>
              </w:rPr>
            </w:pPr>
            <w:r>
              <w:rPr>
                <w:spacing w:val="6"/>
                <w:sz w:val="20"/>
                <w:szCs w:val="20"/>
              </w:rPr>
              <w:t>新建，建筑面积</w:t>
            </w:r>
            <w:r>
              <w:rPr>
                <w:spacing w:val="-39"/>
                <w:sz w:val="20"/>
                <w:szCs w:val="20"/>
              </w:rPr>
              <w:t xml:space="preserve"> </w:t>
            </w:r>
            <w:r>
              <w:rPr>
                <w:rFonts w:ascii="Times New Roman" w:hAnsi="Times New Roman" w:eastAsia="Times New Roman" w:cs="Times New Roman"/>
                <w:spacing w:val="6"/>
                <w:sz w:val="20"/>
                <w:szCs w:val="20"/>
              </w:rPr>
              <w:t>960</w:t>
            </w:r>
            <w:r>
              <w:rPr>
                <w:rFonts w:ascii="Times New Roman" w:hAnsi="Times New Roman" w:eastAsia="Times New Roman" w:cs="Times New Roman"/>
                <w:spacing w:val="21"/>
                <w:sz w:val="20"/>
                <w:szCs w:val="20"/>
              </w:rPr>
              <w:t xml:space="preserve"> </w:t>
            </w:r>
            <w:r>
              <w:rPr>
                <w:spacing w:val="6"/>
                <w:sz w:val="20"/>
                <w:szCs w:val="20"/>
              </w:rPr>
              <w:t>㎡</w:t>
            </w:r>
          </w:p>
        </w:tc>
        <w:tc>
          <w:tcPr>
            <w:tcW w:w="2391" w:type="dxa"/>
            <w:tcBorders>
              <w:top w:val="single" w:color="000000" w:sz="6" w:space="0"/>
            </w:tcBorders>
            <w:vAlign w:val="top"/>
          </w:tcPr>
          <w:p w14:paraId="6E858587">
            <w:pPr>
              <w:pStyle w:val="6"/>
              <w:spacing w:before="190" w:line="228" w:lineRule="auto"/>
              <w:ind w:left="157"/>
              <w:rPr>
                <w:sz w:val="20"/>
                <w:szCs w:val="20"/>
              </w:rPr>
            </w:pPr>
            <w:r>
              <w:rPr>
                <w:spacing w:val="8"/>
                <w:sz w:val="20"/>
                <w:szCs w:val="20"/>
              </w:rPr>
              <w:t>作为宝石注胶加工车间</w:t>
            </w:r>
          </w:p>
        </w:tc>
        <w:tc>
          <w:tcPr>
            <w:tcW w:w="287" w:type="dxa"/>
            <w:vMerge w:val="restart"/>
            <w:tcBorders>
              <w:top w:val="single" w:color="000000" w:sz="6" w:space="0"/>
              <w:bottom w:val="nil"/>
              <w:right w:val="single" w:color="000000" w:sz="6" w:space="0"/>
            </w:tcBorders>
            <w:vAlign w:val="top"/>
          </w:tcPr>
          <w:p w14:paraId="24F266D1">
            <w:pPr>
              <w:rPr>
                <w:rFonts w:ascii="Arial"/>
                <w:sz w:val="21"/>
              </w:rPr>
            </w:pPr>
          </w:p>
        </w:tc>
      </w:tr>
      <w:tr w14:paraId="4BC17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14564E32">
            <w:pPr>
              <w:rPr>
                <w:rFonts w:ascii="Arial"/>
                <w:sz w:val="21"/>
              </w:rPr>
            </w:pPr>
          </w:p>
        </w:tc>
        <w:tc>
          <w:tcPr>
            <w:tcW w:w="278" w:type="dxa"/>
            <w:vMerge w:val="continue"/>
            <w:tcBorders>
              <w:top w:val="nil"/>
              <w:bottom w:val="nil"/>
            </w:tcBorders>
            <w:vAlign w:val="top"/>
          </w:tcPr>
          <w:p w14:paraId="243236EC">
            <w:pPr>
              <w:rPr>
                <w:rFonts w:ascii="Arial"/>
                <w:sz w:val="21"/>
              </w:rPr>
            </w:pPr>
          </w:p>
        </w:tc>
        <w:tc>
          <w:tcPr>
            <w:tcW w:w="744" w:type="dxa"/>
            <w:vMerge w:val="continue"/>
            <w:tcBorders>
              <w:top w:val="nil"/>
              <w:bottom w:val="nil"/>
            </w:tcBorders>
            <w:vAlign w:val="top"/>
          </w:tcPr>
          <w:p w14:paraId="738B0842">
            <w:pPr>
              <w:rPr>
                <w:rFonts w:ascii="Arial"/>
                <w:sz w:val="21"/>
              </w:rPr>
            </w:pPr>
          </w:p>
        </w:tc>
        <w:tc>
          <w:tcPr>
            <w:tcW w:w="1050" w:type="dxa"/>
            <w:gridSpan w:val="2"/>
            <w:vMerge w:val="continue"/>
            <w:tcBorders>
              <w:top w:val="nil"/>
              <w:bottom w:val="nil"/>
            </w:tcBorders>
            <w:vAlign w:val="top"/>
          </w:tcPr>
          <w:p w14:paraId="2C078D8D">
            <w:pPr>
              <w:rPr>
                <w:rFonts w:ascii="Arial"/>
                <w:sz w:val="21"/>
              </w:rPr>
            </w:pPr>
          </w:p>
        </w:tc>
        <w:tc>
          <w:tcPr>
            <w:tcW w:w="746" w:type="dxa"/>
            <w:vAlign w:val="top"/>
          </w:tcPr>
          <w:p w14:paraId="7934C071">
            <w:pPr>
              <w:pStyle w:val="6"/>
              <w:spacing w:before="176" w:line="228" w:lineRule="auto"/>
              <w:ind w:left="18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层</w:t>
            </w:r>
          </w:p>
        </w:tc>
        <w:tc>
          <w:tcPr>
            <w:tcW w:w="2714" w:type="dxa"/>
            <w:vAlign w:val="top"/>
          </w:tcPr>
          <w:p w14:paraId="597C761D">
            <w:pPr>
              <w:pStyle w:val="6"/>
              <w:spacing w:before="177" w:line="228" w:lineRule="auto"/>
              <w:ind w:left="313"/>
              <w:rPr>
                <w:sz w:val="20"/>
                <w:szCs w:val="20"/>
              </w:rPr>
            </w:pPr>
            <w:r>
              <w:rPr>
                <w:spacing w:val="6"/>
                <w:sz w:val="20"/>
                <w:szCs w:val="20"/>
              </w:rPr>
              <w:t>新建，建筑面积</w:t>
            </w:r>
            <w:r>
              <w:rPr>
                <w:spacing w:val="-39"/>
                <w:sz w:val="20"/>
                <w:szCs w:val="20"/>
              </w:rPr>
              <w:t xml:space="preserve"> </w:t>
            </w:r>
            <w:r>
              <w:rPr>
                <w:rFonts w:ascii="Times New Roman" w:hAnsi="Times New Roman" w:eastAsia="Times New Roman" w:cs="Times New Roman"/>
                <w:spacing w:val="6"/>
                <w:sz w:val="20"/>
                <w:szCs w:val="20"/>
              </w:rPr>
              <w:t>960</w:t>
            </w:r>
            <w:r>
              <w:rPr>
                <w:rFonts w:ascii="Times New Roman" w:hAnsi="Times New Roman" w:eastAsia="Times New Roman" w:cs="Times New Roman"/>
                <w:spacing w:val="21"/>
                <w:sz w:val="20"/>
                <w:szCs w:val="20"/>
              </w:rPr>
              <w:t xml:space="preserve"> </w:t>
            </w:r>
            <w:r>
              <w:rPr>
                <w:spacing w:val="6"/>
                <w:sz w:val="20"/>
                <w:szCs w:val="20"/>
              </w:rPr>
              <w:t>㎡</w:t>
            </w:r>
          </w:p>
        </w:tc>
        <w:tc>
          <w:tcPr>
            <w:tcW w:w="2391" w:type="dxa"/>
            <w:vAlign w:val="top"/>
          </w:tcPr>
          <w:p w14:paraId="77A8E178">
            <w:pPr>
              <w:pStyle w:val="6"/>
              <w:spacing w:before="176" w:line="228" w:lineRule="auto"/>
              <w:ind w:left="157"/>
              <w:rPr>
                <w:sz w:val="20"/>
                <w:szCs w:val="20"/>
              </w:rPr>
            </w:pPr>
            <w:r>
              <w:rPr>
                <w:spacing w:val="8"/>
                <w:sz w:val="20"/>
                <w:szCs w:val="20"/>
              </w:rPr>
              <w:t>作为宝石注胶加工车间</w:t>
            </w:r>
          </w:p>
        </w:tc>
        <w:tc>
          <w:tcPr>
            <w:tcW w:w="287" w:type="dxa"/>
            <w:vMerge w:val="continue"/>
            <w:tcBorders>
              <w:top w:val="nil"/>
              <w:bottom w:val="nil"/>
              <w:right w:val="single" w:color="000000" w:sz="6" w:space="0"/>
            </w:tcBorders>
            <w:vAlign w:val="top"/>
          </w:tcPr>
          <w:p w14:paraId="28A16835">
            <w:pPr>
              <w:rPr>
                <w:rFonts w:ascii="Arial"/>
                <w:sz w:val="21"/>
              </w:rPr>
            </w:pPr>
          </w:p>
        </w:tc>
      </w:tr>
      <w:tr w14:paraId="075C4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2B9A2C1E">
            <w:pPr>
              <w:rPr>
                <w:rFonts w:ascii="Arial"/>
                <w:sz w:val="21"/>
              </w:rPr>
            </w:pPr>
          </w:p>
        </w:tc>
        <w:tc>
          <w:tcPr>
            <w:tcW w:w="278" w:type="dxa"/>
            <w:vMerge w:val="continue"/>
            <w:tcBorders>
              <w:top w:val="nil"/>
              <w:bottom w:val="nil"/>
            </w:tcBorders>
            <w:vAlign w:val="top"/>
          </w:tcPr>
          <w:p w14:paraId="6DA63E8C">
            <w:pPr>
              <w:rPr>
                <w:rFonts w:ascii="Arial"/>
                <w:sz w:val="21"/>
              </w:rPr>
            </w:pPr>
          </w:p>
        </w:tc>
        <w:tc>
          <w:tcPr>
            <w:tcW w:w="744" w:type="dxa"/>
            <w:vMerge w:val="continue"/>
            <w:tcBorders>
              <w:top w:val="nil"/>
              <w:bottom w:val="nil"/>
            </w:tcBorders>
            <w:vAlign w:val="top"/>
          </w:tcPr>
          <w:p w14:paraId="1A28E1CB">
            <w:pPr>
              <w:rPr>
                <w:rFonts w:ascii="Arial"/>
                <w:sz w:val="21"/>
              </w:rPr>
            </w:pPr>
          </w:p>
        </w:tc>
        <w:tc>
          <w:tcPr>
            <w:tcW w:w="1050" w:type="dxa"/>
            <w:gridSpan w:val="2"/>
            <w:vMerge w:val="continue"/>
            <w:tcBorders>
              <w:top w:val="nil"/>
              <w:bottom w:val="nil"/>
            </w:tcBorders>
            <w:vAlign w:val="top"/>
          </w:tcPr>
          <w:p w14:paraId="2C6939DE">
            <w:pPr>
              <w:rPr>
                <w:rFonts w:ascii="Arial"/>
                <w:sz w:val="21"/>
              </w:rPr>
            </w:pPr>
          </w:p>
        </w:tc>
        <w:tc>
          <w:tcPr>
            <w:tcW w:w="746" w:type="dxa"/>
            <w:vAlign w:val="top"/>
          </w:tcPr>
          <w:p w14:paraId="7A096D85">
            <w:pPr>
              <w:pStyle w:val="6"/>
              <w:spacing w:before="176" w:line="228" w:lineRule="auto"/>
              <w:ind w:left="192"/>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层</w:t>
            </w:r>
          </w:p>
        </w:tc>
        <w:tc>
          <w:tcPr>
            <w:tcW w:w="2714" w:type="dxa"/>
            <w:vAlign w:val="top"/>
          </w:tcPr>
          <w:p w14:paraId="4E0F08B2">
            <w:pPr>
              <w:pStyle w:val="6"/>
              <w:spacing w:before="177" w:line="228" w:lineRule="auto"/>
              <w:ind w:left="313"/>
              <w:rPr>
                <w:sz w:val="20"/>
                <w:szCs w:val="20"/>
              </w:rPr>
            </w:pPr>
            <w:r>
              <w:rPr>
                <w:spacing w:val="6"/>
                <w:sz w:val="20"/>
                <w:szCs w:val="20"/>
              </w:rPr>
              <w:t>新建，建筑面积</w:t>
            </w:r>
            <w:r>
              <w:rPr>
                <w:spacing w:val="-39"/>
                <w:sz w:val="20"/>
                <w:szCs w:val="20"/>
              </w:rPr>
              <w:t xml:space="preserve"> </w:t>
            </w:r>
            <w:r>
              <w:rPr>
                <w:rFonts w:ascii="Times New Roman" w:hAnsi="Times New Roman" w:eastAsia="Times New Roman" w:cs="Times New Roman"/>
                <w:spacing w:val="6"/>
                <w:sz w:val="20"/>
                <w:szCs w:val="20"/>
              </w:rPr>
              <w:t>960</w:t>
            </w:r>
            <w:r>
              <w:rPr>
                <w:rFonts w:ascii="Times New Roman" w:hAnsi="Times New Roman" w:eastAsia="Times New Roman" w:cs="Times New Roman"/>
                <w:spacing w:val="21"/>
                <w:sz w:val="20"/>
                <w:szCs w:val="20"/>
              </w:rPr>
              <w:t xml:space="preserve"> </w:t>
            </w:r>
            <w:r>
              <w:rPr>
                <w:spacing w:val="6"/>
                <w:sz w:val="20"/>
                <w:szCs w:val="20"/>
              </w:rPr>
              <w:t>㎡</w:t>
            </w:r>
          </w:p>
        </w:tc>
        <w:tc>
          <w:tcPr>
            <w:tcW w:w="2391" w:type="dxa"/>
            <w:vAlign w:val="top"/>
          </w:tcPr>
          <w:p w14:paraId="4B047EAF">
            <w:pPr>
              <w:pStyle w:val="6"/>
              <w:spacing w:before="176" w:line="228" w:lineRule="auto"/>
              <w:ind w:left="157"/>
              <w:rPr>
                <w:sz w:val="20"/>
                <w:szCs w:val="20"/>
              </w:rPr>
            </w:pPr>
            <w:r>
              <w:rPr>
                <w:spacing w:val="8"/>
                <w:sz w:val="20"/>
                <w:szCs w:val="20"/>
              </w:rPr>
              <w:t>作为宝石注胶加工车间</w:t>
            </w:r>
          </w:p>
        </w:tc>
        <w:tc>
          <w:tcPr>
            <w:tcW w:w="287" w:type="dxa"/>
            <w:vMerge w:val="continue"/>
            <w:tcBorders>
              <w:top w:val="nil"/>
              <w:bottom w:val="nil"/>
              <w:right w:val="single" w:color="000000" w:sz="6" w:space="0"/>
            </w:tcBorders>
            <w:vAlign w:val="top"/>
          </w:tcPr>
          <w:p w14:paraId="0075AF7A">
            <w:pPr>
              <w:rPr>
                <w:rFonts w:ascii="Arial"/>
                <w:sz w:val="21"/>
              </w:rPr>
            </w:pPr>
          </w:p>
        </w:tc>
      </w:tr>
      <w:tr w14:paraId="38D3E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34E011AD">
            <w:pPr>
              <w:rPr>
                <w:rFonts w:ascii="Arial"/>
                <w:sz w:val="21"/>
              </w:rPr>
            </w:pPr>
          </w:p>
        </w:tc>
        <w:tc>
          <w:tcPr>
            <w:tcW w:w="278" w:type="dxa"/>
            <w:vMerge w:val="continue"/>
            <w:tcBorders>
              <w:top w:val="nil"/>
              <w:bottom w:val="nil"/>
            </w:tcBorders>
            <w:vAlign w:val="top"/>
          </w:tcPr>
          <w:p w14:paraId="381A094E">
            <w:pPr>
              <w:rPr>
                <w:rFonts w:ascii="Arial"/>
                <w:sz w:val="21"/>
              </w:rPr>
            </w:pPr>
          </w:p>
        </w:tc>
        <w:tc>
          <w:tcPr>
            <w:tcW w:w="744" w:type="dxa"/>
            <w:vMerge w:val="continue"/>
            <w:tcBorders>
              <w:top w:val="nil"/>
              <w:bottom w:val="nil"/>
            </w:tcBorders>
            <w:vAlign w:val="top"/>
          </w:tcPr>
          <w:p w14:paraId="7BD96881">
            <w:pPr>
              <w:rPr>
                <w:rFonts w:ascii="Arial"/>
                <w:sz w:val="21"/>
              </w:rPr>
            </w:pPr>
          </w:p>
        </w:tc>
        <w:tc>
          <w:tcPr>
            <w:tcW w:w="1050" w:type="dxa"/>
            <w:gridSpan w:val="2"/>
            <w:vMerge w:val="continue"/>
            <w:tcBorders>
              <w:top w:val="nil"/>
            </w:tcBorders>
            <w:vAlign w:val="top"/>
          </w:tcPr>
          <w:p w14:paraId="49893822">
            <w:pPr>
              <w:rPr>
                <w:rFonts w:ascii="Arial"/>
                <w:sz w:val="21"/>
              </w:rPr>
            </w:pPr>
          </w:p>
        </w:tc>
        <w:tc>
          <w:tcPr>
            <w:tcW w:w="746" w:type="dxa"/>
            <w:vAlign w:val="top"/>
          </w:tcPr>
          <w:p w14:paraId="1F1E0090">
            <w:pPr>
              <w:pStyle w:val="6"/>
              <w:spacing w:before="179" w:line="228" w:lineRule="auto"/>
              <w:ind w:left="187"/>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9"/>
                <w:sz w:val="20"/>
                <w:szCs w:val="20"/>
              </w:rPr>
              <w:t xml:space="preserve"> </w:t>
            </w:r>
            <w:r>
              <w:rPr>
                <w:spacing w:val="1"/>
                <w:sz w:val="20"/>
                <w:szCs w:val="20"/>
              </w:rPr>
              <w:t>层</w:t>
            </w:r>
          </w:p>
        </w:tc>
        <w:tc>
          <w:tcPr>
            <w:tcW w:w="2714" w:type="dxa"/>
            <w:vAlign w:val="top"/>
          </w:tcPr>
          <w:p w14:paraId="46A25FAC">
            <w:pPr>
              <w:pStyle w:val="6"/>
              <w:spacing w:before="180" w:line="228" w:lineRule="auto"/>
              <w:ind w:left="313"/>
              <w:rPr>
                <w:sz w:val="20"/>
                <w:szCs w:val="20"/>
              </w:rPr>
            </w:pPr>
            <w:r>
              <w:rPr>
                <w:spacing w:val="6"/>
                <w:sz w:val="20"/>
                <w:szCs w:val="20"/>
              </w:rPr>
              <w:t>新建，建筑面积</w:t>
            </w:r>
            <w:r>
              <w:rPr>
                <w:spacing w:val="-39"/>
                <w:sz w:val="20"/>
                <w:szCs w:val="20"/>
              </w:rPr>
              <w:t xml:space="preserve"> </w:t>
            </w:r>
            <w:r>
              <w:rPr>
                <w:rFonts w:ascii="Times New Roman" w:hAnsi="Times New Roman" w:eastAsia="Times New Roman" w:cs="Times New Roman"/>
                <w:spacing w:val="6"/>
                <w:sz w:val="20"/>
                <w:szCs w:val="20"/>
              </w:rPr>
              <w:t>960</w:t>
            </w:r>
            <w:r>
              <w:rPr>
                <w:rFonts w:ascii="Times New Roman" w:hAnsi="Times New Roman" w:eastAsia="Times New Roman" w:cs="Times New Roman"/>
                <w:spacing w:val="21"/>
                <w:sz w:val="20"/>
                <w:szCs w:val="20"/>
              </w:rPr>
              <w:t xml:space="preserve"> </w:t>
            </w:r>
            <w:r>
              <w:rPr>
                <w:spacing w:val="6"/>
                <w:sz w:val="20"/>
                <w:szCs w:val="20"/>
              </w:rPr>
              <w:t>㎡</w:t>
            </w:r>
          </w:p>
        </w:tc>
        <w:tc>
          <w:tcPr>
            <w:tcW w:w="2391" w:type="dxa"/>
            <w:vAlign w:val="top"/>
          </w:tcPr>
          <w:p w14:paraId="7585DC80">
            <w:pPr>
              <w:pStyle w:val="6"/>
              <w:spacing w:before="179" w:line="228" w:lineRule="auto"/>
              <w:ind w:left="157"/>
              <w:rPr>
                <w:sz w:val="20"/>
                <w:szCs w:val="20"/>
              </w:rPr>
            </w:pPr>
            <w:r>
              <w:rPr>
                <w:spacing w:val="8"/>
                <w:sz w:val="20"/>
                <w:szCs w:val="20"/>
              </w:rPr>
              <w:t>作为宝石注胶加工车间</w:t>
            </w:r>
          </w:p>
        </w:tc>
        <w:tc>
          <w:tcPr>
            <w:tcW w:w="287" w:type="dxa"/>
            <w:vMerge w:val="continue"/>
            <w:tcBorders>
              <w:top w:val="nil"/>
              <w:bottom w:val="nil"/>
              <w:right w:val="single" w:color="000000" w:sz="6" w:space="0"/>
            </w:tcBorders>
            <w:vAlign w:val="top"/>
          </w:tcPr>
          <w:p w14:paraId="5DDD4348">
            <w:pPr>
              <w:rPr>
                <w:rFonts w:ascii="Arial"/>
                <w:sz w:val="21"/>
              </w:rPr>
            </w:pPr>
          </w:p>
        </w:tc>
      </w:tr>
      <w:tr w14:paraId="70DEB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78" w:type="dxa"/>
            <w:vMerge w:val="continue"/>
            <w:tcBorders>
              <w:top w:val="nil"/>
              <w:left w:val="single" w:color="000000" w:sz="6" w:space="0"/>
              <w:bottom w:val="nil"/>
            </w:tcBorders>
            <w:vAlign w:val="top"/>
          </w:tcPr>
          <w:p w14:paraId="2AC11F56">
            <w:pPr>
              <w:rPr>
                <w:rFonts w:ascii="Arial"/>
                <w:sz w:val="21"/>
              </w:rPr>
            </w:pPr>
          </w:p>
        </w:tc>
        <w:tc>
          <w:tcPr>
            <w:tcW w:w="278" w:type="dxa"/>
            <w:vMerge w:val="continue"/>
            <w:tcBorders>
              <w:top w:val="nil"/>
              <w:bottom w:val="nil"/>
            </w:tcBorders>
            <w:vAlign w:val="top"/>
          </w:tcPr>
          <w:p w14:paraId="148CD4B0">
            <w:pPr>
              <w:rPr>
                <w:rFonts w:ascii="Arial"/>
                <w:sz w:val="21"/>
              </w:rPr>
            </w:pPr>
          </w:p>
        </w:tc>
        <w:tc>
          <w:tcPr>
            <w:tcW w:w="744" w:type="dxa"/>
            <w:vMerge w:val="continue"/>
            <w:tcBorders>
              <w:top w:val="nil"/>
              <w:bottom w:val="nil"/>
            </w:tcBorders>
            <w:vAlign w:val="top"/>
          </w:tcPr>
          <w:p w14:paraId="300D010B">
            <w:pPr>
              <w:rPr>
                <w:rFonts w:ascii="Arial"/>
                <w:sz w:val="21"/>
              </w:rPr>
            </w:pPr>
          </w:p>
        </w:tc>
        <w:tc>
          <w:tcPr>
            <w:tcW w:w="1050" w:type="dxa"/>
            <w:gridSpan w:val="2"/>
            <w:vMerge w:val="restart"/>
            <w:tcBorders>
              <w:bottom w:val="nil"/>
            </w:tcBorders>
            <w:vAlign w:val="top"/>
          </w:tcPr>
          <w:p w14:paraId="3ABACF6B">
            <w:pPr>
              <w:pStyle w:val="6"/>
              <w:spacing w:before="210" w:line="252" w:lineRule="auto"/>
              <w:ind w:left="112" w:right="124" w:firstLine="100"/>
              <w:jc w:val="both"/>
              <w:rPr>
                <w:sz w:val="20"/>
                <w:szCs w:val="20"/>
              </w:rPr>
            </w:pPr>
            <w:r>
              <w:rPr>
                <w:rFonts w:ascii="Times New Roman" w:hAnsi="Times New Roman" w:eastAsia="Times New Roman" w:cs="Times New Roman"/>
                <w:spacing w:val="5"/>
                <w:sz w:val="20"/>
                <w:szCs w:val="20"/>
              </w:rPr>
              <w:t>6#</w:t>
            </w:r>
            <w:r>
              <w:rPr>
                <w:spacing w:val="5"/>
                <w:sz w:val="20"/>
                <w:szCs w:val="20"/>
              </w:rPr>
              <w:t>楼占</w:t>
            </w:r>
            <w:r>
              <w:rPr>
                <w:sz w:val="20"/>
                <w:szCs w:val="20"/>
              </w:rPr>
              <w:t xml:space="preserve">  </w:t>
            </w:r>
            <w:r>
              <w:rPr>
                <w:spacing w:val="40"/>
                <w:sz w:val="20"/>
                <w:szCs w:val="20"/>
              </w:rPr>
              <w:t>地面积</w:t>
            </w:r>
            <w:r>
              <w:rPr>
                <w:sz w:val="20"/>
                <w:szCs w:val="20"/>
              </w:rPr>
              <w:t xml:space="preserve">  </w:t>
            </w:r>
            <w:r>
              <w:rPr>
                <w:rFonts w:ascii="Times New Roman" w:hAnsi="Times New Roman" w:eastAsia="Times New Roman" w:cs="Times New Roman"/>
                <w:spacing w:val="11"/>
                <w:sz w:val="20"/>
                <w:szCs w:val="20"/>
              </w:rPr>
              <w:t>3000</w:t>
            </w:r>
            <w:r>
              <w:rPr>
                <w:rFonts w:ascii="Times New Roman" w:hAnsi="Times New Roman" w:eastAsia="Times New Roman" w:cs="Times New Roman"/>
                <w:spacing w:val="21"/>
                <w:w w:val="101"/>
                <w:sz w:val="20"/>
                <w:szCs w:val="20"/>
              </w:rPr>
              <w:t xml:space="preserve"> </w:t>
            </w:r>
            <w:r>
              <w:rPr>
                <w:spacing w:val="11"/>
                <w:sz w:val="20"/>
                <w:szCs w:val="20"/>
              </w:rPr>
              <w:t>㎡</w:t>
            </w:r>
            <w:r>
              <w:rPr>
                <w:sz w:val="20"/>
                <w:szCs w:val="20"/>
              </w:rPr>
              <w:t xml:space="preserve">  </w:t>
            </w:r>
            <w:r>
              <w:rPr>
                <w:spacing w:val="39"/>
                <w:sz w:val="20"/>
                <w:szCs w:val="20"/>
              </w:rPr>
              <w:t>（实际</w:t>
            </w:r>
            <w:r>
              <w:rPr>
                <w:sz w:val="20"/>
                <w:szCs w:val="20"/>
              </w:rPr>
              <w:t xml:space="preserve">  </w:t>
            </w:r>
            <w:r>
              <w:rPr>
                <w:spacing w:val="1"/>
                <w:sz w:val="20"/>
                <w:szCs w:val="20"/>
              </w:rPr>
              <w:t>未建设）</w:t>
            </w:r>
          </w:p>
        </w:tc>
        <w:tc>
          <w:tcPr>
            <w:tcW w:w="746" w:type="dxa"/>
            <w:vAlign w:val="top"/>
          </w:tcPr>
          <w:p w14:paraId="5B8F76E2">
            <w:pPr>
              <w:pStyle w:val="6"/>
              <w:spacing w:before="180" w:line="228" w:lineRule="auto"/>
              <w:ind w:left="20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层</w:t>
            </w:r>
          </w:p>
        </w:tc>
        <w:tc>
          <w:tcPr>
            <w:tcW w:w="2714" w:type="dxa"/>
            <w:vAlign w:val="top"/>
          </w:tcPr>
          <w:p w14:paraId="1EADF6FA">
            <w:pPr>
              <w:pStyle w:val="6"/>
              <w:spacing w:before="181" w:line="228" w:lineRule="auto"/>
              <w:ind w:left="260"/>
              <w:rPr>
                <w:sz w:val="20"/>
                <w:szCs w:val="20"/>
              </w:rPr>
            </w:pPr>
            <w:r>
              <w:rPr>
                <w:spacing w:val="5"/>
                <w:sz w:val="20"/>
                <w:szCs w:val="20"/>
              </w:rPr>
              <w:t>新建，建筑面积</w:t>
            </w:r>
            <w:r>
              <w:rPr>
                <w:spacing w:val="-28"/>
                <w:sz w:val="20"/>
                <w:szCs w:val="20"/>
              </w:rPr>
              <w:t xml:space="preserve"> </w:t>
            </w:r>
            <w:r>
              <w:rPr>
                <w:rFonts w:ascii="Times New Roman" w:hAnsi="Times New Roman" w:eastAsia="Times New Roman" w:cs="Times New Roman"/>
                <w:spacing w:val="5"/>
                <w:sz w:val="20"/>
                <w:szCs w:val="20"/>
              </w:rPr>
              <w:t>3000</w:t>
            </w:r>
            <w:r>
              <w:rPr>
                <w:rFonts w:ascii="Times New Roman" w:hAnsi="Times New Roman" w:eastAsia="Times New Roman" w:cs="Times New Roman"/>
                <w:spacing w:val="21"/>
                <w:w w:val="101"/>
                <w:sz w:val="20"/>
                <w:szCs w:val="20"/>
              </w:rPr>
              <w:t xml:space="preserve"> </w:t>
            </w:r>
            <w:r>
              <w:rPr>
                <w:spacing w:val="5"/>
                <w:sz w:val="20"/>
                <w:szCs w:val="20"/>
              </w:rPr>
              <w:t>㎡</w:t>
            </w:r>
          </w:p>
        </w:tc>
        <w:tc>
          <w:tcPr>
            <w:tcW w:w="2391" w:type="dxa"/>
            <w:vAlign w:val="top"/>
          </w:tcPr>
          <w:p w14:paraId="595E8F4B">
            <w:pPr>
              <w:pStyle w:val="6"/>
              <w:spacing w:before="180"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4C9215DB">
            <w:pPr>
              <w:rPr>
                <w:rFonts w:ascii="Arial"/>
                <w:sz w:val="21"/>
              </w:rPr>
            </w:pPr>
          </w:p>
        </w:tc>
      </w:tr>
      <w:tr w14:paraId="78D95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3888A3EB">
            <w:pPr>
              <w:rPr>
                <w:rFonts w:ascii="Arial"/>
                <w:sz w:val="21"/>
              </w:rPr>
            </w:pPr>
          </w:p>
        </w:tc>
        <w:tc>
          <w:tcPr>
            <w:tcW w:w="278" w:type="dxa"/>
            <w:vMerge w:val="continue"/>
            <w:tcBorders>
              <w:top w:val="nil"/>
              <w:bottom w:val="nil"/>
            </w:tcBorders>
            <w:vAlign w:val="top"/>
          </w:tcPr>
          <w:p w14:paraId="2EE122D2">
            <w:pPr>
              <w:rPr>
                <w:rFonts w:ascii="Arial"/>
                <w:sz w:val="21"/>
              </w:rPr>
            </w:pPr>
          </w:p>
        </w:tc>
        <w:tc>
          <w:tcPr>
            <w:tcW w:w="744" w:type="dxa"/>
            <w:vMerge w:val="continue"/>
            <w:tcBorders>
              <w:top w:val="nil"/>
              <w:bottom w:val="nil"/>
            </w:tcBorders>
            <w:vAlign w:val="top"/>
          </w:tcPr>
          <w:p w14:paraId="26A0E3F2">
            <w:pPr>
              <w:rPr>
                <w:rFonts w:ascii="Arial"/>
                <w:sz w:val="21"/>
              </w:rPr>
            </w:pPr>
          </w:p>
        </w:tc>
        <w:tc>
          <w:tcPr>
            <w:tcW w:w="1050" w:type="dxa"/>
            <w:gridSpan w:val="2"/>
            <w:vMerge w:val="continue"/>
            <w:tcBorders>
              <w:top w:val="nil"/>
              <w:bottom w:val="nil"/>
            </w:tcBorders>
            <w:vAlign w:val="top"/>
          </w:tcPr>
          <w:p w14:paraId="3DB3C35D">
            <w:pPr>
              <w:rPr>
                <w:rFonts w:ascii="Arial"/>
                <w:sz w:val="21"/>
              </w:rPr>
            </w:pPr>
          </w:p>
        </w:tc>
        <w:tc>
          <w:tcPr>
            <w:tcW w:w="746" w:type="dxa"/>
            <w:vAlign w:val="top"/>
          </w:tcPr>
          <w:p w14:paraId="2FB017C3">
            <w:pPr>
              <w:pStyle w:val="6"/>
              <w:spacing w:before="180" w:line="228" w:lineRule="auto"/>
              <w:ind w:left="18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层</w:t>
            </w:r>
          </w:p>
        </w:tc>
        <w:tc>
          <w:tcPr>
            <w:tcW w:w="2714" w:type="dxa"/>
            <w:vAlign w:val="top"/>
          </w:tcPr>
          <w:p w14:paraId="207D3240">
            <w:pPr>
              <w:pStyle w:val="6"/>
              <w:spacing w:before="180" w:line="228" w:lineRule="auto"/>
              <w:ind w:left="260"/>
              <w:rPr>
                <w:sz w:val="20"/>
                <w:szCs w:val="20"/>
              </w:rPr>
            </w:pPr>
            <w:r>
              <w:rPr>
                <w:spacing w:val="5"/>
                <w:sz w:val="20"/>
                <w:szCs w:val="20"/>
              </w:rPr>
              <w:t>新建，建筑面积</w:t>
            </w:r>
            <w:r>
              <w:rPr>
                <w:spacing w:val="-28"/>
                <w:sz w:val="20"/>
                <w:szCs w:val="20"/>
              </w:rPr>
              <w:t xml:space="preserve"> </w:t>
            </w:r>
            <w:r>
              <w:rPr>
                <w:rFonts w:ascii="Times New Roman" w:hAnsi="Times New Roman" w:eastAsia="Times New Roman" w:cs="Times New Roman"/>
                <w:spacing w:val="5"/>
                <w:sz w:val="20"/>
                <w:szCs w:val="20"/>
              </w:rPr>
              <w:t>3000</w:t>
            </w:r>
            <w:r>
              <w:rPr>
                <w:rFonts w:ascii="Times New Roman" w:hAnsi="Times New Roman" w:eastAsia="Times New Roman" w:cs="Times New Roman"/>
                <w:spacing w:val="21"/>
                <w:w w:val="101"/>
                <w:sz w:val="20"/>
                <w:szCs w:val="20"/>
              </w:rPr>
              <w:t xml:space="preserve"> </w:t>
            </w:r>
            <w:r>
              <w:rPr>
                <w:spacing w:val="5"/>
                <w:sz w:val="20"/>
                <w:szCs w:val="20"/>
              </w:rPr>
              <w:t>㎡</w:t>
            </w:r>
          </w:p>
        </w:tc>
        <w:tc>
          <w:tcPr>
            <w:tcW w:w="2391" w:type="dxa"/>
            <w:vAlign w:val="top"/>
          </w:tcPr>
          <w:p w14:paraId="05D0C89B">
            <w:pPr>
              <w:pStyle w:val="6"/>
              <w:spacing w:before="180"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44FA6940">
            <w:pPr>
              <w:rPr>
                <w:rFonts w:ascii="Arial"/>
                <w:sz w:val="21"/>
              </w:rPr>
            </w:pPr>
          </w:p>
        </w:tc>
      </w:tr>
      <w:tr w14:paraId="4DD45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273F023D">
            <w:pPr>
              <w:rPr>
                <w:rFonts w:ascii="Arial"/>
                <w:sz w:val="21"/>
              </w:rPr>
            </w:pPr>
          </w:p>
        </w:tc>
        <w:tc>
          <w:tcPr>
            <w:tcW w:w="278" w:type="dxa"/>
            <w:vMerge w:val="continue"/>
            <w:tcBorders>
              <w:top w:val="nil"/>
              <w:bottom w:val="nil"/>
            </w:tcBorders>
            <w:vAlign w:val="top"/>
          </w:tcPr>
          <w:p w14:paraId="7CAA1BEE">
            <w:pPr>
              <w:rPr>
                <w:rFonts w:ascii="Arial"/>
                <w:sz w:val="21"/>
              </w:rPr>
            </w:pPr>
          </w:p>
        </w:tc>
        <w:tc>
          <w:tcPr>
            <w:tcW w:w="744" w:type="dxa"/>
            <w:vMerge w:val="continue"/>
            <w:tcBorders>
              <w:top w:val="nil"/>
            </w:tcBorders>
            <w:vAlign w:val="top"/>
          </w:tcPr>
          <w:p w14:paraId="7D940280">
            <w:pPr>
              <w:rPr>
                <w:rFonts w:ascii="Arial"/>
                <w:sz w:val="21"/>
              </w:rPr>
            </w:pPr>
          </w:p>
        </w:tc>
        <w:tc>
          <w:tcPr>
            <w:tcW w:w="1050" w:type="dxa"/>
            <w:gridSpan w:val="2"/>
            <w:vMerge w:val="continue"/>
            <w:tcBorders>
              <w:top w:val="nil"/>
            </w:tcBorders>
            <w:vAlign w:val="top"/>
          </w:tcPr>
          <w:p w14:paraId="6C7125AB">
            <w:pPr>
              <w:rPr>
                <w:rFonts w:ascii="Arial"/>
                <w:sz w:val="21"/>
              </w:rPr>
            </w:pPr>
          </w:p>
        </w:tc>
        <w:tc>
          <w:tcPr>
            <w:tcW w:w="746" w:type="dxa"/>
            <w:vAlign w:val="top"/>
          </w:tcPr>
          <w:p w14:paraId="6CB36635">
            <w:pPr>
              <w:pStyle w:val="6"/>
              <w:spacing w:before="180" w:line="228" w:lineRule="auto"/>
              <w:ind w:left="192"/>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层</w:t>
            </w:r>
          </w:p>
        </w:tc>
        <w:tc>
          <w:tcPr>
            <w:tcW w:w="2714" w:type="dxa"/>
            <w:vAlign w:val="top"/>
          </w:tcPr>
          <w:p w14:paraId="5F6ABD37">
            <w:pPr>
              <w:pStyle w:val="6"/>
              <w:spacing w:before="181" w:line="228" w:lineRule="auto"/>
              <w:ind w:left="260"/>
              <w:rPr>
                <w:sz w:val="20"/>
                <w:szCs w:val="20"/>
              </w:rPr>
            </w:pPr>
            <w:r>
              <w:rPr>
                <w:spacing w:val="5"/>
                <w:sz w:val="20"/>
                <w:szCs w:val="20"/>
              </w:rPr>
              <w:t>新建，建筑面积</w:t>
            </w:r>
            <w:r>
              <w:rPr>
                <w:spacing w:val="-28"/>
                <w:sz w:val="20"/>
                <w:szCs w:val="20"/>
              </w:rPr>
              <w:t xml:space="preserve"> </w:t>
            </w:r>
            <w:r>
              <w:rPr>
                <w:rFonts w:ascii="Times New Roman" w:hAnsi="Times New Roman" w:eastAsia="Times New Roman" w:cs="Times New Roman"/>
                <w:spacing w:val="5"/>
                <w:sz w:val="20"/>
                <w:szCs w:val="20"/>
              </w:rPr>
              <w:t>3000</w:t>
            </w:r>
            <w:r>
              <w:rPr>
                <w:rFonts w:ascii="Times New Roman" w:hAnsi="Times New Roman" w:eastAsia="Times New Roman" w:cs="Times New Roman"/>
                <w:spacing w:val="21"/>
                <w:w w:val="101"/>
                <w:sz w:val="20"/>
                <w:szCs w:val="20"/>
              </w:rPr>
              <w:t xml:space="preserve"> </w:t>
            </w:r>
            <w:r>
              <w:rPr>
                <w:spacing w:val="5"/>
                <w:sz w:val="20"/>
                <w:szCs w:val="20"/>
              </w:rPr>
              <w:t>㎡</w:t>
            </w:r>
          </w:p>
        </w:tc>
        <w:tc>
          <w:tcPr>
            <w:tcW w:w="2391" w:type="dxa"/>
            <w:vAlign w:val="top"/>
          </w:tcPr>
          <w:p w14:paraId="430062B2">
            <w:pPr>
              <w:pStyle w:val="6"/>
              <w:spacing w:before="180" w:line="228" w:lineRule="auto"/>
              <w:ind w:left="157"/>
              <w:rPr>
                <w:sz w:val="20"/>
                <w:szCs w:val="20"/>
              </w:rPr>
            </w:pPr>
            <w:r>
              <w:rPr>
                <w:spacing w:val="8"/>
                <w:sz w:val="20"/>
                <w:szCs w:val="20"/>
              </w:rPr>
              <w:t>作为宝石泡酸加工车间</w:t>
            </w:r>
          </w:p>
        </w:tc>
        <w:tc>
          <w:tcPr>
            <w:tcW w:w="287" w:type="dxa"/>
            <w:vMerge w:val="continue"/>
            <w:tcBorders>
              <w:top w:val="nil"/>
              <w:bottom w:val="nil"/>
              <w:right w:val="single" w:color="000000" w:sz="6" w:space="0"/>
            </w:tcBorders>
            <w:vAlign w:val="top"/>
          </w:tcPr>
          <w:p w14:paraId="46FFCCB6">
            <w:pPr>
              <w:rPr>
                <w:rFonts w:ascii="Arial"/>
                <w:sz w:val="21"/>
              </w:rPr>
            </w:pPr>
          </w:p>
        </w:tc>
      </w:tr>
      <w:tr w14:paraId="6E587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10097A14">
            <w:pPr>
              <w:rPr>
                <w:rFonts w:ascii="Arial"/>
                <w:sz w:val="21"/>
              </w:rPr>
            </w:pPr>
          </w:p>
        </w:tc>
        <w:tc>
          <w:tcPr>
            <w:tcW w:w="278" w:type="dxa"/>
            <w:vMerge w:val="continue"/>
            <w:tcBorders>
              <w:top w:val="nil"/>
              <w:bottom w:val="nil"/>
            </w:tcBorders>
            <w:vAlign w:val="top"/>
          </w:tcPr>
          <w:p w14:paraId="22350A7E">
            <w:pPr>
              <w:rPr>
                <w:rFonts w:ascii="Arial"/>
                <w:sz w:val="21"/>
              </w:rPr>
            </w:pPr>
          </w:p>
        </w:tc>
        <w:tc>
          <w:tcPr>
            <w:tcW w:w="744" w:type="dxa"/>
            <w:vMerge w:val="restart"/>
            <w:tcBorders>
              <w:bottom w:val="nil"/>
            </w:tcBorders>
            <w:vAlign w:val="top"/>
          </w:tcPr>
          <w:p w14:paraId="6805652D">
            <w:pPr>
              <w:spacing w:line="266" w:lineRule="auto"/>
              <w:rPr>
                <w:rFonts w:ascii="Arial"/>
                <w:sz w:val="21"/>
              </w:rPr>
            </w:pPr>
          </w:p>
          <w:p w14:paraId="52051D7A">
            <w:pPr>
              <w:pStyle w:val="6"/>
              <w:spacing w:before="65" w:line="228" w:lineRule="auto"/>
              <w:ind w:left="163"/>
              <w:rPr>
                <w:sz w:val="20"/>
                <w:szCs w:val="20"/>
              </w:rPr>
            </w:pPr>
            <w:r>
              <w:rPr>
                <w:spacing w:val="3"/>
                <w:sz w:val="20"/>
                <w:szCs w:val="20"/>
              </w:rPr>
              <w:t>辅助</w:t>
            </w:r>
          </w:p>
          <w:p w14:paraId="16CDEC2B">
            <w:pPr>
              <w:pStyle w:val="6"/>
              <w:spacing w:before="26" w:line="228" w:lineRule="auto"/>
              <w:ind w:left="164"/>
              <w:rPr>
                <w:sz w:val="20"/>
                <w:szCs w:val="20"/>
              </w:rPr>
            </w:pPr>
            <w:r>
              <w:rPr>
                <w:spacing w:val="3"/>
                <w:sz w:val="20"/>
                <w:szCs w:val="20"/>
              </w:rPr>
              <w:t>工程</w:t>
            </w:r>
          </w:p>
        </w:tc>
        <w:tc>
          <w:tcPr>
            <w:tcW w:w="1796" w:type="dxa"/>
            <w:gridSpan w:val="3"/>
            <w:vAlign w:val="top"/>
          </w:tcPr>
          <w:p w14:paraId="7E8DF5BC">
            <w:pPr>
              <w:pStyle w:val="6"/>
              <w:spacing w:before="181" w:line="228" w:lineRule="auto"/>
              <w:ind w:left="376"/>
              <w:rPr>
                <w:sz w:val="20"/>
                <w:szCs w:val="20"/>
              </w:rPr>
            </w:pPr>
            <w:r>
              <w:rPr>
                <w:spacing w:val="7"/>
                <w:sz w:val="20"/>
                <w:szCs w:val="20"/>
              </w:rPr>
              <w:t>化学品仓库</w:t>
            </w:r>
          </w:p>
        </w:tc>
        <w:tc>
          <w:tcPr>
            <w:tcW w:w="2714" w:type="dxa"/>
            <w:vAlign w:val="top"/>
          </w:tcPr>
          <w:p w14:paraId="5E942863">
            <w:pPr>
              <w:pStyle w:val="6"/>
              <w:spacing w:before="46" w:line="236" w:lineRule="auto"/>
              <w:ind w:left="211" w:right="105" w:hanging="66"/>
              <w:rPr>
                <w:sz w:val="20"/>
                <w:szCs w:val="20"/>
              </w:rPr>
            </w:pPr>
            <w:r>
              <w:rPr>
                <w:spacing w:val="-3"/>
                <w:sz w:val="20"/>
                <w:szCs w:val="20"/>
              </w:rPr>
              <w:t>占地面积</w:t>
            </w:r>
            <w:r>
              <w:rPr>
                <w:spacing w:val="-17"/>
                <w:sz w:val="20"/>
                <w:szCs w:val="20"/>
              </w:rPr>
              <w:t xml:space="preserve"> </w:t>
            </w:r>
            <w:r>
              <w:rPr>
                <w:rFonts w:ascii="Times New Roman" w:hAnsi="Times New Roman" w:eastAsia="Times New Roman" w:cs="Times New Roman"/>
                <w:spacing w:val="-3"/>
                <w:sz w:val="20"/>
                <w:szCs w:val="20"/>
              </w:rPr>
              <w:t>150</w:t>
            </w:r>
            <w:r>
              <w:rPr>
                <w:rFonts w:ascii="Times New Roman" w:hAnsi="Times New Roman" w:eastAsia="Times New Roman" w:cs="Times New Roman"/>
                <w:spacing w:val="18"/>
                <w:w w:val="101"/>
                <w:sz w:val="20"/>
                <w:szCs w:val="20"/>
              </w:rPr>
              <w:t xml:space="preserve"> </w:t>
            </w:r>
            <w:r>
              <w:rPr>
                <w:spacing w:val="-3"/>
                <w:sz w:val="20"/>
                <w:szCs w:val="20"/>
              </w:rPr>
              <w:t>㎡</w:t>
            </w:r>
            <w:r>
              <w:rPr>
                <w:spacing w:val="-55"/>
                <w:sz w:val="20"/>
                <w:szCs w:val="20"/>
              </w:rPr>
              <w:t xml:space="preserve"> </w:t>
            </w:r>
            <w:r>
              <w:rPr>
                <w:spacing w:val="-3"/>
                <w:sz w:val="20"/>
                <w:szCs w:val="20"/>
              </w:rPr>
              <w:t>，项目用地</w:t>
            </w:r>
            <w:r>
              <w:rPr>
                <w:sz w:val="20"/>
                <w:szCs w:val="20"/>
              </w:rPr>
              <w:t xml:space="preserve"> </w:t>
            </w:r>
            <w:r>
              <w:rPr>
                <w:spacing w:val="4"/>
                <w:sz w:val="20"/>
                <w:szCs w:val="20"/>
              </w:rPr>
              <w:t>范围院子内，面积</w:t>
            </w:r>
            <w:r>
              <w:rPr>
                <w:spacing w:val="-14"/>
                <w:sz w:val="20"/>
                <w:szCs w:val="20"/>
              </w:rPr>
              <w:t xml:space="preserve"> </w:t>
            </w:r>
            <w:r>
              <w:rPr>
                <w:rFonts w:ascii="Times New Roman" w:hAnsi="Times New Roman" w:eastAsia="Times New Roman" w:cs="Times New Roman"/>
                <w:spacing w:val="4"/>
                <w:sz w:val="20"/>
                <w:szCs w:val="20"/>
              </w:rPr>
              <w:t>150</w:t>
            </w:r>
            <w:r>
              <w:rPr>
                <w:rFonts w:ascii="Times New Roman" w:hAnsi="Times New Roman" w:eastAsia="Times New Roman" w:cs="Times New Roman"/>
                <w:spacing w:val="18"/>
                <w:w w:val="101"/>
                <w:sz w:val="20"/>
                <w:szCs w:val="20"/>
              </w:rPr>
              <w:t xml:space="preserve"> </w:t>
            </w:r>
            <w:r>
              <w:rPr>
                <w:spacing w:val="4"/>
                <w:sz w:val="20"/>
                <w:szCs w:val="20"/>
              </w:rPr>
              <w:t>㎡</w:t>
            </w:r>
          </w:p>
        </w:tc>
        <w:tc>
          <w:tcPr>
            <w:tcW w:w="2391" w:type="dxa"/>
            <w:vAlign w:val="top"/>
          </w:tcPr>
          <w:p w14:paraId="0AB08D93">
            <w:pPr>
              <w:pStyle w:val="6"/>
              <w:spacing w:before="47" w:line="228" w:lineRule="auto"/>
              <w:ind w:right="6"/>
              <w:jc w:val="right"/>
              <w:rPr>
                <w:sz w:val="20"/>
                <w:szCs w:val="20"/>
              </w:rPr>
            </w:pPr>
            <w:r>
              <w:rPr>
                <w:spacing w:val="5"/>
                <w:sz w:val="20"/>
                <w:szCs w:val="20"/>
              </w:rPr>
              <w:t>彩钢瓦搭建，地面防渗，</w:t>
            </w:r>
          </w:p>
          <w:p w14:paraId="27AE2168">
            <w:pPr>
              <w:pStyle w:val="6"/>
              <w:spacing w:before="23" w:line="221" w:lineRule="auto"/>
              <w:ind w:left="1015"/>
              <w:rPr>
                <w:sz w:val="20"/>
                <w:szCs w:val="20"/>
              </w:rPr>
            </w:pPr>
            <w:r>
              <w:rPr>
                <w:spacing w:val="-5"/>
                <w:sz w:val="20"/>
                <w:szCs w:val="20"/>
              </w:rPr>
              <w:t>围堰</w:t>
            </w:r>
          </w:p>
        </w:tc>
        <w:tc>
          <w:tcPr>
            <w:tcW w:w="287" w:type="dxa"/>
            <w:vMerge w:val="continue"/>
            <w:tcBorders>
              <w:top w:val="nil"/>
              <w:bottom w:val="nil"/>
              <w:right w:val="single" w:color="000000" w:sz="6" w:space="0"/>
            </w:tcBorders>
            <w:vAlign w:val="top"/>
          </w:tcPr>
          <w:p w14:paraId="7F5CDDF1">
            <w:pPr>
              <w:rPr>
                <w:rFonts w:ascii="Arial"/>
                <w:sz w:val="21"/>
              </w:rPr>
            </w:pPr>
          </w:p>
        </w:tc>
      </w:tr>
      <w:tr w14:paraId="4F16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3D0B0534">
            <w:pPr>
              <w:rPr>
                <w:rFonts w:ascii="Arial"/>
                <w:sz w:val="21"/>
              </w:rPr>
            </w:pPr>
          </w:p>
        </w:tc>
        <w:tc>
          <w:tcPr>
            <w:tcW w:w="278" w:type="dxa"/>
            <w:vMerge w:val="continue"/>
            <w:tcBorders>
              <w:top w:val="nil"/>
              <w:bottom w:val="nil"/>
            </w:tcBorders>
            <w:vAlign w:val="top"/>
          </w:tcPr>
          <w:p w14:paraId="446E334F">
            <w:pPr>
              <w:rPr>
                <w:rFonts w:ascii="Arial"/>
                <w:sz w:val="21"/>
              </w:rPr>
            </w:pPr>
          </w:p>
        </w:tc>
        <w:tc>
          <w:tcPr>
            <w:tcW w:w="744" w:type="dxa"/>
            <w:vMerge w:val="continue"/>
            <w:tcBorders>
              <w:top w:val="nil"/>
            </w:tcBorders>
            <w:vAlign w:val="top"/>
          </w:tcPr>
          <w:p w14:paraId="7B37F718">
            <w:pPr>
              <w:rPr>
                <w:rFonts w:ascii="Arial"/>
                <w:sz w:val="21"/>
              </w:rPr>
            </w:pPr>
          </w:p>
        </w:tc>
        <w:tc>
          <w:tcPr>
            <w:tcW w:w="1796" w:type="dxa"/>
            <w:gridSpan w:val="3"/>
            <w:vAlign w:val="top"/>
          </w:tcPr>
          <w:p w14:paraId="74B09D40">
            <w:pPr>
              <w:pStyle w:val="6"/>
              <w:spacing w:before="181" w:line="228" w:lineRule="auto"/>
              <w:ind w:left="378"/>
              <w:rPr>
                <w:sz w:val="20"/>
                <w:szCs w:val="20"/>
              </w:rPr>
            </w:pPr>
            <w:r>
              <w:rPr>
                <w:spacing w:val="7"/>
                <w:sz w:val="20"/>
                <w:szCs w:val="20"/>
              </w:rPr>
              <w:t>危废暂存间</w:t>
            </w:r>
          </w:p>
        </w:tc>
        <w:tc>
          <w:tcPr>
            <w:tcW w:w="2714" w:type="dxa"/>
            <w:vAlign w:val="top"/>
          </w:tcPr>
          <w:p w14:paraId="430B4026">
            <w:pPr>
              <w:pStyle w:val="6"/>
              <w:spacing w:before="182" w:line="228" w:lineRule="auto"/>
              <w:ind w:left="145"/>
              <w:rPr>
                <w:sz w:val="20"/>
                <w:szCs w:val="20"/>
              </w:rPr>
            </w:pPr>
            <w:r>
              <w:rPr>
                <w:spacing w:val="-3"/>
                <w:sz w:val="20"/>
                <w:szCs w:val="20"/>
              </w:rPr>
              <w:t>占地面积</w:t>
            </w:r>
            <w:r>
              <w:rPr>
                <w:spacing w:val="-34"/>
                <w:sz w:val="20"/>
                <w:szCs w:val="20"/>
              </w:rPr>
              <w:t xml:space="preserve"> </w:t>
            </w:r>
            <w:r>
              <w:rPr>
                <w:rFonts w:ascii="Times New Roman" w:hAnsi="Times New Roman" w:eastAsia="Times New Roman" w:cs="Times New Roman"/>
                <w:spacing w:val="-3"/>
                <w:sz w:val="20"/>
                <w:szCs w:val="20"/>
              </w:rPr>
              <w:t>40</w:t>
            </w:r>
            <w:r>
              <w:rPr>
                <w:rFonts w:ascii="Times New Roman" w:hAnsi="Times New Roman" w:eastAsia="Times New Roman" w:cs="Times New Roman"/>
                <w:spacing w:val="21"/>
                <w:w w:val="101"/>
                <w:sz w:val="20"/>
                <w:szCs w:val="20"/>
              </w:rPr>
              <w:t xml:space="preserve"> </w:t>
            </w:r>
            <w:r>
              <w:rPr>
                <w:spacing w:val="-3"/>
                <w:sz w:val="20"/>
                <w:szCs w:val="20"/>
              </w:rPr>
              <w:t>㎡</w:t>
            </w:r>
            <w:r>
              <w:rPr>
                <w:spacing w:val="-58"/>
                <w:sz w:val="20"/>
                <w:szCs w:val="20"/>
              </w:rPr>
              <w:t xml:space="preserve"> </w:t>
            </w:r>
            <w:r>
              <w:rPr>
                <w:spacing w:val="-3"/>
                <w:sz w:val="20"/>
                <w:szCs w:val="20"/>
              </w:rPr>
              <w:t>，面积</w:t>
            </w:r>
            <w:r>
              <w:rPr>
                <w:spacing w:val="-44"/>
                <w:sz w:val="20"/>
                <w:szCs w:val="20"/>
              </w:rPr>
              <w:t xml:space="preserve"> </w:t>
            </w:r>
            <w:r>
              <w:rPr>
                <w:rFonts w:ascii="Times New Roman" w:hAnsi="Times New Roman" w:eastAsia="Times New Roman" w:cs="Times New Roman"/>
                <w:spacing w:val="-3"/>
                <w:sz w:val="20"/>
                <w:szCs w:val="20"/>
              </w:rPr>
              <w:t>40</w:t>
            </w:r>
            <w:r>
              <w:rPr>
                <w:rFonts w:ascii="Times New Roman" w:hAnsi="Times New Roman" w:eastAsia="Times New Roman" w:cs="Times New Roman"/>
                <w:spacing w:val="21"/>
                <w:w w:val="101"/>
                <w:sz w:val="20"/>
                <w:szCs w:val="20"/>
              </w:rPr>
              <w:t xml:space="preserve"> </w:t>
            </w:r>
            <w:r>
              <w:rPr>
                <w:spacing w:val="-3"/>
                <w:sz w:val="20"/>
                <w:szCs w:val="20"/>
              </w:rPr>
              <w:t>㎡</w:t>
            </w:r>
          </w:p>
        </w:tc>
        <w:tc>
          <w:tcPr>
            <w:tcW w:w="2391" w:type="dxa"/>
            <w:vAlign w:val="top"/>
          </w:tcPr>
          <w:p w14:paraId="68BC7AEB">
            <w:pPr>
              <w:pStyle w:val="6"/>
              <w:spacing w:before="48" w:line="228" w:lineRule="auto"/>
              <w:ind w:right="6"/>
              <w:jc w:val="right"/>
              <w:rPr>
                <w:sz w:val="20"/>
                <w:szCs w:val="20"/>
              </w:rPr>
            </w:pPr>
            <w:r>
              <w:rPr>
                <w:spacing w:val="5"/>
                <w:sz w:val="20"/>
                <w:szCs w:val="20"/>
              </w:rPr>
              <w:t>彩钢瓦搭建，地面防渗，</w:t>
            </w:r>
          </w:p>
          <w:p w14:paraId="4A34AB14">
            <w:pPr>
              <w:pStyle w:val="6"/>
              <w:spacing w:before="23" w:line="221" w:lineRule="auto"/>
              <w:ind w:left="1015"/>
              <w:rPr>
                <w:sz w:val="20"/>
                <w:szCs w:val="20"/>
              </w:rPr>
            </w:pPr>
            <w:r>
              <w:rPr>
                <w:spacing w:val="-5"/>
                <w:sz w:val="20"/>
                <w:szCs w:val="20"/>
              </w:rPr>
              <w:t>围堰</w:t>
            </w:r>
          </w:p>
        </w:tc>
        <w:tc>
          <w:tcPr>
            <w:tcW w:w="287" w:type="dxa"/>
            <w:vMerge w:val="continue"/>
            <w:tcBorders>
              <w:top w:val="nil"/>
              <w:bottom w:val="nil"/>
              <w:right w:val="single" w:color="000000" w:sz="6" w:space="0"/>
            </w:tcBorders>
            <w:vAlign w:val="top"/>
          </w:tcPr>
          <w:p w14:paraId="4EE9B415">
            <w:pPr>
              <w:rPr>
                <w:rFonts w:ascii="Arial"/>
                <w:sz w:val="21"/>
              </w:rPr>
            </w:pPr>
          </w:p>
        </w:tc>
      </w:tr>
      <w:tr w14:paraId="18EC4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33AB80A4">
            <w:pPr>
              <w:rPr>
                <w:rFonts w:ascii="Arial"/>
                <w:sz w:val="21"/>
              </w:rPr>
            </w:pPr>
          </w:p>
        </w:tc>
        <w:tc>
          <w:tcPr>
            <w:tcW w:w="278" w:type="dxa"/>
            <w:vMerge w:val="continue"/>
            <w:tcBorders>
              <w:top w:val="nil"/>
              <w:bottom w:val="nil"/>
            </w:tcBorders>
            <w:vAlign w:val="top"/>
          </w:tcPr>
          <w:p w14:paraId="6B396B4A">
            <w:pPr>
              <w:rPr>
                <w:rFonts w:ascii="Arial"/>
                <w:sz w:val="21"/>
              </w:rPr>
            </w:pPr>
          </w:p>
        </w:tc>
        <w:tc>
          <w:tcPr>
            <w:tcW w:w="744" w:type="dxa"/>
            <w:vMerge w:val="restart"/>
            <w:tcBorders>
              <w:bottom w:val="nil"/>
            </w:tcBorders>
            <w:vAlign w:val="top"/>
          </w:tcPr>
          <w:p w14:paraId="7AE64805">
            <w:pPr>
              <w:spacing w:line="329" w:lineRule="auto"/>
              <w:rPr>
                <w:rFonts w:ascii="Arial"/>
                <w:sz w:val="21"/>
              </w:rPr>
            </w:pPr>
          </w:p>
          <w:p w14:paraId="1924C782">
            <w:pPr>
              <w:pStyle w:val="6"/>
              <w:spacing w:before="65" w:line="229" w:lineRule="auto"/>
              <w:ind w:left="168"/>
              <w:rPr>
                <w:sz w:val="20"/>
                <w:szCs w:val="20"/>
              </w:rPr>
            </w:pPr>
            <w:r>
              <w:rPr>
                <w:spacing w:val="1"/>
                <w:sz w:val="20"/>
                <w:szCs w:val="20"/>
              </w:rPr>
              <w:t>公用</w:t>
            </w:r>
          </w:p>
          <w:p w14:paraId="195E5D48">
            <w:pPr>
              <w:pStyle w:val="6"/>
              <w:spacing w:before="25" w:line="228" w:lineRule="auto"/>
              <w:ind w:left="164"/>
              <w:rPr>
                <w:sz w:val="20"/>
                <w:szCs w:val="20"/>
              </w:rPr>
            </w:pPr>
            <w:r>
              <w:rPr>
                <w:spacing w:val="3"/>
                <w:sz w:val="20"/>
                <w:szCs w:val="20"/>
              </w:rPr>
              <w:t>工程</w:t>
            </w:r>
          </w:p>
        </w:tc>
        <w:tc>
          <w:tcPr>
            <w:tcW w:w="1796" w:type="dxa"/>
            <w:gridSpan w:val="3"/>
            <w:vAlign w:val="top"/>
          </w:tcPr>
          <w:p w14:paraId="6F824496">
            <w:pPr>
              <w:pStyle w:val="6"/>
              <w:spacing w:before="108" w:line="228" w:lineRule="auto"/>
              <w:ind w:left="690"/>
              <w:rPr>
                <w:sz w:val="20"/>
                <w:szCs w:val="20"/>
              </w:rPr>
            </w:pPr>
            <w:r>
              <w:rPr>
                <w:spacing w:val="4"/>
                <w:sz w:val="20"/>
                <w:szCs w:val="20"/>
              </w:rPr>
              <w:t>给水</w:t>
            </w:r>
          </w:p>
        </w:tc>
        <w:tc>
          <w:tcPr>
            <w:tcW w:w="2714" w:type="dxa"/>
            <w:vAlign w:val="top"/>
          </w:tcPr>
          <w:p w14:paraId="463E6A93">
            <w:pPr>
              <w:pStyle w:val="6"/>
              <w:spacing w:before="129" w:line="200"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9135m</w:t>
            </w:r>
            <w:r>
              <w:rPr>
                <w:spacing w:val="3"/>
                <w:sz w:val="20"/>
                <w:szCs w:val="20"/>
              </w:rPr>
              <w:t>³</w:t>
            </w:r>
            <w:r>
              <w:rPr>
                <w:rFonts w:ascii="Times New Roman" w:hAnsi="Times New Roman" w:eastAsia="Times New Roman" w:cs="Times New Roman"/>
                <w:spacing w:val="3"/>
                <w:sz w:val="20"/>
                <w:szCs w:val="20"/>
              </w:rPr>
              <w:t>/a</w:t>
            </w:r>
          </w:p>
        </w:tc>
        <w:tc>
          <w:tcPr>
            <w:tcW w:w="2391" w:type="dxa"/>
            <w:vAlign w:val="top"/>
          </w:tcPr>
          <w:p w14:paraId="53C3ABD3">
            <w:pPr>
              <w:pStyle w:val="6"/>
              <w:spacing w:before="108" w:line="227" w:lineRule="auto"/>
              <w:ind w:left="582"/>
              <w:rPr>
                <w:sz w:val="20"/>
                <w:szCs w:val="20"/>
              </w:rPr>
            </w:pPr>
            <w:r>
              <w:rPr>
                <w:spacing w:val="7"/>
                <w:sz w:val="20"/>
                <w:szCs w:val="20"/>
              </w:rPr>
              <w:t>市政供水管网</w:t>
            </w:r>
          </w:p>
        </w:tc>
        <w:tc>
          <w:tcPr>
            <w:tcW w:w="287" w:type="dxa"/>
            <w:vMerge w:val="continue"/>
            <w:tcBorders>
              <w:top w:val="nil"/>
              <w:bottom w:val="nil"/>
              <w:right w:val="single" w:color="000000" w:sz="6" w:space="0"/>
            </w:tcBorders>
            <w:vAlign w:val="top"/>
          </w:tcPr>
          <w:p w14:paraId="57CC4780">
            <w:pPr>
              <w:rPr>
                <w:rFonts w:ascii="Arial"/>
                <w:sz w:val="21"/>
              </w:rPr>
            </w:pPr>
          </w:p>
        </w:tc>
      </w:tr>
      <w:tr w14:paraId="6FDD9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39885CF2">
            <w:pPr>
              <w:rPr>
                <w:rFonts w:ascii="Arial"/>
                <w:sz w:val="21"/>
              </w:rPr>
            </w:pPr>
          </w:p>
        </w:tc>
        <w:tc>
          <w:tcPr>
            <w:tcW w:w="278" w:type="dxa"/>
            <w:vMerge w:val="continue"/>
            <w:tcBorders>
              <w:top w:val="nil"/>
              <w:bottom w:val="nil"/>
            </w:tcBorders>
            <w:vAlign w:val="top"/>
          </w:tcPr>
          <w:p w14:paraId="77639E38">
            <w:pPr>
              <w:rPr>
                <w:rFonts w:ascii="Arial"/>
                <w:sz w:val="21"/>
              </w:rPr>
            </w:pPr>
          </w:p>
        </w:tc>
        <w:tc>
          <w:tcPr>
            <w:tcW w:w="744" w:type="dxa"/>
            <w:vMerge w:val="continue"/>
            <w:tcBorders>
              <w:top w:val="nil"/>
              <w:bottom w:val="nil"/>
            </w:tcBorders>
            <w:vAlign w:val="top"/>
          </w:tcPr>
          <w:p w14:paraId="06F65CEF">
            <w:pPr>
              <w:rPr>
                <w:rFonts w:ascii="Arial"/>
                <w:sz w:val="21"/>
              </w:rPr>
            </w:pPr>
          </w:p>
        </w:tc>
        <w:tc>
          <w:tcPr>
            <w:tcW w:w="1796" w:type="dxa"/>
            <w:gridSpan w:val="3"/>
            <w:vAlign w:val="top"/>
          </w:tcPr>
          <w:p w14:paraId="65AFFA2C">
            <w:pPr>
              <w:pStyle w:val="6"/>
              <w:spacing w:before="108" w:line="228" w:lineRule="auto"/>
              <w:ind w:left="689"/>
              <w:rPr>
                <w:sz w:val="20"/>
                <w:szCs w:val="20"/>
              </w:rPr>
            </w:pPr>
            <w:r>
              <w:rPr>
                <w:spacing w:val="4"/>
                <w:sz w:val="20"/>
                <w:szCs w:val="20"/>
              </w:rPr>
              <w:t>排水</w:t>
            </w:r>
          </w:p>
        </w:tc>
        <w:tc>
          <w:tcPr>
            <w:tcW w:w="2714" w:type="dxa"/>
            <w:vAlign w:val="top"/>
          </w:tcPr>
          <w:p w14:paraId="46DBF3F5">
            <w:pPr>
              <w:pStyle w:val="6"/>
              <w:spacing w:before="130" w:line="200" w:lineRule="auto"/>
              <w:ind w:left="9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8496m</w:t>
            </w:r>
            <w:r>
              <w:rPr>
                <w:spacing w:val="2"/>
                <w:sz w:val="20"/>
                <w:szCs w:val="20"/>
              </w:rPr>
              <w:t>³</w:t>
            </w:r>
            <w:r>
              <w:rPr>
                <w:rFonts w:ascii="Times New Roman" w:hAnsi="Times New Roman" w:eastAsia="Times New Roman" w:cs="Times New Roman"/>
                <w:spacing w:val="2"/>
                <w:sz w:val="20"/>
                <w:szCs w:val="20"/>
              </w:rPr>
              <w:t>/a</w:t>
            </w:r>
          </w:p>
        </w:tc>
        <w:tc>
          <w:tcPr>
            <w:tcW w:w="2391" w:type="dxa"/>
            <w:vAlign w:val="top"/>
          </w:tcPr>
          <w:p w14:paraId="454CB7FB">
            <w:pPr>
              <w:pStyle w:val="6"/>
              <w:spacing w:before="108" w:line="228" w:lineRule="auto"/>
              <w:ind w:left="582"/>
              <w:rPr>
                <w:sz w:val="20"/>
                <w:szCs w:val="20"/>
              </w:rPr>
            </w:pPr>
            <w:r>
              <w:rPr>
                <w:spacing w:val="7"/>
                <w:sz w:val="20"/>
                <w:szCs w:val="20"/>
              </w:rPr>
              <w:t>市政污水管网</w:t>
            </w:r>
          </w:p>
        </w:tc>
        <w:tc>
          <w:tcPr>
            <w:tcW w:w="287" w:type="dxa"/>
            <w:vMerge w:val="continue"/>
            <w:tcBorders>
              <w:top w:val="nil"/>
              <w:bottom w:val="nil"/>
              <w:right w:val="single" w:color="000000" w:sz="6" w:space="0"/>
            </w:tcBorders>
            <w:vAlign w:val="top"/>
          </w:tcPr>
          <w:p w14:paraId="5230877E">
            <w:pPr>
              <w:rPr>
                <w:rFonts w:ascii="Arial"/>
                <w:sz w:val="21"/>
              </w:rPr>
            </w:pPr>
          </w:p>
        </w:tc>
      </w:tr>
      <w:tr w14:paraId="0E62E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7D683F6D">
            <w:pPr>
              <w:rPr>
                <w:rFonts w:ascii="Arial"/>
                <w:sz w:val="21"/>
              </w:rPr>
            </w:pPr>
          </w:p>
        </w:tc>
        <w:tc>
          <w:tcPr>
            <w:tcW w:w="278" w:type="dxa"/>
            <w:vMerge w:val="continue"/>
            <w:tcBorders>
              <w:top w:val="nil"/>
              <w:bottom w:val="nil"/>
            </w:tcBorders>
            <w:vAlign w:val="top"/>
          </w:tcPr>
          <w:p w14:paraId="30681558">
            <w:pPr>
              <w:rPr>
                <w:rFonts w:ascii="Arial"/>
                <w:sz w:val="21"/>
              </w:rPr>
            </w:pPr>
          </w:p>
        </w:tc>
        <w:tc>
          <w:tcPr>
            <w:tcW w:w="744" w:type="dxa"/>
            <w:vMerge w:val="continue"/>
            <w:tcBorders>
              <w:top w:val="nil"/>
            </w:tcBorders>
            <w:vAlign w:val="top"/>
          </w:tcPr>
          <w:p w14:paraId="21E3961B">
            <w:pPr>
              <w:rPr>
                <w:rFonts w:ascii="Arial"/>
                <w:sz w:val="21"/>
              </w:rPr>
            </w:pPr>
          </w:p>
        </w:tc>
        <w:tc>
          <w:tcPr>
            <w:tcW w:w="1796" w:type="dxa"/>
            <w:gridSpan w:val="3"/>
            <w:vAlign w:val="top"/>
          </w:tcPr>
          <w:p w14:paraId="54CE83CF">
            <w:pPr>
              <w:pStyle w:val="6"/>
              <w:spacing w:before="109" w:line="227" w:lineRule="auto"/>
              <w:ind w:left="689"/>
              <w:rPr>
                <w:sz w:val="20"/>
                <w:szCs w:val="20"/>
              </w:rPr>
            </w:pPr>
            <w:r>
              <w:rPr>
                <w:spacing w:val="4"/>
                <w:sz w:val="20"/>
                <w:szCs w:val="20"/>
              </w:rPr>
              <w:t>供电</w:t>
            </w:r>
          </w:p>
        </w:tc>
        <w:tc>
          <w:tcPr>
            <w:tcW w:w="2714" w:type="dxa"/>
            <w:vAlign w:val="top"/>
          </w:tcPr>
          <w:p w14:paraId="03F676F7">
            <w:pPr>
              <w:pStyle w:val="6"/>
              <w:spacing w:before="109" w:line="228" w:lineRule="auto"/>
              <w:ind w:left="938"/>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20"/>
                <w:w w:val="101"/>
                <w:sz w:val="20"/>
                <w:szCs w:val="20"/>
              </w:rPr>
              <w:t xml:space="preserve"> </w:t>
            </w:r>
            <w:r>
              <w:rPr>
                <w:spacing w:val="2"/>
                <w:sz w:val="20"/>
                <w:szCs w:val="20"/>
              </w:rPr>
              <w:t>万度</w:t>
            </w:r>
            <w:r>
              <w:rPr>
                <w:rFonts w:ascii="Times New Roman" w:hAnsi="Times New Roman" w:eastAsia="Times New Roman" w:cs="Times New Roman"/>
                <w:spacing w:val="2"/>
                <w:sz w:val="20"/>
                <w:szCs w:val="20"/>
              </w:rPr>
              <w:t>/</w:t>
            </w:r>
            <w:r>
              <w:rPr>
                <w:spacing w:val="2"/>
                <w:sz w:val="20"/>
                <w:szCs w:val="20"/>
              </w:rPr>
              <w:t>年</w:t>
            </w:r>
          </w:p>
        </w:tc>
        <w:tc>
          <w:tcPr>
            <w:tcW w:w="2391" w:type="dxa"/>
            <w:vAlign w:val="top"/>
          </w:tcPr>
          <w:p w14:paraId="4850CC96">
            <w:pPr>
              <w:pStyle w:val="6"/>
              <w:spacing w:before="109" w:line="228" w:lineRule="auto"/>
              <w:ind w:left="791"/>
              <w:rPr>
                <w:sz w:val="20"/>
                <w:szCs w:val="20"/>
              </w:rPr>
            </w:pPr>
            <w:r>
              <w:rPr>
                <w:spacing w:val="5"/>
                <w:sz w:val="20"/>
                <w:szCs w:val="20"/>
              </w:rPr>
              <w:t>市政电网</w:t>
            </w:r>
          </w:p>
        </w:tc>
        <w:tc>
          <w:tcPr>
            <w:tcW w:w="287" w:type="dxa"/>
            <w:vMerge w:val="continue"/>
            <w:tcBorders>
              <w:top w:val="nil"/>
              <w:bottom w:val="nil"/>
              <w:right w:val="single" w:color="000000" w:sz="6" w:space="0"/>
            </w:tcBorders>
            <w:vAlign w:val="top"/>
          </w:tcPr>
          <w:p w14:paraId="6FAF44D9">
            <w:pPr>
              <w:rPr>
                <w:rFonts w:ascii="Arial"/>
                <w:sz w:val="21"/>
              </w:rPr>
            </w:pPr>
          </w:p>
        </w:tc>
      </w:tr>
      <w:tr w14:paraId="3EB74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78" w:type="dxa"/>
            <w:vMerge w:val="continue"/>
            <w:tcBorders>
              <w:top w:val="nil"/>
              <w:left w:val="single" w:color="000000" w:sz="6" w:space="0"/>
              <w:bottom w:val="nil"/>
            </w:tcBorders>
            <w:vAlign w:val="top"/>
          </w:tcPr>
          <w:p w14:paraId="52F85768">
            <w:pPr>
              <w:rPr>
                <w:rFonts w:ascii="Arial"/>
                <w:sz w:val="21"/>
              </w:rPr>
            </w:pPr>
          </w:p>
        </w:tc>
        <w:tc>
          <w:tcPr>
            <w:tcW w:w="278" w:type="dxa"/>
            <w:vMerge w:val="continue"/>
            <w:tcBorders>
              <w:top w:val="nil"/>
              <w:bottom w:val="nil"/>
            </w:tcBorders>
            <w:vAlign w:val="top"/>
          </w:tcPr>
          <w:p w14:paraId="0ABCC081">
            <w:pPr>
              <w:rPr>
                <w:rFonts w:ascii="Arial"/>
                <w:sz w:val="21"/>
              </w:rPr>
            </w:pPr>
          </w:p>
        </w:tc>
        <w:tc>
          <w:tcPr>
            <w:tcW w:w="744" w:type="dxa"/>
            <w:vMerge w:val="restart"/>
            <w:tcBorders>
              <w:bottom w:val="nil"/>
            </w:tcBorders>
            <w:vAlign w:val="top"/>
          </w:tcPr>
          <w:p w14:paraId="50A54FF8">
            <w:pPr>
              <w:spacing w:line="268" w:lineRule="auto"/>
              <w:rPr>
                <w:rFonts w:ascii="Arial"/>
                <w:sz w:val="21"/>
              </w:rPr>
            </w:pPr>
          </w:p>
          <w:p w14:paraId="520D4B71">
            <w:pPr>
              <w:spacing w:line="268" w:lineRule="auto"/>
              <w:rPr>
                <w:rFonts w:ascii="Arial"/>
                <w:sz w:val="21"/>
              </w:rPr>
            </w:pPr>
          </w:p>
          <w:p w14:paraId="0E9AD3A5">
            <w:pPr>
              <w:spacing w:line="268" w:lineRule="auto"/>
              <w:rPr>
                <w:rFonts w:ascii="Arial"/>
                <w:sz w:val="21"/>
              </w:rPr>
            </w:pPr>
          </w:p>
          <w:p w14:paraId="6D042E1A">
            <w:pPr>
              <w:spacing w:line="268" w:lineRule="auto"/>
              <w:rPr>
                <w:rFonts w:ascii="Arial"/>
                <w:sz w:val="21"/>
              </w:rPr>
            </w:pPr>
          </w:p>
          <w:p w14:paraId="36D49779">
            <w:pPr>
              <w:spacing w:line="269" w:lineRule="auto"/>
              <w:rPr>
                <w:rFonts w:ascii="Arial"/>
                <w:sz w:val="21"/>
              </w:rPr>
            </w:pPr>
          </w:p>
          <w:p w14:paraId="4BBE6E0B">
            <w:pPr>
              <w:spacing w:line="269" w:lineRule="auto"/>
              <w:rPr>
                <w:rFonts w:ascii="Arial"/>
                <w:sz w:val="21"/>
              </w:rPr>
            </w:pPr>
          </w:p>
          <w:p w14:paraId="7B46A07C">
            <w:pPr>
              <w:pStyle w:val="6"/>
              <w:spacing w:before="65" w:line="228" w:lineRule="auto"/>
              <w:ind w:left="161"/>
              <w:rPr>
                <w:sz w:val="20"/>
                <w:szCs w:val="20"/>
              </w:rPr>
            </w:pPr>
            <w:r>
              <w:rPr>
                <w:spacing w:val="4"/>
                <w:sz w:val="20"/>
                <w:szCs w:val="20"/>
              </w:rPr>
              <w:t>环保</w:t>
            </w:r>
          </w:p>
          <w:p w14:paraId="6B641794">
            <w:pPr>
              <w:pStyle w:val="6"/>
              <w:spacing w:before="26" w:line="228" w:lineRule="auto"/>
              <w:ind w:left="164"/>
              <w:rPr>
                <w:sz w:val="20"/>
                <w:szCs w:val="20"/>
              </w:rPr>
            </w:pPr>
            <w:r>
              <w:rPr>
                <w:spacing w:val="3"/>
                <w:sz w:val="20"/>
                <w:szCs w:val="20"/>
              </w:rPr>
              <w:t>工程</w:t>
            </w:r>
          </w:p>
        </w:tc>
        <w:tc>
          <w:tcPr>
            <w:tcW w:w="589" w:type="dxa"/>
            <w:vMerge w:val="restart"/>
            <w:tcBorders>
              <w:bottom w:val="nil"/>
            </w:tcBorders>
            <w:textDirection w:val="tbRlV"/>
            <w:vAlign w:val="top"/>
          </w:tcPr>
          <w:p w14:paraId="7E752383">
            <w:pPr>
              <w:pStyle w:val="6"/>
              <w:spacing w:before="192" w:line="216" w:lineRule="auto"/>
              <w:ind w:left="58"/>
              <w:rPr>
                <w:sz w:val="20"/>
                <w:szCs w:val="20"/>
              </w:rPr>
            </w:pPr>
            <w:r>
              <w:rPr>
                <w:spacing w:val="8"/>
                <w:sz w:val="20"/>
                <w:szCs w:val="20"/>
              </w:rPr>
              <w:t>废</w:t>
            </w:r>
            <w:r>
              <w:rPr>
                <w:spacing w:val="-36"/>
                <w:sz w:val="20"/>
                <w:szCs w:val="20"/>
              </w:rPr>
              <w:t xml:space="preserve"> </w:t>
            </w:r>
            <w:r>
              <w:rPr>
                <w:spacing w:val="8"/>
                <w:sz w:val="20"/>
                <w:szCs w:val="20"/>
              </w:rPr>
              <w:t>水</w:t>
            </w:r>
            <w:r>
              <w:rPr>
                <w:spacing w:val="-35"/>
                <w:sz w:val="20"/>
                <w:szCs w:val="20"/>
              </w:rPr>
              <w:t xml:space="preserve"> </w:t>
            </w:r>
            <w:r>
              <w:rPr>
                <w:spacing w:val="8"/>
                <w:sz w:val="20"/>
                <w:szCs w:val="20"/>
              </w:rPr>
              <w:t>处</w:t>
            </w:r>
            <w:r>
              <w:rPr>
                <w:spacing w:val="-35"/>
                <w:sz w:val="20"/>
                <w:szCs w:val="20"/>
              </w:rPr>
              <w:t xml:space="preserve"> </w:t>
            </w:r>
            <w:r>
              <w:rPr>
                <w:spacing w:val="8"/>
                <w:sz w:val="20"/>
                <w:szCs w:val="20"/>
              </w:rPr>
              <w:t>理</w:t>
            </w:r>
          </w:p>
        </w:tc>
        <w:tc>
          <w:tcPr>
            <w:tcW w:w="1207" w:type="dxa"/>
            <w:gridSpan w:val="2"/>
            <w:vAlign w:val="top"/>
          </w:tcPr>
          <w:p w14:paraId="141F80AC">
            <w:pPr>
              <w:pStyle w:val="6"/>
              <w:spacing w:before="177" w:line="228" w:lineRule="auto"/>
              <w:ind w:left="186"/>
              <w:rPr>
                <w:sz w:val="20"/>
                <w:szCs w:val="20"/>
              </w:rPr>
            </w:pPr>
            <w:r>
              <w:rPr>
                <w:spacing w:val="6"/>
                <w:sz w:val="20"/>
                <w:szCs w:val="20"/>
              </w:rPr>
              <w:t>生产废水</w:t>
            </w:r>
          </w:p>
        </w:tc>
        <w:tc>
          <w:tcPr>
            <w:tcW w:w="2714" w:type="dxa"/>
            <w:vAlign w:val="top"/>
          </w:tcPr>
          <w:p w14:paraId="169162D0">
            <w:pPr>
              <w:pStyle w:val="6"/>
              <w:spacing w:before="177" w:line="228" w:lineRule="auto"/>
              <w:ind w:left="409"/>
              <w:rPr>
                <w:sz w:val="20"/>
                <w:szCs w:val="20"/>
              </w:rPr>
            </w:pPr>
            <w:r>
              <w:rPr>
                <w:spacing w:val="6"/>
                <w:sz w:val="20"/>
                <w:szCs w:val="20"/>
              </w:rPr>
              <w:t>废水处理站（</w:t>
            </w:r>
            <w:r>
              <w:rPr>
                <w:rFonts w:ascii="Times New Roman" w:hAnsi="Times New Roman" w:eastAsia="Times New Roman" w:cs="Times New Roman"/>
                <w:spacing w:val="6"/>
                <w:sz w:val="20"/>
                <w:szCs w:val="20"/>
              </w:rPr>
              <w:t>30t/d</w:t>
            </w:r>
            <w:r>
              <w:rPr>
                <w:spacing w:val="6"/>
                <w:sz w:val="20"/>
                <w:szCs w:val="20"/>
              </w:rPr>
              <w:t>）</w:t>
            </w:r>
          </w:p>
        </w:tc>
        <w:tc>
          <w:tcPr>
            <w:tcW w:w="2391" w:type="dxa"/>
            <w:vMerge w:val="restart"/>
            <w:tcBorders>
              <w:bottom w:val="nil"/>
            </w:tcBorders>
            <w:vAlign w:val="top"/>
          </w:tcPr>
          <w:p w14:paraId="050F7A86">
            <w:pPr>
              <w:spacing w:line="400" w:lineRule="auto"/>
              <w:rPr>
                <w:rFonts w:ascii="Arial"/>
                <w:sz w:val="21"/>
              </w:rPr>
            </w:pPr>
          </w:p>
          <w:p w14:paraId="5C0C5AF0">
            <w:pPr>
              <w:pStyle w:val="6"/>
              <w:spacing w:before="65" w:line="228" w:lineRule="auto"/>
              <w:ind w:left="365"/>
              <w:rPr>
                <w:sz w:val="20"/>
                <w:szCs w:val="20"/>
              </w:rPr>
            </w:pPr>
            <w:r>
              <w:rPr>
                <w:spacing w:val="8"/>
                <w:sz w:val="20"/>
                <w:szCs w:val="20"/>
              </w:rPr>
              <w:t>排入市政污水管网</w:t>
            </w:r>
          </w:p>
        </w:tc>
        <w:tc>
          <w:tcPr>
            <w:tcW w:w="287" w:type="dxa"/>
            <w:vMerge w:val="continue"/>
            <w:tcBorders>
              <w:top w:val="nil"/>
              <w:bottom w:val="nil"/>
              <w:right w:val="single" w:color="000000" w:sz="6" w:space="0"/>
            </w:tcBorders>
            <w:vAlign w:val="top"/>
          </w:tcPr>
          <w:p w14:paraId="27AA6709">
            <w:pPr>
              <w:rPr>
                <w:rFonts w:ascii="Arial"/>
                <w:sz w:val="21"/>
              </w:rPr>
            </w:pPr>
          </w:p>
        </w:tc>
      </w:tr>
      <w:tr w14:paraId="09C94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continue"/>
            <w:tcBorders>
              <w:top w:val="nil"/>
              <w:left w:val="single" w:color="000000" w:sz="6" w:space="0"/>
              <w:bottom w:val="nil"/>
            </w:tcBorders>
            <w:vAlign w:val="top"/>
          </w:tcPr>
          <w:p w14:paraId="200859B0">
            <w:pPr>
              <w:rPr>
                <w:rFonts w:ascii="Arial"/>
                <w:sz w:val="21"/>
              </w:rPr>
            </w:pPr>
          </w:p>
        </w:tc>
        <w:tc>
          <w:tcPr>
            <w:tcW w:w="278" w:type="dxa"/>
            <w:vMerge w:val="continue"/>
            <w:tcBorders>
              <w:top w:val="nil"/>
              <w:bottom w:val="nil"/>
            </w:tcBorders>
            <w:vAlign w:val="top"/>
          </w:tcPr>
          <w:p w14:paraId="48E3AFCF">
            <w:pPr>
              <w:rPr>
                <w:rFonts w:ascii="Arial"/>
                <w:sz w:val="21"/>
              </w:rPr>
            </w:pPr>
          </w:p>
        </w:tc>
        <w:tc>
          <w:tcPr>
            <w:tcW w:w="744" w:type="dxa"/>
            <w:vMerge w:val="continue"/>
            <w:tcBorders>
              <w:top w:val="nil"/>
              <w:bottom w:val="nil"/>
            </w:tcBorders>
            <w:vAlign w:val="top"/>
          </w:tcPr>
          <w:p w14:paraId="7688D480">
            <w:pPr>
              <w:rPr>
                <w:rFonts w:ascii="Arial"/>
                <w:sz w:val="21"/>
              </w:rPr>
            </w:pPr>
          </w:p>
        </w:tc>
        <w:tc>
          <w:tcPr>
            <w:tcW w:w="589" w:type="dxa"/>
            <w:vMerge w:val="continue"/>
            <w:tcBorders>
              <w:top w:val="nil"/>
            </w:tcBorders>
            <w:textDirection w:val="tbRlV"/>
            <w:vAlign w:val="top"/>
          </w:tcPr>
          <w:p w14:paraId="04C5B9F0">
            <w:pPr>
              <w:rPr>
                <w:rFonts w:ascii="Arial"/>
                <w:sz w:val="21"/>
              </w:rPr>
            </w:pPr>
          </w:p>
        </w:tc>
        <w:tc>
          <w:tcPr>
            <w:tcW w:w="1207" w:type="dxa"/>
            <w:gridSpan w:val="2"/>
            <w:vAlign w:val="top"/>
          </w:tcPr>
          <w:p w14:paraId="32665A6A">
            <w:pPr>
              <w:pStyle w:val="6"/>
              <w:spacing w:before="187" w:line="228" w:lineRule="auto"/>
              <w:ind w:left="186"/>
              <w:rPr>
                <w:sz w:val="20"/>
                <w:szCs w:val="20"/>
              </w:rPr>
            </w:pPr>
            <w:r>
              <w:rPr>
                <w:spacing w:val="6"/>
                <w:sz w:val="20"/>
                <w:szCs w:val="20"/>
              </w:rPr>
              <w:t>生活污水</w:t>
            </w:r>
          </w:p>
        </w:tc>
        <w:tc>
          <w:tcPr>
            <w:tcW w:w="2714" w:type="dxa"/>
            <w:vAlign w:val="top"/>
          </w:tcPr>
          <w:p w14:paraId="1B1DB845">
            <w:pPr>
              <w:pStyle w:val="6"/>
              <w:spacing w:before="187" w:line="228" w:lineRule="auto"/>
              <w:ind w:left="1047"/>
              <w:rPr>
                <w:sz w:val="20"/>
                <w:szCs w:val="20"/>
              </w:rPr>
            </w:pPr>
            <w:r>
              <w:rPr>
                <w:spacing w:val="6"/>
                <w:sz w:val="20"/>
                <w:szCs w:val="20"/>
              </w:rPr>
              <w:t>化粪池</w:t>
            </w:r>
          </w:p>
        </w:tc>
        <w:tc>
          <w:tcPr>
            <w:tcW w:w="2391" w:type="dxa"/>
            <w:vMerge w:val="continue"/>
            <w:tcBorders>
              <w:top w:val="nil"/>
            </w:tcBorders>
            <w:vAlign w:val="top"/>
          </w:tcPr>
          <w:p w14:paraId="459FD30A">
            <w:pPr>
              <w:rPr>
                <w:rFonts w:ascii="Arial"/>
                <w:sz w:val="21"/>
              </w:rPr>
            </w:pPr>
          </w:p>
        </w:tc>
        <w:tc>
          <w:tcPr>
            <w:tcW w:w="287" w:type="dxa"/>
            <w:vMerge w:val="continue"/>
            <w:tcBorders>
              <w:top w:val="nil"/>
              <w:bottom w:val="nil"/>
              <w:right w:val="single" w:color="000000" w:sz="6" w:space="0"/>
            </w:tcBorders>
            <w:vAlign w:val="top"/>
          </w:tcPr>
          <w:p w14:paraId="7B4B0C16">
            <w:pPr>
              <w:rPr>
                <w:rFonts w:ascii="Arial"/>
                <w:sz w:val="21"/>
              </w:rPr>
            </w:pPr>
          </w:p>
        </w:tc>
      </w:tr>
      <w:tr w14:paraId="2A599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8" w:type="dxa"/>
            <w:vMerge w:val="continue"/>
            <w:tcBorders>
              <w:top w:val="nil"/>
              <w:left w:val="single" w:color="000000" w:sz="6" w:space="0"/>
              <w:bottom w:val="nil"/>
            </w:tcBorders>
            <w:vAlign w:val="top"/>
          </w:tcPr>
          <w:p w14:paraId="589F933D">
            <w:pPr>
              <w:rPr>
                <w:rFonts w:ascii="Arial"/>
                <w:sz w:val="21"/>
              </w:rPr>
            </w:pPr>
          </w:p>
        </w:tc>
        <w:tc>
          <w:tcPr>
            <w:tcW w:w="278" w:type="dxa"/>
            <w:vMerge w:val="continue"/>
            <w:tcBorders>
              <w:top w:val="nil"/>
              <w:bottom w:val="nil"/>
            </w:tcBorders>
            <w:vAlign w:val="top"/>
          </w:tcPr>
          <w:p w14:paraId="7C03AF27">
            <w:pPr>
              <w:rPr>
                <w:rFonts w:ascii="Arial"/>
                <w:sz w:val="21"/>
              </w:rPr>
            </w:pPr>
          </w:p>
        </w:tc>
        <w:tc>
          <w:tcPr>
            <w:tcW w:w="744" w:type="dxa"/>
            <w:vMerge w:val="continue"/>
            <w:tcBorders>
              <w:top w:val="nil"/>
              <w:bottom w:val="nil"/>
            </w:tcBorders>
            <w:vAlign w:val="top"/>
          </w:tcPr>
          <w:p w14:paraId="6A78EDA3">
            <w:pPr>
              <w:rPr>
                <w:rFonts w:ascii="Arial"/>
                <w:sz w:val="21"/>
              </w:rPr>
            </w:pPr>
          </w:p>
        </w:tc>
        <w:tc>
          <w:tcPr>
            <w:tcW w:w="1050" w:type="dxa"/>
            <w:gridSpan w:val="2"/>
            <w:vAlign w:val="top"/>
          </w:tcPr>
          <w:p w14:paraId="331328D0">
            <w:pPr>
              <w:pStyle w:val="6"/>
              <w:spacing w:before="41" w:line="228" w:lineRule="auto"/>
              <w:ind w:left="211"/>
              <w:rPr>
                <w:sz w:val="20"/>
                <w:szCs w:val="20"/>
              </w:rPr>
            </w:pPr>
            <w:r>
              <w:rPr>
                <w:spacing w:val="7"/>
                <w:sz w:val="20"/>
                <w:szCs w:val="20"/>
              </w:rPr>
              <w:t>废气处</w:t>
            </w:r>
          </w:p>
          <w:p w14:paraId="307BDCA5">
            <w:pPr>
              <w:pStyle w:val="6"/>
              <w:spacing w:before="24" w:line="210" w:lineRule="auto"/>
              <w:ind w:left="423"/>
              <w:rPr>
                <w:sz w:val="20"/>
                <w:szCs w:val="20"/>
              </w:rPr>
            </w:pPr>
            <w:r>
              <w:rPr>
                <w:sz w:val="20"/>
                <w:szCs w:val="20"/>
              </w:rPr>
              <w:t>理</w:t>
            </w:r>
          </w:p>
        </w:tc>
        <w:tc>
          <w:tcPr>
            <w:tcW w:w="746" w:type="dxa"/>
            <w:vAlign w:val="top"/>
          </w:tcPr>
          <w:p w14:paraId="353CF6CA">
            <w:pPr>
              <w:pStyle w:val="6"/>
              <w:spacing w:before="175" w:line="229" w:lineRule="auto"/>
              <w:ind w:left="166"/>
              <w:rPr>
                <w:sz w:val="20"/>
                <w:szCs w:val="20"/>
              </w:rPr>
            </w:pPr>
            <w:r>
              <w:rPr>
                <w:spacing w:val="4"/>
                <w:sz w:val="20"/>
                <w:szCs w:val="20"/>
              </w:rPr>
              <w:t>酸雾</w:t>
            </w:r>
          </w:p>
        </w:tc>
        <w:tc>
          <w:tcPr>
            <w:tcW w:w="2714" w:type="dxa"/>
            <w:vAlign w:val="top"/>
          </w:tcPr>
          <w:p w14:paraId="69834E0A">
            <w:pPr>
              <w:pStyle w:val="6"/>
              <w:spacing w:before="175" w:line="226" w:lineRule="auto"/>
              <w:ind w:left="941"/>
              <w:rPr>
                <w:sz w:val="20"/>
                <w:szCs w:val="20"/>
              </w:rPr>
            </w:pPr>
            <w:r>
              <w:rPr>
                <w:spacing w:val="7"/>
                <w:sz w:val="20"/>
                <w:szCs w:val="20"/>
              </w:rPr>
              <w:t>碱水喷淋</w:t>
            </w:r>
          </w:p>
        </w:tc>
        <w:tc>
          <w:tcPr>
            <w:tcW w:w="2391" w:type="dxa"/>
            <w:vAlign w:val="top"/>
          </w:tcPr>
          <w:p w14:paraId="5170F11C">
            <w:pPr>
              <w:spacing w:before="207" w:line="199" w:lineRule="auto"/>
              <w:ind w:left="1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87" w:type="dxa"/>
            <w:vMerge w:val="continue"/>
            <w:tcBorders>
              <w:top w:val="nil"/>
              <w:bottom w:val="nil"/>
              <w:right w:val="single" w:color="000000" w:sz="6" w:space="0"/>
            </w:tcBorders>
            <w:vAlign w:val="top"/>
          </w:tcPr>
          <w:p w14:paraId="4A4A0701">
            <w:pPr>
              <w:rPr>
                <w:rFonts w:ascii="Arial"/>
                <w:sz w:val="21"/>
              </w:rPr>
            </w:pPr>
          </w:p>
        </w:tc>
      </w:tr>
      <w:tr w14:paraId="4D72E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78" w:type="dxa"/>
            <w:vMerge w:val="continue"/>
            <w:tcBorders>
              <w:top w:val="nil"/>
              <w:left w:val="single" w:color="000000" w:sz="6" w:space="0"/>
              <w:bottom w:val="nil"/>
            </w:tcBorders>
            <w:vAlign w:val="top"/>
          </w:tcPr>
          <w:p w14:paraId="18E7C05A">
            <w:pPr>
              <w:rPr>
                <w:rFonts w:ascii="Arial"/>
                <w:sz w:val="21"/>
              </w:rPr>
            </w:pPr>
          </w:p>
        </w:tc>
        <w:tc>
          <w:tcPr>
            <w:tcW w:w="278" w:type="dxa"/>
            <w:vMerge w:val="continue"/>
            <w:tcBorders>
              <w:top w:val="nil"/>
              <w:bottom w:val="nil"/>
            </w:tcBorders>
            <w:vAlign w:val="top"/>
          </w:tcPr>
          <w:p w14:paraId="781A6539">
            <w:pPr>
              <w:rPr>
                <w:rFonts w:ascii="Arial"/>
                <w:sz w:val="21"/>
              </w:rPr>
            </w:pPr>
          </w:p>
        </w:tc>
        <w:tc>
          <w:tcPr>
            <w:tcW w:w="744" w:type="dxa"/>
            <w:vMerge w:val="continue"/>
            <w:tcBorders>
              <w:top w:val="nil"/>
              <w:bottom w:val="nil"/>
            </w:tcBorders>
            <w:vAlign w:val="top"/>
          </w:tcPr>
          <w:p w14:paraId="4833AC44">
            <w:pPr>
              <w:rPr>
                <w:rFonts w:ascii="Arial"/>
                <w:sz w:val="21"/>
              </w:rPr>
            </w:pPr>
          </w:p>
        </w:tc>
        <w:tc>
          <w:tcPr>
            <w:tcW w:w="1796" w:type="dxa"/>
            <w:gridSpan w:val="3"/>
            <w:vAlign w:val="top"/>
          </w:tcPr>
          <w:p w14:paraId="544B6FF4">
            <w:pPr>
              <w:pStyle w:val="6"/>
              <w:spacing w:before="110" w:line="228" w:lineRule="auto"/>
              <w:ind w:left="488"/>
              <w:rPr>
                <w:sz w:val="20"/>
                <w:szCs w:val="20"/>
              </w:rPr>
            </w:pPr>
            <w:r>
              <w:rPr>
                <w:spacing w:val="4"/>
                <w:sz w:val="20"/>
                <w:szCs w:val="20"/>
              </w:rPr>
              <w:t>噪声治理</w:t>
            </w:r>
          </w:p>
        </w:tc>
        <w:tc>
          <w:tcPr>
            <w:tcW w:w="2714" w:type="dxa"/>
            <w:vAlign w:val="top"/>
          </w:tcPr>
          <w:p w14:paraId="29048F5A">
            <w:pPr>
              <w:pStyle w:val="6"/>
              <w:spacing w:before="110" w:line="228" w:lineRule="auto"/>
              <w:ind w:left="735"/>
              <w:rPr>
                <w:sz w:val="20"/>
                <w:szCs w:val="20"/>
              </w:rPr>
            </w:pPr>
            <w:r>
              <w:rPr>
                <w:spacing w:val="7"/>
                <w:sz w:val="20"/>
                <w:szCs w:val="20"/>
              </w:rPr>
              <w:t>设备装减振垫</w:t>
            </w:r>
          </w:p>
        </w:tc>
        <w:tc>
          <w:tcPr>
            <w:tcW w:w="2391" w:type="dxa"/>
            <w:vAlign w:val="top"/>
          </w:tcPr>
          <w:p w14:paraId="210785E4">
            <w:pPr>
              <w:spacing w:before="141" w:line="199" w:lineRule="auto"/>
              <w:ind w:left="1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87" w:type="dxa"/>
            <w:vMerge w:val="continue"/>
            <w:tcBorders>
              <w:top w:val="nil"/>
              <w:bottom w:val="nil"/>
              <w:right w:val="single" w:color="000000" w:sz="6" w:space="0"/>
            </w:tcBorders>
            <w:vAlign w:val="top"/>
          </w:tcPr>
          <w:p w14:paraId="72069D7D">
            <w:pPr>
              <w:rPr>
                <w:rFonts w:ascii="Arial"/>
                <w:sz w:val="21"/>
              </w:rPr>
            </w:pPr>
          </w:p>
        </w:tc>
      </w:tr>
      <w:tr w14:paraId="626F6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5342F23A">
            <w:pPr>
              <w:rPr>
                <w:rFonts w:ascii="Arial"/>
                <w:sz w:val="21"/>
              </w:rPr>
            </w:pPr>
          </w:p>
        </w:tc>
        <w:tc>
          <w:tcPr>
            <w:tcW w:w="278" w:type="dxa"/>
            <w:vMerge w:val="continue"/>
            <w:tcBorders>
              <w:top w:val="nil"/>
              <w:bottom w:val="nil"/>
            </w:tcBorders>
            <w:vAlign w:val="top"/>
          </w:tcPr>
          <w:p w14:paraId="0A926712">
            <w:pPr>
              <w:rPr>
                <w:rFonts w:ascii="Arial"/>
                <w:sz w:val="21"/>
              </w:rPr>
            </w:pPr>
          </w:p>
        </w:tc>
        <w:tc>
          <w:tcPr>
            <w:tcW w:w="744" w:type="dxa"/>
            <w:vMerge w:val="continue"/>
            <w:tcBorders>
              <w:top w:val="nil"/>
              <w:bottom w:val="nil"/>
            </w:tcBorders>
            <w:vAlign w:val="top"/>
          </w:tcPr>
          <w:p w14:paraId="040569E9">
            <w:pPr>
              <w:rPr>
                <w:rFonts w:ascii="Arial"/>
                <w:sz w:val="21"/>
              </w:rPr>
            </w:pPr>
          </w:p>
        </w:tc>
        <w:tc>
          <w:tcPr>
            <w:tcW w:w="1050" w:type="dxa"/>
            <w:gridSpan w:val="2"/>
            <w:vMerge w:val="restart"/>
            <w:tcBorders>
              <w:bottom w:val="nil"/>
            </w:tcBorders>
            <w:vAlign w:val="top"/>
          </w:tcPr>
          <w:p w14:paraId="4D988F5C">
            <w:pPr>
              <w:spacing w:line="280" w:lineRule="auto"/>
              <w:rPr>
                <w:rFonts w:ascii="Arial"/>
                <w:sz w:val="21"/>
              </w:rPr>
            </w:pPr>
          </w:p>
          <w:p w14:paraId="6CC06E75">
            <w:pPr>
              <w:spacing w:line="281" w:lineRule="auto"/>
              <w:rPr>
                <w:rFonts w:ascii="Arial"/>
                <w:sz w:val="21"/>
              </w:rPr>
            </w:pPr>
          </w:p>
          <w:p w14:paraId="7B502289">
            <w:pPr>
              <w:pStyle w:val="6"/>
              <w:spacing w:before="65" w:line="252" w:lineRule="auto"/>
              <w:ind w:left="420" w:right="211" w:hanging="190"/>
              <w:rPr>
                <w:sz w:val="20"/>
                <w:szCs w:val="20"/>
              </w:rPr>
            </w:pPr>
            <w:r>
              <w:rPr>
                <w:sz w:val="20"/>
                <w:szCs w:val="20"/>
              </w:rPr>
              <w:t>固体废</w:t>
            </w:r>
            <w:r>
              <w:rPr>
                <w:spacing w:val="1"/>
                <w:sz w:val="20"/>
                <w:szCs w:val="20"/>
              </w:rPr>
              <w:t xml:space="preserve"> </w:t>
            </w:r>
            <w:r>
              <w:rPr>
                <w:sz w:val="20"/>
                <w:szCs w:val="20"/>
              </w:rPr>
              <w:t>物</w:t>
            </w:r>
          </w:p>
        </w:tc>
        <w:tc>
          <w:tcPr>
            <w:tcW w:w="746" w:type="dxa"/>
            <w:vAlign w:val="top"/>
          </w:tcPr>
          <w:p w14:paraId="47905DF1">
            <w:pPr>
              <w:pStyle w:val="6"/>
              <w:spacing w:before="48" w:line="228" w:lineRule="auto"/>
              <w:ind w:left="168"/>
              <w:rPr>
                <w:sz w:val="20"/>
                <w:szCs w:val="20"/>
              </w:rPr>
            </w:pPr>
            <w:r>
              <w:rPr>
                <w:spacing w:val="3"/>
                <w:sz w:val="20"/>
                <w:szCs w:val="20"/>
              </w:rPr>
              <w:t>危险</w:t>
            </w:r>
          </w:p>
          <w:p w14:paraId="555D0BC6">
            <w:pPr>
              <w:pStyle w:val="6"/>
              <w:spacing w:before="24" w:line="220" w:lineRule="auto"/>
              <w:ind w:left="164"/>
              <w:rPr>
                <w:sz w:val="20"/>
                <w:szCs w:val="20"/>
              </w:rPr>
            </w:pPr>
            <w:r>
              <w:rPr>
                <w:spacing w:val="5"/>
                <w:sz w:val="20"/>
                <w:szCs w:val="20"/>
              </w:rPr>
              <w:t>废物</w:t>
            </w:r>
          </w:p>
        </w:tc>
        <w:tc>
          <w:tcPr>
            <w:tcW w:w="2714" w:type="dxa"/>
            <w:vAlign w:val="top"/>
          </w:tcPr>
          <w:p w14:paraId="3D1E1AF3">
            <w:pPr>
              <w:pStyle w:val="6"/>
              <w:spacing w:before="184" w:line="228" w:lineRule="auto"/>
              <w:ind w:left="840"/>
              <w:rPr>
                <w:sz w:val="20"/>
                <w:szCs w:val="20"/>
              </w:rPr>
            </w:pPr>
            <w:r>
              <w:rPr>
                <w:spacing w:val="7"/>
                <w:sz w:val="20"/>
                <w:szCs w:val="20"/>
              </w:rPr>
              <w:t>危废暂存间</w:t>
            </w:r>
          </w:p>
        </w:tc>
        <w:tc>
          <w:tcPr>
            <w:tcW w:w="2391" w:type="dxa"/>
            <w:vAlign w:val="top"/>
          </w:tcPr>
          <w:p w14:paraId="32DF861A">
            <w:pPr>
              <w:pStyle w:val="6"/>
              <w:spacing w:before="184" w:line="228" w:lineRule="auto"/>
              <w:ind w:left="367"/>
              <w:rPr>
                <w:sz w:val="20"/>
                <w:szCs w:val="20"/>
              </w:rPr>
            </w:pPr>
            <w:r>
              <w:rPr>
                <w:spacing w:val="8"/>
                <w:sz w:val="20"/>
                <w:szCs w:val="20"/>
              </w:rPr>
              <w:t>按要求暂存、转移</w:t>
            </w:r>
          </w:p>
        </w:tc>
        <w:tc>
          <w:tcPr>
            <w:tcW w:w="287" w:type="dxa"/>
            <w:vMerge w:val="continue"/>
            <w:tcBorders>
              <w:top w:val="nil"/>
              <w:bottom w:val="nil"/>
              <w:right w:val="single" w:color="000000" w:sz="6" w:space="0"/>
            </w:tcBorders>
            <w:vAlign w:val="top"/>
          </w:tcPr>
          <w:p w14:paraId="63855D72">
            <w:pPr>
              <w:rPr>
                <w:rFonts w:ascii="Arial"/>
                <w:sz w:val="21"/>
              </w:rPr>
            </w:pPr>
          </w:p>
        </w:tc>
      </w:tr>
      <w:tr w14:paraId="49856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Merge w:val="continue"/>
            <w:tcBorders>
              <w:top w:val="nil"/>
              <w:left w:val="single" w:color="000000" w:sz="6" w:space="0"/>
              <w:bottom w:val="nil"/>
            </w:tcBorders>
            <w:vAlign w:val="top"/>
          </w:tcPr>
          <w:p w14:paraId="3E88317B">
            <w:pPr>
              <w:rPr>
                <w:rFonts w:ascii="Arial"/>
                <w:sz w:val="21"/>
              </w:rPr>
            </w:pPr>
          </w:p>
        </w:tc>
        <w:tc>
          <w:tcPr>
            <w:tcW w:w="278" w:type="dxa"/>
            <w:vMerge w:val="continue"/>
            <w:tcBorders>
              <w:top w:val="nil"/>
              <w:bottom w:val="nil"/>
            </w:tcBorders>
            <w:vAlign w:val="top"/>
          </w:tcPr>
          <w:p w14:paraId="5555F52B">
            <w:pPr>
              <w:rPr>
                <w:rFonts w:ascii="Arial"/>
                <w:sz w:val="21"/>
              </w:rPr>
            </w:pPr>
          </w:p>
        </w:tc>
        <w:tc>
          <w:tcPr>
            <w:tcW w:w="744" w:type="dxa"/>
            <w:vMerge w:val="continue"/>
            <w:tcBorders>
              <w:top w:val="nil"/>
              <w:bottom w:val="nil"/>
            </w:tcBorders>
            <w:vAlign w:val="top"/>
          </w:tcPr>
          <w:p w14:paraId="3CB3739F">
            <w:pPr>
              <w:rPr>
                <w:rFonts w:ascii="Arial"/>
                <w:sz w:val="21"/>
              </w:rPr>
            </w:pPr>
          </w:p>
        </w:tc>
        <w:tc>
          <w:tcPr>
            <w:tcW w:w="1050" w:type="dxa"/>
            <w:gridSpan w:val="2"/>
            <w:vMerge w:val="continue"/>
            <w:tcBorders>
              <w:top w:val="nil"/>
              <w:bottom w:val="nil"/>
            </w:tcBorders>
            <w:vAlign w:val="top"/>
          </w:tcPr>
          <w:p w14:paraId="1B505A8C">
            <w:pPr>
              <w:rPr>
                <w:rFonts w:ascii="Arial"/>
                <w:sz w:val="21"/>
              </w:rPr>
            </w:pPr>
          </w:p>
        </w:tc>
        <w:tc>
          <w:tcPr>
            <w:tcW w:w="746" w:type="dxa"/>
            <w:vAlign w:val="top"/>
          </w:tcPr>
          <w:p w14:paraId="6A32A376">
            <w:pPr>
              <w:pStyle w:val="6"/>
              <w:spacing w:before="48" w:line="229" w:lineRule="auto"/>
              <w:ind w:left="168"/>
              <w:rPr>
                <w:sz w:val="20"/>
                <w:szCs w:val="20"/>
              </w:rPr>
            </w:pPr>
            <w:r>
              <w:rPr>
                <w:spacing w:val="3"/>
                <w:sz w:val="20"/>
                <w:szCs w:val="20"/>
              </w:rPr>
              <w:t>一般</w:t>
            </w:r>
          </w:p>
          <w:p w14:paraId="0BCE3CC0">
            <w:pPr>
              <w:pStyle w:val="6"/>
              <w:spacing w:before="25" w:line="217" w:lineRule="auto"/>
              <w:ind w:left="183"/>
              <w:rPr>
                <w:sz w:val="20"/>
                <w:szCs w:val="20"/>
              </w:rPr>
            </w:pPr>
            <w:r>
              <w:rPr>
                <w:spacing w:val="-5"/>
                <w:sz w:val="20"/>
                <w:szCs w:val="20"/>
              </w:rPr>
              <w:t>固废</w:t>
            </w:r>
          </w:p>
        </w:tc>
        <w:tc>
          <w:tcPr>
            <w:tcW w:w="2714" w:type="dxa"/>
            <w:vAlign w:val="top"/>
          </w:tcPr>
          <w:p w14:paraId="7552C171">
            <w:pPr>
              <w:pStyle w:val="6"/>
              <w:spacing w:before="186" w:line="228" w:lineRule="auto"/>
              <w:ind w:left="630"/>
              <w:rPr>
                <w:sz w:val="20"/>
                <w:szCs w:val="20"/>
              </w:rPr>
            </w:pPr>
            <w:r>
              <w:rPr>
                <w:spacing w:val="8"/>
                <w:sz w:val="20"/>
                <w:szCs w:val="20"/>
              </w:rPr>
              <w:t>一般固废堆放区</w:t>
            </w:r>
          </w:p>
        </w:tc>
        <w:tc>
          <w:tcPr>
            <w:tcW w:w="2391" w:type="dxa"/>
            <w:vAlign w:val="top"/>
          </w:tcPr>
          <w:p w14:paraId="49FBB67A">
            <w:pPr>
              <w:pStyle w:val="6"/>
              <w:spacing w:before="186" w:line="228" w:lineRule="auto"/>
              <w:ind w:left="684"/>
              <w:rPr>
                <w:sz w:val="20"/>
                <w:szCs w:val="20"/>
              </w:rPr>
            </w:pPr>
            <w:r>
              <w:rPr>
                <w:spacing w:val="7"/>
                <w:sz w:val="20"/>
                <w:szCs w:val="20"/>
              </w:rPr>
              <w:t>外售、利用</w:t>
            </w:r>
          </w:p>
        </w:tc>
        <w:tc>
          <w:tcPr>
            <w:tcW w:w="287" w:type="dxa"/>
            <w:vMerge w:val="continue"/>
            <w:tcBorders>
              <w:top w:val="nil"/>
              <w:bottom w:val="nil"/>
              <w:right w:val="single" w:color="000000" w:sz="6" w:space="0"/>
            </w:tcBorders>
            <w:vAlign w:val="top"/>
          </w:tcPr>
          <w:p w14:paraId="25A2D100">
            <w:pPr>
              <w:rPr>
                <w:rFonts w:ascii="Arial"/>
                <w:sz w:val="21"/>
              </w:rPr>
            </w:pPr>
          </w:p>
        </w:tc>
      </w:tr>
      <w:tr w14:paraId="07AC9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78" w:type="dxa"/>
            <w:vMerge w:val="continue"/>
            <w:tcBorders>
              <w:top w:val="nil"/>
              <w:left w:val="single" w:color="000000" w:sz="6" w:space="0"/>
              <w:bottom w:val="nil"/>
            </w:tcBorders>
            <w:vAlign w:val="top"/>
          </w:tcPr>
          <w:p w14:paraId="31BBADEA">
            <w:pPr>
              <w:rPr>
                <w:rFonts w:ascii="Arial"/>
                <w:sz w:val="21"/>
              </w:rPr>
            </w:pPr>
          </w:p>
        </w:tc>
        <w:tc>
          <w:tcPr>
            <w:tcW w:w="278" w:type="dxa"/>
            <w:vMerge w:val="continue"/>
            <w:tcBorders>
              <w:top w:val="nil"/>
              <w:bottom w:val="nil"/>
            </w:tcBorders>
            <w:vAlign w:val="top"/>
          </w:tcPr>
          <w:p w14:paraId="143E8CDA">
            <w:pPr>
              <w:rPr>
                <w:rFonts w:ascii="Arial"/>
                <w:sz w:val="21"/>
              </w:rPr>
            </w:pPr>
          </w:p>
        </w:tc>
        <w:tc>
          <w:tcPr>
            <w:tcW w:w="744" w:type="dxa"/>
            <w:vMerge w:val="continue"/>
            <w:tcBorders>
              <w:top w:val="nil"/>
            </w:tcBorders>
            <w:vAlign w:val="top"/>
          </w:tcPr>
          <w:p w14:paraId="70221A3F">
            <w:pPr>
              <w:rPr>
                <w:rFonts w:ascii="Arial"/>
                <w:sz w:val="21"/>
              </w:rPr>
            </w:pPr>
          </w:p>
        </w:tc>
        <w:tc>
          <w:tcPr>
            <w:tcW w:w="1050" w:type="dxa"/>
            <w:gridSpan w:val="2"/>
            <w:vMerge w:val="continue"/>
            <w:tcBorders>
              <w:top w:val="nil"/>
            </w:tcBorders>
            <w:vAlign w:val="top"/>
          </w:tcPr>
          <w:p w14:paraId="0DFC53BE">
            <w:pPr>
              <w:rPr>
                <w:rFonts w:ascii="Arial"/>
                <w:sz w:val="21"/>
              </w:rPr>
            </w:pPr>
          </w:p>
        </w:tc>
        <w:tc>
          <w:tcPr>
            <w:tcW w:w="746" w:type="dxa"/>
            <w:vAlign w:val="top"/>
          </w:tcPr>
          <w:p w14:paraId="00525B3A">
            <w:pPr>
              <w:pStyle w:val="6"/>
              <w:spacing w:before="57" w:line="228" w:lineRule="auto"/>
              <w:ind w:left="167"/>
              <w:rPr>
                <w:sz w:val="20"/>
                <w:szCs w:val="20"/>
              </w:rPr>
            </w:pPr>
            <w:r>
              <w:rPr>
                <w:spacing w:val="3"/>
                <w:sz w:val="20"/>
                <w:szCs w:val="20"/>
              </w:rPr>
              <w:t>生活</w:t>
            </w:r>
          </w:p>
          <w:p w14:paraId="007D01DF">
            <w:pPr>
              <w:pStyle w:val="6"/>
              <w:spacing w:before="23" w:line="223" w:lineRule="auto"/>
              <w:ind w:left="167"/>
              <w:rPr>
                <w:sz w:val="20"/>
                <w:szCs w:val="20"/>
              </w:rPr>
            </w:pPr>
            <w:r>
              <w:rPr>
                <w:spacing w:val="3"/>
                <w:sz w:val="20"/>
                <w:szCs w:val="20"/>
              </w:rPr>
              <w:t>垃圾</w:t>
            </w:r>
          </w:p>
        </w:tc>
        <w:tc>
          <w:tcPr>
            <w:tcW w:w="2714" w:type="dxa"/>
            <w:vAlign w:val="top"/>
          </w:tcPr>
          <w:p w14:paraId="5EA5625A">
            <w:pPr>
              <w:pStyle w:val="6"/>
              <w:spacing w:before="193" w:line="228" w:lineRule="auto"/>
              <w:ind w:left="839"/>
              <w:rPr>
                <w:sz w:val="20"/>
                <w:szCs w:val="20"/>
              </w:rPr>
            </w:pPr>
            <w:r>
              <w:rPr>
                <w:spacing w:val="7"/>
                <w:sz w:val="20"/>
                <w:szCs w:val="20"/>
              </w:rPr>
              <w:t>垃圾收集桶</w:t>
            </w:r>
          </w:p>
        </w:tc>
        <w:tc>
          <w:tcPr>
            <w:tcW w:w="2391" w:type="dxa"/>
            <w:vAlign w:val="top"/>
          </w:tcPr>
          <w:p w14:paraId="2BD5B15F">
            <w:pPr>
              <w:pStyle w:val="6"/>
              <w:spacing w:before="193" w:line="228" w:lineRule="auto"/>
              <w:ind w:left="369"/>
              <w:rPr>
                <w:sz w:val="20"/>
                <w:szCs w:val="20"/>
              </w:rPr>
            </w:pPr>
            <w:r>
              <w:rPr>
                <w:spacing w:val="8"/>
                <w:sz w:val="20"/>
                <w:szCs w:val="20"/>
              </w:rPr>
              <w:t>交由环卫部门处理</w:t>
            </w:r>
          </w:p>
        </w:tc>
        <w:tc>
          <w:tcPr>
            <w:tcW w:w="287" w:type="dxa"/>
            <w:vMerge w:val="continue"/>
            <w:tcBorders>
              <w:top w:val="nil"/>
              <w:bottom w:val="nil"/>
              <w:right w:val="single" w:color="000000" w:sz="6" w:space="0"/>
            </w:tcBorders>
            <w:vAlign w:val="top"/>
          </w:tcPr>
          <w:p w14:paraId="7A9982EC">
            <w:pPr>
              <w:rPr>
                <w:rFonts w:ascii="Arial"/>
                <w:sz w:val="21"/>
              </w:rPr>
            </w:pPr>
          </w:p>
        </w:tc>
      </w:tr>
      <w:tr w14:paraId="67A65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5" w:hRule="atLeast"/>
        </w:trPr>
        <w:tc>
          <w:tcPr>
            <w:tcW w:w="778" w:type="dxa"/>
            <w:vMerge w:val="continue"/>
            <w:tcBorders>
              <w:top w:val="nil"/>
              <w:left w:val="single" w:color="000000" w:sz="6" w:space="0"/>
              <w:bottom w:val="single" w:color="000000" w:sz="6" w:space="0"/>
            </w:tcBorders>
            <w:vAlign w:val="top"/>
          </w:tcPr>
          <w:p w14:paraId="25EEEF37">
            <w:pPr>
              <w:rPr>
                <w:rFonts w:ascii="Arial"/>
                <w:sz w:val="21"/>
              </w:rPr>
            </w:pPr>
          </w:p>
        </w:tc>
        <w:tc>
          <w:tcPr>
            <w:tcW w:w="8210" w:type="dxa"/>
            <w:gridSpan w:val="8"/>
            <w:tcBorders>
              <w:bottom w:val="single" w:color="000000" w:sz="6" w:space="0"/>
              <w:right w:val="single" w:color="000000" w:sz="6" w:space="0"/>
            </w:tcBorders>
            <w:vAlign w:val="top"/>
          </w:tcPr>
          <w:p w14:paraId="7FB142F3">
            <w:pPr>
              <w:pStyle w:val="6"/>
              <w:spacing w:before="165" w:line="219" w:lineRule="auto"/>
              <w:ind w:left="590"/>
            </w:pPr>
            <w:r>
              <w:rPr>
                <w:rFonts w:ascii="Times New Roman" w:hAnsi="Times New Roman" w:eastAsia="Times New Roman" w:cs="Times New Roman"/>
                <w:spacing w:val="-4"/>
              </w:rPr>
              <w:t>3</w:t>
            </w:r>
            <w:r>
              <w:rPr>
                <w:rFonts w:ascii="Times New Roman" w:hAnsi="Times New Roman" w:eastAsia="Times New Roman" w:cs="Times New Roman"/>
                <w:spacing w:val="-34"/>
              </w:rPr>
              <w:t xml:space="preserve"> </w:t>
            </w:r>
            <w:r>
              <w:rPr>
                <w:spacing w:val="-4"/>
              </w:rPr>
              <w:t>、本项目建设内容</w:t>
            </w:r>
          </w:p>
          <w:p w14:paraId="65E78A12">
            <w:pPr>
              <w:pStyle w:val="6"/>
              <w:spacing w:before="186" w:line="352" w:lineRule="auto"/>
              <w:ind w:left="112" w:right="95" w:firstLine="476"/>
            </w:pPr>
            <w:r>
              <w:rPr>
                <w:spacing w:val="2"/>
              </w:rPr>
              <w:t>海丰县金盛宝石首饰有限公司宝石加工改扩建项目（本项目）依托现有</w:t>
            </w:r>
            <w:r>
              <w:rPr>
                <w:spacing w:val="5"/>
              </w:rPr>
              <w:t xml:space="preserve"> </w:t>
            </w:r>
            <w:r>
              <w:rPr>
                <w:spacing w:val="-4"/>
              </w:rPr>
              <w:t>工程，将现有工程的</w:t>
            </w:r>
            <w:r>
              <w:rPr>
                <w:spacing w:val="-48"/>
              </w:rPr>
              <w:t xml:space="preserve"> </w:t>
            </w:r>
            <w:r>
              <w:rPr>
                <w:rFonts w:ascii="Times New Roman" w:hAnsi="Times New Roman" w:eastAsia="Times New Roman" w:cs="Times New Roman"/>
                <w:spacing w:val="-4"/>
              </w:rPr>
              <w:t>4#</w:t>
            </w:r>
            <w:r>
              <w:rPr>
                <w:spacing w:val="-4"/>
              </w:rPr>
              <w:t>楼拆除，新建</w:t>
            </w:r>
            <w:r>
              <w:rPr>
                <w:spacing w:val="-56"/>
              </w:rPr>
              <w:t xml:space="preserve"> </w:t>
            </w:r>
            <w:r>
              <w:rPr>
                <w:rFonts w:ascii="Times New Roman" w:hAnsi="Times New Roman" w:eastAsia="Times New Roman" w:cs="Times New Roman"/>
                <w:spacing w:val="-4"/>
              </w:rPr>
              <w:t>4#</w:t>
            </w:r>
            <w:r>
              <w:rPr>
                <w:spacing w:val="-4"/>
              </w:rPr>
              <w:t>楼和新建</w:t>
            </w:r>
            <w:r>
              <w:rPr>
                <w:spacing w:val="-49"/>
              </w:rPr>
              <w:t xml:space="preserve"> </w:t>
            </w:r>
            <w:r>
              <w:rPr>
                <w:rFonts w:ascii="Times New Roman" w:hAnsi="Times New Roman" w:eastAsia="Times New Roman" w:cs="Times New Roman"/>
                <w:spacing w:val="-4"/>
              </w:rPr>
              <w:t>5#</w:t>
            </w:r>
            <w:r>
              <w:rPr>
                <w:spacing w:val="-4"/>
              </w:rPr>
              <w:t>楼，其地理位置中心坐标</w:t>
            </w:r>
            <w:r>
              <w:t xml:space="preserve"> </w:t>
            </w:r>
            <w:r>
              <w:rPr>
                <w:spacing w:val="-3"/>
              </w:rPr>
              <w:t>为：</w:t>
            </w:r>
            <w:r>
              <w:rPr>
                <w:rFonts w:ascii="Times New Roman" w:hAnsi="Times New Roman" w:eastAsia="Times New Roman" w:cs="Times New Roman"/>
                <w:spacing w:val="-3"/>
              </w:rPr>
              <w:t>E115°27'41.912"</w:t>
            </w:r>
            <w:r>
              <w:rPr>
                <w:spacing w:val="-3"/>
              </w:rPr>
              <w:t>、</w:t>
            </w:r>
            <w:r>
              <w:rPr>
                <w:rFonts w:ascii="Times New Roman" w:hAnsi="Times New Roman" w:eastAsia="Times New Roman" w:cs="Times New Roman"/>
                <w:spacing w:val="-3"/>
              </w:rPr>
              <w:t>N22°57'42.567"</w:t>
            </w:r>
            <w:r>
              <w:rPr>
                <w:rFonts w:ascii="Times New Roman" w:hAnsi="Times New Roman" w:eastAsia="Times New Roman" w:cs="Times New Roman"/>
                <w:spacing w:val="-21"/>
              </w:rPr>
              <w:t xml:space="preserve"> </w:t>
            </w:r>
            <w:r>
              <w:rPr>
                <w:spacing w:val="-3"/>
              </w:rPr>
              <w:t>。本项目总占地面积约</w:t>
            </w:r>
            <w:r>
              <w:rPr>
                <w:spacing w:val="-67"/>
              </w:rPr>
              <w:t xml:space="preserve"> </w:t>
            </w:r>
            <w:r>
              <w:rPr>
                <w:rFonts w:ascii="Times New Roman" w:hAnsi="Times New Roman" w:eastAsia="Times New Roman" w:cs="Times New Roman"/>
                <w:spacing w:val="-3"/>
              </w:rPr>
              <w:t xml:space="preserve">2932 </w:t>
            </w:r>
            <w:r>
              <w:rPr>
                <w:spacing w:val="-3"/>
              </w:rPr>
              <w:t>平方米，总</w:t>
            </w:r>
            <w:r>
              <w:t xml:space="preserve"> </w:t>
            </w:r>
            <w:r>
              <w:rPr>
                <w:spacing w:val="-6"/>
              </w:rPr>
              <w:t>建筑面积</w:t>
            </w:r>
            <w:r>
              <w:rPr>
                <w:spacing w:val="-61"/>
              </w:rPr>
              <w:t xml:space="preserve"> </w:t>
            </w:r>
            <w:r>
              <w:rPr>
                <w:rFonts w:ascii="Times New Roman" w:hAnsi="Times New Roman" w:eastAsia="Times New Roman" w:cs="Times New Roman"/>
                <w:spacing w:val="-6"/>
              </w:rPr>
              <w:t xml:space="preserve">21336.8 </w:t>
            </w:r>
            <w:r>
              <w:rPr>
                <w:spacing w:val="-6"/>
              </w:rPr>
              <w:t>平方米，共设置约</w:t>
            </w:r>
            <w:r>
              <w:rPr>
                <w:spacing w:val="-42"/>
              </w:rPr>
              <w:t xml:space="preserve"> </w:t>
            </w:r>
            <w:r>
              <w:rPr>
                <w:rFonts w:ascii="Times New Roman" w:hAnsi="Times New Roman" w:eastAsia="Times New Roman" w:cs="Times New Roman"/>
                <w:spacing w:val="-6"/>
              </w:rPr>
              <w:t xml:space="preserve">187 </w:t>
            </w:r>
            <w:r>
              <w:rPr>
                <w:spacing w:val="-6"/>
              </w:rPr>
              <w:t>宝石泡酸加工车间和</w:t>
            </w:r>
            <w:r>
              <w:rPr>
                <w:spacing w:val="-55"/>
              </w:rPr>
              <w:t xml:space="preserve"> </w:t>
            </w:r>
            <w:r>
              <w:rPr>
                <w:rFonts w:ascii="Times New Roman" w:hAnsi="Times New Roman" w:eastAsia="Times New Roman" w:cs="Times New Roman"/>
                <w:spacing w:val="-6"/>
              </w:rPr>
              <w:t xml:space="preserve">81 </w:t>
            </w:r>
            <w:r>
              <w:rPr>
                <w:spacing w:val="-6"/>
              </w:rPr>
              <w:t>个宝石注胶加</w:t>
            </w:r>
            <w:r>
              <w:t xml:space="preserve"> </w:t>
            </w:r>
            <w:r>
              <w:rPr>
                <w:spacing w:val="-8"/>
              </w:rPr>
              <w:t>工车间。本项目具体建设内容详见下表，项目平面布置见附图：</w:t>
            </w:r>
          </w:p>
        </w:tc>
      </w:tr>
    </w:tbl>
    <w:p w14:paraId="5D3C218D">
      <w:pPr>
        <w:rPr>
          <w:rFonts w:ascii="Arial"/>
          <w:sz w:val="21"/>
        </w:rPr>
      </w:pPr>
    </w:p>
    <w:p w14:paraId="303DE440">
      <w:pPr>
        <w:rPr>
          <w:rFonts w:ascii="Arial" w:hAnsi="Arial" w:eastAsia="Arial" w:cs="Arial"/>
          <w:sz w:val="21"/>
          <w:szCs w:val="21"/>
        </w:rPr>
        <w:sectPr>
          <w:footerReference r:id="rId23" w:type="default"/>
          <w:pgSz w:w="11906" w:h="16839"/>
          <w:pgMar w:top="400" w:right="1451" w:bottom="1240" w:left="1451" w:header="0" w:footer="1078" w:gutter="0"/>
          <w:cols w:space="720" w:num="1"/>
        </w:sectPr>
      </w:pPr>
    </w:p>
    <w:p w14:paraId="4C01C62E">
      <w:pPr>
        <w:spacing w:before="19"/>
      </w:pPr>
    </w:p>
    <w:p w14:paraId="2EDD5198">
      <w:pPr>
        <w:spacing w:before="19"/>
      </w:pPr>
    </w:p>
    <w:p w14:paraId="77B9EF99">
      <w:pPr>
        <w:spacing w:before="19"/>
      </w:pPr>
    </w:p>
    <w:p w14:paraId="7176961D">
      <w:pPr>
        <w:spacing w:before="18"/>
      </w:pPr>
    </w:p>
    <w:p w14:paraId="7AA6C3E1">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86"/>
        <w:gridCol w:w="748"/>
        <w:gridCol w:w="874"/>
        <w:gridCol w:w="1083"/>
        <w:gridCol w:w="3751"/>
        <w:gridCol w:w="1373"/>
        <w:gridCol w:w="195"/>
      </w:tblGrid>
      <w:tr w14:paraId="7798A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78" w:type="dxa"/>
            <w:vMerge w:val="restart"/>
            <w:tcBorders>
              <w:top w:val="single" w:color="000000" w:sz="6" w:space="0"/>
              <w:left w:val="single" w:color="000000" w:sz="6" w:space="0"/>
              <w:bottom w:val="nil"/>
            </w:tcBorders>
            <w:vAlign w:val="top"/>
          </w:tcPr>
          <w:p w14:paraId="5C37B18A">
            <w:pPr>
              <w:rPr>
                <w:rFonts w:ascii="Arial"/>
                <w:sz w:val="21"/>
              </w:rPr>
            </w:pPr>
          </w:p>
        </w:tc>
        <w:tc>
          <w:tcPr>
            <w:tcW w:w="8210" w:type="dxa"/>
            <w:gridSpan w:val="7"/>
            <w:tcBorders>
              <w:top w:val="single" w:color="000000" w:sz="6" w:space="0"/>
              <w:right w:val="single" w:color="000000" w:sz="6" w:space="0"/>
            </w:tcBorders>
            <w:vAlign w:val="top"/>
          </w:tcPr>
          <w:p w14:paraId="7E2E0A0A">
            <w:pPr>
              <w:spacing w:line="319" w:lineRule="auto"/>
              <w:rPr>
                <w:rFonts w:ascii="Arial"/>
                <w:sz w:val="21"/>
              </w:rPr>
            </w:pPr>
          </w:p>
          <w:p w14:paraId="751B1E9E">
            <w:pPr>
              <w:pStyle w:val="6"/>
              <w:spacing w:before="78" w:line="219" w:lineRule="auto"/>
              <w:ind w:left="2832"/>
            </w:pPr>
            <w:r>
              <w:rPr>
                <w:b/>
                <w:bCs/>
                <w:spacing w:val="-2"/>
              </w:rPr>
              <w:t>表</w:t>
            </w:r>
            <w:r>
              <w:rPr>
                <w:spacing w:val="-54"/>
              </w:rPr>
              <w:t xml:space="preserve"> </w:t>
            </w:r>
            <w:r>
              <w:rPr>
                <w:rFonts w:ascii="Times New Roman" w:hAnsi="Times New Roman" w:eastAsia="Times New Roman" w:cs="Times New Roman"/>
                <w:b/>
                <w:bCs/>
                <w:spacing w:val="-2"/>
              </w:rPr>
              <w:t xml:space="preserve">2-2    </w:t>
            </w:r>
            <w:r>
              <w:rPr>
                <w:b/>
                <w:bCs/>
                <w:spacing w:val="-2"/>
              </w:rPr>
              <w:t>本项目工程组成</w:t>
            </w:r>
          </w:p>
        </w:tc>
      </w:tr>
      <w:tr w14:paraId="3711B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33112F38">
            <w:pPr>
              <w:rPr>
                <w:rFonts w:ascii="Arial"/>
                <w:sz w:val="21"/>
              </w:rPr>
            </w:pPr>
          </w:p>
        </w:tc>
        <w:tc>
          <w:tcPr>
            <w:tcW w:w="186" w:type="dxa"/>
            <w:vMerge w:val="restart"/>
            <w:tcBorders>
              <w:top w:val="nil"/>
              <w:bottom w:val="nil"/>
            </w:tcBorders>
            <w:vAlign w:val="top"/>
          </w:tcPr>
          <w:p w14:paraId="225736CF">
            <w:pPr>
              <w:rPr>
                <w:rFonts w:ascii="Arial"/>
                <w:sz w:val="21"/>
              </w:rPr>
            </w:pPr>
          </w:p>
        </w:tc>
        <w:tc>
          <w:tcPr>
            <w:tcW w:w="748" w:type="dxa"/>
            <w:vAlign w:val="top"/>
          </w:tcPr>
          <w:p w14:paraId="18E5FD1B">
            <w:pPr>
              <w:pStyle w:val="6"/>
              <w:spacing w:before="93" w:line="228" w:lineRule="auto"/>
              <w:ind w:left="162"/>
              <w:rPr>
                <w:sz w:val="20"/>
                <w:szCs w:val="20"/>
              </w:rPr>
            </w:pPr>
            <w:r>
              <w:rPr>
                <w:b/>
                <w:bCs/>
                <w:spacing w:val="3"/>
                <w:sz w:val="20"/>
                <w:szCs w:val="20"/>
              </w:rPr>
              <w:t>类别</w:t>
            </w:r>
          </w:p>
        </w:tc>
        <w:tc>
          <w:tcPr>
            <w:tcW w:w="1957" w:type="dxa"/>
            <w:gridSpan w:val="2"/>
            <w:vAlign w:val="top"/>
          </w:tcPr>
          <w:p w14:paraId="4A790A4A">
            <w:pPr>
              <w:pStyle w:val="6"/>
              <w:spacing w:before="94" w:line="228" w:lineRule="auto"/>
              <w:ind w:left="350"/>
              <w:rPr>
                <w:sz w:val="20"/>
                <w:szCs w:val="20"/>
              </w:rPr>
            </w:pPr>
            <w:r>
              <w:rPr>
                <w:b/>
                <w:bCs/>
                <w:spacing w:val="6"/>
                <w:sz w:val="20"/>
                <w:szCs w:val="20"/>
              </w:rPr>
              <w:t>单项工程名称</w:t>
            </w:r>
          </w:p>
        </w:tc>
        <w:tc>
          <w:tcPr>
            <w:tcW w:w="3751" w:type="dxa"/>
            <w:vAlign w:val="top"/>
          </w:tcPr>
          <w:p w14:paraId="088621B9">
            <w:pPr>
              <w:pStyle w:val="6"/>
              <w:spacing w:before="93" w:line="228" w:lineRule="auto"/>
              <w:ind w:left="937"/>
              <w:rPr>
                <w:sz w:val="20"/>
                <w:szCs w:val="20"/>
              </w:rPr>
            </w:pPr>
            <w:r>
              <w:rPr>
                <w:b/>
                <w:bCs/>
                <w:spacing w:val="7"/>
                <w:sz w:val="20"/>
                <w:szCs w:val="20"/>
              </w:rPr>
              <w:t>建设面积或建设内容</w:t>
            </w:r>
          </w:p>
        </w:tc>
        <w:tc>
          <w:tcPr>
            <w:tcW w:w="1373" w:type="dxa"/>
            <w:vAlign w:val="top"/>
          </w:tcPr>
          <w:p w14:paraId="1ACCAB0A">
            <w:pPr>
              <w:pStyle w:val="6"/>
              <w:spacing w:before="94" w:line="229" w:lineRule="auto"/>
              <w:ind w:left="489"/>
              <w:rPr>
                <w:sz w:val="20"/>
                <w:szCs w:val="20"/>
              </w:rPr>
            </w:pPr>
            <w:r>
              <w:rPr>
                <w:b/>
                <w:bCs/>
                <w:spacing w:val="2"/>
                <w:sz w:val="20"/>
                <w:szCs w:val="20"/>
              </w:rPr>
              <w:t>备注</w:t>
            </w:r>
          </w:p>
        </w:tc>
        <w:tc>
          <w:tcPr>
            <w:tcW w:w="195" w:type="dxa"/>
            <w:vMerge w:val="restart"/>
            <w:tcBorders>
              <w:top w:val="nil"/>
              <w:bottom w:val="nil"/>
              <w:right w:val="single" w:color="000000" w:sz="6" w:space="0"/>
            </w:tcBorders>
            <w:vAlign w:val="top"/>
          </w:tcPr>
          <w:p w14:paraId="749570F7">
            <w:pPr>
              <w:rPr>
                <w:rFonts w:ascii="Arial"/>
                <w:sz w:val="21"/>
              </w:rPr>
            </w:pPr>
          </w:p>
        </w:tc>
      </w:tr>
      <w:tr w14:paraId="07354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8" w:type="dxa"/>
            <w:vMerge w:val="continue"/>
            <w:tcBorders>
              <w:top w:val="nil"/>
              <w:left w:val="single" w:color="000000" w:sz="6" w:space="0"/>
              <w:bottom w:val="nil"/>
            </w:tcBorders>
            <w:vAlign w:val="top"/>
          </w:tcPr>
          <w:p w14:paraId="793DBADE">
            <w:pPr>
              <w:rPr>
                <w:rFonts w:ascii="Arial"/>
                <w:sz w:val="21"/>
              </w:rPr>
            </w:pPr>
          </w:p>
        </w:tc>
        <w:tc>
          <w:tcPr>
            <w:tcW w:w="186" w:type="dxa"/>
            <w:vMerge w:val="continue"/>
            <w:tcBorders>
              <w:top w:val="nil"/>
              <w:bottom w:val="nil"/>
            </w:tcBorders>
            <w:vAlign w:val="top"/>
          </w:tcPr>
          <w:p w14:paraId="636C65E3">
            <w:pPr>
              <w:rPr>
                <w:rFonts w:ascii="Arial"/>
                <w:sz w:val="21"/>
              </w:rPr>
            </w:pPr>
          </w:p>
        </w:tc>
        <w:tc>
          <w:tcPr>
            <w:tcW w:w="748" w:type="dxa"/>
            <w:vMerge w:val="restart"/>
            <w:tcBorders>
              <w:bottom w:val="nil"/>
            </w:tcBorders>
            <w:vAlign w:val="top"/>
          </w:tcPr>
          <w:p w14:paraId="49077E95">
            <w:pPr>
              <w:spacing w:line="253" w:lineRule="auto"/>
              <w:rPr>
                <w:rFonts w:ascii="Arial"/>
                <w:sz w:val="21"/>
              </w:rPr>
            </w:pPr>
          </w:p>
          <w:p w14:paraId="21CEF5EF">
            <w:pPr>
              <w:spacing w:line="253" w:lineRule="auto"/>
              <w:rPr>
                <w:rFonts w:ascii="Arial"/>
                <w:sz w:val="21"/>
              </w:rPr>
            </w:pPr>
          </w:p>
          <w:p w14:paraId="719D9F40">
            <w:pPr>
              <w:spacing w:line="253" w:lineRule="auto"/>
              <w:rPr>
                <w:rFonts w:ascii="Arial"/>
                <w:sz w:val="21"/>
              </w:rPr>
            </w:pPr>
          </w:p>
          <w:p w14:paraId="4417B765">
            <w:pPr>
              <w:spacing w:line="254" w:lineRule="auto"/>
              <w:rPr>
                <w:rFonts w:ascii="Arial"/>
                <w:sz w:val="21"/>
              </w:rPr>
            </w:pPr>
          </w:p>
          <w:p w14:paraId="0DD5AD6B">
            <w:pPr>
              <w:spacing w:line="254" w:lineRule="auto"/>
              <w:rPr>
                <w:rFonts w:ascii="Arial"/>
                <w:sz w:val="21"/>
              </w:rPr>
            </w:pPr>
          </w:p>
          <w:p w14:paraId="46F97168">
            <w:pPr>
              <w:spacing w:line="254" w:lineRule="auto"/>
              <w:rPr>
                <w:rFonts w:ascii="Arial"/>
                <w:sz w:val="21"/>
              </w:rPr>
            </w:pPr>
          </w:p>
          <w:p w14:paraId="37C4975F">
            <w:pPr>
              <w:spacing w:line="254" w:lineRule="auto"/>
              <w:rPr>
                <w:rFonts w:ascii="Arial"/>
                <w:sz w:val="21"/>
              </w:rPr>
            </w:pPr>
          </w:p>
          <w:p w14:paraId="22F0F3AB">
            <w:pPr>
              <w:spacing w:line="254" w:lineRule="auto"/>
              <w:rPr>
                <w:rFonts w:ascii="Arial"/>
                <w:sz w:val="21"/>
              </w:rPr>
            </w:pPr>
          </w:p>
          <w:p w14:paraId="13AC5D2B">
            <w:pPr>
              <w:spacing w:line="254" w:lineRule="auto"/>
              <w:rPr>
                <w:rFonts w:ascii="Arial"/>
                <w:sz w:val="21"/>
              </w:rPr>
            </w:pPr>
          </w:p>
          <w:p w14:paraId="49211E52">
            <w:pPr>
              <w:spacing w:line="254" w:lineRule="auto"/>
              <w:rPr>
                <w:rFonts w:ascii="Arial"/>
                <w:sz w:val="21"/>
              </w:rPr>
            </w:pPr>
          </w:p>
          <w:p w14:paraId="764317DA">
            <w:pPr>
              <w:spacing w:line="254" w:lineRule="auto"/>
              <w:rPr>
                <w:rFonts w:ascii="Arial"/>
                <w:sz w:val="21"/>
              </w:rPr>
            </w:pPr>
          </w:p>
          <w:p w14:paraId="6E907FF9">
            <w:pPr>
              <w:spacing w:line="254" w:lineRule="auto"/>
              <w:rPr>
                <w:rFonts w:ascii="Arial"/>
                <w:sz w:val="21"/>
              </w:rPr>
            </w:pPr>
          </w:p>
          <w:p w14:paraId="14D8A950">
            <w:pPr>
              <w:spacing w:line="254" w:lineRule="auto"/>
              <w:rPr>
                <w:rFonts w:ascii="Arial"/>
                <w:sz w:val="21"/>
              </w:rPr>
            </w:pPr>
          </w:p>
          <w:p w14:paraId="216DF2B8">
            <w:pPr>
              <w:spacing w:line="254" w:lineRule="auto"/>
              <w:rPr>
                <w:rFonts w:ascii="Arial"/>
                <w:sz w:val="21"/>
              </w:rPr>
            </w:pPr>
          </w:p>
          <w:p w14:paraId="0D644218">
            <w:pPr>
              <w:spacing w:line="254" w:lineRule="auto"/>
              <w:rPr>
                <w:rFonts w:ascii="Arial"/>
                <w:sz w:val="21"/>
              </w:rPr>
            </w:pPr>
          </w:p>
          <w:p w14:paraId="41BB6F7F">
            <w:pPr>
              <w:spacing w:line="254" w:lineRule="auto"/>
              <w:rPr>
                <w:rFonts w:ascii="Arial"/>
                <w:sz w:val="21"/>
              </w:rPr>
            </w:pPr>
          </w:p>
          <w:p w14:paraId="7417ADC8">
            <w:pPr>
              <w:pStyle w:val="6"/>
              <w:spacing w:before="65" w:line="229" w:lineRule="auto"/>
              <w:ind w:left="164"/>
              <w:rPr>
                <w:sz w:val="20"/>
                <w:szCs w:val="20"/>
              </w:rPr>
            </w:pPr>
            <w:r>
              <w:rPr>
                <w:spacing w:val="3"/>
                <w:sz w:val="20"/>
                <w:szCs w:val="20"/>
              </w:rPr>
              <w:t>主体</w:t>
            </w:r>
          </w:p>
          <w:p w14:paraId="68E8A796">
            <w:pPr>
              <w:pStyle w:val="6"/>
              <w:spacing w:before="23" w:line="228" w:lineRule="auto"/>
              <w:ind w:left="165"/>
              <w:rPr>
                <w:sz w:val="20"/>
                <w:szCs w:val="20"/>
              </w:rPr>
            </w:pPr>
            <w:r>
              <w:rPr>
                <w:spacing w:val="3"/>
                <w:sz w:val="20"/>
                <w:szCs w:val="20"/>
              </w:rPr>
              <w:t>工程</w:t>
            </w:r>
          </w:p>
        </w:tc>
        <w:tc>
          <w:tcPr>
            <w:tcW w:w="874" w:type="dxa"/>
            <w:vMerge w:val="restart"/>
            <w:tcBorders>
              <w:bottom w:val="nil"/>
            </w:tcBorders>
            <w:vAlign w:val="top"/>
          </w:tcPr>
          <w:p w14:paraId="0C402C1B">
            <w:pPr>
              <w:spacing w:line="430" w:lineRule="auto"/>
              <w:rPr>
                <w:rFonts w:ascii="Arial"/>
                <w:sz w:val="21"/>
              </w:rPr>
            </w:pPr>
          </w:p>
          <w:p w14:paraId="0901EE19">
            <w:pPr>
              <w:pStyle w:val="6"/>
              <w:spacing w:before="65" w:line="228" w:lineRule="auto"/>
              <w:ind w:left="223"/>
              <w:rPr>
                <w:sz w:val="20"/>
                <w:szCs w:val="20"/>
              </w:rPr>
            </w:pPr>
            <w:r>
              <w:rPr>
                <w:rFonts w:ascii="Times New Roman" w:hAnsi="Times New Roman" w:eastAsia="Times New Roman" w:cs="Times New Roman"/>
                <w:spacing w:val="5"/>
                <w:sz w:val="20"/>
                <w:szCs w:val="20"/>
              </w:rPr>
              <w:t>4#</w:t>
            </w:r>
            <w:r>
              <w:rPr>
                <w:spacing w:val="5"/>
                <w:sz w:val="20"/>
                <w:szCs w:val="20"/>
              </w:rPr>
              <w:t>楼</w:t>
            </w:r>
          </w:p>
          <w:p w14:paraId="57BF42F3">
            <w:pPr>
              <w:pStyle w:val="6"/>
              <w:spacing w:before="25" w:line="251" w:lineRule="auto"/>
              <w:ind w:left="108" w:right="109" w:firstLine="48"/>
              <w:rPr>
                <w:rFonts w:ascii="Times New Roman" w:hAnsi="Times New Roman" w:eastAsia="Times New Roman" w:cs="Times New Roman"/>
                <w:sz w:val="20"/>
                <w:szCs w:val="20"/>
              </w:rPr>
            </w:pPr>
            <w:r>
              <w:rPr>
                <w:spacing w:val="-5"/>
                <w:sz w:val="20"/>
                <w:szCs w:val="20"/>
              </w:rPr>
              <w:t>占地面</w:t>
            </w:r>
            <w:r>
              <w:rPr>
                <w:sz w:val="20"/>
                <w:szCs w:val="20"/>
              </w:rPr>
              <w:t xml:space="preserve"> </w:t>
            </w:r>
            <w:r>
              <w:rPr>
                <w:spacing w:val="-1"/>
                <w:sz w:val="20"/>
                <w:szCs w:val="20"/>
              </w:rPr>
              <w:t>积</w:t>
            </w:r>
            <w:r>
              <w:rPr>
                <w:spacing w:val="-45"/>
                <w:sz w:val="20"/>
                <w:szCs w:val="20"/>
              </w:rPr>
              <w:t xml:space="preserve"> </w:t>
            </w:r>
            <w:r>
              <w:rPr>
                <w:rFonts w:ascii="Times New Roman" w:hAnsi="Times New Roman" w:eastAsia="Times New Roman" w:cs="Times New Roman"/>
                <w:spacing w:val="-1"/>
                <w:sz w:val="20"/>
                <w:szCs w:val="20"/>
              </w:rPr>
              <w:t>1980</w:t>
            </w:r>
          </w:p>
          <w:p w14:paraId="2E2C7D95">
            <w:pPr>
              <w:pStyle w:val="6"/>
              <w:spacing w:line="271" w:lineRule="exact"/>
              <w:ind w:left="342"/>
              <w:rPr>
                <w:sz w:val="20"/>
                <w:szCs w:val="20"/>
              </w:rPr>
            </w:pPr>
            <w:r>
              <w:rPr>
                <w:sz w:val="20"/>
                <w:szCs w:val="20"/>
              </w:rPr>
              <w:t>㎡</w:t>
            </w:r>
          </w:p>
          <w:p w14:paraId="6FD7BA45">
            <w:pPr>
              <w:pStyle w:val="6"/>
              <w:spacing w:line="228" w:lineRule="auto"/>
              <w:ind w:left="125"/>
              <w:rPr>
                <w:sz w:val="20"/>
                <w:szCs w:val="20"/>
              </w:rPr>
            </w:pPr>
            <w:r>
              <w:rPr>
                <w:spacing w:val="6"/>
                <w:sz w:val="20"/>
                <w:szCs w:val="20"/>
              </w:rPr>
              <w:t>建筑面</w:t>
            </w:r>
          </w:p>
          <w:p w14:paraId="3FDB0012">
            <w:pPr>
              <w:pStyle w:val="6"/>
              <w:spacing w:before="26" w:line="228" w:lineRule="auto"/>
              <w:ind w:left="360"/>
              <w:rPr>
                <w:sz w:val="20"/>
                <w:szCs w:val="20"/>
              </w:rPr>
            </w:pPr>
            <w:r>
              <w:rPr>
                <w:sz w:val="20"/>
                <w:szCs w:val="20"/>
              </w:rPr>
              <w:t>积</w:t>
            </w:r>
          </w:p>
          <w:p w14:paraId="3925AD02">
            <w:pPr>
              <w:spacing w:before="45"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11220</w:t>
            </w:r>
          </w:p>
          <w:p w14:paraId="4A5717DD">
            <w:pPr>
              <w:pStyle w:val="6"/>
              <w:spacing w:before="34" w:line="275" w:lineRule="exact"/>
              <w:ind w:left="342"/>
              <w:rPr>
                <w:sz w:val="20"/>
                <w:szCs w:val="20"/>
              </w:rPr>
            </w:pPr>
            <w:r>
              <w:rPr>
                <w:sz w:val="20"/>
                <w:szCs w:val="20"/>
              </w:rPr>
              <w:t>㎡</w:t>
            </w:r>
          </w:p>
        </w:tc>
        <w:tc>
          <w:tcPr>
            <w:tcW w:w="1083" w:type="dxa"/>
            <w:vAlign w:val="top"/>
          </w:tcPr>
          <w:p w14:paraId="2CCED3E8">
            <w:pPr>
              <w:pStyle w:val="6"/>
              <w:spacing w:before="166" w:line="228" w:lineRule="auto"/>
              <w:ind w:left="37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层</w:t>
            </w:r>
          </w:p>
        </w:tc>
        <w:tc>
          <w:tcPr>
            <w:tcW w:w="3751" w:type="dxa"/>
            <w:vAlign w:val="top"/>
          </w:tcPr>
          <w:p w14:paraId="6FA1E422">
            <w:pPr>
              <w:pStyle w:val="6"/>
              <w:spacing w:before="30" w:line="235" w:lineRule="auto"/>
              <w:ind w:left="112" w:right="101" w:firstLine="92"/>
              <w:rPr>
                <w:sz w:val="20"/>
                <w:szCs w:val="20"/>
              </w:rPr>
            </w:pPr>
            <w:r>
              <w:rPr>
                <w:spacing w:val="2"/>
                <w:sz w:val="20"/>
                <w:szCs w:val="20"/>
              </w:rPr>
              <w:t>新建，建筑面积</w:t>
            </w:r>
            <w:r>
              <w:rPr>
                <w:spacing w:val="-16"/>
                <w:sz w:val="20"/>
                <w:szCs w:val="20"/>
              </w:rPr>
              <w:t xml:space="preserve"> </w:t>
            </w:r>
            <w:r>
              <w:rPr>
                <w:rFonts w:ascii="Times New Roman" w:hAnsi="Times New Roman" w:eastAsia="Times New Roman" w:cs="Times New Roman"/>
                <w:spacing w:val="2"/>
                <w:sz w:val="20"/>
                <w:szCs w:val="20"/>
              </w:rPr>
              <w:t>1980</w:t>
            </w:r>
            <w:r>
              <w:rPr>
                <w:rFonts w:ascii="Times New Roman" w:hAnsi="Times New Roman" w:eastAsia="Times New Roman" w:cs="Times New Roman"/>
                <w:spacing w:val="19"/>
                <w:w w:val="10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5"/>
                <w:sz w:val="20"/>
                <w:szCs w:val="20"/>
              </w:rPr>
              <w:t xml:space="preserve"> </w:t>
            </w:r>
            <w:r>
              <w:rPr>
                <w:rFonts w:ascii="Times New Roman" w:hAnsi="Times New Roman" w:eastAsia="Times New Roman" w:cs="Times New Roman"/>
                <w:spacing w:val="2"/>
                <w:sz w:val="20"/>
                <w:szCs w:val="20"/>
              </w:rPr>
              <w:t>5.5</w:t>
            </w:r>
            <w:r>
              <w:rPr>
                <w:rFonts w:ascii="Times New Roman" w:hAnsi="Times New Roman" w:eastAsia="Times New Roman" w:cs="Times New Roman"/>
                <w:sz w:val="20"/>
                <w:szCs w:val="20"/>
              </w:rPr>
              <w:t xml:space="preserve">   </w:t>
            </w:r>
            <w:r>
              <w:rPr>
                <w:spacing w:val="7"/>
                <w:sz w:val="20"/>
                <w:szCs w:val="20"/>
              </w:rPr>
              <w:t>米，用作附属设施建设，不设生产车用</w:t>
            </w:r>
          </w:p>
        </w:tc>
        <w:tc>
          <w:tcPr>
            <w:tcW w:w="1373" w:type="dxa"/>
            <w:vAlign w:val="top"/>
          </w:tcPr>
          <w:p w14:paraId="27057AC1">
            <w:pPr>
              <w:pStyle w:val="6"/>
              <w:spacing w:before="29" w:line="228" w:lineRule="auto"/>
              <w:ind w:left="118"/>
              <w:rPr>
                <w:sz w:val="20"/>
                <w:szCs w:val="20"/>
              </w:rPr>
            </w:pPr>
            <w:r>
              <w:rPr>
                <w:spacing w:val="-9"/>
                <w:sz w:val="20"/>
                <w:szCs w:val="20"/>
              </w:rPr>
              <w:t>废水站、仓库</w:t>
            </w:r>
          </w:p>
          <w:p w14:paraId="3A7DE759">
            <w:pPr>
              <w:pStyle w:val="6"/>
              <w:spacing w:before="26" w:line="218" w:lineRule="auto"/>
              <w:ind w:left="385"/>
              <w:rPr>
                <w:sz w:val="20"/>
                <w:szCs w:val="20"/>
              </w:rPr>
            </w:pPr>
            <w:r>
              <w:rPr>
                <w:spacing w:val="6"/>
                <w:sz w:val="20"/>
                <w:szCs w:val="20"/>
              </w:rPr>
              <w:t>等位置</w:t>
            </w:r>
          </w:p>
        </w:tc>
        <w:tc>
          <w:tcPr>
            <w:tcW w:w="195" w:type="dxa"/>
            <w:vMerge w:val="continue"/>
            <w:tcBorders>
              <w:top w:val="nil"/>
              <w:bottom w:val="nil"/>
              <w:right w:val="single" w:color="000000" w:sz="6" w:space="0"/>
            </w:tcBorders>
            <w:vAlign w:val="top"/>
          </w:tcPr>
          <w:p w14:paraId="34D3B4BA">
            <w:pPr>
              <w:rPr>
                <w:rFonts w:ascii="Arial"/>
                <w:sz w:val="21"/>
              </w:rPr>
            </w:pPr>
          </w:p>
        </w:tc>
      </w:tr>
      <w:tr w14:paraId="185BE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1DF00271">
            <w:pPr>
              <w:rPr>
                <w:rFonts w:ascii="Arial"/>
                <w:sz w:val="21"/>
              </w:rPr>
            </w:pPr>
          </w:p>
        </w:tc>
        <w:tc>
          <w:tcPr>
            <w:tcW w:w="186" w:type="dxa"/>
            <w:vMerge w:val="continue"/>
            <w:tcBorders>
              <w:top w:val="nil"/>
              <w:bottom w:val="nil"/>
            </w:tcBorders>
            <w:vAlign w:val="top"/>
          </w:tcPr>
          <w:p w14:paraId="431E5840">
            <w:pPr>
              <w:rPr>
                <w:rFonts w:ascii="Arial"/>
                <w:sz w:val="21"/>
              </w:rPr>
            </w:pPr>
          </w:p>
        </w:tc>
        <w:tc>
          <w:tcPr>
            <w:tcW w:w="748" w:type="dxa"/>
            <w:vMerge w:val="continue"/>
            <w:tcBorders>
              <w:top w:val="nil"/>
              <w:bottom w:val="nil"/>
            </w:tcBorders>
            <w:vAlign w:val="top"/>
          </w:tcPr>
          <w:p w14:paraId="0D6DDE76">
            <w:pPr>
              <w:rPr>
                <w:rFonts w:ascii="Arial"/>
                <w:sz w:val="21"/>
              </w:rPr>
            </w:pPr>
          </w:p>
        </w:tc>
        <w:tc>
          <w:tcPr>
            <w:tcW w:w="874" w:type="dxa"/>
            <w:vMerge w:val="continue"/>
            <w:tcBorders>
              <w:top w:val="nil"/>
              <w:bottom w:val="nil"/>
            </w:tcBorders>
            <w:vAlign w:val="top"/>
          </w:tcPr>
          <w:p w14:paraId="2A2F4401">
            <w:pPr>
              <w:rPr>
                <w:rFonts w:ascii="Arial"/>
                <w:sz w:val="21"/>
              </w:rPr>
            </w:pPr>
          </w:p>
        </w:tc>
        <w:tc>
          <w:tcPr>
            <w:tcW w:w="1083" w:type="dxa"/>
            <w:vAlign w:val="top"/>
          </w:tcPr>
          <w:p w14:paraId="4AF81F72">
            <w:pPr>
              <w:pStyle w:val="6"/>
              <w:spacing w:before="206" w:line="228" w:lineRule="auto"/>
              <w:ind w:left="356"/>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层</w:t>
            </w:r>
          </w:p>
        </w:tc>
        <w:tc>
          <w:tcPr>
            <w:tcW w:w="3751" w:type="dxa"/>
            <w:vAlign w:val="top"/>
          </w:tcPr>
          <w:p w14:paraId="23A42DC8">
            <w:pPr>
              <w:pStyle w:val="6"/>
              <w:spacing w:before="69" w:line="252" w:lineRule="auto"/>
              <w:ind w:left="675" w:right="191" w:hanging="471"/>
              <w:rPr>
                <w:sz w:val="20"/>
                <w:szCs w:val="20"/>
              </w:rPr>
            </w:pPr>
            <w:r>
              <w:rPr>
                <w:spacing w:val="3"/>
                <w:sz w:val="20"/>
                <w:szCs w:val="20"/>
              </w:rPr>
              <w:t>新建，建筑面积</w:t>
            </w:r>
            <w:r>
              <w:rPr>
                <w:spacing w:val="-35"/>
                <w:sz w:val="20"/>
                <w:szCs w:val="20"/>
              </w:rPr>
              <w:t xml:space="preserve"> </w:t>
            </w:r>
            <w:r>
              <w:rPr>
                <w:rFonts w:ascii="Times New Roman" w:hAnsi="Times New Roman" w:eastAsia="Times New Roman" w:cs="Times New Roman"/>
                <w:spacing w:val="3"/>
                <w:sz w:val="20"/>
                <w:szCs w:val="20"/>
              </w:rPr>
              <w:t>2310</w:t>
            </w:r>
            <w:r>
              <w:rPr>
                <w:rFonts w:ascii="Times New Roman" w:hAnsi="Times New Roman" w:eastAsia="Times New Roman" w:cs="Times New Roman"/>
                <w:spacing w:val="19"/>
                <w:w w:val="101"/>
                <w:sz w:val="20"/>
                <w:szCs w:val="20"/>
              </w:rPr>
              <w:t xml:space="preserve"> </w:t>
            </w:r>
            <w:r>
              <w:rPr>
                <w:spacing w:val="3"/>
                <w:sz w:val="20"/>
                <w:szCs w:val="20"/>
              </w:rPr>
              <w:t>㎡</w:t>
            </w:r>
            <w:r>
              <w:rPr>
                <w:spacing w:val="-58"/>
                <w:sz w:val="20"/>
                <w:szCs w:val="20"/>
              </w:rPr>
              <w:t xml:space="preserve"> </w:t>
            </w:r>
            <w:r>
              <w:rPr>
                <w:spacing w:val="3"/>
                <w:sz w:val="20"/>
                <w:szCs w:val="20"/>
              </w:rPr>
              <w:t>，层高约</w:t>
            </w:r>
            <w:r>
              <w:rPr>
                <w:spacing w:val="-35"/>
                <w:sz w:val="20"/>
                <w:szCs w:val="20"/>
              </w:rPr>
              <w:t xml:space="preserve"> </w:t>
            </w:r>
            <w:r>
              <w:rPr>
                <w:rFonts w:ascii="Times New Roman" w:hAnsi="Times New Roman" w:eastAsia="Times New Roman" w:cs="Times New Roman"/>
                <w:spacing w:val="3"/>
                <w:sz w:val="20"/>
                <w:szCs w:val="20"/>
              </w:rPr>
              <w:t>5.5</w:t>
            </w:r>
            <w:r>
              <w:rPr>
                <w:rFonts w:ascii="Times New Roman" w:hAnsi="Times New Roman" w:eastAsia="Times New Roman" w:cs="Times New Roman"/>
                <w:sz w:val="20"/>
                <w:szCs w:val="20"/>
              </w:rPr>
              <w:t xml:space="preserve"> </w:t>
            </w:r>
            <w:r>
              <w:rPr>
                <w:spacing w:val="7"/>
                <w:sz w:val="20"/>
                <w:szCs w:val="20"/>
              </w:rPr>
              <w:t>米，共设置</w:t>
            </w:r>
            <w:r>
              <w:rPr>
                <w:spacing w:val="-36"/>
                <w:sz w:val="20"/>
                <w:szCs w:val="20"/>
              </w:rPr>
              <w:t xml:space="preserve"> </w:t>
            </w:r>
            <w:r>
              <w:rPr>
                <w:rFonts w:ascii="Times New Roman" w:hAnsi="Times New Roman" w:eastAsia="Times New Roman" w:cs="Times New Roman"/>
                <w:spacing w:val="7"/>
                <w:sz w:val="20"/>
                <w:szCs w:val="20"/>
              </w:rPr>
              <w:t xml:space="preserve">37 </w:t>
            </w:r>
            <w:r>
              <w:rPr>
                <w:spacing w:val="7"/>
                <w:sz w:val="20"/>
                <w:szCs w:val="20"/>
              </w:rPr>
              <w:t>个操作车间</w:t>
            </w:r>
          </w:p>
        </w:tc>
        <w:tc>
          <w:tcPr>
            <w:tcW w:w="1373" w:type="dxa"/>
            <w:vMerge w:val="restart"/>
            <w:tcBorders>
              <w:bottom w:val="nil"/>
            </w:tcBorders>
            <w:vAlign w:val="top"/>
          </w:tcPr>
          <w:p w14:paraId="6D7B7038">
            <w:pPr>
              <w:spacing w:line="316" w:lineRule="auto"/>
              <w:rPr>
                <w:rFonts w:ascii="Arial"/>
                <w:sz w:val="21"/>
              </w:rPr>
            </w:pPr>
          </w:p>
          <w:p w14:paraId="4AFE5C61">
            <w:pPr>
              <w:spacing w:line="317" w:lineRule="auto"/>
              <w:rPr>
                <w:rFonts w:ascii="Arial"/>
                <w:sz w:val="21"/>
              </w:rPr>
            </w:pPr>
          </w:p>
          <w:p w14:paraId="351EBFDB">
            <w:pPr>
              <w:spacing w:line="317" w:lineRule="auto"/>
              <w:rPr>
                <w:rFonts w:ascii="Arial"/>
                <w:sz w:val="21"/>
              </w:rPr>
            </w:pPr>
          </w:p>
          <w:p w14:paraId="3BF9B290">
            <w:pPr>
              <w:pStyle w:val="6"/>
              <w:spacing w:before="65" w:line="228" w:lineRule="auto"/>
              <w:ind w:left="174"/>
              <w:rPr>
                <w:sz w:val="20"/>
                <w:szCs w:val="20"/>
              </w:rPr>
            </w:pPr>
            <w:r>
              <w:rPr>
                <w:spacing w:val="7"/>
                <w:sz w:val="20"/>
                <w:szCs w:val="20"/>
              </w:rPr>
              <w:t>用作宝石泡</w:t>
            </w:r>
          </w:p>
          <w:p w14:paraId="3F96DFC0">
            <w:pPr>
              <w:pStyle w:val="6"/>
              <w:spacing w:before="25" w:line="228" w:lineRule="auto"/>
              <w:ind w:left="173"/>
              <w:rPr>
                <w:sz w:val="20"/>
                <w:szCs w:val="20"/>
              </w:rPr>
            </w:pPr>
            <w:r>
              <w:rPr>
                <w:spacing w:val="7"/>
                <w:sz w:val="20"/>
                <w:szCs w:val="20"/>
              </w:rPr>
              <w:t>酸加工车间</w:t>
            </w:r>
          </w:p>
        </w:tc>
        <w:tc>
          <w:tcPr>
            <w:tcW w:w="195" w:type="dxa"/>
            <w:vMerge w:val="continue"/>
            <w:tcBorders>
              <w:top w:val="nil"/>
              <w:bottom w:val="nil"/>
              <w:right w:val="single" w:color="000000" w:sz="6" w:space="0"/>
            </w:tcBorders>
            <w:vAlign w:val="top"/>
          </w:tcPr>
          <w:p w14:paraId="1754FA46">
            <w:pPr>
              <w:rPr>
                <w:rFonts w:ascii="Arial"/>
                <w:sz w:val="21"/>
              </w:rPr>
            </w:pPr>
          </w:p>
        </w:tc>
      </w:tr>
      <w:tr w14:paraId="1318E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5077EE93">
            <w:pPr>
              <w:rPr>
                <w:rFonts w:ascii="Arial"/>
                <w:sz w:val="21"/>
              </w:rPr>
            </w:pPr>
          </w:p>
        </w:tc>
        <w:tc>
          <w:tcPr>
            <w:tcW w:w="186" w:type="dxa"/>
            <w:vMerge w:val="continue"/>
            <w:tcBorders>
              <w:top w:val="nil"/>
              <w:bottom w:val="nil"/>
            </w:tcBorders>
            <w:vAlign w:val="top"/>
          </w:tcPr>
          <w:p w14:paraId="210C677C">
            <w:pPr>
              <w:rPr>
                <w:rFonts w:ascii="Arial"/>
                <w:sz w:val="21"/>
              </w:rPr>
            </w:pPr>
          </w:p>
        </w:tc>
        <w:tc>
          <w:tcPr>
            <w:tcW w:w="748" w:type="dxa"/>
            <w:vMerge w:val="continue"/>
            <w:tcBorders>
              <w:top w:val="nil"/>
              <w:bottom w:val="nil"/>
            </w:tcBorders>
            <w:vAlign w:val="top"/>
          </w:tcPr>
          <w:p w14:paraId="785F7C1A">
            <w:pPr>
              <w:rPr>
                <w:rFonts w:ascii="Arial"/>
                <w:sz w:val="21"/>
              </w:rPr>
            </w:pPr>
          </w:p>
        </w:tc>
        <w:tc>
          <w:tcPr>
            <w:tcW w:w="874" w:type="dxa"/>
            <w:vMerge w:val="continue"/>
            <w:tcBorders>
              <w:top w:val="nil"/>
              <w:bottom w:val="nil"/>
            </w:tcBorders>
            <w:vAlign w:val="top"/>
          </w:tcPr>
          <w:p w14:paraId="578512DA">
            <w:pPr>
              <w:rPr>
                <w:rFonts w:ascii="Arial"/>
                <w:sz w:val="21"/>
              </w:rPr>
            </w:pPr>
          </w:p>
        </w:tc>
        <w:tc>
          <w:tcPr>
            <w:tcW w:w="1083" w:type="dxa"/>
            <w:vAlign w:val="top"/>
          </w:tcPr>
          <w:p w14:paraId="004355BE">
            <w:pPr>
              <w:pStyle w:val="6"/>
              <w:spacing w:before="207" w:line="228" w:lineRule="auto"/>
              <w:ind w:left="360"/>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2"/>
                <w:sz w:val="20"/>
                <w:szCs w:val="20"/>
              </w:rPr>
              <w:t xml:space="preserve"> </w:t>
            </w:r>
            <w:r>
              <w:rPr>
                <w:spacing w:val="-2"/>
                <w:sz w:val="20"/>
                <w:szCs w:val="20"/>
              </w:rPr>
              <w:t>层</w:t>
            </w:r>
          </w:p>
        </w:tc>
        <w:tc>
          <w:tcPr>
            <w:tcW w:w="3751" w:type="dxa"/>
            <w:vAlign w:val="top"/>
          </w:tcPr>
          <w:p w14:paraId="5F68DA23">
            <w:pPr>
              <w:pStyle w:val="6"/>
              <w:spacing w:before="70" w:line="252" w:lineRule="auto"/>
              <w:ind w:left="112" w:right="103"/>
              <w:rPr>
                <w:sz w:val="20"/>
                <w:szCs w:val="20"/>
              </w:rPr>
            </w:pPr>
            <w:r>
              <w:rPr>
                <w:spacing w:val="7"/>
                <w:sz w:val="20"/>
                <w:szCs w:val="20"/>
              </w:rPr>
              <w:t>新建</w:t>
            </w:r>
            <w:r>
              <w:rPr>
                <w:spacing w:val="-41"/>
                <w:sz w:val="20"/>
                <w:szCs w:val="20"/>
              </w:rPr>
              <w:t xml:space="preserve"> </w:t>
            </w:r>
            <w:r>
              <w:rPr>
                <w:spacing w:val="7"/>
                <w:sz w:val="20"/>
                <w:szCs w:val="20"/>
              </w:rPr>
              <w:t>，建筑面积</w:t>
            </w:r>
            <w:r>
              <w:rPr>
                <w:spacing w:val="-29"/>
                <w:sz w:val="20"/>
                <w:szCs w:val="20"/>
              </w:rPr>
              <w:t xml:space="preserve"> </w:t>
            </w:r>
            <w:r>
              <w:rPr>
                <w:rFonts w:ascii="Times New Roman" w:hAnsi="Times New Roman" w:eastAsia="Times New Roman" w:cs="Times New Roman"/>
                <w:spacing w:val="7"/>
                <w:sz w:val="20"/>
                <w:szCs w:val="20"/>
              </w:rPr>
              <w:t>2310</w:t>
            </w:r>
            <w:r>
              <w:rPr>
                <w:rFonts w:ascii="Times New Roman" w:hAnsi="Times New Roman" w:eastAsia="Times New Roman" w:cs="Times New Roman"/>
                <w:spacing w:val="33"/>
                <w:w w:val="101"/>
                <w:sz w:val="20"/>
                <w:szCs w:val="20"/>
              </w:rPr>
              <w:t xml:space="preserve"> </w:t>
            </w:r>
            <w:r>
              <w:rPr>
                <w:spacing w:val="7"/>
                <w:sz w:val="20"/>
                <w:szCs w:val="20"/>
              </w:rPr>
              <w:t>㎡</w:t>
            </w:r>
            <w:r>
              <w:rPr>
                <w:spacing w:val="-44"/>
                <w:sz w:val="20"/>
                <w:szCs w:val="20"/>
              </w:rPr>
              <w:t xml:space="preserve"> </w:t>
            </w:r>
            <w:r>
              <w:rPr>
                <w:spacing w:val="7"/>
                <w:sz w:val="20"/>
                <w:szCs w:val="20"/>
              </w:rPr>
              <w:t>，层高约</w:t>
            </w:r>
            <w:r>
              <w:rPr>
                <w:spacing w:val="-24"/>
                <w:sz w:val="20"/>
                <w:szCs w:val="20"/>
              </w:rPr>
              <w:t xml:space="preserve"> </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 xml:space="preserve"> </w:t>
            </w:r>
            <w:r>
              <w:rPr>
                <w:spacing w:val="7"/>
                <w:sz w:val="20"/>
                <w:szCs w:val="20"/>
              </w:rPr>
              <w:t>米，共设置</w:t>
            </w:r>
            <w:r>
              <w:rPr>
                <w:spacing w:val="-36"/>
                <w:sz w:val="20"/>
                <w:szCs w:val="20"/>
              </w:rPr>
              <w:t xml:space="preserve"> </w:t>
            </w:r>
            <w:r>
              <w:rPr>
                <w:rFonts w:ascii="Times New Roman" w:hAnsi="Times New Roman" w:eastAsia="Times New Roman" w:cs="Times New Roman"/>
                <w:spacing w:val="7"/>
                <w:sz w:val="20"/>
                <w:szCs w:val="20"/>
              </w:rPr>
              <w:t xml:space="preserve">50 </w:t>
            </w:r>
            <w:r>
              <w:rPr>
                <w:spacing w:val="7"/>
                <w:sz w:val="20"/>
                <w:szCs w:val="20"/>
              </w:rPr>
              <w:t>个操作车间</w:t>
            </w:r>
          </w:p>
        </w:tc>
        <w:tc>
          <w:tcPr>
            <w:tcW w:w="1373" w:type="dxa"/>
            <w:vMerge w:val="continue"/>
            <w:tcBorders>
              <w:top w:val="nil"/>
              <w:bottom w:val="nil"/>
            </w:tcBorders>
            <w:vAlign w:val="top"/>
          </w:tcPr>
          <w:p w14:paraId="37922E9E">
            <w:pPr>
              <w:rPr>
                <w:rFonts w:ascii="Arial"/>
                <w:sz w:val="21"/>
              </w:rPr>
            </w:pPr>
          </w:p>
        </w:tc>
        <w:tc>
          <w:tcPr>
            <w:tcW w:w="195" w:type="dxa"/>
            <w:vMerge w:val="continue"/>
            <w:tcBorders>
              <w:top w:val="nil"/>
              <w:bottom w:val="nil"/>
              <w:right w:val="single" w:color="000000" w:sz="6" w:space="0"/>
            </w:tcBorders>
            <w:vAlign w:val="top"/>
          </w:tcPr>
          <w:p w14:paraId="326278B9">
            <w:pPr>
              <w:rPr>
                <w:rFonts w:ascii="Arial"/>
                <w:sz w:val="21"/>
              </w:rPr>
            </w:pPr>
          </w:p>
        </w:tc>
      </w:tr>
      <w:tr w14:paraId="64520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4BA83C18">
            <w:pPr>
              <w:rPr>
                <w:rFonts w:ascii="Arial"/>
                <w:sz w:val="21"/>
              </w:rPr>
            </w:pPr>
          </w:p>
        </w:tc>
        <w:tc>
          <w:tcPr>
            <w:tcW w:w="186" w:type="dxa"/>
            <w:vMerge w:val="continue"/>
            <w:tcBorders>
              <w:top w:val="nil"/>
              <w:bottom w:val="nil"/>
            </w:tcBorders>
            <w:vAlign w:val="top"/>
          </w:tcPr>
          <w:p w14:paraId="5ADF263A">
            <w:pPr>
              <w:rPr>
                <w:rFonts w:ascii="Arial"/>
                <w:sz w:val="21"/>
              </w:rPr>
            </w:pPr>
          </w:p>
        </w:tc>
        <w:tc>
          <w:tcPr>
            <w:tcW w:w="748" w:type="dxa"/>
            <w:vMerge w:val="continue"/>
            <w:tcBorders>
              <w:top w:val="nil"/>
              <w:bottom w:val="nil"/>
            </w:tcBorders>
            <w:vAlign w:val="top"/>
          </w:tcPr>
          <w:p w14:paraId="19511A81">
            <w:pPr>
              <w:rPr>
                <w:rFonts w:ascii="Arial"/>
                <w:sz w:val="21"/>
              </w:rPr>
            </w:pPr>
          </w:p>
        </w:tc>
        <w:tc>
          <w:tcPr>
            <w:tcW w:w="874" w:type="dxa"/>
            <w:vMerge w:val="continue"/>
            <w:tcBorders>
              <w:top w:val="nil"/>
              <w:bottom w:val="nil"/>
            </w:tcBorders>
            <w:vAlign w:val="top"/>
          </w:tcPr>
          <w:p w14:paraId="058FAF72">
            <w:pPr>
              <w:rPr>
                <w:rFonts w:ascii="Arial"/>
                <w:sz w:val="21"/>
              </w:rPr>
            </w:pPr>
          </w:p>
        </w:tc>
        <w:tc>
          <w:tcPr>
            <w:tcW w:w="1083" w:type="dxa"/>
            <w:vAlign w:val="top"/>
          </w:tcPr>
          <w:p w14:paraId="6EB0B1D9">
            <w:pPr>
              <w:pStyle w:val="6"/>
              <w:spacing w:before="208" w:line="228" w:lineRule="auto"/>
              <w:ind w:left="355"/>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12"/>
                <w:sz w:val="20"/>
                <w:szCs w:val="20"/>
              </w:rPr>
              <w:t xml:space="preserve"> </w:t>
            </w:r>
            <w:r>
              <w:rPr>
                <w:spacing w:val="1"/>
                <w:sz w:val="20"/>
                <w:szCs w:val="20"/>
              </w:rPr>
              <w:t>层</w:t>
            </w:r>
          </w:p>
        </w:tc>
        <w:tc>
          <w:tcPr>
            <w:tcW w:w="3751" w:type="dxa"/>
            <w:vAlign w:val="top"/>
          </w:tcPr>
          <w:p w14:paraId="669A8EA3">
            <w:pPr>
              <w:pStyle w:val="6"/>
              <w:spacing w:before="72" w:line="252" w:lineRule="auto"/>
              <w:ind w:left="112" w:right="103"/>
              <w:rPr>
                <w:sz w:val="20"/>
                <w:szCs w:val="20"/>
              </w:rPr>
            </w:pPr>
            <w:r>
              <w:rPr>
                <w:spacing w:val="7"/>
                <w:sz w:val="20"/>
                <w:szCs w:val="20"/>
              </w:rPr>
              <w:t>新建</w:t>
            </w:r>
            <w:r>
              <w:rPr>
                <w:spacing w:val="-41"/>
                <w:sz w:val="20"/>
                <w:szCs w:val="20"/>
              </w:rPr>
              <w:t xml:space="preserve"> </w:t>
            </w:r>
            <w:r>
              <w:rPr>
                <w:spacing w:val="7"/>
                <w:sz w:val="20"/>
                <w:szCs w:val="20"/>
              </w:rPr>
              <w:t>，建筑面积</w:t>
            </w:r>
            <w:r>
              <w:rPr>
                <w:spacing w:val="-29"/>
                <w:sz w:val="20"/>
                <w:szCs w:val="20"/>
              </w:rPr>
              <w:t xml:space="preserve"> </w:t>
            </w:r>
            <w:r>
              <w:rPr>
                <w:rFonts w:ascii="Times New Roman" w:hAnsi="Times New Roman" w:eastAsia="Times New Roman" w:cs="Times New Roman"/>
                <w:spacing w:val="7"/>
                <w:sz w:val="20"/>
                <w:szCs w:val="20"/>
              </w:rPr>
              <w:t>2310</w:t>
            </w:r>
            <w:r>
              <w:rPr>
                <w:rFonts w:ascii="Times New Roman" w:hAnsi="Times New Roman" w:eastAsia="Times New Roman" w:cs="Times New Roman"/>
                <w:spacing w:val="33"/>
                <w:w w:val="101"/>
                <w:sz w:val="20"/>
                <w:szCs w:val="20"/>
              </w:rPr>
              <w:t xml:space="preserve"> </w:t>
            </w:r>
            <w:r>
              <w:rPr>
                <w:spacing w:val="7"/>
                <w:sz w:val="20"/>
                <w:szCs w:val="20"/>
              </w:rPr>
              <w:t>㎡</w:t>
            </w:r>
            <w:r>
              <w:rPr>
                <w:spacing w:val="-44"/>
                <w:sz w:val="20"/>
                <w:szCs w:val="20"/>
              </w:rPr>
              <w:t xml:space="preserve"> </w:t>
            </w:r>
            <w:r>
              <w:rPr>
                <w:spacing w:val="7"/>
                <w:sz w:val="20"/>
                <w:szCs w:val="20"/>
              </w:rPr>
              <w:t>，层高约</w:t>
            </w:r>
            <w:r>
              <w:rPr>
                <w:spacing w:val="-24"/>
                <w:sz w:val="20"/>
                <w:szCs w:val="20"/>
              </w:rPr>
              <w:t xml:space="preserve"> </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 xml:space="preserve"> </w:t>
            </w:r>
            <w:r>
              <w:rPr>
                <w:spacing w:val="7"/>
                <w:sz w:val="20"/>
                <w:szCs w:val="20"/>
              </w:rPr>
              <w:t>米，共设置</w:t>
            </w:r>
            <w:r>
              <w:rPr>
                <w:spacing w:val="-36"/>
                <w:sz w:val="20"/>
                <w:szCs w:val="20"/>
              </w:rPr>
              <w:t xml:space="preserve"> </w:t>
            </w:r>
            <w:r>
              <w:rPr>
                <w:rFonts w:ascii="Times New Roman" w:hAnsi="Times New Roman" w:eastAsia="Times New Roman" w:cs="Times New Roman"/>
                <w:spacing w:val="7"/>
                <w:sz w:val="20"/>
                <w:szCs w:val="20"/>
              </w:rPr>
              <w:t xml:space="preserve">50 </w:t>
            </w:r>
            <w:r>
              <w:rPr>
                <w:spacing w:val="7"/>
                <w:sz w:val="20"/>
                <w:szCs w:val="20"/>
              </w:rPr>
              <w:t>个操作车间</w:t>
            </w:r>
          </w:p>
        </w:tc>
        <w:tc>
          <w:tcPr>
            <w:tcW w:w="1373" w:type="dxa"/>
            <w:vMerge w:val="continue"/>
            <w:tcBorders>
              <w:top w:val="nil"/>
              <w:bottom w:val="nil"/>
            </w:tcBorders>
            <w:vAlign w:val="top"/>
          </w:tcPr>
          <w:p w14:paraId="43D68D93">
            <w:pPr>
              <w:rPr>
                <w:rFonts w:ascii="Arial"/>
                <w:sz w:val="21"/>
              </w:rPr>
            </w:pPr>
          </w:p>
        </w:tc>
        <w:tc>
          <w:tcPr>
            <w:tcW w:w="195" w:type="dxa"/>
            <w:vMerge w:val="continue"/>
            <w:tcBorders>
              <w:top w:val="nil"/>
              <w:bottom w:val="nil"/>
              <w:right w:val="single" w:color="000000" w:sz="6" w:space="0"/>
            </w:tcBorders>
            <w:vAlign w:val="top"/>
          </w:tcPr>
          <w:p w14:paraId="5E0F60B3">
            <w:pPr>
              <w:rPr>
                <w:rFonts w:ascii="Arial"/>
                <w:sz w:val="21"/>
              </w:rPr>
            </w:pPr>
          </w:p>
        </w:tc>
      </w:tr>
      <w:tr w14:paraId="5E832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78" w:type="dxa"/>
            <w:vMerge w:val="continue"/>
            <w:tcBorders>
              <w:top w:val="nil"/>
              <w:left w:val="single" w:color="000000" w:sz="6" w:space="0"/>
              <w:bottom w:val="nil"/>
            </w:tcBorders>
            <w:vAlign w:val="top"/>
          </w:tcPr>
          <w:p w14:paraId="31D191C9">
            <w:pPr>
              <w:rPr>
                <w:rFonts w:ascii="Arial"/>
                <w:sz w:val="21"/>
              </w:rPr>
            </w:pPr>
          </w:p>
        </w:tc>
        <w:tc>
          <w:tcPr>
            <w:tcW w:w="186" w:type="dxa"/>
            <w:vMerge w:val="continue"/>
            <w:tcBorders>
              <w:top w:val="nil"/>
              <w:bottom w:val="nil"/>
            </w:tcBorders>
            <w:vAlign w:val="top"/>
          </w:tcPr>
          <w:p w14:paraId="578ADA24">
            <w:pPr>
              <w:rPr>
                <w:rFonts w:ascii="Arial"/>
                <w:sz w:val="21"/>
              </w:rPr>
            </w:pPr>
          </w:p>
        </w:tc>
        <w:tc>
          <w:tcPr>
            <w:tcW w:w="748" w:type="dxa"/>
            <w:vMerge w:val="continue"/>
            <w:tcBorders>
              <w:top w:val="nil"/>
              <w:bottom w:val="nil"/>
            </w:tcBorders>
            <w:vAlign w:val="top"/>
          </w:tcPr>
          <w:p w14:paraId="688A21F4">
            <w:pPr>
              <w:rPr>
                <w:rFonts w:ascii="Arial"/>
                <w:sz w:val="21"/>
              </w:rPr>
            </w:pPr>
          </w:p>
        </w:tc>
        <w:tc>
          <w:tcPr>
            <w:tcW w:w="874" w:type="dxa"/>
            <w:vMerge w:val="continue"/>
            <w:tcBorders>
              <w:top w:val="nil"/>
            </w:tcBorders>
            <w:vAlign w:val="top"/>
          </w:tcPr>
          <w:p w14:paraId="00D83884">
            <w:pPr>
              <w:rPr>
                <w:rFonts w:ascii="Arial"/>
                <w:sz w:val="21"/>
              </w:rPr>
            </w:pPr>
          </w:p>
        </w:tc>
        <w:tc>
          <w:tcPr>
            <w:tcW w:w="1083" w:type="dxa"/>
            <w:vAlign w:val="top"/>
          </w:tcPr>
          <w:p w14:paraId="6CF041DB">
            <w:pPr>
              <w:pStyle w:val="6"/>
              <w:spacing w:before="208" w:line="228" w:lineRule="auto"/>
              <w:ind w:left="361"/>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2"/>
                <w:sz w:val="20"/>
                <w:szCs w:val="20"/>
              </w:rPr>
              <w:t xml:space="preserve"> </w:t>
            </w:r>
            <w:r>
              <w:rPr>
                <w:spacing w:val="-3"/>
                <w:sz w:val="20"/>
                <w:szCs w:val="20"/>
              </w:rPr>
              <w:t>层</w:t>
            </w:r>
          </w:p>
        </w:tc>
        <w:tc>
          <w:tcPr>
            <w:tcW w:w="3751" w:type="dxa"/>
            <w:vAlign w:val="top"/>
          </w:tcPr>
          <w:p w14:paraId="2529C108">
            <w:pPr>
              <w:pStyle w:val="6"/>
              <w:spacing w:before="73" w:line="252" w:lineRule="auto"/>
              <w:ind w:left="112" w:right="103"/>
              <w:rPr>
                <w:sz w:val="20"/>
                <w:szCs w:val="20"/>
              </w:rPr>
            </w:pPr>
            <w:r>
              <w:rPr>
                <w:spacing w:val="7"/>
                <w:sz w:val="20"/>
                <w:szCs w:val="20"/>
              </w:rPr>
              <w:t>新建</w:t>
            </w:r>
            <w:r>
              <w:rPr>
                <w:spacing w:val="-41"/>
                <w:sz w:val="20"/>
                <w:szCs w:val="20"/>
              </w:rPr>
              <w:t xml:space="preserve"> </w:t>
            </w:r>
            <w:r>
              <w:rPr>
                <w:spacing w:val="7"/>
                <w:sz w:val="20"/>
                <w:szCs w:val="20"/>
              </w:rPr>
              <w:t>，建筑面积</w:t>
            </w:r>
            <w:r>
              <w:rPr>
                <w:spacing w:val="-29"/>
                <w:sz w:val="20"/>
                <w:szCs w:val="20"/>
              </w:rPr>
              <w:t xml:space="preserve"> </w:t>
            </w:r>
            <w:r>
              <w:rPr>
                <w:rFonts w:ascii="Times New Roman" w:hAnsi="Times New Roman" w:eastAsia="Times New Roman" w:cs="Times New Roman"/>
                <w:spacing w:val="7"/>
                <w:sz w:val="20"/>
                <w:szCs w:val="20"/>
              </w:rPr>
              <w:t>2310</w:t>
            </w:r>
            <w:r>
              <w:rPr>
                <w:rFonts w:ascii="Times New Roman" w:hAnsi="Times New Roman" w:eastAsia="Times New Roman" w:cs="Times New Roman"/>
                <w:spacing w:val="33"/>
                <w:w w:val="101"/>
                <w:sz w:val="20"/>
                <w:szCs w:val="20"/>
              </w:rPr>
              <w:t xml:space="preserve"> </w:t>
            </w:r>
            <w:r>
              <w:rPr>
                <w:spacing w:val="7"/>
                <w:sz w:val="20"/>
                <w:szCs w:val="20"/>
              </w:rPr>
              <w:t>㎡</w:t>
            </w:r>
            <w:r>
              <w:rPr>
                <w:spacing w:val="-44"/>
                <w:sz w:val="20"/>
                <w:szCs w:val="20"/>
              </w:rPr>
              <w:t xml:space="preserve"> </w:t>
            </w:r>
            <w:r>
              <w:rPr>
                <w:spacing w:val="7"/>
                <w:sz w:val="20"/>
                <w:szCs w:val="20"/>
              </w:rPr>
              <w:t>，层高约</w:t>
            </w:r>
            <w:r>
              <w:rPr>
                <w:spacing w:val="-24"/>
                <w:sz w:val="20"/>
                <w:szCs w:val="20"/>
              </w:rPr>
              <w:t xml:space="preserve"> </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 xml:space="preserve"> </w:t>
            </w:r>
            <w:r>
              <w:rPr>
                <w:spacing w:val="7"/>
                <w:sz w:val="20"/>
                <w:szCs w:val="20"/>
              </w:rPr>
              <w:t>米，共设置</w:t>
            </w:r>
            <w:r>
              <w:rPr>
                <w:spacing w:val="-36"/>
                <w:sz w:val="20"/>
                <w:szCs w:val="20"/>
              </w:rPr>
              <w:t xml:space="preserve"> </w:t>
            </w:r>
            <w:r>
              <w:rPr>
                <w:rFonts w:ascii="Times New Roman" w:hAnsi="Times New Roman" w:eastAsia="Times New Roman" w:cs="Times New Roman"/>
                <w:spacing w:val="7"/>
                <w:sz w:val="20"/>
                <w:szCs w:val="20"/>
              </w:rPr>
              <w:t xml:space="preserve">50 </w:t>
            </w:r>
            <w:r>
              <w:rPr>
                <w:spacing w:val="7"/>
                <w:sz w:val="20"/>
                <w:szCs w:val="20"/>
              </w:rPr>
              <w:t>个操作车间</w:t>
            </w:r>
          </w:p>
        </w:tc>
        <w:tc>
          <w:tcPr>
            <w:tcW w:w="1373" w:type="dxa"/>
            <w:vMerge w:val="continue"/>
            <w:tcBorders>
              <w:top w:val="nil"/>
            </w:tcBorders>
            <w:vAlign w:val="top"/>
          </w:tcPr>
          <w:p w14:paraId="64E93DFC">
            <w:pPr>
              <w:rPr>
                <w:rFonts w:ascii="Arial"/>
                <w:sz w:val="21"/>
              </w:rPr>
            </w:pPr>
          </w:p>
        </w:tc>
        <w:tc>
          <w:tcPr>
            <w:tcW w:w="195" w:type="dxa"/>
            <w:vMerge w:val="continue"/>
            <w:tcBorders>
              <w:top w:val="nil"/>
              <w:bottom w:val="nil"/>
              <w:right w:val="single" w:color="000000" w:sz="6" w:space="0"/>
            </w:tcBorders>
            <w:vAlign w:val="top"/>
          </w:tcPr>
          <w:p w14:paraId="534BF1C8">
            <w:pPr>
              <w:rPr>
                <w:rFonts w:ascii="Arial"/>
                <w:sz w:val="21"/>
              </w:rPr>
            </w:pPr>
          </w:p>
        </w:tc>
      </w:tr>
      <w:tr w14:paraId="4A598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769C84B4">
            <w:pPr>
              <w:rPr>
                <w:rFonts w:ascii="Arial"/>
                <w:sz w:val="21"/>
              </w:rPr>
            </w:pPr>
          </w:p>
        </w:tc>
        <w:tc>
          <w:tcPr>
            <w:tcW w:w="186" w:type="dxa"/>
            <w:vMerge w:val="continue"/>
            <w:tcBorders>
              <w:top w:val="nil"/>
              <w:bottom w:val="nil"/>
            </w:tcBorders>
            <w:vAlign w:val="top"/>
          </w:tcPr>
          <w:p w14:paraId="57720D94">
            <w:pPr>
              <w:rPr>
                <w:rFonts w:ascii="Arial"/>
                <w:sz w:val="21"/>
              </w:rPr>
            </w:pPr>
          </w:p>
        </w:tc>
        <w:tc>
          <w:tcPr>
            <w:tcW w:w="748" w:type="dxa"/>
            <w:vMerge w:val="continue"/>
            <w:tcBorders>
              <w:top w:val="nil"/>
              <w:bottom w:val="nil"/>
            </w:tcBorders>
            <w:vAlign w:val="top"/>
          </w:tcPr>
          <w:p w14:paraId="1A18662C">
            <w:pPr>
              <w:rPr>
                <w:rFonts w:ascii="Arial"/>
                <w:sz w:val="21"/>
              </w:rPr>
            </w:pPr>
          </w:p>
        </w:tc>
        <w:tc>
          <w:tcPr>
            <w:tcW w:w="874" w:type="dxa"/>
            <w:vMerge w:val="restart"/>
            <w:tcBorders>
              <w:bottom w:val="nil"/>
            </w:tcBorders>
            <w:vAlign w:val="top"/>
          </w:tcPr>
          <w:p w14:paraId="2E9391F1">
            <w:pPr>
              <w:spacing w:line="247" w:lineRule="auto"/>
              <w:rPr>
                <w:rFonts w:ascii="Arial"/>
                <w:sz w:val="21"/>
              </w:rPr>
            </w:pPr>
          </w:p>
          <w:p w14:paraId="39E06C73">
            <w:pPr>
              <w:spacing w:line="247" w:lineRule="auto"/>
              <w:rPr>
                <w:rFonts w:ascii="Arial"/>
                <w:sz w:val="21"/>
              </w:rPr>
            </w:pPr>
          </w:p>
          <w:p w14:paraId="0B5D3F17">
            <w:pPr>
              <w:spacing w:line="247" w:lineRule="auto"/>
              <w:rPr>
                <w:rFonts w:ascii="Arial"/>
                <w:sz w:val="21"/>
              </w:rPr>
            </w:pPr>
          </w:p>
          <w:p w14:paraId="43D8D1D9">
            <w:pPr>
              <w:spacing w:line="248" w:lineRule="auto"/>
              <w:rPr>
                <w:rFonts w:ascii="Arial"/>
                <w:sz w:val="21"/>
              </w:rPr>
            </w:pPr>
          </w:p>
          <w:p w14:paraId="7FAAD8C4">
            <w:pPr>
              <w:spacing w:line="248" w:lineRule="auto"/>
              <w:rPr>
                <w:rFonts w:ascii="Arial"/>
                <w:sz w:val="21"/>
              </w:rPr>
            </w:pPr>
          </w:p>
          <w:p w14:paraId="55C2E5C4">
            <w:pPr>
              <w:spacing w:line="248" w:lineRule="auto"/>
              <w:rPr>
                <w:rFonts w:ascii="Arial"/>
                <w:sz w:val="21"/>
              </w:rPr>
            </w:pPr>
          </w:p>
          <w:p w14:paraId="43C1C1D9">
            <w:pPr>
              <w:spacing w:line="248" w:lineRule="auto"/>
              <w:rPr>
                <w:rFonts w:ascii="Arial"/>
                <w:sz w:val="21"/>
              </w:rPr>
            </w:pPr>
          </w:p>
          <w:p w14:paraId="1A3FC805">
            <w:pPr>
              <w:pStyle w:val="6"/>
              <w:spacing w:before="65" w:line="228" w:lineRule="auto"/>
              <w:ind w:left="230"/>
              <w:rPr>
                <w:sz w:val="20"/>
                <w:szCs w:val="20"/>
              </w:rPr>
            </w:pPr>
            <w:r>
              <w:rPr>
                <w:rFonts w:ascii="Times New Roman" w:hAnsi="Times New Roman" w:eastAsia="Times New Roman" w:cs="Times New Roman"/>
                <w:spacing w:val="3"/>
                <w:sz w:val="20"/>
                <w:szCs w:val="20"/>
              </w:rPr>
              <w:t>5#</w:t>
            </w:r>
            <w:r>
              <w:rPr>
                <w:spacing w:val="3"/>
                <w:sz w:val="20"/>
                <w:szCs w:val="20"/>
              </w:rPr>
              <w:t>楼</w:t>
            </w:r>
          </w:p>
          <w:p w14:paraId="7CD8C140">
            <w:pPr>
              <w:pStyle w:val="6"/>
              <w:spacing w:before="25" w:line="251" w:lineRule="auto"/>
              <w:ind w:left="149" w:right="125" w:firstLine="7"/>
              <w:rPr>
                <w:rFonts w:ascii="Times New Roman" w:hAnsi="Times New Roman" w:eastAsia="Times New Roman" w:cs="Times New Roman"/>
                <w:sz w:val="20"/>
                <w:szCs w:val="20"/>
              </w:rPr>
            </w:pPr>
            <w:r>
              <w:rPr>
                <w:spacing w:val="-5"/>
                <w:sz w:val="20"/>
                <w:szCs w:val="20"/>
              </w:rPr>
              <w:t>占地面</w:t>
            </w:r>
            <w:r>
              <w:rPr>
                <w:sz w:val="20"/>
                <w:szCs w:val="20"/>
              </w:rPr>
              <w:t xml:space="preserve"> </w:t>
            </w:r>
            <w:r>
              <w:rPr>
                <w:spacing w:val="2"/>
                <w:sz w:val="20"/>
                <w:szCs w:val="20"/>
              </w:rPr>
              <w:t>积</w:t>
            </w:r>
            <w:r>
              <w:rPr>
                <w:spacing w:val="-40"/>
                <w:sz w:val="20"/>
                <w:szCs w:val="20"/>
              </w:rPr>
              <w:t xml:space="preserve"> </w:t>
            </w:r>
            <w:r>
              <w:rPr>
                <w:rFonts w:ascii="Times New Roman" w:hAnsi="Times New Roman" w:eastAsia="Times New Roman" w:cs="Times New Roman"/>
                <w:spacing w:val="2"/>
                <w:sz w:val="20"/>
                <w:szCs w:val="20"/>
              </w:rPr>
              <w:t>952</w:t>
            </w:r>
          </w:p>
          <w:p w14:paraId="60839023">
            <w:pPr>
              <w:pStyle w:val="6"/>
              <w:spacing w:line="271" w:lineRule="exact"/>
              <w:ind w:left="342"/>
              <w:rPr>
                <w:sz w:val="20"/>
                <w:szCs w:val="20"/>
              </w:rPr>
            </w:pPr>
            <w:r>
              <w:rPr>
                <w:sz w:val="20"/>
                <w:szCs w:val="20"/>
              </w:rPr>
              <w:t>㎡</w:t>
            </w:r>
          </w:p>
          <w:p w14:paraId="36B0B6DE">
            <w:pPr>
              <w:pStyle w:val="6"/>
              <w:spacing w:line="228" w:lineRule="auto"/>
              <w:ind w:left="125"/>
              <w:rPr>
                <w:sz w:val="20"/>
                <w:szCs w:val="20"/>
              </w:rPr>
            </w:pPr>
            <w:r>
              <w:rPr>
                <w:spacing w:val="6"/>
                <w:sz w:val="20"/>
                <w:szCs w:val="20"/>
              </w:rPr>
              <w:t>建筑面</w:t>
            </w:r>
          </w:p>
          <w:p w14:paraId="11F27574">
            <w:pPr>
              <w:pStyle w:val="6"/>
              <w:spacing w:before="26" w:line="228" w:lineRule="auto"/>
              <w:ind w:left="360"/>
              <w:rPr>
                <w:sz w:val="20"/>
                <w:szCs w:val="20"/>
              </w:rPr>
            </w:pPr>
            <w:r>
              <w:rPr>
                <w:sz w:val="20"/>
                <w:szCs w:val="20"/>
              </w:rPr>
              <w:t>积</w:t>
            </w:r>
          </w:p>
          <w:p w14:paraId="1CFE4750">
            <w:pPr>
              <w:spacing w:before="4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10116.</w:t>
            </w:r>
          </w:p>
          <w:p w14:paraId="46431B02">
            <w:pPr>
              <w:pStyle w:val="6"/>
              <w:spacing w:before="34" w:line="265" w:lineRule="exact"/>
              <w:ind w:left="259"/>
              <w:rPr>
                <w:sz w:val="20"/>
                <w:szCs w:val="20"/>
              </w:rPr>
            </w:pPr>
            <w:r>
              <w:rPr>
                <w:rFonts w:ascii="Times New Roman" w:hAnsi="Times New Roman" w:eastAsia="Times New Roman" w:cs="Times New Roman"/>
                <w:spacing w:val="-5"/>
                <w:position w:val="1"/>
                <w:sz w:val="20"/>
                <w:szCs w:val="20"/>
              </w:rPr>
              <w:t>8</w:t>
            </w:r>
            <w:r>
              <w:rPr>
                <w:rFonts w:ascii="Times New Roman" w:hAnsi="Times New Roman" w:eastAsia="Times New Roman" w:cs="Times New Roman"/>
                <w:spacing w:val="19"/>
                <w:position w:val="1"/>
                <w:sz w:val="20"/>
                <w:szCs w:val="20"/>
              </w:rPr>
              <w:t xml:space="preserve"> </w:t>
            </w:r>
            <w:r>
              <w:rPr>
                <w:spacing w:val="-5"/>
                <w:position w:val="1"/>
                <w:sz w:val="20"/>
                <w:szCs w:val="20"/>
              </w:rPr>
              <w:t>㎡</w:t>
            </w:r>
          </w:p>
        </w:tc>
        <w:tc>
          <w:tcPr>
            <w:tcW w:w="1083" w:type="dxa"/>
            <w:vAlign w:val="top"/>
          </w:tcPr>
          <w:p w14:paraId="61474B02">
            <w:pPr>
              <w:pStyle w:val="6"/>
              <w:spacing w:before="208" w:line="228" w:lineRule="auto"/>
              <w:ind w:left="37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层</w:t>
            </w:r>
          </w:p>
        </w:tc>
        <w:tc>
          <w:tcPr>
            <w:tcW w:w="3751" w:type="dxa"/>
            <w:vAlign w:val="top"/>
          </w:tcPr>
          <w:p w14:paraId="0B2E5C20">
            <w:pPr>
              <w:pStyle w:val="6"/>
              <w:spacing w:before="73" w:line="228" w:lineRule="auto"/>
              <w:ind w:left="112"/>
              <w:rPr>
                <w:sz w:val="20"/>
                <w:szCs w:val="20"/>
              </w:rPr>
            </w:pPr>
            <w:r>
              <w:rPr>
                <w:spacing w:val="3"/>
                <w:sz w:val="20"/>
                <w:szCs w:val="20"/>
              </w:rPr>
              <w:t>新建，建筑面积</w:t>
            </w:r>
            <w:r>
              <w:rPr>
                <w:spacing w:val="-36"/>
                <w:sz w:val="20"/>
                <w:szCs w:val="20"/>
              </w:rPr>
              <w:t xml:space="preserve"> </w:t>
            </w:r>
            <w:r>
              <w:rPr>
                <w:rFonts w:ascii="Times New Roman" w:hAnsi="Times New Roman" w:eastAsia="Times New Roman" w:cs="Times New Roman"/>
                <w:spacing w:val="3"/>
                <w:sz w:val="20"/>
                <w:szCs w:val="20"/>
              </w:rPr>
              <w:t>952</w:t>
            </w:r>
            <w:r>
              <w:rPr>
                <w:rFonts w:ascii="Times New Roman" w:hAnsi="Times New Roman" w:eastAsia="Times New Roman" w:cs="Times New Roman"/>
                <w:spacing w:val="21"/>
                <w:w w:val="101"/>
                <w:sz w:val="20"/>
                <w:szCs w:val="20"/>
              </w:rPr>
              <w:t xml:space="preserve"> </w:t>
            </w:r>
            <w:r>
              <w:rPr>
                <w:spacing w:val="3"/>
                <w:sz w:val="20"/>
                <w:szCs w:val="20"/>
              </w:rPr>
              <w:t>㎡</w:t>
            </w:r>
            <w:r>
              <w:rPr>
                <w:spacing w:val="-58"/>
                <w:sz w:val="20"/>
                <w:szCs w:val="20"/>
              </w:rPr>
              <w:t xml:space="preserve"> </w:t>
            </w:r>
            <w:r>
              <w:rPr>
                <w:spacing w:val="3"/>
                <w:sz w:val="20"/>
                <w:szCs w:val="20"/>
              </w:rPr>
              <w:t>，层高约</w:t>
            </w:r>
            <w:r>
              <w:rPr>
                <w:spacing w:val="-35"/>
                <w:sz w:val="20"/>
                <w:szCs w:val="20"/>
              </w:rPr>
              <w:t xml:space="preserve"> </w:t>
            </w:r>
            <w:r>
              <w:rPr>
                <w:rFonts w:ascii="Times New Roman" w:hAnsi="Times New Roman" w:eastAsia="Times New Roman" w:cs="Times New Roman"/>
                <w:spacing w:val="3"/>
                <w:sz w:val="20"/>
                <w:szCs w:val="20"/>
              </w:rPr>
              <w:t xml:space="preserve">5 </w:t>
            </w:r>
            <w:r>
              <w:rPr>
                <w:spacing w:val="3"/>
                <w:sz w:val="20"/>
                <w:szCs w:val="20"/>
              </w:rPr>
              <w:t>米，</w:t>
            </w:r>
          </w:p>
          <w:p w14:paraId="0FB28014">
            <w:pPr>
              <w:pStyle w:val="6"/>
              <w:spacing w:before="24" w:line="228" w:lineRule="auto"/>
              <w:ind w:left="936"/>
              <w:rPr>
                <w:sz w:val="20"/>
                <w:szCs w:val="20"/>
              </w:rPr>
            </w:pPr>
            <w:r>
              <w:rPr>
                <w:spacing w:val="7"/>
                <w:sz w:val="20"/>
                <w:szCs w:val="20"/>
              </w:rPr>
              <w:t>共设置</w:t>
            </w:r>
            <w:r>
              <w:rPr>
                <w:spacing w:val="-40"/>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restart"/>
            <w:tcBorders>
              <w:bottom w:val="nil"/>
            </w:tcBorders>
            <w:vAlign w:val="top"/>
          </w:tcPr>
          <w:p w14:paraId="14FBC239">
            <w:pPr>
              <w:spacing w:line="252" w:lineRule="auto"/>
              <w:rPr>
                <w:rFonts w:ascii="Arial"/>
                <w:sz w:val="21"/>
              </w:rPr>
            </w:pPr>
          </w:p>
          <w:p w14:paraId="60AD06C0">
            <w:pPr>
              <w:spacing w:line="252" w:lineRule="auto"/>
              <w:rPr>
                <w:rFonts w:ascii="Arial"/>
                <w:sz w:val="21"/>
              </w:rPr>
            </w:pPr>
          </w:p>
          <w:p w14:paraId="49FA6C0E">
            <w:pPr>
              <w:spacing w:line="253" w:lineRule="auto"/>
              <w:rPr>
                <w:rFonts w:ascii="Arial"/>
                <w:sz w:val="21"/>
              </w:rPr>
            </w:pPr>
          </w:p>
          <w:p w14:paraId="41707003">
            <w:pPr>
              <w:spacing w:line="253" w:lineRule="auto"/>
              <w:rPr>
                <w:rFonts w:ascii="Arial"/>
                <w:sz w:val="21"/>
              </w:rPr>
            </w:pPr>
          </w:p>
          <w:p w14:paraId="078F9A4A">
            <w:pPr>
              <w:spacing w:line="253" w:lineRule="auto"/>
              <w:rPr>
                <w:rFonts w:ascii="Arial"/>
                <w:sz w:val="21"/>
              </w:rPr>
            </w:pPr>
          </w:p>
          <w:p w14:paraId="7D01E942">
            <w:pPr>
              <w:spacing w:line="253" w:lineRule="auto"/>
              <w:rPr>
                <w:rFonts w:ascii="Arial"/>
                <w:sz w:val="21"/>
              </w:rPr>
            </w:pPr>
          </w:p>
          <w:p w14:paraId="46E8E051">
            <w:pPr>
              <w:spacing w:line="253" w:lineRule="auto"/>
              <w:rPr>
                <w:rFonts w:ascii="Arial"/>
                <w:sz w:val="21"/>
              </w:rPr>
            </w:pPr>
          </w:p>
          <w:p w14:paraId="7A728498">
            <w:pPr>
              <w:spacing w:line="253" w:lineRule="auto"/>
              <w:rPr>
                <w:rFonts w:ascii="Arial"/>
                <w:sz w:val="21"/>
              </w:rPr>
            </w:pPr>
          </w:p>
          <w:p w14:paraId="7CFB9627">
            <w:pPr>
              <w:spacing w:line="253" w:lineRule="auto"/>
              <w:rPr>
                <w:rFonts w:ascii="Arial"/>
                <w:sz w:val="21"/>
              </w:rPr>
            </w:pPr>
          </w:p>
          <w:p w14:paraId="739C2E1C">
            <w:pPr>
              <w:spacing w:line="253" w:lineRule="auto"/>
              <w:rPr>
                <w:rFonts w:ascii="Arial"/>
                <w:sz w:val="21"/>
              </w:rPr>
            </w:pPr>
          </w:p>
          <w:p w14:paraId="4EA5E385">
            <w:pPr>
              <w:pStyle w:val="6"/>
              <w:spacing w:before="65" w:line="228" w:lineRule="auto"/>
              <w:ind w:left="174"/>
              <w:rPr>
                <w:sz w:val="20"/>
                <w:szCs w:val="20"/>
              </w:rPr>
            </w:pPr>
            <w:r>
              <w:rPr>
                <w:spacing w:val="7"/>
                <w:sz w:val="20"/>
                <w:szCs w:val="20"/>
              </w:rPr>
              <w:t>用作宝石注</w:t>
            </w:r>
          </w:p>
          <w:p w14:paraId="11BC07C2">
            <w:pPr>
              <w:pStyle w:val="6"/>
              <w:spacing w:before="25" w:line="228" w:lineRule="auto"/>
              <w:ind w:left="171"/>
              <w:rPr>
                <w:sz w:val="20"/>
                <w:szCs w:val="20"/>
              </w:rPr>
            </w:pPr>
            <w:r>
              <w:rPr>
                <w:spacing w:val="8"/>
                <w:sz w:val="20"/>
                <w:szCs w:val="20"/>
              </w:rPr>
              <w:t>胶加工车间</w:t>
            </w:r>
          </w:p>
        </w:tc>
        <w:tc>
          <w:tcPr>
            <w:tcW w:w="195" w:type="dxa"/>
            <w:vMerge w:val="continue"/>
            <w:tcBorders>
              <w:top w:val="nil"/>
              <w:bottom w:val="nil"/>
              <w:right w:val="single" w:color="000000" w:sz="6" w:space="0"/>
            </w:tcBorders>
            <w:vAlign w:val="top"/>
          </w:tcPr>
          <w:p w14:paraId="1C9769E1">
            <w:pPr>
              <w:rPr>
                <w:rFonts w:ascii="Arial"/>
                <w:sz w:val="21"/>
              </w:rPr>
            </w:pPr>
          </w:p>
        </w:tc>
      </w:tr>
      <w:tr w14:paraId="5E31E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7E01C3DB">
            <w:pPr>
              <w:rPr>
                <w:rFonts w:ascii="Arial"/>
                <w:sz w:val="21"/>
              </w:rPr>
            </w:pPr>
          </w:p>
        </w:tc>
        <w:tc>
          <w:tcPr>
            <w:tcW w:w="186" w:type="dxa"/>
            <w:vMerge w:val="continue"/>
            <w:tcBorders>
              <w:top w:val="nil"/>
              <w:bottom w:val="nil"/>
            </w:tcBorders>
            <w:vAlign w:val="top"/>
          </w:tcPr>
          <w:p w14:paraId="67F8B13D">
            <w:pPr>
              <w:rPr>
                <w:rFonts w:ascii="Arial"/>
                <w:sz w:val="21"/>
              </w:rPr>
            </w:pPr>
          </w:p>
        </w:tc>
        <w:tc>
          <w:tcPr>
            <w:tcW w:w="748" w:type="dxa"/>
            <w:vMerge w:val="continue"/>
            <w:tcBorders>
              <w:top w:val="nil"/>
              <w:bottom w:val="nil"/>
            </w:tcBorders>
            <w:vAlign w:val="top"/>
          </w:tcPr>
          <w:p w14:paraId="67E342CF">
            <w:pPr>
              <w:rPr>
                <w:rFonts w:ascii="Arial"/>
                <w:sz w:val="21"/>
              </w:rPr>
            </w:pPr>
          </w:p>
        </w:tc>
        <w:tc>
          <w:tcPr>
            <w:tcW w:w="874" w:type="dxa"/>
            <w:vMerge w:val="continue"/>
            <w:tcBorders>
              <w:top w:val="nil"/>
              <w:bottom w:val="nil"/>
            </w:tcBorders>
            <w:vAlign w:val="top"/>
          </w:tcPr>
          <w:p w14:paraId="1471793B">
            <w:pPr>
              <w:rPr>
                <w:rFonts w:ascii="Arial"/>
                <w:sz w:val="21"/>
              </w:rPr>
            </w:pPr>
          </w:p>
        </w:tc>
        <w:tc>
          <w:tcPr>
            <w:tcW w:w="1083" w:type="dxa"/>
            <w:vAlign w:val="top"/>
          </w:tcPr>
          <w:p w14:paraId="6BC86CE7">
            <w:pPr>
              <w:pStyle w:val="6"/>
              <w:spacing w:before="208" w:line="228" w:lineRule="auto"/>
              <w:ind w:left="356"/>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层</w:t>
            </w:r>
          </w:p>
        </w:tc>
        <w:tc>
          <w:tcPr>
            <w:tcW w:w="3751" w:type="dxa"/>
            <w:vAlign w:val="top"/>
          </w:tcPr>
          <w:p w14:paraId="23C75BD5">
            <w:pPr>
              <w:pStyle w:val="6"/>
              <w:spacing w:before="74" w:line="251"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bottom w:val="nil"/>
            </w:tcBorders>
            <w:vAlign w:val="top"/>
          </w:tcPr>
          <w:p w14:paraId="275992E8">
            <w:pPr>
              <w:rPr>
                <w:rFonts w:ascii="Arial"/>
                <w:sz w:val="21"/>
              </w:rPr>
            </w:pPr>
          </w:p>
        </w:tc>
        <w:tc>
          <w:tcPr>
            <w:tcW w:w="195" w:type="dxa"/>
            <w:vMerge w:val="continue"/>
            <w:tcBorders>
              <w:top w:val="nil"/>
              <w:bottom w:val="nil"/>
              <w:right w:val="single" w:color="000000" w:sz="6" w:space="0"/>
            </w:tcBorders>
            <w:vAlign w:val="top"/>
          </w:tcPr>
          <w:p w14:paraId="23106D43">
            <w:pPr>
              <w:rPr>
                <w:rFonts w:ascii="Arial"/>
                <w:sz w:val="21"/>
              </w:rPr>
            </w:pPr>
          </w:p>
        </w:tc>
      </w:tr>
      <w:tr w14:paraId="2BB3A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2E8E94C4">
            <w:pPr>
              <w:rPr>
                <w:rFonts w:ascii="Arial"/>
                <w:sz w:val="21"/>
              </w:rPr>
            </w:pPr>
          </w:p>
        </w:tc>
        <w:tc>
          <w:tcPr>
            <w:tcW w:w="186" w:type="dxa"/>
            <w:vMerge w:val="continue"/>
            <w:tcBorders>
              <w:top w:val="nil"/>
              <w:bottom w:val="nil"/>
            </w:tcBorders>
            <w:vAlign w:val="top"/>
          </w:tcPr>
          <w:p w14:paraId="0F2339C8">
            <w:pPr>
              <w:rPr>
                <w:rFonts w:ascii="Arial"/>
                <w:sz w:val="21"/>
              </w:rPr>
            </w:pPr>
          </w:p>
        </w:tc>
        <w:tc>
          <w:tcPr>
            <w:tcW w:w="748" w:type="dxa"/>
            <w:vMerge w:val="continue"/>
            <w:tcBorders>
              <w:top w:val="nil"/>
              <w:bottom w:val="nil"/>
            </w:tcBorders>
            <w:vAlign w:val="top"/>
          </w:tcPr>
          <w:p w14:paraId="51C70580">
            <w:pPr>
              <w:rPr>
                <w:rFonts w:ascii="Arial"/>
                <w:sz w:val="21"/>
              </w:rPr>
            </w:pPr>
          </w:p>
        </w:tc>
        <w:tc>
          <w:tcPr>
            <w:tcW w:w="874" w:type="dxa"/>
            <w:vMerge w:val="continue"/>
            <w:tcBorders>
              <w:top w:val="nil"/>
              <w:bottom w:val="nil"/>
            </w:tcBorders>
            <w:vAlign w:val="top"/>
          </w:tcPr>
          <w:p w14:paraId="433A88C1">
            <w:pPr>
              <w:rPr>
                <w:rFonts w:ascii="Arial"/>
                <w:sz w:val="21"/>
              </w:rPr>
            </w:pPr>
          </w:p>
        </w:tc>
        <w:tc>
          <w:tcPr>
            <w:tcW w:w="1083" w:type="dxa"/>
            <w:vAlign w:val="top"/>
          </w:tcPr>
          <w:p w14:paraId="56ACB9B3">
            <w:pPr>
              <w:pStyle w:val="6"/>
              <w:spacing w:before="211" w:line="228" w:lineRule="auto"/>
              <w:ind w:left="360"/>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2"/>
                <w:sz w:val="20"/>
                <w:szCs w:val="20"/>
              </w:rPr>
              <w:t xml:space="preserve"> </w:t>
            </w:r>
            <w:r>
              <w:rPr>
                <w:spacing w:val="-2"/>
                <w:sz w:val="20"/>
                <w:szCs w:val="20"/>
              </w:rPr>
              <w:t>层</w:t>
            </w:r>
          </w:p>
        </w:tc>
        <w:tc>
          <w:tcPr>
            <w:tcW w:w="3751" w:type="dxa"/>
            <w:vAlign w:val="top"/>
          </w:tcPr>
          <w:p w14:paraId="0647AE2D">
            <w:pPr>
              <w:pStyle w:val="6"/>
              <w:spacing w:before="76" w:line="250"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bottom w:val="nil"/>
            </w:tcBorders>
            <w:vAlign w:val="top"/>
          </w:tcPr>
          <w:p w14:paraId="7698B8DF">
            <w:pPr>
              <w:rPr>
                <w:rFonts w:ascii="Arial"/>
                <w:sz w:val="21"/>
              </w:rPr>
            </w:pPr>
          </w:p>
        </w:tc>
        <w:tc>
          <w:tcPr>
            <w:tcW w:w="195" w:type="dxa"/>
            <w:vMerge w:val="continue"/>
            <w:tcBorders>
              <w:top w:val="nil"/>
              <w:bottom w:val="nil"/>
              <w:right w:val="single" w:color="000000" w:sz="6" w:space="0"/>
            </w:tcBorders>
            <w:vAlign w:val="top"/>
          </w:tcPr>
          <w:p w14:paraId="3A2DE21B">
            <w:pPr>
              <w:rPr>
                <w:rFonts w:ascii="Arial"/>
                <w:sz w:val="21"/>
              </w:rPr>
            </w:pPr>
          </w:p>
        </w:tc>
      </w:tr>
      <w:tr w14:paraId="571E9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17B53146">
            <w:pPr>
              <w:rPr>
                <w:rFonts w:ascii="Arial"/>
                <w:sz w:val="21"/>
              </w:rPr>
            </w:pPr>
          </w:p>
        </w:tc>
        <w:tc>
          <w:tcPr>
            <w:tcW w:w="186" w:type="dxa"/>
            <w:vMerge w:val="continue"/>
            <w:tcBorders>
              <w:top w:val="nil"/>
              <w:bottom w:val="nil"/>
            </w:tcBorders>
            <w:vAlign w:val="top"/>
          </w:tcPr>
          <w:p w14:paraId="21A4B05C">
            <w:pPr>
              <w:rPr>
                <w:rFonts w:ascii="Arial"/>
                <w:sz w:val="21"/>
              </w:rPr>
            </w:pPr>
          </w:p>
        </w:tc>
        <w:tc>
          <w:tcPr>
            <w:tcW w:w="748" w:type="dxa"/>
            <w:vMerge w:val="continue"/>
            <w:tcBorders>
              <w:top w:val="nil"/>
              <w:bottom w:val="nil"/>
            </w:tcBorders>
            <w:vAlign w:val="top"/>
          </w:tcPr>
          <w:p w14:paraId="2CBF3E65">
            <w:pPr>
              <w:rPr>
                <w:rFonts w:ascii="Arial"/>
                <w:sz w:val="21"/>
              </w:rPr>
            </w:pPr>
          </w:p>
        </w:tc>
        <w:tc>
          <w:tcPr>
            <w:tcW w:w="874" w:type="dxa"/>
            <w:vMerge w:val="continue"/>
            <w:tcBorders>
              <w:top w:val="nil"/>
              <w:bottom w:val="nil"/>
            </w:tcBorders>
            <w:vAlign w:val="top"/>
          </w:tcPr>
          <w:p w14:paraId="5AC67965">
            <w:pPr>
              <w:rPr>
                <w:rFonts w:ascii="Arial"/>
                <w:sz w:val="21"/>
              </w:rPr>
            </w:pPr>
          </w:p>
        </w:tc>
        <w:tc>
          <w:tcPr>
            <w:tcW w:w="1083" w:type="dxa"/>
            <w:vAlign w:val="top"/>
          </w:tcPr>
          <w:p w14:paraId="6BB1709B">
            <w:pPr>
              <w:pStyle w:val="6"/>
              <w:spacing w:before="212" w:line="228" w:lineRule="auto"/>
              <w:ind w:left="355"/>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12"/>
                <w:sz w:val="20"/>
                <w:szCs w:val="20"/>
              </w:rPr>
              <w:t xml:space="preserve"> </w:t>
            </w:r>
            <w:r>
              <w:rPr>
                <w:spacing w:val="1"/>
                <w:sz w:val="20"/>
                <w:szCs w:val="20"/>
              </w:rPr>
              <w:t>层</w:t>
            </w:r>
          </w:p>
        </w:tc>
        <w:tc>
          <w:tcPr>
            <w:tcW w:w="3751" w:type="dxa"/>
            <w:vAlign w:val="top"/>
          </w:tcPr>
          <w:p w14:paraId="4A6E03A8">
            <w:pPr>
              <w:pStyle w:val="6"/>
              <w:spacing w:before="76" w:line="250"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bottom w:val="nil"/>
            </w:tcBorders>
            <w:vAlign w:val="top"/>
          </w:tcPr>
          <w:p w14:paraId="635EA16A">
            <w:pPr>
              <w:rPr>
                <w:rFonts w:ascii="Arial"/>
                <w:sz w:val="21"/>
              </w:rPr>
            </w:pPr>
          </w:p>
        </w:tc>
        <w:tc>
          <w:tcPr>
            <w:tcW w:w="195" w:type="dxa"/>
            <w:vMerge w:val="continue"/>
            <w:tcBorders>
              <w:top w:val="nil"/>
              <w:bottom w:val="nil"/>
              <w:right w:val="single" w:color="000000" w:sz="6" w:space="0"/>
            </w:tcBorders>
            <w:vAlign w:val="top"/>
          </w:tcPr>
          <w:p w14:paraId="3A174F7D">
            <w:pPr>
              <w:rPr>
                <w:rFonts w:ascii="Arial"/>
                <w:sz w:val="21"/>
              </w:rPr>
            </w:pPr>
          </w:p>
        </w:tc>
      </w:tr>
      <w:tr w14:paraId="07BE5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0B671C31">
            <w:pPr>
              <w:rPr>
                <w:rFonts w:ascii="Arial"/>
                <w:sz w:val="21"/>
              </w:rPr>
            </w:pPr>
          </w:p>
        </w:tc>
        <w:tc>
          <w:tcPr>
            <w:tcW w:w="186" w:type="dxa"/>
            <w:vMerge w:val="continue"/>
            <w:tcBorders>
              <w:top w:val="nil"/>
              <w:bottom w:val="nil"/>
            </w:tcBorders>
            <w:vAlign w:val="top"/>
          </w:tcPr>
          <w:p w14:paraId="771A8562">
            <w:pPr>
              <w:rPr>
                <w:rFonts w:ascii="Arial"/>
                <w:sz w:val="21"/>
              </w:rPr>
            </w:pPr>
          </w:p>
        </w:tc>
        <w:tc>
          <w:tcPr>
            <w:tcW w:w="748" w:type="dxa"/>
            <w:vMerge w:val="continue"/>
            <w:tcBorders>
              <w:top w:val="nil"/>
              <w:bottom w:val="nil"/>
            </w:tcBorders>
            <w:vAlign w:val="top"/>
          </w:tcPr>
          <w:p w14:paraId="1E41EC70">
            <w:pPr>
              <w:rPr>
                <w:rFonts w:ascii="Arial"/>
                <w:sz w:val="21"/>
              </w:rPr>
            </w:pPr>
          </w:p>
        </w:tc>
        <w:tc>
          <w:tcPr>
            <w:tcW w:w="874" w:type="dxa"/>
            <w:vMerge w:val="continue"/>
            <w:tcBorders>
              <w:top w:val="nil"/>
              <w:bottom w:val="nil"/>
            </w:tcBorders>
            <w:vAlign w:val="top"/>
          </w:tcPr>
          <w:p w14:paraId="611D33E3">
            <w:pPr>
              <w:rPr>
                <w:rFonts w:ascii="Arial"/>
                <w:sz w:val="21"/>
              </w:rPr>
            </w:pPr>
          </w:p>
        </w:tc>
        <w:tc>
          <w:tcPr>
            <w:tcW w:w="1083" w:type="dxa"/>
            <w:vAlign w:val="top"/>
          </w:tcPr>
          <w:p w14:paraId="251183CB">
            <w:pPr>
              <w:pStyle w:val="6"/>
              <w:spacing w:before="213" w:line="228" w:lineRule="auto"/>
              <w:ind w:left="361"/>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2"/>
                <w:sz w:val="20"/>
                <w:szCs w:val="20"/>
              </w:rPr>
              <w:t xml:space="preserve"> </w:t>
            </w:r>
            <w:r>
              <w:rPr>
                <w:spacing w:val="-3"/>
                <w:sz w:val="20"/>
                <w:szCs w:val="20"/>
              </w:rPr>
              <w:t>层</w:t>
            </w:r>
          </w:p>
        </w:tc>
        <w:tc>
          <w:tcPr>
            <w:tcW w:w="3751" w:type="dxa"/>
            <w:vAlign w:val="top"/>
          </w:tcPr>
          <w:p w14:paraId="00217202">
            <w:pPr>
              <w:pStyle w:val="6"/>
              <w:spacing w:before="76" w:line="250"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bottom w:val="nil"/>
            </w:tcBorders>
            <w:vAlign w:val="top"/>
          </w:tcPr>
          <w:p w14:paraId="64FC3ED1">
            <w:pPr>
              <w:rPr>
                <w:rFonts w:ascii="Arial"/>
                <w:sz w:val="21"/>
              </w:rPr>
            </w:pPr>
          </w:p>
        </w:tc>
        <w:tc>
          <w:tcPr>
            <w:tcW w:w="195" w:type="dxa"/>
            <w:vMerge w:val="continue"/>
            <w:tcBorders>
              <w:top w:val="nil"/>
              <w:bottom w:val="nil"/>
              <w:right w:val="single" w:color="000000" w:sz="6" w:space="0"/>
            </w:tcBorders>
            <w:vAlign w:val="top"/>
          </w:tcPr>
          <w:p w14:paraId="63950B51">
            <w:pPr>
              <w:rPr>
                <w:rFonts w:ascii="Arial"/>
                <w:sz w:val="21"/>
              </w:rPr>
            </w:pPr>
          </w:p>
        </w:tc>
      </w:tr>
      <w:tr w14:paraId="45B0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66149924">
            <w:pPr>
              <w:rPr>
                <w:rFonts w:ascii="Arial"/>
                <w:sz w:val="21"/>
              </w:rPr>
            </w:pPr>
          </w:p>
        </w:tc>
        <w:tc>
          <w:tcPr>
            <w:tcW w:w="186" w:type="dxa"/>
            <w:vMerge w:val="continue"/>
            <w:tcBorders>
              <w:top w:val="nil"/>
              <w:bottom w:val="nil"/>
            </w:tcBorders>
            <w:vAlign w:val="top"/>
          </w:tcPr>
          <w:p w14:paraId="5C7A4985">
            <w:pPr>
              <w:rPr>
                <w:rFonts w:ascii="Arial"/>
                <w:sz w:val="21"/>
              </w:rPr>
            </w:pPr>
          </w:p>
        </w:tc>
        <w:tc>
          <w:tcPr>
            <w:tcW w:w="748" w:type="dxa"/>
            <w:vMerge w:val="continue"/>
            <w:tcBorders>
              <w:top w:val="nil"/>
              <w:bottom w:val="nil"/>
            </w:tcBorders>
            <w:vAlign w:val="top"/>
          </w:tcPr>
          <w:p w14:paraId="0CE1BB06">
            <w:pPr>
              <w:rPr>
                <w:rFonts w:ascii="Arial"/>
                <w:sz w:val="21"/>
              </w:rPr>
            </w:pPr>
          </w:p>
        </w:tc>
        <w:tc>
          <w:tcPr>
            <w:tcW w:w="874" w:type="dxa"/>
            <w:vMerge w:val="continue"/>
            <w:tcBorders>
              <w:top w:val="nil"/>
              <w:bottom w:val="nil"/>
            </w:tcBorders>
            <w:vAlign w:val="top"/>
          </w:tcPr>
          <w:p w14:paraId="1492609D">
            <w:pPr>
              <w:rPr>
                <w:rFonts w:ascii="Arial"/>
                <w:sz w:val="21"/>
              </w:rPr>
            </w:pPr>
          </w:p>
        </w:tc>
        <w:tc>
          <w:tcPr>
            <w:tcW w:w="1083" w:type="dxa"/>
            <w:vAlign w:val="top"/>
          </w:tcPr>
          <w:p w14:paraId="0773D68E">
            <w:pPr>
              <w:pStyle w:val="6"/>
              <w:spacing w:before="213" w:line="228" w:lineRule="auto"/>
              <w:ind w:left="360"/>
              <w:rPr>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2"/>
                <w:sz w:val="20"/>
                <w:szCs w:val="20"/>
              </w:rPr>
              <w:t xml:space="preserve"> </w:t>
            </w:r>
            <w:r>
              <w:rPr>
                <w:spacing w:val="-2"/>
                <w:sz w:val="20"/>
                <w:szCs w:val="20"/>
              </w:rPr>
              <w:t>层</w:t>
            </w:r>
          </w:p>
        </w:tc>
        <w:tc>
          <w:tcPr>
            <w:tcW w:w="3751" w:type="dxa"/>
            <w:vAlign w:val="top"/>
          </w:tcPr>
          <w:p w14:paraId="381E1CEC">
            <w:pPr>
              <w:pStyle w:val="6"/>
              <w:spacing w:before="76" w:line="250"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bottom w:val="nil"/>
            </w:tcBorders>
            <w:vAlign w:val="top"/>
          </w:tcPr>
          <w:p w14:paraId="6617236B">
            <w:pPr>
              <w:rPr>
                <w:rFonts w:ascii="Arial"/>
                <w:sz w:val="21"/>
              </w:rPr>
            </w:pPr>
          </w:p>
        </w:tc>
        <w:tc>
          <w:tcPr>
            <w:tcW w:w="195" w:type="dxa"/>
            <w:vMerge w:val="continue"/>
            <w:tcBorders>
              <w:top w:val="nil"/>
              <w:bottom w:val="nil"/>
              <w:right w:val="single" w:color="000000" w:sz="6" w:space="0"/>
            </w:tcBorders>
            <w:vAlign w:val="top"/>
          </w:tcPr>
          <w:p w14:paraId="798ED245">
            <w:pPr>
              <w:rPr>
                <w:rFonts w:ascii="Arial"/>
                <w:sz w:val="21"/>
              </w:rPr>
            </w:pPr>
          </w:p>
        </w:tc>
      </w:tr>
      <w:tr w14:paraId="1212B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34A3805C">
            <w:pPr>
              <w:rPr>
                <w:rFonts w:ascii="Arial"/>
                <w:sz w:val="21"/>
              </w:rPr>
            </w:pPr>
          </w:p>
        </w:tc>
        <w:tc>
          <w:tcPr>
            <w:tcW w:w="186" w:type="dxa"/>
            <w:vMerge w:val="continue"/>
            <w:tcBorders>
              <w:top w:val="nil"/>
              <w:bottom w:val="nil"/>
            </w:tcBorders>
            <w:vAlign w:val="top"/>
          </w:tcPr>
          <w:p w14:paraId="615851A0">
            <w:pPr>
              <w:rPr>
                <w:rFonts w:ascii="Arial"/>
                <w:sz w:val="21"/>
              </w:rPr>
            </w:pPr>
          </w:p>
        </w:tc>
        <w:tc>
          <w:tcPr>
            <w:tcW w:w="748" w:type="dxa"/>
            <w:vMerge w:val="continue"/>
            <w:tcBorders>
              <w:top w:val="nil"/>
              <w:bottom w:val="nil"/>
            </w:tcBorders>
            <w:vAlign w:val="top"/>
          </w:tcPr>
          <w:p w14:paraId="625CB168">
            <w:pPr>
              <w:rPr>
                <w:rFonts w:ascii="Arial"/>
                <w:sz w:val="21"/>
              </w:rPr>
            </w:pPr>
          </w:p>
        </w:tc>
        <w:tc>
          <w:tcPr>
            <w:tcW w:w="874" w:type="dxa"/>
            <w:vMerge w:val="continue"/>
            <w:tcBorders>
              <w:top w:val="nil"/>
              <w:bottom w:val="nil"/>
            </w:tcBorders>
            <w:vAlign w:val="top"/>
          </w:tcPr>
          <w:p w14:paraId="4C4A1B7F">
            <w:pPr>
              <w:rPr>
                <w:rFonts w:ascii="Arial"/>
                <w:sz w:val="21"/>
              </w:rPr>
            </w:pPr>
          </w:p>
        </w:tc>
        <w:tc>
          <w:tcPr>
            <w:tcW w:w="1083" w:type="dxa"/>
            <w:vAlign w:val="top"/>
          </w:tcPr>
          <w:p w14:paraId="4A013C86">
            <w:pPr>
              <w:pStyle w:val="6"/>
              <w:spacing w:before="214" w:line="228" w:lineRule="auto"/>
              <w:ind w:left="359"/>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2"/>
                <w:w w:val="101"/>
                <w:sz w:val="20"/>
                <w:szCs w:val="20"/>
              </w:rPr>
              <w:t xml:space="preserve"> </w:t>
            </w:r>
            <w:r>
              <w:rPr>
                <w:spacing w:val="-2"/>
                <w:sz w:val="20"/>
                <w:szCs w:val="20"/>
              </w:rPr>
              <w:t>层</w:t>
            </w:r>
          </w:p>
        </w:tc>
        <w:tc>
          <w:tcPr>
            <w:tcW w:w="3751" w:type="dxa"/>
            <w:vAlign w:val="top"/>
          </w:tcPr>
          <w:p w14:paraId="6C15C1A4">
            <w:pPr>
              <w:pStyle w:val="6"/>
              <w:spacing w:before="80" w:line="248"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bottom w:val="nil"/>
            </w:tcBorders>
            <w:vAlign w:val="top"/>
          </w:tcPr>
          <w:p w14:paraId="3A4496DA">
            <w:pPr>
              <w:rPr>
                <w:rFonts w:ascii="Arial"/>
                <w:sz w:val="21"/>
              </w:rPr>
            </w:pPr>
          </w:p>
        </w:tc>
        <w:tc>
          <w:tcPr>
            <w:tcW w:w="195" w:type="dxa"/>
            <w:vMerge w:val="continue"/>
            <w:tcBorders>
              <w:top w:val="nil"/>
              <w:bottom w:val="nil"/>
              <w:right w:val="single" w:color="000000" w:sz="6" w:space="0"/>
            </w:tcBorders>
            <w:vAlign w:val="top"/>
          </w:tcPr>
          <w:p w14:paraId="08C0248A">
            <w:pPr>
              <w:rPr>
                <w:rFonts w:ascii="Arial"/>
                <w:sz w:val="21"/>
              </w:rPr>
            </w:pPr>
          </w:p>
        </w:tc>
      </w:tr>
      <w:tr w14:paraId="04A67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696B2E95">
            <w:pPr>
              <w:rPr>
                <w:rFonts w:ascii="Arial"/>
                <w:sz w:val="21"/>
              </w:rPr>
            </w:pPr>
          </w:p>
        </w:tc>
        <w:tc>
          <w:tcPr>
            <w:tcW w:w="186" w:type="dxa"/>
            <w:vMerge w:val="continue"/>
            <w:tcBorders>
              <w:top w:val="nil"/>
              <w:bottom w:val="nil"/>
            </w:tcBorders>
            <w:vAlign w:val="top"/>
          </w:tcPr>
          <w:p w14:paraId="73BE1939">
            <w:pPr>
              <w:rPr>
                <w:rFonts w:ascii="Arial"/>
                <w:sz w:val="21"/>
              </w:rPr>
            </w:pPr>
          </w:p>
        </w:tc>
        <w:tc>
          <w:tcPr>
            <w:tcW w:w="748" w:type="dxa"/>
            <w:vMerge w:val="continue"/>
            <w:tcBorders>
              <w:top w:val="nil"/>
              <w:bottom w:val="nil"/>
            </w:tcBorders>
            <w:vAlign w:val="top"/>
          </w:tcPr>
          <w:p w14:paraId="037799A2">
            <w:pPr>
              <w:rPr>
                <w:rFonts w:ascii="Arial"/>
                <w:sz w:val="21"/>
              </w:rPr>
            </w:pPr>
          </w:p>
        </w:tc>
        <w:tc>
          <w:tcPr>
            <w:tcW w:w="874" w:type="dxa"/>
            <w:vMerge w:val="continue"/>
            <w:tcBorders>
              <w:top w:val="nil"/>
              <w:bottom w:val="nil"/>
            </w:tcBorders>
            <w:vAlign w:val="top"/>
          </w:tcPr>
          <w:p w14:paraId="1933BEC4">
            <w:pPr>
              <w:rPr>
                <w:rFonts w:ascii="Arial"/>
                <w:sz w:val="21"/>
              </w:rPr>
            </w:pPr>
          </w:p>
        </w:tc>
        <w:tc>
          <w:tcPr>
            <w:tcW w:w="1083" w:type="dxa"/>
            <w:vAlign w:val="top"/>
          </w:tcPr>
          <w:p w14:paraId="403187DB">
            <w:pPr>
              <w:pStyle w:val="6"/>
              <w:spacing w:before="214" w:line="228" w:lineRule="auto"/>
              <w:ind w:left="364"/>
              <w:rPr>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12"/>
                <w:sz w:val="20"/>
                <w:szCs w:val="20"/>
              </w:rPr>
              <w:t xml:space="preserve"> </w:t>
            </w:r>
            <w:r>
              <w:rPr>
                <w:spacing w:val="-4"/>
                <w:sz w:val="20"/>
                <w:szCs w:val="20"/>
              </w:rPr>
              <w:t>层</w:t>
            </w:r>
          </w:p>
        </w:tc>
        <w:tc>
          <w:tcPr>
            <w:tcW w:w="3751" w:type="dxa"/>
            <w:vAlign w:val="top"/>
          </w:tcPr>
          <w:p w14:paraId="053B9535">
            <w:pPr>
              <w:pStyle w:val="6"/>
              <w:spacing w:before="80" w:line="248"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bottom w:val="nil"/>
            </w:tcBorders>
            <w:vAlign w:val="top"/>
          </w:tcPr>
          <w:p w14:paraId="7B77B180">
            <w:pPr>
              <w:rPr>
                <w:rFonts w:ascii="Arial"/>
                <w:sz w:val="21"/>
              </w:rPr>
            </w:pPr>
          </w:p>
        </w:tc>
        <w:tc>
          <w:tcPr>
            <w:tcW w:w="195" w:type="dxa"/>
            <w:vMerge w:val="continue"/>
            <w:tcBorders>
              <w:top w:val="nil"/>
              <w:bottom w:val="nil"/>
              <w:right w:val="single" w:color="000000" w:sz="6" w:space="0"/>
            </w:tcBorders>
            <w:vAlign w:val="top"/>
          </w:tcPr>
          <w:p w14:paraId="2575FF04">
            <w:pPr>
              <w:rPr>
                <w:rFonts w:ascii="Arial"/>
                <w:sz w:val="21"/>
              </w:rPr>
            </w:pPr>
          </w:p>
        </w:tc>
      </w:tr>
      <w:tr w14:paraId="7A010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4A70F28B">
            <w:pPr>
              <w:rPr>
                <w:rFonts w:ascii="Arial"/>
                <w:sz w:val="21"/>
              </w:rPr>
            </w:pPr>
          </w:p>
        </w:tc>
        <w:tc>
          <w:tcPr>
            <w:tcW w:w="186" w:type="dxa"/>
            <w:vMerge w:val="continue"/>
            <w:tcBorders>
              <w:top w:val="nil"/>
              <w:bottom w:val="nil"/>
            </w:tcBorders>
            <w:vAlign w:val="top"/>
          </w:tcPr>
          <w:p w14:paraId="1F798283">
            <w:pPr>
              <w:rPr>
                <w:rFonts w:ascii="Arial"/>
                <w:sz w:val="21"/>
              </w:rPr>
            </w:pPr>
          </w:p>
        </w:tc>
        <w:tc>
          <w:tcPr>
            <w:tcW w:w="748" w:type="dxa"/>
            <w:vMerge w:val="continue"/>
            <w:tcBorders>
              <w:top w:val="nil"/>
            </w:tcBorders>
            <w:vAlign w:val="top"/>
          </w:tcPr>
          <w:p w14:paraId="2881340F">
            <w:pPr>
              <w:rPr>
                <w:rFonts w:ascii="Arial"/>
                <w:sz w:val="21"/>
              </w:rPr>
            </w:pPr>
          </w:p>
        </w:tc>
        <w:tc>
          <w:tcPr>
            <w:tcW w:w="874" w:type="dxa"/>
            <w:vMerge w:val="continue"/>
            <w:tcBorders>
              <w:top w:val="nil"/>
            </w:tcBorders>
            <w:vAlign w:val="top"/>
          </w:tcPr>
          <w:p w14:paraId="0A6C2549">
            <w:pPr>
              <w:rPr>
                <w:rFonts w:ascii="Arial"/>
                <w:sz w:val="21"/>
              </w:rPr>
            </w:pPr>
          </w:p>
        </w:tc>
        <w:tc>
          <w:tcPr>
            <w:tcW w:w="1083" w:type="dxa"/>
            <w:vAlign w:val="top"/>
          </w:tcPr>
          <w:p w14:paraId="4B51774D">
            <w:pPr>
              <w:pStyle w:val="6"/>
              <w:spacing w:before="217" w:line="228" w:lineRule="auto"/>
              <w:ind w:left="360"/>
              <w:rPr>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12"/>
                <w:sz w:val="20"/>
                <w:szCs w:val="20"/>
              </w:rPr>
              <w:t xml:space="preserve"> </w:t>
            </w:r>
            <w:r>
              <w:rPr>
                <w:spacing w:val="-2"/>
                <w:sz w:val="20"/>
                <w:szCs w:val="20"/>
              </w:rPr>
              <w:t>层</w:t>
            </w:r>
          </w:p>
        </w:tc>
        <w:tc>
          <w:tcPr>
            <w:tcW w:w="3751" w:type="dxa"/>
            <w:vAlign w:val="top"/>
          </w:tcPr>
          <w:p w14:paraId="6D28E103">
            <w:pPr>
              <w:pStyle w:val="6"/>
              <w:spacing w:before="80" w:line="248" w:lineRule="auto"/>
              <w:ind w:left="725" w:right="124" w:hanging="613"/>
              <w:rPr>
                <w:sz w:val="20"/>
                <w:szCs w:val="20"/>
              </w:rPr>
            </w:pPr>
            <w:r>
              <w:rPr>
                <w:spacing w:val="2"/>
                <w:sz w:val="20"/>
                <w:szCs w:val="20"/>
              </w:rPr>
              <w:t>新建，建筑面积</w:t>
            </w:r>
            <w:r>
              <w:rPr>
                <w:spacing w:val="-12"/>
                <w:sz w:val="20"/>
                <w:szCs w:val="20"/>
              </w:rPr>
              <w:t xml:space="preserve"> </w:t>
            </w:r>
            <w:r>
              <w:rPr>
                <w:rFonts w:ascii="Times New Roman" w:hAnsi="Times New Roman" w:eastAsia="Times New Roman" w:cs="Times New Roman"/>
                <w:spacing w:val="2"/>
                <w:sz w:val="20"/>
                <w:szCs w:val="20"/>
              </w:rPr>
              <w:t>1145.6</w:t>
            </w:r>
            <w:r>
              <w:rPr>
                <w:rFonts w:ascii="Times New Roman" w:hAnsi="Times New Roman" w:eastAsia="Times New Roman" w:cs="Times New Roman"/>
                <w:spacing w:val="21"/>
                <w:sz w:val="20"/>
                <w:szCs w:val="20"/>
              </w:rPr>
              <w:t xml:space="preserve"> </w:t>
            </w:r>
            <w:r>
              <w:rPr>
                <w:spacing w:val="2"/>
                <w:sz w:val="20"/>
                <w:szCs w:val="20"/>
              </w:rPr>
              <w:t>㎡</w:t>
            </w:r>
            <w:r>
              <w:rPr>
                <w:spacing w:val="-58"/>
                <w:sz w:val="20"/>
                <w:szCs w:val="20"/>
              </w:rPr>
              <w:t xml:space="preserve"> </w:t>
            </w:r>
            <w:r>
              <w:rPr>
                <w:spacing w:val="2"/>
                <w:sz w:val="20"/>
                <w:szCs w:val="20"/>
              </w:rPr>
              <w:t>，层高约</w:t>
            </w:r>
            <w:r>
              <w:rPr>
                <w:spacing w:val="-36"/>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z w:val="20"/>
                <w:szCs w:val="20"/>
              </w:rPr>
              <w:t xml:space="preserve"> </w:t>
            </w:r>
            <w:r>
              <w:rPr>
                <w:spacing w:val="7"/>
                <w:sz w:val="20"/>
                <w:szCs w:val="20"/>
              </w:rPr>
              <w:t>米，共设置</w:t>
            </w:r>
            <w:r>
              <w:rPr>
                <w:spacing w:val="-35"/>
                <w:sz w:val="20"/>
                <w:szCs w:val="20"/>
              </w:rPr>
              <w:t xml:space="preserve"> </w:t>
            </w:r>
            <w:r>
              <w:rPr>
                <w:rFonts w:ascii="Times New Roman" w:hAnsi="Times New Roman" w:eastAsia="Times New Roman" w:cs="Times New Roman"/>
                <w:spacing w:val="7"/>
                <w:sz w:val="20"/>
                <w:szCs w:val="20"/>
              </w:rPr>
              <w:t xml:space="preserve">9 </w:t>
            </w:r>
            <w:r>
              <w:rPr>
                <w:spacing w:val="7"/>
                <w:sz w:val="20"/>
                <w:szCs w:val="20"/>
              </w:rPr>
              <w:t>个操作车间</w:t>
            </w:r>
          </w:p>
        </w:tc>
        <w:tc>
          <w:tcPr>
            <w:tcW w:w="1373" w:type="dxa"/>
            <w:vMerge w:val="continue"/>
            <w:tcBorders>
              <w:top w:val="nil"/>
            </w:tcBorders>
            <w:vAlign w:val="top"/>
          </w:tcPr>
          <w:p w14:paraId="1E584047">
            <w:pPr>
              <w:rPr>
                <w:rFonts w:ascii="Arial"/>
                <w:sz w:val="21"/>
              </w:rPr>
            </w:pPr>
          </w:p>
        </w:tc>
        <w:tc>
          <w:tcPr>
            <w:tcW w:w="195" w:type="dxa"/>
            <w:vMerge w:val="continue"/>
            <w:tcBorders>
              <w:top w:val="nil"/>
              <w:bottom w:val="nil"/>
              <w:right w:val="single" w:color="000000" w:sz="6" w:space="0"/>
            </w:tcBorders>
            <w:vAlign w:val="top"/>
          </w:tcPr>
          <w:p w14:paraId="75DBBCEF">
            <w:pPr>
              <w:rPr>
                <w:rFonts w:ascii="Arial"/>
                <w:sz w:val="21"/>
              </w:rPr>
            </w:pPr>
          </w:p>
        </w:tc>
      </w:tr>
      <w:tr w14:paraId="3878D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778" w:type="dxa"/>
            <w:vMerge w:val="continue"/>
            <w:tcBorders>
              <w:top w:val="nil"/>
              <w:left w:val="single" w:color="000000" w:sz="6" w:space="0"/>
              <w:bottom w:val="nil"/>
            </w:tcBorders>
            <w:vAlign w:val="top"/>
          </w:tcPr>
          <w:p w14:paraId="11E74821">
            <w:pPr>
              <w:rPr>
                <w:rFonts w:ascii="Arial"/>
                <w:sz w:val="21"/>
              </w:rPr>
            </w:pPr>
          </w:p>
        </w:tc>
        <w:tc>
          <w:tcPr>
            <w:tcW w:w="186" w:type="dxa"/>
            <w:vMerge w:val="continue"/>
            <w:tcBorders>
              <w:top w:val="nil"/>
              <w:bottom w:val="nil"/>
            </w:tcBorders>
            <w:vAlign w:val="top"/>
          </w:tcPr>
          <w:p w14:paraId="2F2135B7">
            <w:pPr>
              <w:rPr>
                <w:rFonts w:ascii="Arial"/>
                <w:sz w:val="21"/>
              </w:rPr>
            </w:pPr>
          </w:p>
        </w:tc>
        <w:tc>
          <w:tcPr>
            <w:tcW w:w="748" w:type="dxa"/>
            <w:vMerge w:val="restart"/>
            <w:tcBorders>
              <w:bottom w:val="nil"/>
            </w:tcBorders>
            <w:vAlign w:val="top"/>
          </w:tcPr>
          <w:p w14:paraId="06CE7F85">
            <w:pPr>
              <w:spacing w:line="256" w:lineRule="auto"/>
              <w:rPr>
                <w:rFonts w:ascii="Arial"/>
                <w:sz w:val="21"/>
              </w:rPr>
            </w:pPr>
          </w:p>
          <w:p w14:paraId="326A90FC">
            <w:pPr>
              <w:spacing w:line="257" w:lineRule="auto"/>
              <w:rPr>
                <w:rFonts w:ascii="Arial"/>
                <w:sz w:val="21"/>
              </w:rPr>
            </w:pPr>
          </w:p>
          <w:p w14:paraId="1B540CD3">
            <w:pPr>
              <w:pStyle w:val="6"/>
              <w:spacing w:before="65" w:line="228" w:lineRule="auto"/>
              <w:ind w:left="164"/>
              <w:rPr>
                <w:sz w:val="20"/>
                <w:szCs w:val="20"/>
              </w:rPr>
            </w:pPr>
            <w:r>
              <w:rPr>
                <w:spacing w:val="3"/>
                <w:sz w:val="20"/>
                <w:szCs w:val="20"/>
              </w:rPr>
              <w:t>辅助</w:t>
            </w:r>
          </w:p>
          <w:p w14:paraId="5ED95F89">
            <w:pPr>
              <w:pStyle w:val="6"/>
              <w:spacing w:before="24" w:line="228" w:lineRule="auto"/>
              <w:ind w:left="165"/>
              <w:rPr>
                <w:sz w:val="20"/>
                <w:szCs w:val="20"/>
              </w:rPr>
            </w:pPr>
            <w:r>
              <w:rPr>
                <w:spacing w:val="3"/>
                <w:sz w:val="20"/>
                <w:szCs w:val="20"/>
              </w:rPr>
              <w:t>工程</w:t>
            </w:r>
          </w:p>
        </w:tc>
        <w:tc>
          <w:tcPr>
            <w:tcW w:w="1957" w:type="dxa"/>
            <w:gridSpan w:val="2"/>
            <w:vAlign w:val="top"/>
          </w:tcPr>
          <w:p w14:paraId="44E799F4">
            <w:pPr>
              <w:spacing w:line="295" w:lineRule="auto"/>
              <w:rPr>
                <w:rFonts w:ascii="Arial"/>
                <w:sz w:val="21"/>
              </w:rPr>
            </w:pPr>
          </w:p>
          <w:p w14:paraId="436C41B6">
            <w:pPr>
              <w:pStyle w:val="6"/>
              <w:spacing w:before="65" w:line="228" w:lineRule="auto"/>
              <w:ind w:left="457"/>
              <w:rPr>
                <w:sz w:val="20"/>
                <w:szCs w:val="20"/>
              </w:rPr>
            </w:pPr>
            <w:r>
              <w:rPr>
                <w:spacing w:val="7"/>
                <w:sz w:val="20"/>
                <w:szCs w:val="20"/>
              </w:rPr>
              <w:t>化学品仓库</w:t>
            </w:r>
          </w:p>
        </w:tc>
        <w:tc>
          <w:tcPr>
            <w:tcW w:w="3751" w:type="dxa"/>
            <w:vAlign w:val="top"/>
          </w:tcPr>
          <w:p w14:paraId="5C077746">
            <w:pPr>
              <w:pStyle w:val="6"/>
              <w:spacing w:before="88" w:line="228" w:lineRule="auto"/>
              <w:ind w:left="112"/>
              <w:rPr>
                <w:sz w:val="20"/>
                <w:szCs w:val="20"/>
              </w:rPr>
            </w:pPr>
            <w:r>
              <w:rPr>
                <w:spacing w:val="-1"/>
                <w:sz w:val="20"/>
                <w:szCs w:val="20"/>
              </w:rPr>
              <w:t>位于</w:t>
            </w:r>
            <w:r>
              <w:rPr>
                <w:spacing w:val="-29"/>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7"/>
                <w:sz w:val="20"/>
                <w:szCs w:val="20"/>
              </w:rPr>
              <w:t xml:space="preserve"> </w:t>
            </w:r>
            <w:r>
              <w:rPr>
                <w:spacing w:val="-1"/>
                <w:sz w:val="20"/>
                <w:szCs w:val="20"/>
              </w:rPr>
              <w:t>号楼</w:t>
            </w:r>
            <w:r>
              <w:rPr>
                <w:spacing w:val="-23"/>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层，建筑面积</w:t>
            </w:r>
            <w:r>
              <w:rPr>
                <w:spacing w:val="-21"/>
                <w:sz w:val="20"/>
                <w:szCs w:val="20"/>
              </w:rPr>
              <w:t xml:space="preserve"> </w:t>
            </w:r>
            <w:r>
              <w:rPr>
                <w:rFonts w:ascii="Times New Roman" w:hAnsi="Times New Roman" w:eastAsia="Times New Roman" w:cs="Times New Roman"/>
                <w:spacing w:val="-1"/>
                <w:sz w:val="20"/>
                <w:szCs w:val="20"/>
              </w:rPr>
              <w:t>108</w:t>
            </w:r>
            <w:r>
              <w:rPr>
                <w:rFonts w:ascii="Times New Roman" w:hAnsi="Times New Roman" w:eastAsia="Times New Roman" w:cs="Times New Roman"/>
                <w:spacing w:val="19"/>
                <w:sz w:val="20"/>
                <w:szCs w:val="20"/>
              </w:rPr>
              <w:t xml:space="preserve"> </w:t>
            </w:r>
            <w:r>
              <w:rPr>
                <w:spacing w:val="-1"/>
                <w:sz w:val="20"/>
                <w:szCs w:val="20"/>
              </w:rPr>
              <w:t>㎡</w:t>
            </w:r>
            <w:r>
              <w:rPr>
                <w:spacing w:val="-58"/>
                <w:sz w:val="20"/>
                <w:szCs w:val="20"/>
              </w:rPr>
              <w:t xml:space="preserve"> </w:t>
            </w:r>
            <w:r>
              <w:rPr>
                <w:spacing w:val="-1"/>
                <w:sz w:val="20"/>
                <w:szCs w:val="20"/>
              </w:rPr>
              <w:t>，暂</w:t>
            </w:r>
          </w:p>
          <w:p w14:paraId="5FAC315E">
            <w:pPr>
              <w:pStyle w:val="6"/>
              <w:spacing w:before="26" w:line="228" w:lineRule="auto"/>
              <w:ind w:left="111"/>
              <w:rPr>
                <w:sz w:val="20"/>
                <w:szCs w:val="20"/>
              </w:rPr>
            </w:pPr>
            <w:r>
              <w:rPr>
                <w:spacing w:val="7"/>
                <w:sz w:val="20"/>
                <w:szCs w:val="20"/>
              </w:rPr>
              <w:t>存项目使用的化学品。建成后，原项目</w:t>
            </w:r>
          </w:p>
          <w:p w14:paraId="16B03414">
            <w:pPr>
              <w:pStyle w:val="6"/>
              <w:spacing w:before="24" w:line="228" w:lineRule="auto"/>
              <w:ind w:left="954"/>
              <w:rPr>
                <w:sz w:val="20"/>
                <w:szCs w:val="20"/>
              </w:rPr>
            </w:pPr>
            <w:r>
              <w:rPr>
                <w:spacing w:val="5"/>
                <w:sz w:val="20"/>
                <w:szCs w:val="20"/>
              </w:rPr>
              <w:t>的化学品仓库拆除。</w:t>
            </w:r>
          </w:p>
        </w:tc>
        <w:tc>
          <w:tcPr>
            <w:tcW w:w="1373" w:type="dxa"/>
            <w:vAlign w:val="top"/>
          </w:tcPr>
          <w:p w14:paraId="4BF091A9">
            <w:pPr>
              <w:pStyle w:val="6"/>
              <w:spacing w:before="226" w:line="228" w:lineRule="auto"/>
              <w:ind w:left="119"/>
              <w:rPr>
                <w:sz w:val="20"/>
                <w:szCs w:val="20"/>
              </w:rPr>
            </w:pPr>
            <w:r>
              <w:rPr>
                <w:spacing w:val="-6"/>
                <w:sz w:val="20"/>
                <w:szCs w:val="20"/>
              </w:rPr>
              <w:t>地面防渗，围</w:t>
            </w:r>
          </w:p>
          <w:p w14:paraId="3A52CA39">
            <w:pPr>
              <w:pStyle w:val="6"/>
              <w:spacing w:before="24" w:line="233" w:lineRule="auto"/>
              <w:ind w:left="593"/>
              <w:rPr>
                <w:sz w:val="20"/>
                <w:szCs w:val="20"/>
              </w:rPr>
            </w:pPr>
            <w:r>
              <w:rPr>
                <w:sz w:val="20"/>
                <w:szCs w:val="20"/>
              </w:rPr>
              <w:t>堰</w:t>
            </w:r>
          </w:p>
        </w:tc>
        <w:tc>
          <w:tcPr>
            <w:tcW w:w="195" w:type="dxa"/>
            <w:vMerge w:val="continue"/>
            <w:tcBorders>
              <w:top w:val="nil"/>
              <w:bottom w:val="nil"/>
              <w:right w:val="single" w:color="000000" w:sz="6" w:space="0"/>
            </w:tcBorders>
            <w:vAlign w:val="top"/>
          </w:tcPr>
          <w:p w14:paraId="432D8282">
            <w:pPr>
              <w:rPr>
                <w:rFonts w:ascii="Arial"/>
                <w:sz w:val="21"/>
              </w:rPr>
            </w:pPr>
          </w:p>
        </w:tc>
      </w:tr>
      <w:tr w14:paraId="417C9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78" w:type="dxa"/>
            <w:vMerge w:val="continue"/>
            <w:tcBorders>
              <w:top w:val="nil"/>
              <w:left w:val="single" w:color="000000" w:sz="6" w:space="0"/>
              <w:bottom w:val="nil"/>
            </w:tcBorders>
            <w:vAlign w:val="top"/>
          </w:tcPr>
          <w:p w14:paraId="02219720">
            <w:pPr>
              <w:rPr>
                <w:rFonts w:ascii="Arial"/>
                <w:sz w:val="21"/>
              </w:rPr>
            </w:pPr>
          </w:p>
        </w:tc>
        <w:tc>
          <w:tcPr>
            <w:tcW w:w="186" w:type="dxa"/>
            <w:vMerge w:val="continue"/>
            <w:tcBorders>
              <w:top w:val="nil"/>
              <w:bottom w:val="nil"/>
            </w:tcBorders>
            <w:vAlign w:val="top"/>
          </w:tcPr>
          <w:p w14:paraId="2FDA8DC7">
            <w:pPr>
              <w:rPr>
                <w:rFonts w:ascii="Arial"/>
                <w:sz w:val="21"/>
              </w:rPr>
            </w:pPr>
          </w:p>
        </w:tc>
        <w:tc>
          <w:tcPr>
            <w:tcW w:w="748" w:type="dxa"/>
            <w:vMerge w:val="continue"/>
            <w:tcBorders>
              <w:top w:val="nil"/>
            </w:tcBorders>
            <w:vAlign w:val="top"/>
          </w:tcPr>
          <w:p w14:paraId="7E56BC91">
            <w:pPr>
              <w:rPr>
                <w:rFonts w:ascii="Arial"/>
                <w:sz w:val="21"/>
              </w:rPr>
            </w:pPr>
          </w:p>
        </w:tc>
        <w:tc>
          <w:tcPr>
            <w:tcW w:w="1957" w:type="dxa"/>
            <w:gridSpan w:val="2"/>
            <w:vAlign w:val="top"/>
          </w:tcPr>
          <w:p w14:paraId="7DB8F11D">
            <w:pPr>
              <w:pStyle w:val="6"/>
              <w:spacing w:before="258" w:line="228" w:lineRule="auto"/>
              <w:ind w:left="456"/>
              <w:rPr>
                <w:sz w:val="20"/>
                <w:szCs w:val="20"/>
              </w:rPr>
            </w:pPr>
            <w:r>
              <w:rPr>
                <w:spacing w:val="8"/>
                <w:sz w:val="20"/>
                <w:szCs w:val="20"/>
              </w:rPr>
              <w:t>事故应急池</w:t>
            </w:r>
          </w:p>
        </w:tc>
        <w:tc>
          <w:tcPr>
            <w:tcW w:w="3751" w:type="dxa"/>
            <w:vAlign w:val="top"/>
          </w:tcPr>
          <w:p w14:paraId="5634EB61">
            <w:pPr>
              <w:pStyle w:val="6"/>
              <w:spacing w:before="121" w:line="252" w:lineRule="auto"/>
              <w:ind w:left="170" w:right="47" w:hanging="58"/>
              <w:rPr>
                <w:sz w:val="20"/>
                <w:szCs w:val="20"/>
              </w:rPr>
            </w:pPr>
            <w:r>
              <w:rPr>
                <w:spacing w:val="-3"/>
                <w:sz w:val="20"/>
                <w:szCs w:val="20"/>
              </w:rPr>
              <w:t>位于</w:t>
            </w:r>
            <w:r>
              <w:rPr>
                <w:spacing w:val="-39"/>
                <w:sz w:val="20"/>
                <w:szCs w:val="20"/>
              </w:rPr>
              <w:t xml:space="preserve"> </w:t>
            </w:r>
            <w:r>
              <w:rPr>
                <w:rFonts w:ascii="Times New Roman" w:hAnsi="Times New Roman" w:eastAsia="Times New Roman" w:cs="Times New Roman"/>
                <w:spacing w:val="-3"/>
                <w:sz w:val="20"/>
                <w:szCs w:val="20"/>
              </w:rPr>
              <w:t xml:space="preserve">4 </w:t>
            </w:r>
            <w:r>
              <w:rPr>
                <w:spacing w:val="-3"/>
                <w:sz w:val="20"/>
                <w:szCs w:val="20"/>
              </w:rPr>
              <w:t>号楼负一层，占地面积约</w:t>
            </w:r>
            <w:r>
              <w:rPr>
                <w:spacing w:val="-30"/>
                <w:sz w:val="20"/>
                <w:szCs w:val="20"/>
              </w:rPr>
              <w:t xml:space="preserve"> </w:t>
            </w:r>
            <w:r>
              <w:rPr>
                <w:rFonts w:ascii="Times New Roman" w:hAnsi="Times New Roman" w:eastAsia="Times New Roman" w:cs="Times New Roman"/>
                <w:spacing w:val="-3"/>
                <w:sz w:val="20"/>
                <w:szCs w:val="20"/>
              </w:rPr>
              <w:t>180</w:t>
            </w:r>
            <w:r>
              <w:rPr>
                <w:rFonts w:ascii="Times New Roman" w:hAnsi="Times New Roman" w:eastAsia="Times New Roman" w:cs="Times New Roman"/>
                <w:spacing w:val="14"/>
                <w:w w:val="101"/>
                <w:sz w:val="20"/>
                <w:szCs w:val="20"/>
              </w:rPr>
              <w:t xml:space="preserve"> </w:t>
            </w:r>
            <w:r>
              <w:rPr>
                <w:spacing w:val="-3"/>
                <w:sz w:val="20"/>
                <w:szCs w:val="20"/>
              </w:rPr>
              <w:t>㎡，</w:t>
            </w:r>
            <w:r>
              <w:rPr>
                <w:sz w:val="20"/>
                <w:szCs w:val="20"/>
              </w:rPr>
              <w:t xml:space="preserve"> </w:t>
            </w:r>
            <w:r>
              <w:rPr>
                <w:spacing w:val="5"/>
                <w:sz w:val="20"/>
                <w:szCs w:val="20"/>
              </w:rPr>
              <w:t>有效深度为</w:t>
            </w:r>
            <w:r>
              <w:rPr>
                <w:spacing w:val="-39"/>
                <w:sz w:val="20"/>
                <w:szCs w:val="20"/>
              </w:rPr>
              <w:t xml:space="preserve"> </w:t>
            </w:r>
            <w:r>
              <w:rPr>
                <w:rFonts w:ascii="Times New Roman" w:hAnsi="Times New Roman" w:eastAsia="Times New Roman" w:cs="Times New Roman"/>
                <w:spacing w:val="5"/>
                <w:sz w:val="20"/>
                <w:szCs w:val="20"/>
              </w:rPr>
              <w:t>4.5m</w:t>
            </w:r>
            <w:r>
              <w:rPr>
                <w:rFonts w:ascii="Times New Roman" w:hAnsi="Times New Roman" w:eastAsia="Times New Roman" w:cs="Times New Roman"/>
                <w:spacing w:val="-24"/>
                <w:sz w:val="20"/>
                <w:szCs w:val="20"/>
              </w:rPr>
              <w:t xml:space="preserve"> </w:t>
            </w:r>
            <w:r>
              <w:rPr>
                <w:spacing w:val="5"/>
                <w:sz w:val="20"/>
                <w:szCs w:val="20"/>
              </w:rPr>
              <w:t>，有效容积为</w:t>
            </w:r>
            <w:r>
              <w:rPr>
                <w:spacing w:val="-35"/>
                <w:sz w:val="20"/>
                <w:szCs w:val="20"/>
              </w:rPr>
              <w:t xml:space="preserve"> </w:t>
            </w:r>
            <w:r>
              <w:rPr>
                <w:rFonts w:ascii="Times New Roman" w:hAnsi="Times New Roman" w:eastAsia="Times New Roman" w:cs="Times New Roman"/>
                <w:spacing w:val="5"/>
                <w:sz w:val="20"/>
                <w:szCs w:val="20"/>
              </w:rPr>
              <w:t>800m</w:t>
            </w:r>
            <w:r>
              <w:rPr>
                <w:spacing w:val="5"/>
                <w:sz w:val="20"/>
                <w:szCs w:val="20"/>
              </w:rPr>
              <w:t>³</w:t>
            </w:r>
          </w:p>
        </w:tc>
        <w:tc>
          <w:tcPr>
            <w:tcW w:w="1373" w:type="dxa"/>
            <w:vAlign w:val="top"/>
          </w:tcPr>
          <w:p w14:paraId="734679A8">
            <w:pPr>
              <w:pStyle w:val="6"/>
              <w:spacing w:before="120" w:line="228" w:lineRule="auto"/>
              <w:ind w:left="193"/>
              <w:rPr>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14"/>
                <w:w w:val="101"/>
                <w:sz w:val="20"/>
                <w:szCs w:val="20"/>
              </w:rPr>
              <w:t xml:space="preserve"> </w:t>
            </w:r>
            <w:r>
              <w:rPr>
                <w:spacing w:val="5"/>
                <w:sz w:val="20"/>
                <w:szCs w:val="20"/>
              </w:rPr>
              <w:t>号楼地下</w:t>
            </w:r>
          </w:p>
          <w:p w14:paraId="13647E1B">
            <w:pPr>
              <w:pStyle w:val="6"/>
              <w:spacing w:before="24" w:line="228" w:lineRule="auto"/>
              <w:ind w:left="592"/>
              <w:rPr>
                <w:sz w:val="20"/>
                <w:szCs w:val="20"/>
              </w:rPr>
            </w:pPr>
            <w:r>
              <w:rPr>
                <w:sz w:val="20"/>
                <w:szCs w:val="20"/>
              </w:rPr>
              <w:t>层</w:t>
            </w:r>
          </w:p>
        </w:tc>
        <w:tc>
          <w:tcPr>
            <w:tcW w:w="195" w:type="dxa"/>
            <w:vMerge w:val="continue"/>
            <w:tcBorders>
              <w:top w:val="nil"/>
              <w:bottom w:val="nil"/>
              <w:right w:val="single" w:color="000000" w:sz="6" w:space="0"/>
            </w:tcBorders>
            <w:vAlign w:val="top"/>
          </w:tcPr>
          <w:p w14:paraId="0E2B6234">
            <w:pPr>
              <w:rPr>
                <w:rFonts w:ascii="Arial"/>
                <w:sz w:val="21"/>
              </w:rPr>
            </w:pPr>
          </w:p>
        </w:tc>
      </w:tr>
      <w:tr w14:paraId="52C1E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8" w:type="dxa"/>
            <w:vMerge w:val="continue"/>
            <w:tcBorders>
              <w:top w:val="nil"/>
              <w:left w:val="single" w:color="000000" w:sz="6" w:space="0"/>
              <w:bottom w:val="nil"/>
            </w:tcBorders>
            <w:vAlign w:val="top"/>
          </w:tcPr>
          <w:p w14:paraId="02F713D3">
            <w:pPr>
              <w:rPr>
                <w:rFonts w:ascii="Arial"/>
                <w:sz w:val="21"/>
              </w:rPr>
            </w:pPr>
          </w:p>
        </w:tc>
        <w:tc>
          <w:tcPr>
            <w:tcW w:w="186" w:type="dxa"/>
            <w:vMerge w:val="continue"/>
            <w:tcBorders>
              <w:top w:val="nil"/>
              <w:bottom w:val="nil"/>
            </w:tcBorders>
            <w:vAlign w:val="top"/>
          </w:tcPr>
          <w:p w14:paraId="4B422B5D">
            <w:pPr>
              <w:rPr>
                <w:rFonts w:ascii="Arial"/>
                <w:sz w:val="21"/>
              </w:rPr>
            </w:pPr>
          </w:p>
        </w:tc>
        <w:tc>
          <w:tcPr>
            <w:tcW w:w="748" w:type="dxa"/>
            <w:vMerge w:val="restart"/>
            <w:tcBorders>
              <w:bottom w:val="nil"/>
            </w:tcBorders>
            <w:vAlign w:val="top"/>
          </w:tcPr>
          <w:p w14:paraId="6754CF7B">
            <w:pPr>
              <w:spacing w:line="456" w:lineRule="auto"/>
              <w:rPr>
                <w:rFonts w:ascii="Arial"/>
                <w:sz w:val="21"/>
              </w:rPr>
            </w:pPr>
          </w:p>
          <w:p w14:paraId="1771EA59">
            <w:pPr>
              <w:pStyle w:val="6"/>
              <w:spacing w:before="65" w:line="229" w:lineRule="auto"/>
              <w:ind w:left="169"/>
              <w:rPr>
                <w:sz w:val="20"/>
                <w:szCs w:val="20"/>
              </w:rPr>
            </w:pPr>
            <w:r>
              <w:rPr>
                <w:spacing w:val="1"/>
                <w:sz w:val="20"/>
                <w:szCs w:val="20"/>
              </w:rPr>
              <w:t>公用</w:t>
            </w:r>
          </w:p>
          <w:p w14:paraId="72BB206E">
            <w:pPr>
              <w:pStyle w:val="6"/>
              <w:spacing w:before="25" w:line="228" w:lineRule="auto"/>
              <w:ind w:left="165"/>
              <w:rPr>
                <w:sz w:val="20"/>
                <w:szCs w:val="20"/>
              </w:rPr>
            </w:pPr>
            <w:r>
              <w:rPr>
                <w:spacing w:val="3"/>
                <w:sz w:val="20"/>
                <w:szCs w:val="20"/>
              </w:rPr>
              <w:t>工程</w:t>
            </w:r>
          </w:p>
        </w:tc>
        <w:tc>
          <w:tcPr>
            <w:tcW w:w="1957" w:type="dxa"/>
            <w:gridSpan w:val="2"/>
            <w:vAlign w:val="top"/>
          </w:tcPr>
          <w:p w14:paraId="71494F37">
            <w:pPr>
              <w:pStyle w:val="6"/>
              <w:spacing w:before="180" w:line="228" w:lineRule="auto"/>
              <w:ind w:left="771"/>
              <w:rPr>
                <w:sz w:val="20"/>
                <w:szCs w:val="20"/>
              </w:rPr>
            </w:pPr>
            <w:r>
              <w:rPr>
                <w:spacing w:val="4"/>
                <w:sz w:val="20"/>
                <w:szCs w:val="20"/>
              </w:rPr>
              <w:t>给水</w:t>
            </w:r>
          </w:p>
        </w:tc>
        <w:tc>
          <w:tcPr>
            <w:tcW w:w="3751" w:type="dxa"/>
            <w:vAlign w:val="top"/>
          </w:tcPr>
          <w:p w14:paraId="4E32F54A">
            <w:pPr>
              <w:pStyle w:val="6"/>
              <w:spacing w:before="202" w:line="200" w:lineRule="auto"/>
              <w:ind w:left="1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167163.3m</w:t>
            </w:r>
            <w:r>
              <w:rPr>
                <w:spacing w:val="2"/>
                <w:sz w:val="20"/>
                <w:szCs w:val="20"/>
              </w:rPr>
              <w:t>³</w:t>
            </w:r>
            <w:r>
              <w:rPr>
                <w:rFonts w:ascii="Times New Roman" w:hAnsi="Times New Roman" w:eastAsia="Times New Roman" w:cs="Times New Roman"/>
                <w:spacing w:val="2"/>
                <w:sz w:val="20"/>
                <w:szCs w:val="20"/>
              </w:rPr>
              <w:t>/a</w:t>
            </w:r>
          </w:p>
        </w:tc>
        <w:tc>
          <w:tcPr>
            <w:tcW w:w="1373" w:type="dxa"/>
            <w:vAlign w:val="top"/>
          </w:tcPr>
          <w:p w14:paraId="19FD6526">
            <w:pPr>
              <w:pStyle w:val="6"/>
              <w:spacing w:before="44" w:line="227" w:lineRule="auto"/>
              <w:ind w:left="177"/>
              <w:rPr>
                <w:sz w:val="20"/>
                <w:szCs w:val="20"/>
              </w:rPr>
            </w:pPr>
            <w:r>
              <w:rPr>
                <w:spacing w:val="7"/>
                <w:sz w:val="20"/>
                <w:szCs w:val="20"/>
              </w:rPr>
              <w:t>市政供水管</w:t>
            </w:r>
          </w:p>
          <w:p w14:paraId="395E8EEE">
            <w:pPr>
              <w:pStyle w:val="6"/>
              <w:spacing w:before="27" w:line="204" w:lineRule="auto"/>
              <w:ind w:left="608"/>
              <w:rPr>
                <w:sz w:val="20"/>
                <w:szCs w:val="20"/>
              </w:rPr>
            </w:pPr>
            <w:r>
              <w:rPr>
                <w:sz w:val="20"/>
                <w:szCs w:val="20"/>
              </w:rPr>
              <w:t>网</w:t>
            </w:r>
          </w:p>
        </w:tc>
        <w:tc>
          <w:tcPr>
            <w:tcW w:w="195" w:type="dxa"/>
            <w:vMerge w:val="continue"/>
            <w:tcBorders>
              <w:top w:val="nil"/>
              <w:bottom w:val="nil"/>
              <w:right w:val="single" w:color="000000" w:sz="6" w:space="0"/>
            </w:tcBorders>
            <w:vAlign w:val="top"/>
          </w:tcPr>
          <w:p w14:paraId="78C23055">
            <w:pPr>
              <w:rPr>
                <w:rFonts w:ascii="Arial"/>
                <w:sz w:val="21"/>
              </w:rPr>
            </w:pPr>
          </w:p>
        </w:tc>
      </w:tr>
      <w:tr w14:paraId="16D7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8" w:type="dxa"/>
            <w:vMerge w:val="continue"/>
            <w:tcBorders>
              <w:top w:val="nil"/>
              <w:left w:val="single" w:color="000000" w:sz="6" w:space="0"/>
              <w:bottom w:val="nil"/>
            </w:tcBorders>
            <w:vAlign w:val="top"/>
          </w:tcPr>
          <w:p w14:paraId="24A16695">
            <w:pPr>
              <w:rPr>
                <w:rFonts w:ascii="Arial"/>
                <w:sz w:val="21"/>
              </w:rPr>
            </w:pPr>
          </w:p>
        </w:tc>
        <w:tc>
          <w:tcPr>
            <w:tcW w:w="186" w:type="dxa"/>
            <w:vMerge w:val="continue"/>
            <w:tcBorders>
              <w:top w:val="nil"/>
              <w:bottom w:val="nil"/>
            </w:tcBorders>
            <w:vAlign w:val="top"/>
          </w:tcPr>
          <w:p w14:paraId="07A8D99F">
            <w:pPr>
              <w:rPr>
                <w:rFonts w:ascii="Arial"/>
                <w:sz w:val="21"/>
              </w:rPr>
            </w:pPr>
          </w:p>
        </w:tc>
        <w:tc>
          <w:tcPr>
            <w:tcW w:w="748" w:type="dxa"/>
            <w:vMerge w:val="continue"/>
            <w:tcBorders>
              <w:top w:val="nil"/>
              <w:bottom w:val="nil"/>
            </w:tcBorders>
            <w:vAlign w:val="top"/>
          </w:tcPr>
          <w:p w14:paraId="7282373C">
            <w:pPr>
              <w:rPr>
                <w:rFonts w:ascii="Arial"/>
                <w:sz w:val="21"/>
              </w:rPr>
            </w:pPr>
          </w:p>
        </w:tc>
        <w:tc>
          <w:tcPr>
            <w:tcW w:w="1957" w:type="dxa"/>
            <w:gridSpan w:val="2"/>
            <w:vAlign w:val="top"/>
          </w:tcPr>
          <w:p w14:paraId="3BB1D919">
            <w:pPr>
              <w:pStyle w:val="6"/>
              <w:spacing w:before="181" w:line="228" w:lineRule="auto"/>
              <w:ind w:left="770"/>
              <w:rPr>
                <w:sz w:val="20"/>
                <w:szCs w:val="20"/>
              </w:rPr>
            </w:pPr>
            <w:r>
              <w:rPr>
                <w:spacing w:val="4"/>
                <w:sz w:val="20"/>
                <w:szCs w:val="20"/>
              </w:rPr>
              <w:t>排水</w:t>
            </w:r>
          </w:p>
        </w:tc>
        <w:tc>
          <w:tcPr>
            <w:tcW w:w="3751" w:type="dxa"/>
            <w:vAlign w:val="top"/>
          </w:tcPr>
          <w:p w14:paraId="6BB44BF1">
            <w:pPr>
              <w:pStyle w:val="6"/>
              <w:spacing w:before="202" w:line="200" w:lineRule="auto"/>
              <w:ind w:left="1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147514.8m</w:t>
            </w:r>
            <w:r>
              <w:rPr>
                <w:spacing w:val="2"/>
                <w:sz w:val="20"/>
                <w:szCs w:val="20"/>
              </w:rPr>
              <w:t>³</w:t>
            </w:r>
            <w:r>
              <w:rPr>
                <w:rFonts w:ascii="Times New Roman" w:hAnsi="Times New Roman" w:eastAsia="Times New Roman" w:cs="Times New Roman"/>
                <w:spacing w:val="2"/>
                <w:sz w:val="20"/>
                <w:szCs w:val="20"/>
              </w:rPr>
              <w:t>/a</w:t>
            </w:r>
          </w:p>
        </w:tc>
        <w:tc>
          <w:tcPr>
            <w:tcW w:w="1373" w:type="dxa"/>
            <w:vAlign w:val="top"/>
          </w:tcPr>
          <w:p w14:paraId="49EBB973">
            <w:pPr>
              <w:pStyle w:val="6"/>
              <w:spacing w:before="46" w:line="228" w:lineRule="auto"/>
              <w:ind w:left="177"/>
              <w:rPr>
                <w:sz w:val="20"/>
                <w:szCs w:val="20"/>
              </w:rPr>
            </w:pPr>
            <w:r>
              <w:rPr>
                <w:spacing w:val="7"/>
                <w:sz w:val="20"/>
                <w:szCs w:val="20"/>
              </w:rPr>
              <w:t>市政污水管</w:t>
            </w:r>
          </w:p>
          <w:p w14:paraId="00051DE1">
            <w:pPr>
              <w:pStyle w:val="6"/>
              <w:spacing w:before="24" w:line="205" w:lineRule="auto"/>
              <w:ind w:left="608"/>
              <w:rPr>
                <w:sz w:val="20"/>
                <w:szCs w:val="20"/>
              </w:rPr>
            </w:pPr>
            <w:r>
              <w:rPr>
                <w:sz w:val="20"/>
                <w:szCs w:val="20"/>
              </w:rPr>
              <w:t>网</w:t>
            </w:r>
          </w:p>
        </w:tc>
        <w:tc>
          <w:tcPr>
            <w:tcW w:w="195" w:type="dxa"/>
            <w:vMerge w:val="continue"/>
            <w:tcBorders>
              <w:top w:val="nil"/>
              <w:bottom w:val="nil"/>
              <w:right w:val="single" w:color="000000" w:sz="6" w:space="0"/>
            </w:tcBorders>
            <w:vAlign w:val="top"/>
          </w:tcPr>
          <w:p w14:paraId="6DAB6C38">
            <w:pPr>
              <w:rPr>
                <w:rFonts w:ascii="Arial"/>
                <w:sz w:val="21"/>
              </w:rPr>
            </w:pPr>
          </w:p>
        </w:tc>
      </w:tr>
      <w:tr w14:paraId="33B4D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78" w:type="dxa"/>
            <w:vMerge w:val="continue"/>
            <w:tcBorders>
              <w:top w:val="nil"/>
              <w:left w:val="single" w:color="000000" w:sz="6" w:space="0"/>
              <w:bottom w:val="single" w:color="000000" w:sz="6" w:space="0"/>
            </w:tcBorders>
            <w:vAlign w:val="top"/>
          </w:tcPr>
          <w:p w14:paraId="410A8EB2">
            <w:pPr>
              <w:rPr>
                <w:rFonts w:ascii="Arial"/>
                <w:sz w:val="21"/>
              </w:rPr>
            </w:pPr>
          </w:p>
        </w:tc>
        <w:tc>
          <w:tcPr>
            <w:tcW w:w="186" w:type="dxa"/>
            <w:vMerge w:val="continue"/>
            <w:tcBorders>
              <w:top w:val="nil"/>
              <w:bottom w:val="single" w:color="000000" w:sz="6" w:space="0"/>
            </w:tcBorders>
            <w:vAlign w:val="top"/>
          </w:tcPr>
          <w:p w14:paraId="078F8575">
            <w:pPr>
              <w:rPr>
                <w:rFonts w:ascii="Arial"/>
                <w:sz w:val="21"/>
              </w:rPr>
            </w:pPr>
          </w:p>
        </w:tc>
        <w:tc>
          <w:tcPr>
            <w:tcW w:w="748" w:type="dxa"/>
            <w:vMerge w:val="continue"/>
            <w:tcBorders>
              <w:top w:val="nil"/>
              <w:bottom w:val="single" w:color="000000" w:sz="6" w:space="0"/>
            </w:tcBorders>
            <w:vAlign w:val="top"/>
          </w:tcPr>
          <w:p w14:paraId="2E2A703A">
            <w:pPr>
              <w:rPr>
                <w:rFonts w:ascii="Arial"/>
                <w:sz w:val="21"/>
              </w:rPr>
            </w:pPr>
          </w:p>
        </w:tc>
        <w:tc>
          <w:tcPr>
            <w:tcW w:w="1957" w:type="dxa"/>
            <w:gridSpan w:val="2"/>
            <w:tcBorders>
              <w:bottom w:val="single" w:color="000000" w:sz="6" w:space="0"/>
            </w:tcBorders>
            <w:vAlign w:val="top"/>
          </w:tcPr>
          <w:p w14:paraId="4C6B3637">
            <w:pPr>
              <w:pStyle w:val="6"/>
              <w:spacing w:before="106" w:line="227" w:lineRule="auto"/>
              <w:ind w:left="770"/>
              <w:rPr>
                <w:sz w:val="20"/>
                <w:szCs w:val="20"/>
              </w:rPr>
            </w:pPr>
            <w:r>
              <w:rPr>
                <w:spacing w:val="4"/>
                <w:sz w:val="20"/>
                <w:szCs w:val="20"/>
              </w:rPr>
              <w:t>供电</w:t>
            </w:r>
          </w:p>
        </w:tc>
        <w:tc>
          <w:tcPr>
            <w:tcW w:w="3751" w:type="dxa"/>
            <w:tcBorders>
              <w:bottom w:val="single" w:color="000000" w:sz="6" w:space="0"/>
            </w:tcBorders>
            <w:vAlign w:val="top"/>
          </w:tcPr>
          <w:p w14:paraId="61DC2FC2">
            <w:pPr>
              <w:pStyle w:val="6"/>
              <w:spacing w:before="106" w:line="228" w:lineRule="auto"/>
              <w:ind w:left="1408"/>
              <w:rPr>
                <w:sz w:val="20"/>
                <w:szCs w:val="20"/>
              </w:rPr>
            </w:pPr>
            <w:r>
              <w:rPr>
                <w:rFonts w:ascii="Times New Roman" w:hAnsi="Times New Roman" w:eastAsia="Times New Roman" w:cs="Times New Roman"/>
                <w:spacing w:val="3"/>
                <w:sz w:val="20"/>
                <w:szCs w:val="20"/>
              </w:rPr>
              <w:t>30</w:t>
            </w:r>
            <w:r>
              <w:rPr>
                <w:rFonts w:ascii="Times New Roman" w:hAnsi="Times New Roman" w:eastAsia="Times New Roman" w:cs="Times New Roman"/>
                <w:spacing w:val="15"/>
                <w:sz w:val="20"/>
                <w:szCs w:val="20"/>
              </w:rPr>
              <w:t xml:space="preserve"> </w:t>
            </w:r>
            <w:r>
              <w:rPr>
                <w:spacing w:val="3"/>
                <w:sz w:val="20"/>
                <w:szCs w:val="20"/>
              </w:rPr>
              <w:t>万度</w:t>
            </w:r>
            <w:r>
              <w:rPr>
                <w:rFonts w:ascii="Times New Roman" w:hAnsi="Times New Roman" w:eastAsia="Times New Roman" w:cs="Times New Roman"/>
                <w:spacing w:val="3"/>
                <w:sz w:val="20"/>
                <w:szCs w:val="20"/>
              </w:rPr>
              <w:t>/</w:t>
            </w:r>
            <w:r>
              <w:rPr>
                <w:spacing w:val="3"/>
                <w:sz w:val="20"/>
                <w:szCs w:val="20"/>
              </w:rPr>
              <w:t>年</w:t>
            </w:r>
          </w:p>
        </w:tc>
        <w:tc>
          <w:tcPr>
            <w:tcW w:w="1373" w:type="dxa"/>
            <w:tcBorders>
              <w:bottom w:val="single" w:color="000000" w:sz="6" w:space="0"/>
            </w:tcBorders>
            <w:vAlign w:val="top"/>
          </w:tcPr>
          <w:p w14:paraId="370C3374">
            <w:pPr>
              <w:pStyle w:val="6"/>
              <w:spacing w:before="106" w:line="228" w:lineRule="auto"/>
              <w:ind w:left="283"/>
              <w:rPr>
                <w:sz w:val="20"/>
                <w:szCs w:val="20"/>
              </w:rPr>
            </w:pPr>
            <w:r>
              <w:rPr>
                <w:spacing w:val="5"/>
                <w:sz w:val="20"/>
                <w:szCs w:val="20"/>
              </w:rPr>
              <w:t>市政电网</w:t>
            </w:r>
          </w:p>
        </w:tc>
        <w:tc>
          <w:tcPr>
            <w:tcW w:w="195" w:type="dxa"/>
            <w:vMerge w:val="continue"/>
            <w:tcBorders>
              <w:top w:val="nil"/>
              <w:bottom w:val="single" w:color="000000" w:sz="6" w:space="0"/>
              <w:right w:val="single" w:color="000000" w:sz="6" w:space="0"/>
            </w:tcBorders>
            <w:vAlign w:val="top"/>
          </w:tcPr>
          <w:p w14:paraId="607B7797">
            <w:pPr>
              <w:rPr>
                <w:rFonts w:ascii="Arial"/>
                <w:sz w:val="21"/>
              </w:rPr>
            </w:pPr>
          </w:p>
        </w:tc>
      </w:tr>
    </w:tbl>
    <w:p w14:paraId="0BC0EEE8">
      <w:pPr>
        <w:rPr>
          <w:rFonts w:ascii="Arial"/>
          <w:sz w:val="21"/>
        </w:rPr>
      </w:pPr>
    </w:p>
    <w:p w14:paraId="182E3B9E">
      <w:pPr>
        <w:rPr>
          <w:rFonts w:ascii="Arial" w:hAnsi="Arial" w:eastAsia="Arial" w:cs="Arial"/>
          <w:sz w:val="21"/>
          <w:szCs w:val="21"/>
        </w:rPr>
        <w:sectPr>
          <w:footerReference r:id="rId24" w:type="default"/>
          <w:pgSz w:w="11906" w:h="16839"/>
          <w:pgMar w:top="400" w:right="1451" w:bottom="1240" w:left="1451" w:header="0" w:footer="1078" w:gutter="0"/>
          <w:cols w:space="720" w:num="1"/>
        </w:sectPr>
      </w:pPr>
    </w:p>
    <w:p w14:paraId="7378F5B6">
      <w:pPr>
        <w:spacing w:before="19"/>
      </w:pPr>
    </w:p>
    <w:p w14:paraId="54A9CB6A">
      <w:pPr>
        <w:spacing w:before="19"/>
      </w:pPr>
    </w:p>
    <w:p w14:paraId="03F14D87">
      <w:pPr>
        <w:spacing w:before="19"/>
      </w:pPr>
    </w:p>
    <w:p w14:paraId="5EA0D4CA">
      <w:pPr>
        <w:spacing w:before="18"/>
      </w:pPr>
    </w:p>
    <w:p w14:paraId="7FC211AC">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86"/>
        <w:gridCol w:w="748"/>
        <w:gridCol w:w="592"/>
        <w:gridCol w:w="282"/>
        <w:gridCol w:w="1083"/>
        <w:gridCol w:w="3751"/>
        <w:gridCol w:w="1373"/>
        <w:gridCol w:w="195"/>
      </w:tblGrid>
      <w:tr w14:paraId="0ECBD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778" w:type="dxa"/>
            <w:vMerge w:val="restart"/>
            <w:tcBorders>
              <w:top w:val="single" w:color="000000" w:sz="6" w:space="0"/>
              <w:left w:val="single" w:color="000000" w:sz="6" w:space="0"/>
              <w:bottom w:val="nil"/>
            </w:tcBorders>
            <w:vAlign w:val="top"/>
          </w:tcPr>
          <w:p w14:paraId="37644D1B">
            <w:pPr>
              <w:rPr>
                <w:rFonts w:ascii="Arial"/>
                <w:sz w:val="21"/>
              </w:rPr>
            </w:pPr>
          </w:p>
        </w:tc>
        <w:tc>
          <w:tcPr>
            <w:tcW w:w="186" w:type="dxa"/>
            <w:vMerge w:val="restart"/>
            <w:tcBorders>
              <w:top w:val="single" w:color="000000" w:sz="6" w:space="0"/>
              <w:bottom w:val="nil"/>
            </w:tcBorders>
            <w:vAlign w:val="top"/>
          </w:tcPr>
          <w:p w14:paraId="65D6C15D">
            <w:pPr>
              <w:rPr>
                <w:rFonts w:ascii="Arial"/>
                <w:sz w:val="21"/>
              </w:rPr>
            </w:pPr>
          </w:p>
        </w:tc>
        <w:tc>
          <w:tcPr>
            <w:tcW w:w="748" w:type="dxa"/>
            <w:vMerge w:val="restart"/>
            <w:tcBorders>
              <w:bottom w:val="nil"/>
            </w:tcBorders>
            <w:vAlign w:val="top"/>
          </w:tcPr>
          <w:p w14:paraId="3E8CD243">
            <w:pPr>
              <w:spacing w:line="245" w:lineRule="auto"/>
              <w:rPr>
                <w:rFonts w:ascii="Arial"/>
                <w:sz w:val="21"/>
              </w:rPr>
            </w:pPr>
          </w:p>
          <w:p w14:paraId="6E84829B">
            <w:pPr>
              <w:spacing w:line="245" w:lineRule="auto"/>
              <w:rPr>
                <w:rFonts w:ascii="Arial"/>
                <w:sz w:val="21"/>
              </w:rPr>
            </w:pPr>
          </w:p>
          <w:p w14:paraId="32F167BF">
            <w:pPr>
              <w:spacing w:line="245" w:lineRule="auto"/>
              <w:rPr>
                <w:rFonts w:ascii="Arial"/>
                <w:sz w:val="21"/>
              </w:rPr>
            </w:pPr>
          </w:p>
          <w:p w14:paraId="02DEA2F5">
            <w:pPr>
              <w:spacing w:line="245" w:lineRule="auto"/>
              <w:rPr>
                <w:rFonts w:ascii="Arial"/>
                <w:sz w:val="21"/>
              </w:rPr>
            </w:pPr>
          </w:p>
          <w:p w14:paraId="13592923">
            <w:pPr>
              <w:spacing w:line="245" w:lineRule="auto"/>
              <w:rPr>
                <w:rFonts w:ascii="Arial"/>
                <w:sz w:val="21"/>
              </w:rPr>
            </w:pPr>
          </w:p>
          <w:p w14:paraId="7EFA4514">
            <w:pPr>
              <w:spacing w:line="245" w:lineRule="auto"/>
              <w:rPr>
                <w:rFonts w:ascii="Arial"/>
                <w:sz w:val="21"/>
              </w:rPr>
            </w:pPr>
          </w:p>
          <w:p w14:paraId="36C36323">
            <w:pPr>
              <w:spacing w:line="245" w:lineRule="auto"/>
              <w:rPr>
                <w:rFonts w:ascii="Arial"/>
                <w:sz w:val="21"/>
              </w:rPr>
            </w:pPr>
          </w:p>
          <w:p w14:paraId="4344853F">
            <w:pPr>
              <w:spacing w:line="245" w:lineRule="auto"/>
              <w:rPr>
                <w:rFonts w:ascii="Arial"/>
                <w:sz w:val="21"/>
              </w:rPr>
            </w:pPr>
          </w:p>
          <w:p w14:paraId="5F595419">
            <w:pPr>
              <w:spacing w:line="245" w:lineRule="auto"/>
              <w:rPr>
                <w:rFonts w:ascii="Arial"/>
                <w:sz w:val="21"/>
              </w:rPr>
            </w:pPr>
          </w:p>
          <w:p w14:paraId="3EE8D298">
            <w:pPr>
              <w:spacing w:line="245" w:lineRule="auto"/>
              <w:rPr>
                <w:rFonts w:ascii="Arial"/>
                <w:sz w:val="21"/>
              </w:rPr>
            </w:pPr>
          </w:p>
          <w:p w14:paraId="1D682A0A">
            <w:pPr>
              <w:spacing w:line="246" w:lineRule="auto"/>
              <w:rPr>
                <w:rFonts w:ascii="Arial"/>
                <w:sz w:val="21"/>
              </w:rPr>
            </w:pPr>
          </w:p>
          <w:p w14:paraId="3F016042">
            <w:pPr>
              <w:spacing w:line="246" w:lineRule="auto"/>
              <w:rPr>
                <w:rFonts w:ascii="Arial"/>
                <w:sz w:val="21"/>
              </w:rPr>
            </w:pPr>
          </w:p>
          <w:p w14:paraId="0C3AEBAD">
            <w:pPr>
              <w:pStyle w:val="6"/>
              <w:spacing w:before="65" w:line="228" w:lineRule="auto"/>
              <w:ind w:left="162"/>
              <w:rPr>
                <w:sz w:val="20"/>
                <w:szCs w:val="20"/>
              </w:rPr>
            </w:pPr>
            <w:r>
              <w:rPr>
                <w:spacing w:val="4"/>
                <w:sz w:val="20"/>
                <w:szCs w:val="20"/>
              </w:rPr>
              <w:t>环保</w:t>
            </w:r>
          </w:p>
          <w:p w14:paraId="18791496">
            <w:pPr>
              <w:pStyle w:val="6"/>
              <w:spacing w:before="24" w:line="228" w:lineRule="auto"/>
              <w:ind w:left="165"/>
              <w:rPr>
                <w:sz w:val="20"/>
                <w:szCs w:val="20"/>
              </w:rPr>
            </w:pPr>
            <w:r>
              <w:rPr>
                <w:spacing w:val="3"/>
                <w:sz w:val="20"/>
                <w:szCs w:val="20"/>
              </w:rPr>
              <w:t>工程</w:t>
            </w:r>
          </w:p>
        </w:tc>
        <w:tc>
          <w:tcPr>
            <w:tcW w:w="592" w:type="dxa"/>
            <w:vMerge w:val="restart"/>
            <w:tcBorders>
              <w:bottom w:val="nil"/>
            </w:tcBorders>
            <w:textDirection w:val="tbRlV"/>
            <w:vAlign w:val="top"/>
          </w:tcPr>
          <w:p w14:paraId="3C58561E">
            <w:pPr>
              <w:pStyle w:val="6"/>
              <w:spacing w:before="194" w:line="216" w:lineRule="auto"/>
              <w:ind w:left="1002"/>
              <w:rPr>
                <w:sz w:val="20"/>
                <w:szCs w:val="20"/>
              </w:rPr>
            </w:pPr>
            <w:r>
              <w:rPr>
                <w:spacing w:val="8"/>
                <w:sz w:val="20"/>
                <w:szCs w:val="20"/>
              </w:rPr>
              <w:t>废</w:t>
            </w:r>
            <w:r>
              <w:rPr>
                <w:spacing w:val="-34"/>
                <w:sz w:val="20"/>
                <w:szCs w:val="20"/>
              </w:rPr>
              <w:t xml:space="preserve"> </w:t>
            </w:r>
            <w:r>
              <w:rPr>
                <w:spacing w:val="8"/>
                <w:sz w:val="20"/>
                <w:szCs w:val="20"/>
              </w:rPr>
              <w:t>水</w:t>
            </w:r>
            <w:r>
              <w:rPr>
                <w:spacing w:val="-37"/>
                <w:sz w:val="20"/>
                <w:szCs w:val="20"/>
              </w:rPr>
              <w:t xml:space="preserve"> </w:t>
            </w:r>
            <w:r>
              <w:rPr>
                <w:spacing w:val="8"/>
                <w:sz w:val="20"/>
                <w:szCs w:val="20"/>
              </w:rPr>
              <w:t>处</w:t>
            </w:r>
            <w:r>
              <w:rPr>
                <w:spacing w:val="-35"/>
                <w:sz w:val="20"/>
                <w:szCs w:val="20"/>
              </w:rPr>
              <w:t xml:space="preserve"> </w:t>
            </w:r>
            <w:r>
              <w:rPr>
                <w:spacing w:val="8"/>
                <w:sz w:val="20"/>
                <w:szCs w:val="20"/>
              </w:rPr>
              <w:t>理</w:t>
            </w:r>
          </w:p>
        </w:tc>
        <w:tc>
          <w:tcPr>
            <w:tcW w:w="1365" w:type="dxa"/>
            <w:gridSpan w:val="2"/>
            <w:vAlign w:val="top"/>
          </w:tcPr>
          <w:p w14:paraId="5EC2B15B">
            <w:pPr>
              <w:spacing w:line="260" w:lineRule="auto"/>
              <w:rPr>
                <w:rFonts w:ascii="Arial"/>
                <w:sz w:val="21"/>
              </w:rPr>
            </w:pPr>
          </w:p>
          <w:p w14:paraId="3690C83D">
            <w:pPr>
              <w:spacing w:line="260" w:lineRule="auto"/>
              <w:rPr>
                <w:rFonts w:ascii="Arial"/>
                <w:sz w:val="21"/>
              </w:rPr>
            </w:pPr>
          </w:p>
          <w:p w14:paraId="5362246A">
            <w:pPr>
              <w:pStyle w:val="6"/>
              <w:spacing w:before="65" w:line="228" w:lineRule="auto"/>
              <w:ind w:left="266"/>
              <w:rPr>
                <w:sz w:val="20"/>
                <w:szCs w:val="20"/>
              </w:rPr>
            </w:pPr>
            <w:r>
              <w:rPr>
                <w:spacing w:val="6"/>
                <w:sz w:val="20"/>
                <w:szCs w:val="20"/>
              </w:rPr>
              <w:t>生产废水</w:t>
            </w:r>
          </w:p>
        </w:tc>
        <w:tc>
          <w:tcPr>
            <w:tcW w:w="3751" w:type="dxa"/>
            <w:vAlign w:val="top"/>
          </w:tcPr>
          <w:p w14:paraId="009660A8">
            <w:pPr>
              <w:spacing w:line="387" w:lineRule="auto"/>
              <w:rPr>
                <w:rFonts w:ascii="Arial"/>
                <w:sz w:val="21"/>
              </w:rPr>
            </w:pPr>
          </w:p>
          <w:p w14:paraId="63475216">
            <w:pPr>
              <w:pStyle w:val="6"/>
              <w:spacing w:before="65" w:line="228" w:lineRule="auto"/>
              <w:ind w:right="3"/>
              <w:jc w:val="right"/>
              <w:rPr>
                <w:sz w:val="20"/>
                <w:szCs w:val="20"/>
              </w:rPr>
            </w:pPr>
            <w:r>
              <w:rPr>
                <w:spacing w:val="-1"/>
                <w:sz w:val="20"/>
                <w:szCs w:val="20"/>
              </w:rPr>
              <w:t>自建生产废水处理站，占地面积</w:t>
            </w:r>
            <w:r>
              <w:rPr>
                <w:spacing w:val="-36"/>
                <w:sz w:val="20"/>
                <w:szCs w:val="20"/>
              </w:rPr>
              <w:t xml:space="preserve"> </w:t>
            </w:r>
            <w:r>
              <w:rPr>
                <w:rFonts w:ascii="Times New Roman" w:hAnsi="Times New Roman" w:eastAsia="Times New Roman" w:cs="Times New Roman"/>
                <w:spacing w:val="-1"/>
                <w:sz w:val="20"/>
                <w:szCs w:val="20"/>
              </w:rPr>
              <w:t xml:space="preserve">684 </w:t>
            </w:r>
            <w:r>
              <w:rPr>
                <w:spacing w:val="-1"/>
                <w:sz w:val="20"/>
                <w:szCs w:val="20"/>
              </w:rPr>
              <w:t>㎡。</w:t>
            </w:r>
          </w:p>
          <w:p w14:paraId="2B7BDE61">
            <w:pPr>
              <w:pStyle w:val="6"/>
              <w:spacing w:before="24" w:line="228" w:lineRule="auto"/>
              <w:ind w:left="852"/>
              <w:rPr>
                <w:sz w:val="20"/>
                <w:szCs w:val="20"/>
              </w:rPr>
            </w:pPr>
            <w:r>
              <w:rPr>
                <w:spacing w:val="4"/>
                <w:sz w:val="20"/>
                <w:szCs w:val="20"/>
              </w:rPr>
              <w:t>废水处理能力</w:t>
            </w:r>
            <w:r>
              <w:rPr>
                <w:spacing w:val="-25"/>
                <w:sz w:val="20"/>
                <w:szCs w:val="20"/>
              </w:rPr>
              <w:t xml:space="preserve"> </w:t>
            </w:r>
            <w:r>
              <w:rPr>
                <w:rFonts w:ascii="Times New Roman" w:hAnsi="Times New Roman" w:eastAsia="Times New Roman" w:cs="Times New Roman"/>
                <w:spacing w:val="4"/>
                <w:sz w:val="20"/>
                <w:szCs w:val="20"/>
              </w:rPr>
              <w:t>600t/d</w:t>
            </w:r>
            <w:r>
              <w:rPr>
                <w:spacing w:val="4"/>
                <w:sz w:val="20"/>
                <w:szCs w:val="20"/>
              </w:rPr>
              <w:t>。</w:t>
            </w:r>
          </w:p>
        </w:tc>
        <w:tc>
          <w:tcPr>
            <w:tcW w:w="1373" w:type="dxa"/>
            <w:vAlign w:val="top"/>
          </w:tcPr>
          <w:p w14:paraId="60E67930">
            <w:pPr>
              <w:pStyle w:val="6"/>
              <w:spacing w:before="46" w:line="228" w:lineRule="auto"/>
              <w:ind w:left="172"/>
              <w:rPr>
                <w:sz w:val="20"/>
                <w:szCs w:val="20"/>
              </w:rPr>
            </w:pPr>
            <w:r>
              <w:rPr>
                <w:spacing w:val="8"/>
                <w:sz w:val="20"/>
                <w:szCs w:val="20"/>
              </w:rPr>
              <w:t>尾水达标后</w:t>
            </w:r>
          </w:p>
          <w:p w14:paraId="6036EEEF">
            <w:pPr>
              <w:pStyle w:val="6"/>
              <w:spacing w:before="24" w:line="228" w:lineRule="auto"/>
              <w:ind w:left="172"/>
              <w:rPr>
                <w:sz w:val="20"/>
                <w:szCs w:val="20"/>
              </w:rPr>
            </w:pPr>
            <w:r>
              <w:rPr>
                <w:spacing w:val="8"/>
                <w:sz w:val="20"/>
                <w:szCs w:val="20"/>
              </w:rPr>
              <w:t>汇入可塘镇</w:t>
            </w:r>
          </w:p>
          <w:p w14:paraId="58D2C379">
            <w:pPr>
              <w:pStyle w:val="6"/>
              <w:spacing w:before="24" w:line="228" w:lineRule="auto"/>
              <w:ind w:left="174"/>
              <w:rPr>
                <w:sz w:val="20"/>
                <w:szCs w:val="20"/>
              </w:rPr>
            </w:pPr>
            <w:r>
              <w:rPr>
                <w:spacing w:val="7"/>
                <w:sz w:val="20"/>
                <w:szCs w:val="20"/>
              </w:rPr>
              <w:t>污水处理厂</w:t>
            </w:r>
          </w:p>
          <w:p w14:paraId="589B2C9A">
            <w:pPr>
              <w:pStyle w:val="6"/>
              <w:spacing w:before="26" w:line="234" w:lineRule="auto"/>
              <w:ind w:left="122" w:right="33" w:firstLine="48"/>
              <w:rPr>
                <w:sz w:val="20"/>
                <w:szCs w:val="20"/>
              </w:rPr>
            </w:pPr>
            <w:r>
              <w:rPr>
                <w:spacing w:val="8"/>
                <w:sz w:val="20"/>
                <w:szCs w:val="20"/>
              </w:rPr>
              <w:t>进行深化处</w:t>
            </w:r>
            <w:r>
              <w:rPr>
                <w:sz w:val="20"/>
                <w:szCs w:val="20"/>
              </w:rPr>
              <w:t xml:space="preserve">  </w:t>
            </w:r>
            <w:r>
              <w:rPr>
                <w:spacing w:val="2"/>
                <w:sz w:val="20"/>
                <w:szCs w:val="20"/>
              </w:rPr>
              <w:t>理，不直排。</w:t>
            </w:r>
          </w:p>
        </w:tc>
        <w:tc>
          <w:tcPr>
            <w:tcW w:w="195" w:type="dxa"/>
            <w:vMerge w:val="restart"/>
            <w:tcBorders>
              <w:top w:val="single" w:color="000000" w:sz="6" w:space="0"/>
              <w:bottom w:val="nil"/>
              <w:right w:val="single" w:color="000000" w:sz="6" w:space="0"/>
            </w:tcBorders>
            <w:vAlign w:val="top"/>
          </w:tcPr>
          <w:p w14:paraId="094BB807">
            <w:pPr>
              <w:rPr>
                <w:rFonts w:ascii="Arial"/>
                <w:sz w:val="21"/>
              </w:rPr>
            </w:pPr>
          </w:p>
        </w:tc>
      </w:tr>
      <w:tr w14:paraId="33DEA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778" w:type="dxa"/>
            <w:vMerge w:val="continue"/>
            <w:tcBorders>
              <w:top w:val="nil"/>
              <w:left w:val="single" w:color="000000" w:sz="6" w:space="0"/>
              <w:bottom w:val="nil"/>
            </w:tcBorders>
            <w:vAlign w:val="top"/>
          </w:tcPr>
          <w:p w14:paraId="5457095A">
            <w:pPr>
              <w:rPr>
                <w:rFonts w:ascii="Arial"/>
                <w:sz w:val="21"/>
              </w:rPr>
            </w:pPr>
          </w:p>
        </w:tc>
        <w:tc>
          <w:tcPr>
            <w:tcW w:w="186" w:type="dxa"/>
            <w:vMerge w:val="continue"/>
            <w:tcBorders>
              <w:top w:val="nil"/>
              <w:bottom w:val="nil"/>
            </w:tcBorders>
            <w:vAlign w:val="top"/>
          </w:tcPr>
          <w:p w14:paraId="4E7AA5D4">
            <w:pPr>
              <w:rPr>
                <w:rFonts w:ascii="Arial"/>
                <w:sz w:val="21"/>
              </w:rPr>
            </w:pPr>
          </w:p>
        </w:tc>
        <w:tc>
          <w:tcPr>
            <w:tcW w:w="748" w:type="dxa"/>
            <w:vMerge w:val="continue"/>
            <w:tcBorders>
              <w:top w:val="nil"/>
              <w:bottom w:val="nil"/>
            </w:tcBorders>
            <w:vAlign w:val="top"/>
          </w:tcPr>
          <w:p w14:paraId="4FC3F016">
            <w:pPr>
              <w:rPr>
                <w:rFonts w:ascii="Arial"/>
                <w:sz w:val="21"/>
              </w:rPr>
            </w:pPr>
          </w:p>
        </w:tc>
        <w:tc>
          <w:tcPr>
            <w:tcW w:w="592" w:type="dxa"/>
            <w:vMerge w:val="continue"/>
            <w:tcBorders>
              <w:top w:val="nil"/>
            </w:tcBorders>
            <w:textDirection w:val="tbRlV"/>
            <w:vAlign w:val="top"/>
          </w:tcPr>
          <w:p w14:paraId="0CFAF0A1">
            <w:pPr>
              <w:rPr>
                <w:rFonts w:ascii="Arial"/>
                <w:sz w:val="21"/>
              </w:rPr>
            </w:pPr>
          </w:p>
        </w:tc>
        <w:tc>
          <w:tcPr>
            <w:tcW w:w="1365" w:type="dxa"/>
            <w:gridSpan w:val="2"/>
            <w:vAlign w:val="top"/>
          </w:tcPr>
          <w:p w14:paraId="748DD9C5">
            <w:pPr>
              <w:spacing w:line="321" w:lineRule="auto"/>
              <w:rPr>
                <w:rFonts w:ascii="Arial"/>
                <w:sz w:val="21"/>
              </w:rPr>
            </w:pPr>
          </w:p>
          <w:p w14:paraId="4B9895B7">
            <w:pPr>
              <w:spacing w:line="321" w:lineRule="auto"/>
              <w:rPr>
                <w:rFonts w:ascii="Arial"/>
                <w:sz w:val="21"/>
              </w:rPr>
            </w:pPr>
          </w:p>
          <w:p w14:paraId="7667CA17">
            <w:pPr>
              <w:pStyle w:val="6"/>
              <w:spacing w:before="65" w:line="228" w:lineRule="auto"/>
              <w:ind w:left="266"/>
              <w:rPr>
                <w:sz w:val="20"/>
                <w:szCs w:val="20"/>
              </w:rPr>
            </w:pPr>
            <w:r>
              <w:rPr>
                <w:spacing w:val="6"/>
                <w:sz w:val="20"/>
                <w:szCs w:val="20"/>
              </w:rPr>
              <w:t>生活污水</w:t>
            </w:r>
          </w:p>
        </w:tc>
        <w:tc>
          <w:tcPr>
            <w:tcW w:w="3751" w:type="dxa"/>
            <w:vAlign w:val="top"/>
          </w:tcPr>
          <w:p w14:paraId="26E0CF50">
            <w:pPr>
              <w:spacing w:line="321" w:lineRule="auto"/>
              <w:rPr>
                <w:rFonts w:ascii="Arial"/>
                <w:sz w:val="21"/>
              </w:rPr>
            </w:pPr>
          </w:p>
          <w:p w14:paraId="54EB5C39">
            <w:pPr>
              <w:spacing w:line="321" w:lineRule="auto"/>
              <w:rPr>
                <w:rFonts w:ascii="Arial"/>
                <w:sz w:val="21"/>
              </w:rPr>
            </w:pPr>
          </w:p>
          <w:p w14:paraId="38C0A5A3">
            <w:pPr>
              <w:pStyle w:val="6"/>
              <w:spacing w:before="65" w:line="228" w:lineRule="auto"/>
              <w:ind w:left="112"/>
              <w:rPr>
                <w:sz w:val="20"/>
                <w:szCs w:val="20"/>
              </w:rPr>
            </w:pPr>
            <w:r>
              <w:rPr>
                <w:spacing w:val="6"/>
                <w:sz w:val="20"/>
                <w:szCs w:val="20"/>
              </w:rPr>
              <w:t>化粪池；</w:t>
            </w:r>
            <w:r>
              <w:rPr>
                <w:rFonts w:ascii="Times New Roman" w:hAnsi="Times New Roman" w:eastAsia="Times New Roman" w:cs="Times New Roman"/>
                <w:spacing w:val="6"/>
                <w:sz w:val="20"/>
                <w:szCs w:val="20"/>
              </w:rPr>
              <w:t xml:space="preserve">2 </w:t>
            </w:r>
            <w:r>
              <w:rPr>
                <w:spacing w:val="6"/>
                <w:sz w:val="20"/>
                <w:szCs w:val="20"/>
              </w:rPr>
              <w:t>座。分别位于</w:t>
            </w:r>
            <w:r>
              <w:rPr>
                <w:spacing w:val="-33"/>
                <w:sz w:val="20"/>
                <w:szCs w:val="20"/>
              </w:rPr>
              <w:t xml:space="preserve"> </w:t>
            </w:r>
            <w:r>
              <w:rPr>
                <w:rFonts w:ascii="Times New Roman" w:hAnsi="Times New Roman" w:eastAsia="Times New Roman" w:cs="Times New Roman"/>
                <w:spacing w:val="6"/>
                <w:sz w:val="20"/>
                <w:szCs w:val="20"/>
              </w:rPr>
              <w:t>4#</w:t>
            </w:r>
            <w:r>
              <w:rPr>
                <w:spacing w:val="6"/>
                <w:sz w:val="20"/>
                <w:szCs w:val="20"/>
              </w:rPr>
              <w:t>和</w:t>
            </w:r>
            <w:r>
              <w:rPr>
                <w:spacing w:val="-37"/>
                <w:sz w:val="20"/>
                <w:szCs w:val="20"/>
              </w:rPr>
              <w:t xml:space="preserve"> </w:t>
            </w:r>
            <w:r>
              <w:rPr>
                <w:rFonts w:ascii="Times New Roman" w:hAnsi="Times New Roman" w:eastAsia="Times New Roman" w:cs="Times New Roman"/>
                <w:spacing w:val="6"/>
                <w:sz w:val="20"/>
                <w:szCs w:val="20"/>
              </w:rPr>
              <w:t>5#</w:t>
            </w:r>
            <w:r>
              <w:rPr>
                <w:spacing w:val="6"/>
                <w:sz w:val="20"/>
                <w:szCs w:val="20"/>
              </w:rPr>
              <w:t>楼下。</w:t>
            </w:r>
          </w:p>
        </w:tc>
        <w:tc>
          <w:tcPr>
            <w:tcW w:w="1373" w:type="dxa"/>
            <w:vAlign w:val="top"/>
          </w:tcPr>
          <w:p w14:paraId="755309EA">
            <w:pPr>
              <w:pStyle w:val="6"/>
              <w:spacing w:before="32" w:line="228" w:lineRule="auto"/>
              <w:ind w:left="174"/>
              <w:rPr>
                <w:sz w:val="20"/>
                <w:szCs w:val="20"/>
              </w:rPr>
            </w:pPr>
            <w:r>
              <w:rPr>
                <w:spacing w:val="7"/>
                <w:sz w:val="20"/>
                <w:szCs w:val="20"/>
              </w:rPr>
              <w:t>生活污水经</w:t>
            </w:r>
          </w:p>
          <w:p w14:paraId="468F7A3D">
            <w:pPr>
              <w:pStyle w:val="6"/>
              <w:spacing w:before="23" w:line="252" w:lineRule="auto"/>
              <w:ind w:left="118" w:right="49" w:firstLine="55"/>
              <w:jc w:val="both"/>
              <w:rPr>
                <w:sz w:val="20"/>
                <w:szCs w:val="20"/>
              </w:rPr>
            </w:pPr>
            <w:r>
              <w:rPr>
                <w:spacing w:val="7"/>
                <w:sz w:val="20"/>
                <w:szCs w:val="20"/>
              </w:rPr>
              <w:t>预处理后排</w:t>
            </w:r>
            <w:r>
              <w:rPr>
                <w:spacing w:val="1"/>
                <w:sz w:val="20"/>
                <w:szCs w:val="20"/>
              </w:rPr>
              <w:t xml:space="preserve">  </w:t>
            </w:r>
            <w:r>
              <w:rPr>
                <w:spacing w:val="-1"/>
                <w:sz w:val="20"/>
                <w:szCs w:val="20"/>
              </w:rPr>
              <w:t>入污水管网，</w:t>
            </w:r>
            <w:r>
              <w:rPr>
                <w:spacing w:val="4"/>
                <w:sz w:val="20"/>
                <w:szCs w:val="20"/>
              </w:rPr>
              <w:t xml:space="preserve"> </w:t>
            </w:r>
            <w:r>
              <w:rPr>
                <w:spacing w:val="18"/>
                <w:sz w:val="20"/>
                <w:szCs w:val="20"/>
              </w:rPr>
              <w:t>最后汇入可</w:t>
            </w:r>
          </w:p>
          <w:p w14:paraId="17923112">
            <w:pPr>
              <w:pStyle w:val="6"/>
              <w:spacing w:line="227" w:lineRule="auto"/>
              <w:ind w:left="173"/>
              <w:rPr>
                <w:sz w:val="20"/>
                <w:szCs w:val="20"/>
              </w:rPr>
            </w:pPr>
            <w:r>
              <w:rPr>
                <w:spacing w:val="7"/>
                <w:sz w:val="20"/>
                <w:szCs w:val="20"/>
              </w:rPr>
              <w:t>塘镇污水处</w:t>
            </w:r>
          </w:p>
          <w:p w14:paraId="4CB12B84">
            <w:pPr>
              <w:pStyle w:val="6"/>
              <w:spacing w:before="24" w:line="216" w:lineRule="auto"/>
              <w:ind w:left="386"/>
              <w:rPr>
                <w:sz w:val="20"/>
                <w:szCs w:val="20"/>
              </w:rPr>
            </w:pPr>
            <w:r>
              <w:rPr>
                <w:spacing w:val="2"/>
                <w:sz w:val="20"/>
                <w:szCs w:val="20"/>
              </w:rPr>
              <w:t>理厂。</w:t>
            </w:r>
          </w:p>
        </w:tc>
        <w:tc>
          <w:tcPr>
            <w:tcW w:w="195" w:type="dxa"/>
            <w:vMerge w:val="continue"/>
            <w:tcBorders>
              <w:top w:val="nil"/>
              <w:bottom w:val="nil"/>
              <w:right w:val="single" w:color="000000" w:sz="6" w:space="0"/>
            </w:tcBorders>
            <w:vAlign w:val="top"/>
          </w:tcPr>
          <w:p w14:paraId="4695D490">
            <w:pPr>
              <w:rPr>
                <w:rFonts w:ascii="Arial"/>
                <w:sz w:val="21"/>
              </w:rPr>
            </w:pPr>
          </w:p>
        </w:tc>
      </w:tr>
      <w:tr w14:paraId="4D545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1F6612F8">
            <w:pPr>
              <w:rPr>
                <w:rFonts w:ascii="Arial"/>
                <w:sz w:val="21"/>
              </w:rPr>
            </w:pPr>
          </w:p>
        </w:tc>
        <w:tc>
          <w:tcPr>
            <w:tcW w:w="186" w:type="dxa"/>
            <w:vMerge w:val="continue"/>
            <w:tcBorders>
              <w:top w:val="nil"/>
              <w:bottom w:val="nil"/>
            </w:tcBorders>
            <w:vAlign w:val="top"/>
          </w:tcPr>
          <w:p w14:paraId="39027545">
            <w:pPr>
              <w:rPr>
                <w:rFonts w:ascii="Arial"/>
                <w:sz w:val="21"/>
              </w:rPr>
            </w:pPr>
          </w:p>
        </w:tc>
        <w:tc>
          <w:tcPr>
            <w:tcW w:w="748" w:type="dxa"/>
            <w:vMerge w:val="continue"/>
            <w:tcBorders>
              <w:top w:val="nil"/>
              <w:bottom w:val="nil"/>
            </w:tcBorders>
            <w:vAlign w:val="top"/>
          </w:tcPr>
          <w:p w14:paraId="2EB278CF">
            <w:pPr>
              <w:rPr>
                <w:rFonts w:ascii="Arial"/>
                <w:sz w:val="21"/>
              </w:rPr>
            </w:pPr>
          </w:p>
        </w:tc>
        <w:tc>
          <w:tcPr>
            <w:tcW w:w="874" w:type="dxa"/>
            <w:gridSpan w:val="2"/>
            <w:vMerge w:val="restart"/>
            <w:tcBorders>
              <w:bottom w:val="nil"/>
            </w:tcBorders>
            <w:vAlign w:val="top"/>
          </w:tcPr>
          <w:p w14:paraId="5284B022">
            <w:pPr>
              <w:spacing w:line="301" w:lineRule="auto"/>
              <w:rPr>
                <w:rFonts w:ascii="Arial"/>
                <w:sz w:val="21"/>
              </w:rPr>
            </w:pPr>
          </w:p>
          <w:p w14:paraId="1872D345">
            <w:pPr>
              <w:pStyle w:val="6"/>
              <w:spacing w:before="65" w:line="228" w:lineRule="auto"/>
              <w:ind w:left="121"/>
              <w:rPr>
                <w:sz w:val="20"/>
                <w:szCs w:val="20"/>
              </w:rPr>
            </w:pPr>
            <w:r>
              <w:rPr>
                <w:spacing w:val="7"/>
                <w:sz w:val="20"/>
                <w:szCs w:val="20"/>
              </w:rPr>
              <w:t>废气处</w:t>
            </w:r>
          </w:p>
          <w:p w14:paraId="30C6CD0A">
            <w:pPr>
              <w:pStyle w:val="6"/>
              <w:spacing w:before="23" w:line="238" w:lineRule="auto"/>
              <w:ind w:left="336"/>
              <w:rPr>
                <w:sz w:val="20"/>
                <w:szCs w:val="20"/>
              </w:rPr>
            </w:pPr>
            <w:r>
              <w:rPr>
                <w:sz w:val="20"/>
                <w:szCs w:val="20"/>
              </w:rPr>
              <w:t>理</w:t>
            </w:r>
          </w:p>
        </w:tc>
        <w:tc>
          <w:tcPr>
            <w:tcW w:w="1083" w:type="dxa"/>
            <w:vAlign w:val="top"/>
          </w:tcPr>
          <w:p w14:paraId="1233EF93">
            <w:pPr>
              <w:pStyle w:val="6"/>
              <w:spacing w:before="96" w:line="227" w:lineRule="auto"/>
              <w:ind w:left="125"/>
              <w:rPr>
                <w:sz w:val="20"/>
                <w:szCs w:val="20"/>
              </w:rPr>
            </w:pPr>
            <w:r>
              <w:rPr>
                <w:spacing w:val="7"/>
                <w:sz w:val="20"/>
                <w:szCs w:val="20"/>
              </w:rPr>
              <w:t>有机废气</w:t>
            </w:r>
          </w:p>
        </w:tc>
        <w:tc>
          <w:tcPr>
            <w:tcW w:w="3751" w:type="dxa"/>
            <w:vAlign w:val="top"/>
          </w:tcPr>
          <w:p w14:paraId="5E20EC6E">
            <w:pPr>
              <w:pStyle w:val="6"/>
              <w:spacing w:before="97" w:line="226" w:lineRule="auto"/>
              <w:ind w:left="885"/>
              <w:rPr>
                <w:sz w:val="20"/>
                <w:szCs w:val="20"/>
              </w:rPr>
            </w:pPr>
            <w:r>
              <w:rPr>
                <w:spacing w:val="7"/>
                <w:sz w:val="20"/>
                <w:szCs w:val="20"/>
              </w:rPr>
              <w:t>喷淋</w:t>
            </w:r>
            <w:r>
              <w:rPr>
                <w:rFonts w:ascii="Times New Roman" w:hAnsi="Times New Roman" w:eastAsia="Times New Roman" w:cs="Times New Roman"/>
                <w:spacing w:val="7"/>
                <w:sz w:val="20"/>
                <w:szCs w:val="20"/>
              </w:rPr>
              <w:t>+</w:t>
            </w:r>
            <w:r>
              <w:rPr>
                <w:spacing w:val="7"/>
                <w:sz w:val="20"/>
                <w:szCs w:val="20"/>
              </w:rPr>
              <w:t>二级活性炭吸附</w:t>
            </w:r>
          </w:p>
        </w:tc>
        <w:tc>
          <w:tcPr>
            <w:tcW w:w="1373" w:type="dxa"/>
            <w:vAlign w:val="top"/>
          </w:tcPr>
          <w:p w14:paraId="331B7E2C">
            <w:pPr>
              <w:spacing w:before="128"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 w:type="dxa"/>
            <w:vMerge w:val="continue"/>
            <w:tcBorders>
              <w:top w:val="nil"/>
              <w:bottom w:val="nil"/>
              <w:right w:val="single" w:color="000000" w:sz="6" w:space="0"/>
            </w:tcBorders>
            <w:vAlign w:val="top"/>
          </w:tcPr>
          <w:p w14:paraId="7269EB44">
            <w:pPr>
              <w:rPr>
                <w:rFonts w:ascii="Arial"/>
                <w:sz w:val="21"/>
              </w:rPr>
            </w:pPr>
          </w:p>
        </w:tc>
      </w:tr>
      <w:tr w14:paraId="01C11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26F03174">
            <w:pPr>
              <w:rPr>
                <w:rFonts w:ascii="Arial"/>
                <w:sz w:val="21"/>
              </w:rPr>
            </w:pPr>
          </w:p>
        </w:tc>
        <w:tc>
          <w:tcPr>
            <w:tcW w:w="186" w:type="dxa"/>
            <w:vMerge w:val="continue"/>
            <w:tcBorders>
              <w:top w:val="nil"/>
              <w:bottom w:val="nil"/>
            </w:tcBorders>
            <w:vAlign w:val="top"/>
          </w:tcPr>
          <w:p w14:paraId="4A054908">
            <w:pPr>
              <w:rPr>
                <w:rFonts w:ascii="Arial"/>
                <w:sz w:val="21"/>
              </w:rPr>
            </w:pPr>
          </w:p>
        </w:tc>
        <w:tc>
          <w:tcPr>
            <w:tcW w:w="748" w:type="dxa"/>
            <w:vMerge w:val="continue"/>
            <w:tcBorders>
              <w:top w:val="nil"/>
              <w:bottom w:val="nil"/>
            </w:tcBorders>
            <w:vAlign w:val="top"/>
          </w:tcPr>
          <w:p w14:paraId="71D6608E">
            <w:pPr>
              <w:rPr>
                <w:rFonts w:ascii="Arial"/>
                <w:sz w:val="21"/>
              </w:rPr>
            </w:pPr>
          </w:p>
        </w:tc>
        <w:tc>
          <w:tcPr>
            <w:tcW w:w="874" w:type="dxa"/>
            <w:gridSpan w:val="2"/>
            <w:vMerge w:val="continue"/>
            <w:tcBorders>
              <w:top w:val="nil"/>
              <w:bottom w:val="nil"/>
            </w:tcBorders>
            <w:vAlign w:val="top"/>
          </w:tcPr>
          <w:p w14:paraId="535394F2">
            <w:pPr>
              <w:rPr>
                <w:rFonts w:ascii="Arial"/>
                <w:sz w:val="21"/>
              </w:rPr>
            </w:pPr>
          </w:p>
        </w:tc>
        <w:tc>
          <w:tcPr>
            <w:tcW w:w="1083" w:type="dxa"/>
            <w:vAlign w:val="top"/>
          </w:tcPr>
          <w:p w14:paraId="21FF9B83">
            <w:pPr>
              <w:pStyle w:val="6"/>
              <w:spacing w:before="95" w:line="229" w:lineRule="auto"/>
              <w:ind w:left="334"/>
              <w:rPr>
                <w:sz w:val="20"/>
                <w:szCs w:val="20"/>
              </w:rPr>
            </w:pPr>
            <w:r>
              <w:rPr>
                <w:spacing w:val="4"/>
                <w:sz w:val="20"/>
                <w:szCs w:val="20"/>
              </w:rPr>
              <w:t>酸雾</w:t>
            </w:r>
          </w:p>
        </w:tc>
        <w:tc>
          <w:tcPr>
            <w:tcW w:w="3751" w:type="dxa"/>
            <w:vAlign w:val="top"/>
          </w:tcPr>
          <w:p w14:paraId="70B18A9D">
            <w:pPr>
              <w:pStyle w:val="6"/>
              <w:spacing w:before="95" w:line="226" w:lineRule="auto"/>
              <w:ind w:left="724"/>
              <w:rPr>
                <w:sz w:val="20"/>
                <w:szCs w:val="20"/>
              </w:rPr>
            </w:pPr>
            <w:r>
              <w:rPr>
                <w:spacing w:val="8"/>
                <w:sz w:val="20"/>
                <w:szCs w:val="20"/>
              </w:rPr>
              <w:t>碱液喷淋塔（三级喷淋）</w:t>
            </w:r>
          </w:p>
        </w:tc>
        <w:tc>
          <w:tcPr>
            <w:tcW w:w="1373" w:type="dxa"/>
            <w:vAlign w:val="top"/>
          </w:tcPr>
          <w:p w14:paraId="1ADAC471">
            <w:pPr>
              <w:spacing w:before="127"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 w:type="dxa"/>
            <w:vMerge w:val="continue"/>
            <w:tcBorders>
              <w:top w:val="nil"/>
              <w:bottom w:val="nil"/>
              <w:right w:val="single" w:color="000000" w:sz="6" w:space="0"/>
            </w:tcBorders>
            <w:vAlign w:val="top"/>
          </w:tcPr>
          <w:p w14:paraId="0E588C82">
            <w:pPr>
              <w:rPr>
                <w:rFonts w:ascii="Arial"/>
                <w:sz w:val="21"/>
              </w:rPr>
            </w:pPr>
          </w:p>
        </w:tc>
      </w:tr>
      <w:tr w14:paraId="0CADE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3756BB95">
            <w:pPr>
              <w:rPr>
                <w:rFonts w:ascii="Arial"/>
                <w:sz w:val="21"/>
              </w:rPr>
            </w:pPr>
          </w:p>
        </w:tc>
        <w:tc>
          <w:tcPr>
            <w:tcW w:w="186" w:type="dxa"/>
            <w:vMerge w:val="continue"/>
            <w:tcBorders>
              <w:top w:val="nil"/>
              <w:bottom w:val="nil"/>
            </w:tcBorders>
            <w:vAlign w:val="top"/>
          </w:tcPr>
          <w:p w14:paraId="49EA0FCD">
            <w:pPr>
              <w:rPr>
                <w:rFonts w:ascii="Arial"/>
                <w:sz w:val="21"/>
              </w:rPr>
            </w:pPr>
          </w:p>
        </w:tc>
        <w:tc>
          <w:tcPr>
            <w:tcW w:w="748" w:type="dxa"/>
            <w:vMerge w:val="continue"/>
            <w:tcBorders>
              <w:top w:val="nil"/>
              <w:bottom w:val="nil"/>
            </w:tcBorders>
            <w:vAlign w:val="top"/>
          </w:tcPr>
          <w:p w14:paraId="387E2E0B">
            <w:pPr>
              <w:rPr>
                <w:rFonts w:ascii="Arial"/>
                <w:sz w:val="21"/>
              </w:rPr>
            </w:pPr>
          </w:p>
        </w:tc>
        <w:tc>
          <w:tcPr>
            <w:tcW w:w="874" w:type="dxa"/>
            <w:gridSpan w:val="2"/>
            <w:vMerge w:val="continue"/>
            <w:tcBorders>
              <w:top w:val="nil"/>
            </w:tcBorders>
            <w:vAlign w:val="top"/>
          </w:tcPr>
          <w:p w14:paraId="1973293B">
            <w:pPr>
              <w:rPr>
                <w:rFonts w:ascii="Arial"/>
                <w:sz w:val="21"/>
              </w:rPr>
            </w:pPr>
          </w:p>
        </w:tc>
        <w:tc>
          <w:tcPr>
            <w:tcW w:w="1083" w:type="dxa"/>
            <w:vAlign w:val="top"/>
          </w:tcPr>
          <w:p w14:paraId="3408FCBC">
            <w:pPr>
              <w:pStyle w:val="6"/>
              <w:spacing w:before="96" w:line="228" w:lineRule="auto"/>
              <w:ind w:left="127"/>
              <w:rPr>
                <w:sz w:val="20"/>
                <w:szCs w:val="20"/>
              </w:rPr>
            </w:pPr>
            <w:r>
              <w:rPr>
                <w:spacing w:val="6"/>
                <w:sz w:val="20"/>
                <w:szCs w:val="20"/>
              </w:rPr>
              <w:t>厂区异味</w:t>
            </w:r>
          </w:p>
        </w:tc>
        <w:tc>
          <w:tcPr>
            <w:tcW w:w="3751" w:type="dxa"/>
            <w:vAlign w:val="top"/>
          </w:tcPr>
          <w:p w14:paraId="4AD00A5D">
            <w:pPr>
              <w:pStyle w:val="6"/>
              <w:spacing w:before="96" w:line="228" w:lineRule="auto"/>
              <w:ind w:left="205"/>
              <w:rPr>
                <w:sz w:val="20"/>
                <w:szCs w:val="20"/>
              </w:rPr>
            </w:pPr>
            <w:r>
              <w:rPr>
                <w:spacing w:val="9"/>
                <w:sz w:val="20"/>
                <w:szCs w:val="20"/>
              </w:rPr>
              <w:t>车间通风换气，厂区扩散，厂界阻隔</w:t>
            </w:r>
          </w:p>
        </w:tc>
        <w:tc>
          <w:tcPr>
            <w:tcW w:w="1373" w:type="dxa"/>
            <w:vAlign w:val="top"/>
          </w:tcPr>
          <w:p w14:paraId="7BE57E63">
            <w:pPr>
              <w:spacing w:before="128" w:line="199" w:lineRule="auto"/>
              <w:ind w:left="661"/>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w:t>
            </w:r>
          </w:p>
        </w:tc>
        <w:tc>
          <w:tcPr>
            <w:tcW w:w="195" w:type="dxa"/>
            <w:vMerge w:val="continue"/>
            <w:tcBorders>
              <w:top w:val="nil"/>
              <w:bottom w:val="nil"/>
              <w:right w:val="single" w:color="000000" w:sz="6" w:space="0"/>
            </w:tcBorders>
            <w:vAlign w:val="top"/>
          </w:tcPr>
          <w:p w14:paraId="6F5DAC00">
            <w:pPr>
              <w:rPr>
                <w:rFonts w:ascii="Arial"/>
                <w:sz w:val="21"/>
              </w:rPr>
            </w:pPr>
          </w:p>
        </w:tc>
      </w:tr>
      <w:tr w14:paraId="48BEA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1F65DFC8">
            <w:pPr>
              <w:rPr>
                <w:rFonts w:ascii="Arial"/>
                <w:sz w:val="21"/>
              </w:rPr>
            </w:pPr>
          </w:p>
        </w:tc>
        <w:tc>
          <w:tcPr>
            <w:tcW w:w="186" w:type="dxa"/>
            <w:vMerge w:val="continue"/>
            <w:tcBorders>
              <w:top w:val="nil"/>
              <w:bottom w:val="nil"/>
            </w:tcBorders>
            <w:vAlign w:val="top"/>
          </w:tcPr>
          <w:p w14:paraId="16E3B38C">
            <w:pPr>
              <w:rPr>
                <w:rFonts w:ascii="Arial"/>
                <w:sz w:val="21"/>
              </w:rPr>
            </w:pPr>
          </w:p>
        </w:tc>
        <w:tc>
          <w:tcPr>
            <w:tcW w:w="748" w:type="dxa"/>
            <w:vMerge w:val="continue"/>
            <w:tcBorders>
              <w:top w:val="nil"/>
              <w:bottom w:val="nil"/>
            </w:tcBorders>
            <w:vAlign w:val="top"/>
          </w:tcPr>
          <w:p w14:paraId="5CC99C46">
            <w:pPr>
              <w:rPr>
                <w:rFonts w:ascii="Arial"/>
                <w:sz w:val="21"/>
              </w:rPr>
            </w:pPr>
          </w:p>
        </w:tc>
        <w:tc>
          <w:tcPr>
            <w:tcW w:w="1957" w:type="dxa"/>
            <w:gridSpan w:val="3"/>
            <w:vAlign w:val="top"/>
          </w:tcPr>
          <w:p w14:paraId="674E4818">
            <w:pPr>
              <w:pStyle w:val="6"/>
              <w:spacing w:before="98" w:line="228" w:lineRule="auto"/>
              <w:ind w:left="569"/>
              <w:rPr>
                <w:sz w:val="20"/>
                <w:szCs w:val="20"/>
              </w:rPr>
            </w:pPr>
            <w:r>
              <w:rPr>
                <w:spacing w:val="4"/>
                <w:sz w:val="20"/>
                <w:szCs w:val="20"/>
              </w:rPr>
              <w:t>噪声治理</w:t>
            </w:r>
          </w:p>
        </w:tc>
        <w:tc>
          <w:tcPr>
            <w:tcW w:w="3751" w:type="dxa"/>
            <w:vAlign w:val="top"/>
          </w:tcPr>
          <w:p w14:paraId="2235311A">
            <w:pPr>
              <w:pStyle w:val="6"/>
              <w:spacing w:before="98" w:line="228" w:lineRule="auto"/>
              <w:ind w:left="1255"/>
              <w:rPr>
                <w:sz w:val="20"/>
                <w:szCs w:val="20"/>
              </w:rPr>
            </w:pPr>
            <w:r>
              <w:rPr>
                <w:spacing w:val="7"/>
                <w:sz w:val="20"/>
                <w:szCs w:val="20"/>
              </w:rPr>
              <w:t>设备装减振垫</w:t>
            </w:r>
          </w:p>
        </w:tc>
        <w:tc>
          <w:tcPr>
            <w:tcW w:w="1373" w:type="dxa"/>
            <w:vAlign w:val="top"/>
          </w:tcPr>
          <w:p w14:paraId="5D9DE19A">
            <w:pPr>
              <w:spacing w:before="130"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 w:type="dxa"/>
            <w:vMerge w:val="continue"/>
            <w:tcBorders>
              <w:top w:val="nil"/>
              <w:bottom w:val="nil"/>
              <w:right w:val="single" w:color="000000" w:sz="6" w:space="0"/>
            </w:tcBorders>
            <w:vAlign w:val="top"/>
          </w:tcPr>
          <w:p w14:paraId="67141AD7">
            <w:pPr>
              <w:rPr>
                <w:rFonts w:ascii="Arial"/>
                <w:sz w:val="21"/>
              </w:rPr>
            </w:pPr>
          </w:p>
        </w:tc>
      </w:tr>
      <w:tr w14:paraId="5608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778" w:type="dxa"/>
            <w:vMerge w:val="continue"/>
            <w:tcBorders>
              <w:top w:val="nil"/>
              <w:left w:val="single" w:color="000000" w:sz="6" w:space="0"/>
              <w:bottom w:val="nil"/>
            </w:tcBorders>
            <w:vAlign w:val="top"/>
          </w:tcPr>
          <w:p w14:paraId="140EE7E2">
            <w:pPr>
              <w:rPr>
                <w:rFonts w:ascii="Arial"/>
                <w:sz w:val="21"/>
              </w:rPr>
            </w:pPr>
          </w:p>
        </w:tc>
        <w:tc>
          <w:tcPr>
            <w:tcW w:w="186" w:type="dxa"/>
            <w:vMerge w:val="continue"/>
            <w:tcBorders>
              <w:top w:val="nil"/>
              <w:bottom w:val="nil"/>
            </w:tcBorders>
            <w:vAlign w:val="top"/>
          </w:tcPr>
          <w:p w14:paraId="26466DA9">
            <w:pPr>
              <w:rPr>
                <w:rFonts w:ascii="Arial"/>
                <w:sz w:val="21"/>
              </w:rPr>
            </w:pPr>
          </w:p>
        </w:tc>
        <w:tc>
          <w:tcPr>
            <w:tcW w:w="748" w:type="dxa"/>
            <w:vMerge w:val="continue"/>
            <w:tcBorders>
              <w:top w:val="nil"/>
              <w:bottom w:val="nil"/>
            </w:tcBorders>
            <w:vAlign w:val="top"/>
          </w:tcPr>
          <w:p w14:paraId="32C265EA">
            <w:pPr>
              <w:rPr>
                <w:rFonts w:ascii="Arial"/>
                <w:sz w:val="21"/>
              </w:rPr>
            </w:pPr>
          </w:p>
        </w:tc>
        <w:tc>
          <w:tcPr>
            <w:tcW w:w="874" w:type="dxa"/>
            <w:gridSpan w:val="2"/>
            <w:vMerge w:val="restart"/>
            <w:tcBorders>
              <w:bottom w:val="nil"/>
            </w:tcBorders>
            <w:vAlign w:val="top"/>
          </w:tcPr>
          <w:p w14:paraId="7CF04086">
            <w:pPr>
              <w:spacing w:line="312" w:lineRule="auto"/>
              <w:rPr>
                <w:rFonts w:ascii="Arial"/>
                <w:sz w:val="21"/>
              </w:rPr>
            </w:pPr>
          </w:p>
          <w:p w14:paraId="7B792637">
            <w:pPr>
              <w:spacing w:line="313" w:lineRule="auto"/>
              <w:rPr>
                <w:rFonts w:ascii="Arial"/>
                <w:sz w:val="21"/>
              </w:rPr>
            </w:pPr>
          </w:p>
          <w:p w14:paraId="2FD686EA">
            <w:pPr>
              <w:pStyle w:val="6"/>
              <w:spacing w:before="65" w:line="252" w:lineRule="auto"/>
              <w:ind w:left="333" w:right="125" w:hanging="193"/>
              <w:rPr>
                <w:sz w:val="20"/>
                <w:szCs w:val="20"/>
              </w:rPr>
            </w:pPr>
            <w:r>
              <w:rPr>
                <w:sz w:val="20"/>
                <w:szCs w:val="20"/>
              </w:rPr>
              <w:t>固体废</w:t>
            </w:r>
            <w:r>
              <w:rPr>
                <w:spacing w:val="1"/>
                <w:sz w:val="20"/>
                <w:szCs w:val="20"/>
              </w:rPr>
              <w:t xml:space="preserve"> </w:t>
            </w:r>
            <w:r>
              <w:rPr>
                <w:sz w:val="20"/>
                <w:szCs w:val="20"/>
              </w:rPr>
              <w:t>物</w:t>
            </w:r>
          </w:p>
        </w:tc>
        <w:tc>
          <w:tcPr>
            <w:tcW w:w="1083" w:type="dxa"/>
            <w:vAlign w:val="top"/>
          </w:tcPr>
          <w:p w14:paraId="51BC2555">
            <w:pPr>
              <w:spacing w:line="281" w:lineRule="auto"/>
              <w:rPr>
                <w:rFonts w:ascii="Arial"/>
                <w:sz w:val="21"/>
              </w:rPr>
            </w:pPr>
          </w:p>
          <w:p w14:paraId="514630DD">
            <w:pPr>
              <w:pStyle w:val="6"/>
              <w:spacing w:before="65" w:line="228" w:lineRule="auto"/>
              <w:ind w:left="127"/>
              <w:rPr>
                <w:sz w:val="20"/>
                <w:szCs w:val="20"/>
              </w:rPr>
            </w:pPr>
            <w:r>
              <w:rPr>
                <w:spacing w:val="6"/>
                <w:sz w:val="20"/>
                <w:szCs w:val="20"/>
              </w:rPr>
              <w:t>危险废物</w:t>
            </w:r>
          </w:p>
        </w:tc>
        <w:tc>
          <w:tcPr>
            <w:tcW w:w="3751" w:type="dxa"/>
            <w:vAlign w:val="top"/>
          </w:tcPr>
          <w:p w14:paraId="04B29FE3">
            <w:pPr>
              <w:pStyle w:val="6"/>
              <w:spacing w:before="76" w:line="228" w:lineRule="auto"/>
              <w:ind w:left="150"/>
              <w:rPr>
                <w:sz w:val="20"/>
                <w:szCs w:val="20"/>
              </w:rPr>
            </w:pPr>
            <w:r>
              <w:rPr>
                <w:spacing w:val="1"/>
                <w:sz w:val="20"/>
                <w:szCs w:val="20"/>
              </w:rPr>
              <w:t>位于</w:t>
            </w:r>
            <w:r>
              <w:rPr>
                <w:spacing w:val="-30"/>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7"/>
                <w:sz w:val="20"/>
                <w:szCs w:val="20"/>
              </w:rPr>
              <w:t xml:space="preserve"> </w:t>
            </w:r>
            <w:r>
              <w:rPr>
                <w:spacing w:val="1"/>
                <w:sz w:val="20"/>
                <w:szCs w:val="20"/>
              </w:rPr>
              <w:t>号楼</w:t>
            </w:r>
            <w:r>
              <w:rPr>
                <w:spacing w:val="-23"/>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层，建筑面积</w:t>
            </w:r>
            <w:r>
              <w:rPr>
                <w:spacing w:val="-37"/>
                <w:sz w:val="20"/>
                <w:szCs w:val="20"/>
              </w:rPr>
              <w:t xml:space="preserve"> </w:t>
            </w:r>
            <w:r>
              <w:rPr>
                <w:rFonts w:ascii="Times New Roman" w:hAnsi="Times New Roman" w:eastAsia="Times New Roman" w:cs="Times New Roman"/>
                <w:spacing w:val="1"/>
                <w:sz w:val="20"/>
                <w:szCs w:val="20"/>
              </w:rPr>
              <w:t>72</w:t>
            </w:r>
            <w:r>
              <w:rPr>
                <w:rFonts w:ascii="Times New Roman" w:hAnsi="Times New Roman" w:eastAsia="Times New Roman" w:cs="Times New Roman"/>
                <w:spacing w:val="18"/>
                <w:w w:val="101"/>
                <w:sz w:val="20"/>
                <w:szCs w:val="20"/>
              </w:rPr>
              <w:t xml:space="preserve"> </w:t>
            </w:r>
            <w:r>
              <w:rPr>
                <w:spacing w:val="1"/>
                <w:sz w:val="20"/>
                <w:szCs w:val="20"/>
              </w:rPr>
              <w:t>㎡</w:t>
            </w:r>
            <w:r>
              <w:rPr>
                <w:spacing w:val="-58"/>
                <w:sz w:val="20"/>
                <w:szCs w:val="20"/>
              </w:rPr>
              <w:t xml:space="preserve"> </w:t>
            </w:r>
            <w:r>
              <w:rPr>
                <w:spacing w:val="1"/>
                <w:sz w:val="20"/>
                <w:szCs w:val="20"/>
              </w:rPr>
              <w:t>，分</w:t>
            </w:r>
          </w:p>
          <w:p w14:paraId="730F994B">
            <w:pPr>
              <w:pStyle w:val="6"/>
              <w:spacing w:before="24" w:line="227" w:lineRule="auto"/>
              <w:ind w:left="112"/>
              <w:rPr>
                <w:sz w:val="20"/>
                <w:szCs w:val="20"/>
              </w:rPr>
            </w:pPr>
            <w:r>
              <w:rPr>
                <w:spacing w:val="7"/>
                <w:sz w:val="20"/>
                <w:szCs w:val="20"/>
              </w:rPr>
              <w:t>类暂存本项目产生的危废。建成后原项</w:t>
            </w:r>
          </w:p>
          <w:p w14:paraId="66DC56BC">
            <w:pPr>
              <w:pStyle w:val="6"/>
              <w:spacing w:before="25" w:line="228" w:lineRule="auto"/>
              <w:ind w:left="872"/>
              <w:rPr>
                <w:sz w:val="20"/>
                <w:szCs w:val="20"/>
              </w:rPr>
            </w:pPr>
            <w:r>
              <w:rPr>
                <w:spacing w:val="4"/>
                <w:sz w:val="20"/>
                <w:szCs w:val="20"/>
              </w:rPr>
              <w:t>目的危废暂存间拆除。</w:t>
            </w:r>
          </w:p>
        </w:tc>
        <w:tc>
          <w:tcPr>
            <w:tcW w:w="1373" w:type="dxa"/>
            <w:vAlign w:val="top"/>
          </w:tcPr>
          <w:p w14:paraId="4ABEEFAF">
            <w:pPr>
              <w:pStyle w:val="6"/>
              <w:spacing w:before="76" w:line="228" w:lineRule="auto"/>
              <w:ind w:left="119"/>
              <w:rPr>
                <w:sz w:val="20"/>
                <w:szCs w:val="20"/>
              </w:rPr>
            </w:pPr>
            <w:r>
              <w:rPr>
                <w:spacing w:val="-6"/>
                <w:sz w:val="20"/>
                <w:szCs w:val="20"/>
              </w:rPr>
              <w:t>地面防渗，围</w:t>
            </w:r>
          </w:p>
          <w:p w14:paraId="5CE2F490">
            <w:pPr>
              <w:pStyle w:val="6"/>
              <w:spacing w:before="23" w:line="251" w:lineRule="auto"/>
              <w:ind w:left="276" w:right="99" w:hanging="156"/>
              <w:rPr>
                <w:sz w:val="20"/>
                <w:szCs w:val="20"/>
              </w:rPr>
            </w:pPr>
            <w:r>
              <w:rPr>
                <w:spacing w:val="-9"/>
                <w:sz w:val="20"/>
                <w:szCs w:val="20"/>
              </w:rPr>
              <w:t>堰，按要求暂</w:t>
            </w:r>
            <w:r>
              <w:rPr>
                <w:sz w:val="20"/>
                <w:szCs w:val="20"/>
              </w:rPr>
              <w:t xml:space="preserve"> </w:t>
            </w:r>
            <w:r>
              <w:rPr>
                <w:spacing w:val="7"/>
                <w:sz w:val="20"/>
                <w:szCs w:val="20"/>
              </w:rPr>
              <w:t>存、转移</w:t>
            </w:r>
          </w:p>
        </w:tc>
        <w:tc>
          <w:tcPr>
            <w:tcW w:w="195" w:type="dxa"/>
            <w:vMerge w:val="continue"/>
            <w:tcBorders>
              <w:top w:val="nil"/>
              <w:bottom w:val="nil"/>
              <w:right w:val="single" w:color="000000" w:sz="6" w:space="0"/>
            </w:tcBorders>
            <w:vAlign w:val="top"/>
          </w:tcPr>
          <w:p w14:paraId="1F59B8CA">
            <w:pPr>
              <w:rPr>
                <w:rFonts w:ascii="Arial"/>
                <w:sz w:val="21"/>
              </w:rPr>
            </w:pPr>
          </w:p>
        </w:tc>
      </w:tr>
      <w:tr w14:paraId="3033F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20491B09">
            <w:pPr>
              <w:rPr>
                <w:rFonts w:ascii="Arial"/>
                <w:sz w:val="21"/>
              </w:rPr>
            </w:pPr>
          </w:p>
        </w:tc>
        <w:tc>
          <w:tcPr>
            <w:tcW w:w="186" w:type="dxa"/>
            <w:vMerge w:val="continue"/>
            <w:tcBorders>
              <w:top w:val="nil"/>
              <w:bottom w:val="nil"/>
            </w:tcBorders>
            <w:vAlign w:val="top"/>
          </w:tcPr>
          <w:p w14:paraId="77B43944">
            <w:pPr>
              <w:rPr>
                <w:rFonts w:ascii="Arial"/>
                <w:sz w:val="21"/>
              </w:rPr>
            </w:pPr>
          </w:p>
        </w:tc>
        <w:tc>
          <w:tcPr>
            <w:tcW w:w="748" w:type="dxa"/>
            <w:vMerge w:val="continue"/>
            <w:tcBorders>
              <w:top w:val="nil"/>
              <w:bottom w:val="nil"/>
            </w:tcBorders>
            <w:vAlign w:val="top"/>
          </w:tcPr>
          <w:p w14:paraId="5A8758F0">
            <w:pPr>
              <w:rPr>
                <w:rFonts w:ascii="Arial"/>
                <w:sz w:val="21"/>
              </w:rPr>
            </w:pPr>
          </w:p>
        </w:tc>
        <w:tc>
          <w:tcPr>
            <w:tcW w:w="874" w:type="dxa"/>
            <w:gridSpan w:val="2"/>
            <w:vMerge w:val="continue"/>
            <w:tcBorders>
              <w:top w:val="nil"/>
              <w:bottom w:val="nil"/>
            </w:tcBorders>
            <w:vAlign w:val="top"/>
          </w:tcPr>
          <w:p w14:paraId="4DFBFE7A">
            <w:pPr>
              <w:rPr>
                <w:rFonts w:ascii="Arial"/>
                <w:sz w:val="21"/>
              </w:rPr>
            </w:pPr>
          </w:p>
        </w:tc>
        <w:tc>
          <w:tcPr>
            <w:tcW w:w="1083" w:type="dxa"/>
            <w:vAlign w:val="top"/>
          </w:tcPr>
          <w:p w14:paraId="2057C4DD">
            <w:pPr>
              <w:pStyle w:val="6"/>
              <w:spacing w:before="99" w:line="228" w:lineRule="auto"/>
              <w:ind w:left="128"/>
              <w:rPr>
                <w:sz w:val="20"/>
                <w:szCs w:val="20"/>
              </w:rPr>
            </w:pPr>
            <w:r>
              <w:rPr>
                <w:spacing w:val="6"/>
                <w:sz w:val="20"/>
                <w:szCs w:val="20"/>
              </w:rPr>
              <w:t>一般固废</w:t>
            </w:r>
          </w:p>
        </w:tc>
        <w:tc>
          <w:tcPr>
            <w:tcW w:w="3751" w:type="dxa"/>
            <w:vAlign w:val="top"/>
          </w:tcPr>
          <w:p w14:paraId="46838567">
            <w:pPr>
              <w:pStyle w:val="6"/>
              <w:spacing w:before="98" w:line="228" w:lineRule="auto"/>
              <w:ind w:left="1149"/>
              <w:rPr>
                <w:sz w:val="20"/>
                <w:szCs w:val="20"/>
              </w:rPr>
            </w:pPr>
            <w:r>
              <w:rPr>
                <w:spacing w:val="8"/>
                <w:sz w:val="20"/>
                <w:szCs w:val="20"/>
              </w:rPr>
              <w:t>各车间临时存放</w:t>
            </w:r>
          </w:p>
        </w:tc>
        <w:tc>
          <w:tcPr>
            <w:tcW w:w="1373" w:type="dxa"/>
            <w:vAlign w:val="top"/>
          </w:tcPr>
          <w:p w14:paraId="1466B06E">
            <w:pPr>
              <w:pStyle w:val="6"/>
              <w:spacing w:before="99" w:line="228" w:lineRule="auto"/>
              <w:ind w:left="176"/>
              <w:rPr>
                <w:sz w:val="20"/>
                <w:szCs w:val="20"/>
              </w:rPr>
            </w:pPr>
            <w:r>
              <w:rPr>
                <w:spacing w:val="7"/>
                <w:sz w:val="20"/>
                <w:szCs w:val="20"/>
              </w:rPr>
              <w:t>外售、利用</w:t>
            </w:r>
          </w:p>
        </w:tc>
        <w:tc>
          <w:tcPr>
            <w:tcW w:w="195" w:type="dxa"/>
            <w:vMerge w:val="continue"/>
            <w:tcBorders>
              <w:top w:val="nil"/>
              <w:bottom w:val="nil"/>
              <w:right w:val="single" w:color="000000" w:sz="6" w:space="0"/>
            </w:tcBorders>
            <w:vAlign w:val="top"/>
          </w:tcPr>
          <w:p w14:paraId="7BA2E32A">
            <w:pPr>
              <w:rPr>
                <w:rFonts w:ascii="Arial"/>
                <w:sz w:val="21"/>
              </w:rPr>
            </w:pPr>
          </w:p>
        </w:tc>
      </w:tr>
      <w:tr w14:paraId="76A6A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8" w:type="dxa"/>
            <w:vMerge w:val="continue"/>
            <w:tcBorders>
              <w:top w:val="nil"/>
              <w:left w:val="single" w:color="000000" w:sz="6" w:space="0"/>
              <w:bottom w:val="nil"/>
            </w:tcBorders>
            <w:vAlign w:val="top"/>
          </w:tcPr>
          <w:p w14:paraId="2A7265F8">
            <w:pPr>
              <w:rPr>
                <w:rFonts w:ascii="Arial"/>
                <w:sz w:val="21"/>
              </w:rPr>
            </w:pPr>
          </w:p>
        </w:tc>
        <w:tc>
          <w:tcPr>
            <w:tcW w:w="186" w:type="dxa"/>
            <w:vMerge w:val="continue"/>
            <w:tcBorders>
              <w:top w:val="nil"/>
              <w:bottom w:val="nil"/>
            </w:tcBorders>
            <w:vAlign w:val="top"/>
          </w:tcPr>
          <w:p w14:paraId="44116664">
            <w:pPr>
              <w:rPr>
                <w:rFonts w:ascii="Arial"/>
                <w:sz w:val="21"/>
              </w:rPr>
            </w:pPr>
          </w:p>
        </w:tc>
        <w:tc>
          <w:tcPr>
            <w:tcW w:w="748" w:type="dxa"/>
            <w:vMerge w:val="continue"/>
            <w:tcBorders>
              <w:top w:val="nil"/>
            </w:tcBorders>
            <w:vAlign w:val="top"/>
          </w:tcPr>
          <w:p w14:paraId="27F56888">
            <w:pPr>
              <w:rPr>
                <w:rFonts w:ascii="Arial"/>
                <w:sz w:val="21"/>
              </w:rPr>
            </w:pPr>
          </w:p>
        </w:tc>
        <w:tc>
          <w:tcPr>
            <w:tcW w:w="874" w:type="dxa"/>
            <w:gridSpan w:val="2"/>
            <w:vMerge w:val="continue"/>
            <w:tcBorders>
              <w:top w:val="nil"/>
            </w:tcBorders>
            <w:vAlign w:val="top"/>
          </w:tcPr>
          <w:p w14:paraId="715B3F78">
            <w:pPr>
              <w:rPr>
                <w:rFonts w:ascii="Arial"/>
                <w:sz w:val="21"/>
              </w:rPr>
            </w:pPr>
          </w:p>
        </w:tc>
        <w:tc>
          <w:tcPr>
            <w:tcW w:w="1083" w:type="dxa"/>
            <w:vAlign w:val="top"/>
          </w:tcPr>
          <w:p w14:paraId="1A66A35C">
            <w:pPr>
              <w:pStyle w:val="6"/>
              <w:spacing w:before="172" w:line="228" w:lineRule="auto"/>
              <w:ind w:left="126"/>
              <w:rPr>
                <w:sz w:val="20"/>
                <w:szCs w:val="20"/>
              </w:rPr>
            </w:pPr>
            <w:r>
              <w:rPr>
                <w:spacing w:val="6"/>
                <w:sz w:val="20"/>
                <w:szCs w:val="20"/>
              </w:rPr>
              <w:t>生活垃圾</w:t>
            </w:r>
          </w:p>
        </w:tc>
        <w:tc>
          <w:tcPr>
            <w:tcW w:w="3751" w:type="dxa"/>
            <w:vAlign w:val="top"/>
          </w:tcPr>
          <w:p w14:paraId="00011945">
            <w:pPr>
              <w:pStyle w:val="6"/>
              <w:spacing w:before="171" w:line="228" w:lineRule="auto"/>
              <w:ind w:left="1359"/>
              <w:rPr>
                <w:sz w:val="20"/>
                <w:szCs w:val="20"/>
              </w:rPr>
            </w:pPr>
            <w:r>
              <w:rPr>
                <w:spacing w:val="7"/>
                <w:sz w:val="20"/>
                <w:szCs w:val="20"/>
              </w:rPr>
              <w:t>垃圾收集桶</w:t>
            </w:r>
          </w:p>
        </w:tc>
        <w:tc>
          <w:tcPr>
            <w:tcW w:w="1373" w:type="dxa"/>
            <w:vAlign w:val="top"/>
          </w:tcPr>
          <w:p w14:paraId="4E5BCB0A">
            <w:pPr>
              <w:pStyle w:val="6"/>
              <w:spacing w:before="37" w:line="228" w:lineRule="auto"/>
              <w:ind w:left="176"/>
              <w:rPr>
                <w:sz w:val="20"/>
                <w:szCs w:val="20"/>
              </w:rPr>
            </w:pPr>
            <w:r>
              <w:rPr>
                <w:spacing w:val="7"/>
                <w:sz w:val="20"/>
                <w:szCs w:val="20"/>
              </w:rPr>
              <w:t>交由环卫部</w:t>
            </w:r>
          </w:p>
          <w:p w14:paraId="562F1C1F">
            <w:pPr>
              <w:pStyle w:val="6"/>
              <w:spacing w:before="24" w:line="211" w:lineRule="auto"/>
              <w:ind w:left="407"/>
              <w:rPr>
                <w:sz w:val="20"/>
                <w:szCs w:val="20"/>
              </w:rPr>
            </w:pPr>
            <w:r>
              <w:rPr>
                <w:spacing w:val="-1"/>
                <w:sz w:val="20"/>
                <w:szCs w:val="20"/>
              </w:rPr>
              <w:t>门处理</w:t>
            </w:r>
          </w:p>
        </w:tc>
        <w:tc>
          <w:tcPr>
            <w:tcW w:w="195" w:type="dxa"/>
            <w:vMerge w:val="continue"/>
            <w:tcBorders>
              <w:top w:val="nil"/>
              <w:bottom w:val="nil"/>
              <w:right w:val="single" w:color="000000" w:sz="6" w:space="0"/>
            </w:tcBorders>
            <w:vAlign w:val="top"/>
          </w:tcPr>
          <w:p w14:paraId="2BE5A8B1">
            <w:pPr>
              <w:rPr>
                <w:rFonts w:ascii="Arial"/>
                <w:sz w:val="21"/>
              </w:rPr>
            </w:pPr>
          </w:p>
        </w:tc>
      </w:tr>
      <w:tr w14:paraId="78A8A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4" w:hRule="atLeast"/>
        </w:trPr>
        <w:tc>
          <w:tcPr>
            <w:tcW w:w="778" w:type="dxa"/>
            <w:vMerge w:val="continue"/>
            <w:tcBorders>
              <w:top w:val="nil"/>
              <w:left w:val="single" w:color="000000" w:sz="6" w:space="0"/>
              <w:bottom w:val="single" w:color="000000" w:sz="6" w:space="0"/>
            </w:tcBorders>
            <w:vAlign w:val="top"/>
          </w:tcPr>
          <w:p w14:paraId="0006C43D">
            <w:pPr>
              <w:rPr>
                <w:rFonts w:ascii="Arial"/>
                <w:sz w:val="21"/>
              </w:rPr>
            </w:pPr>
          </w:p>
        </w:tc>
        <w:tc>
          <w:tcPr>
            <w:tcW w:w="8210" w:type="dxa"/>
            <w:gridSpan w:val="8"/>
            <w:tcBorders>
              <w:bottom w:val="single" w:color="000000" w:sz="6" w:space="0"/>
              <w:right w:val="single" w:color="000000" w:sz="6" w:space="0"/>
            </w:tcBorders>
            <w:vAlign w:val="top"/>
          </w:tcPr>
          <w:p w14:paraId="21E7A11F">
            <w:pPr>
              <w:pStyle w:val="6"/>
              <w:spacing w:before="164" w:line="219" w:lineRule="auto"/>
              <w:ind w:left="590"/>
            </w:pPr>
            <w:r>
              <w:rPr>
                <w:rFonts w:ascii="Times New Roman" w:hAnsi="Times New Roman" w:eastAsia="Times New Roman" w:cs="Times New Roman"/>
                <w:spacing w:val="-6"/>
              </w:rPr>
              <w:t>3</w:t>
            </w:r>
            <w:r>
              <w:rPr>
                <w:rFonts w:ascii="Times New Roman" w:hAnsi="Times New Roman" w:eastAsia="Times New Roman" w:cs="Times New Roman"/>
                <w:spacing w:val="-34"/>
              </w:rPr>
              <w:t xml:space="preserve"> </w:t>
            </w:r>
            <w:r>
              <w:rPr>
                <w:spacing w:val="-6"/>
              </w:rPr>
              <w:t>、生产规模</w:t>
            </w:r>
          </w:p>
          <w:p w14:paraId="474FB425">
            <w:pPr>
              <w:pStyle w:val="6"/>
              <w:spacing w:before="184" w:line="360" w:lineRule="auto"/>
              <w:ind w:left="104" w:right="102" w:firstLine="486"/>
            </w:pPr>
            <w:r>
              <w:rPr>
                <w:spacing w:val="2"/>
              </w:rPr>
              <w:t>本项目宝石的注胶加工制得的产品为经注</w:t>
            </w:r>
            <w:r>
              <w:rPr>
                <w:spacing w:val="-47"/>
              </w:rPr>
              <w:t xml:space="preserve"> </w:t>
            </w:r>
            <w:r>
              <w:rPr>
                <w:rFonts w:ascii="Times New Roman" w:hAnsi="Times New Roman" w:eastAsia="Times New Roman" w:cs="Times New Roman"/>
                <w:spacing w:val="2"/>
              </w:rPr>
              <w:t xml:space="preserve">6 </w:t>
            </w:r>
            <w:r>
              <w:rPr>
                <w:spacing w:val="1"/>
              </w:rPr>
              <w:t>胶后的原料宝石，加工量约</w:t>
            </w:r>
            <w:r>
              <w:t xml:space="preserve"> </w:t>
            </w:r>
            <w:r>
              <w:rPr>
                <w:rFonts w:ascii="Times New Roman" w:hAnsi="Times New Roman" w:eastAsia="Times New Roman" w:cs="Times New Roman"/>
                <w:spacing w:val="-2"/>
              </w:rPr>
              <w:t>4860</w:t>
            </w:r>
            <w:r>
              <w:rPr>
                <w:rFonts w:ascii="Times New Roman" w:hAnsi="Times New Roman" w:eastAsia="Times New Roman" w:cs="Times New Roman"/>
                <w:spacing w:val="21"/>
              </w:rPr>
              <w:t xml:space="preserve"> </w:t>
            </w:r>
            <w:r>
              <w:rPr>
                <w:spacing w:val="-2"/>
              </w:rPr>
              <w:t>吨</w:t>
            </w:r>
            <w:r>
              <w:rPr>
                <w:rFonts w:ascii="Times New Roman" w:hAnsi="Times New Roman" w:eastAsia="Times New Roman" w:cs="Times New Roman"/>
                <w:spacing w:val="-2"/>
              </w:rPr>
              <w:t>/</w:t>
            </w:r>
            <w:r>
              <w:rPr>
                <w:spacing w:val="-2"/>
              </w:rPr>
              <w:t>年；宝石的泡酸加工制得的产品为经泡酸后的原料宝石，加</w:t>
            </w:r>
            <w:r>
              <w:rPr>
                <w:spacing w:val="-3"/>
              </w:rPr>
              <w:t>工量约为</w:t>
            </w:r>
            <w:r>
              <w:t xml:space="preserve"> </w:t>
            </w:r>
            <w:r>
              <w:rPr>
                <w:rFonts w:ascii="Times New Roman" w:hAnsi="Times New Roman" w:eastAsia="Times New Roman" w:cs="Times New Roman"/>
                <w:spacing w:val="-2"/>
              </w:rPr>
              <w:t>10000</w:t>
            </w:r>
            <w:r>
              <w:rPr>
                <w:rFonts w:ascii="Times New Roman" w:hAnsi="Times New Roman" w:eastAsia="Times New Roman" w:cs="Times New Roman"/>
                <w:spacing w:val="27"/>
              </w:rPr>
              <w:t xml:space="preserve"> </w:t>
            </w:r>
            <w:r>
              <w:rPr>
                <w:spacing w:val="-2"/>
              </w:rPr>
              <w:t>吨</w:t>
            </w:r>
            <w:r>
              <w:rPr>
                <w:rFonts w:ascii="Times New Roman" w:hAnsi="Times New Roman" w:eastAsia="Times New Roman" w:cs="Times New Roman"/>
                <w:spacing w:val="-2"/>
              </w:rPr>
              <w:t>/</w:t>
            </w:r>
            <w:r>
              <w:rPr>
                <w:spacing w:val="-2"/>
              </w:rPr>
              <w:t>年。生产能力见下表：</w:t>
            </w:r>
          </w:p>
          <w:p w14:paraId="065B9114">
            <w:pPr>
              <w:pStyle w:val="6"/>
              <w:spacing w:before="112" w:line="219" w:lineRule="auto"/>
              <w:ind w:left="2230"/>
            </w:pPr>
            <w:r>
              <w:rPr>
                <w:b/>
                <w:bCs/>
                <w:spacing w:val="-2"/>
              </w:rPr>
              <w:t>表</w:t>
            </w:r>
            <w:r>
              <w:rPr>
                <w:spacing w:val="-54"/>
              </w:rPr>
              <w:t xml:space="preserve"> </w:t>
            </w:r>
            <w:r>
              <w:rPr>
                <w:rFonts w:ascii="Times New Roman" w:hAnsi="Times New Roman" w:eastAsia="Times New Roman" w:cs="Times New Roman"/>
                <w:b/>
                <w:bCs/>
                <w:spacing w:val="-2"/>
              </w:rPr>
              <w:t xml:space="preserve">2-3    </w:t>
            </w:r>
            <w:r>
              <w:rPr>
                <w:b/>
                <w:bCs/>
                <w:spacing w:val="-2"/>
              </w:rPr>
              <w:t>本项目建成后全厂生产能力</w:t>
            </w:r>
          </w:p>
          <w:p w14:paraId="44A5A553">
            <w:pPr>
              <w:spacing w:line="147" w:lineRule="exact"/>
            </w:pPr>
          </w:p>
          <w:tbl>
            <w:tblPr>
              <w:tblStyle w:val="5"/>
              <w:tblW w:w="7797" w:type="dxa"/>
              <w:tblInd w:w="1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1188"/>
              <w:gridCol w:w="996"/>
              <w:gridCol w:w="1174"/>
              <w:gridCol w:w="1138"/>
              <w:gridCol w:w="985"/>
              <w:gridCol w:w="975"/>
              <w:gridCol w:w="782"/>
            </w:tblGrid>
            <w:tr w14:paraId="220E9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559" w:type="dxa"/>
                  <w:textDirection w:val="tbRlV"/>
                  <w:vAlign w:val="top"/>
                </w:tcPr>
                <w:p w14:paraId="4EE8161A">
                  <w:pPr>
                    <w:pStyle w:val="6"/>
                    <w:spacing w:before="174" w:line="218" w:lineRule="auto"/>
                    <w:ind w:left="307"/>
                    <w:rPr>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1188" w:type="dxa"/>
                  <w:vAlign w:val="top"/>
                </w:tcPr>
                <w:p w14:paraId="566E7EEE">
                  <w:pPr>
                    <w:spacing w:line="376" w:lineRule="auto"/>
                    <w:rPr>
                      <w:rFonts w:ascii="Arial"/>
                      <w:sz w:val="21"/>
                    </w:rPr>
                  </w:pPr>
                </w:p>
                <w:p w14:paraId="5E5D9A19">
                  <w:pPr>
                    <w:pStyle w:val="6"/>
                    <w:spacing w:before="65" w:line="228" w:lineRule="auto"/>
                    <w:ind w:left="175"/>
                    <w:rPr>
                      <w:sz w:val="20"/>
                      <w:szCs w:val="20"/>
                    </w:rPr>
                  </w:pPr>
                  <w:r>
                    <w:rPr>
                      <w:b/>
                      <w:bCs/>
                      <w:spacing w:val="6"/>
                      <w:sz w:val="20"/>
                      <w:szCs w:val="20"/>
                    </w:rPr>
                    <w:t>产品名称</w:t>
                  </w:r>
                </w:p>
              </w:tc>
              <w:tc>
                <w:tcPr>
                  <w:tcW w:w="996" w:type="dxa"/>
                  <w:vAlign w:val="top"/>
                </w:tcPr>
                <w:p w14:paraId="3A62BBEA">
                  <w:pPr>
                    <w:pStyle w:val="6"/>
                    <w:spacing w:before="170" w:line="227" w:lineRule="auto"/>
                    <w:ind w:left="186"/>
                    <w:rPr>
                      <w:sz w:val="20"/>
                      <w:szCs w:val="20"/>
                    </w:rPr>
                  </w:pPr>
                  <w:r>
                    <w:rPr>
                      <w:b/>
                      <w:bCs/>
                      <w:spacing w:val="5"/>
                      <w:sz w:val="20"/>
                      <w:szCs w:val="20"/>
                    </w:rPr>
                    <w:t>本项目</w:t>
                  </w:r>
                </w:p>
                <w:p w14:paraId="72D926FB">
                  <w:pPr>
                    <w:pStyle w:val="6"/>
                    <w:spacing w:before="24" w:line="228" w:lineRule="auto"/>
                    <w:ind w:left="111"/>
                    <w:rPr>
                      <w:sz w:val="20"/>
                      <w:szCs w:val="20"/>
                    </w:rPr>
                  </w:pPr>
                  <w:r>
                    <w:rPr>
                      <w:b/>
                      <w:bCs/>
                      <w:spacing w:val="-10"/>
                      <w:sz w:val="20"/>
                      <w:szCs w:val="20"/>
                    </w:rPr>
                    <w:t>产量（吨</w:t>
                  </w:r>
                </w:p>
                <w:p w14:paraId="35DC7354">
                  <w:pPr>
                    <w:pStyle w:val="6"/>
                    <w:spacing w:before="26" w:line="228" w:lineRule="auto"/>
                    <w:ind w:left="254"/>
                    <w:rPr>
                      <w:sz w:val="20"/>
                      <w:szCs w:val="20"/>
                    </w:rPr>
                  </w:pPr>
                  <w:r>
                    <w:rPr>
                      <w:rFonts w:ascii="Times New Roman" w:hAnsi="Times New Roman" w:eastAsia="Times New Roman" w:cs="Times New Roman"/>
                      <w:b/>
                      <w:bCs/>
                      <w:spacing w:val="2"/>
                      <w:sz w:val="20"/>
                      <w:szCs w:val="20"/>
                    </w:rPr>
                    <w:t>/</w:t>
                  </w:r>
                  <w:r>
                    <w:rPr>
                      <w:b/>
                      <w:bCs/>
                      <w:spacing w:val="2"/>
                      <w:sz w:val="20"/>
                      <w:szCs w:val="20"/>
                    </w:rPr>
                    <w:t>年）</w:t>
                  </w:r>
                </w:p>
              </w:tc>
              <w:tc>
                <w:tcPr>
                  <w:tcW w:w="1174" w:type="dxa"/>
                  <w:vAlign w:val="top"/>
                </w:tcPr>
                <w:p w14:paraId="6EB8940B">
                  <w:pPr>
                    <w:pStyle w:val="6"/>
                    <w:spacing w:before="171" w:line="251" w:lineRule="auto"/>
                    <w:ind w:left="128" w:right="108" w:firstLine="47"/>
                    <w:rPr>
                      <w:sz w:val="20"/>
                      <w:szCs w:val="20"/>
                    </w:rPr>
                  </w:pPr>
                  <w:r>
                    <w:rPr>
                      <w:b/>
                      <w:bCs/>
                      <w:spacing w:val="5"/>
                      <w:sz w:val="20"/>
                      <w:szCs w:val="20"/>
                    </w:rPr>
                    <w:t>原项目实</w:t>
                  </w:r>
                  <w:r>
                    <w:rPr>
                      <w:sz w:val="20"/>
                      <w:szCs w:val="20"/>
                    </w:rPr>
                    <w:t xml:space="preserve"> </w:t>
                  </w:r>
                  <w:r>
                    <w:rPr>
                      <w:b/>
                      <w:bCs/>
                      <w:spacing w:val="-16"/>
                      <w:sz w:val="20"/>
                      <w:szCs w:val="20"/>
                    </w:rPr>
                    <w:t>际产量（吨</w:t>
                  </w:r>
                </w:p>
                <w:p w14:paraId="73585CC3">
                  <w:pPr>
                    <w:pStyle w:val="6"/>
                    <w:spacing w:line="227" w:lineRule="auto"/>
                    <w:ind w:left="343"/>
                    <w:rPr>
                      <w:sz w:val="20"/>
                      <w:szCs w:val="20"/>
                    </w:rPr>
                  </w:pPr>
                  <w:r>
                    <w:rPr>
                      <w:rFonts w:ascii="Times New Roman" w:hAnsi="Times New Roman" w:eastAsia="Times New Roman" w:cs="Times New Roman"/>
                      <w:b/>
                      <w:bCs/>
                      <w:spacing w:val="2"/>
                      <w:sz w:val="20"/>
                      <w:szCs w:val="20"/>
                    </w:rPr>
                    <w:t>/</w:t>
                  </w:r>
                  <w:r>
                    <w:rPr>
                      <w:b/>
                      <w:bCs/>
                      <w:spacing w:val="2"/>
                      <w:sz w:val="20"/>
                      <w:szCs w:val="20"/>
                    </w:rPr>
                    <w:t>年）</w:t>
                  </w:r>
                </w:p>
              </w:tc>
              <w:tc>
                <w:tcPr>
                  <w:tcW w:w="1138" w:type="dxa"/>
                  <w:vAlign w:val="top"/>
                </w:tcPr>
                <w:p w14:paraId="568E4A67">
                  <w:pPr>
                    <w:pStyle w:val="6"/>
                    <w:spacing w:before="35" w:line="227" w:lineRule="auto"/>
                    <w:ind w:left="154"/>
                    <w:rPr>
                      <w:sz w:val="20"/>
                      <w:szCs w:val="20"/>
                    </w:rPr>
                  </w:pPr>
                  <w:r>
                    <w:rPr>
                      <w:b/>
                      <w:bCs/>
                      <w:spacing w:val="6"/>
                      <w:sz w:val="20"/>
                      <w:szCs w:val="20"/>
                    </w:rPr>
                    <w:t>本项目建</w:t>
                  </w:r>
                </w:p>
                <w:p w14:paraId="79D7FF54">
                  <w:pPr>
                    <w:pStyle w:val="6"/>
                    <w:spacing w:before="25" w:line="228" w:lineRule="auto"/>
                    <w:ind w:left="155"/>
                    <w:rPr>
                      <w:sz w:val="20"/>
                      <w:szCs w:val="20"/>
                    </w:rPr>
                  </w:pPr>
                  <w:r>
                    <w:rPr>
                      <w:b/>
                      <w:bCs/>
                      <w:spacing w:val="6"/>
                      <w:sz w:val="20"/>
                      <w:szCs w:val="20"/>
                    </w:rPr>
                    <w:t>成后全厂</w:t>
                  </w:r>
                </w:p>
                <w:p w14:paraId="116C944E">
                  <w:pPr>
                    <w:pStyle w:val="6"/>
                    <w:spacing w:before="23" w:line="228" w:lineRule="auto"/>
                    <w:ind w:left="122"/>
                    <w:rPr>
                      <w:rFonts w:ascii="Times New Roman" w:hAnsi="Times New Roman" w:eastAsia="Times New Roman" w:cs="Times New Roman"/>
                      <w:sz w:val="20"/>
                      <w:szCs w:val="20"/>
                    </w:rPr>
                  </w:pPr>
                  <w:r>
                    <w:rPr>
                      <w:b/>
                      <w:bCs/>
                      <w:spacing w:val="6"/>
                      <w:sz w:val="20"/>
                      <w:szCs w:val="20"/>
                    </w:rPr>
                    <w:t>产量（吨</w:t>
                  </w:r>
                  <w:r>
                    <w:rPr>
                      <w:rFonts w:ascii="Times New Roman" w:hAnsi="Times New Roman" w:eastAsia="Times New Roman" w:cs="Times New Roman"/>
                      <w:b/>
                      <w:bCs/>
                      <w:spacing w:val="6"/>
                      <w:sz w:val="20"/>
                      <w:szCs w:val="20"/>
                    </w:rPr>
                    <w:t>/</w:t>
                  </w:r>
                </w:p>
                <w:p w14:paraId="02545DBE">
                  <w:pPr>
                    <w:pStyle w:val="6"/>
                    <w:spacing w:before="27" w:line="217" w:lineRule="auto"/>
                    <w:ind w:left="363"/>
                    <w:rPr>
                      <w:sz w:val="20"/>
                      <w:szCs w:val="20"/>
                    </w:rPr>
                  </w:pPr>
                  <w:r>
                    <w:rPr>
                      <w:b/>
                      <w:bCs/>
                      <w:spacing w:val="-3"/>
                      <w:sz w:val="20"/>
                      <w:szCs w:val="20"/>
                    </w:rPr>
                    <w:t>年）</w:t>
                  </w:r>
                </w:p>
              </w:tc>
              <w:tc>
                <w:tcPr>
                  <w:tcW w:w="985" w:type="dxa"/>
                  <w:vAlign w:val="top"/>
                </w:tcPr>
                <w:p w14:paraId="64106DBB">
                  <w:pPr>
                    <w:spacing w:line="376" w:lineRule="auto"/>
                    <w:rPr>
                      <w:rFonts w:ascii="Arial"/>
                      <w:sz w:val="21"/>
                    </w:rPr>
                  </w:pPr>
                </w:p>
                <w:p w14:paraId="36658689">
                  <w:pPr>
                    <w:pStyle w:val="6"/>
                    <w:spacing w:before="65" w:line="228" w:lineRule="auto"/>
                    <w:ind w:left="288"/>
                    <w:rPr>
                      <w:sz w:val="20"/>
                      <w:szCs w:val="20"/>
                    </w:rPr>
                  </w:pPr>
                  <w:r>
                    <w:rPr>
                      <w:b/>
                      <w:bCs/>
                      <w:spacing w:val="3"/>
                      <w:sz w:val="20"/>
                      <w:szCs w:val="20"/>
                    </w:rPr>
                    <w:t>规格</w:t>
                  </w:r>
                </w:p>
              </w:tc>
              <w:tc>
                <w:tcPr>
                  <w:tcW w:w="975" w:type="dxa"/>
                  <w:vAlign w:val="top"/>
                </w:tcPr>
                <w:p w14:paraId="5631B021">
                  <w:pPr>
                    <w:pStyle w:val="6"/>
                    <w:spacing w:before="170" w:line="228" w:lineRule="auto"/>
                    <w:ind w:left="178"/>
                    <w:rPr>
                      <w:sz w:val="20"/>
                      <w:szCs w:val="20"/>
                    </w:rPr>
                  </w:pPr>
                  <w:r>
                    <w:rPr>
                      <w:b/>
                      <w:bCs/>
                      <w:spacing w:val="4"/>
                      <w:sz w:val="20"/>
                      <w:szCs w:val="20"/>
                    </w:rPr>
                    <w:t>全厂最</w:t>
                  </w:r>
                </w:p>
                <w:p w14:paraId="564B8780">
                  <w:pPr>
                    <w:pStyle w:val="6"/>
                    <w:spacing w:before="24" w:line="257" w:lineRule="auto"/>
                    <w:ind w:left="116" w:right="39" w:firstLine="64"/>
                    <w:rPr>
                      <w:sz w:val="20"/>
                      <w:szCs w:val="20"/>
                    </w:rPr>
                  </w:pPr>
                  <w:r>
                    <w:rPr>
                      <w:b/>
                      <w:bCs/>
                      <w:spacing w:val="4"/>
                      <w:sz w:val="20"/>
                      <w:szCs w:val="20"/>
                    </w:rPr>
                    <w:t>大贮存</w:t>
                  </w:r>
                  <w:r>
                    <w:rPr>
                      <w:sz w:val="20"/>
                      <w:szCs w:val="20"/>
                    </w:rPr>
                    <w:t xml:space="preserve">  </w:t>
                  </w:r>
                  <w:r>
                    <w:rPr>
                      <w:b/>
                      <w:bCs/>
                      <w:spacing w:val="1"/>
                      <w:sz w:val="20"/>
                      <w:szCs w:val="20"/>
                    </w:rPr>
                    <w:t>量（吨）</w:t>
                  </w:r>
                </w:p>
              </w:tc>
              <w:tc>
                <w:tcPr>
                  <w:tcW w:w="782" w:type="dxa"/>
                  <w:vAlign w:val="top"/>
                </w:tcPr>
                <w:p w14:paraId="68A6D6FE">
                  <w:pPr>
                    <w:rPr>
                      <w:rFonts w:ascii="Arial"/>
                      <w:sz w:val="21"/>
                    </w:rPr>
                  </w:pPr>
                </w:p>
                <w:p w14:paraId="79A91070">
                  <w:pPr>
                    <w:pStyle w:val="6"/>
                    <w:spacing w:before="65" w:line="228" w:lineRule="auto"/>
                    <w:ind w:left="184"/>
                    <w:rPr>
                      <w:sz w:val="20"/>
                      <w:szCs w:val="20"/>
                    </w:rPr>
                  </w:pPr>
                  <w:r>
                    <w:rPr>
                      <w:b/>
                      <w:bCs/>
                      <w:spacing w:val="4"/>
                      <w:sz w:val="20"/>
                      <w:szCs w:val="20"/>
                    </w:rPr>
                    <w:t>存放</w:t>
                  </w:r>
                </w:p>
                <w:p w14:paraId="59627432">
                  <w:pPr>
                    <w:pStyle w:val="6"/>
                    <w:spacing w:before="24" w:line="229" w:lineRule="auto"/>
                    <w:ind w:left="185"/>
                    <w:rPr>
                      <w:sz w:val="20"/>
                      <w:szCs w:val="20"/>
                    </w:rPr>
                  </w:pPr>
                  <w:r>
                    <w:rPr>
                      <w:b/>
                      <w:bCs/>
                      <w:spacing w:val="3"/>
                      <w:sz w:val="20"/>
                      <w:szCs w:val="20"/>
                    </w:rPr>
                    <w:t>位置</w:t>
                  </w:r>
                </w:p>
              </w:tc>
            </w:tr>
            <w:tr w14:paraId="64FE2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559" w:type="dxa"/>
                  <w:vAlign w:val="top"/>
                </w:tcPr>
                <w:p w14:paraId="4F80C265">
                  <w:pPr>
                    <w:spacing w:line="374" w:lineRule="auto"/>
                    <w:rPr>
                      <w:rFonts w:ascii="Arial"/>
                      <w:sz w:val="21"/>
                    </w:rPr>
                  </w:pPr>
                </w:p>
                <w:p w14:paraId="561C8E12">
                  <w:pPr>
                    <w:spacing w:before="5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88" w:type="dxa"/>
                  <w:vAlign w:val="top"/>
                </w:tcPr>
                <w:p w14:paraId="3819143A">
                  <w:pPr>
                    <w:pStyle w:val="6"/>
                    <w:spacing w:before="124" w:line="228" w:lineRule="auto"/>
                    <w:ind w:left="177"/>
                    <w:rPr>
                      <w:sz w:val="20"/>
                      <w:szCs w:val="20"/>
                    </w:rPr>
                  </w:pPr>
                  <w:r>
                    <w:rPr>
                      <w:spacing w:val="7"/>
                      <w:sz w:val="20"/>
                      <w:szCs w:val="20"/>
                    </w:rPr>
                    <w:t>经注胶加</w:t>
                  </w:r>
                </w:p>
                <w:p w14:paraId="4C453698">
                  <w:pPr>
                    <w:pStyle w:val="6"/>
                    <w:spacing w:before="27" w:line="228" w:lineRule="auto"/>
                    <w:ind w:left="178"/>
                    <w:rPr>
                      <w:sz w:val="20"/>
                      <w:szCs w:val="20"/>
                    </w:rPr>
                  </w:pPr>
                  <w:r>
                    <w:rPr>
                      <w:spacing w:val="7"/>
                      <w:sz w:val="20"/>
                      <w:szCs w:val="20"/>
                    </w:rPr>
                    <w:t>工的原料</w:t>
                  </w:r>
                </w:p>
                <w:p w14:paraId="13FC2DEE">
                  <w:pPr>
                    <w:pStyle w:val="6"/>
                    <w:spacing w:before="23" w:line="231" w:lineRule="auto"/>
                    <w:ind w:left="389"/>
                    <w:rPr>
                      <w:sz w:val="20"/>
                      <w:szCs w:val="20"/>
                    </w:rPr>
                  </w:pPr>
                  <w:r>
                    <w:rPr>
                      <w:spacing w:val="3"/>
                      <w:sz w:val="20"/>
                      <w:szCs w:val="20"/>
                    </w:rPr>
                    <w:t>宝石</w:t>
                  </w:r>
                </w:p>
              </w:tc>
              <w:tc>
                <w:tcPr>
                  <w:tcW w:w="996" w:type="dxa"/>
                  <w:vAlign w:val="top"/>
                </w:tcPr>
                <w:p w14:paraId="5EBD6005">
                  <w:pPr>
                    <w:spacing w:line="374" w:lineRule="auto"/>
                    <w:rPr>
                      <w:rFonts w:ascii="Arial"/>
                      <w:sz w:val="21"/>
                    </w:rPr>
                  </w:pPr>
                </w:p>
                <w:p w14:paraId="5A5E03E8">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4860</w:t>
                  </w:r>
                </w:p>
              </w:tc>
              <w:tc>
                <w:tcPr>
                  <w:tcW w:w="1174" w:type="dxa"/>
                  <w:vAlign w:val="top"/>
                </w:tcPr>
                <w:p w14:paraId="3DDD1840">
                  <w:pPr>
                    <w:spacing w:line="374" w:lineRule="auto"/>
                    <w:rPr>
                      <w:rFonts w:ascii="Arial"/>
                      <w:sz w:val="21"/>
                    </w:rPr>
                  </w:pPr>
                </w:p>
                <w:p w14:paraId="4286C9D1">
                  <w:pPr>
                    <w:spacing w:before="57" w:line="195" w:lineRule="auto"/>
                    <w:ind w:left="5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8" w:type="dxa"/>
                  <w:vAlign w:val="top"/>
                </w:tcPr>
                <w:p w14:paraId="076A8DDA">
                  <w:pPr>
                    <w:spacing w:line="374" w:lineRule="auto"/>
                    <w:rPr>
                      <w:rFonts w:ascii="Arial"/>
                      <w:sz w:val="21"/>
                    </w:rPr>
                  </w:pPr>
                </w:p>
                <w:p w14:paraId="6160E1B3">
                  <w:pPr>
                    <w:spacing w:before="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4860</w:t>
                  </w:r>
                </w:p>
              </w:tc>
              <w:tc>
                <w:tcPr>
                  <w:tcW w:w="985" w:type="dxa"/>
                  <w:vMerge w:val="restart"/>
                  <w:tcBorders>
                    <w:bottom w:val="nil"/>
                  </w:tcBorders>
                  <w:vAlign w:val="top"/>
                </w:tcPr>
                <w:p w14:paraId="38204621">
                  <w:pPr>
                    <w:spacing w:line="463" w:lineRule="auto"/>
                    <w:rPr>
                      <w:rFonts w:ascii="Arial"/>
                      <w:sz w:val="21"/>
                    </w:rPr>
                  </w:pPr>
                </w:p>
                <w:p w14:paraId="64BE291E">
                  <w:pPr>
                    <w:pStyle w:val="6"/>
                    <w:spacing w:before="65" w:line="251" w:lineRule="auto"/>
                    <w:ind w:left="190" w:right="104" w:hanging="76"/>
                    <w:rPr>
                      <w:sz w:val="20"/>
                      <w:szCs w:val="20"/>
                    </w:rPr>
                  </w:pPr>
                  <w:r>
                    <w:rPr>
                      <w:spacing w:val="-10"/>
                      <w:sz w:val="20"/>
                      <w:szCs w:val="20"/>
                    </w:rPr>
                    <w:t>散装，大</w:t>
                  </w:r>
                  <w:r>
                    <w:rPr>
                      <w:sz w:val="20"/>
                      <w:szCs w:val="20"/>
                    </w:rPr>
                    <w:t xml:space="preserve"> </w:t>
                  </w:r>
                  <w:r>
                    <w:rPr>
                      <w:spacing w:val="5"/>
                      <w:sz w:val="20"/>
                      <w:szCs w:val="20"/>
                    </w:rPr>
                    <w:t>小不一</w:t>
                  </w:r>
                </w:p>
                <w:p w14:paraId="4901BC98">
                  <w:pPr>
                    <w:pStyle w:val="6"/>
                    <w:spacing w:line="254" w:lineRule="auto"/>
                    <w:ind w:left="291" w:right="174" w:hanging="103"/>
                    <w:rPr>
                      <w:sz w:val="20"/>
                      <w:szCs w:val="20"/>
                    </w:rPr>
                  </w:pPr>
                  <w:r>
                    <w:rPr>
                      <w:spacing w:val="5"/>
                      <w:sz w:val="20"/>
                      <w:szCs w:val="20"/>
                    </w:rPr>
                    <w:t>不规则</w:t>
                  </w:r>
                  <w:r>
                    <w:rPr>
                      <w:spacing w:val="1"/>
                      <w:sz w:val="20"/>
                      <w:szCs w:val="20"/>
                    </w:rPr>
                    <w:t xml:space="preserve"> </w:t>
                  </w:r>
                  <w:r>
                    <w:rPr>
                      <w:spacing w:val="4"/>
                      <w:sz w:val="20"/>
                      <w:szCs w:val="20"/>
                    </w:rPr>
                    <w:t>石块</w:t>
                  </w:r>
                </w:p>
              </w:tc>
              <w:tc>
                <w:tcPr>
                  <w:tcW w:w="975" w:type="dxa"/>
                  <w:vAlign w:val="top"/>
                </w:tcPr>
                <w:p w14:paraId="4116C4B2">
                  <w:pPr>
                    <w:spacing w:line="331" w:lineRule="auto"/>
                    <w:rPr>
                      <w:rFonts w:ascii="Arial"/>
                      <w:sz w:val="21"/>
                    </w:rPr>
                  </w:pPr>
                </w:p>
                <w:p w14:paraId="0DF9F77E">
                  <w:pPr>
                    <w:pStyle w:val="6"/>
                    <w:spacing w:before="65" w:line="237" w:lineRule="auto"/>
                    <w:ind w:left="221"/>
                    <w:rPr>
                      <w:sz w:val="20"/>
                      <w:szCs w:val="20"/>
                    </w:rPr>
                  </w:pPr>
                  <w:r>
                    <w:rPr>
                      <w:rFonts w:ascii="Times New Roman" w:hAnsi="Times New Roman" w:eastAsia="Times New Roman" w:cs="Times New Roman"/>
                      <w:spacing w:val="-3"/>
                      <w:sz w:val="20"/>
                      <w:szCs w:val="20"/>
                    </w:rPr>
                    <w:t>100</w:t>
                  </w:r>
                  <w:r>
                    <w:rPr>
                      <w:rFonts w:ascii="Times New Roman" w:hAnsi="Times New Roman" w:eastAsia="Times New Roman" w:cs="Times New Roman"/>
                      <w:spacing w:val="21"/>
                      <w:w w:val="101"/>
                      <w:sz w:val="20"/>
                      <w:szCs w:val="20"/>
                    </w:rPr>
                    <w:t xml:space="preserve"> </w:t>
                  </w:r>
                  <w:r>
                    <w:rPr>
                      <w:spacing w:val="-3"/>
                      <w:sz w:val="20"/>
                      <w:szCs w:val="20"/>
                    </w:rPr>
                    <w:t>吨</w:t>
                  </w:r>
                </w:p>
              </w:tc>
              <w:tc>
                <w:tcPr>
                  <w:tcW w:w="782" w:type="dxa"/>
                  <w:vAlign w:val="top"/>
                </w:tcPr>
                <w:p w14:paraId="465CB18C">
                  <w:pPr>
                    <w:pStyle w:val="6"/>
                    <w:spacing w:before="124" w:line="228" w:lineRule="auto"/>
                    <w:ind w:left="190"/>
                    <w:rPr>
                      <w:sz w:val="20"/>
                      <w:szCs w:val="20"/>
                    </w:rPr>
                  </w:pPr>
                  <w:r>
                    <w:rPr>
                      <w:spacing w:val="3"/>
                      <w:sz w:val="20"/>
                      <w:szCs w:val="20"/>
                    </w:rPr>
                    <w:t>各注</w:t>
                  </w:r>
                </w:p>
                <w:p w14:paraId="0FB6ED8D">
                  <w:pPr>
                    <w:pStyle w:val="6"/>
                    <w:spacing w:before="26" w:line="253" w:lineRule="auto"/>
                    <w:ind w:left="307" w:right="179" w:hanging="120"/>
                    <w:rPr>
                      <w:sz w:val="20"/>
                      <w:szCs w:val="20"/>
                    </w:rPr>
                  </w:pPr>
                  <w:r>
                    <w:rPr>
                      <w:spacing w:val="5"/>
                      <w:sz w:val="20"/>
                      <w:szCs w:val="20"/>
                    </w:rPr>
                    <w:t>胶车</w:t>
                  </w:r>
                  <w:r>
                    <w:rPr>
                      <w:sz w:val="20"/>
                      <w:szCs w:val="20"/>
                    </w:rPr>
                    <w:t xml:space="preserve"> 间</w:t>
                  </w:r>
                </w:p>
              </w:tc>
            </w:tr>
            <w:tr w14:paraId="2064C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559" w:type="dxa"/>
                  <w:vAlign w:val="top"/>
                </w:tcPr>
                <w:p w14:paraId="1C1C25FB">
                  <w:pPr>
                    <w:spacing w:line="410" w:lineRule="auto"/>
                    <w:rPr>
                      <w:rFonts w:ascii="Arial"/>
                      <w:sz w:val="21"/>
                    </w:rPr>
                  </w:pPr>
                </w:p>
                <w:p w14:paraId="34C0328E">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88" w:type="dxa"/>
                  <w:vAlign w:val="top"/>
                </w:tcPr>
                <w:p w14:paraId="3BF18BB1">
                  <w:pPr>
                    <w:pStyle w:val="6"/>
                    <w:spacing w:before="163" w:line="229" w:lineRule="auto"/>
                    <w:ind w:left="177"/>
                    <w:rPr>
                      <w:sz w:val="20"/>
                      <w:szCs w:val="20"/>
                    </w:rPr>
                  </w:pPr>
                  <w:r>
                    <w:rPr>
                      <w:spacing w:val="6"/>
                      <w:sz w:val="20"/>
                      <w:szCs w:val="20"/>
                    </w:rPr>
                    <w:t>经泡酸加</w:t>
                  </w:r>
                </w:p>
                <w:p w14:paraId="5584ADB0">
                  <w:pPr>
                    <w:pStyle w:val="6"/>
                    <w:spacing w:before="23" w:line="228" w:lineRule="auto"/>
                    <w:ind w:left="178"/>
                    <w:rPr>
                      <w:sz w:val="20"/>
                      <w:szCs w:val="20"/>
                    </w:rPr>
                  </w:pPr>
                  <w:r>
                    <w:rPr>
                      <w:spacing w:val="6"/>
                      <w:sz w:val="20"/>
                      <w:szCs w:val="20"/>
                    </w:rPr>
                    <w:t>工的原料</w:t>
                  </w:r>
                </w:p>
                <w:p w14:paraId="5B5105E8">
                  <w:pPr>
                    <w:pStyle w:val="6"/>
                    <w:spacing w:before="23" w:line="231" w:lineRule="auto"/>
                    <w:ind w:left="389"/>
                    <w:rPr>
                      <w:sz w:val="20"/>
                      <w:szCs w:val="20"/>
                    </w:rPr>
                  </w:pPr>
                  <w:r>
                    <w:rPr>
                      <w:spacing w:val="3"/>
                      <w:sz w:val="20"/>
                      <w:szCs w:val="20"/>
                    </w:rPr>
                    <w:t>宝石</w:t>
                  </w:r>
                </w:p>
              </w:tc>
              <w:tc>
                <w:tcPr>
                  <w:tcW w:w="996" w:type="dxa"/>
                  <w:vAlign w:val="top"/>
                </w:tcPr>
                <w:p w14:paraId="46C50044">
                  <w:pPr>
                    <w:spacing w:line="410" w:lineRule="auto"/>
                    <w:rPr>
                      <w:rFonts w:ascii="Arial"/>
                      <w:sz w:val="21"/>
                    </w:rPr>
                  </w:pPr>
                </w:p>
                <w:p w14:paraId="408588E7">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174" w:type="dxa"/>
                  <w:vAlign w:val="top"/>
                </w:tcPr>
                <w:p w14:paraId="2B7F5DD7">
                  <w:pPr>
                    <w:spacing w:line="410" w:lineRule="auto"/>
                    <w:rPr>
                      <w:rFonts w:ascii="Arial"/>
                      <w:sz w:val="21"/>
                    </w:rPr>
                  </w:pPr>
                </w:p>
                <w:p w14:paraId="7B063789">
                  <w:pPr>
                    <w:spacing w:before="57"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138" w:type="dxa"/>
                  <w:vAlign w:val="top"/>
                </w:tcPr>
                <w:p w14:paraId="0BE921A8">
                  <w:pPr>
                    <w:spacing w:line="410" w:lineRule="auto"/>
                    <w:rPr>
                      <w:rFonts w:ascii="Arial"/>
                      <w:sz w:val="21"/>
                    </w:rPr>
                  </w:pPr>
                </w:p>
                <w:p w14:paraId="597EE90D">
                  <w:pPr>
                    <w:spacing w:before="5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13500</w:t>
                  </w:r>
                </w:p>
              </w:tc>
              <w:tc>
                <w:tcPr>
                  <w:tcW w:w="985" w:type="dxa"/>
                  <w:vMerge w:val="continue"/>
                  <w:tcBorders>
                    <w:top w:val="nil"/>
                  </w:tcBorders>
                  <w:vAlign w:val="top"/>
                </w:tcPr>
                <w:p w14:paraId="7D98D644">
                  <w:pPr>
                    <w:rPr>
                      <w:rFonts w:ascii="Arial"/>
                      <w:sz w:val="21"/>
                    </w:rPr>
                  </w:pPr>
                </w:p>
              </w:tc>
              <w:tc>
                <w:tcPr>
                  <w:tcW w:w="975" w:type="dxa"/>
                  <w:vAlign w:val="top"/>
                </w:tcPr>
                <w:p w14:paraId="04FF0B13">
                  <w:pPr>
                    <w:spacing w:line="367" w:lineRule="auto"/>
                    <w:rPr>
                      <w:rFonts w:ascii="Arial"/>
                      <w:sz w:val="21"/>
                    </w:rPr>
                  </w:pPr>
                </w:p>
                <w:p w14:paraId="3927B48C">
                  <w:pPr>
                    <w:pStyle w:val="6"/>
                    <w:spacing w:before="65" w:line="237" w:lineRule="auto"/>
                    <w:ind w:left="201"/>
                    <w:rPr>
                      <w:sz w:val="20"/>
                      <w:szCs w:val="20"/>
                    </w:rPr>
                  </w:pPr>
                  <w:r>
                    <w:rPr>
                      <w:rFonts w:ascii="Times New Roman" w:hAnsi="Times New Roman" w:eastAsia="Times New Roman" w:cs="Times New Roman"/>
                      <w:spacing w:val="2"/>
                      <w:sz w:val="20"/>
                      <w:szCs w:val="20"/>
                    </w:rPr>
                    <w:t>200</w:t>
                  </w:r>
                  <w:r>
                    <w:rPr>
                      <w:rFonts w:ascii="Times New Roman" w:hAnsi="Times New Roman" w:eastAsia="Times New Roman" w:cs="Times New Roman"/>
                      <w:spacing w:val="21"/>
                      <w:w w:val="101"/>
                      <w:sz w:val="20"/>
                      <w:szCs w:val="20"/>
                    </w:rPr>
                    <w:t xml:space="preserve"> </w:t>
                  </w:r>
                  <w:r>
                    <w:rPr>
                      <w:spacing w:val="2"/>
                      <w:sz w:val="20"/>
                      <w:szCs w:val="20"/>
                    </w:rPr>
                    <w:t>吨</w:t>
                  </w:r>
                </w:p>
              </w:tc>
              <w:tc>
                <w:tcPr>
                  <w:tcW w:w="782" w:type="dxa"/>
                  <w:vAlign w:val="top"/>
                </w:tcPr>
                <w:p w14:paraId="59AFA718">
                  <w:pPr>
                    <w:pStyle w:val="6"/>
                    <w:spacing w:before="163" w:line="228" w:lineRule="auto"/>
                    <w:ind w:left="190"/>
                    <w:rPr>
                      <w:sz w:val="20"/>
                      <w:szCs w:val="20"/>
                    </w:rPr>
                  </w:pPr>
                  <w:r>
                    <w:rPr>
                      <w:spacing w:val="3"/>
                      <w:sz w:val="20"/>
                      <w:szCs w:val="20"/>
                    </w:rPr>
                    <w:t>各泡</w:t>
                  </w:r>
                </w:p>
                <w:p w14:paraId="2288C192">
                  <w:pPr>
                    <w:pStyle w:val="6"/>
                    <w:spacing w:before="24" w:line="253" w:lineRule="auto"/>
                    <w:ind w:left="306" w:right="179" w:hanging="118"/>
                    <w:rPr>
                      <w:sz w:val="20"/>
                      <w:szCs w:val="20"/>
                    </w:rPr>
                  </w:pPr>
                  <w:r>
                    <w:rPr>
                      <w:spacing w:val="4"/>
                      <w:sz w:val="20"/>
                      <w:szCs w:val="20"/>
                    </w:rPr>
                    <w:t>酸车</w:t>
                  </w:r>
                  <w:r>
                    <w:rPr>
                      <w:sz w:val="20"/>
                      <w:szCs w:val="20"/>
                    </w:rPr>
                    <w:t xml:space="preserve"> 间</w:t>
                  </w:r>
                </w:p>
              </w:tc>
            </w:tr>
          </w:tbl>
          <w:p w14:paraId="646F3287">
            <w:pPr>
              <w:pStyle w:val="6"/>
              <w:spacing w:before="33" w:line="228" w:lineRule="auto"/>
              <w:ind w:left="528"/>
              <w:rPr>
                <w:sz w:val="20"/>
                <w:szCs w:val="20"/>
              </w:rPr>
            </w:pPr>
            <w:r>
              <w:rPr>
                <w:b/>
                <w:bCs/>
                <w:spacing w:val="5"/>
                <w:sz w:val="20"/>
                <w:szCs w:val="20"/>
              </w:rPr>
              <w:t>注：拆除原项目的</w:t>
            </w:r>
            <w:r>
              <w:rPr>
                <w:spacing w:val="-29"/>
                <w:sz w:val="20"/>
                <w:szCs w:val="20"/>
              </w:rPr>
              <w:t xml:space="preserve"> </w:t>
            </w:r>
            <w:r>
              <w:rPr>
                <w:b/>
                <w:bCs/>
                <w:spacing w:val="5"/>
                <w:sz w:val="20"/>
                <w:szCs w:val="20"/>
              </w:rPr>
              <w:t>4#楼泡酸车间后泡酸加工宝石量减少</w:t>
            </w:r>
            <w:r>
              <w:rPr>
                <w:spacing w:val="-21"/>
                <w:sz w:val="20"/>
                <w:szCs w:val="20"/>
              </w:rPr>
              <w:t xml:space="preserve"> </w:t>
            </w:r>
            <w:r>
              <w:rPr>
                <w:b/>
                <w:bCs/>
                <w:spacing w:val="5"/>
                <w:sz w:val="20"/>
                <w:szCs w:val="20"/>
              </w:rPr>
              <w:t>1500</w:t>
            </w:r>
            <w:r>
              <w:rPr>
                <w:spacing w:val="-28"/>
                <w:sz w:val="20"/>
                <w:szCs w:val="20"/>
              </w:rPr>
              <w:t xml:space="preserve"> </w:t>
            </w:r>
            <w:r>
              <w:rPr>
                <w:b/>
                <w:bCs/>
                <w:spacing w:val="5"/>
                <w:sz w:val="20"/>
                <w:szCs w:val="20"/>
              </w:rPr>
              <w:t>吨/年。</w:t>
            </w:r>
          </w:p>
        </w:tc>
      </w:tr>
    </w:tbl>
    <w:p w14:paraId="67F1439C">
      <w:pPr>
        <w:rPr>
          <w:rFonts w:ascii="Arial"/>
          <w:sz w:val="21"/>
        </w:rPr>
      </w:pPr>
    </w:p>
    <w:p w14:paraId="4A979907">
      <w:pPr>
        <w:rPr>
          <w:rFonts w:ascii="Arial" w:hAnsi="Arial" w:eastAsia="Arial" w:cs="Arial"/>
          <w:sz w:val="21"/>
          <w:szCs w:val="21"/>
        </w:rPr>
        <w:sectPr>
          <w:footerReference r:id="rId25" w:type="default"/>
          <w:pgSz w:w="11906" w:h="16839"/>
          <w:pgMar w:top="400" w:right="1451" w:bottom="1240" w:left="1451" w:header="0" w:footer="1078" w:gutter="0"/>
          <w:cols w:space="720" w:num="1"/>
        </w:sectPr>
      </w:pPr>
    </w:p>
    <w:p w14:paraId="3FC3CE96">
      <w:pPr>
        <w:spacing w:before="19"/>
      </w:pPr>
    </w:p>
    <w:p w14:paraId="3FBF04A6">
      <w:pPr>
        <w:spacing w:before="19"/>
      </w:pPr>
    </w:p>
    <w:p w14:paraId="7976408F">
      <w:pPr>
        <w:spacing w:before="19"/>
      </w:pPr>
    </w:p>
    <w:p w14:paraId="4C237E64">
      <w:pPr>
        <w:spacing w:before="18"/>
      </w:pPr>
    </w:p>
    <w:p w14:paraId="57C39170">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71"/>
        <w:gridCol w:w="452"/>
        <w:gridCol w:w="965"/>
        <w:gridCol w:w="674"/>
        <w:gridCol w:w="706"/>
        <w:gridCol w:w="951"/>
        <w:gridCol w:w="771"/>
        <w:gridCol w:w="835"/>
        <w:gridCol w:w="1239"/>
        <w:gridCol w:w="731"/>
        <w:gridCol w:w="735"/>
        <w:gridCol w:w="80"/>
      </w:tblGrid>
      <w:tr w14:paraId="50A02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1" w:hRule="atLeast"/>
        </w:trPr>
        <w:tc>
          <w:tcPr>
            <w:tcW w:w="778" w:type="dxa"/>
            <w:vMerge w:val="restart"/>
            <w:tcBorders>
              <w:top w:val="single" w:color="000000" w:sz="6" w:space="0"/>
              <w:left w:val="single" w:color="000000" w:sz="6" w:space="0"/>
              <w:bottom w:val="nil"/>
            </w:tcBorders>
            <w:vAlign w:val="top"/>
          </w:tcPr>
          <w:p w14:paraId="09294869">
            <w:pPr>
              <w:rPr>
                <w:rFonts w:ascii="Arial"/>
                <w:sz w:val="21"/>
              </w:rPr>
            </w:pPr>
          </w:p>
        </w:tc>
        <w:tc>
          <w:tcPr>
            <w:tcW w:w="8210" w:type="dxa"/>
            <w:gridSpan w:val="12"/>
            <w:tcBorders>
              <w:top w:val="single" w:color="000000" w:sz="6" w:space="0"/>
              <w:right w:val="single" w:color="000000" w:sz="6" w:space="0"/>
            </w:tcBorders>
            <w:vAlign w:val="top"/>
          </w:tcPr>
          <w:p w14:paraId="042E3206">
            <w:pPr>
              <w:spacing w:line="319" w:lineRule="auto"/>
              <w:rPr>
                <w:rFonts w:ascii="Arial"/>
                <w:sz w:val="21"/>
              </w:rPr>
            </w:pPr>
          </w:p>
          <w:p w14:paraId="61DBFE37">
            <w:pPr>
              <w:pStyle w:val="6"/>
              <w:spacing w:before="78" w:line="219" w:lineRule="auto"/>
              <w:ind w:left="3193"/>
            </w:pPr>
            <w:r>
              <w:rPr>
                <w:b/>
                <w:bCs/>
                <w:spacing w:val="-2"/>
              </w:rPr>
              <w:t>表</w:t>
            </w:r>
            <w:r>
              <w:rPr>
                <w:spacing w:val="-54"/>
              </w:rPr>
              <w:t xml:space="preserve"> </w:t>
            </w:r>
            <w:r>
              <w:rPr>
                <w:rFonts w:ascii="Times New Roman" w:hAnsi="Times New Roman" w:eastAsia="Times New Roman" w:cs="Times New Roman"/>
                <w:b/>
                <w:bCs/>
                <w:spacing w:val="-2"/>
              </w:rPr>
              <w:t xml:space="preserve">2-4    </w:t>
            </w:r>
            <w:r>
              <w:rPr>
                <w:b/>
                <w:bCs/>
                <w:spacing w:val="-2"/>
              </w:rPr>
              <w:t>产品简介</w:t>
            </w:r>
          </w:p>
          <w:p w14:paraId="6B68734D">
            <w:pPr>
              <w:spacing w:line="148" w:lineRule="exact"/>
            </w:pPr>
          </w:p>
          <w:tbl>
            <w:tblPr>
              <w:tblStyle w:val="5"/>
              <w:tblW w:w="7849" w:type="dxa"/>
              <w:tblInd w:w="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1237"/>
              <w:gridCol w:w="4337"/>
              <w:gridCol w:w="1633"/>
            </w:tblGrid>
            <w:tr w14:paraId="47B9F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2" w:type="dxa"/>
                  <w:vAlign w:val="top"/>
                </w:tcPr>
                <w:p w14:paraId="278F120C">
                  <w:pPr>
                    <w:pStyle w:val="6"/>
                    <w:spacing w:before="98" w:line="229" w:lineRule="auto"/>
                    <w:ind w:left="114"/>
                    <w:rPr>
                      <w:sz w:val="20"/>
                      <w:szCs w:val="20"/>
                    </w:rPr>
                  </w:pPr>
                  <w:r>
                    <w:rPr>
                      <w:b/>
                      <w:bCs/>
                      <w:spacing w:val="4"/>
                      <w:sz w:val="20"/>
                      <w:szCs w:val="20"/>
                    </w:rPr>
                    <w:t>序号</w:t>
                  </w:r>
                </w:p>
              </w:tc>
              <w:tc>
                <w:tcPr>
                  <w:tcW w:w="1237" w:type="dxa"/>
                  <w:vAlign w:val="top"/>
                </w:tcPr>
                <w:p w14:paraId="525C32EE">
                  <w:pPr>
                    <w:pStyle w:val="6"/>
                    <w:spacing w:before="97" w:line="228" w:lineRule="auto"/>
                    <w:ind w:left="200"/>
                    <w:rPr>
                      <w:sz w:val="20"/>
                      <w:szCs w:val="20"/>
                    </w:rPr>
                  </w:pPr>
                  <w:r>
                    <w:rPr>
                      <w:b/>
                      <w:bCs/>
                      <w:spacing w:val="6"/>
                      <w:sz w:val="20"/>
                      <w:szCs w:val="20"/>
                    </w:rPr>
                    <w:t>产品名称</w:t>
                  </w:r>
                </w:p>
              </w:tc>
              <w:tc>
                <w:tcPr>
                  <w:tcW w:w="4337" w:type="dxa"/>
                  <w:vAlign w:val="top"/>
                </w:tcPr>
                <w:p w14:paraId="412D9F6A">
                  <w:pPr>
                    <w:pStyle w:val="6"/>
                    <w:spacing w:before="97" w:line="228" w:lineRule="auto"/>
                    <w:ind w:left="1752"/>
                    <w:rPr>
                      <w:sz w:val="20"/>
                      <w:szCs w:val="20"/>
                    </w:rPr>
                  </w:pPr>
                  <w:r>
                    <w:rPr>
                      <w:b/>
                      <w:bCs/>
                      <w:spacing w:val="6"/>
                      <w:sz w:val="20"/>
                      <w:szCs w:val="20"/>
                    </w:rPr>
                    <w:t>产品描述</w:t>
                  </w:r>
                </w:p>
              </w:tc>
              <w:tc>
                <w:tcPr>
                  <w:tcW w:w="1633" w:type="dxa"/>
                  <w:vAlign w:val="top"/>
                </w:tcPr>
                <w:p w14:paraId="26C1C89D">
                  <w:pPr>
                    <w:pStyle w:val="6"/>
                    <w:spacing w:before="98" w:line="229" w:lineRule="auto"/>
                    <w:ind w:left="611"/>
                    <w:rPr>
                      <w:sz w:val="20"/>
                      <w:szCs w:val="20"/>
                    </w:rPr>
                  </w:pPr>
                  <w:r>
                    <w:rPr>
                      <w:b/>
                      <w:bCs/>
                      <w:spacing w:val="3"/>
                      <w:sz w:val="20"/>
                      <w:szCs w:val="20"/>
                    </w:rPr>
                    <w:t>用途</w:t>
                  </w:r>
                </w:p>
              </w:tc>
            </w:tr>
            <w:tr w14:paraId="62573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trPr>
              <w:tc>
                <w:tcPr>
                  <w:tcW w:w="642" w:type="dxa"/>
                  <w:vAlign w:val="top"/>
                </w:tcPr>
                <w:p w14:paraId="5572FE97">
                  <w:pPr>
                    <w:spacing w:line="338" w:lineRule="auto"/>
                    <w:rPr>
                      <w:rFonts w:ascii="Arial"/>
                      <w:sz w:val="21"/>
                    </w:rPr>
                  </w:pPr>
                </w:p>
                <w:p w14:paraId="1362A991">
                  <w:pPr>
                    <w:spacing w:line="339" w:lineRule="auto"/>
                    <w:rPr>
                      <w:rFonts w:ascii="Arial"/>
                      <w:sz w:val="21"/>
                    </w:rPr>
                  </w:pPr>
                </w:p>
                <w:p w14:paraId="764A5F9B">
                  <w:pPr>
                    <w:spacing w:before="5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7" w:type="dxa"/>
                  <w:vAlign w:val="top"/>
                </w:tcPr>
                <w:p w14:paraId="51A23195">
                  <w:pPr>
                    <w:spacing w:line="364" w:lineRule="auto"/>
                    <w:rPr>
                      <w:rFonts w:ascii="Arial"/>
                      <w:sz w:val="21"/>
                    </w:rPr>
                  </w:pPr>
                </w:p>
                <w:p w14:paraId="5421A6E1">
                  <w:pPr>
                    <w:pStyle w:val="6"/>
                    <w:spacing w:before="65" w:line="228" w:lineRule="auto"/>
                    <w:ind w:left="113"/>
                    <w:rPr>
                      <w:sz w:val="20"/>
                      <w:szCs w:val="20"/>
                    </w:rPr>
                  </w:pPr>
                  <w:r>
                    <w:rPr>
                      <w:spacing w:val="2"/>
                      <w:sz w:val="20"/>
                      <w:szCs w:val="20"/>
                    </w:rPr>
                    <w:t>经注胶、泡</w:t>
                  </w:r>
                </w:p>
                <w:p w14:paraId="71FF2980">
                  <w:pPr>
                    <w:pStyle w:val="6"/>
                    <w:spacing w:before="24" w:line="228" w:lineRule="auto"/>
                    <w:ind w:left="203"/>
                    <w:rPr>
                      <w:sz w:val="20"/>
                      <w:szCs w:val="20"/>
                    </w:rPr>
                  </w:pPr>
                  <w:r>
                    <w:rPr>
                      <w:spacing w:val="7"/>
                      <w:sz w:val="20"/>
                      <w:szCs w:val="20"/>
                    </w:rPr>
                    <w:t>酸后的原</w:t>
                  </w:r>
                </w:p>
                <w:p w14:paraId="4B11A9AA">
                  <w:pPr>
                    <w:pStyle w:val="6"/>
                    <w:spacing w:before="24" w:line="228" w:lineRule="auto"/>
                    <w:ind w:left="308"/>
                    <w:rPr>
                      <w:sz w:val="20"/>
                      <w:szCs w:val="20"/>
                    </w:rPr>
                  </w:pPr>
                  <w:r>
                    <w:rPr>
                      <w:spacing w:val="6"/>
                      <w:sz w:val="20"/>
                      <w:szCs w:val="20"/>
                    </w:rPr>
                    <w:t>料宝石</w:t>
                  </w:r>
                </w:p>
              </w:tc>
              <w:tc>
                <w:tcPr>
                  <w:tcW w:w="4337" w:type="dxa"/>
                  <w:vAlign w:val="top"/>
                </w:tcPr>
                <w:p w14:paraId="05C64534">
                  <w:pPr>
                    <w:pStyle w:val="6"/>
                    <w:spacing w:before="158" w:line="228" w:lineRule="auto"/>
                    <w:ind w:left="113"/>
                    <w:rPr>
                      <w:sz w:val="20"/>
                      <w:szCs w:val="20"/>
                    </w:rPr>
                  </w:pPr>
                  <w:r>
                    <w:rPr>
                      <w:spacing w:val="9"/>
                      <w:sz w:val="20"/>
                      <w:szCs w:val="20"/>
                    </w:rPr>
                    <w:t>注胶加工在洗去杂质的间隙中注入专门的胶，</w:t>
                  </w:r>
                </w:p>
                <w:p w14:paraId="0F687A51">
                  <w:pPr>
                    <w:pStyle w:val="6"/>
                    <w:spacing w:before="93" w:line="228" w:lineRule="auto"/>
                    <w:ind w:left="113"/>
                    <w:rPr>
                      <w:sz w:val="20"/>
                      <w:szCs w:val="20"/>
                    </w:rPr>
                  </w:pPr>
                  <w:r>
                    <w:rPr>
                      <w:spacing w:val="5"/>
                      <w:sz w:val="20"/>
                      <w:szCs w:val="20"/>
                    </w:rPr>
                    <w:t>使原料宝石更加紧密坚硬，有利于进行下一步</w:t>
                  </w:r>
                </w:p>
                <w:p w14:paraId="0D89FCE3">
                  <w:pPr>
                    <w:pStyle w:val="6"/>
                    <w:spacing w:before="93" w:line="228" w:lineRule="auto"/>
                    <w:ind w:left="113"/>
                    <w:rPr>
                      <w:sz w:val="20"/>
                      <w:szCs w:val="20"/>
                    </w:rPr>
                  </w:pPr>
                  <w:r>
                    <w:rPr>
                      <w:spacing w:val="5"/>
                      <w:sz w:val="20"/>
                      <w:szCs w:val="20"/>
                    </w:rPr>
                    <w:t>深加工。经泡酸后的原料宝石，宝石内部颗粒</w:t>
                  </w:r>
                </w:p>
                <w:p w14:paraId="59F21DE5">
                  <w:pPr>
                    <w:pStyle w:val="6"/>
                    <w:spacing w:before="94" w:line="227" w:lineRule="auto"/>
                    <w:ind w:left="390"/>
                    <w:rPr>
                      <w:sz w:val="20"/>
                      <w:szCs w:val="20"/>
                    </w:rPr>
                  </w:pPr>
                  <w:r>
                    <w:rPr>
                      <w:spacing w:val="8"/>
                      <w:sz w:val="20"/>
                      <w:szCs w:val="20"/>
                    </w:rPr>
                    <w:t>之间的夹杂会被洗去，宝石更加纯净。</w:t>
                  </w:r>
                </w:p>
              </w:tc>
              <w:tc>
                <w:tcPr>
                  <w:tcW w:w="1633" w:type="dxa"/>
                  <w:vAlign w:val="top"/>
                </w:tcPr>
                <w:p w14:paraId="001F3420">
                  <w:pPr>
                    <w:pStyle w:val="6"/>
                    <w:spacing w:before="294" w:line="228" w:lineRule="auto"/>
                    <w:ind w:left="192"/>
                    <w:rPr>
                      <w:sz w:val="20"/>
                      <w:szCs w:val="20"/>
                    </w:rPr>
                  </w:pPr>
                  <w:r>
                    <w:rPr>
                      <w:spacing w:val="8"/>
                      <w:sz w:val="20"/>
                      <w:szCs w:val="20"/>
                    </w:rPr>
                    <w:t>产品用于继续</w:t>
                  </w:r>
                </w:p>
                <w:p w14:paraId="1C874F26">
                  <w:pPr>
                    <w:pStyle w:val="6"/>
                    <w:spacing w:before="24" w:line="228" w:lineRule="auto"/>
                    <w:ind w:left="115"/>
                    <w:rPr>
                      <w:sz w:val="20"/>
                      <w:szCs w:val="20"/>
                    </w:rPr>
                  </w:pPr>
                  <w:r>
                    <w:rPr>
                      <w:sz w:val="20"/>
                      <w:szCs w:val="20"/>
                    </w:rPr>
                    <w:t>深加工，进一步</w:t>
                  </w:r>
                </w:p>
                <w:p w14:paraId="61D3F3C9">
                  <w:pPr>
                    <w:pStyle w:val="6"/>
                    <w:spacing w:before="26" w:line="227" w:lineRule="auto"/>
                    <w:ind w:left="192"/>
                    <w:rPr>
                      <w:sz w:val="20"/>
                      <w:szCs w:val="20"/>
                    </w:rPr>
                  </w:pPr>
                  <w:r>
                    <w:rPr>
                      <w:spacing w:val="8"/>
                      <w:sz w:val="20"/>
                      <w:szCs w:val="20"/>
                    </w:rPr>
                    <w:t>制得精美珠宝</w:t>
                  </w:r>
                </w:p>
                <w:p w14:paraId="6E00F300">
                  <w:pPr>
                    <w:pStyle w:val="6"/>
                    <w:spacing w:before="25" w:line="228" w:lineRule="auto"/>
                    <w:ind w:left="615"/>
                    <w:rPr>
                      <w:sz w:val="20"/>
                      <w:szCs w:val="20"/>
                    </w:rPr>
                  </w:pPr>
                  <w:r>
                    <w:rPr>
                      <w:spacing w:val="3"/>
                      <w:sz w:val="20"/>
                      <w:szCs w:val="20"/>
                    </w:rPr>
                    <w:t>首饰</w:t>
                  </w:r>
                </w:p>
              </w:tc>
            </w:tr>
          </w:tbl>
          <w:p w14:paraId="4D6ECA78">
            <w:pPr>
              <w:pStyle w:val="6"/>
              <w:spacing w:before="154" w:line="219" w:lineRule="auto"/>
              <w:ind w:left="584"/>
            </w:pPr>
            <w:r>
              <w:rPr>
                <w:rFonts w:ascii="Times New Roman" w:hAnsi="Times New Roman" w:eastAsia="Times New Roman" w:cs="Times New Roman"/>
                <w:spacing w:val="-5"/>
              </w:rPr>
              <w:t>4</w:t>
            </w:r>
            <w:r>
              <w:rPr>
                <w:rFonts w:ascii="Times New Roman" w:hAnsi="Times New Roman" w:eastAsia="Times New Roman" w:cs="Times New Roman"/>
                <w:spacing w:val="-34"/>
              </w:rPr>
              <w:t xml:space="preserve"> </w:t>
            </w:r>
            <w:r>
              <w:rPr>
                <w:spacing w:val="-5"/>
              </w:rPr>
              <w:t>、原辅材料</w:t>
            </w:r>
          </w:p>
          <w:p w14:paraId="658FB609">
            <w:pPr>
              <w:pStyle w:val="6"/>
              <w:spacing w:before="181" w:line="362" w:lineRule="auto"/>
              <w:ind w:left="114" w:right="163" w:firstLine="476"/>
            </w:pPr>
            <w:r>
              <w:t>本项目使用的主要原料为宝石原料，辅料为环氧树脂、盐酸、片碱等，</w:t>
            </w:r>
            <w:r>
              <w:rPr>
                <w:spacing w:val="4"/>
              </w:rPr>
              <w:t xml:space="preserve"> </w:t>
            </w:r>
            <w:r>
              <w:rPr>
                <w:spacing w:val="-2"/>
              </w:rPr>
              <w:t>具体种类和用量见下表：</w:t>
            </w:r>
          </w:p>
          <w:p w14:paraId="4D4CFEB0">
            <w:pPr>
              <w:pStyle w:val="6"/>
              <w:spacing w:before="114" w:line="219" w:lineRule="auto"/>
              <w:ind w:left="2592"/>
            </w:pPr>
            <w:r>
              <w:rPr>
                <w:b/>
                <w:bCs/>
                <w:spacing w:val="-2"/>
              </w:rPr>
              <w:t>表</w:t>
            </w:r>
            <w:r>
              <w:rPr>
                <w:spacing w:val="-55"/>
              </w:rPr>
              <w:t xml:space="preserve"> </w:t>
            </w:r>
            <w:r>
              <w:rPr>
                <w:rFonts w:ascii="Times New Roman" w:hAnsi="Times New Roman" w:eastAsia="Times New Roman" w:cs="Times New Roman"/>
                <w:b/>
                <w:bCs/>
                <w:spacing w:val="-2"/>
              </w:rPr>
              <w:t xml:space="preserve">2-5    </w:t>
            </w:r>
            <w:r>
              <w:rPr>
                <w:b/>
                <w:bCs/>
                <w:spacing w:val="-2"/>
              </w:rPr>
              <w:t>本项目原辅材料用量</w:t>
            </w:r>
          </w:p>
        </w:tc>
      </w:tr>
      <w:tr w14:paraId="3ACAC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778" w:type="dxa"/>
            <w:vMerge w:val="continue"/>
            <w:tcBorders>
              <w:top w:val="nil"/>
              <w:left w:val="single" w:color="000000" w:sz="6" w:space="0"/>
              <w:bottom w:val="nil"/>
            </w:tcBorders>
            <w:vAlign w:val="top"/>
          </w:tcPr>
          <w:p w14:paraId="104EB22B">
            <w:pPr>
              <w:rPr>
                <w:rFonts w:ascii="Arial"/>
                <w:sz w:val="21"/>
              </w:rPr>
            </w:pPr>
          </w:p>
        </w:tc>
        <w:tc>
          <w:tcPr>
            <w:tcW w:w="71" w:type="dxa"/>
            <w:tcBorders>
              <w:top w:val="nil"/>
              <w:bottom w:val="nil"/>
            </w:tcBorders>
            <w:vAlign w:val="top"/>
          </w:tcPr>
          <w:p w14:paraId="4419AC8B">
            <w:pPr>
              <w:rPr>
                <w:rFonts w:ascii="Arial"/>
                <w:sz w:val="21"/>
              </w:rPr>
            </w:pPr>
          </w:p>
        </w:tc>
        <w:tc>
          <w:tcPr>
            <w:tcW w:w="452" w:type="dxa"/>
            <w:vMerge w:val="restart"/>
            <w:tcBorders>
              <w:bottom w:val="nil"/>
            </w:tcBorders>
            <w:textDirection w:val="tbRlV"/>
            <w:vAlign w:val="top"/>
          </w:tcPr>
          <w:p w14:paraId="552C13C3">
            <w:pPr>
              <w:pStyle w:val="6"/>
              <w:spacing w:before="123" w:line="216" w:lineRule="auto"/>
              <w:ind w:left="386"/>
              <w:rPr>
                <w:sz w:val="20"/>
                <w:szCs w:val="20"/>
              </w:rPr>
            </w:pPr>
            <w:r>
              <w:rPr>
                <w:spacing w:val="8"/>
                <w:sz w:val="20"/>
                <w:szCs w:val="20"/>
              </w:rPr>
              <w:t>类</w:t>
            </w:r>
            <w:r>
              <w:rPr>
                <w:spacing w:val="-38"/>
                <w:sz w:val="20"/>
                <w:szCs w:val="20"/>
              </w:rPr>
              <w:t xml:space="preserve"> </w:t>
            </w:r>
            <w:r>
              <w:rPr>
                <w:spacing w:val="8"/>
                <w:sz w:val="20"/>
                <w:szCs w:val="20"/>
              </w:rPr>
              <w:t>别</w:t>
            </w:r>
          </w:p>
        </w:tc>
        <w:tc>
          <w:tcPr>
            <w:tcW w:w="965" w:type="dxa"/>
            <w:vMerge w:val="restart"/>
            <w:tcBorders>
              <w:bottom w:val="nil"/>
            </w:tcBorders>
            <w:vAlign w:val="top"/>
          </w:tcPr>
          <w:p w14:paraId="5490E79A">
            <w:pPr>
              <w:spacing w:line="455" w:lineRule="auto"/>
              <w:rPr>
                <w:rFonts w:ascii="Arial"/>
                <w:sz w:val="21"/>
              </w:rPr>
            </w:pPr>
          </w:p>
          <w:p w14:paraId="60A4B4A1">
            <w:pPr>
              <w:pStyle w:val="6"/>
              <w:spacing w:before="65" w:line="230" w:lineRule="auto"/>
              <w:ind w:left="277"/>
              <w:rPr>
                <w:sz w:val="20"/>
                <w:szCs w:val="20"/>
              </w:rPr>
            </w:pPr>
            <w:r>
              <w:rPr>
                <w:spacing w:val="3"/>
                <w:sz w:val="20"/>
                <w:szCs w:val="20"/>
              </w:rPr>
              <w:t>名称</w:t>
            </w:r>
          </w:p>
        </w:tc>
        <w:tc>
          <w:tcPr>
            <w:tcW w:w="3102" w:type="dxa"/>
            <w:gridSpan w:val="4"/>
            <w:vAlign w:val="top"/>
          </w:tcPr>
          <w:p w14:paraId="5A36D597">
            <w:pPr>
              <w:pStyle w:val="6"/>
              <w:spacing w:before="81" w:line="229" w:lineRule="auto"/>
              <w:ind w:left="1216"/>
              <w:rPr>
                <w:rFonts w:ascii="Times New Roman" w:hAnsi="Times New Roman" w:eastAsia="Times New Roman" w:cs="Times New Roman"/>
                <w:sz w:val="20"/>
                <w:szCs w:val="20"/>
              </w:rPr>
            </w:pPr>
            <w:r>
              <w:rPr>
                <w:spacing w:val="2"/>
                <w:sz w:val="20"/>
                <w:szCs w:val="20"/>
              </w:rPr>
              <w:t>用量</w:t>
            </w:r>
            <w:r>
              <w:rPr>
                <w:spacing w:val="-43"/>
                <w:sz w:val="20"/>
                <w:szCs w:val="20"/>
              </w:rPr>
              <w:t xml:space="preserve"> </w:t>
            </w:r>
            <w:r>
              <w:rPr>
                <w:rFonts w:ascii="Times New Roman" w:hAnsi="Times New Roman" w:eastAsia="Times New Roman" w:cs="Times New Roman"/>
                <w:spacing w:val="2"/>
                <w:sz w:val="20"/>
                <w:szCs w:val="20"/>
              </w:rPr>
              <w:t>t/a</w:t>
            </w:r>
          </w:p>
        </w:tc>
        <w:tc>
          <w:tcPr>
            <w:tcW w:w="835" w:type="dxa"/>
            <w:vMerge w:val="restart"/>
            <w:tcBorders>
              <w:bottom w:val="nil"/>
            </w:tcBorders>
            <w:vAlign w:val="top"/>
          </w:tcPr>
          <w:p w14:paraId="07162C8A">
            <w:pPr>
              <w:pStyle w:val="6"/>
              <w:spacing w:before="249" w:line="228" w:lineRule="auto"/>
              <w:ind w:left="218"/>
              <w:rPr>
                <w:sz w:val="20"/>
                <w:szCs w:val="20"/>
              </w:rPr>
            </w:pPr>
            <w:r>
              <w:rPr>
                <w:spacing w:val="3"/>
                <w:sz w:val="20"/>
                <w:szCs w:val="20"/>
              </w:rPr>
              <w:t>最大</w:t>
            </w:r>
          </w:p>
          <w:p w14:paraId="1E2A9D23">
            <w:pPr>
              <w:pStyle w:val="6"/>
              <w:spacing w:before="26" w:line="255" w:lineRule="auto"/>
              <w:ind w:left="321" w:right="204" w:hanging="99"/>
              <w:rPr>
                <w:sz w:val="20"/>
                <w:szCs w:val="20"/>
              </w:rPr>
            </w:pPr>
            <w:r>
              <w:rPr>
                <w:spacing w:val="1"/>
                <w:sz w:val="20"/>
                <w:szCs w:val="20"/>
              </w:rPr>
              <w:t>暂存</w:t>
            </w:r>
            <w:r>
              <w:rPr>
                <w:sz w:val="20"/>
                <w:szCs w:val="20"/>
              </w:rPr>
              <w:t xml:space="preserve"> 量</w:t>
            </w:r>
          </w:p>
        </w:tc>
        <w:tc>
          <w:tcPr>
            <w:tcW w:w="1239" w:type="dxa"/>
            <w:vMerge w:val="restart"/>
            <w:tcBorders>
              <w:bottom w:val="nil"/>
            </w:tcBorders>
            <w:vAlign w:val="top"/>
          </w:tcPr>
          <w:p w14:paraId="70F402EA">
            <w:pPr>
              <w:spacing w:line="456" w:lineRule="auto"/>
              <w:rPr>
                <w:rFonts w:ascii="Arial"/>
                <w:sz w:val="21"/>
              </w:rPr>
            </w:pPr>
          </w:p>
          <w:p w14:paraId="3281E48B">
            <w:pPr>
              <w:pStyle w:val="6"/>
              <w:spacing w:before="65" w:line="228" w:lineRule="auto"/>
              <w:ind w:left="208"/>
              <w:rPr>
                <w:sz w:val="20"/>
                <w:szCs w:val="20"/>
              </w:rPr>
            </w:pPr>
            <w:r>
              <w:rPr>
                <w:spacing w:val="7"/>
                <w:sz w:val="20"/>
                <w:szCs w:val="20"/>
              </w:rPr>
              <w:t>物料描述</w:t>
            </w:r>
          </w:p>
        </w:tc>
        <w:tc>
          <w:tcPr>
            <w:tcW w:w="731" w:type="dxa"/>
            <w:vMerge w:val="restart"/>
            <w:tcBorders>
              <w:bottom w:val="nil"/>
            </w:tcBorders>
            <w:vAlign w:val="top"/>
          </w:tcPr>
          <w:p w14:paraId="38D17E57">
            <w:pPr>
              <w:spacing w:line="319" w:lineRule="auto"/>
              <w:rPr>
                <w:rFonts w:ascii="Arial"/>
                <w:sz w:val="21"/>
              </w:rPr>
            </w:pPr>
          </w:p>
          <w:p w14:paraId="7AEE0A14">
            <w:pPr>
              <w:pStyle w:val="6"/>
              <w:spacing w:before="65" w:line="228" w:lineRule="auto"/>
              <w:ind w:left="167"/>
              <w:rPr>
                <w:sz w:val="20"/>
                <w:szCs w:val="20"/>
              </w:rPr>
            </w:pPr>
            <w:r>
              <w:rPr>
                <w:spacing w:val="4"/>
                <w:sz w:val="20"/>
                <w:szCs w:val="20"/>
              </w:rPr>
              <w:t>使用</w:t>
            </w:r>
          </w:p>
          <w:p w14:paraId="4144AA65">
            <w:pPr>
              <w:pStyle w:val="6"/>
              <w:spacing w:before="24" w:line="229" w:lineRule="auto"/>
              <w:ind w:left="169"/>
              <w:rPr>
                <w:sz w:val="20"/>
                <w:szCs w:val="20"/>
              </w:rPr>
            </w:pPr>
            <w:r>
              <w:rPr>
                <w:spacing w:val="3"/>
                <w:sz w:val="20"/>
                <w:szCs w:val="20"/>
              </w:rPr>
              <w:t>工序</w:t>
            </w:r>
          </w:p>
        </w:tc>
        <w:tc>
          <w:tcPr>
            <w:tcW w:w="735" w:type="dxa"/>
            <w:vMerge w:val="restart"/>
            <w:tcBorders>
              <w:bottom w:val="nil"/>
            </w:tcBorders>
            <w:vAlign w:val="top"/>
          </w:tcPr>
          <w:p w14:paraId="6F638B30">
            <w:pPr>
              <w:spacing w:line="319" w:lineRule="auto"/>
              <w:rPr>
                <w:rFonts w:ascii="Arial"/>
                <w:sz w:val="21"/>
              </w:rPr>
            </w:pPr>
          </w:p>
          <w:p w14:paraId="0E4FE0FC">
            <w:pPr>
              <w:pStyle w:val="6"/>
              <w:spacing w:before="65" w:line="228" w:lineRule="auto"/>
              <w:ind w:left="169"/>
              <w:rPr>
                <w:sz w:val="20"/>
                <w:szCs w:val="20"/>
              </w:rPr>
            </w:pPr>
            <w:r>
              <w:rPr>
                <w:spacing w:val="5"/>
                <w:sz w:val="20"/>
                <w:szCs w:val="20"/>
              </w:rPr>
              <w:t>存储</w:t>
            </w:r>
          </w:p>
          <w:p w14:paraId="3E6D662C">
            <w:pPr>
              <w:pStyle w:val="6"/>
              <w:spacing w:before="24" w:line="229" w:lineRule="auto"/>
              <w:ind w:left="170"/>
              <w:rPr>
                <w:sz w:val="20"/>
                <w:szCs w:val="20"/>
              </w:rPr>
            </w:pPr>
            <w:r>
              <w:rPr>
                <w:spacing w:val="4"/>
                <w:sz w:val="20"/>
                <w:szCs w:val="20"/>
              </w:rPr>
              <w:t>位置</w:t>
            </w:r>
          </w:p>
        </w:tc>
        <w:tc>
          <w:tcPr>
            <w:tcW w:w="80" w:type="dxa"/>
            <w:tcBorders>
              <w:top w:val="nil"/>
              <w:bottom w:val="nil"/>
              <w:right w:val="single" w:color="000000" w:sz="6" w:space="0"/>
            </w:tcBorders>
            <w:vAlign w:val="top"/>
          </w:tcPr>
          <w:p w14:paraId="05C118BE">
            <w:pPr>
              <w:rPr>
                <w:rFonts w:ascii="Arial"/>
                <w:sz w:val="21"/>
              </w:rPr>
            </w:pPr>
          </w:p>
        </w:tc>
      </w:tr>
      <w:tr w14:paraId="3D4DA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778" w:type="dxa"/>
            <w:vMerge w:val="continue"/>
            <w:tcBorders>
              <w:top w:val="nil"/>
              <w:left w:val="single" w:color="000000" w:sz="6" w:space="0"/>
              <w:bottom w:val="nil"/>
            </w:tcBorders>
            <w:vAlign w:val="top"/>
          </w:tcPr>
          <w:p w14:paraId="1D63CEE2">
            <w:pPr>
              <w:rPr>
                <w:rFonts w:ascii="Arial"/>
                <w:sz w:val="21"/>
              </w:rPr>
            </w:pPr>
          </w:p>
        </w:tc>
        <w:tc>
          <w:tcPr>
            <w:tcW w:w="71" w:type="dxa"/>
            <w:tcBorders>
              <w:top w:val="nil"/>
              <w:bottom w:val="nil"/>
            </w:tcBorders>
            <w:vAlign w:val="top"/>
          </w:tcPr>
          <w:p w14:paraId="1DFD6948">
            <w:pPr>
              <w:rPr>
                <w:rFonts w:ascii="Arial"/>
                <w:sz w:val="21"/>
              </w:rPr>
            </w:pPr>
          </w:p>
        </w:tc>
        <w:tc>
          <w:tcPr>
            <w:tcW w:w="452" w:type="dxa"/>
            <w:vMerge w:val="continue"/>
            <w:tcBorders>
              <w:top w:val="nil"/>
            </w:tcBorders>
            <w:textDirection w:val="tbRlV"/>
            <w:vAlign w:val="top"/>
          </w:tcPr>
          <w:p w14:paraId="1EAD0066">
            <w:pPr>
              <w:rPr>
                <w:rFonts w:ascii="Arial"/>
                <w:sz w:val="21"/>
              </w:rPr>
            </w:pPr>
          </w:p>
        </w:tc>
        <w:tc>
          <w:tcPr>
            <w:tcW w:w="965" w:type="dxa"/>
            <w:vMerge w:val="continue"/>
            <w:tcBorders>
              <w:top w:val="nil"/>
            </w:tcBorders>
            <w:vAlign w:val="top"/>
          </w:tcPr>
          <w:p w14:paraId="7A0F5765">
            <w:pPr>
              <w:rPr>
                <w:rFonts w:ascii="Arial"/>
                <w:sz w:val="21"/>
              </w:rPr>
            </w:pPr>
          </w:p>
        </w:tc>
        <w:tc>
          <w:tcPr>
            <w:tcW w:w="674" w:type="dxa"/>
            <w:vAlign w:val="top"/>
          </w:tcPr>
          <w:p w14:paraId="2874CE28">
            <w:pPr>
              <w:pStyle w:val="6"/>
              <w:spacing w:before="94" w:line="228" w:lineRule="auto"/>
              <w:ind w:left="132"/>
              <w:rPr>
                <w:sz w:val="20"/>
                <w:szCs w:val="20"/>
              </w:rPr>
            </w:pPr>
            <w:r>
              <w:rPr>
                <w:spacing w:val="3"/>
                <w:sz w:val="20"/>
                <w:szCs w:val="20"/>
              </w:rPr>
              <w:t>现有</w:t>
            </w:r>
          </w:p>
          <w:p w14:paraId="05A34453">
            <w:pPr>
              <w:pStyle w:val="6"/>
              <w:spacing w:before="24" w:line="228" w:lineRule="auto"/>
              <w:ind w:left="113"/>
              <w:rPr>
                <w:sz w:val="20"/>
                <w:szCs w:val="20"/>
              </w:rPr>
            </w:pPr>
            <w:r>
              <w:rPr>
                <w:spacing w:val="3"/>
                <w:sz w:val="20"/>
                <w:szCs w:val="20"/>
              </w:rPr>
              <w:t>工程</w:t>
            </w:r>
          </w:p>
          <w:p w14:paraId="5031FF88">
            <w:pPr>
              <w:spacing w:before="27" w:line="196" w:lineRule="auto"/>
              <w:ind w:left="313"/>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c>
        <w:tc>
          <w:tcPr>
            <w:tcW w:w="706" w:type="dxa"/>
            <w:vAlign w:val="top"/>
          </w:tcPr>
          <w:p w14:paraId="1621C0C5">
            <w:pPr>
              <w:pStyle w:val="6"/>
              <w:spacing w:before="215" w:line="255" w:lineRule="auto"/>
              <w:ind w:left="290" w:right="143" w:hanging="142"/>
              <w:rPr>
                <w:sz w:val="20"/>
                <w:szCs w:val="20"/>
              </w:rPr>
            </w:pPr>
            <w:r>
              <w:rPr>
                <w:spacing w:val="4"/>
                <w:sz w:val="20"/>
                <w:szCs w:val="20"/>
              </w:rPr>
              <w:t>本项</w:t>
            </w:r>
            <w:r>
              <w:rPr>
                <w:sz w:val="20"/>
                <w:szCs w:val="20"/>
              </w:rPr>
              <w:t xml:space="preserve"> 目</w:t>
            </w:r>
          </w:p>
        </w:tc>
        <w:tc>
          <w:tcPr>
            <w:tcW w:w="951" w:type="dxa"/>
            <w:vAlign w:val="top"/>
          </w:tcPr>
          <w:p w14:paraId="411BC28F">
            <w:pPr>
              <w:pStyle w:val="6"/>
              <w:spacing w:before="79" w:line="227" w:lineRule="auto"/>
              <w:ind w:left="167"/>
              <w:rPr>
                <w:sz w:val="20"/>
                <w:szCs w:val="20"/>
              </w:rPr>
            </w:pPr>
            <w:r>
              <w:rPr>
                <w:spacing w:val="6"/>
                <w:sz w:val="20"/>
                <w:szCs w:val="20"/>
              </w:rPr>
              <w:t>本项目</w:t>
            </w:r>
          </w:p>
          <w:p w14:paraId="73B46274">
            <w:pPr>
              <w:pStyle w:val="6"/>
              <w:spacing w:before="26" w:line="244" w:lineRule="auto"/>
              <w:ind w:left="268" w:right="158" w:hanging="100"/>
              <w:rPr>
                <w:sz w:val="20"/>
                <w:szCs w:val="20"/>
              </w:rPr>
            </w:pPr>
            <w:r>
              <w:rPr>
                <w:spacing w:val="6"/>
                <w:sz w:val="20"/>
                <w:szCs w:val="20"/>
              </w:rPr>
              <w:t>建成后</w:t>
            </w:r>
            <w:r>
              <w:rPr>
                <w:sz w:val="20"/>
                <w:szCs w:val="20"/>
              </w:rPr>
              <w:t xml:space="preserve"> </w:t>
            </w:r>
            <w:r>
              <w:rPr>
                <w:spacing w:val="4"/>
                <w:sz w:val="20"/>
                <w:szCs w:val="20"/>
              </w:rPr>
              <w:t>全厂</w:t>
            </w:r>
          </w:p>
        </w:tc>
        <w:tc>
          <w:tcPr>
            <w:tcW w:w="771" w:type="dxa"/>
            <w:vAlign w:val="top"/>
          </w:tcPr>
          <w:p w14:paraId="755FA3C6">
            <w:pPr>
              <w:pStyle w:val="6"/>
              <w:spacing w:before="215" w:line="254" w:lineRule="auto"/>
              <w:ind w:left="123" w:right="112" w:firstLine="59"/>
              <w:rPr>
                <w:rFonts w:ascii="Times New Roman" w:hAnsi="Times New Roman" w:eastAsia="Times New Roman" w:cs="Times New Roman"/>
                <w:sz w:val="13"/>
                <w:szCs w:val="13"/>
              </w:rPr>
            </w:pPr>
            <w:r>
              <w:rPr>
                <w:spacing w:val="4"/>
                <w:sz w:val="20"/>
                <w:szCs w:val="20"/>
              </w:rPr>
              <w:t>变化</w:t>
            </w:r>
            <w:r>
              <w:rPr>
                <w:sz w:val="20"/>
                <w:szCs w:val="20"/>
              </w:rPr>
              <w:t xml:space="preserve"> </w:t>
            </w:r>
            <w:r>
              <w:rPr>
                <w:spacing w:val="3"/>
                <w:sz w:val="20"/>
                <w:szCs w:val="20"/>
              </w:rPr>
              <w:t>情况</w:t>
            </w:r>
            <w:r>
              <w:rPr>
                <w:spacing w:val="-45"/>
                <w:sz w:val="20"/>
                <w:szCs w:val="20"/>
              </w:rPr>
              <w:t xml:space="preserve"> </w:t>
            </w:r>
            <w:r>
              <w:rPr>
                <w:rFonts w:ascii="Times New Roman" w:hAnsi="Times New Roman" w:eastAsia="Times New Roman" w:cs="Times New Roman"/>
                <w:spacing w:val="3"/>
                <w:position w:val="6"/>
                <w:sz w:val="13"/>
                <w:szCs w:val="13"/>
              </w:rPr>
              <w:t>2</w:t>
            </w:r>
          </w:p>
        </w:tc>
        <w:tc>
          <w:tcPr>
            <w:tcW w:w="835" w:type="dxa"/>
            <w:vMerge w:val="continue"/>
            <w:tcBorders>
              <w:top w:val="nil"/>
            </w:tcBorders>
            <w:vAlign w:val="top"/>
          </w:tcPr>
          <w:p w14:paraId="7F92D0BE">
            <w:pPr>
              <w:rPr>
                <w:rFonts w:ascii="Arial"/>
                <w:sz w:val="21"/>
              </w:rPr>
            </w:pPr>
          </w:p>
        </w:tc>
        <w:tc>
          <w:tcPr>
            <w:tcW w:w="1239" w:type="dxa"/>
            <w:vMerge w:val="continue"/>
            <w:tcBorders>
              <w:top w:val="nil"/>
            </w:tcBorders>
            <w:vAlign w:val="top"/>
          </w:tcPr>
          <w:p w14:paraId="764756E7">
            <w:pPr>
              <w:rPr>
                <w:rFonts w:ascii="Arial"/>
                <w:sz w:val="21"/>
              </w:rPr>
            </w:pPr>
          </w:p>
        </w:tc>
        <w:tc>
          <w:tcPr>
            <w:tcW w:w="731" w:type="dxa"/>
            <w:vMerge w:val="continue"/>
            <w:tcBorders>
              <w:top w:val="nil"/>
            </w:tcBorders>
            <w:vAlign w:val="top"/>
          </w:tcPr>
          <w:p w14:paraId="10654C25">
            <w:pPr>
              <w:rPr>
                <w:rFonts w:ascii="Arial"/>
                <w:sz w:val="21"/>
              </w:rPr>
            </w:pPr>
          </w:p>
        </w:tc>
        <w:tc>
          <w:tcPr>
            <w:tcW w:w="735" w:type="dxa"/>
            <w:vMerge w:val="continue"/>
            <w:tcBorders>
              <w:top w:val="nil"/>
            </w:tcBorders>
            <w:vAlign w:val="top"/>
          </w:tcPr>
          <w:p w14:paraId="0518531E">
            <w:pPr>
              <w:rPr>
                <w:rFonts w:ascii="Arial"/>
                <w:sz w:val="21"/>
              </w:rPr>
            </w:pPr>
          </w:p>
        </w:tc>
        <w:tc>
          <w:tcPr>
            <w:tcW w:w="80" w:type="dxa"/>
            <w:tcBorders>
              <w:top w:val="nil"/>
              <w:bottom w:val="nil"/>
              <w:right w:val="single" w:color="000000" w:sz="6" w:space="0"/>
            </w:tcBorders>
            <w:vAlign w:val="top"/>
          </w:tcPr>
          <w:p w14:paraId="70A62743">
            <w:pPr>
              <w:rPr>
                <w:rFonts w:ascii="Arial"/>
                <w:sz w:val="21"/>
              </w:rPr>
            </w:pPr>
          </w:p>
        </w:tc>
      </w:tr>
      <w:tr w14:paraId="22893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778" w:type="dxa"/>
            <w:vMerge w:val="continue"/>
            <w:tcBorders>
              <w:top w:val="nil"/>
              <w:left w:val="single" w:color="000000" w:sz="6" w:space="0"/>
              <w:bottom w:val="nil"/>
            </w:tcBorders>
            <w:vAlign w:val="top"/>
          </w:tcPr>
          <w:p w14:paraId="5EC3C307">
            <w:pPr>
              <w:rPr>
                <w:rFonts w:ascii="Arial"/>
                <w:sz w:val="21"/>
              </w:rPr>
            </w:pPr>
          </w:p>
        </w:tc>
        <w:tc>
          <w:tcPr>
            <w:tcW w:w="71" w:type="dxa"/>
            <w:tcBorders>
              <w:top w:val="nil"/>
              <w:bottom w:val="nil"/>
            </w:tcBorders>
            <w:vAlign w:val="top"/>
          </w:tcPr>
          <w:p w14:paraId="4F5DCC1E">
            <w:pPr>
              <w:rPr>
                <w:rFonts w:ascii="Arial"/>
                <w:sz w:val="21"/>
              </w:rPr>
            </w:pPr>
          </w:p>
        </w:tc>
        <w:tc>
          <w:tcPr>
            <w:tcW w:w="452" w:type="dxa"/>
            <w:vMerge w:val="restart"/>
            <w:tcBorders>
              <w:bottom w:val="nil"/>
            </w:tcBorders>
            <w:textDirection w:val="tbRlV"/>
            <w:vAlign w:val="top"/>
          </w:tcPr>
          <w:p w14:paraId="7C5130FC">
            <w:pPr>
              <w:pStyle w:val="6"/>
              <w:spacing w:before="124" w:line="216" w:lineRule="auto"/>
              <w:ind w:left="717"/>
              <w:rPr>
                <w:sz w:val="20"/>
                <w:szCs w:val="20"/>
              </w:rPr>
            </w:pPr>
            <w:r>
              <w:rPr>
                <w:spacing w:val="8"/>
                <w:sz w:val="20"/>
                <w:szCs w:val="20"/>
              </w:rPr>
              <w:t>主</w:t>
            </w:r>
            <w:r>
              <w:rPr>
                <w:spacing w:val="-35"/>
                <w:sz w:val="20"/>
                <w:szCs w:val="20"/>
              </w:rPr>
              <w:t xml:space="preserve"> </w:t>
            </w:r>
            <w:r>
              <w:rPr>
                <w:spacing w:val="8"/>
                <w:sz w:val="20"/>
                <w:szCs w:val="20"/>
              </w:rPr>
              <w:t>料</w:t>
            </w:r>
          </w:p>
        </w:tc>
        <w:tc>
          <w:tcPr>
            <w:tcW w:w="965" w:type="dxa"/>
            <w:vAlign w:val="top"/>
          </w:tcPr>
          <w:p w14:paraId="036400E0">
            <w:pPr>
              <w:pStyle w:val="6"/>
              <w:spacing w:before="38" w:line="228" w:lineRule="auto"/>
              <w:ind w:left="168"/>
              <w:rPr>
                <w:sz w:val="20"/>
                <w:szCs w:val="20"/>
              </w:rPr>
            </w:pPr>
            <w:r>
              <w:rPr>
                <w:spacing w:val="6"/>
                <w:sz w:val="20"/>
                <w:szCs w:val="20"/>
              </w:rPr>
              <w:t>注胶加</w:t>
            </w:r>
          </w:p>
          <w:p w14:paraId="01D1E43E">
            <w:pPr>
              <w:pStyle w:val="6"/>
              <w:spacing w:before="23" w:line="228" w:lineRule="auto"/>
              <w:ind w:left="279" w:right="172" w:hanging="108"/>
              <w:rPr>
                <w:sz w:val="20"/>
                <w:szCs w:val="20"/>
              </w:rPr>
            </w:pPr>
            <w:r>
              <w:rPr>
                <w:spacing w:val="5"/>
                <w:sz w:val="20"/>
                <w:szCs w:val="20"/>
              </w:rPr>
              <w:t>工宝石</w:t>
            </w:r>
            <w:r>
              <w:rPr>
                <w:sz w:val="20"/>
                <w:szCs w:val="20"/>
              </w:rPr>
              <w:t xml:space="preserve"> </w:t>
            </w:r>
            <w:r>
              <w:rPr>
                <w:spacing w:val="2"/>
                <w:sz w:val="20"/>
                <w:szCs w:val="20"/>
              </w:rPr>
              <w:t>原料</w:t>
            </w:r>
          </w:p>
        </w:tc>
        <w:tc>
          <w:tcPr>
            <w:tcW w:w="674" w:type="dxa"/>
            <w:vAlign w:val="top"/>
          </w:tcPr>
          <w:p w14:paraId="4207914F">
            <w:pPr>
              <w:spacing w:line="286" w:lineRule="auto"/>
              <w:rPr>
                <w:rFonts w:ascii="Arial"/>
                <w:sz w:val="21"/>
              </w:rPr>
            </w:pPr>
          </w:p>
          <w:p w14:paraId="18993A2C">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6" w:type="dxa"/>
            <w:vAlign w:val="top"/>
          </w:tcPr>
          <w:p w14:paraId="1E77C9F5">
            <w:pPr>
              <w:spacing w:line="286" w:lineRule="auto"/>
              <w:rPr>
                <w:rFonts w:ascii="Arial"/>
                <w:sz w:val="21"/>
              </w:rPr>
            </w:pPr>
          </w:p>
          <w:p w14:paraId="0B459C6B">
            <w:pPr>
              <w:spacing w:before="5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4860</w:t>
            </w:r>
          </w:p>
        </w:tc>
        <w:tc>
          <w:tcPr>
            <w:tcW w:w="951" w:type="dxa"/>
            <w:vAlign w:val="top"/>
          </w:tcPr>
          <w:p w14:paraId="4E7BF970">
            <w:pPr>
              <w:spacing w:line="286" w:lineRule="auto"/>
              <w:rPr>
                <w:rFonts w:ascii="Arial"/>
                <w:sz w:val="21"/>
              </w:rPr>
            </w:pPr>
          </w:p>
          <w:p w14:paraId="22CFE7B4">
            <w:pPr>
              <w:spacing w:before="5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4860</w:t>
            </w:r>
          </w:p>
        </w:tc>
        <w:tc>
          <w:tcPr>
            <w:tcW w:w="771" w:type="dxa"/>
            <w:vAlign w:val="top"/>
          </w:tcPr>
          <w:p w14:paraId="4FE5D4C5">
            <w:pPr>
              <w:spacing w:line="286" w:lineRule="auto"/>
              <w:rPr>
                <w:rFonts w:ascii="Arial"/>
                <w:sz w:val="21"/>
              </w:rPr>
            </w:pPr>
          </w:p>
          <w:p w14:paraId="59368BD5">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+4860</w:t>
            </w:r>
          </w:p>
        </w:tc>
        <w:tc>
          <w:tcPr>
            <w:tcW w:w="835" w:type="dxa"/>
            <w:vAlign w:val="top"/>
          </w:tcPr>
          <w:p w14:paraId="0E88EFD3">
            <w:pPr>
              <w:spacing w:line="286" w:lineRule="auto"/>
              <w:rPr>
                <w:rFonts w:ascii="Arial"/>
                <w:sz w:val="21"/>
              </w:rPr>
            </w:pPr>
          </w:p>
          <w:p w14:paraId="3CEB36CE">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39" w:type="dxa"/>
            <w:vMerge w:val="restart"/>
            <w:tcBorders>
              <w:bottom w:val="nil"/>
            </w:tcBorders>
            <w:vAlign w:val="top"/>
          </w:tcPr>
          <w:p w14:paraId="71E92BB0">
            <w:pPr>
              <w:pStyle w:val="6"/>
              <w:spacing w:before="38" w:line="228" w:lineRule="auto"/>
              <w:ind w:left="211"/>
              <w:rPr>
                <w:sz w:val="20"/>
                <w:szCs w:val="20"/>
              </w:rPr>
            </w:pPr>
            <w:r>
              <w:rPr>
                <w:spacing w:val="7"/>
                <w:sz w:val="20"/>
                <w:szCs w:val="20"/>
              </w:rPr>
              <w:t>大小不一</w:t>
            </w:r>
          </w:p>
          <w:p w14:paraId="77AE63F4">
            <w:pPr>
              <w:pStyle w:val="6"/>
              <w:spacing w:before="24" w:line="251" w:lineRule="auto"/>
              <w:ind w:left="117" w:right="102" w:firstLine="94"/>
              <w:rPr>
                <w:sz w:val="20"/>
                <w:szCs w:val="20"/>
              </w:rPr>
            </w:pPr>
            <w:r>
              <w:rPr>
                <w:spacing w:val="6"/>
                <w:sz w:val="20"/>
                <w:szCs w:val="20"/>
              </w:rPr>
              <w:t>不规则石</w:t>
            </w:r>
            <w:r>
              <w:rPr>
                <w:sz w:val="20"/>
                <w:szCs w:val="20"/>
              </w:rPr>
              <w:t xml:space="preserve">  </w:t>
            </w:r>
            <w:r>
              <w:rPr>
                <w:spacing w:val="2"/>
                <w:sz w:val="20"/>
                <w:szCs w:val="20"/>
              </w:rPr>
              <w:t>块，主要品</w:t>
            </w:r>
          </w:p>
          <w:p w14:paraId="6126C6B7">
            <w:pPr>
              <w:pStyle w:val="6"/>
              <w:spacing w:line="228" w:lineRule="auto"/>
              <w:ind w:left="208"/>
              <w:rPr>
                <w:sz w:val="20"/>
                <w:szCs w:val="20"/>
              </w:rPr>
            </w:pPr>
            <w:r>
              <w:rPr>
                <w:spacing w:val="7"/>
                <w:sz w:val="20"/>
                <w:szCs w:val="20"/>
              </w:rPr>
              <w:t>种有海蓝</w:t>
            </w:r>
          </w:p>
          <w:p w14:paraId="0B4D8428">
            <w:pPr>
              <w:pStyle w:val="6"/>
              <w:spacing w:before="25" w:line="228" w:lineRule="auto"/>
              <w:ind w:left="211"/>
              <w:rPr>
                <w:sz w:val="20"/>
                <w:szCs w:val="20"/>
              </w:rPr>
            </w:pPr>
            <w:r>
              <w:rPr>
                <w:spacing w:val="6"/>
                <w:sz w:val="20"/>
                <w:szCs w:val="20"/>
              </w:rPr>
              <w:t>宝、草莓</w:t>
            </w:r>
          </w:p>
          <w:p w14:paraId="3AD2FC5F">
            <w:pPr>
              <w:pStyle w:val="6"/>
              <w:spacing w:before="25" w:line="228" w:lineRule="auto"/>
              <w:ind w:left="135"/>
              <w:rPr>
                <w:sz w:val="20"/>
                <w:szCs w:val="20"/>
              </w:rPr>
            </w:pPr>
            <w:r>
              <w:rPr>
                <w:spacing w:val="2"/>
                <w:sz w:val="20"/>
                <w:szCs w:val="20"/>
              </w:rPr>
              <w:t>晶、发晶、</w:t>
            </w:r>
          </w:p>
          <w:p w14:paraId="5255293C">
            <w:pPr>
              <w:pStyle w:val="6"/>
              <w:spacing w:before="26" w:line="210" w:lineRule="auto"/>
              <w:ind w:left="319"/>
              <w:rPr>
                <w:sz w:val="20"/>
                <w:szCs w:val="20"/>
              </w:rPr>
            </w:pPr>
            <w:r>
              <w:rPr>
                <w:spacing w:val="5"/>
                <w:sz w:val="20"/>
                <w:szCs w:val="20"/>
              </w:rPr>
              <w:t>云母等</w:t>
            </w:r>
          </w:p>
        </w:tc>
        <w:tc>
          <w:tcPr>
            <w:tcW w:w="731" w:type="dxa"/>
            <w:vAlign w:val="top"/>
          </w:tcPr>
          <w:p w14:paraId="404FBC5A">
            <w:pPr>
              <w:spacing w:line="242" w:lineRule="auto"/>
              <w:rPr>
                <w:rFonts w:ascii="Arial"/>
                <w:sz w:val="21"/>
              </w:rPr>
            </w:pPr>
          </w:p>
          <w:p w14:paraId="010E89D4">
            <w:pPr>
              <w:pStyle w:val="6"/>
              <w:spacing w:before="65" w:line="228" w:lineRule="auto"/>
              <w:ind w:left="167"/>
              <w:rPr>
                <w:sz w:val="20"/>
                <w:szCs w:val="20"/>
              </w:rPr>
            </w:pPr>
            <w:r>
              <w:rPr>
                <w:spacing w:val="4"/>
                <w:sz w:val="20"/>
                <w:szCs w:val="20"/>
              </w:rPr>
              <w:t>注胶</w:t>
            </w:r>
          </w:p>
        </w:tc>
        <w:tc>
          <w:tcPr>
            <w:tcW w:w="735" w:type="dxa"/>
            <w:vAlign w:val="top"/>
          </w:tcPr>
          <w:p w14:paraId="7610F630">
            <w:pPr>
              <w:pStyle w:val="6"/>
              <w:spacing w:before="38" w:line="228" w:lineRule="auto"/>
              <w:ind w:left="173"/>
              <w:rPr>
                <w:sz w:val="20"/>
                <w:szCs w:val="20"/>
              </w:rPr>
            </w:pPr>
            <w:r>
              <w:rPr>
                <w:spacing w:val="3"/>
                <w:sz w:val="20"/>
                <w:szCs w:val="20"/>
              </w:rPr>
              <w:t>各注</w:t>
            </w:r>
          </w:p>
          <w:p w14:paraId="4009CD98">
            <w:pPr>
              <w:pStyle w:val="6"/>
              <w:spacing w:before="23" w:line="228" w:lineRule="auto"/>
              <w:ind w:left="289" w:right="149" w:hanging="120"/>
              <w:rPr>
                <w:sz w:val="20"/>
                <w:szCs w:val="20"/>
              </w:rPr>
            </w:pPr>
            <w:r>
              <w:rPr>
                <w:spacing w:val="5"/>
                <w:sz w:val="20"/>
                <w:szCs w:val="20"/>
              </w:rPr>
              <w:t>胶车</w:t>
            </w:r>
            <w:r>
              <w:rPr>
                <w:sz w:val="20"/>
                <w:szCs w:val="20"/>
              </w:rPr>
              <w:t xml:space="preserve"> 间</w:t>
            </w:r>
          </w:p>
        </w:tc>
        <w:tc>
          <w:tcPr>
            <w:tcW w:w="80" w:type="dxa"/>
            <w:tcBorders>
              <w:top w:val="nil"/>
              <w:bottom w:val="nil"/>
              <w:right w:val="single" w:color="000000" w:sz="6" w:space="0"/>
            </w:tcBorders>
            <w:vAlign w:val="top"/>
          </w:tcPr>
          <w:p w14:paraId="276F897A">
            <w:pPr>
              <w:rPr>
                <w:rFonts w:ascii="Arial"/>
                <w:sz w:val="21"/>
              </w:rPr>
            </w:pPr>
          </w:p>
        </w:tc>
      </w:tr>
      <w:tr w14:paraId="5DA36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778" w:type="dxa"/>
            <w:vMerge w:val="continue"/>
            <w:tcBorders>
              <w:top w:val="nil"/>
              <w:left w:val="single" w:color="000000" w:sz="6" w:space="0"/>
              <w:bottom w:val="nil"/>
            </w:tcBorders>
            <w:vAlign w:val="top"/>
          </w:tcPr>
          <w:p w14:paraId="2872DD90">
            <w:pPr>
              <w:rPr>
                <w:rFonts w:ascii="Arial"/>
                <w:sz w:val="21"/>
              </w:rPr>
            </w:pPr>
          </w:p>
        </w:tc>
        <w:tc>
          <w:tcPr>
            <w:tcW w:w="71" w:type="dxa"/>
            <w:tcBorders>
              <w:top w:val="nil"/>
              <w:bottom w:val="nil"/>
            </w:tcBorders>
            <w:vAlign w:val="top"/>
          </w:tcPr>
          <w:p w14:paraId="29DC81A0">
            <w:pPr>
              <w:rPr>
                <w:rFonts w:ascii="Arial"/>
                <w:sz w:val="21"/>
              </w:rPr>
            </w:pPr>
          </w:p>
        </w:tc>
        <w:tc>
          <w:tcPr>
            <w:tcW w:w="452" w:type="dxa"/>
            <w:vMerge w:val="continue"/>
            <w:tcBorders>
              <w:top w:val="nil"/>
            </w:tcBorders>
            <w:textDirection w:val="tbRlV"/>
            <w:vAlign w:val="top"/>
          </w:tcPr>
          <w:p w14:paraId="642C2F63">
            <w:pPr>
              <w:rPr>
                <w:rFonts w:ascii="Arial"/>
                <w:sz w:val="21"/>
              </w:rPr>
            </w:pPr>
          </w:p>
        </w:tc>
        <w:tc>
          <w:tcPr>
            <w:tcW w:w="965" w:type="dxa"/>
            <w:vAlign w:val="top"/>
          </w:tcPr>
          <w:p w14:paraId="1CCDEC5F">
            <w:pPr>
              <w:pStyle w:val="6"/>
              <w:spacing w:before="178" w:line="229" w:lineRule="auto"/>
              <w:ind w:left="170"/>
              <w:rPr>
                <w:sz w:val="20"/>
                <w:szCs w:val="20"/>
              </w:rPr>
            </w:pPr>
            <w:r>
              <w:rPr>
                <w:spacing w:val="6"/>
                <w:sz w:val="20"/>
                <w:szCs w:val="20"/>
              </w:rPr>
              <w:t>泡酸加</w:t>
            </w:r>
          </w:p>
          <w:p w14:paraId="1B3DCABD">
            <w:pPr>
              <w:pStyle w:val="6"/>
              <w:spacing w:before="23" w:line="253" w:lineRule="auto"/>
              <w:ind w:left="276" w:right="170" w:hanging="105"/>
              <w:rPr>
                <w:sz w:val="20"/>
                <w:szCs w:val="20"/>
              </w:rPr>
            </w:pPr>
            <w:r>
              <w:rPr>
                <w:spacing w:val="6"/>
                <w:sz w:val="20"/>
                <w:szCs w:val="20"/>
              </w:rPr>
              <w:t>工原料</w:t>
            </w:r>
            <w:r>
              <w:rPr>
                <w:sz w:val="20"/>
                <w:szCs w:val="20"/>
              </w:rPr>
              <w:t xml:space="preserve"> </w:t>
            </w:r>
            <w:r>
              <w:rPr>
                <w:spacing w:val="3"/>
                <w:sz w:val="20"/>
                <w:szCs w:val="20"/>
              </w:rPr>
              <w:t>宝石</w:t>
            </w:r>
          </w:p>
        </w:tc>
        <w:tc>
          <w:tcPr>
            <w:tcW w:w="674" w:type="dxa"/>
            <w:vAlign w:val="top"/>
          </w:tcPr>
          <w:p w14:paraId="4D36D7B3">
            <w:pPr>
              <w:spacing w:line="425" w:lineRule="auto"/>
              <w:rPr>
                <w:rFonts w:ascii="Arial"/>
                <w:sz w:val="21"/>
              </w:rPr>
            </w:pPr>
          </w:p>
          <w:p w14:paraId="5699EFA9">
            <w:pPr>
              <w:spacing w:before="5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706" w:type="dxa"/>
            <w:vAlign w:val="top"/>
          </w:tcPr>
          <w:p w14:paraId="2258AB4C">
            <w:pPr>
              <w:spacing w:line="305" w:lineRule="auto"/>
              <w:rPr>
                <w:rFonts w:ascii="Arial"/>
                <w:sz w:val="21"/>
              </w:rPr>
            </w:pPr>
          </w:p>
          <w:p w14:paraId="5B93D762">
            <w:pPr>
              <w:spacing w:before="5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p w14:paraId="3221457B">
            <w:pPr>
              <w:spacing w:before="5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51" w:type="dxa"/>
            <w:vAlign w:val="top"/>
          </w:tcPr>
          <w:p w14:paraId="6E45D0CD">
            <w:pPr>
              <w:spacing w:line="425" w:lineRule="auto"/>
              <w:rPr>
                <w:rFonts w:ascii="Arial"/>
                <w:sz w:val="21"/>
              </w:rPr>
            </w:pPr>
          </w:p>
          <w:p w14:paraId="252B6288">
            <w:pPr>
              <w:spacing w:before="5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13500</w:t>
            </w:r>
          </w:p>
        </w:tc>
        <w:tc>
          <w:tcPr>
            <w:tcW w:w="771" w:type="dxa"/>
            <w:vAlign w:val="top"/>
          </w:tcPr>
          <w:p w14:paraId="174CF4DB">
            <w:pPr>
              <w:spacing w:line="425" w:lineRule="auto"/>
              <w:rPr>
                <w:rFonts w:ascii="Arial"/>
                <w:sz w:val="21"/>
              </w:rPr>
            </w:pPr>
          </w:p>
          <w:p w14:paraId="0480C11E">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+8500</w:t>
            </w:r>
          </w:p>
        </w:tc>
        <w:tc>
          <w:tcPr>
            <w:tcW w:w="835" w:type="dxa"/>
            <w:vAlign w:val="top"/>
          </w:tcPr>
          <w:p w14:paraId="7DE62164">
            <w:pPr>
              <w:spacing w:line="425" w:lineRule="auto"/>
              <w:rPr>
                <w:rFonts w:ascii="Arial"/>
                <w:sz w:val="21"/>
              </w:rPr>
            </w:pPr>
          </w:p>
          <w:p w14:paraId="0CC96EC5">
            <w:pPr>
              <w:spacing w:before="5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w:t>
            </w:r>
          </w:p>
        </w:tc>
        <w:tc>
          <w:tcPr>
            <w:tcW w:w="1239" w:type="dxa"/>
            <w:vMerge w:val="continue"/>
            <w:tcBorders>
              <w:top w:val="nil"/>
            </w:tcBorders>
            <w:vAlign w:val="top"/>
          </w:tcPr>
          <w:p w14:paraId="76D4D897">
            <w:pPr>
              <w:rPr>
                <w:rFonts w:ascii="Arial"/>
                <w:sz w:val="21"/>
              </w:rPr>
            </w:pPr>
          </w:p>
        </w:tc>
        <w:tc>
          <w:tcPr>
            <w:tcW w:w="731" w:type="dxa"/>
            <w:vAlign w:val="top"/>
          </w:tcPr>
          <w:p w14:paraId="1FBE329B">
            <w:pPr>
              <w:spacing w:line="381" w:lineRule="auto"/>
              <w:rPr>
                <w:rFonts w:ascii="Arial"/>
                <w:sz w:val="21"/>
              </w:rPr>
            </w:pPr>
          </w:p>
          <w:p w14:paraId="39E279F0">
            <w:pPr>
              <w:pStyle w:val="6"/>
              <w:spacing w:before="66" w:line="229" w:lineRule="auto"/>
              <w:ind w:left="168"/>
              <w:rPr>
                <w:sz w:val="20"/>
                <w:szCs w:val="20"/>
              </w:rPr>
            </w:pPr>
            <w:r>
              <w:rPr>
                <w:spacing w:val="3"/>
                <w:sz w:val="20"/>
                <w:szCs w:val="20"/>
              </w:rPr>
              <w:t>泡酸</w:t>
            </w:r>
          </w:p>
        </w:tc>
        <w:tc>
          <w:tcPr>
            <w:tcW w:w="735" w:type="dxa"/>
            <w:vAlign w:val="top"/>
          </w:tcPr>
          <w:p w14:paraId="7DC6CC43">
            <w:pPr>
              <w:pStyle w:val="6"/>
              <w:spacing w:before="178" w:line="228" w:lineRule="auto"/>
              <w:ind w:left="173"/>
              <w:rPr>
                <w:sz w:val="20"/>
                <w:szCs w:val="20"/>
              </w:rPr>
            </w:pPr>
            <w:r>
              <w:rPr>
                <w:spacing w:val="3"/>
                <w:sz w:val="20"/>
                <w:szCs w:val="20"/>
              </w:rPr>
              <w:t>各泡</w:t>
            </w:r>
          </w:p>
          <w:p w14:paraId="743196CF">
            <w:pPr>
              <w:pStyle w:val="6"/>
              <w:spacing w:before="24" w:line="253" w:lineRule="auto"/>
              <w:ind w:left="289" w:right="149" w:hanging="118"/>
              <w:rPr>
                <w:sz w:val="20"/>
                <w:szCs w:val="20"/>
              </w:rPr>
            </w:pPr>
            <w:r>
              <w:rPr>
                <w:spacing w:val="4"/>
                <w:sz w:val="20"/>
                <w:szCs w:val="20"/>
              </w:rPr>
              <w:t>酸车</w:t>
            </w:r>
            <w:r>
              <w:rPr>
                <w:sz w:val="20"/>
                <w:szCs w:val="20"/>
              </w:rPr>
              <w:t xml:space="preserve"> 间</w:t>
            </w:r>
          </w:p>
        </w:tc>
        <w:tc>
          <w:tcPr>
            <w:tcW w:w="80" w:type="dxa"/>
            <w:tcBorders>
              <w:top w:val="nil"/>
              <w:bottom w:val="nil"/>
              <w:right w:val="single" w:color="000000" w:sz="6" w:space="0"/>
            </w:tcBorders>
            <w:vAlign w:val="top"/>
          </w:tcPr>
          <w:p w14:paraId="7F91F512">
            <w:pPr>
              <w:rPr>
                <w:rFonts w:ascii="Arial"/>
                <w:sz w:val="21"/>
              </w:rPr>
            </w:pPr>
          </w:p>
        </w:tc>
      </w:tr>
      <w:tr w14:paraId="7C603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778" w:type="dxa"/>
            <w:vMerge w:val="continue"/>
            <w:tcBorders>
              <w:top w:val="nil"/>
              <w:left w:val="single" w:color="000000" w:sz="6" w:space="0"/>
              <w:bottom w:val="nil"/>
            </w:tcBorders>
            <w:vAlign w:val="top"/>
          </w:tcPr>
          <w:p w14:paraId="0F814FD5">
            <w:pPr>
              <w:rPr>
                <w:rFonts w:ascii="Arial"/>
                <w:sz w:val="21"/>
              </w:rPr>
            </w:pPr>
          </w:p>
        </w:tc>
        <w:tc>
          <w:tcPr>
            <w:tcW w:w="71" w:type="dxa"/>
            <w:tcBorders>
              <w:top w:val="nil"/>
              <w:bottom w:val="nil"/>
            </w:tcBorders>
            <w:vAlign w:val="top"/>
          </w:tcPr>
          <w:p w14:paraId="6299AE13">
            <w:pPr>
              <w:rPr>
                <w:rFonts w:ascii="Arial"/>
                <w:sz w:val="21"/>
              </w:rPr>
            </w:pPr>
          </w:p>
        </w:tc>
        <w:tc>
          <w:tcPr>
            <w:tcW w:w="452" w:type="dxa"/>
            <w:vMerge w:val="restart"/>
            <w:tcBorders>
              <w:bottom w:val="nil"/>
            </w:tcBorders>
            <w:textDirection w:val="tbRlV"/>
            <w:vAlign w:val="top"/>
          </w:tcPr>
          <w:p w14:paraId="6D1455B0">
            <w:pPr>
              <w:pStyle w:val="6"/>
              <w:spacing w:before="124" w:line="216" w:lineRule="auto"/>
              <w:ind w:left="2227"/>
              <w:rPr>
                <w:sz w:val="20"/>
                <w:szCs w:val="20"/>
              </w:rPr>
            </w:pPr>
            <w:r>
              <w:rPr>
                <w:spacing w:val="8"/>
                <w:sz w:val="20"/>
                <w:szCs w:val="20"/>
              </w:rPr>
              <w:t>辅</w:t>
            </w:r>
            <w:r>
              <w:rPr>
                <w:spacing w:val="-38"/>
                <w:sz w:val="20"/>
                <w:szCs w:val="20"/>
              </w:rPr>
              <w:t xml:space="preserve"> </w:t>
            </w:r>
            <w:r>
              <w:rPr>
                <w:spacing w:val="8"/>
                <w:sz w:val="20"/>
                <w:szCs w:val="20"/>
              </w:rPr>
              <w:t>料</w:t>
            </w:r>
          </w:p>
        </w:tc>
        <w:tc>
          <w:tcPr>
            <w:tcW w:w="965" w:type="dxa"/>
            <w:vAlign w:val="top"/>
          </w:tcPr>
          <w:p w14:paraId="0539B315">
            <w:pPr>
              <w:spacing w:line="243" w:lineRule="auto"/>
              <w:rPr>
                <w:rFonts w:ascii="Arial"/>
                <w:sz w:val="21"/>
              </w:rPr>
            </w:pPr>
          </w:p>
          <w:p w14:paraId="1C41CDAD">
            <w:pPr>
              <w:pStyle w:val="6"/>
              <w:spacing w:before="65" w:line="227" w:lineRule="auto"/>
              <w:ind w:left="168"/>
              <w:rPr>
                <w:sz w:val="20"/>
                <w:szCs w:val="20"/>
              </w:rPr>
            </w:pPr>
            <w:r>
              <w:rPr>
                <w:spacing w:val="6"/>
                <w:sz w:val="20"/>
                <w:szCs w:val="20"/>
              </w:rPr>
              <w:t>环氧树</w:t>
            </w:r>
          </w:p>
          <w:p w14:paraId="53673F3E">
            <w:pPr>
              <w:pStyle w:val="6"/>
              <w:spacing w:before="27" w:line="229" w:lineRule="auto"/>
              <w:ind w:left="379"/>
              <w:rPr>
                <w:sz w:val="20"/>
                <w:szCs w:val="20"/>
              </w:rPr>
            </w:pPr>
            <w:r>
              <w:rPr>
                <w:sz w:val="20"/>
                <w:szCs w:val="20"/>
              </w:rPr>
              <w:t>脂</w:t>
            </w:r>
          </w:p>
          <w:p w14:paraId="3E4811BA">
            <w:pPr>
              <w:pStyle w:val="6"/>
              <w:spacing w:before="22"/>
              <w:ind w:left="119"/>
              <w:rPr>
                <w:sz w:val="20"/>
                <w:szCs w:val="20"/>
              </w:rPr>
            </w:pPr>
            <w:r>
              <w:rPr>
                <w:spacing w:val="1"/>
                <w:sz w:val="20"/>
                <w:szCs w:val="20"/>
              </w:rPr>
              <w:t>（</w:t>
            </w:r>
            <w:r>
              <w:rPr>
                <w:rFonts w:ascii="Times New Roman" w:hAnsi="Times New Roman" w:eastAsia="Times New Roman" w:cs="Times New Roman"/>
                <w:spacing w:val="1"/>
                <w:sz w:val="20"/>
                <w:szCs w:val="20"/>
              </w:rPr>
              <w:t>99%</w:t>
            </w:r>
            <w:r>
              <w:rPr>
                <w:spacing w:val="1"/>
                <w:sz w:val="20"/>
                <w:szCs w:val="20"/>
              </w:rPr>
              <w:t>）</w:t>
            </w:r>
          </w:p>
        </w:tc>
        <w:tc>
          <w:tcPr>
            <w:tcW w:w="674" w:type="dxa"/>
            <w:vAlign w:val="top"/>
          </w:tcPr>
          <w:p w14:paraId="27565291">
            <w:pPr>
              <w:spacing w:line="279" w:lineRule="auto"/>
              <w:rPr>
                <w:rFonts w:ascii="Arial"/>
                <w:sz w:val="21"/>
              </w:rPr>
            </w:pPr>
          </w:p>
          <w:p w14:paraId="481972E0">
            <w:pPr>
              <w:spacing w:line="279" w:lineRule="auto"/>
              <w:rPr>
                <w:rFonts w:ascii="Arial"/>
                <w:sz w:val="21"/>
              </w:rPr>
            </w:pPr>
          </w:p>
          <w:p w14:paraId="7175268C">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6" w:type="dxa"/>
            <w:vAlign w:val="top"/>
          </w:tcPr>
          <w:p w14:paraId="0866F4D2">
            <w:pPr>
              <w:spacing w:line="279" w:lineRule="auto"/>
              <w:rPr>
                <w:rFonts w:ascii="Arial"/>
                <w:sz w:val="21"/>
              </w:rPr>
            </w:pPr>
          </w:p>
          <w:p w14:paraId="08AC4BE2">
            <w:pPr>
              <w:spacing w:line="279" w:lineRule="auto"/>
              <w:rPr>
                <w:rFonts w:ascii="Arial"/>
                <w:sz w:val="21"/>
              </w:rPr>
            </w:pPr>
          </w:p>
          <w:p w14:paraId="74F49CE3">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972</w:t>
            </w:r>
          </w:p>
        </w:tc>
        <w:tc>
          <w:tcPr>
            <w:tcW w:w="951" w:type="dxa"/>
            <w:vAlign w:val="top"/>
          </w:tcPr>
          <w:p w14:paraId="25F40FD9">
            <w:pPr>
              <w:spacing w:line="279" w:lineRule="auto"/>
              <w:rPr>
                <w:rFonts w:ascii="Arial"/>
                <w:sz w:val="21"/>
              </w:rPr>
            </w:pPr>
          </w:p>
          <w:p w14:paraId="3D8E7CE6">
            <w:pPr>
              <w:spacing w:line="279" w:lineRule="auto"/>
              <w:rPr>
                <w:rFonts w:ascii="Arial"/>
                <w:sz w:val="21"/>
              </w:rPr>
            </w:pPr>
          </w:p>
          <w:p w14:paraId="6CA26963">
            <w:pPr>
              <w:spacing w:before="57"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972</w:t>
            </w:r>
          </w:p>
        </w:tc>
        <w:tc>
          <w:tcPr>
            <w:tcW w:w="771" w:type="dxa"/>
            <w:vAlign w:val="top"/>
          </w:tcPr>
          <w:p w14:paraId="724851D6">
            <w:pPr>
              <w:spacing w:line="279" w:lineRule="auto"/>
              <w:rPr>
                <w:rFonts w:ascii="Arial"/>
                <w:sz w:val="21"/>
              </w:rPr>
            </w:pPr>
          </w:p>
          <w:p w14:paraId="5C763048">
            <w:pPr>
              <w:spacing w:line="279" w:lineRule="auto"/>
              <w:rPr>
                <w:rFonts w:ascii="Arial"/>
                <w:sz w:val="21"/>
              </w:rPr>
            </w:pPr>
          </w:p>
          <w:p w14:paraId="4B3C7C55">
            <w:pPr>
              <w:spacing w:before="57"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+972</w:t>
            </w:r>
          </w:p>
        </w:tc>
        <w:tc>
          <w:tcPr>
            <w:tcW w:w="835" w:type="dxa"/>
            <w:vAlign w:val="top"/>
          </w:tcPr>
          <w:p w14:paraId="0E844F83">
            <w:pPr>
              <w:spacing w:line="279" w:lineRule="auto"/>
              <w:rPr>
                <w:rFonts w:ascii="Arial"/>
                <w:sz w:val="21"/>
              </w:rPr>
            </w:pPr>
          </w:p>
          <w:p w14:paraId="4CA493FA">
            <w:pPr>
              <w:spacing w:line="279" w:lineRule="auto"/>
              <w:rPr>
                <w:rFonts w:ascii="Arial"/>
                <w:sz w:val="21"/>
              </w:rPr>
            </w:pPr>
          </w:p>
          <w:p w14:paraId="6F60413D">
            <w:pPr>
              <w:spacing w:before="5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39" w:type="dxa"/>
            <w:vAlign w:val="top"/>
          </w:tcPr>
          <w:p w14:paraId="7810B6F0">
            <w:pPr>
              <w:pStyle w:val="6"/>
              <w:spacing w:before="39" w:line="251" w:lineRule="auto"/>
              <w:ind w:left="184" w:right="126" w:hanging="67"/>
              <w:rPr>
                <w:sz w:val="20"/>
                <w:szCs w:val="20"/>
              </w:rPr>
            </w:pPr>
            <w:r>
              <w:rPr>
                <w:spacing w:val="-3"/>
                <w:sz w:val="20"/>
                <w:szCs w:val="20"/>
              </w:rPr>
              <w:t>粘稠液体，</w:t>
            </w:r>
            <w:r>
              <w:rPr>
                <w:spacing w:val="3"/>
                <w:sz w:val="20"/>
                <w:szCs w:val="20"/>
              </w:rPr>
              <w:t xml:space="preserve"> 双酚</w:t>
            </w:r>
            <w:r>
              <w:rPr>
                <w:spacing w:val="-42"/>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7"/>
                <w:w w:val="101"/>
                <w:sz w:val="20"/>
                <w:szCs w:val="20"/>
              </w:rPr>
              <w:t xml:space="preserve"> </w:t>
            </w:r>
            <w:r>
              <w:rPr>
                <w:spacing w:val="3"/>
                <w:sz w:val="20"/>
                <w:szCs w:val="20"/>
              </w:rPr>
              <w:t>型</w:t>
            </w:r>
          </w:p>
          <w:p w14:paraId="280389BB">
            <w:pPr>
              <w:pStyle w:val="6"/>
              <w:spacing w:line="251" w:lineRule="auto"/>
              <w:ind w:left="267" w:right="195" w:hanging="59"/>
              <w:rPr>
                <w:sz w:val="20"/>
                <w:szCs w:val="20"/>
              </w:rPr>
            </w:pPr>
            <w:r>
              <w:rPr>
                <w:spacing w:val="7"/>
                <w:sz w:val="20"/>
                <w:szCs w:val="20"/>
              </w:rPr>
              <w:t>环氧树脂</w:t>
            </w:r>
            <w:r>
              <w:rPr>
                <w:sz w:val="20"/>
                <w:szCs w:val="20"/>
              </w:rPr>
              <w:t xml:space="preserve"> </w:t>
            </w:r>
            <w:r>
              <w:rPr>
                <w:rFonts w:ascii="Times New Roman" w:hAnsi="Times New Roman" w:eastAsia="Times New Roman" w:cs="Times New Roman"/>
                <w:spacing w:val="4"/>
                <w:sz w:val="20"/>
                <w:szCs w:val="20"/>
              </w:rPr>
              <w:t>≥99%</w:t>
            </w:r>
            <w:r>
              <w:rPr>
                <w:spacing w:val="4"/>
                <w:sz w:val="20"/>
                <w:szCs w:val="20"/>
              </w:rPr>
              <w:t>。</w:t>
            </w:r>
          </w:p>
          <w:p w14:paraId="063A0FA4">
            <w:pPr>
              <w:pStyle w:val="6"/>
              <w:spacing w:line="206" w:lineRule="auto"/>
              <w:ind w:left="178"/>
              <w:rPr>
                <w:sz w:val="20"/>
                <w:szCs w:val="20"/>
              </w:rPr>
            </w:pP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5"/>
                <w:sz w:val="20"/>
                <w:szCs w:val="20"/>
              </w:rPr>
              <w:t xml:space="preserve"> </w:t>
            </w:r>
            <w:r>
              <w:rPr>
                <w:spacing w:val="5"/>
                <w:sz w:val="20"/>
                <w:szCs w:val="20"/>
              </w:rPr>
              <w:t>桶装</w:t>
            </w:r>
          </w:p>
        </w:tc>
        <w:tc>
          <w:tcPr>
            <w:tcW w:w="731" w:type="dxa"/>
            <w:vAlign w:val="top"/>
          </w:tcPr>
          <w:p w14:paraId="6661A093">
            <w:pPr>
              <w:spacing w:line="378" w:lineRule="auto"/>
              <w:rPr>
                <w:rFonts w:ascii="Arial"/>
                <w:sz w:val="21"/>
              </w:rPr>
            </w:pPr>
          </w:p>
          <w:p w14:paraId="5F1C5800">
            <w:pPr>
              <w:pStyle w:val="6"/>
              <w:spacing w:before="65" w:line="228" w:lineRule="auto"/>
              <w:ind w:left="167"/>
              <w:rPr>
                <w:sz w:val="20"/>
                <w:szCs w:val="20"/>
              </w:rPr>
            </w:pPr>
            <w:r>
              <w:rPr>
                <w:spacing w:val="4"/>
                <w:sz w:val="20"/>
                <w:szCs w:val="20"/>
              </w:rPr>
              <w:t>注胶</w:t>
            </w:r>
          </w:p>
          <w:p w14:paraId="54CA87D0">
            <w:pPr>
              <w:pStyle w:val="6"/>
              <w:spacing w:before="27" w:line="231" w:lineRule="auto"/>
              <w:ind w:left="167"/>
              <w:rPr>
                <w:sz w:val="20"/>
                <w:szCs w:val="20"/>
              </w:rPr>
            </w:pPr>
            <w:r>
              <w:rPr>
                <w:spacing w:val="4"/>
                <w:sz w:val="20"/>
                <w:szCs w:val="20"/>
              </w:rPr>
              <w:t>加工</w:t>
            </w:r>
          </w:p>
        </w:tc>
        <w:tc>
          <w:tcPr>
            <w:tcW w:w="735" w:type="dxa"/>
            <w:vAlign w:val="top"/>
          </w:tcPr>
          <w:p w14:paraId="1FA526B6">
            <w:pPr>
              <w:spacing w:line="243" w:lineRule="auto"/>
              <w:rPr>
                <w:rFonts w:ascii="Arial"/>
                <w:sz w:val="21"/>
              </w:rPr>
            </w:pPr>
          </w:p>
          <w:p w14:paraId="7C905B93">
            <w:pPr>
              <w:pStyle w:val="6"/>
              <w:spacing w:before="65" w:line="229" w:lineRule="auto"/>
              <w:ind w:left="171"/>
              <w:rPr>
                <w:sz w:val="20"/>
                <w:szCs w:val="20"/>
              </w:rPr>
            </w:pPr>
            <w:r>
              <w:rPr>
                <w:spacing w:val="4"/>
                <w:sz w:val="20"/>
                <w:szCs w:val="20"/>
              </w:rPr>
              <w:t>化学</w:t>
            </w:r>
          </w:p>
          <w:p w14:paraId="3F761D8C">
            <w:pPr>
              <w:pStyle w:val="6"/>
              <w:spacing w:before="24" w:line="252"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1E94FCFC">
            <w:pPr>
              <w:rPr>
                <w:rFonts w:ascii="Arial"/>
                <w:sz w:val="21"/>
              </w:rPr>
            </w:pPr>
          </w:p>
        </w:tc>
      </w:tr>
      <w:tr w14:paraId="61D66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778" w:type="dxa"/>
            <w:vMerge w:val="continue"/>
            <w:tcBorders>
              <w:top w:val="nil"/>
              <w:left w:val="single" w:color="000000" w:sz="6" w:space="0"/>
              <w:bottom w:val="nil"/>
            </w:tcBorders>
            <w:vAlign w:val="top"/>
          </w:tcPr>
          <w:p w14:paraId="025F7A8B">
            <w:pPr>
              <w:rPr>
                <w:rFonts w:ascii="Arial"/>
                <w:sz w:val="21"/>
              </w:rPr>
            </w:pPr>
          </w:p>
        </w:tc>
        <w:tc>
          <w:tcPr>
            <w:tcW w:w="71" w:type="dxa"/>
            <w:tcBorders>
              <w:top w:val="nil"/>
              <w:bottom w:val="nil"/>
            </w:tcBorders>
            <w:vAlign w:val="top"/>
          </w:tcPr>
          <w:p w14:paraId="643C080C">
            <w:pPr>
              <w:rPr>
                <w:rFonts w:ascii="Arial"/>
                <w:sz w:val="21"/>
              </w:rPr>
            </w:pPr>
          </w:p>
        </w:tc>
        <w:tc>
          <w:tcPr>
            <w:tcW w:w="452" w:type="dxa"/>
            <w:vMerge w:val="continue"/>
            <w:tcBorders>
              <w:top w:val="nil"/>
              <w:bottom w:val="nil"/>
            </w:tcBorders>
            <w:textDirection w:val="tbRlV"/>
            <w:vAlign w:val="top"/>
          </w:tcPr>
          <w:p w14:paraId="6CACD233">
            <w:pPr>
              <w:rPr>
                <w:rFonts w:ascii="Arial"/>
                <w:sz w:val="21"/>
              </w:rPr>
            </w:pPr>
          </w:p>
        </w:tc>
        <w:tc>
          <w:tcPr>
            <w:tcW w:w="965" w:type="dxa"/>
            <w:vAlign w:val="top"/>
          </w:tcPr>
          <w:p w14:paraId="724AA722">
            <w:pPr>
              <w:spacing w:line="385" w:lineRule="auto"/>
              <w:rPr>
                <w:rFonts w:ascii="Arial"/>
                <w:sz w:val="21"/>
              </w:rPr>
            </w:pPr>
          </w:p>
          <w:p w14:paraId="63F2097F">
            <w:pPr>
              <w:pStyle w:val="6"/>
              <w:spacing w:before="65" w:line="228" w:lineRule="auto"/>
              <w:ind w:left="168"/>
              <w:rPr>
                <w:sz w:val="20"/>
                <w:szCs w:val="20"/>
              </w:rPr>
            </w:pPr>
            <w:r>
              <w:rPr>
                <w:spacing w:val="6"/>
                <w:sz w:val="20"/>
                <w:szCs w:val="20"/>
              </w:rPr>
              <w:t>三乙醇</w:t>
            </w:r>
          </w:p>
          <w:p w14:paraId="41E4B5C5">
            <w:pPr>
              <w:pStyle w:val="6"/>
              <w:spacing w:before="23" w:line="230" w:lineRule="auto"/>
              <w:ind w:left="376"/>
              <w:rPr>
                <w:sz w:val="20"/>
                <w:szCs w:val="20"/>
              </w:rPr>
            </w:pPr>
            <w:r>
              <w:rPr>
                <w:spacing w:val="1"/>
                <w:sz w:val="20"/>
                <w:szCs w:val="20"/>
              </w:rPr>
              <w:t>胺</w:t>
            </w:r>
          </w:p>
          <w:p w14:paraId="3E804277">
            <w:pPr>
              <w:pStyle w:val="6"/>
              <w:spacing w:before="24" w:line="241" w:lineRule="auto"/>
              <w:ind w:left="205"/>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98.5</w:t>
            </w:r>
          </w:p>
          <w:p w14:paraId="6EDBF7D5">
            <w:pPr>
              <w:pStyle w:val="6"/>
              <w:spacing w:before="10"/>
              <w:ind w:left="290"/>
              <w:rPr>
                <w:sz w:val="20"/>
                <w:szCs w:val="20"/>
              </w:rPr>
            </w:pPr>
            <w:r>
              <w:rPr>
                <w:rFonts w:ascii="Times New Roman" w:hAnsi="Times New Roman" w:eastAsia="Times New Roman" w:cs="Times New Roman"/>
                <w:sz w:val="20"/>
                <w:szCs w:val="20"/>
              </w:rPr>
              <w:t>%</w:t>
            </w:r>
            <w:r>
              <w:rPr>
                <w:sz w:val="20"/>
                <w:szCs w:val="20"/>
              </w:rPr>
              <w:t>）</w:t>
            </w:r>
          </w:p>
        </w:tc>
        <w:tc>
          <w:tcPr>
            <w:tcW w:w="674" w:type="dxa"/>
            <w:vAlign w:val="top"/>
          </w:tcPr>
          <w:p w14:paraId="225C4B7E">
            <w:pPr>
              <w:spacing w:line="277" w:lineRule="auto"/>
              <w:rPr>
                <w:rFonts w:ascii="Arial"/>
                <w:sz w:val="21"/>
              </w:rPr>
            </w:pPr>
          </w:p>
          <w:p w14:paraId="3D0095A1">
            <w:pPr>
              <w:spacing w:line="278" w:lineRule="auto"/>
              <w:rPr>
                <w:rFonts w:ascii="Arial"/>
                <w:sz w:val="21"/>
              </w:rPr>
            </w:pPr>
          </w:p>
          <w:p w14:paraId="74D4AB24">
            <w:pPr>
              <w:spacing w:line="278" w:lineRule="auto"/>
              <w:rPr>
                <w:rFonts w:ascii="Arial"/>
                <w:sz w:val="21"/>
              </w:rPr>
            </w:pPr>
          </w:p>
          <w:p w14:paraId="27D474AB">
            <w:pPr>
              <w:spacing w:before="5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6" w:type="dxa"/>
            <w:vAlign w:val="top"/>
          </w:tcPr>
          <w:p w14:paraId="40A63BB5">
            <w:pPr>
              <w:spacing w:line="277" w:lineRule="auto"/>
              <w:rPr>
                <w:rFonts w:ascii="Arial"/>
                <w:sz w:val="21"/>
              </w:rPr>
            </w:pPr>
          </w:p>
          <w:p w14:paraId="616B9B74">
            <w:pPr>
              <w:spacing w:line="278" w:lineRule="auto"/>
              <w:rPr>
                <w:rFonts w:ascii="Arial"/>
                <w:sz w:val="21"/>
              </w:rPr>
            </w:pPr>
          </w:p>
          <w:p w14:paraId="356B9E1F">
            <w:pPr>
              <w:spacing w:line="278" w:lineRule="auto"/>
              <w:rPr>
                <w:rFonts w:ascii="Arial"/>
                <w:sz w:val="21"/>
              </w:rPr>
            </w:pPr>
          </w:p>
          <w:p w14:paraId="1AC82A9B">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171.5</w:t>
            </w:r>
          </w:p>
        </w:tc>
        <w:tc>
          <w:tcPr>
            <w:tcW w:w="951" w:type="dxa"/>
            <w:vAlign w:val="top"/>
          </w:tcPr>
          <w:p w14:paraId="21901963">
            <w:pPr>
              <w:spacing w:line="277" w:lineRule="auto"/>
              <w:rPr>
                <w:rFonts w:ascii="Arial"/>
                <w:sz w:val="21"/>
              </w:rPr>
            </w:pPr>
          </w:p>
          <w:p w14:paraId="4534C481">
            <w:pPr>
              <w:spacing w:line="278" w:lineRule="auto"/>
              <w:rPr>
                <w:rFonts w:ascii="Arial"/>
                <w:sz w:val="21"/>
              </w:rPr>
            </w:pPr>
          </w:p>
          <w:p w14:paraId="343F034F">
            <w:pPr>
              <w:spacing w:line="278" w:lineRule="auto"/>
              <w:rPr>
                <w:rFonts w:ascii="Arial"/>
                <w:sz w:val="21"/>
              </w:rPr>
            </w:pPr>
          </w:p>
          <w:p w14:paraId="274E93FF">
            <w:pPr>
              <w:spacing w:before="5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171.5</w:t>
            </w:r>
          </w:p>
        </w:tc>
        <w:tc>
          <w:tcPr>
            <w:tcW w:w="771" w:type="dxa"/>
            <w:vAlign w:val="top"/>
          </w:tcPr>
          <w:p w14:paraId="00377E60">
            <w:pPr>
              <w:spacing w:line="357" w:lineRule="auto"/>
              <w:rPr>
                <w:rFonts w:ascii="Arial"/>
                <w:sz w:val="21"/>
              </w:rPr>
            </w:pPr>
          </w:p>
          <w:p w14:paraId="6573F14F">
            <w:pPr>
              <w:spacing w:line="357" w:lineRule="auto"/>
              <w:rPr>
                <w:rFonts w:ascii="Arial"/>
                <w:sz w:val="21"/>
              </w:rPr>
            </w:pPr>
          </w:p>
          <w:p w14:paraId="401B38D5">
            <w:pPr>
              <w:spacing w:before="5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+171.</w:t>
            </w:r>
          </w:p>
          <w:p w14:paraId="6A6C3919">
            <w:pPr>
              <w:spacing w:before="55" w:line="192"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35" w:type="dxa"/>
            <w:vAlign w:val="top"/>
          </w:tcPr>
          <w:p w14:paraId="018AF907">
            <w:pPr>
              <w:spacing w:line="278" w:lineRule="auto"/>
              <w:rPr>
                <w:rFonts w:ascii="Arial"/>
                <w:sz w:val="21"/>
              </w:rPr>
            </w:pPr>
          </w:p>
          <w:p w14:paraId="34FA3F10">
            <w:pPr>
              <w:spacing w:line="279" w:lineRule="auto"/>
              <w:rPr>
                <w:rFonts w:ascii="Arial"/>
                <w:sz w:val="21"/>
              </w:rPr>
            </w:pPr>
          </w:p>
          <w:p w14:paraId="59448568">
            <w:pPr>
              <w:spacing w:line="279" w:lineRule="auto"/>
              <w:rPr>
                <w:rFonts w:ascii="Arial"/>
                <w:sz w:val="21"/>
              </w:rPr>
            </w:pPr>
          </w:p>
          <w:p w14:paraId="268592AA">
            <w:pPr>
              <w:spacing w:before="58" w:line="192"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39" w:type="dxa"/>
            <w:vAlign w:val="top"/>
          </w:tcPr>
          <w:p w14:paraId="040219D3">
            <w:pPr>
              <w:pStyle w:val="6"/>
              <w:spacing w:before="44" w:line="228" w:lineRule="auto"/>
              <w:ind w:left="119"/>
              <w:rPr>
                <w:sz w:val="20"/>
                <w:szCs w:val="20"/>
              </w:rPr>
            </w:pPr>
            <w:r>
              <w:rPr>
                <w:spacing w:val="2"/>
                <w:sz w:val="20"/>
                <w:szCs w:val="20"/>
              </w:rPr>
              <w:t>液体，三乙</w:t>
            </w:r>
          </w:p>
          <w:p w14:paraId="5B359448">
            <w:pPr>
              <w:pStyle w:val="6"/>
              <w:spacing w:before="24" w:line="228" w:lineRule="auto"/>
              <w:ind w:left="316"/>
              <w:rPr>
                <w:sz w:val="20"/>
                <w:szCs w:val="20"/>
              </w:rPr>
            </w:pPr>
            <w:r>
              <w:rPr>
                <w:spacing w:val="6"/>
                <w:sz w:val="20"/>
                <w:szCs w:val="20"/>
              </w:rPr>
              <w:t>醇胺占</w:t>
            </w:r>
          </w:p>
          <w:p w14:paraId="7E087E0A">
            <w:pPr>
              <w:pStyle w:val="6"/>
              <w:spacing w:before="25" w:line="228" w:lineRule="auto"/>
              <w:ind w:left="148"/>
              <w:rPr>
                <w:sz w:val="20"/>
                <w:szCs w:val="20"/>
              </w:rPr>
            </w:pPr>
            <w:r>
              <w:rPr>
                <w:rFonts w:ascii="Times New Roman" w:hAnsi="Times New Roman" w:eastAsia="Times New Roman" w:cs="Times New Roman"/>
                <w:spacing w:val="1"/>
                <w:sz w:val="20"/>
                <w:szCs w:val="20"/>
              </w:rPr>
              <w:t>98.5%</w:t>
            </w:r>
            <w:r>
              <w:rPr>
                <w:rFonts w:ascii="Times New Roman" w:hAnsi="Times New Roman" w:eastAsia="Times New Roman" w:cs="Times New Roman"/>
                <w:spacing w:val="-24"/>
                <w:sz w:val="20"/>
                <w:szCs w:val="20"/>
              </w:rPr>
              <w:t xml:space="preserve"> </w:t>
            </w:r>
            <w:r>
              <w:rPr>
                <w:spacing w:val="1"/>
                <w:sz w:val="20"/>
                <w:szCs w:val="20"/>
              </w:rPr>
              <w:t>，水</w:t>
            </w:r>
          </w:p>
          <w:p w14:paraId="782322DD">
            <w:pPr>
              <w:pStyle w:val="6"/>
              <w:spacing w:before="24" w:line="229" w:lineRule="auto"/>
              <w:ind w:left="206"/>
              <w:rPr>
                <w:sz w:val="20"/>
                <w:szCs w:val="20"/>
              </w:rPr>
            </w:pPr>
            <w:r>
              <w:rPr>
                <w:spacing w:val="-7"/>
                <w:sz w:val="20"/>
                <w:szCs w:val="20"/>
              </w:rPr>
              <w:t>占</w:t>
            </w:r>
            <w:r>
              <w:rPr>
                <w:spacing w:val="-16"/>
                <w:sz w:val="20"/>
                <w:szCs w:val="20"/>
              </w:rPr>
              <w:t xml:space="preserve"> </w:t>
            </w:r>
            <w:r>
              <w:rPr>
                <w:rFonts w:ascii="Times New Roman" w:hAnsi="Times New Roman" w:eastAsia="Times New Roman" w:cs="Times New Roman"/>
                <w:spacing w:val="-7"/>
                <w:sz w:val="20"/>
                <w:szCs w:val="20"/>
              </w:rPr>
              <w:t>1.5%</w:t>
            </w:r>
            <w:r>
              <w:rPr>
                <w:spacing w:val="-7"/>
                <w:sz w:val="20"/>
                <w:szCs w:val="20"/>
              </w:rPr>
              <w:t>，</w:t>
            </w:r>
          </w:p>
          <w:p w14:paraId="65169D76">
            <w:pPr>
              <w:pStyle w:val="6"/>
              <w:spacing w:before="25" w:line="221" w:lineRule="auto"/>
              <w:ind w:left="113"/>
              <w:rPr>
                <w:sz w:val="20"/>
                <w:szCs w:val="20"/>
              </w:rPr>
            </w:pPr>
            <w:r>
              <w:rPr>
                <w:rFonts w:ascii="Times New Roman" w:hAnsi="Times New Roman" w:eastAsia="Times New Roman" w:cs="Times New Roman"/>
                <w:spacing w:val="4"/>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2"/>
                <w:w w:val="101"/>
                <w:sz w:val="20"/>
                <w:szCs w:val="20"/>
              </w:rPr>
              <w:t xml:space="preserve"> </w:t>
            </w:r>
            <w:r>
              <w:rPr>
                <w:spacing w:val="4"/>
                <w:sz w:val="20"/>
                <w:szCs w:val="20"/>
              </w:rPr>
              <w:t>桶装，</w:t>
            </w:r>
          </w:p>
          <w:p w14:paraId="3C625D68">
            <w:pPr>
              <w:pStyle w:val="6"/>
              <w:spacing w:before="33" w:line="228" w:lineRule="auto"/>
              <w:ind w:left="210"/>
              <w:rPr>
                <w:sz w:val="20"/>
                <w:szCs w:val="20"/>
              </w:rPr>
            </w:pPr>
            <w:r>
              <w:rPr>
                <w:spacing w:val="6"/>
                <w:sz w:val="20"/>
                <w:szCs w:val="20"/>
              </w:rPr>
              <w:t>用于固化</w:t>
            </w:r>
          </w:p>
          <w:p w14:paraId="0B3C96E9">
            <w:pPr>
              <w:pStyle w:val="6"/>
              <w:spacing w:before="25" w:line="200" w:lineRule="auto"/>
              <w:ind w:left="208"/>
              <w:rPr>
                <w:sz w:val="20"/>
                <w:szCs w:val="20"/>
              </w:rPr>
            </w:pPr>
            <w:r>
              <w:rPr>
                <w:spacing w:val="7"/>
                <w:sz w:val="20"/>
                <w:szCs w:val="20"/>
              </w:rPr>
              <w:t>环氧树脂</w:t>
            </w:r>
          </w:p>
        </w:tc>
        <w:tc>
          <w:tcPr>
            <w:tcW w:w="731" w:type="dxa"/>
            <w:vAlign w:val="top"/>
          </w:tcPr>
          <w:p w14:paraId="24ABF790">
            <w:pPr>
              <w:spacing w:line="327" w:lineRule="auto"/>
              <w:rPr>
                <w:rFonts w:ascii="Arial"/>
                <w:sz w:val="21"/>
              </w:rPr>
            </w:pPr>
          </w:p>
          <w:p w14:paraId="02169E10">
            <w:pPr>
              <w:spacing w:line="327" w:lineRule="auto"/>
              <w:rPr>
                <w:rFonts w:ascii="Arial"/>
                <w:sz w:val="21"/>
              </w:rPr>
            </w:pPr>
          </w:p>
          <w:p w14:paraId="54CF5463">
            <w:pPr>
              <w:pStyle w:val="6"/>
              <w:spacing w:before="65" w:line="228" w:lineRule="auto"/>
              <w:ind w:left="167"/>
              <w:rPr>
                <w:sz w:val="20"/>
                <w:szCs w:val="20"/>
              </w:rPr>
            </w:pPr>
            <w:r>
              <w:rPr>
                <w:spacing w:val="4"/>
                <w:sz w:val="20"/>
                <w:szCs w:val="20"/>
              </w:rPr>
              <w:t>注胶</w:t>
            </w:r>
          </w:p>
          <w:p w14:paraId="56BBFEBE">
            <w:pPr>
              <w:pStyle w:val="6"/>
              <w:spacing w:before="27" w:line="231" w:lineRule="auto"/>
              <w:ind w:left="167"/>
              <w:rPr>
                <w:sz w:val="20"/>
                <w:szCs w:val="20"/>
              </w:rPr>
            </w:pPr>
            <w:r>
              <w:rPr>
                <w:spacing w:val="4"/>
                <w:sz w:val="20"/>
                <w:szCs w:val="20"/>
              </w:rPr>
              <w:t>加工</w:t>
            </w:r>
          </w:p>
        </w:tc>
        <w:tc>
          <w:tcPr>
            <w:tcW w:w="735" w:type="dxa"/>
            <w:vAlign w:val="top"/>
          </w:tcPr>
          <w:p w14:paraId="7EF024E0">
            <w:pPr>
              <w:spacing w:line="260" w:lineRule="auto"/>
              <w:rPr>
                <w:rFonts w:ascii="Arial"/>
                <w:sz w:val="21"/>
              </w:rPr>
            </w:pPr>
          </w:p>
          <w:p w14:paraId="53FB969B">
            <w:pPr>
              <w:spacing w:line="261" w:lineRule="auto"/>
              <w:rPr>
                <w:rFonts w:ascii="Arial"/>
                <w:sz w:val="21"/>
              </w:rPr>
            </w:pPr>
          </w:p>
          <w:p w14:paraId="197CF082">
            <w:pPr>
              <w:pStyle w:val="6"/>
              <w:spacing w:before="65" w:line="229" w:lineRule="auto"/>
              <w:ind w:left="171"/>
              <w:rPr>
                <w:sz w:val="20"/>
                <w:szCs w:val="20"/>
              </w:rPr>
            </w:pPr>
            <w:r>
              <w:rPr>
                <w:spacing w:val="4"/>
                <w:sz w:val="20"/>
                <w:szCs w:val="20"/>
              </w:rPr>
              <w:t>化学</w:t>
            </w:r>
          </w:p>
          <w:p w14:paraId="7F798CA6">
            <w:pPr>
              <w:pStyle w:val="6"/>
              <w:spacing w:before="22" w:line="252"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7FB50A59">
            <w:pPr>
              <w:rPr>
                <w:rFonts w:ascii="Arial"/>
                <w:sz w:val="21"/>
              </w:rPr>
            </w:pPr>
          </w:p>
        </w:tc>
      </w:tr>
      <w:tr w14:paraId="3BF21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6" w:hRule="atLeast"/>
        </w:trPr>
        <w:tc>
          <w:tcPr>
            <w:tcW w:w="778" w:type="dxa"/>
            <w:vMerge w:val="continue"/>
            <w:tcBorders>
              <w:top w:val="nil"/>
              <w:left w:val="single" w:color="000000" w:sz="6" w:space="0"/>
              <w:bottom w:val="single" w:color="000000" w:sz="6" w:space="0"/>
            </w:tcBorders>
            <w:vAlign w:val="top"/>
          </w:tcPr>
          <w:p w14:paraId="7C215236">
            <w:pPr>
              <w:rPr>
                <w:rFonts w:ascii="Arial"/>
                <w:sz w:val="21"/>
              </w:rPr>
            </w:pPr>
          </w:p>
        </w:tc>
        <w:tc>
          <w:tcPr>
            <w:tcW w:w="71" w:type="dxa"/>
            <w:tcBorders>
              <w:top w:val="nil"/>
              <w:bottom w:val="single" w:color="000000" w:sz="6" w:space="0"/>
            </w:tcBorders>
            <w:vAlign w:val="top"/>
          </w:tcPr>
          <w:p w14:paraId="27A326E0">
            <w:pPr>
              <w:rPr>
                <w:rFonts w:ascii="Arial"/>
                <w:sz w:val="21"/>
              </w:rPr>
            </w:pPr>
          </w:p>
        </w:tc>
        <w:tc>
          <w:tcPr>
            <w:tcW w:w="452" w:type="dxa"/>
            <w:vMerge w:val="continue"/>
            <w:tcBorders>
              <w:top w:val="nil"/>
            </w:tcBorders>
            <w:textDirection w:val="tbRlV"/>
            <w:vAlign w:val="top"/>
          </w:tcPr>
          <w:p w14:paraId="1DF62744">
            <w:pPr>
              <w:rPr>
                <w:rFonts w:ascii="Arial"/>
                <w:sz w:val="21"/>
              </w:rPr>
            </w:pPr>
          </w:p>
        </w:tc>
        <w:tc>
          <w:tcPr>
            <w:tcW w:w="965" w:type="dxa"/>
            <w:vAlign w:val="top"/>
          </w:tcPr>
          <w:p w14:paraId="280E10A2">
            <w:pPr>
              <w:spacing w:line="263" w:lineRule="auto"/>
              <w:rPr>
                <w:rFonts w:ascii="Arial"/>
                <w:sz w:val="21"/>
              </w:rPr>
            </w:pPr>
          </w:p>
          <w:p w14:paraId="730A138E">
            <w:pPr>
              <w:spacing w:line="263" w:lineRule="auto"/>
              <w:rPr>
                <w:rFonts w:ascii="Arial"/>
                <w:sz w:val="21"/>
              </w:rPr>
            </w:pPr>
          </w:p>
          <w:p w14:paraId="5EE549CF">
            <w:pPr>
              <w:pStyle w:val="6"/>
              <w:spacing w:before="65" w:line="228" w:lineRule="auto"/>
              <w:ind w:left="295"/>
              <w:rPr>
                <w:sz w:val="20"/>
                <w:szCs w:val="20"/>
              </w:rPr>
            </w:pPr>
            <w:r>
              <w:rPr>
                <w:spacing w:val="-6"/>
                <w:sz w:val="20"/>
                <w:szCs w:val="20"/>
              </w:rPr>
              <w:t>乙醇</w:t>
            </w:r>
          </w:p>
          <w:p w14:paraId="2913AF84">
            <w:pPr>
              <w:pStyle w:val="6"/>
              <w:spacing w:before="23"/>
              <w:ind w:left="119"/>
              <w:rPr>
                <w:sz w:val="20"/>
                <w:szCs w:val="20"/>
              </w:rPr>
            </w:pPr>
            <w:r>
              <w:rPr>
                <w:spacing w:val="1"/>
                <w:sz w:val="20"/>
                <w:szCs w:val="20"/>
              </w:rPr>
              <w:t>（</w:t>
            </w:r>
            <w:r>
              <w:rPr>
                <w:rFonts w:ascii="Times New Roman" w:hAnsi="Times New Roman" w:eastAsia="Times New Roman" w:cs="Times New Roman"/>
                <w:spacing w:val="1"/>
                <w:sz w:val="20"/>
                <w:szCs w:val="20"/>
              </w:rPr>
              <w:t>95%</w:t>
            </w:r>
            <w:r>
              <w:rPr>
                <w:spacing w:val="1"/>
                <w:sz w:val="20"/>
                <w:szCs w:val="20"/>
              </w:rPr>
              <w:t>）</w:t>
            </w:r>
          </w:p>
        </w:tc>
        <w:tc>
          <w:tcPr>
            <w:tcW w:w="674" w:type="dxa"/>
            <w:vAlign w:val="top"/>
          </w:tcPr>
          <w:p w14:paraId="4A6A3ADC">
            <w:pPr>
              <w:spacing w:line="352" w:lineRule="auto"/>
              <w:rPr>
                <w:rFonts w:ascii="Arial"/>
                <w:sz w:val="21"/>
              </w:rPr>
            </w:pPr>
          </w:p>
          <w:p w14:paraId="75152BFD">
            <w:pPr>
              <w:spacing w:line="353" w:lineRule="auto"/>
              <w:rPr>
                <w:rFonts w:ascii="Arial"/>
                <w:sz w:val="21"/>
              </w:rPr>
            </w:pPr>
          </w:p>
          <w:p w14:paraId="6D4B7AAE">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6" w:type="dxa"/>
            <w:vAlign w:val="top"/>
          </w:tcPr>
          <w:p w14:paraId="68F9DFEB">
            <w:pPr>
              <w:spacing w:line="352" w:lineRule="auto"/>
              <w:rPr>
                <w:rFonts w:ascii="Arial"/>
                <w:sz w:val="21"/>
              </w:rPr>
            </w:pPr>
          </w:p>
          <w:p w14:paraId="1063473A">
            <w:pPr>
              <w:spacing w:line="353" w:lineRule="auto"/>
              <w:rPr>
                <w:rFonts w:ascii="Arial"/>
                <w:sz w:val="21"/>
              </w:rPr>
            </w:pPr>
          </w:p>
          <w:p w14:paraId="7F351588">
            <w:pPr>
              <w:spacing w:before="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951" w:type="dxa"/>
            <w:vAlign w:val="top"/>
          </w:tcPr>
          <w:p w14:paraId="6BD43154">
            <w:pPr>
              <w:spacing w:line="352" w:lineRule="auto"/>
              <w:rPr>
                <w:rFonts w:ascii="Arial"/>
                <w:sz w:val="21"/>
              </w:rPr>
            </w:pPr>
          </w:p>
          <w:p w14:paraId="142DA49F">
            <w:pPr>
              <w:spacing w:line="353" w:lineRule="auto"/>
              <w:rPr>
                <w:rFonts w:ascii="Arial"/>
                <w:sz w:val="21"/>
              </w:rPr>
            </w:pPr>
          </w:p>
          <w:p w14:paraId="74D9E71F">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771" w:type="dxa"/>
            <w:vAlign w:val="top"/>
          </w:tcPr>
          <w:p w14:paraId="4CA87431">
            <w:pPr>
              <w:spacing w:line="352" w:lineRule="auto"/>
              <w:rPr>
                <w:rFonts w:ascii="Arial"/>
                <w:sz w:val="21"/>
              </w:rPr>
            </w:pPr>
          </w:p>
          <w:p w14:paraId="453C7F78">
            <w:pPr>
              <w:spacing w:line="353" w:lineRule="auto"/>
              <w:rPr>
                <w:rFonts w:ascii="Arial"/>
                <w:sz w:val="21"/>
              </w:rPr>
            </w:pPr>
          </w:p>
          <w:p w14:paraId="1AD799D2">
            <w:pPr>
              <w:spacing w:before="5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835" w:type="dxa"/>
            <w:vAlign w:val="top"/>
          </w:tcPr>
          <w:p w14:paraId="1F985E15">
            <w:pPr>
              <w:spacing w:line="352" w:lineRule="auto"/>
              <w:rPr>
                <w:rFonts w:ascii="Arial"/>
                <w:sz w:val="21"/>
              </w:rPr>
            </w:pPr>
          </w:p>
          <w:p w14:paraId="580856F6">
            <w:pPr>
              <w:spacing w:line="353" w:lineRule="auto"/>
              <w:rPr>
                <w:rFonts w:ascii="Arial"/>
                <w:sz w:val="21"/>
              </w:rPr>
            </w:pPr>
          </w:p>
          <w:p w14:paraId="5D48A8D1">
            <w:pPr>
              <w:spacing w:before="5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239" w:type="dxa"/>
            <w:vAlign w:val="top"/>
          </w:tcPr>
          <w:p w14:paraId="4358DAFB">
            <w:pPr>
              <w:pStyle w:val="6"/>
              <w:spacing w:before="50" w:line="228" w:lineRule="auto"/>
              <w:ind w:left="119"/>
              <w:rPr>
                <w:sz w:val="20"/>
                <w:szCs w:val="20"/>
              </w:rPr>
            </w:pPr>
            <w:r>
              <w:rPr>
                <w:spacing w:val="2"/>
                <w:sz w:val="20"/>
                <w:szCs w:val="20"/>
              </w:rPr>
              <w:t>液体，乙醇</w:t>
            </w:r>
          </w:p>
          <w:p w14:paraId="5E34F394">
            <w:pPr>
              <w:pStyle w:val="6"/>
              <w:spacing w:before="25" w:line="228" w:lineRule="auto"/>
              <w:ind w:left="151"/>
              <w:rPr>
                <w:sz w:val="20"/>
                <w:szCs w:val="20"/>
              </w:rPr>
            </w:pPr>
            <w:r>
              <w:rPr>
                <w:spacing w:val="-8"/>
                <w:sz w:val="20"/>
                <w:szCs w:val="20"/>
              </w:rPr>
              <w:t>占</w:t>
            </w:r>
            <w:r>
              <w:rPr>
                <w:spacing w:val="-38"/>
                <w:sz w:val="20"/>
                <w:szCs w:val="20"/>
              </w:rPr>
              <w:t xml:space="preserve"> </w:t>
            </w:r>
            <w:r>
              <w:rPr>
                <w:rFonts w:ascii="Times New Roman" w:hAnsi="Times New Roman" w:eastAsia="Times New Roman" w:cs="Times New Roman"/>
                <w:spacing w:val="-8"/>
                <w:sz w:val="20"/>
                <w:szCs w:val="20"/>
              </w:rPr>
              <w:t>95%</w:t>
            </w:r>
            <w:r>
              <w:rPr>
                <w:spacing w:val="-8"/>
                <w:sz w:val="20"/>
                <w:szCs w:val="20"/>
              </w:rPr>
              <w:t>，水</w:t>
            </w:r>
          </w:p>
          <w:p w14:paraId="27F6FC0D">
            <w:pPr>
              <w:pStyle w:val="6"/>
              <w:spacing w:before="24" w:line="229" w:lineRule="auto"/>
              <w:ind w:left="286"/>
              <w:rPr>
                <w:sz w:val="20"/>
                <w:szCs w:val="20"/>
              </w:rPr>
            </w:pPr>
            <w:r>
              <w:rPr>
                <w:spacing w:val="-8"/>
                <w:sz w:val="20"/>
                <w:szCs w:val="20"/>
              </w:rPr>
              <w:t>占</w:t>
            </w:r>
            <w:r>
              <w:rPr>
                <w:spacing w:val="-35"/>
                <w:sz w:val="20"/>
                <w:szCs w:val="20"/>
              </w:rPr>
              <w:t xml:space="preserve"> </w:t>
            </w:r>
            <w:r>
              <w:rPr>
                <w:rFonts w:ascii="Times New Roman" w:hAnsi="Times New Roman" w:eastAsia="Times New Roman" w:cs="Times New Roman"/>
                <w:spacing w:val="-8"/>
                <w:sz w:val="20"/>
                <w:szCs w:val="20"/>
              </w:rPr>
              <w:t>5%</w:t>
            </w:r>
            <w:r>
              <w:rPr>
                <w:spacing w:val="-8"/>
                <w:sz w:val="20"/>
                <w:szCs w:val="20"/>
              </w:rPr>
              <w:t>，</w:t>
            </w:r>
          </w:p>
          <w:p w14:paraId="267AED87">
            <w:pPr>
              <w:pStyle w:val="6"/>
              <w:spacing w:before="25" w:line="221" w:lineRule="auto"/>
              <w:ind w:left="113"/>
              <w:rPr>
                <w:sz w:val="20"/>
                <w:szCs w:val="20"/>
              </w:rPr>
            </w:pPr>
            <w:r>
              <w:rPr>
                <w:rFonts w:ascii="Times New Roman" w:hAnsi="Times New Roman" w:eastAsia="Times New Roman" w:cs="Times New Roman"/>
                <w:spacing w:val="4"/>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2"/>
                <w:w w:val="101"/>
                <w:sz w:val="20"/>
                <w:szCs w:val="20"/>
              </w:rPr>
              <w:t xml:space="preserve"> </w:t>
            </w:r>
            <w:r>
              <w:rPr>
                <w:spacing w:val="4"/>
                <w:sz w:val="20"/>
                <w:szCs w:val="20"/>
              </w:rPr>
              <w:t>桶装。</w:t>
            </w:r>
          </w:p>
          <w:p w14:paraId="68D2E46C">
            <w:pPr>
              <w:pStyle w:val="6"/>
              <w:spacing w:before="31" w:line="228" w:lineRule="auto"/>
              <w:ind w:left="210"/>
              <w:rPr>
                <w:sz w:val="20"/>
                <w:szCs w:val="20"/>
              </w:rPr>
            </w:pPr>
            <w:r>
              <w:rPr>
                <w:spacing w:val="6"/>
                <w:sz w:val="20"/>
                <w:szCs w:val="20"/>
              </w:rPr>
              <w:t>用于稀释</w:t>
            </w:r>
          </w:p>
          <w:p w14:paraId="5BF1A9DE">
            <w:pPr>
              <w:pStyle w:val="6"/>
              <w:spacing w:before="25" w:line="217" w:lineRule="auto"/>
              <w:ind w:left="208"/>
              <w:rPr>
                <w:sz w:val="20"/>
                <w:szCs w:val="20"/>
              </w:rPr>
            </w:pPr>
            <w:r>
              <w:rPr>
                <w:spacing w:val="7"/>
                <w:sz w:val="20"/>
                <w:szCs w:val="20"/>
              </w:rPr>
              <w:t>环氧树脂</w:t>
            </w:r>
          </w:p>
        </w:tc>
        <w:tc>
          <w:tcPr>
            <w:tcW w:w="731" w:type="dxa"/>
            <w:vAlign w:val="top"/>
          </w:tcPr>
          <w:p w14:paraId="5E3201F9">
            <w:pPr>
              <w:spacing w:line="262" w:lineRule="auto"/>
              <w:rPr>
                <w:rFonts w:ascii="Arial"/>
                <w:sz w:val="21"/>
              </w:rPr>
            </w:pPr>
          </w:p>
          <w:p w14:paraId="377D93D8">
            <w:pPr>
              <w:spacing w:line="263" w:lineRule="auto"/>
              <w:rPr>
                <w:rFonts w:ascii="Arial"/>
                <w:sz w:val="21"/>
              </w:rPr>
            </w:pPr>
          </w:p>
          <w:p w14:paraId="7E72115F">
            <w:pPr>
              <w:pStyle w:val="6"/>
              <w:spacing w:before="65" w:line="228" w:lineRule="auto"/>
              <w:ind w:left="167"/>
              <w:rPr>
                <w:sz w:val="20"/>
                <w:szCs w:val="20"/>
              </w:rPr>
            </w:pPr>
            <w:r>
              <w:rPr>
                <w:spacing w:val="4"/>
                <w:sz w:val="20"/>
                <w:szCs w:val="20"/>
              </w:rPr>
              <w:t>注胶</w:t>
            </w:r>
          </w:p>
          <w:p w14:paraId="673AB0D6">
            <w:pPr>
              <w:pStyle w:val="6"/>
              <w:spacing w:before="24" w:line="231" w:lineRule="auto"/>
              <w:ind w:left="167"/>
              <w:rPr>
                <w:sz w:val="20"/>
                <w:szCs w:val="20"/>
              </w:rPr>
            </w:pPr>
            <w:r>
              <w:rPr>
                <w:spacing w:val="4"/>
                <w:sz w:val="20"/>
                <w:szCs w:val="20"/>
              </w:rPr>
              <w:t>加工</w:t>
            </w:r>
          </w:p>
        </w:tc>
        <w:tc>
          <w:tcPr>
            <w:tcW w:w="735" w:type="dxa"/>
            <w:vAlign w:val="top"/>
          </w:tcPr>
          <w:p w14:paraId="1BDD2DE8">
            <w:pPr>
              <w:spacing w:line="390" w:lineRule="auto"/>
              <w:rPr>
                <w:rFonts w:ascii="Arial"/>
                <w:sz w:val="21"/>
              </w:rPr>
            </w:pPr>
          </w:p>
          <w:p w14:paraId="5D6D8659">
            <w:pPr>
              <w:pStyle w:val="6"/>
              <w:spacing w:before="65" w:line="229" w:lineRule="auto"/>
              <w:ind w:left="171"/>
              <w:rPr>
                <w:sz w:val="20"/>
                <w:szCs w:val="20"/>
              </w:rPr>
            </w:pPr>
            <w:r>
              <w:rPr>
                <w:spacing w:val="4"/>
                <w:sz w:val="20"/>
                <w:szCs w:val="20"/>
              </w:rPr>
              <w:t>化学</w:t>
            </w:r>
          </w:p>
          <w:p w14:paraId="7A0ABF6B">
            <w:pPr>
              <w:pStyle w:val="6"/>
              <w:spacing w:before="24" w:line="252"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single" w:color="000000" w:sz="6" w:space="0"/>
              <w:right w:val="single" w:color="000000" w:sz="6" w:space="0"/>
            </w:tcBorders>
            <w:vAlign w:val="top"/>
          </w:tcPr>
          <w:p w14:paraId="6B4179E1">
            <w:pPr>
              <w:rPr>
                <w:rFonts w:ascii="Arial"/>
                <w:sz w:val="21"/>
              </w:rPr>
            </w:pPr>
          </w:p>
        </w:tc>
      </w:tr>
    </w:tbl>
    <w:p w14:paraId="5B255D6D">
      <w:pPr>
        <w:rPr>
          <w:rFonts w:ascii="Arial"/>
          <w:sz w:val="21"/>
        </w:rPr>
      </w:pPr>
    </w:p>
    <w:p w14:paraId="2C803AD1">
      <w:pPr>
        <w:rPr>
          <w:rFonts w:ascii="Arial" w:hAnsi="Arial" w:eastAsia="Arial" w:cs="Arial"/>
          <w:sz w:val="21"/>
          <w:szCs w:val="21"/>
        </w:rPr>
        <w:sectPr>
          <w:footerReference r:id="rId26" w:type="default"/>
          <w:pgSz w:w="11906" w:h="16839"/>
          <w:pgMar w:top="400" w:right="1451" w:bottom="1240" w:left="1451" w:header="0" w:footer="1078" w:gutter="0"/>
          <w:cols w:space="720" w:num="1"/>
        </w:sectPr>
      </w:pPr>
    </w:p>
    <w:p w14:paraId="198C62D3">
      <w:pPr>
        <w:spacing w:before="19"/>
      </w:pPr>
    </w:p>
    <w:p w14:paraId="3EFB040E">
      <w:pPr>
        <w:spacing w:before="19"/>
      </w:pPr>
    </w:p>
    <w:p w14:paraId="30A08DCF">
      <w:pPr>
        <w:spacing w:before="19"/>
      </w:pPr>
    </w:p>
    <w:p w14:paraId="4F2B3E7C">
      <w:pPr>
        <w:spacing w:before="18"/>
      </w:pPr>
    </w:p>
    <w:p w14:paraId="6BE916AA">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71"/>
        <w:gridCol w:w="452"/>
        <w:gridCol w:w="965"/>
        <w:gridCol w:w="674"/>
        <w:gridCol w:w="706"/>
        <w:gridCol w:w="951"/>
        <w:gridCol w:w="771"/>
        <w:gridCol w:w="835"/>
        <w:gridCol w:w="1239"/>
        <w:gridCol w:w="731"/>
        <w:gridCol w:w="735"/>
        <w:gridCol w:w="80"/>
      </w:tblGrid>
      <w:tr w14:paraId="6A1D8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778" w:type="dxa"/>
            <w:vMerge w:val="restart"/>
            <w:tcBorders>
              <w:top w:val="single" w:color="000000" w:sz="6" w:space="0"/>
              <w:left w:val="single" w:color="000000" w:sz="6" w:space="0"/>
              <w:bottom w:val="nil"/>
            </w:tcBorders>
            <w:vAlign w:val="top"/>
          </w:tcPr>
          <w:p w14:paraId="6693A645">
            <w:pPr>
              <w:rPr>
                <w:rFonts w:ascii="Arial"/>
                <w:sz w:val="21"/>
              </w:rPr>
            </w:pPr>
          </w:p>
        </w:tc>
        <w:tc>
          <w:tcPr>
            <w:tcW w:w="71" w:type="dxa"/>
            <w:tcBorders>
              <w:top w:val="single" w:color="000000" w:sz="6" w:space="0"/>
              <w:bottom w:val="nil"/>
            </w:tcBorders>
            <w:vAlign w:val="top"/>
          </w:tcPr>
          <w:p w14:paraId="0C324ED5">
            <w:pPr>
              <w:rPr>
                <w:rFonts w:ascii="Arial"/>
                <w:sz w:val="21"/>
              </w:rPr>
            </w:pPr>
          </w:p>
        </w:tc>
        <w:tc>
          <w:tcPr>
            <w:tcW w:w="452" w:type="dxa"/>
            <w:vMerge w:val="restart"/>
            <w:tcBorders>
              <w:top w:val="single" w:color="000000" w:sz="6" w:space="0"/>
              <w:bottom w:val="nil"/>
            </w:tcBorders>
            <w:vAlign w:val="top"/>
          </w:tcPr>
          <w:p w14:paraId="7CC4CC77">
            <w:pPr>
              <w:rPr>
                <w:rFonts w:ascii="Arial"/>
                <w:sz w:val="21"/>
              </w:rPr>
            </w:pPr>
          </w:p>
        </w:tc>
        <w:tc>
          <w:tcPr>
            <w:tcW w:w="965" w:type="dxa"/>
            <w:tcBorders>
              <w:top w:val="single" w:color="000000" w:sz="6" w:space="0"/>
            </w:tcBorders>
            <w:vAlign w:val="top"/>
          </w:tcPr>
          <w:p w14:paraId="1595A277">
            <w:pPr>
              <w:spacing w:line="321" w:lineRule="auto"/>
              <w:rPr>
                <w:rFonts w:ascii="Arial"/>
                <w:sz w:val="21"/>
              </w:rPr>
            </w:pPr>
          </w:p>
          <w:p w14:paraId="2DB0E5B9">
            <w:pPr>
              <w:spacing w:line="322" w:lineRule="auto"/>
              <w:rPr>
                <w:rFonts w:ascii="Arial"/>
                <w:sz w:val="21"/>
              </w:rPr>
            </w:pPr>
          </w:p>
          <w:p w14:paraId="2D82D597">
            <w:pPr>
              <w:pStyle w:val="6"/>
              <w:spacing w:before="65" w:line="228" w:lineRule="auto"/>
              <w:ind w:left="218"/>
              <w:rPr>
                <w:rFonts w:ascii="Times New Roman" w:hAnsi="Times New Roman" w:eastAsia="Times New Roman" w:cs="Times New Roman"/>
                <w:sz w:val="13"/>
                <w:szCs w:val="13"/>
              </w:rPr>
            </w:pPr>
            <w:r>
              <w:rPr>
                <w:spacing w:val="1"/>
                <w:sz w:val="20"/>
                <w:szCs w:val="20"/>
              </w:rPr>
              <w:t>丙酮</w:t>
            </w:r>
            <w:r>
              <w:rPr>
                <w:spacing w:val="-41"/>
                <w:sz w:val="20"/>
                <w:szCs w:val="20"/>
              </w:rPr>
              <w:t xml:space="preserve"> </w:t>
            </w:r>
            <w:r>
              <w:rPr>
                <w:rFonts w:ascii="Times New Roman" w:hAnsi="Times New Roman" w:eastAsia="Times New Roman" w:cs="Times New Roman"/>
                <w:spacing w:val="1"/>
                <w:position w:val="6"/>
                <w:sz w:val="13"/>
                <w:szCs w:val="13"/>
              </w:rPr>
              <w:t>3</w:t>
            </w:r>
          </w:p>
          <w:p w14:paraId="312554CD">
            <w:pPr>
              <w:pStyle w:val="6"/>
              <w:spacing w:before="23"/>
              <w:ind w:left="119"/>
              <w:rPr>
                <w:sz w:val="20"/>
                <w:szCs w:val="20"/>
              </w:rPr>
            </w:pPr>
            <w:r>
              <w:rPr>
                <w:spacing w:val="1"/>
                <w:sz w:val="20"/>
                <w:szCs w:val="20"/>
              </w:rPr>
              <w:t>（</w:t>
            </w:r>
            <w:r>
              <w:rPr>
                <w:rFonts w:ascii="Times New Roman" w:hAnsi="Times New Roman" w:eastAsia="Times New Roman" w:cs="Times New Roman"/>
                <w:spacing w:val="1"/>
                <w:sz w:val="20"/>
                <w:szCs w:val="20"/>
              </w:rPr>
              <w:t>95%</w:t>
            </w:r>
            <w:r>
              <w:rPr>
                <w:spacing w:val="1"/>
                <w:sz w:val="20"/>
                <w:szCs w:val="20"/>
              </w:rPr>
              <w:t>）</w:t>
            </w:r>
          </w:p>
        </w:tc>
        <w:tc>
          <w:tcPr>
            <w:tcW w:w="674" w:type="dxa"/>
            <w:tcBorders>
              <w:top w:val="single" w:color="000000" w:sz="6" w:space="0"/>
            </w:tcBorders>
            <w:vAlign w:val="top"/>
          </w:tcPr>
          <w:p w14:paraId="597C2D0A">
            <w:pPr>
              <w:spacing w:line="273" w:lineRule="auto"/>
              <w:rPr>
                <w:rFonts w:ascii="Arial"/>
                <w:sz w:val="21"/>
              </w:rPr>
            </w:pPr>
          </w:p>
          <w:p w14:paraId="47997136">
            <w:pPr>
              <w:spacing w:line="273" w:lineRule="auto"/>
              <w:rPr>
                <w:rFonts w:ascii="Arial"/>
                <w:sz w:val="21"/>
              </w:rPr>
            </w:pPr>
          </w:p>
          <w:p w14:paraId="5777770D">
            <w:pPr>
              <w:spacing w:line="273" w:lineRule="auto"/>
              <w:rPr>
                <w:rFonts w:ascii="Arial"/>
                <w:sz w:val="21"/>
              </w:rPr>
            </w:pPr>
          </w:p>
          <w:p w14:paraId="4724A1C6">
            <w:pPr>
              <w:spacing w:before="5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6" w:type="dxa"/>
            <w:tcBorders>
              <w:top w:val="single" w:color="000000" w:sz="6" w:space="0"/>
            </w:tcBorders>
            <w:vAlign w:val="top"/>
          </w:tcPr>
          <w:p w14:paraId="48CABF2B">
            <w:pPr>
              <w:spacing w:line="273" w:lineRule="auto"/>
              <w:rPr>
                <w:rFonts w:ascii="Arial"/>
                <w:sz w:val="21"/>
              </w:rPr>
            </w:pPr>
          </w:p>
          <w:p w14:paraId="41F614D0">
            <w:pPr>
              <w:spacing w:line="273" w:lineRule="auto"/>
              <w:rPr>
                <w:rFonts w:ascii="Arial"/>
                <w:sz w:val="21"/>
              </w:rPr>
            </w:pPr>
          </w:p>
          <w:p w14:paraId="6EEC566F">
            <w:pPr>
              <w:spacing w:line="273" w:lineRule="auto"/>
              <w:rPr>
                <w:rFonts w:ascii="Arial"/>
                <w:sz w:val="21"/>
              </w:rPr>
            </w:pPr>
          </w:p>
          <w:p w14:paraId="005E1F72">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951" w:type="dxa"/>
            <w:tcBorders>
              <w:top w:val="single" w:color="000000" w:sz="6" w:space="0"/>
            </w:tcBorders>
            <w:vAlign w:val="top"/>
          </w:tcPr>
          <w:p w14:paraId="088F19EA">
            <w:pPr>
              <w:spacing w:line="273" w:lineRule="auto"/>
              <w:rPr>
                <w:rFonts w:ascii="Arial"/>
                <w:sz w:val="21"/>
              </w:rPr>
            </w:pPr>
          </w:p>
          <w:p w14:paraId="6E78DB12">
            <w:pPr>
              <w:spacing w:line="273" w:lineRule="auto"/>
              <w:rPr>
                <w:rFonts w:ascii="Arial"/>
                <w:sz w:val="21"/>
              </w:rPr>
            </w:pPr>
          </w:p>
          <w:p w14:paraId="353D97CA">
            <w:pPr>
              <w:spacing w:line="273" w:lineRule="auto"/>
              <w:rPr>
                <w:rFonts w:ascii="Arial"/>
                <w:sz w:val="21"/>
              </w:rPr>
            </w:pPr>
          </w:p>
          <w:p w14:paraId="083E7104">
            <w:pPr>
              <w:spacing w:before="58"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771" w:type="dxa"/>
            <w:tcBorders>
              <w:top w:val="single" w:color="000000" w:sz="6" w:space="0"/>
            </w:tcBorders>
            <w:vAlign w:val="top"/>
          </w:tcPr>
          <w:p w14:paraId="50677234">
            <w:pPr>
              <w:spacing w:line="273" w:lineRule="auto"/>
              <w:rPr>
                <w:rFonts w:ascii="Arial"/>
                <w:sz w:val="21"/>
              </w:rPr>
            </w:pPr>
          </w:p>
          <w:p w14:paraId="6D90EDE9">
            <w:pPr>
              <w:spacing w:line="273" w:lineRule="auto"/>
              <w:rPr>
                <w:rFonts w:ascii="Arial"/>
                <w:sz w:val="21"/>
              </w:rPr>
            </w:pPr>
          </w:p>
          <w:p w14:paraId="2C6C85C4">
            <w:pPr>
              <w:spacing w:line="273" w:lineRule="auto"/>
              <w:rPr>
                <w:rFonts w:ascii="Arial"/>
                <w:sz w:val="21"/>
              </w:rPr>
            </w:pPr>
          </w:p>
          <w:p w14:paraId="1F3063D2">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835" w:type="dxa"/>
            <w:tcBorders>
              <w:top w:val="single" w:color="000000" w:sz="6" w:space="0"/>
            </w:tcBorders>
            <w:vAlign w:val="top"/>
          </w:tcPr>
          <w:p w14:paraId="0BBFC532">
            <w:pPr>
              <w:spacing w:line="273" w:lineRule="auto"/>
              <w:rPr>
                <w:rFonts w:ascii="Arial"/>
                <w:sz w:val="21"/>
              </w:rPr>
            </w:pPr>
          </w:p>
          <w:p w14:paraId="4906F170">
            <w:pPr>
              <w:spacing w:line="273" w:lineRule="auto"/>
              <w:rPr>
                <w:rFonts w:ascii="Arial"/>
                <w:sz w:val="21"/>
              </w:rPr>
            </w:pPr>
          </w:p>
          <w:p w14:paraId="0F74B57A">
            <w:pPr>
              <w:spacing w:line="273" w:lineRule="auto"/>
              <w:rPr>
                <w:rFonts w:ascii="Arial"/>
                <w:sz w:val="21"/>
              </w:rPr>
            </w:pPr>
          </w:p>
          <w:p w14:paraId="1341AB9D">
            <w:pPr>
              <w:spacing w:before="5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239" w:type="dxa"/>
            <w:tcBorders>
              <w:top w:val="single" w:color="000000" w:sz="6" w:space="0"/>
            </w:tcBorders>
            <w:vAlign w:val="top"/>
          </w:tcPr>
          <w:p w14:paraId="786A0B05">
            <w:pPr>
              <w:pStyle w:val="6"/>
              <w:spacing w:before="47" w:line="228" w:lineRule="auto"/>
              <w:ind w:left="119"/>
              <w:rPr>
                <w:sz w:val="20"/>
                <w:szCs w:val="20"/>
              </w:rPr>
            </w:pPr>
            <w:r>
              <w:rPr>
                <w:spacing w:val="2"/>
                <w:sz w:val="20"/>
                <w:szCs w:val="20"/>
              </w:rPr>
              <w:t>液体，丙酮</w:t>
            </w:r>
          </w:p>
          <w:p w14:paraId="665FC1E2">
            <w:pPr>
              <w:pStyle w:val="6"/>
              <w:spacing w:before="22" w:line="252" w:lineRule="auto"/>
              <w:ind w:left="191" w:right="182" w:firstLine="43"/>
              <w:rPr>
                <w:rFonts w:ascii="Times New Roman" w:hAnsi="Times New Roman" w:eastAsia="Times New Roman" w:cs="Times New Roman"/>
                <w:sz w:val="13"/>
                <w:szCs w:val="13"/>
              </w:rPr>
            </w:pPr>
            <w:r>
              <w:rPr>
                <w:spacing w:val="-8"/>
                <w:sz w:val="20"/>
                <w:szCs w:val="20"/>
              </w:rPr>
              <w:t>占</w:t>
            </w:r>
            <w:r>
              <w:rPr>
                <w:spacing w:val="-36"/>
                <w:sz w:val="20"/>
                <w:szCs w:val="20"/>
              </w:rPr>
              <w:t xml:space="preserve"> </w:t>
            </w:r>
            <w:r>
              <w:rPr>
                <w:rFonts w:ascii="Times New Roman" w:hAnsi="Times New Roman" w:eastAsia="Times New Roman" w:cs="Times New Roman"/>
                <w:spacing w:val="-8"/>
                <w:sz w:val="20"/>
                <w:szCs w:val="20"/>
              </w:rPr>
              <w:t>95%</w:t>
            </w:r>
            <w:r>
              <w:rPr>
                <w:rFonts w:ascii="Times New Roman" w:hAnsi="Times New Roman" w:eastAsia="Times New Roman" w:cs="Times New Roman"/>
                <w:spacing w:val="-26"/>
                <w:sz w:val="20"/>
                <w:szCs w:val="20"/>
              </w:rPr>
              <w:t xml:space="preserve"> </w:t>
            </w:r>
            <w:r>
              <w:rPr>
                <w:spacing w:val="-8"/>
                <w:sz w:val="20"/>
                <w:szCs w:val="20"/>
              </w:rPr>
              <w:t>，</w:t>
            </w:r>
            <w:r>
              <w:rPr>
                <w:sz w:val="20"/>
                <w:szCs w:val="20"/>
              </w:rPr>
              <w:t xml:space="preserve"> </w:t>
            </w: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3171.5</w:t>
            </w:r>
            <w:r>
              <w:rPr>
                <w:rFonts w:ascii="Times New Roman" w:hAnsi="Times New Roman" w:eastAsia="Times New Roman" w:cs="Times New Roman"/>
                <w:sz w:val="20"/>
                <w:szCs w:val="20"/>
              </w:rPr>
              <w:t>PO</w:t>
            </w:r>
            <w:r>
              <w:rPr>
                <w:rFonts w:ascii="Times New Roman" w:hAnsi="Times New Roman" w:eastAsia="Times New Roman" w:cs="Times New Roman"/>
                <w:spacing w:val="4"/>
                <w:sz w:val="13"/>
                <w:szCs w:val="13"/>
              </w:rPr>
              <w:t>4</w:t>
            </w:r>
          </w:p>
          <w:p w14:paraId="64042DF7">
            <w:pPr>
              <w:pStyle w:val="6"/>
              <w:spacing w:line="229" w:lineRule="auto"/>
              <w:ind w:left="286"/>
              <w:rPr>
                <w:sz w:val="20"/>
                <w:szCs w:val="20"/>
              </w:rPr>
            </w:pPr>
            <w:r>
              <w:rPr>
                <w:spacing w:val="-8"/>
                <w:sz w:val="20"/>
                <w:szCs w:val="20"/>
              </w:rPr>
              <w:t>占</w:t>
            </w:r>
            <w:r>
              <w:rPr>
                <w:spacing w:val="-35"/>
                <w:sz w:val="20"/>
                <w:szCs w:val="20"/>
              </w:rPr>
              <w:t xml:space="preserve"> </w:t>
            </w:r>
            <w:r>
              <w:rPr>
                <w:rFonts w:ascii="Times New Roman" w:hAnsi="Times New Roman" w:eastAsia="Times New Roman" w:cs="Times New Roman"/>
                <w:spacing w:val="-8"/>
                <w:sz w:val="20"/>
                <w:szCs w:val="20"/>
              </w:rPr>
              <w:t>5%</w:t>
            </w:r>
            <w:r>
              <w:rPr>
                <w:spacing w:val="-8"/>
                <w:sz w:val="20"/>
                <w:szCs w:val="20"/>
              </w:rPr>
              <w:t>，</w:t>
            </w:r>
          </w:p>
          <w:p w14:paraId="24996290">
            <w:pPr>
              <w:pStyle w:val="6"/>
              <w:spacing w:before="26" w:line="245" w:lineRule="auto"/>
              <w:ind w:left="209" w:right="76" w:hanging="96"/>
              <w:rPr>
                <w:sz w:val="20"/>
                <w:szCs w:val="20"/>
              </w:rPr>
            </w:pPr>
            <w:r>
              <w:rPr>
                <w:rFonts w:ascii="Times New Roman" w:hAnsi="Times New Roman" w:eastAsia="Times New Roman" w:cs="Times New Roman"/>
                <w:spacing w:val="-3"/>
                <w:sz w:val="20"/>
                <w:szCs w:val="20"/>
              </w:rPr>
              <w:t>25kg</w:t>
            </w:r>
            <w:r>
              <w:rPr>
                <w:rFonts w:ascii="Times New Roman" w:hAnsi="Times New Roman" w:eastAsia="Times New Roman" w:cs="Times New Roman"/>
                <w:spacing w:val="13"/>
                <w:w w:val="101"/>
                <w:sz w:val="20"/>
                <w:szCs w:val="20"/>
              </w:rPr>
              <w:t xml:space="preserve"> </w:t>
            </w:r>
            <w:r>
              <w:rPr>
                <w:spacing w:val="-3"/>
                <w:sz w:val="20"/>
                <w:szCs w:val="20"/>
              </w:rPr>
              <w:t>桶装，</w:t>
            </w:r>
            <w:r>
              <w:rPr>
                <w:sz w:val="20"/>
                <w:szCs w:val="20"/>
              </w:rPr>
              <w:t xml:space="preserve"> </w:t>
            </w:r>
            <w:r>
              <w:rPr>
                <w:spacing w:val="6"/>
                <w:sz w:val="20"/>
                <w:szCs w:val="20"/>
              </w:rPr>
              <w:t>用于稀释</w:t>
            </w:r>
          </w:p>
          <w:p w14:paraId="0128507A">
            <w:pPr>
              <w:pStyle w:val="6"/>
              <w:spacing w:before="13" w:line="213" w:lineRule="auto"/>
              <w:ind w:left="208"/>
              <w:rPr>
                <w:sz w:val="20"/>
                <w:szCs w:val="20"/>
              </w:rPr>
            </w:pPr>
            <w:r>
              <w:rPr>
                <w:spacing w:val="7"/>
                <w:sz w:val="20"/>
                <w:szCs w:val="20"/>
              </w:rPr>
              <w:t>环氧树脂</w:t>
            </w:r>
          </w:p>
        </w:tc>
        <w:tc>
          <w:tcPr>
            <w:tcW w:w="731" w:type="dxa"/>
            <w:tcBorders>
              <w:top w:val="single" w:color="000000" w:sz="6" w:space="0"/>
            </w:tcBorders>
            <w:vAlign w:val="top"/>
          </w:tcPr>
          <w:p w14:paraId="30815642">
            <w:pPr>
              <w:spacing w:line="321" w:lineRule="auto"/>
              <w:rPr>
                <w:rFonts w:ascii="Arial"/>
                <w:sz w:val="21"/>
              </w:rPr>
            </w:pPr>
          </w:p>
          <w:p w14:paraId="034F92C1">
            <w:pPr>
              <w:spacing w:line="321" w:lineRule="auto"/>
              <w:rPr>
                <w:rFonts w:ascii="Arial"/>
                <w:sz w:val="21"/>
              </w:rPr>
            </w:pPr>
          </w:p>
          <w:p w14:paraId="256496E6">
            <w:pPr>
              <w:pStyle w:val="6"/>
              <w:spacing w:before="65" w:line="228" w:lineRule="auto"/>
              <w:ind w:left="167"/>
              <w:rPr>
                <w:sz w:val="20"/>
                <w:szCs w:val="20"/>
              </w:rPr>
            </w:pPr>
            <w:r>
              <w:rPr>
                <w:spacing w:val="4"/>
                <w:sz w:val="20"/>
                <w:szCs w:val="20"/>
              </w:rPr>
              <w:t>注胶</w:t>
            </w:r>
          </w:p>
          <w:p w14:paraId="49012F61">
            <w:pPr>
              <w:pStyle w:val="6"/>
              <w:spacing w:before="24" w:line="231" w:lineRule="auto"/>
              <w:ind w:left="167"/>
              <w:rPr>
                <w:sz w:val="20"/>
                <w:szCs w:val="20"/>
              </w:rPr>
            </w:pPr>
            <w:r>
              <w:rPr>
                <w:spacing w:val="4"/>
                <w:sz w:val="20"/>
                <w:szCs w:val="20"/>
              </w:rPr>
              <w:t>加工</w:t>
            </w:r>
          </w:p>
        </w:tc>
        <w:tc>
          <w:tcPr>
            <w:tcW w:w="735" w:type="dxa"/>
            <w:tcBorders>
              <w:top w:val="single" w:color="000000" w:sz="6" w:space="0"/>
            </w:tcBorders>
            <w:vAlign w:val="top"/>
          </w:tcPr>
          <w:p w14:paraId="09742240">
            <w:pPr>
              <w:spacing w:line="253" w:lineRule="auto"/>
              <w:rPr>
                <w:rFonts w:ascii="Arial"/>
                <w:sz w:val="21"/>
              </w:rPr>
            </w:pPr>
          </w:p>
          <w:p w14:paraId="5A73D1B6">
            <w:pPr>
              <w:spacing w:line="254" w:lineRule="auto"/>
              <w:rPr>
                <w:rFonts w:ascii="Arial"/>
                <w:sz w:val="21"/>
              </w:rPr>
            </w:pPr>
          </w:p>
          <w:p w14:paraId="04E2D5A6">
            <w:pPr>
              <w:pStyle w:val="6"/>
              <w:spacing w:before="65" w:line="229" w:lineRule="auto"/>
              <w:ind w:left="171"/>
              <w:rPr>
                <w:sz w:val="20"/>
                <w:szCs w:val="20"/>
              </w:rPr>
            </w:pPr>
            <w:r>
              <w:rPr>
                <w:spacing w:val="4"/>
                <w:sz w:val="20"/>
                <w:szCs w:val="20"/>
              </w:rPr>
              <w:t>化学</w:t>
            </w:r>
          </w:p>
          <w:p w14:paraId="423A261D">
            <w:pPr>
              <w:pStyle w:val="6"/>
              <w:spacing w:before="22" w:line="252" w:lineRule="auto"/>
              <w:ind w:left="273" w:right="149" w:hanging="86"/>
              <w:rPr>
                <w:sz w:val="20"/>
                <w:szCs w:val="20"/>
              </w:rPr>
            </w:pPr>
            <w:r>
              <w:rPr>
                <w:spacing w:val="-4"/>
                <w:sz w:val="20"/>
                <w:szCs w:val="20"/>
              </w:rPr>
              <w:t>品仓</w:t>
            </w:r>
            <w:r>
              <w:rPr>
                <w:sz w:val="20"/>
                <w:szCs w:val="20"/>
              </w:rPr>
              <w:t xml:space="preserve"> 库</w:t>
            </w:r>
          </w:p>
        </w:tc>
        <w:tc>
          <w:tcPr>
            <w:tcW w:w="80" w:type="dxa"/>
            <w:tcBorders>
              <w:top w:val="single" w:color="000000" w:sz="6" w:space="0"/>
              <w:bottom w:val="nil"/>
              <w:right w:val="single" w:color="000000" w:sz="6" w:space="0"/>
            </w:tcBorders>
            <w:vAlign w:val="top"/>
          </w:tcPr>
          <w:p w14:paraId="1BFAFD31">
            <w:pPr>
              <w:rPr>
                <w:rFonts w:ascii="Arial"/>
                <w:sz w:val="21"/>
              </w:rPr>
            </w:pPr>
          </w:p>
        </w:tc>
      </w:tr>
      <w:tr w14:paraId="5F6D7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778" w:type="dxa"/>
            <w:vMerge w:val="continue"/>
            <w:tcBorders>
              <w:top w:val="nil"/>
              <w:left w:val="single" w:color="000000" w:sz="6" w:space="0"/>
              <w:bottom w:val="nil"/>
            </w:tcBorders>
            <w:vAlign w:val="top"/>
          </w:tcPr>
          <w:p w14:paraId="66A9A052">
            <w:pPr>
              <w:rPr>
                <w:rFonts w:ascii="Arial"/>
                <w:sz w:val="21"/>
              </w:rPr>
            </w:pPr>
          </w:p>
        </w:tc>
        <w:tc>
          <w:tcPr>
            <w:tcW w:w="71" w:type="dxa"/>
            <w:tcBorders>
              <w:top w:val="nil"/>
              <w:bottom w:val="nil"/>
            </w:tcBorders>
            <w:vAlign w:val="top"/>
          </w:tcPr>
          <w:p w14:paraId="29199D6A">
            <w:pPr>
              <w:rPr>
                <w:rFonts w:ascii="Arial"/>
                <w:sz w:val="21"/>
              </w:rPr>
            </w:pPr>
          </w:p>
        </w:tc>
        <w:tc>
          <w:tcPr>
            <w:tcW w:w="452" w:type="dxa"/>
            <w:vMerge w:val="continue"/>
            <w:tcBorders>
              <w:top w:val="nil"/>
              <w:bottom w:val="nil"/>
            </w:tcBorders>
            <w:vAlign w:val="top"/>
          </w:tcPr>
          <w:p w14:paraId="4E5F473B">
            <w:pPr>
              <w:rPr>
                <w:rFonts w:ascii="Arial"/>
                <w:sz w:val="21"/>
              </w:rPr>
            </w:pPr>
          </w:p>
        </w:tc>
        <w:tc>
          <w:tcPr>
            <w:tcW w:w="965" w:type="dxa"/>
            <w:vAlign w:val="top"/>
          </w:tcPr>
          <w:p w14:paraId="568AE6B8">
            <w:pPr>
              <w:spacing w:line="322" w:lineRule="auto"/>
              <w:rPr>
                <w:rFonts w:ascii="Arial"/>
                <w:sz w:val="21"/>
              </w:rPr>
            </w:pPr>
          </w:p>
          <w:p w14:paraId="13C15B7B">
            <w:pPr>
              <w:spacing w:line="323" w:lineRule="auto"/>
              <w:rPr>
                <w:rFonts w:ascii="Arial"/>
                <w:sz w:val="21"/>
              </w:rPr>
            </w:pPr>
          </w:p>
          <w:p w14:paraId="203FBA9D">
            <w:pPr>
              <w:pStyle w:val="6"/>
              <w:spacing w:before="65" w:line="228" w:lineRule="auto"/>
              <w:ind w:left="170"/>
              <w:rPr>
                <w:sz w:val="20"/>
                <w:szCs w:val="20"/>
              </w:rPr>
            </w:pPr>
            <w:r>
              <w:rPr>
                <w:spacing w:val="6"/>
                <w:sz w:val="20"/>
                <w:szCs w:val="20"/>
              </w:rPr>
              <w:t>液化石</w:t>
            </w:r>
          </w:p>
          <w:p w14:paraId="035E3B77">
            <w:pPr>
              <w:pStyle w:val="6"/>
              <w:spacing w:before="26" w:line="229" w:lineRule="auto"/>
              <w:ind w:left="217"/>
              <w:rPr>
                <w:rFonts w:ascii="Times New Roman" w:hAnsi="Times New Roman" w:eastAsia="Times New Roman" w:cs="Times New Roman"/>
                <w:sz w:val="13"/>
                <w:szCs w:val="13"/>
              </w:rPr>
            </w:pPr>
            <w:r>
              <w:rPr>
                <w:spacing w:val="2"/>
                <w:sz w:val="20"/>
                <w:szCs w:val="20"/>
              </w:rPr>
              <w:t>油气</w:t>
            </w:r>
            <w:r>
              <w:rPr>
                <w:spacing w:val="-45"/>
                <w:sz w:val="20"/>
                <w:szCs w:val="20"/>
              </w:rPr>
              <w:t xml:space="preserve"> </w:t>
            </w:r>
            <w:r>
              <w:rPr>
                <w:rFonts w:ascii="Times New Roman" w:hAnsi="Times New Roman" w:eastAsia="Times New Roman" w:cs="Times New Roman"/>
                <w:spacing w:val="2"/>
                <w:position w:val="6"/>
                <w:sz w:val="13"/>
                <w:szCs w:val="13"/>
              </w:rPr>
              <w:t>4</w:t>
            </w:r>
          </w:p>
        </w:tc>
        <w:tc>
          <w:tcPr>
            <w:tcW w:w="674" w:type="dxa"/>
            <w:vAlign w:val="top"/>
          </w:tcPr>
          <w:p w14:paraId="275B66C6">
            <w:pPr>
              <w:spacing w:line="275" w:lineRule="auto"/>
              <w:rPr>
                <w:rFonts w:ascii="Arial"/>
                <w:sz w:val="21"/>
              </w:rPr>
            </w:pPr>
          </w:p>
          <w:p w14:paraId="78BC88BF">
            <w:pPr>
              <w:spacing w:line="275" w:lineRule="auto"/>
              <w:rPr>
                <w:rFonts w:ascii="Arial"/>
                <w:sz w:val="21"/>
              </w:rPr>
            </w:pPr>
          </w:p>
          <w:p w14:paraId="0E913B76">
            <w:pPr>
              <w:spacing w:line="276" w:lineRule="auto"/>
              <w:rPr>
                <w:rFonts w:ascii="Arial"/>
                <w:sz w:val="21"/>
              </w:rPr>
            </w:pPr>
          </w:p>
          <w:p w14:paraId="686F90E9">
            <w:pPr>
              <w:spacing w:before="5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6" w:type="dxa"/>
            <w:vAlign w:val="top"/>
          </w:tcPr>
          <w:p w14:paraId="1B834DC9">
            <w:pPr>
              <w:spacing w:line="376" w:lineRule="auto"/>
              <w:rPr>
                <w:rFonts w:ascii="Arial"/>
                <w:sz w:val="21"/>
              </w:rPr>
            </w:pPr>
          </w:p>
          <w:p w14:paraId="643FD80B">
            <w:pPr>
              <w:pStyle w:val="6"/>
              <w:spacing w:before="65" w:line="228" w:lineRule="auto"/>
              <w:ind w:left="69"/>
              <w:rPr>
                <w:sz w:val="20"/>
                <w:szCs w:val="20"/>
              </w:rPr>
            </w:pPr>
            <w:r>
              <w:rPr>
                <w:rFonts w:ascii="Times New Roman" w:hAnsi="Times New Roman" w:eastAsia="Times New Roman" w:cs="Times New Roman"/>
                <w:spacing w:val="1"/>
                <w:sz w:val="20"/>
                <w:szCs w:val="20"/>
              </w:rPr>
              <w:t>669</w:t>
            </w:r>
            <w:r>
              <w:rPr>
                <w:rFonts w:ascii="Times New Roman" w:hAnsi="Times New Roman" w:eastAsia="Times New Roman" w:cs="Times New Roman"/>
                <w:spacing w:val="12"/>
                <w:sz w:val="20"/>
                <w:szCs w:val="20"/>
              </w:rPr>
              <w:t xml:space="preserve"> </w:t>
            </w:r>
            <w:r>
              <w:rPr>
                <w:spacing w:val="1"/>
                <w:sz w:val="20"/>
                <w:szCs w:val="20"/>
              </w:rPr>
              <w:t>标</w:t>
            </w:r>
          </w:p>
          <w:p w14:paraId="2E9088A2">
            <w:pPr>
              <w:pStyle w:val="6"/>
              <w:spacing w:before="23" w:line="228" w:lineRule="auto"/>
              <w:ind w:left="14"/>
              <w:rPr>
                <w:sz w:val="20"/>
                <w:szCs w:val="20"/>
              </w:rPr>
            </w:pPr>
            <w:r>
              <w:rPr>
                <w:spacing w:val="5"/>
                <w:sz w:val="20"/>
                <w:szCs w:val="20"/>
              </w:rPr>
              <w:t>准瓶</w:t>
            </w:r>
            <w:r>
              <w:rPr>
                <w:rFonts w:ascii="Times New Roman" w:hAnsi="Times New Roman" w:eastAsia="Times New Roman" w:cs="Times New Roman"/>
                <w:spacing w:val="5"/>
                <w:sz w:val="20"/>
                <w:szCs w:val="20"/>
              </w:rPr>
              <w:t>/</w:t>
            </w:r>
            <w:r>
              <w:rPr>
                <w:spacing w:val="5"/>
                <w:sz w:val="20"/>
                <w:szCs w:val="20"/>
              </w:rPr>
              <w:t>年</w:t>
            </w:r>
          </w:p>
          <w:p w14:paraId="4761D942">
            <w:pPr>
              <w:pStyle w:val="6"/>
              <w:spacing w:before="27" w:line="221" w:lineRule="auto"/>
              <w:ind w:left="52"/>
              <w:rPr>
                <w:rFonts w:ascii="Times New Roman" w:hAnsi="Times New Roman" w:eastAsia="Times New Roman" w:cs="Times New Roman"/>
                <w:sz w:val="20"/>
                <w:szCs w:val="20"/>
              </w:rPr>
            </w:pPr>
            <w:r>
              <w:rPr>
                <w:spacing w:val="3"/>
                <w:sz w:val="20"/>
                <w:szCs w:val="20"/>
              </w:rPr>
              <w:t>（</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kg</w:t>
            </w:r>
          </w:p>
          <w:p w14:paraId="7AC494E8">
            <w:pPr>
              <w:pStyle w:val="6"/>
              <w:spacing w:before="34" w:line="228" w:lineRule="auto"/>
              <w:ind w:left="147"/>
              <w:rPr>
                <w:sz w:val="20"/>
                <w:szCs w:val="20"/>
              </w:rPr>
            </w:pPr>
            <w:r>
              <w:rPr>
                <w:sz w:val="20"/>
                <w:szCs w:val="20"/>
              </w:rPr>
              <w:t>装）</w:t>
            </w:r>
          </w:p>
        </w:tc>
        <w:tc>
          <w:tcPr>
            <w:tcW w:w="951" w:type="dxa"/>
            <w:vAlign w:val="top"/>
          </w:tcPr>
          <w:p w14:paraId="6BD5728C">
            <w:pPr>
              <w:spacing w:line="376" w:lineRule="auto"/>
              <w:rPr>
                <w:rFonts w:ascii="Arial"/>
                <w:sz w:val="21"/>
              </w:rPr>
            </w:pPr>
          </w:p>
          <w:p w14:paraId="4863022A">
            <w:pPr>
              <w:pStyle w:val="6"/>
              <w:spacing w:before="65" w:line="228" w:lineRule="auto"/>
              <w:ind w:left="87"/>
              <w:rPr>
                <w:sz w:val="20"/>
                <w:szCs w:val="20"/>
              </w:rPr>
            </w:pPr>
            <w:r>
              <w:rPr>
                <w:rFonts w:ascii="Times New Roman" w:hAnsi="Times New Roman" w:eastAsia="Times New Roman" w:cs="Times New Roman"/>
                <w:spacing w:val="3"/>
                <w:sz w:val="20"/>
                <w:szCs w:val="20"/>
              </w:rPr>
              <w:t>669</w:t>
            </w:r>
            <w:r>
              <w:rPr>
                <w:rFonts w:ascii="Times New Roman" w:hAnsi="Times New Roman" w:eastAsia="Times New Roman" w:cs="Times New Roman"/>
                <w:spacing w:val="10"/>
                <w:sz w:val="20"/>
                <w:szCs w:val="20"/>
              </w:rPr>
              <w:t xml:space="preserve"> </w:t>
            </w:r>
            <w:r>
              <w:rPr>
                <w:spacing w:val="3"/>
                <w:sz w:val="20"/>
                <w:szCs w:val="20"/>
              </w:rPr>
              <w:t>标准</w:t>
            </w:r>
          </w:p>
          <w:p w14:paraId="2FD5E31E">
            <w:pPr>
              <w:pStyle w:val="6"/>
              <w:spacing w:before="23" w:line="228" w:lineRule="auto"/>
              <w:ind w:left="240"/>
              <w:rPr>
                <w:sz w:val="20"/>
                <w:szCs w:val="20"/>
              </w:rPr>
            </w:pPr>
            <w:r>
              <w:rPr>
                <w:spacing w:val="4"/>
                <w:sz w:val="20"/>
                <w:szCs w:val="20"/>
              </w:rPr>
              <w:t>瓶</w:t>
            </w:r>
            <w:r>
              <w:rPr>
                <w:rFonts w:ascii="Times New Roman" w:hAnsi="Times New Roman" w:eastAsia="Times New Roman" w:cs="Times New Roman"/>
                <w:spacing w:val="4"/>
                <w:sz w:val="20"/>
                <w:szCs w:val="20"/>
              </w:rPr>
              <w:t>/</w:t>
            </w:r>
            <w:r>
              <w:rPr>
                <w:spacing w:val="4"/>
                <w:sz w:val="20"/>
                <w:szCs w:val="20"/>
              </w:rPr>
              <w:t>年</w:t>
            </w:r>
          </w:p>
          <w:p w14:paraId="27A29CCC">
            <w:pPr>
              <w:pStyle w:val="6"/>
              <w:spacing w:before="27" w:line="221" w:lineRule="auto"/>
              <w:ind w:left="176"/>
              <w:rPr>
                <w:rFonts w:ascii="Times New Roman" w:hAnsi="Times New Roman" w:eastAsia="Times New Roman" w:cs="Times New Roman"/>
                <w:sz w:val="20"/>
                <w:szCs w:val="20"/>
              </w:rPr>
            </w:pPr>
            <w:r>
              <w:rPr>
                <w:spacing w:val="3"/>
                <w:sz w:val="20"/>
                <w:szCs w:val="20"/>
              </w:rPr>
              <w:t>（</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kg</w:t>
            </w:r>
          </w:p>
          <w:p w14:paraId="2789F14B">
            <w:pPr>
              <w:pStyle w:val="6"/>
              <w:spacing w:before="34" w:line="228" w:lineRule="auto"/>
              <w:ind w:left="269"/>
              <w:rPr>
                <w:sz w:val="20"/>
                <w:szCs w:val="20"/>
              </w:rPr>
            </w:pPr>
            <w:r>
              <w:rPr>
                <w:sz w:val="20"/>
                <w:szCs w:val="20"/>
              </w:rPr>
              <w:t>装）</w:t>
            </w:r>
          </w:p>
        </w:tc>
        <w:tc>
          <w:tcPr>
            <w:tcW w:w="771" w:type="dxa"/>
            <w:vAlign w:val="top"/>
          </w:tcPr>
          <w:p w14:paraId="75568C87">
            <w:pPr>
              <w:spacing w:line="376" w:lineRule="auto"/>
              <w:rPr>
                <w:rFonts w:ascii="Arial"/>
                <w:sz w:val="21"/>
              </w:rPr>
            </w:pPr>
          </w:p>
          <w:p w14:paraId="6774F0BA">
            <w:pPr>
              <w:pStyle w:val="6"/>
              <w:spacing w:before="65" w:line="228" w:lineRule="auto"/>
              <w:ind w:left="41"/>
              <w:rPr>
                <w:sz w:val="20"/>
                <w:szCs w:val="20"/>
              </w:rPr>
            </w:pPr>
            <w:r>
              <w:rPr>
                <w:rFonts w:ascii="Times New Roman" w:hAnsi="Times New Roman" w:eastAsia="Times New Roman" w:cs="Times New Roman"/>
                <w:spacing w:val="3"/>
                <w:sz w:val="20"/>
                <w:szCs w:val="20"/>
              </w:rPr>
              <w:t>+669</w:t>
            </w:r>
            <w:r>
              <w:rPr>
                <w:rFonts w:ascii="Times New Roman" w:hAnsi="Times New Roman" w:eastAsia="Times New Roman" w:cs="Times New Roman"/>
                <w:spacing w:val="11"/>
                <w:sz w:val="20"/>
                <w:szCs w:val="20"/>
              </w:rPr>
              <w:t xml:space="preserve"> </w:t>
            </w:r>
            <w:r>
              <w:rPr>
                <w:spacing w:val="3"/>
                <w:sz w:val="20"/>
                <w:szCs w:val="20"/>
              </w:rPr>
              <w:t>标</w:t>
            </w:r>
          </w:p>
          <w:p w14:paraId="6932629D">
            <w:pPr>
              <w:pStyle w:val="6"/>
              <w:spacing w:before="23" w:line="228" w:lineRule="auto"/>
              <w:ind w:left="49"/>
              <w:rPr>
                <w:sz w:val="20"/>
                <w:szCs w:val="20"/>
              </w:rPr>
            </w:pPr>
            <w:r>
              <w:rPr>
                <w:spacing w:val="5"/>
                <w:sz w:val="20"/>
                <w:szCs w:val="20"/>
              </w:rPr>
              <w:t>准瓶</w:t>
            </w:r>
            <w:r>
              <w:rPr>
                <w:rFonts w:ascii="Times New Roman" w:hAnsi="Times New Roman" w:eastAsia="Times New Roman" w:cs="Times New Roman"/>
                <w:spacing w:val="5"/>
                <w:sz w:val="20"/>
                <w:szCs w:val="20"/>
              </w:rPr>
              <w:t>/</w:t>
            </w:r>
            <w:r>
              <w:rPr>
                <w:spacing w:val="5"/>
                <w:sz w:val="20"/>
                <w:szCs w:val="20"/>
              </w:rPr>
              <w:t>年</w:t>
            </w:r>
          </w:p>
          <w:p w14:paraId="7A5067D5">
            <w:pPr>
              <w:pStyle w:val="6"/>
              <w:spacing w:before="27" w:line="221" w:lineRule="auto"/>
              <w:ind w:left="87"/>
              <w:rPr>
                <w:rFonts w:ascii="Times New Roman" w:hAnsi="Times New Roman" w:eastAsia="Times New Roman" w:cs="Times New Roman"/>
                <w:sz w:val="20"/>
                <w:szCs w:val="20"/>
              </w:rPr>
            </w:pPr>
            <w:r>
              <w:rPr>
                <w:spacing w:val="3"/>
                <w:sz w:val="20"/>
                <w:szCs w:val="20"/>
              </w:rPr>
              <w:t>（</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kg</w:t>
            </w:r>
          </w:p>
          <w:p w14:paraId="3F5D279E">
            <w:pPr>
              <w:pStyle w:val="6"/>
              <w:spacing w:before="34" w:line="228" w:lineRule="auto"/>
              <w:ind w:left="182"/>
              <w:rPr>
                <w:sz w:val="20"/>
                <w:szCs w:val="20"/>
              </w:rPr>
            </w:pPr>
            <w:r>
              <w:rPr>
                <w:sz w:val="20"/>
                <w:szCs w:val="20"/>
              </w:rPr>
              <w:t>装）</w:t>
            </w:r>
          </w:p>
        </w:tc>
        <w:tc>
          <w:tcPr>
            <w:tcW w:w="835" w:type="dxa"/>
            <w:vAlign w:val="top"/>
          </w:tcPr>
          <w:p w14:paraId="2529C42D">
            <w:pPr>
              <w:spacing w:line="322" w:lineRule="auto"/>
              <w:rPr>
                <w:rFonts w:ascii="Arial"/>
                <w:sz w:val="21"/>
              </w:rPr>
            </w:pPr>
          </w:p>
          <w:p w14:paraId="60DBA80A">
            <w:pPr>
              <w:spacing w:line="322" w:lineRule="auto"/>
              <w:rPr>
                <w:rFonts w:ascii="Arial"/>
                <w:sz w:val="21"/>
              </w:rPr>
            </w:pPr>
          </w:p>
          <w:p w14:paraId="68B91E4C">
            <w:pPr>
              <w:pStyle w:val="6"/>
              <w:spacing w:before="65" w:line="255" w:lineRule="auto"/>
              <w:ind w:left="216" w:right="178" w:hanging="23"/>
              <w:rPr>
                <w:sz w:val="20"/>
                <w:szCs w:val="20"/>
              </w:rPr>
            </w:pPr>
            <w:r>
              <w:rPr>
                <w:rFonts w:ascii="Times New Roman" w:hAnsi="Times New Roman" w:eastAsia="Times New Roman" w:cs="Times New Roman"/>
                <w:spacing w:val="-1"/>
                <w:sz w:val="20"/>
                <w:szCs w:val="20"/>
              </w:rPr>
              <w:t>81</w:t>
            </w:r>
            <w:r>
              <w:rPr>
                <w:rFonts w:ascii="Times New Roman" w:hAnsi="Times New Roman" w:eastAsia="Times New Roman" w:cs="Times New Roman"/>
                <w:spacing w:val="10"/>
                <w:sz w:val="20"/>
                <w:szCs w:val="20"/>
              </w:rPr>
              <w:t xml:space="preserve"> </w:t>
            </w:r>
            <w:r>
              <w:rPr>
                <w:spacing w:val="-1"/>
                <w:sz w:val="20"/>
                <w:szCs w:val="20"/>
              </w:rPr>
              <w:t>标</w:t>
            </w:r>
            <w:r>
              <w:rPr>
                <w:sz w:val="20"/>
                <w:szCs w:val="20"/>
              </w:rPr>
              <w:t xml:space="preserve"> </w:t>
            </w:r>
            <w:r>
              <w:rPr>
                <w:spacing w:val="3"/>
                <w:sz w:val="20"/>
                <w:szCs w:val="20"/>
              </w:rPr>
              <w:t>准瓶</w:t>
            </w:r>
          </w:p>
        </w:tc>
        <w:tc>
          <w:tcPr>
            <w:tcW w:w="1239" w:type="dxa"/>
            <w:vAlign w:val="top"/>
          </w:tcPr>
          <w:p w14:paraId="731BC2D0">
            <w:pPr>
              <w:pStyle w:val="6"/>
              <w:spacing w:before="34" w:line="228" w:lineRule="auto"/>
              <w:ind w:left="120"/>
              <w:rPr>
                <w:sz w:val="20"/>
                <w:szCs w:val="20"/>
              </w:rPr>
            </w:pPr>
            <w:r>
              <w:rPr>
                <w:spacing w:val="5"/>
                <w:sz w:val="20"/>
                <w:szCs w:val="20"/>
              </w:rPr>
              <w:t>油状液体，</w:t>
            </w:r>
          </w:p>
          <w:p w14:paraId="655AC8D8">
            <w:pPr>
              <w:pStyle w:val="6"/>
              <w:spacing w:before="24" w:line="228" w:lineRule="auto"/>
              <w:ind w:left="209"/>
              <w:rPr>
                <w:sz w:val="20"/>
                <w:szCs w:val="20"/>
              </w:rPr>
            </w:pPr>
            <w:r>
              <w:rPr>
                <w:spacing w:val="7"/>
                <w:sz w:val="20"/>
                <w:szCs w:val="20"/>
              </w:rPr>
              <w:t>有特殊臭</w:t>
            </w:r>
          </w:p>
          <w:p w14:paraId="06685C5C">
            <w:pPr>
              <w:pStyle w:val="6"/>
              <w:spacing w:before="27" w:line="251" w:lineRule="auto"/>
              <w:ind w:left="210" w:right="102" w:hanging="85"/>
              <w:rPr>
                <w:sz w:val="20"/>
                <w:szCs w:val="20"/>
              </w:rPr>
            </w:pPr>
            <w:r>
              <w:rPr>
                <w:spacing w:val="1"/>
                <w:sz w:val="20"/>
                <w:szCs w:val="20"/>
              </w:rPr>
              <w:t>味，主要成</w:t>
            </w:r>
            <w:r>
              <w:rPr>
                <w:sz w:val="20"/>
                <w:szCs w:val="20"/>
              </w:rPr>
              <w:t xml:space="preserve"> </w:t>
            </w:r>
            <w:r>
              <w:rPr>
                <w:spacing w:val="6"/>
                <w:sz w:val="20"/>
                <w:szCs w:val="20"/>
              </w:rPr>
              <w:t>分为戊烯</w:t>
            </w:r>
          </w:p>
          <w:p w14:paraId="34596451">
            <w:pPr>
              <w:pStyle w:val="6"/>
              <w:spacing w:line="228" w:lineRule="auto"/>
              <w:ind w:left="209"/>
              <w:rPr>
                <w:sz w:val="20"/>
                <w:szCs w:val="20"/>
              </w:rPr>
            </w:pPr>
            <w:r>
              <w:rPr>
                <w:spacing w:val="7"/>
                <w:sz w:val="20"/>
                <w:szCs w:val="20"/>
              </w:rPr>
              <w:t>和比戊烷</w:t>
            </w:r>
          </w:p>
          <w:p w14:paraId="5F4041DF">
            <w:pPr>
              <w:pStyle w:val="6"/>
              <w:spacing w:before="23" w:line="228" w:lineRule="auto"/>
              <w:ind w:left="209"/>
              <w:rPr>
                <w:sz w:val="20"/>
                <w:szCs w:val="20"/>
              </w:rPr>
            </w:pPr>
            <w:r>
              <w:rPr>
                <w:spacing w:val="7"/>
                <w:sz w:val="20"/>
                <w:szCs w:val="20"/>
              </w:rPr>
              <w:t>重的烃类</w:t>
            </w:r>
          </w:p>
          <w:p w14:paraId="387721ED">
            <w:pPr>
              <w:pStyle w:val="6"/>
              <w:spacing w:before="27" w:line="208" w:lineRule="auto"/>
              <w:ind w:left="419"/>
              <w:rPr>
                <w:sz w:val="20"/>
                <w:szCs w:val="20"/>
              </w:rPr>
            </w:pPr>
            <w:r>
              <w:rPr>
                <w:spacing w:val="4"/>
                <w:sz w:val="20"/>
                <w:szCs w:val="20"/>
              </w:rPr>
              <w:t>物质</w:t>
            </w:r>
          </w:p>
        </w:tc>
        <w:tc>
          <w:tcPr>
            <w:tcW w:w="731" w:type="dxa"/>
            <w:vAlign w:val="top"/>
          </w:tcPr>
          <w:p w14:paraId="43C77CBA">
            <w:pPr>
              <w:spacing w:line="322" w:lineRule="auto"/>
              <w:rPr>
                <w:rFonts w:ascii="Arial"/>
                <w:sz w:val="21"/>
              </w:rPr>
            </w:pPr>
          </w:p>
          <w:p w14:paraId="3AB982C1">
            <w:pPr>
              <w:spacing w:line="322" w:lineRule="auto"/>
              <w:rPr>
                <w:rFonts w:ascii="Arial"/>
                <w:sz w:val="21"/>
              </w:rPr>
            </w:pPr>
          </w:p>
          <w:p w14:paraId="3623DBB9">
            <w:pPr>
              <w:pStyle w:val="6"/>
              <w:spacing w:before="65" w:line="228" w:lineRule="auto"/>
              <w:ind w:left="167"/>
              <w:rPr>
                <w:sz w:val="20"/>
                <w:szCs w:val="20"/>
              </w:rPr>
            </w:pPr>
            <w:r>
              <w:rPr>
                <w:spacing w:val="4"/>
                <w:sz w:val="20"/>
                <w:szCs w:val="20"/>
              </w:rPr>
              <w:t>注胶</w:t>
            </w:r>
          </w:p>
          <w:p w14:paraId="012A2A52">
            <w:pPr>
              <w:pStyle w:val="6"/>
              <w:spacing w:before="27" w:line="231" w:lineRule="auto"/>
              <w:ind w:left="167"/>
              <w:rPr>
                <w:sz w:val="20"/>
                <w:szCs w:val="20"/>
              </w:rPr>
            </w:pPr>
            <w:r>
              <w:rPr>
                <w:spacing w:val="4"/>
                <w:sz w:val="20"/>
                <w:szCs w:val="20"/>
              </w:rPr>
              <w:t>加工</w:t>
            </w:r>
          </w:p>
        </w:tc>
        <w:tc>
          <w:tcPr>
            <w:tcW w:w="735" w:type="dxa"/>
            <w:vAlign w:val="top"/>
          </w:tcPr>
          <w:p w14:paraId="42A48438">
            <w:pPr>
              <w:pStyle w:val="6"/>
              <w:spacing w:before="169" w:line="228" w:lineRule="auto"/>
              <w:ind w:left="173"/>
              <w:rPr>
                <w:sz w:val="20"/>
                <w:szCs w:val="20"/>
              </w:rPr>
            </w:pPr>
            <w:r>
              <w:rPr>
                <w:spacing w:val="3"/>
                <w:sz w:val="20"/>
                <w:szCs w:val="20"/>
              </w:rPr>
              <w:t>分散</w:t>
            </w:r>
          </w:p>
          <w:p w14:paraId="77ECDE8E">
            <w:pPr>
              <w:pStyle w:val="6"/>
              <w:spacing w:before="26" w:line="228" w:lineRule="auto"/>
              <w:ind w:left="177"/>
              <w:rPr>
                <w:sz w:val="20"/>
                <w:szCs w:val="20"/>
              </w:rPr>
            </w:pPr>
            <w:r>
              <w:rPr>
                <w:spacing w:val="1"/>
                <w:sz w:val="20"/>
                <w:szCs w:val="20"/>
              </w:rPr>
              <w:t>暂存</w:t>
            </w:r>
          </w:p>
          <w:p w14:paraId="34E17DC8">
            <w:pPr>
              <w:pStyle w:val="6"/>
              <w:spacing w:before="24" w:line="230" w:lineRule="auto"/>
              <w:ind w:left="169"/>
              <w:rPr>
                <w:sz w:val="20"/>
                <w:szCs w:val="20"/>
              </w:rPr>
            </w:pPr>
            <w:r>
              <w:rPr>
                <w:spacing w:val="5"/>
                <w:sz w:val="20"/>
                <w:szCs w:val="20"/>
              </w:rPr>
              <w:t>在注</w:t>
            </w:r>
          </w:p>
          <w:p w14:paraId="4D52E178">
            <w:pPr>
              <w:pStyle w:val="6"/>
              <w:spacing w:before="24" w:line="228" w:lineRule="auto"/>
              <w:ind w:left="169"/>
              <w:rPr>
                <w:sz w:val="20"/>
                <w:szCs w:val="20"/>
              </w:rPr>
            </w:pPr>
            <w:r>
              <w:rPr>
                <w:spacing w:val="5"/>
                <w:sz w:val="20"/>
                <w:szCs w:val="20"/>
              </w:rPr>
              <w:t>胶生</w:t>
            </w:r>
          </w:p>
          <w:p w14:paraId="591F4DC2">
            <w:pPr>
              <w:pStyle w:val="6"/>
              <w:spacing w:before="24" w:line="253" w:lineRule="auto"/>
              <w:ind w:left="289" w:right="149" w:hanging="119"/>
              <w:rPr>
                <w:sz w:val="20"/>
                <w:szCs w:val="20"/>
              </w:rPr>
            </w:pPr>
            <w:r>
              <w:rPr>
                <w:spacing w:val="4"/>
                <w:sz w:val="20"/>
                <w:szCs w:val="20"/>
              </w:rPr>
              <w:t>产车</w:t>
            </w:r>
            <w:r>
              <w:rPr>
                <w:sz w:val="20"/>
                <w:szCs w:val="20"/>
              </w:rPr>
              <w:t xml:space="preserve"> 间</w:t>
            </w:r>
          </w:p>
        </w:tc>
        <w:tc>
          <w:tcPr>
            <w:tcW w:w="80" w:type="dxa"/>
            <w:tcBorders>
              <w:top w:val="nil"/>
              <w:bottom w:val="nil"/>
              <w:right w:val="single" w:color="000000" w:sz="6" w:space="0"/>
            </w:tcBorders>
            <w:vAlign w:val="top"/>
          </w:tcPr>
          <w:p w14:paraId="76699EEE">
            <w:pPr>
              <w:rPr>
                <w:rFonts w:ascii="Arial"/>
                <w:sz w:val="21"/>
              </w:rPr>
            </w:pPr>
          </w:p>
        </w:tc>
      </w:tr>
      <w:tr w14:paraId="566DA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continue"/>
            <w:tcBorders>
              <w:top w:val="nil"/>
              <w:left w:val="single" w:color="000000" w:sz="6" w:space="0"/>
              <w:bottom w:val="nil"/>
            </w:tcBorders>
            <w:vAlign w:val="top"/>
          </w:tcPr>
          <w:p w14:paraId="2FCC7B05">
            <w:pPr>
              <w:rPr>
                <w:rFonts w:ascii="Arial"/>
                <w:sz w:val="21"/>
              </w:rPr>
            </w:pPr>
          </w:p>
        </w:tc>
        <w:tc>
          <w:tcPr>
            <w:tcW w:w="71" w:type="dxa"/>
            <w:tcBorders>
              <w:top w:val="nil"/>
              <w:bottom w:val="nil"/>
            </w:tcBorders>
            <w:vAlign w:val="top"/>
          </w:tcPr>
          <w:p w14:paraId="4D665FDF">
            <w:pPr>
              <w:rPr>
                <w:rFonts w:ascii="Arial"/>
                <w:sz w:val="21"/>
              </w:rPr>
            </w:pPr>
          </w:p>
        </w:tc>
        <w:tc>
          <w:tcPr>
            <w:tcW w:w="452" w:type="dxa"/>
            <w:vMerge w:val="continue"/>
            <w:tcBorders>
              <w:top w:val="nil"/>
              <w:bottom w:val="nil"/>
            </w:tcBorders>
            <w:vAlign w:val="top"/>
          </w:tcPr>
          <w:p w14:paraId="0FBC01D3">
            <w:pPr>
              <w:rPr>
                <w:rFonts w:ascii="Arial"/>
                <w:sz w:val="21"/>
              </w:rPr>
            </w:pPr>
          </w:p>
        </w:tc>
        <w:tc>
          <w:tcPr>
            <w:tcW w:w="965" w:type="dxa"/>
            <w:vAlign w:val="top"/>
          </w:tcPr>
          <w:p w14:paraId="30956537">
            <w:pPr>
              <w:pStyle w:val="6"/>
              <w:spacing w:before="177" w:line="229" w:lineRule="auto"/>
              <w:ind w:left="276"/>
              <w:rPr>
                <w:sz w:val="20"/>
                <w:szCs w:val="20"/>
              </w:rPr>
            </w:pPr>
            <w:r>
              <w:rPr>
                <w:spacing w:val="3"/>
                <w:sz w:val="20"/>
                <w:szCs w:val="20"/>
              </w:rPr>
              <w:t>盐酸</w:t>
            </w:r>
          </w:p>
          <w:p w14:paraId="4CF0F02C">
            <w:pPr>
              <w:pStyle w:val="6"/>
              <w:spacing w:before="22"/>
              <w:ind w:left="119"/>
              <w:rPr>
                <w:sz w:val="20"/>
                <w:szCs w:val="20"/>
              </w:rPr>
            </w:pPr>
            <w:r>
              <w:rPr>
                <w:spacing w:val="1"/>
                <w:sz w:val="20"/>
                <w:szCs w:val="20"/>
              </w:rPr>
              <w:t>（</w:t>
            </w:r>
            <w:r>
              <w:rPr>
                <w:rFonts w:ascii="Times New Roman" w:hAnsi="Times New Roman" w:eastAsia="Times New Roman" w:cs="Times New Roman"/>
                <w:spacing w:val="1"/>
                <w:sz w:val="20"/>
                <w:szCs w:val="20"/>
              </w:rPr>
              <w:t>31%</w:t>
            </w:r>
            <w:r>
              <w:rPr>
                <w:spacing w:val="1"/>
                <w:sz w:val="20"/>
                <w:szCs w:val="20"/>
              </w:rPr>
              <w:t>）</w:t>
            </w:r>
          </w:p>
        </w:tc>
        <w:tc>
          <w:tcPr>
            <w:tcW w:w="674" w:type="dxa"/>
            <w:vAlign w:val="top"/>
          </w:tcPr>
          <w:p w14:paraId="6379877E">
            <w:pPr>
              <w:spacing w:line="290" w:lineRule="auto"/>
              <w:rPr>
                <w:rFonts w:ascii="Arial"/>
                <w:sz w:val="21"/>
              </w:rPr>
            </w:pPr>
          </w:p>
          <w:p w14:paraId="6D6B7529">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p>
        </w:tc>
        <w:tc>
          <w:tcPr>
            <w:tcW w:w="706" w:type="dxa"/>
            <w:vAlign w:val="top"/>
          </w:tcPr>
          <w:p w14:paraId="084CE0C4">
            <w:pPr>
              <w:spacing w:line="290" w:lineRule="auto"/>
              <w:rPr>
                <w:rFonts w:ascii="Arial"/>
                <w:sz w:val="21"/>
              </w:rPr>
            </w:pPr>
          </w:p>
          <w:p w14:paraId="370FC8C8">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3270</w:t>
            </w:r>
          </w:p>
        </w:tc>
        <w:tc>
          <w:tcPr>
            <w:tcW w:w="951" w:type="dxa"/>
            <w:vAlign w:val="top"/>
          </w:tcPr>
          <w:p w14:paraId="257E25F1">
            <w:pPr>
              <w:spacing w:line="290" w:lineRule="auto"/>
              <w:rPr>
                <w:rFonts w:ascii="Arial"/>
                <w:sz w:val="21"/>
              </w:rPr>
            </w:pPr>
          </w:p>
          <w:p w14:paraId="169AB822">
            <w:pPr>
              <w:spacing w:before="5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4400</w:t>
            </w:r>
          </w:p>
        </w:tc>
        <w:tc>
          <w:tcPr>
            <w:tcW w:w="771" w:type="dxa"/>
            <w:vAlign w:val="top"/>
          </w:tcPr>
          <w:p w14:paraId="41B07D1A">
            <w:pPr>
              <w:spacing w:line="290" w:lineRule="auto"/>
              <w:rPr>
                <w:rFonts w:ascii="Arial"/>
                <w:sz w:val="21"/>
              </w:rPr>
            </w:pPr>
          </w:p>
          <w:p w14:paraId="341C8F04">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+2900</w:t>
            </w:r>
          </w:p>
        </w:tc>
        <w:tc>
          <w:tcPr>
            <w:tcW w:w="835" w:type="dxa"/>
            <w:vAlign w:val="top"/>
          </w:tcPr>
          <w:p w14:paraId="70912F87">
            <w:pPr>
              <w:spacing w:line="290" w:lineRule="auto"/>
              <w:rPr>
                <w:rFonts w:ascii="Arial"/>
                <w:sz w:val="21"/>
              </w:rPr>
            </w:pPr>
          </w:p>
          <w:p w14:paraId="0BAF3778">
            <w:pPr>
              <w:spacing w:before="5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39" w:type="dxa"/>
            <w:vAlign w:val="top"/>
          </w:tcPr>
          <w:p w14:paraId="1370DC87">
            <w:pPr>
              <w:pStyle w:val="6"/>
              <w:spacing w:before="177" w:line="221" w:lineRule="auto"/>
              <w:ind w:left="119"/>
              <w:rPr>
                <w:rFonts w:ascii="Times New Roman" w:hAnsi="Times New Roman" w:eastAsia="Times New Roman" w:cs="Times New Roman"/>
                <w:sz w:val="20"/>
                <w:szCs w:val="20"/>
              </w:rPr>
            </w:pPr>
            <w:r>
              <w:rPr>
                <w:spacing w:val="2"/>
                <w:sz w:val="20"/>
                <w:szCs w:val="20"/>
              </w:rPr>
              <w:t>液体，</w:t>
            </w:r>
            <w:r>
              <w:rPr>
                <w:rFonts w:ascii="Times New Roman" w:hAnsi="Times New Roman" w:eastAsia="Times New Roman" w:cs="Times New Roman"/>
                <w:spacing w:val="2"/>
                <w:sz w:val="20"/>
                <w:szCs w:val="20"/>
              </w:rPr>
              <w:t>25</w:t>
            </w:r>
            <w:r>
              <w:rPr>
                <w:rFonts w:ascii="Times New Roman" w:hAnsi="Times New Roman" w:eastAsia="Times New Roman" w:cs="Times New Roman"/>
                <w:sz w:val="20"/>
                <w:szCs w:val="20"/>
              </w:rPr>
              <w:t>kg</w:t>
            </w:r>
          </w:p>
          <w:p w14:paraId="44441F09">
            <w:pPr>
              <w:pStyle w:val="6"/>
              <w:spacing w:before="31" w:line="228" w:lineRule="auto"/>
              <w:ind w:left="421"/>
              <w:rPr>
                <w:sz w:val="20"/>
                <w:szCs w:val="20"/>
              </w:rPr>
            </w:pPr>
            <w:r>
              <w:rPr>
                <w:spacing w:val="3"/>
                <w:sz w:val="20"/>
                <w:szCs w:val="20"/>
              </w:rPr>
              <w:t>桶装</w:t>
            </w:r>
          </w:p>
        </w:tc>
        <w:tc>
          <w:tcPr>
            <w:tcW w:w="731" w:type="dxa"/>
            <w:vAlign w:val="top"/>
          </w:tcPr>
          <w:p w14:paraId="3F9C0C08">
            <w:pPr>
              <w:spacing w:line="247" w:lineRule="auto"/>
              <w:rPr>
                <w:rFonts w:ascii="Arial"/>
                <w:sz w:val="21"/>
              </w:rPr>
            </w:pPr>
          </w:p>
          <w:p w14:paraId="38B77222">
            <w:pPr>
              <w:pStyle w:val="6"/>
              <w:spacing w:before="65" w:line="229" w:lineRule="auto"/>
              <w:ind w:left="168"/>
              <w:rPr>
                <w:sz w:val="20"/>
                <w:szCs w:val="20"/>
              </w:rPr>
            </w:pPr>
            <w:r>
              <w:rPr>
                <w:spacing w:val="3"/>
                <w:sz w:val="20"/>
                <w:szCs w:val="20"/>
              </w:rPr>
              <w:t>泡酸</w:t>
            </w:r>
          </w:p>
        </w:tc>
        <w:tc>
          <w:tcPr>
            <w:tcW w:w="735" w:type="dxa"/>
            <w:vAlign w:val="top"/>
          </w:tcPr>
          <w:p w14:paraId="6CF9ABE4">
            <w:pPr>
              <w:pStyle w:val="6"/>
              <w:spacing w:before="40" w:line="229" w:lineRule="auto"/>
              <w:ind w:left="171"/>
              <w:rPr>
                <w:sz w:val="20"/>
                <w:szCs w:val="20"/>
              </w:rPr>
            </w:pPr>
            <w:r>
              <w:rPr>
                <w:spacing w:val="4"/>
                <w:sz w:val="20"/>
                <w:szCs w:val="20"/>
              </w:rPr>
              <w:t>化学</w:t>
            </w:r>
          </w:p>
          <w:p w14:paraId="700C6AF8">
            <w:pPr>
              <w:pStyle w:val="6"/>
              <w:spacing w:before="25" w:line="230"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3EA9DA13">
            <w:pPr>
              <w:rPr>
                <w:rFonts w:ascii="Arial"/>
                <w:sz w:val="21"/>
              </w:rPr>
            </w:pPr>
          </w:p>
        </w:tc>
      </w:tr>
      <w:tr w14:paraId="747B2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continue"/>
            <w:tcBorders>
              <w:top w:val="nil"/>
              <w:left w:val="single" w:color="000000" w:sz="6" w:space="0"/>
              <w:bottom w:val="nil"/>
            </w:tcBorders>
            <w:vAlign w:val="top"/>
          </w:tcPr>
          <w:p w14:paraId="35C39B74">
            <w:pPr>
              <w:rPr>
                <w:rFonts w:ascii="Arial"/>
                <w:sz w:val="21"/>
              </w:rPr>
            </w:pPr>
          </w:p>
        </w:tc>
        <w:tc>
          <w:tcPr>
            <w:tcW w:w="71" w:type="dxa"/>
            <w:tcBorders>
              <w:top w:val="nil"/>
              <w:bottom w:val="nil"/>
            </w:tcBorders>
            <w:vAlign w:val="top"/>
          </w:tcPr>
          <w:p w14:paraId="5A8C481B">
            <w:pPr>
              <w:rPr>
                <w:rFonts w:ascii="Arial"/>
                <w:sz w:val="21"/>
              </w:rPr>
            </w:pPr>
          </w:p>
        </w:tc>
        <w:tc>
          <w:tcPr>
            <w:tcW w:w="452" w:type="dxa"/>
            <w:vMerge w:val="continue"/>
            <w:tcBorders>
              <w:top w:val="nil"/>
              <w:bottom w:val="nil"/>
            </w:tcBorders>
            <w:vAlign w:val="top"/>
          </w:tcPr>
          <w:p w14:paraId="178DA7A0">
            <w:pPr>
              <w:rPr>
                <w:rFonts w:ascii="Arial"/>
                <w:sz w:val="21"/>
              </w:rPr>
            </w:pPr>
          </w:p>
        </w:tc>
        <w:tc>
          <w:tcPr>
            <w:tcW w:w="965" w:type="dxa"/>
            <w:vAlign w:val="top"/>
          </w:tcPr>
          <w:p w14:paraId="5B3494D4">
            <w:pPr>
              <w:pStyle w:val="6"/>
              <w:spacing w:before="177" w:line="228" w:lineRule="auto"/>
              <w:ind w:left="276"/>
              <w:rPr>
                <w:sz w:val="20"/>
                <w:szCs w:val="20"/>
              </w:rPr>
            </w:pPr>
            <w:r>
              <w:rPr>
                <w:spacing w:val="3"/>
                <w:sz w:val="20"/>
                <w:szCs w:val="20"/>
              </w:rPr>
              <w:t>草酸</w:t>
            </w:r>
          </w:p>
          <w:p w14:paraId="1C448393">
            <w:pPr>
              <w:pStyle w:val="6"/>
              <w:spacing w:before="24"/>
              <w:ind w:left="119"/>
              <w:rPr>
                <w:sz w:val="20"/>
                <w:szCs w:val="20"/>
              </w:rPr>
            </w:pPr>
            <w:r>
              <w:rPr>
                <w:spacing w:val="1"/>
                <w:sz w:val="20"/>
                <w:szCs w:val="20"/>
              </w:rPr>
              <w:t>（</w:t>
            </w:r>
            <w:r>
              <w:rPr>
                <w:rFonts w:ascii="Times New Roman" w:hAnsi="Times New Roman" w:eastAsia="Times New Roman" w:cs="Times New Roman"/>
                <w:spacing w:val="1"/>
                <w:sz w:val="20"/>
                <w:szCs w:val="20"/>
              </w:rPr>
              <w:t>99%</w:t>
            </w:r>
            <w:r>
              <w:rPr>
                <w:spacing w:val="1"/>
                <w:sz w:val="20"/>
                <w:szCs w:val="20"/>
              </w:rPr>
              <w:t>）</w:t>
            </w:r>
          </w:p>
        </w:tc>
        <w:tc>
          <w:tcPr>
            <w:tcW w:w="674" w:type="dxa"/>
            <w:vAlign w:val="top"/>
          </w:tcPr>
          <w:p w14:paraId="2DCEBF94">
            <w:pPr>
              <w:spacing w:line="289" w:lineRule="auto"/>
              <w:rPr>
                <w:rFonts w:ascii="Arial"/>
                <w:sz w:val="21"/>
              </w:rPr>
            </w:pPr>
          </w:p>
          <w:p w14:paraId="550AB293">
            <w:pPr>
              <w:spacing w:before="5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06" w:type="dxa"/>
            <w:vAlign w:val="top"/>
          </w:tcPr>
          <w:p w14:paraId="51BC3A66">
            <w:pPr>
              <w:spacing w:line="289" w:lineRule="auto"/>
              <w:rPr>
                <w:rFonts w:ascii="Arial"/>
                <w:sz w:val="21"/>
              </w:rPr>
            </w:pPr>
          </w:p>
          <w:p w14:paraId="6F5AB1DA">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w:t>
            </w:r>
          </w:p>
        </w:tc>
        <w:tc>
          <w:tcPr>
            <w:tcW w:w="951" w:type="dxa"/>
            <w:vAlign w:val="top"/>
          </w:tcPr>
          <w:p w14:paraId="62A6D4B4">
            <w:pPr>
              <w:spacing w:line="289" w:lineRule="auto"/>
              <w:rPr>
                <w:rFonts w:ascii="Arial"/>
                <w:sz w:val="21"/>
              </w:rPr>
            </w:pPr>
          </w:p>
          <w:p w14:paraId="1FAB2FB6">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w:t>
            </w:r>
          </w:p>
        </w:tc>
        <w:tc>
          <w:tcPr>
            <w:tcW w:w="771" w:type="dxa"/>
            <w:vAlign w:val="top"/>
          </w:tcPr>
          <w:p w14:paraId="70F9B588">
            <w:pPr>
              <w:spacing w:line="289" w:lineRule="auto"/>
              <w:rPr>
                <w:rFonts w:ascii="Arial"/>
                <w:sz w:val="21"/>
              </w:rPr>
            </w:pPr>
          </w:p>
          <w:p w14:paraId="38BD94C5">
            <w:pPr>
              <w:spacing w:before="57"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+290</w:t>
            </w:r>
          </w:p>
        </w:tc>
        <w:tc>
          <w:tcPr>
            <w:tcW w:w="835" w:type="dxa"/>
            <w:vAlign w:val="top"/>
          </w:tcPr>
          <w:p w14:paraId="08C1E88C">
            <w:pPr>
              <w:spacing w:line="291" w:lineRule="auto"/>
              <w:rPr>
                <w:rFonts w:ascii="Arial"/>
                <w:sz w:val="21"/>
              </w:rPr>
            </w:pPr>
          </w:p>
          <w:p w14:paraId="2F4F5C07">
            <w:pPr>
              <w:spacing w:before="58" w:line="192"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39" w:type="dxa"/>
            <w:vAlign w:val="top"/>
          </w:tcPr>
          <w:p w14:paraId="39570A49">
            <w:pPr>
              <w:pStyle w:val="6"/>
              <w:spacing w:before="178" w:line="221" w:lineRule="auto"/>
              <w:ind w:left="116"/>
              <w:rPr>
                <w:rFonts w:ascii="Times New Roman" w:hAnsi="Times New Roman" w:eastAsia="Times New Roman" w:cs="Times New Roman"/>
                <w:sz w:val="20"/>
                <w:szCs w:val="20"/>
              </w:rPr>
            </w:pPr>
            <w:r>
              <w:rPr>
                <w:spacing w:val="3"/>
                <w:sz w:val="20"/>
                <w:szCs w:val="20"/>
              </w:rPr>
              <w:t>粉状，</w:t>
            </w:r>
            <w:r>
              <w:rPr>
                <w:rFonts w:ascii="Times New Roman" w:hAnsi="Times New Roman" w:eastAsia="Times New Roman" w:cs="Times New Roman"/>
                <w:spacing w:val="3"/>
                <w:sz w:val="20"/>
                <w:szCs w:val="20"/>
              </w:rPr>
              <w:t>25</w:t>
            </w:r>
            <w:r>
              <w:rPr>
                <w:rFonts w:ascii="Times New Roman" w:hAnsi="Times New Roman" w:eastAsia="Times New Roman" w:cs="Times New Roman"/>
                <w:sz w:val="20"/>
                <w:szCs w:val="20"/>
              </w:rPr>
              <w:t>kg</w:t>
            </w:r>
          </w:p>
          <w:p w14:paraId="72C6E7B5">
            <w:pPr>
              <w:pStyle w:val="6"/>
              <w:spacing w:before="32" w:line="228" w:lineRule="auto"/>
              <w:ind w:left="419"/>
              <w:rPr>
                <w:sz w:val="20"/>
                <w:szCs w:val="20"/>
              </w:rPr>
            </w:pPr>
            <w:r>
              <w:rPr>
                <w:spacing w:val="4"/>
                <w:sz w:val="20"/>
                <w:szCs w:val="20"/>
              </w:rPr>
              <w:t>袋装</w:t>
            </w:r>
          </w:p>
        </w:tc>
        <w:tc>
          <w:tcPr>
            <w:tcW w:w="731" w:type="dxa"/>
            <w:vAlign w:val="top"/>
          </w:tcPr>
          <w:p w14:paraId="2FFAEA49">
            <w:pPr>
              <w:spacing w:line="246" w:lineRule="auto"/>
              <w:rPr>
                <w:rFonts w:ascii="Arial"/>
                <w:sz w:val="21"/>
              </w:rPr>
            </w:pPr>
          </w:p>
          <w:p w14:paraId="5ABFA712">
            <w:pPr>
              <w:pStyle w:val="6"/>
              <w:spacing w:before="65" w:line="229" w:lineRule="auto"/>
              <w:ind w:left="168"/>
              <w:rPr>
                <w:sz w:val="20"/>
                <w:szCs w:val="20"/>
              </w:rPr>
            </w:pPr>
            <w:r>
              <w:rPr>
                <w:spacing w:val="3"/>
                <w:sz w:val="20"/>
                <w:szCs w:val="20"/>
              </w:rPr>
              <w:t>泡酸</w:t>
            </w:r>
          </w:p>
        </w:tc>
        <w:tc>
          <w:tcPr>
            <w:tcW w:w="735" w:type="dxa"/>
            <w:vAlign w:val="top"/>
          </w:tcPr>
          <w:p w14:paraId="0F5DF872">
            <w:pPr>
              <w:pStyle w:val="6"/>
              <w:spacing w:before="41" w:line="229" w:lineRule="auto"/>
              <w:ind w:left="171"/>
              <w:rPr>
                <w:sz w:val="20"/>
                <w:szCs w:val="20"/>
              </w:rPr>
            </w:pPr>
            <w:r>
              <w:rPr>
                <w:spacing w:val="4"/>
                <w:sz w:val="20"/>
                <w:szCs w:val="20"/>
              </w:rPr>
              <w:t>化学</w:t>
            </w:r>
          </w:p>
          <w:p w14:paraId="52FF3C11">
            <w:pPr>
              <w:pStyle w:val="6"/>
              <w:spacing w:before="22" w:line="231"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2DB1D2B4">
            <w:pPr>
              <w:rPr>
                <w:rFonts w:ascii="Arial"/>
                <w:sz w:val="21"/>
              </w:rPr>
            </w:pPr>
          </w:p>
        </w:tc>
      </w:tr>
      <w:tr w14:paraId="72B1F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continue"/>
            <w:tcBorders>
              <w:top w:val="nil"/>
              <w:left w:val="single" w:color="000000" w:sz="6" w:space="0"/>
              <w:bottom w:val="nil"/>
            </w:tcBorders>
            <w:vAlign w:val="top"/>
          </w:tcPr>
          <w:p w14:paraId="4FD6DDB6">
            <w:pPr>
              <w:rPr>
                <w:rFonts w:ascii="Arial"/>
                <w:sz w:val="21"/>
              </w:rPr>
            </w:pPr>
          </w:p>
        </w:tc>
        <w:tc>
          <w:tcPr>
            <w:tcW w:w="71" w:type="dxa"/>
            <w:tcBorders>
              <w:top w:val="nil"/>
              <w:bottom w:val="nil"/>
            </w:tcBorders>
            <w:vAlign w:val="top"/>
          </w:tcPr>
          <w:p w14:paraId="493FA2D3">
            <w:pPr>
              <w:rPr>
                <w:rFonts w:ascii="Arial"/>
                <w:sz w:val="21"/>
              </w:rPr>
            </w:pPr>
          </w:p>
        </w:tc>
        <w:tc>
          <w:tcPr>
            <w:tcW w:w="452" w:type="dxa"/>
            <w:vMerge w:val="continue"/>
            <w:tcBorders>
              <w:top w:val="nil"/>
              <w:bottom w:val="nil"/>
            </w:tcBorders>
            <w:vAlign w:val="top"/>
          </w:tcPr>
          <w:p w14:paraId="5D4E8299">
            <w:pPr>
              <w:rPr>
                <w:rFonts w:ascii="Arial"/>
                <w:sz w:val="21"/>
              </w:rPr>
            </w:pPr>
          </w:p>
        </w:tc>
        <w:tc>
          <w:tcPr>
            <w:tcW w:w="965" w:type="dxa"/>
            <w:vAlign w:val="top"/>
          </w:tcPr>
          <w:p w14:paraId="2FE7990A">
            <w:pPr>
              <w:pStyle w:val="6"/>
              <w:spacing w:before="178" w:line="228" w:lineRule="auto"/>
              <w:ind w:left="168"/>
              <w:rPr>
                <w:sz w:val="20"/>
                <w:szCs w:val="20"/>
              </w:rPr>
            </w:pPr>
            <w:r>
              <w:rPr>
                <w:spacing w:val="6"/>
                <w:sz w:val="20"/>
                <w:szCs w:val="20"/>
              </w:rPr>
              <w:t>氢氟酸</w:t>
            </w:r>
          </w:p>
          <w:p w14:paraId="2FB87374">
            <w:pPr>
              <w:pStyle w:val="6"/>
              <w:spacing w:before="24"/>
              <w:ind w:left="119"/>
              <w:rPr>
                <w:sz w:val="20"/>
                <w:szCs w:val="20"/>
              </w:rPr>
            </w:pPr>
            <w:r>
              <w:rPr>
                <w:spacing w:val="1"/>
                <w:sz w:val="20"/>
                <w:szCs w:val="20"/>
              </w:rPr>
              <w:t>（</w:t>
            </w:r>
            <w:r>
              <w:rPr>
                <w:rFonts w:ascii="Times New Roman" w:hAnsi="Times New Roman" w:eastAsia="Times New Roman" w:cs="Times New Roman"/>
                <w:spacing w:val="1"/>
                <w:sz w:val="20"/>
                <w:szCs w:val="20"/>
              </w:rPr>
              <w:t>30%</w:t>
            </w:r>
            <w:r>
              <w:rPr>
                <w:spacing w:val="1"/>
                <w:sz w:val="20"/>
                <w:szCs w:val="20"/>
              </w:rPr>
              <w:t>）</w:t>
            </w:r>
          </w:p>
        </w:tc>
        <w:tc>
          <w:tcPr>
            <w:tcW w:w="674" w:type="dxa"/>
            <w:vAlign w:val="top"/>
          </w:tcPr>
          <w:p w14:paraId="31D9FCFF">
            <w:pPr>
              <w:spacing w:line="290" w:lineRule="auto"/>
              <w:rPr>
                <w:rFonts w:ascii="Arial"/>
                <w:sz w:val="21"/>
              </w:rPr>
            </w:pPr>
          </w:p>
          <w:p w14:paraId="2C6FE64C">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706" w:type="dxa"/>
            <w:vAlign w:val="top"/>
          </w:tcPr>
          <w:p w14:paraId="7F8C37B8">
            <w:pPr>
              <w:spacing w:line="290" w:lineRule="auto"/>
              <w:rPr>
                <w:rFonts w:ascii="Arial"/>
                <w:sz w:val="21"/>
              </w:rPr>
            </w:pPr>
          </w:p>
          <w:p w14:paraId="66434044">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1120</w:t>
            </w:r>
          </w:p>
        </w:tc>
        <w:tc>
          <w:tcPr>
            <w:tcW w:w="951" w:type="dxa"/>
            <w:vAlign w:val="top"/>
          </w:tcPr>
          <w:p w14:paraId="70DFAF36">
            <w:pPr>
              <w:spacing w:line="290" w:lineRule="auto"/>
              <w:rPr>
                <w:rFonts w:ascii="Arial"/>
                <w:sz w:val="21"/>
              </w:rPr>
            </w:pPr>
          </w:p>
          <w:p w14:paraId="02EC010E">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771" w:type="dxa"/>
            <w:vAlign w:val="top"/>
          </w:tcPr>
          <w:p w14:paraId="58922551">
            <w:pPr>
              <w:spacing w:line="290" w:lineRule="auto"/>
              <w:rPr>
                <w:rFonts w:ascii="Arial"/>
                <w:sz w:val="21"/>
              </w:rPr>
            </w:pPr>
          </w:p>
          <w:p w14:paraId="003D5836">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w:t>
            </w:r>
          </w:p>
        </w:tc>
        <w:tc>
          <w:tcPr>
            <w:tcW w:w="835" w:type="dxa"/>
            <w:vAlign w:val="top"/>
          </w:tcPr>
          <w:p w14:paraId="01BDBBD2">
            <w:pPr>
              <w:spacing w:line="290" w:lineRule="auto"/>
              <w:rPr>
                <w:rFonts w:ascii="Arial"/>
                <w:sz w:val="21"/>
              </w:rPr>
            </w:pPr>
          </w:p>
          <w:p w14:paraId="00B6A7DA">
            <w:pPr>
              <w:spacing w:before="57"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39" w:type="dxa"/>
            <w:vAlign w:val="top"/>
          </w:tcPr>
          <w:p w14:paraId="7517ED2F">
            <w:pPr>
              <w:pStyle w:val="6"/>
              <w:spacing w:before="179" w:line="221" w:lineRule="auto"/>
              <w:ind w:left="119"/>
              <w:rPr>
                <w:rFonts w:ascii="Times New Roman" w:hAnsi="Times New Roman" w:eastAsia="Times New Roman" w:cs="Times New Roman"/>
                <w:sz w:val="20"/>
                <w:szCs w:val="20"/>
              </w:rPr>
            </w:pPr>
            <w:r>
              <w:rPr>
                <w:spacing w:val="2"/>
                <w:sz w:val="20"/>
                <w:szCs w:val="20"/>
              </w:rPr>
              <w:t>液体，</w:t>
            </w:r>
            <w:r>
              <w:rPr>
                <w:rFonts w:ascii="Times New Roman" w:hAnsi="Times New Roman" w:eastAsia="Times New Roman" w:cs="Times New Roman"/>
                <w:spacing w:val="2"/>
                <w:sz w:val="20"/>
                <w:szCs w:val="20"/>
              </w:rPr>
              <w:t>25</w:t>
            </w:r>
            <w:r>
              <w:rPr>
                <w:rFonts w:ascii="Times New Roman" w:hAnsi="Times New Roman" w:eastAsia="Times New Roman" w:cs="Times New Roman"/>
                <w:sz w:val="20"/>
                <w:szCs w:val="20"/>
              </w:rPr>
              <w:t>kg</w:t>
            </w:r>
          </w:p>
          <w:p w14:paraId="3D1C4862">
            <w:pPr>
              <w:pStyle w:val="6"/>
              <w:spacing w:before="31" w:line="228" w:lineRule="auto"/>
              <w:ind w:left="421"/>
              <w:rPr>
                <w:sz w:val="20"/>
                <w:szCs w:val="20"/>
              </w:rPr>
            </w:pPr>
            <w:r>
              <w:rPr>
                <w:spacing w:val="3"/>
                <w:sz w:val="20"/>
                <w:szCs w:val="20"/>
              </w:rPr>
              <w:t>桶装</w:t>
            </w:r>
          </w:p>
        </w:tc>
        <w:tc>
          <w:tcPr>
            <w:tcW w:w="731" w:type="dxa"/>
            <w:vAlign w:val="top"/>
          </w:tcPr>
          <w:p w14:paraId="7AE634B0">
            <w:pPr>
              <w:spacing w:line="247" w:lineRule="auto"/>
              <w:rPr>
                <w:rFonts w:ascii="Arial"/>
                <w:sz w:val="21"/>
              </w:rPr>
            </w:pPr>
          </w:p>
          <w:p w14:paraId="699CA174">
            <w:pPr>
              <w:pStyle w:val="6"/>
              <w:spacing w:before="65" w:line="229" w:lineRule="auto"/>
              <w:ind w:left="168"/>
              <w:rPr>
                <w:sz w:val="20"/>
                <w:szCs w:val="20"/>
              </w:rPr>
            </w:pPr>
            <w:r>
              <w:rPr>
                <w:spacing w:val="3"/>
                <w:sz w:val="20"/>
                <w:szCs w:val="20"/>
              </w:rPr>
              <w:t>泡酸</w:t>
            </w:r>
          </w:p>
        </w:tc>
        <w:tc>
          <w:tcPr>
            <w:tcW w:w="735" w:type="dxa"/>
            <w:vAlign w:val="top"/>
          </w:tcPr>
          <w:p w14:paraId="7321D705">
            <w:pPr>
              <w:pStyle w:val="6"/>
              <w:spacing w:before="42" w:line="229" w:lineRule="auto"/>
              <w:ind w:left="171"/>
              <w:rPr>
                <w:sz w:val="20"/>
                <w:szCs w:val="20"/>
              </w:rPr>
            </w:pPr>
            <w:r>
              <w:rPr>
                <w:spacing w:val="4"/>
                <w:sz w:val="20"/>
                <w:szCs w:val="20"/>
              </w:rPr>
              <w:t>化学</w:t>
            </w:r>
          </w:p>
          <w:p w14:paraId="7D52B71D">
            <w:pPr>
              <w:pStyle w:val="6"/>
              <w:spacing w:before="23" w:line="230"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5B62BD52">
            <w:pPr>
              <w:rPr>
                <w:rFonts w:ascii="Arial"/>
                <w:sz w:val="21"/>
              </w:rPr>
            </w:pPr>
          </w:p>
        </w:tc>
      </w:tr>
      <w:tr w14:paraId="05421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continue"/>
            <w:tcBorders>
              <w:top w:val="nil"/>
              <w:left w:val="single" w:color="000000" w:sz="6" w:space="0"/>
              <w:bottom w:val="nil"/>
            </w:tcBorders>
            <w:vAlign w:val="top"/>
          </w:tcPr>
          <w:p w14:paraId="595C0464">
            <w:pPr>
              <w:rPr>
                <w:rFonts w:ascii="Arial"/>
                <w:sz w:val="21"/>
              </w:rPr>
            </w:pPr>
          </w:p>
        </w:tc>
        <w:tc>
          <w:tcPr>
            <w:tcW w:w="71" w:type="dxa"/>
            <w:tcBorders>
              <w:top w:val="nil"/>
              <w:bottom w:val="nil"/>
            </w:tcBorders>
            <w:vAlign w:val="top"/>
          </w:tcPr>
          <w:p w14:paraId="15E0FE4F">
            <w:pPr>
              <w:rPr>
                <w:rFonts w:ascii="Arial"/>
                <w:sz w:val="21"/>
              </w:rPr>
            </w:pPr>
          </w:p>
        </w:tc>
        <w:tc>
          <w:tcPr>
            <w:tcW w:w="452" w:type="dxa"/>
            <w:vMerge w:val="continue"/>
            <w:tcBorders>
              <w:top w:val="nil"/>
              <w:bottom w:val="nil"/>
            </w:tcBorders>
            <w:vAlign w:val="top"/>
          </w:tcPr>
          <w:p w14:paraId="4B2CEE8E">
            <w:pPr>
              <w:rPr>
                <w:rFonts w:ascii="Arial"/>
                <w:sz w:val="21"/>
              </w:rPr>
            </w:pPr>
          </w:p>
        </w:tc>
        <w:tc>
          <w:tcPr>
            <w:tcW w:w="965" w:type="dxa"/>
            <w:vAlign w:val="top"/>
          </w:tcPr>
          <w:p w14:paraId="0E2D3C2A">
            <w:pPr>
              <w:pStyle w:val="6"/>
              <w:spacing w:before="177" w:line="229" w:lineRule="auto"/>
              <w:ind w:left="273"/>
              <w:rPr>
                <w:sz w:val="20"/>
                <w:szCs w:val="20"/>
              </w:rPr>
            </w:pPr>
            <w:r>
              <w:rPr>
                <w:spacing w:val="5"/>
                <w:sz w:val="20"/>
                <w:szCs w:val="20"/>
              </w:rPr>
              <w:t>硫酸</w:t>
            </w:r>
          </w:p>
          <w:p w14:paraId="4FE336F0">
            <w:pPr>
              <w:pStyle w:val="6"/>
              <w:spacing w:before="25"/>
              <w:ind w:left="126"/>
              <w:rPr>
                <w:sz w:val="20"/>
                <w:szCs w:val="20"/>
              </w:rPr>
            </w:pPr>
            <w:r>
              <w:rPr>
                <w:spacing w:val="1"/>
                <w:sz w:val="20"/>
                <w:szCs w:val="20"/>
              </w:rPr>
              <w:t>（98%）</w:t>
            </w:r>
          </w:p>
        </w:tc>
        <w:tc>
          <w:tcPr>
            <w:tcW w:w="674" w:type="dxa"/>
            <w:vAlign w:val="top"/>
          </w:tcPr>
          <w:p w14:paraId="1A4A2130">
            <w:pPr>
              <w:spacing w:line="291" w:lineRule="auto"/>
              <w:rPr>
                <w:rFonts w:ascii="Arial"/>
                <w:sz w:val="21"/>
              </w:rPr>
            </w:pPr>
          </w:p>
          <w:p w14:paraId="18973F3E">
            <w:pPr>
              <w:spacing w:before="57"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06" w:type="dxa"/>
            <w:vAlign w:val="top"/>
          </w:tcPr>
          <w:p w14:paraId="69EFC733">
            <w:pPr>
              <w:spacing w:line="291" w:lineRule="auto"/>
              <w:rPr>
                <w:rFonts w:ascii="Arial"/>
                <w:sz w:val="21"/>
              </w:rPr>
            </w:pPr>
          </w:p>
          <w:p w14:paraId="2204B807">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51" w:type="dxa"/>
            <w:vAlign w:val="top"/>
          </w:tcPr>
          <w:p w14:paraId="10D6D173">
            <w:pPr>
              <w:spacing w:line="291" w:lineRule="auto"/>
              <w:rPr>
                <w:rFonts w:ascii="Arial"/>
                <w:sz w:val="21"/>
              </w:rPr>
            </w:pPr>
          </w:p>
          <w:p w14:paraId="726CE9A1">
            <w:pPr>
              <w:spacing w:before="5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71" w:type="dxa"/>
            <w:vAlign w:val="top"/>
          </w:tcPr>
          <w:p w14:paraId="07CA310D">
            <w:pPr>
              <w:spacing w:line="291" w:lineRule="auto"/>
              <w:rPr>
                <w:rFonts w:ascii="Arial"/>
                <w:sz w:val="21"/>
              </w:rPr>
            </w:pPr>
          </w:p>
          <w:p w14:paraId="65E4AF2F">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p>
        </w:tc>
        <w:tc>
          <w:tcPr>
            <w:tcW w:w="835" w:type="dxa"/>
            <w:vAlign w:val="top"/>
          </w:tcPr>
          <w:p w14:paraId="5B8F814C">
            <w:pPr>
              <w:spacing w:line="291" w:lineRule="auto"/>
              <w:rPr>
                <w:rFonts w:ascii="Arial"/>
                <w:sz w:val="21"/>
              </w:rPr>
            </w:pPr>
          </w:p>
          <w:p w14:paraId="399F59E0">
            <w:pPr>
              <w:spacing w:before="57"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9" w:type="dxa"/>
            <w:vAlign w:val="top"/>
          </w:tcPr>
          <w:p w14:paraId="5590BBCF">
            <w:pPr>
              <w:pStyle w:val="6"/>
              <w:spacing w:before="177" w:line="221" w:lineRule="auto"/>
              <w:ind w:left="119"/>
              <w:rPr>
                <w:rFonts w:ascii="Times New Roman" w:hAnsi="Times New Roman" w:eastAsia="Times New Roman" w:cs="Times New Roman"/>
                <w:sz w:val="20"/>
                <w:szCs w:val="20"/>
              </w:rPr>
            </w:pPr>
            <w:r>
              <w:rPr>
                <w:spacing w:val="2"/>
                <w:sz w:val="20"/>
                <w:szCs w:val="20"/>
              </w:rPr>
              <w:t>液体，</w:t>
            </w:r>
            <w:r>
              <w:rPr>
                <w:rFonts w:ascii="Times New Roman" w:hAnsi="Times New Roman" w:eastAsia="Times New Roman" w:cs="Times New Roman"/>
                <w:spacing w:val="2"/>
                <w:sz w:val="20"/>
                <w:szCs w:val="20"/>
              </w:rPr>
              <w:t>25</w:t>
            </w:r>
            <w:r>
              <w:rPr>
                <w:rFonts w:ascii="Times New Roman" w:hAnsi="Times New Roman" w:eastAsia="Times New Roman" w:cs="Times New Roman"/>
                <w:sz w:val="20"/>
                <w:szCs w:val="20"/>
              </w:rPr>
              <w:t>kg</w:t>
            </w:r>
          </w:p>
          <w:p w14:paraId="2E333326">
            <w:pPr>
              <w:pStyle w:val="6"/>
              <w:spacing w:before="33" w:line="228" w:lineRule="auto"/>
              <w:ind w:left="421"/>
              <w:rPr>
                <w:sz w:val="20"/>
                <w:szCs w:val="20"/>
              </w:rPr>
            </w:pPr>
            <w:r>
              <w:rPr>
                <w:spacing w:val="3"/>
                <w:sz w:val="20"/>
                <w:szCs w:val="20"/>
              </w:rPr>
              <w:t>桶装</w:t>
            </w:r>
          </w:p>
        </w:tc>
        <w:tc>
          <w:tcPr>
            <w:tcW w:w="731" w:type="dxa"/>
            <w:vAlign w:val="top"/>
          </w:tcPr>
          <w:p w14:paraId="01F7CAFF">
            <w:pPr>
              <w:spacing w:line="248" w:lineRule="auto"/>
              <w:rPr>
                <w:rFonts w:ascii="Arial"/>
                <w:sz w:val="21"/>
              </w:rPr>
            </w:pPr>
          </w:p>
          <w:p w14:paraId="31BBCF35">
            <w:pPr>
              <w:pStyle w:val="6"/>
              <w:spacing w:before="65" w:line="229" w:lineRule="auto"/>
              <w:ind w:left="168"/>
              <w:rPr>
                <w:sz w:val="20"/>
                <w:szCs w:val="20"/>
              </w:rPr>
            </w:pPr>
            <w:r>
              <w:rPr>
                <w:spacing w:val="3"/>
                <w:sz w:val="20"/>
                <w:szCs w:val="20"/>
              </w:rPr>
              <w:t>泡酸</w:t>
            </w:r>
          </w:p>
        </w:tc>
        <w:tc>
          <w:tcPr>
            <w:tcW w:w="735" w:type="dxa"/>
            <w:vAlign w:val="top"/>
          </w:tcPr>
          <w:p w14:paraId="32A13A09">
            <w:pPr>
              <w:pStyle w:val="6"/>
              <w:spacing w:before="43" w:line="229" w:lineRule="auto"/>
              <w:ind w:left="171"/>
              <w:rPr>
                <w:sz w:val="20"/>
                <w:szCs w:val="20"/>
              </w:rPr>
            </w:pPr>
            <w:r>
              <w:rPr>
                <w:spacing w:val="4"/>
                <w:sz w:val="20"/>
                <w:szCs w:val="20"/>
              </w:rPr>
              <w:t>化学</w:t>
            </w:r>
          </w:p>
          <w:p w14:paraId="06235A14">
            <w:pPr>
              <w:pStyle w:val="6"/>
              <w:spacing w:before="22" w:line="230"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4E133DA2">
            <w:pPr>
              <w:rPr>
                <w:rFonts w:ascii="Arial"/>
                <w:sz w:val="21"/>
              </w:rPr>
            </w:pPr>
          </w:p>
        </w:tc>
      </w:tr>
      <w:tr w14:paraId="24BA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continue"/>
            <w:tcBorders>
              <w:top w:val="nil"/>
              <w:left w:val="single" w:color="000000" w:sz="6" w:space="0"/>
              <w:bottom w:val="nil"/>
            </w:tcBorders>
            <w:vAlign w:val="top"/>
          </w:tcPr>
          <w:p w14:paraId="3BE8A3B9">
            <w:pPr>
              <w:rPr>
                <w:rFonts w:ascii="Arial"/>
                <w:sz w:val="21"/>
              </w:rPr>
            </w:pPr>
          </w:p>
        </w:tc>
        <w:tc>
          <w:tcPr>
            <w:tcW w:w="71" w:type="dxa"/>
            <w:tcBorders>
              <w:top w:val="nil"/>
              <w:bottom w:val="nil"/>
            </w:tcBorders>
            <w:vAlign w:val="top"/>
          </w:tcPr>
          <w:p w14:paraId="40A663CA">
            <w:pPr>
              <w:rPr>
                <w:rFonts w:ascii="Arial"/>
                <w:sz w:val="21"/>
              </w:rPr>
            </w:pPr>
          </w:p>
        </w:tc>
        <w:tc>
          <w:tcPr>
            <w:tcW w:w="452" w:type="dxa"/>
            <w:vMerge w:val="continue"/>
            <w:tcBorders>
              <w:top w:val="nil"/>
              <w:bottom w:val="nil"/>
            </w:tcBorders>
            <w:vAlign w:val="top"/>
          </w:tcPr>
          <w:p w14:paraId="65207E9B">
            <w:pPr>
              <w:rPr>
                <w:rFonts w:ascii="Arial"/>
                <w:sz w:val="21"/>
              </w:rPr>
            </w:pPr>
          </w:p>
        </w:tc>
        <w:tc>
          <w:tcPr>
            <w:tcW w:w="965" w:type="dxa"/>
            <w:vAlign w:val="top"/>
          </w:tcPr>
          <w:p w14:paraId="66A450D7">
            <w:pPr>
              <w:pStyle w:val="6"/>
              <w:spacing w:before="178" w:line="229" w:lineRule="auto"/>
              <w:ind w:left="276"/>
              <w:rPr>
                <w:sz w:val="20"/>
                <w:szCs w:val="20"/>
              </w:rPr>
            </w:pPr>
            <w:r>
              <w:rPr>
                <w:spacing w:val="3"/>
                <w:sz w:val="20"/>
                <w:szCs w:val="20"/>
              </w:rPr>
              <w:t>硝酸</w:t>
            </w:r>
          </w:p>
          <w:p w14:paraId="2CE140F8">
            <w:pPr>
              <w:pStyle w:val="6"/>
              <w:spacing w:before="22"/>
              <w:ind w:left="126"/>
              <w:rPr>
                <w:sz w:val="20"/>
                <w:szCs w:val="20"/>
              </w:rPr>
            </w:pPr>
            <w:r>
              <w:rPr>
                <w:spacing w:val="1"/>
                <w:sz w:val="20"/>
                <w:szCs w:val="20"/>
              </w:rPr>
              <w:t>（68%）</w:t>
            </w:r>
          </w:p>
        </w:tc>
        <w:tc>
          <w:tcPr>
            <w:tcW w:w="674" w:type="dxa"/>
            <w:vAlign w:val="top"/>
          </w:tcPr>
          <w:p w14:paraId="3D95C9D4">
            <w:pPr>
              <w:spacing w:line="294" w:lineRule="auto"/>
              <w:rPr>
                <w:rFonts w:ascii="Arial"/>
                <w:sz w:val="21"/>
              </w:rPr>
            </w:pPr>
          </w:p>
          <w:p w14:paraId="18CB2003">
            <w:pPr>
              <w:spacing w:before="58" w:line="19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06" w:type="dxa"/>
            <w:vAlign w:val="top"/>
          </w:tcPr>
          <w:p w14:paraId="3E1F3251">
            <w:pPr>
              <w:spacing w:line="292" w:lineRule="auto"/>
              <w:rPr>
                <w:rFonts w:ascii="Arial"/>
                <w:sz w:val="21"/>
              </w:rPr>
            </w:pPr>
          </w:p>
          <w:p w14:paraId="032ADD69">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9.2</w:t>
            </w:r>
          </w:p>
        </w:tc>
        <w:tc>
          <w:tcPr>
            <w:tcW w:w="951" w:type="dxa"/>
            <w:vAlign w:val="top"/>
          </w:tcPr>
          <w:p w14:paraId="46D60975">
            <w:pPr>
              <w:spacing w:line="292" w:lineRule="auto"/>
              <w:rPr>
                <w:rFonts w:ascii="Arial"/>
                <w:sz w:val="21"/>
              </w:rPr>
            </w:pPr>
          </w:p>
          <w:p w14:paraId="0A0F3A0F">
            <w:pPr>
              <w:spacing w:before="5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c>
          <w:tcPr>
            <w:tcW w:w="771" w:type="dxa"/>
            <w:vAlign w:val="top"/>
          </w:tcPr>
          <w:p w14:paraId="0D95DC6F">
            <w:pPr>
              <w:spacing w:line="292" w:lineRule="auto"/>
              <w:rPr>
                <w:rFonts w:ascii="Arial"/>
                <w:sz w:val="21"/>
              </w:rPr>
            </w:pPr>
          </w:p>
          <w:p w14:paraId="4C5D2651">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w:t>
            </w:r>
          </w:p>
        </w:tc>
        <w:tc>
          <w:tcPr>
            <w:tcW w:w="835" w:type="dxa"/>
            <w:vAlign w:val="top"/>
          </w:tcPr>
          <w:p w14:paraId="256EB395">
            <w:pPr>
              <w:spacing w:line="292" w:lineRule="auto"/>
              <w:rPr>
                <w:rFonts w:ascii="Arial"/>
                <w:sz w:val="21"/>
              </w:rPr>
            </w:pPr>
          </w:p>
          <w:p w14:paraId="3BDFE033">
            <w:pPr>
              <w:spacing w:before="57"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9" w:type="dxa"/>
            <w:vAlign w:val="top"/>
          </w:tcPr>
          <w:p w14:paraId="4285C9DE">
            <w:pPr>
              <w:pStyle w:val="6"/>
              <w:spacing w:before="178" w:line="221" w:lineRule="auto"/>
              <w:ind w:left="119"/>
              <w:rPr>
                <w:rFonts w:ascii="Times New Roman" w:hAnsi="Times New Roman" w:eastAsia="Times New Roman" w:cs="Times New Roman"/>
                <w:sz w:val="20"/>
                <w:szCs w:val="20"/>
              </w:rPr>
            </w:pPr>
            <w:r>
              <w:rPr>
                <w:spacing w:val="2"/>
                <w:sz w:val="20"/>
                <w:szCs w:val="20"/>
              </w:rPr>
              <w:t>液体，</w:t>
            </w:r>
            <w:r>
              <w:rPr>
                <w:rFonts w:ascii="Times New Roman" w:hAnsi="Times New Roman" w:eastAsia="Times New Roman" w:cs="Times New Roman"/>
                <w:spacing w:val="2"/>
                <w:sz w:val="20"/>
                <w:szCs w:val="20"/>
              </w:rPr>
              <w:t>25</w:t>
            </w:r>
            <w:r>
              <w:rPr>
                <w:rFonts w:ascii="Times New Roman" w:hAnsi="Times New Roman" w:eastAsia="Times New Roman" w:cs="Times New Roman"/>
                <w:sz w:val="20"/>
                <w:szCs w:val="20"/>
              </w:rPr>
              <w:t>kg</w:t>
            </w:r>
          </w:p>
          <w:p w14:paraId="6A329A3E">
            <w:pPr>
              <w:pStyle w:val="6"/>
              <w:spacing w:before="31" w:line="228" w:lineRule="auto"/>
              <w:ind w:left="421"/>
              <w:rPr>
                <w:sz w:val="20"/>
                <w:szCs w:val="20"/>
              </w:rPr>
            </w:pPr>
            <w:r>
              <w:rPr>
                <w:spacing w:val="3"/>
                <w:sz w:val="20"/>
                <w:szCs w:val="20"/>
              </w:rPr>
              <w:t>桶装</w:t>
            </w:r>
          </w:p>
        </w:tc>
        <w:tc>
          <w:tcPr>
            <w:tcW w:w="731" w:type="dxa"/>
            <w:vAlign w:val="top"/>
          </w:tcPr>
          <w:p w14:paraId="2F77BC3E">
            <w:pPr>
              <w:spacing w:line="249" w:lineRule="auto"/>
              <w:rPr>
                <w:rFonts w:ascii="Arial"/>
                <w:sz w:val="21"/>
              </w:rPr>
            </w:pPr>
          </w:p>
          <w:p w14:paraId="68DABAE1">
            <w:pPr>
              <w:pStyle w:val="6"/>
              <w:spacing w:before="65" w:line="229" w:lineRule="auto"/>
              <w:ind w:left="168"/>
              <w:rPr>
                <w:sz w:val="20"/>
                <w:szCs w:val="20"/>
              </w:rPr>
            </w:pPr>
            <w:r>
              <w:rPr>
                <w:spacing w:val="3"/>
                <w:sz w:val="20"/>
                <w:szCs w:val="20"/>
              </w:rPr>
              <w:t>泡酸</w:t>
            </w:r>
          </w:p>
        </w:tc>
        <w:tc>
          <w:tcPr>
            <w:tcW w:w="735" w:type="dxa"/>
            <w:vAlign w:val="top"/>
          </w:tcPr>
          <w:p w14:paraId="005FA16B">
            <w:pPr>
              <w:pStyle w:val="6"/>
              <w:spacing w:before="41" w:line="229" w:lineRule="auto"/>
              <w:ind w:left="171"/>
              <w:rPr>
                <w:sz w:val="20"/>
                <w:szCs w:val="20"/>
              </w:rPr>
            </w:pPr>
            <w:r>
              <w:rPr>
                <w:spacing w:val="4"/>
                <w:sz w:val="20"/>
                <w:szCs w:val="20"/>
              </w:rPr>
              <w:t>化学</w:t>
            </w:r>
          </w:p>
          <w:p w14:paraId="65C64219">
            <w:pPr>
              <w:pStyle w:val="6"/>
              <w:spacing w:before="25" w:line="229"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73864BB1">
            <w:pPr>
              <w:rPr>
                <w:rFonts w:ascii="Arial"/>
                <w:sz w:val="21"/>
              </w:rPr>
            </w:pPr>
          </w:p>
        </w:tc>
      </w:tr>
      <w:tr w14:paraId="198FB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continue"/>
            <w:tcBorders>
              <w:top w:val="nil"/>
              <w:left w:val="single" w:color="000000" w:sz="6" w:space="0"/>
              <w:bottom w:val="nil"/>
            </w:tcBorders>
            <w:vAlign w:val="top"/>
          </w:tcPr>
          <w:p w14:paraId="387DDDFB">
            <w:pPr>
              <w:rPr>
                <w:rFonts w:ascii="Arial"/>
                <w:sz w:val="21"/>
              </w:rPr>
            </w:pPr>
          </w:p>
        </w:tc>
        <w:tc>
          <w:tcPr>
            <w:tcW w:w="71" w:type="dxa"/>
            <w:tcBorders>
              <w:top w:val="nil"/>
              <w:bottom w:val="nil"/>
            </w:tcBorders>
            <w:vAlign w:val="top"/>
          </w:tcPr>
          <w:p w14:paraId="06B27DB0">
            <w:pPr>
              <w:rPr>
                <w:rFonts w:ascii="Arial"/>
                <w:sz w:val="21"/>
              </w:rPr>
            </w:pPr>
          </w:p>
        </w:tc>
        <w:tc>
          <w:tcPr>
            <w:tcW w:w="452" w:type="dxa"/>
            <w:vMerge w:val="continue"/>
            <w:tcBorders>
              <w:top w:val="nil"/>
              <w:bottom w:val="nil"/>
            </w:tcBorders>
            <w:vAlign w:val="top"/>
          </w:tcPr>
          <w:p w14:paraId="2C4B2394">
            <w:pPr>
              <w:rPr>
                <w:rFonts w:ascii="Arial"/>
                <w:sz w:val="21"/>
              </w:rPr>
            </w:pPr>
          </w:p>
        </w:tc>
        <w:tc>
          <w:tcPr>
            <w:tcW w:w="965" w:type="dxa"/>
            <w:vAlign w:val="top"/>
          </w:tcPr>
          <w:p w14:paraId="5C7D40A5">
            <w:pPr>
              <w:pStyle w:val="6"/>
              <w:spacing w:before="176" w:line="228" w:lineRule="auto"/>
              <w:ind w:left="188"/>
              <w:rPr>
                <w:sz w:val="20"/>
                <w:szCs w:val="20"/>
              </w:rPr>
            </w:pPr>
            <w:r>
              <w:rPr>
                <w:sz w:val="20"/>
                <w:szCs w:val="20"/>
              </w:rPr>
              <w:t>中和粉</w:t>
            </w:r>
          </w:p>
          <w:p w14:paraId="4F172F7C">
            <w:pPr>
              <w:pStyle w:val="6"/>
              <w:spacing w:before="26"/>
              <w:ind w:left="119"/>
              <w:rPr>
                <w:sz w:val="20"/>
                <w:szCs w:val="20"/>
              </w:rPr>
            </w:pPr>
            <w:r>
              <w:rPr>
                <w:spacing w:val="1"/>
                <w:sz w:val="20"/>
                <w:szCs w:val="20"/>
              </w:rPr>
              <w:t>（</w:t>
            </w:r>
            <w:r>
              <w:rPr>
                <w:rFonts w:ascii="Times New Roman" w:hAnsi="Times New Roman" w:eastAsia="Times New Roman" w:cs="Times New Roman"/>
                <w:spacing w:val="1"/>
                <w:sz w:val="20"/>
                <w:szCs w:val="20"/>
              </w:rPr>
              <w:t>99%</w:t>
            </w:r>
            <w:r>
              <w:rPr>
                <w:spacing w:val="1"/>
                <w:sz w:val="20"/>
                <w:szCs w:val="20"/>
              </w:rPr>
              <w:t>）</w:t>
            </w:r>
          </w:p>
        </w:tc>
        <w:tc>
          <w:tcPr>
            <w:tcW w:w="674" w:type="dxa"/>
            <w:vAlign w:val="top"/>
          </w:tcPr>
          <w:p w14:paraId="367F6D5D">
            <w:pPr>
              <w:spacing w:line="290" w:lineRule="auto"/>
              <w:rPr>
                <w:rFonts w:ascii="Arial"/>
                <w:sz w:val="21"/>
              </w:rPr>
            </w:pPr>
          </w:p>
          <w:p w14:paraId="1C008222">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06" w:type="dxa"/>
            <w:vAlign w:val="top"/>
          </w:tcPr>
          <w:p w14:paraId="02EB3795">
            <w:pPr>
              <w:spacing w:line="290" w:lineRule="auto"/>
              <w:rPr>
                <w:rFonts w:ascii="Arial"/>
                <w:sz w:val="21"/>
              </w:rPr>
            </w:pPr>
          </w:p>
          <w:p w14:paraId="23ECD12F">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51" w:type="dxa"/>
            <w:vAlign w:val="top"/>
          </w:tcPr>
          <w:p w14:paraId="578198DD">
            <w:pPr>
              <w:spacing w:line="290" w:lineRule="auto"/>
              <w:rPr>
                <w:rFonts w:ascii="Arial"/>
                <w:sz w:val="21"/>
              </w:rPr>
            </w:pPr>
          </w:p>
          <w:p w14:paraId="142F8030">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412.5</w:t>
            </w:r>
          </w:p>
        </w:tc>
        <w:tc>
          <w:tcPr>
            <w:tcW w:w="771" w:type="dxa"/>
            <w:vAlign w:val="top"/>
          </w:tcPr>
          <w:p w14:paraId="1F21CD29">
            <w:pPr>
              <w:spacing w:before="229"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+262.</w:t>
            </w:r>
          </w:p>
          <w:p w14:paraId="67593AF3">
            <w:pPr>
              <w:spacing w:before="58" w:line="192"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35" w:type="dxa"/>
            <w:vAlign w:val="top"/>
          </w:tcPr>
          <w:p w14:paraId="22AB5EA1">
            <w:pPr>
              <w:spacing w:line="293" w:lineRule="auto"/>
              <w:rPr>
                <w:rFonts w:ascii="Arial"/>
                <w:sz w:val="21"/>
              </w:rPr>
            </w:pPr>
          </w:p>
          <w:p w14:paraId="5DA96DC2">
            <w:pPr>
              <w:spacing w:before="58" w:line="192"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39" w:type="dxa"/>
            <w:vAlign w:val="top"/>
          </w:tcPr>
          <w:p w14:paraId="374B57AC">
            <w:pPr>
              <w:pStyle w:val="6"/>
              <w:spacing w:before="177" w:line="249" w:lineRule="auto"/>
              <w:ind w:left="178" w:right="169" w:firstLine="29"/>
              <w:rPr>
                <w:sz w:val="20"/>
                <w:szCs w:val="20"/>
              </w:rPr>
            </w:pPr>
            <w:r>
              <w:rPr>
                <w:spacing w:val="11"/>
                <w:sz w:val="20"/>
                <w:szCs w:val="20"/>
              </w:rPr>
              <w:t>粉末状，</w:t>
            </w:r>
            <w:r>
              <w:rPr>
                <w:spacing w:val="1"/>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2"/>
                <w:sz w:val="20"/>
                <w:szCs w:val="20"/>
              </w:rPr>
              <w:t xml:space="preserve"> </w:t>
            </w:r>
            <w:r>
              <w:rPr>
                <w:spacing w:val="6"/>
                <w:sz w:val="20"/>
                <w:szCs w:val="20"/>
              </w:rPr>
              <w:t>袋装</w:t>
            </w:r>
          </w:p>
        </w:tc>
        <w:tc>
          <w:tcPr>
            <w:tcW w:w="731" w:type="dxa"/>
            <w:vAlign w:val="top"/>
          </w:tcPr>
          <w:p w14:paraId="3F4F070A">
            <w:pPr>
              <w:spacing w:line="247" w:lineRule="auto"/>
              <w:rPr>
                <w:rFonts w:ascii="Arial"/>
                <w:sz w:val="21"/>
              </w:rPr>
            </w:pPr>
          </w:p>
          <w:p w14:paraId="5F3345FB">
            <w:pPr>
              <w:pStyle w:val="6"/>
              <w:spacing w:before="65" w:line="230" w:lineRule="auto"/>
              <w:ind w:left="168"/>
              <w:rPr>
                <w:sz w:val="20"/>
                <w:szCs w:val="20"/>
              </w:rPr>
            </w:pPr>
            <w:r>
              <w:rPr>
                <w:spacing w:val="3"/>
                <w:sz w:val="20"/>
                <w:szCs w:val="20"/>
              </w:rPr>
              <w:t>泡碱</w:t>
            </w:r>
          </w:p>
        </w:tc>
        <w:tc>
          <w:tcPr>
            <w:tcW w:w="735" w:type="dxa"/>
            <w:vAlign w:val="top"/>
          </w:tcPr>
          <w:p w14:paraId="643ED013">
            <w:pPr>
              <w:pStyle w:val="6"/>
              <w:spacing w:before="42" w:line="229" w:lineRule="auto"/>
              <w:ind w:left="171"/>
              <w:rPr>
                <w:sz w:val="20"/>
                <w:szCs w:val="20"/>
              </w:rPr>
            </w:pPr>
            <w:r>
              <w:rPr>
                <w:spacing w:val="4"/>
                <w:sz w:val="20"/>
                <w:szCs w:val="20"/>
              </w:rPr>
              <w:t>化学</w:t>
            </w:r>
          </w:p>
          <w:p w14:paraId="23383236">
            <w:pPr>
              <w:pStyle w:val="6"/>
              <w:spacing w:before="22" w:line="230"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19EA19F9">
            <w:pPr>
              <w:rPr>
                <w:rFonts w:ascii="Arial"/>
                <w:sz w:val="21"/>
              </w:rPr>
            </w:pPr>
          </w:p>
        </w:tc>
      </w:tr>
      <w:tr w14:paraId="78DFF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continue"/>
            <w:tcBorders>
              <w:top w:val="nil"/>
              <w:left w:val="single" w:color="000000" w:sz="6" w:space="0"/>
              <w:bottom w:val="nil"/>
            </w:tcBorders>
            <w:vAlign w:val="top"/>
          </w:tcPr>
          <w:p w14:paraId="6C520CCC">
            <w:pPr>
              <w:rPr>
                <w:rFonts w:ascii="Arial"/>
                <w:sz w:val="21"/>
              </w:rPr>
            </w:pPr>
          </w:p>
        </w:tc>
        <w:tc>
          <w:tcPr>
            <w:tcW w:w="71" w:type="dxa"/>
            <w:tcBorders>
              <w:top w:val="nil"/>
              <w:bottom w:val="nil"/>
            </w:tcBorders>
            <w:vAlign w:val="top"/>
          </w:tcPr>
          <w:p w14:paraId="57439547">
            <w:pPr>
              <w:rPr>
                <w:rFonts w:ascii="Arial"/>
                <w:sz w:val="21"/>
              </w:rPr>
            </w:pPr>
          </w:p>
        </w:tc>
        <w:tc>
          <w:tcPr>
            <w:tcW w:w="452" w:type="dxa"/>
            <w:vMerge w:val="continue"/>
            <w:tcBorders>
              <w:top w:val="nil"/>
            </w:tcBorders>
            <w:vAlign w:val="top"/>
          </w:tcPr>
          <w:p w14:paraId="1B440D72">
            <w:pPr>
              <w:rPr>
                <w:rFonts w:ascii="Arial"/>
                <w:sz w:val="21"/>
              </w:rPr>
            </w:pPr>
          </w:p>
        </w:tc>
        <w:tc>
          <w:tcPr>
            <w:tcW w:w="965" w:type="dxa"/>
            <w:vAlign w:val="top"/>
          </w:tcPr>
          <w:p w14:paraId="0B7DBADD">
            <w:pPr>
              <w:pStyle w:val="6"/>
              <w:spacing w:before="178" w:line="228" w:lineRule="auto"/>
              <w:ind w:left="279"/>
              <w:rPr>
                <w:sz w:val="20"/>
                <w:szCs w:val="20"/>
              </w:rPr>
            </w:pPr>
            <w:r>
              <w:rPr>
                <w:spacing w:val="2"/>
                <w:sz w:val="20"/>
                <w:szCs w:val="20"/>
              </w:rPr>
              <w:t>片碱</w:t>
            </w:r>
          </w:p>
          <w:p w14:paraId="054A721C">
            <w:pPr>
              <w:pStyle w:val="6"/>
              <w:spacing w:before="23"/>
              <w:ind w:left="119"/>
              <w:rPr>
                <w:sz w:val="20"/>
                <w:szCs w:val="20"/>
              </w:rPr>
            </w:pPr>
            <w:r>
              <w:rPr>
                <w:spacing w:val="1"/>
                <w:sz w:val="20"/>
                <w:szCs w:val="20"/>
              </w:rPr>
              <w:t>（</w:t>
            </w:r>
            <w:r>
              <w:rPr>
                <w:rFonts w:ascii="Times New Roman" w:hAnsi="Times New Roman" w:eastAsia="Times New Roman" w:cs="Times New Roman"/>
                <w:spacing w:val="1"/>
                <w:sz w:val="20"/>
                <w:szCs w:val="20"/>
              </w:rPr>
              <w:t>99%</w:t>
            </w:r>
            <w:r>
              <w:rPr>
                <w:spacing w:val="1"/>
                <w:sz w:val="20"/>
                <w:szCs w:val="20"/>
              </w:rPr>
              <w:t>）</w:t>
            </w:r>
          </w:p>
        </w:tc>
        <w:tc>
          <w:tcPr>
            <w:tcW w:w="674" w:type="dxa"/>
            <w:vAlign w:val="top"/>
          </w:tcPr>
          <w:p w14:paraId="26A5D57E">
            <w:pPr>
              <w:spacing w:line="291" w:lineRule="auto"/>
              <w:rPr>
                <w:rFonts w:ascii="Arial"/>
                <w:sz w:val="21"/>
              </w:rPr>
            </w:pPr>
          </w:p>
          <w:p w14:paraId="2D274CCE">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06" w:type="dxa"/>
            <w:vAlign w:val="top"/>
          </w:tcPr>
          <w:p w14:paraId="6EDF016F">
            <w:pPr>
              <w:spacing w:line="291" w:lineRule="auto"/>
              <w:rPr>
                <w:rFonts w:ascii="Arial"/>
                <w:sz w:val="21"/>
              </w:rPr>
            </w:pPr>
          </w:p>
          <w:p w14:paraId="06D5B356">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51" w:type="dxa"/>
            <w:vAlign w:val="top"/>
          </w:tcPr>
          <w:p w14:paraId="1F36A38E">
            <w:pPr>
              <w:spacing w:line="291" w:lineRule="auto"/>
              <w:rPr>
                <w:rFonts w:ascii="Arial"/>
                <w:sz w:val="21"/>
              </w:rPr>
            </w:pPr>
          </w:p>
          <w:p w14:paraId="4FCC675A">
            <w:pPr>
              <w:spacing w:before="58"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825</w:t>
            </w:r>
          </w:p>
        </w:tc>
        <w:tc>
          <w:tcPr>
            <w:tcW w:w="771" w:type="dxa"/>
            <w:vAlign w:val="top"/>
          </w:tcPr>
          <w:p w14:paraId="1B402251">
            <w:pPr>
              <w:spacing w:line="291" w:lineRule="auto"/>
              <w:rPr>
                <w:rFonts w:ascii="Arial"/>
                <w:sz w:val="21"/>
              </w:rPr>
            </w:pPr>
          </w:p>
          <w:p w14:paraId="519F7D24">
            <w:pPr>
              <w:spacing w:before="5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+525</w:t>
            </w:r>
          </w:p>
        </w:tc>
        <w:tc>
          <w:tcPr>
            <w:tcW w:w="835" w:type="dxa"/>
            <w:vAlign w:val="top"/>
          </w:tcPr>
          <w:p w14:paraId="5227A130">
            <w:pPr>
              <w:spacing w:line="291" w:lineRule="auto"/>
              <w:rPr>
                <w:rFonts w:ascii="Arial"/>
                <w:sz w:val="21"/>
              </w:rPr>
            </w:pPr>
          </w:p>
          <w:p w14:paraId="18E04AEA">
            <w:pPr>
              <w:spacing w:before="5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39" w:type="dxa"/>
            <w:vAlign w:val="top"/>
          </w:tcPr>
          <w:p w14:paraId="70660DA1">
            <w:pPr>
              <w:pStyle w:val="6"/>
              <w:spacing w:before="178" w:line="221" w:lineRule="auto"/>
              <w:ind w:left="122"/>
              <w:rPr>
                <w:rFonts w:ascii="Times New Roman" w:hAnsi="Times New Roman" w:eastAsia="Times New Roman" w:cs="Times New Roman"/>
                <w:sz w:val="20"/>
                <w:szCs w:val="20"/>
              </w:rPr>
            </w:pPr>
            <w:r>
              <w:rPr>
                <w:spacing w:val="2"/>
                <w:sz w:val="20"/>
                <w:szCs w:val="20"/>
              </w:rPr>
              <w:t>片状，</w:t>
            </w:r>
            <w:r>
              <w:rPr>
                <w:rFonts w:ascii="Times New Roman" w:hAnsi="Times New Roman" w:eastAsia="Times New Roman" w:cs="Times New Roman"/>
                <w:spacing w:val="2"/>
                <w:sz w:val="20"/>
                <w:szCs w:val="20"/>
              </w:rPr>
              <w:t>25</w:t>
            </w:r>
            <w:r>
              <w:rPr>
                <w:rFonts w:ascii="Times New Roman" w:hAnsi="Times New Roman" w:eastAsia="Times New Roman" w:cs="Times New Roman"/>
                <w:sz w:val="20"/>
                <w:szCs w:val="20"/>
              </w:rPr>
              <w:t>kg</w:t>
            </w:r>
          </w:p>
          <w:p w14:paraId="235D238F">
            <w:pPr>
              <w:pStyle w:val="6"/>
              <w:spacing w:before="32" w:line="228" w:lineRule="auto"/>
              <w:ind w:left="419"/>
              <w:rPr>
                <w:sz w:val="20"/>
                <w:szCs w:val="20"/>
              </w:rPr>
            </w:pPr>
            <w:r>
              <w:rPr>
                <w:spacing w:val="4"/>
                <w:sz w:val="20"/>
                <w:szCs w:val="20"/>
              </w:rPr>
              <w:t>袋装</w:t>
            </w:r>
          </w:p>
        </w:tc>
        <w:tc>
          <w:tcPr>
            <w:tcW w:w="731" w:type="dxa"/>
            <w:vAlign w:val="top"/>
          </w:tcPr>
          <w:p w14:paraId="3E3A4C0D">
            <w:pPr>
              <w:spacing w:line="248" w:lineRule="auto"/>
              <w:rPr>
                <w:rFonts w:ascii="Arial"/>
                <w:sz w:val="21"/>
              </w:rPr>
            </w:pPr>
          </w:p>
          <w:p w14:paraId="3AB67F91">
            <w:pPr>
              <w:pStyle w:val="6"/>
              <w:spacing w:before="65" w:line="230" w:lineRule="auto"/>
              <w:ind w:left="168"/>
              <w:rPr>
                <w:sz w:val="20"/>
                <w:szCs w:val="20"/>
              </w:rPr>
            </w:pPr>
            <w:r>
              <w:rPr>
                <w:spacing w:val="3"/>
                <w:sz w:val="20"/>
                <w:szCs w:val="20"/>
              </w:rPr>
              <w:t>泡碱</w:t>
            </w:r>
          </w:p>
        </w:tc>
        <w:tc>
          <w:tcPr>
            <w:tcW w:w="735" w:type="dxa"/>
            <w:vAlign w:val="top"/>
          </w:tcPr>
          <w:p w14:paraId="2179E391">
            <w:pPr>
              <w:pStyle w:val="6"/>
              <w:spacing w:before="41" w:line="229" w:lineRule="auto"/>
              <w:ind w:left="171"/>
              <w:rPr>
                <w:sz w:val="20"/>
                <w:szCs w:val="20"/>
              </w:rPr>
            </w:pPr>
            <w:r>
              <w:rPr>
                <w:spacing w:val="4"/>
                <w:sz w:val="20"/>
                <w:szCs w:val="20"/>
              </w:rPr>
              <w:t>化学</w:t>
            </w:r>
          </w:p>
          <w:p w14:paraId="595DAFC6">
            <w:pPr>
              <w:pStyle w:val="6"/>
              <w:spacing w:before="26" w:line="229" w:lineRule="auto"/>
              <w:ind w:left="273" w:right="149" w:hanging="86"/>
              <w:rPr>
                <w:sz w:val="20"/>
                <w:szCs w:val="20"/>
              </w:rPr>
            </w:pPr>
            <w:r>
              <w:rPr>
                <w:spacing w:val="-4"/>
                <w:sz w:val="20"/>
                <w:szCs w:val="20"/>
              </w:rPr>
              <w:t>品仓</w:t>
            </w:r>
            <w:r>
              <w:rPr>
                <w:sz w:val="20"/>
                <w:szCs w:val="20"/>
              </w:rPr>
              <w:t xml:space="preserve"> 库</w:t>
            </w:r>
          </w:p>
        </w:tc>
        <w:tc>
          <w:tcPr>
            <w:tcW w:w="80" w:type="dxa"/>
            <w:tcBorders>
              <w:top w:val="nil"/>
              <w:bottom w:val="nil"/>
              <w:right w:val="single" w:color="000000" w:sz="6" w:space="0"/>
            </w:tcBorders>
            <w:vAlign w:val="top"/>
          </w:tcPr>
          <w:p w14:paraId="5F10A601">
            <w:pPr>
              <w:rPr>
                <w:rFonts w:ascii="Arial"/>
                <w:sz w:val="21"/>
              </w:rPr>
            </w:pPr>
          </w:p>
        </w:tc>
      </w:tr>
      <w:tr w14:paraId="189D1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4" w:hRule="atLeast"/>
        </w:trPr>
        <w:tc>
          <w:tcPr>
            <w:tcW w:w="778" w:type="dxa"/>
            <w:vMerge w:val="continue"/>
            <w:tcBorders>
              <w:top w:val="nil"/>
              <w:left w:val="single" w:color="000000" w:sz="6" w:space="0"/>
              <w:bottom w:val="single" w:color="000000" w:sz="6" w:space="0"/>
            </w:tcBorders>
            <w:vAlign w:val="top"/>
          </w:tcPr>
          <w:p w14:paraId="4B14E870">
            <w:pPr>
              <w:rPr>
                <w:rFonts w:ascii="Arial"/>
                <w:sz w:val="21"/>
              </w:rPr>
            </w:pPr>
          </w:p>
        </w:tc>
        <w:tc>
          <w:tcPr>
            <w:tcW w:w="8210" w:type="dxa"/>
            <w:gridSpan w:val="12"/>
            <w:tcBorders>
              <w:bottom w:val="single" w:color="000000" w:sz="6" w:space="0"/>
              <w:right w:val="single" w:color="000000" w:sz="6" w:space="0"/>
            </w:tcBorders>
            <w:vAlign w:val="top"/>
          </w:tcPr>
          <w:p w14:paraId="67FA9813">
            <w:pPr>
              <w:spacing w:before="42" w:line="234" w:lineRule="auto"/>
              <w:ind w:left="119"/>
              <w:rPr>
                <w:rFonts w:ascii="楷体" w:hAnsi="楷体" w:eastAsia="楷体" w:cs="楷体"/>
                <w:sz w:val="20"/>
                <w:szCs w:val="20"/>
              </w:rPr>
            </w:pPr>
            <w:r>
              <w:rPr>
                <w:rFonts w:ascii="楷体" w:hAnsi="楷体" w:eastAsia="楷体" w:cs="楷体"/>
                <w:spacing w:val="9"/>
                <w:sz w:val="20"/>
                <w:szCs w:val="20"/>
              </w:rPr>
              <w:t>注：</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25"/>
                <w:sz w:val="20"/>
                <w:szCs w:val="20"/>
              </w:rPr>
              <w:t xml:space="preserve"> </w:t>
            </w:r>
            <w:r>
              <w:rPr>
                <w:rFonts w:ascii="楷体" w:hAnsi="楷体" w:eastAsia="楷体" w:cs="楷体"/>
                <w:spacing w:val="9"/>
                <w:sz w:val="20"/>
                <w:szCs w:val="20"/>
              </w:rPr>
              <w:t>、现有工程未建设原</w:t>
            </w:r>
            <w:r>
              <w:rPr>
                <w:rFonts w:ascii="Times New Roman" w:hAnsi="Times New Roman" w:eastAsia="Times New Roman" w:cs="Times New Roman"/>
                <w:spacing w:val="9"/>
                <w:sz w:val="20"/>
                <w:szCs w:val="20"/>
              </w:rPr>
              <w:t>5#</w:t>
            </w:r>
            <w:r>
              <w:rPr>
                <w:rFonts w:ascii="楷体" w:hAnsi="楷体" w:eastAsia="楷体" w:cs="楷体"/>
                <w:spacing w:val="9"/>
                <w:sz w:val="20"/>
                <w:szCs w:val="20"/>
              </w:rPr>
              <w:t>楼注胶车间；</w:t>
            </w:r>
          </w:p>
          <w:p w14:paraId="4EF58E46">
            <w:pPr>
              <w:spacing w:before="18" w:line="235" w:lineRule="auto"/>
              <w:ind w:left="500"/>
              <w:rPr>
                <w:rFonts w:ascii="楷体" w:hAnsi="楷体" w:eastAsia="楷体" w:cs="楷体"/>
                <w:sz w:val="20"/>
                <w:szCs w:val="20"/>
              </w:rPr>
            </w:pPr>
            <w:r>
              <w:rPr>
                <w:rFonts w:ascii="Times New Roman" w:hAnsi="Times New Roman" w:eastAsia="Times New Roman" w:cs="Times New Roman"/>
                <w:spacing w:val="-2"/>
                <w:sz w:val="20"/>
                <w:szCs w:val="20"/>
              </w:rPr>
              <w:t>2</w:t>
            </w:r>
            <w:r>
              <w:rPr>
                <w:rFonts w:ascii="楷体" w:hAnsi="楷体" w:eastAsia="楷体" w:cs="楷体"/>
                <w:spacing w:val="-2"/>
                <w:sz w:val="20"/>
                <w:szCs w:val="20"/>
              </w:rPr>
              <w:t>、拆除原项目的</w:t>
            </w:r>
            <w:r>
              <w:rPr>
                <w:rFonts w:ascii="楷体" w:hAnsi="楷体" w:eastAsia="楷体" w:cs="楷体"/>
                <w:spacing w:val="-44"/>
                <w:sz w:val="20"/>
                <w:szCs w:val="20"/>
              </w:rPr>
              <w:t xml:space="preserve"> </w:t>
            </w:r>
            <w:r>
              <w:rPr>
                <w:rFonts w:ascii="Times New Roman" w:hAnsi="Times New Roman" w:eastAsia="Times New Roman" w:cs="Times New Roman"/>
                <w:spacing w:val="-2"/>
                <w:sz w:val="20"/>
                <w:szCs w:val="20"/>
              </w:rPr>
              <w:t>4#</w:t>
            </w:r>
            <w:r>
              <w:rPr>
                <w:rFonts w:ascii="楷体" w:hAnsi="楷体" w:eastAsia="楷体" w:cs="楷体"/>
                <w:spacing w:val="-2"/>
                <w:sz w:val="20"/>
                <w:szCs w:val="20"/>
              </w:rPr>
              <w:t>楼泡酸车间后泡酸加工宝石量和对应的原辅材料使用量相应减少；</w:t>
            </w:r>
          </w:p>
          <w:p w14:paraId="7415A706">
            <w:pPr>
              <w:spacing w:before="18" w:line="247" w:lineRule="auto"/>
              <w:ind w:left="104" w:right="48" w:firstLine="424"/>
              <w:rPr>
                <w:rFonts w:ascii="楷体" w:hAnsi="楷体" w:eastAsia="楷体" w:cs="楷体"/>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26"/>
                <w:sz w:val="20"/>
                <w:szCs w:val="20"/>
              </w:rPr>
              <w:t xml:space="preserve"> </w:t>
            </w:r>
            <w:r>
              <w:rPr>
                <w:rFonts w:ascii="楷体" w:hAnsi="楷体" w:eastAsia="楷体" w:cs="楷体"/>
                <w:spacing w:val="9"/>
                <w:sz w:val="20"/>
                <w:szCs w:val="20"/>
              </w:rPr>
              <w:t>、本项目注胶加工原料宝石总量为</w:t>
            </w:r>
            <w:r>
              <w:rPr>
                <w:rFonts w:ascii="楷体" w:hAnsi="楷体" w:eastAsia="楷体" w:cs="楷体"/>
                <w:spacing w:val="-39"/>
                <w:sz w:val="20"/>
                <w:szCs w:val="20"/>
              </w:rPr>
              <w:t xml:space="preserve"> </w:t>
            </w:r>
            <w:r>
              <w:rPr>
                <w:rFonts w:ascii="Times New Roman" w:hAnsi="Times New Roman" w:eastAsia="Times New Roman" w:cs="Times New Roman"/>
                <w:spacing w:val="9"/>
                <w:sz w:val="20"/>
                <w:szCs w:val="20"/>
              </w:rPr>
              <w:t>4860t/a</w:t>
            </w:r>
            <w:r>
              <w:rPr>
                <w:rFonts w:ascii="Times New Roman" w:hAnsi="Times New Roman" w:eastAsia="Times New Roman" w:cs="Times New Roman"/>
                <w:spacing w:val="-24"/>
                <w:sz w:val="20"/>
                <w:szCs w:val="20"/>
              </w:rPr>
              <w:t xml:space="preserve"> </w:t>
            </w:r>
            <w:r>
              <w:rPr>
                <w:rFonts w:ascii="楷体" w:hAnsi="楷体" w:eastAsia="楷体" w:cs="楷体"/>
                <w:spacing w:val="9"/>
                <w:sz w:val="20"/>
                <w:szCs w:val="20"/>
              </w:rPr>
              <w:t>，注胶过程中宝石的量和环氧</w:t>
            </w:r>
            <w:r>
              <w:rPr>
                <w:rFonts w:ascii="楷体" w:hAnsi="楷体" w:eastAsia="楷体" w:cs="楷体"/>
                <w:spacing w:val="8"/>
                <w:sz w:val="20"/>
                <w:szCs w:val="20"/>
              </w:rPr>
              <w:t>树脂的量</w:t>
            </w:r>
            <w:r>
              <w:rPr>
                <w:rFonts w:ascii="楷体" w:hAnsi="楷体" w:eastAsia="楷体" w:cs="楷体"/>
                <w:sz w:val="20"/>
                <w:szCs w:val="20"/>
              </w:rPr>
              <w:t xml:space="preserve"> </w:t>
            </w:r>
            <w:r>
              <w:rPr>
                <w:rFonts w:ascii="楷体" w:hAnsi="楷体" w:eastAsia="楷体" w:cs="楷体"/>
                <w:spacing w:val="6"/>
                <w:sz w:val="20"/>
                <w:szCs w:val="20"/>
              </w:rPr>
              <w:t>一般为</w:t>
            </w:r>
            <w:r>
              <w:rPr>
                <w:rFonts w:ascii="楷体" w:hAnsi="楷体" w:eastAsia="楷体" w:cs="楷体"/>
                <w:spacing w:val="-37"/>
                <w:sz w:val="20"/>
                <w:szCs w:val="20"/>
              </w:rPr>
              <w:t xml:space="preserve"> </w:t>
            </w:r>
            <w:r>
              <w:rPr>
                <w:rFonts w:ascii="Times New Roman" w:hAnsi="Times New Roman" w:eastAsia="Times New Roman" w:cs="Times New Roman"/>
                <w:spacing w:val="6"/>
                <w:sz w:val="20"/>
                <w:szCs w:val="20"/>
              </w:rPr>
              <w:t>5:1</w:t>
            </w:r>
            <w:r>
              <w:rPr>
                <w:rFonts w:ascii="Times New Roman" w:hAnsi="Times New Roman" w:eastAsia="Times New Roman" w:cs="Times New Roman"/>
                <w:spacing w:val="-29"/>
                <w:sz w:val="20"/>
                <w:szCs w:val="20"/>
              </w:rPr>
              <w:t xml:space="preserve"> </w:t>
            </w:r>
            <w:r>
              <w:rPr>
                <w:rFonts w:ascii="楷体" w:hAnsi="楷体" w:eastAsia="楷体" w:cs="楷体"/>
                <w:spacing w:val="6"/>
                <w:sz w:val="20"/>
                <w:szCs w:val="20"/>
              </w:rPr>
              <w:t>，即环氧树脂的用量约为</w:t>
            </w:r>
            <w:r>
              <w:rPr>
                <w:rFonts w:ascii="楷体" w:hAnsi="楷体" w:eastAsia="楷体" w:cs="楷体"/>
                <w:spacing w:val="-36"/>
                <w:sz w:val="20"/>
                <w:szCs w:val="20"/>
              </w:rPr>
              <w:t xml:space="preserve"> </w:t>
            </w:r>
            <w:r>
              <w:rPr>
                <w:rFonts w:ascii="Times New Roman" w:hAnsi="Times New Roman" w:eastAsia="Times New Roman" w:cs="Times New Roman"/>
                <w:spacing w:val="6"/>
                <w:sz w:val="20"/>
                <w:szCs w:val="20"/>
              </w:rPr>
              <w:t>972t/a</w:t>
            </w:r>
            <w:r>
              <w:rPr>
                <w:rFonts w:ascii="Times New Roman" w:hAnsi="Times New Roman" w:eastAsia="Times New Roman" w:cs="Times New Roman"/>
                <w:spacing w:val="-22"/>
                <w:sz w:val="20"/>
                <w:szCs w:val="20"/>
              </w:rPr>
              <w:t xml:space="preserve"> </w:t>
            </w:r>
            <w:r>
              <w:rPr>
                <w:rFonts w:ascii="楷体" w:hAnsi="楷体" w:eastAsia="楷体" w:cs="楷体"/>
                <w:spacing w:val="6"/>
                <w:sz w:val="20"/>
                <w:szCs w:val="20"/>
              </w:rPr>
              <w:t>。项</w:t>
            </w:r>
            <w:r>
              <w:rPr>
                <w:rFonts w:ascii="楷体" w:hAnsi="楷体" w:eastAsia="楷体" w:cs="楷体"/>
                <w:spacing w:val="-44"/>
                <w:sz w:val="20"/>
                <w:szCs w:val="20"/>
              </w:rPr>
              <w:t xml:space="preserve"> </w:t>
            </w:r>
            <w:r>
              <w:rPr>
                <w:rFonts w:ascii="楷体" w:hAnsi="楷体" w:eastAsia="楷体" w:cs="楷体"/>
                <w:spacing w:val="6"/>
                <w:sz w:val="20"/>
                <w:szCs w:val="20"/>
              </w:rPr>
              <w:t>目原料宝石主要类型为海蓝宝、草莓</w:t>
            </w:r>
            <w:r>
              <w:rPr>
                <w:rFonts w:ascii="楷体" w:hAnsi="楷体" w:eastAsia="楷体" w:cs="楷体"/>
                <w:spacing w:val="5"/>
                <w:sz w:val="20"/>
                <w:szCs w:val="20"/>
              </w:rPr>
              <w:t>晶、</w:t>
            </w:r>
            <w:r>
              <w:rPr>
                <w:rFonts w:ascii="楷体" w:hAnsi="楷体" w:eastAsia="楷体" w:cs="楷体"/>
                <w:sz w:val="20"/>
                <w:szCs w:val="20"/>
              </w:rPr>
              <w:t xml:space="preserve"> </w:t>
            </w:r>
            <w:r>
              <w:rPr>
                <w:rFonts w:ascii="楷体" w:hAnsi="楷体" w:eastAsia="楷体" w:cs="楷体"/>
                <w:spacing w:val="7"/>
                <w:sz w:val="20"/>
                <w:szCs w:val="20"/>
              </w:rPr>
              <w:t>发晶、云母、闪光石、粉晶、紫晶等，约有</w:t>
            </w:r>
            <w:r>
              <w:rPr>
                <w:rFonts w:ascii="楷体" w:hAnsi="楷体" w:eastAsia="楷体" w:cs="楷体"/>
                <w:spacing w:val="-22"/>
                <w:sz w:val="20"/>
                <w:szCs w:val="20"/>
              </w:rPr>
              <w:t xml:space="preserve"> </w:t>
            </w:r>
            <w:r>
              <w:rPr>
                <w:rFonts w:ascii="Times New Roman" w:hAnsi="Times New Roman" w:eastAsia="Times New Roman" w:cs="Times New Roman"/>
                <w:spacing w:val="7"/>
                <w:sz w:val="20"/>
                <w:szCs w:val="20"/>
              </w:rPr>
              <w:t>10%</w:t>
            </w:r>
            <w:r>
              <w:rPr>
                <w:rFonts w:ascii="楷体" w:hAnsi="楷体" w:eastAsia="楷体" w:cs="楷体"/>
                <w:spacing w:val="7"/>
                <w:sz w:val="20"/>
                <w:szCs w:val="20"/>
              </w:rPr>
              <w:t>的宝石原料（</w:t>
            </w:r>
            <w:r>
              <w:rPr>
                <w:rFonts w:ascii="Times New Roman" w:hAnsi="Times New Roman" w:eastAsia="Times New Roman" w:cs="Times New Roman"/>
                <w:spacing w:val="7"/>
                <w:sz w:val="20"/>
                <w:szCs w:val="20"/>
              </w:rPr>
              <w:t>486t/a</w:t>
            </w:r>
            <w:r>
              <w:rPr>
                <w:rFonts w:ascii="楷体" w:hAnsi="楷体" w:eastAsia="楷体" w:cs="楷体"/>
                <w:spacing w:val="7"/>
                <w:sz w:val="20"/>
                <w:szCs w:val="20"/>
              </w:rPr>
              <w:t>）注胶操作过程中，</w:t>
            </w:r>
            <w:r>
              <w:rPr>
                <w:rFonts w:ascii="楷体" w:hAnsi="楷体" w:eastAsia="楷体" w:cs="楷体"/>
                <w:sz w:val="20"/>
                <w:szCs w:val="20"/>
              </w:rPr>
              <w:t xml:space="preserve"> </w:t>
            </w:r>
            <w:r>
              <w:rPr>
                <w:rFonts w:ascii="楷体" w:hAnsi="楷体" w:eastAsia="楷体" w:cs="楷体"/>
                <w:spacing w:val="11"/>
                <w:sz w:val="20"/>
                <w:szCs w:val="20"/>
              </w:rPr>
              <w:t>需加入稀释剂减缓环氧树脂（</w:t>
            </w:r>
            <w:r>
              <w:rPr>
                <w:rFonts w:ascii="Times New Roman" w:hAnsi="Times New Roman" w:eastAsia="Times New Roman" w:cs="Times New Roman"/>
                <w:spacing w:val="11"/>
                <w:sz w:val="20"/>
                <w:szCs w:val="20"/>
              </w:rPr>
              <w:t>97.2t/</w:t>
            </w:r>
            <w:r>
              <w:rPr>
                <w:rFonts w:ascii="Times New Roman" w:hAnsi="Times New Roman" w:eastAsia="Times New Roman" w:cs="Times New Roman"/>
                <w:spacing w:val="10"/>
                <w:sz w:val="20"/>
                <w:szCs w:val="20"/>
              </w:rPr>
              <w:t>a</w:t>
            </w:r>
            <w:r>
              <w:rPr>
                <w:rFonts w:ascii="楷体" w:hAnsi="楷体" w:eastAsia="楷体" w:cs="楷体"/>
                <w:spacing w:val="10"/>
                <w:sz w:val="20"/>
                <w:szCs w:val="20"/>
              </w:rPr>
              <w:t>）和三乙醇胺的混合物的固化时间，方便操作。稀</w:t>
            </w:r>
            <w:r>
              <w:rPr>
                <w:rFonts w:ascii="楷体" w:hAnsi="楷体" w:eastAsia="楷体" w:cs="楷体"/>
                <w:sz w:val="20"/>
                <w:szCs w:val="20"/>
              </w:rPr>
              <w:t xml:space="preserve"> </w:t>
            </w:r>
            <w:r>
              <w:rPr>
                <w:rFonts w:ascii="楷体" w:hAnsi="楷体" w:eastAsia="楷体" w:cs="楷体"/>
                <w:spacing w:val="7"/>
                <w:sz w:val="20"/>
                <w:szCs w:val="20"/>
              </w:rPr>
              <w:t>释剂的添加量约为环氧树脂的</w:t>
            </w:r>
            <w:r>
              <w:rPr>
                <w:rFonts w:ascii="楷体" w:hAnsi="楷体" w:eastAsia="楷体" w:cs="楷体"/>
                <w:spacing w:val="-23"/>
                <w:sz w:val="20"/>
                <w:szCs w:val="20"/>
              </w:rPr>
              <w:t xml:space="preserve"> </w:t>
            </w:r>
            <w:r>
              <w:rPr>
                <w:rFonts w:ascii="Times New Roman" w:hAnsi="Times New Roman" w:eastAsia="Times New Roman" w:cs="Times New Roman"/>
                <w:spacing w:val="7"/>
                <w:sz w:val="20"/>
                <w:szCs w:val="20"/>
              </w:rPr>
              <w:t>10%</w:t>
            </w:r>
            <w:r>
              <w:rPr>
                <w:rFonts w:ascii="Times New Roman" w:hAnsi="Times New Roman" w:eastAsia="Times New Roman" w:cs="Times New Roman"/>
                <w:spacing w:val="-29"/>
                <w:sz w:val="20"/>
                <w:szCs w:val="20"/>
              </w:rPr>
              <w:t xml:space="preserve"> </w:t>
            </w:r>
            <w:r>
              <w:rPr>
                <w:rFonts w:ascii="楷体" w:hAnsi="楷体" w:eastAsia="楷体" w:cs="楷体"/>
                <w:spacing w:val="7"/>
                <w:sz w:val="20"/>
                <w:szCs w:val="20"/>
              </w:rPr>
              <w:t>，即稀释剂的用量为</w:t>
            </w:r>
            <w:r>
              <w:rPr>
                <w:rFonts w:ascii="楷体" w:hAnsi="楷体" w:eastAsia="楷体" w:cs="楷体"/>
                <w:spacing w:val="-39"/>
                <w:sz w:val="20"/>
                <w:szCs w:val="20"/>
              </w:rPr>
              <w:t xml:space="preserve">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6"/>
                <w:sz w:val="20"/>
                <w:szCs w:val="20"/>
              </w:rPr>
              <w:t>72t/a</w:t>
            </w:r>
            <w:r>
              <w:rPr>
                <w:rFonts w:ascii="Times New Roman" w:hAnsi="Times New Roman" w:eastAsia="Times New Roman" w:cs="Times New Roman"/>
                <w:spacing w:val="-22"/>
                <w:sz w:val="20"/>
                <w:szCs w:val="20"/>
              </w:rPr>
              <w:t xml:space="preserve"> </w:t>
            </w:r>
            <w:r>
              <w:rPr>
                <w:rFonts w:ascii="楷体" w:hAnsi="楷体" w:eastAsia="楷体" w:cs="楷体"/>
                <w:spacing w:val="6"/>
                <w:sz w:val="20"/>
                <w:szCs w:val="20"/>
              </w:rPr>
              <w:t>。项目使用乙醇和丙酮按</w:t>
            </w:r>
          </w:p>
          <w:p w14:paraId="4282B71D">
            <w:pPr>
              <w:spacing w:before="23" w:line="229" w:lineRule="auto"/>
              <w:ind w:left="125"/>
              <w:rPr>
                <w:rFonts w:ascii="楷体" w:hAnsi="楷体" w:eastAsia="楷体" w:cs="楷体"/>
                <w:sz w:val="20"/>
                <w:szCs w:val="20"/>
              </w:rPr>
            </w:pPr>
            <w:r>
              <w:rPr>
                <w:rFonts w:ascii="Times New Roman" w:hAnsi="Times New Roman" w:eastAsia="Times New Roman" w:cs="Times New Roman"/>
                <w:spacing w:val="4"/>
                <w:sz w:val="20"/>
                <w:szCs w:val="20"/>
              </w:rPr>
              <w:t>1:1</w:t>
            </w:r>
            <w:r>
              <w:rPr>
                <w:rFonts w:ascii="Times New Roman" w:hAnsi="Times New Roman" w:eastAsia="Times New Roman" w:cs="Times New Roman"/>
                <w:spacing w:val="33"/>
                <w:sz w:val="20"/>
                <w:szCs w:val="20"/>
              </w:rPr>
              <w:t xml:space="preserve"> </w:t>
            </w:r>
            <w:r>
              <w:rPr>
                <w:rFonts w:ascii="楷体" w:hAnsi="楷体" w:eastAsia="楷体" w:cs="楷体"/>
                <w:spacing w:val="4"/>
                <w:sz w:val="20"/>
                <w:szCs w:val="20"/>
              </w:rPr>
              <w:t>的比例配制成稀释剂，即乙醇</w:t>
            </w:r>
            <w:r>
              <w:rPr>
                <w:rFonts w:ascii="楷体" w:hAnsi="楷体" w:eastAsia="楷体" w:cs="楷体"/>
                <w:spacing w:val="-42"/>
                <w:sz w:val="20"/>
                <w:szCs w:val="20"/>
              </w:rPr>
              <w:t xml:space="preserve"> </w:t>
            </w:r>
            <w:r>
              <w:rPr>
                <w:rFonts w:ascii="Times New Roman" w:hAnsi="Times New Roman" w:eastAsia="Times New Roman" w:cs="Times New Roman"/>
                <w:spacing w:val="4"/>
                <w:sz w:val="20"/>
                <w:szCs w:val="20"/>
              </w:rPr>
              <w:t>4.86t/a</w:t>
            </w:r>
            <w:r>
              <w:rPr>
                <w:rFonts w:ascii="Times New Roman" w:hAnsi="Times New Roman" w:eastAsia="Times New Roman" w:cs="Times New Roman"/>
                <w:spacing w:val="-26"/>
                <w:sz w:val="20"/>
                <w:szCs w:val="20"/>
              </w:rPr>
              <w:t xml:space="preserve"> </w:t>
            </w:r>
            <w:r>
              <w:rPr>
                <w:rFonts w:ascii="楷体" w:hAnsi="楷体" w:eastAsia="楷体" w:cs="楷体"/>
                <w:spacing w:val="4"/>
                <w:sz w:val="20"/>
                <w:szCs w:val="20"/>
              </w:rPr>
              <w:t>，丙酮</w:t>
            </w:r>
            <w:r>
              <w:rPr>
                <w:rFonts w:ascii="楷体" w:hAnsi="楷体" w:eastAsia="楷体" w:cs="楷体"/>
                <w:spacing w:val="-44"/>
                <w:sz w:val="20"/>
                <w:szCs w:val="20"/>
              </w:rPr>
              <w:t xml:space="preserve"> </w:t>
            </w:r>
            <w:r>
              <w:rPr>
                <w:rFonts w:ascii="Times New Roman" w:hAnsi="Times New Roman" w:eastAsia="Times New Roman" w:cs="Times New Roman"/>
                <w:spacing w:val="4"/>
                <w:sz w:val="20"/>
                <w:szCs w:val="20"/>
              </w:rPr>
              <w:t>4.86t/a</w:t>
            </w:r>
            <w:r>
              <w:rPr>
                <w:rFonts w:ascii="楷体" w:hAnsi="楷体" w:eastAsia="楷体" w:cs="楷体"/>
                <w:spacing w:val="4"/>
                <w:sz w:val="20"/>
                <w:szCs w:val="20"/>
              </w:rPr>
              <w:t>。</w:t>
            </w:r>
          </w:p>
          <w:p w14:paraId="40CD6066">
            <w:pPr>
              <w:spacing w:before="23" w:line="251" w:lineRule="auto"/>
              <w:ind w:left="107" w:right="102" w:firstLine="428"/>
              <w:jc w:val="both"/>
              <w:rPr>
                <w:rFonts w:ascii="楷体" w:hAnsi="楷体" w:eastAsia="楷体" w:cs="楷体"/>
                <w:sz w:val="20"/>
                <w:szCs w:val="20"/>
              </w:rPr>
            </w:pPr>
            <w:r>
              <w:rPr>
                <w:rFonts w:ascii="楷体" w:hAnsi="楷体" w:eastAsia="楷体" w:cs="楷体"/>
                <w:spacing w:val="10"/>
                <w:sz w:val="20"/>
                <w:szCs w:val="20"/>
              </w:rPr>
              <w:t>为防止环氧树脂烘干后吸水返潮影响产品质量，需在环氧树脂中添加三乙醇胺做为</w:t>
            </w:r>
            <w:r>
              <w:rPr>
                <w:rFonts w:ascii="楷体" w:hAnsi="楷体" w:eastAsia="楷体" w:cs="楷体"/>
                <w:sz w:val="20"/>
                <w:szCs w:val="20"/>
              </w:rPr>
              <w:t xml:space="preserve"> </w:t>
            </w:r>
            <w:r>
              <w:rPr>
                <w:rFonts w:ascii="楷体" w:hAnsi="楷体" w:eastAsia="楷体" w:cs="楷体"/>
                <w:spacing w:val="6"/>
                <w:sz w:val="20"/>
                <w:szCs w:val="20"/>
              </w:rPr>
              <w:t>固化剂，参考用量为</w:t>
            </w:r>
            <w:r>
              <w:rPr>
                <w:rFonts w:ascii="楷体" w:hAnsi="楷体" w:eastAsia="楷体" w:cs="楷体"/>
                <w:spacing w:val="-11"/>
                <w:sz w:val="20"/>
                <w:szCs w:val="20"/>
              </w:rPr>
              <w:t xml:space="preserve"> </w:t>
            </w:r>
            <w:r>
              <w:rPr>
                <w:rFonts w:ascii="Times New Roman" w:hAnsi="Times New Roman" w:eastAsia="Times New Roman" w:cs="Times New Roman"/>
                <w:spacing w:val="6"/>
                <w:sz w:val="20"/>
                <w:szCs w:val="20"/>
              </w:rPr>
              <w:t>12</w:t>
            </w:r>
            <w:r>
              <w:rPr>
                <w:rFonts w:ascii="楷体" w:hAnsi="楷体" w:eastAsia="楷体" w:cs="楷体"/>
                <w:spacing w:val="6"/>
                <w:sz w:val="20"/>
                <w:szCs w:val="20"/>
              </w:rPr>
              <w:t>～</w:t>
            </w:r>
            <w:r>
              <w:rPr>
                <w:rFonts w:ascii="Times New Roman" w:hAnsi="Times New Roman" w:eastAsia="Times New Roman" w:cs="Times New Roman"/>
                <w:spacing w:val="6"/>
                <w:sz w:val="20"/>
                <w:szCs w:val="20"/>
              </w:rPr>
              <w:t xml:space="preserve">15 </w:t>
            </w:r>
            <w:r>
              <w:rPr>
                <w:rFonts w:ascii="楷体" w:hAnsi="楷体" w:eastAsia="楷体" w:cs="楷体"/>
                <w:spacing w:val="6"/>
                <w:sz w:val="20"/>
                <w:szCs w:val="20"/>
              </w:rPr>
              <w:t>份（质量分数）。本项目环氧树脂的用量为</w:t>
            </w:r>
            <w:r>
              <w:rPr>
                <w:rFonts w:ascii="楷体" w:hAnsi="楷体" w:eastAsia="楷体" w:cs="楷体"/>
                <w:spacing w:val="-39"/>
                <w:sz w:val="20"/>
                <w:szCs w:val="20"/>
              </w:rPr>
              <w:t xml:space="preserve"> </w:t>
            </w:r>
            <w:r>
              <w:rPr>
                <w:rFonts w:ascii="Times New Roman" w:hAnsi="Times New Roman" w:eastAsia="Times New Roman" w:cs="Times New Roman"/>
                <w:spacing w:val="6"/>
                <w:sz w:val="20"/>
                <w:szCs w:val="20"/>
              </w:rPr>
              <w:t>972t/a</w:t>
            </w:r>
            <w:r>
              <w:rPr>
                <w:rFonts w:ascii="Times New Roman" w:hAnsi="Times New Roman" w:eastAsia="Times New Roman" w:cs="Times New Roman"/>
                <w:spacing w:val="-26"/>
                <w:sz w:val="20"/>
                <w:szCs w:val="20"/>
              </w:rPr>
              <w:t xml:space="preserve"> </w:t>
            </w:r>
            <w:r>
              <w:rPr>
                <w:rFonts w:ascii="楷体" w:hAnsi="楷体" w:eastAsia="楷体" w:cs="楷体"/>
                <w:spacing w:val="6"/>
                <w:sz w:val="20"/>
                <w:szCs w:val="20"/>
              </w:rPr>
              <w:t>，可推算</w:t>
            </w:r>
            <w:r>
              <w:rPr>
                <w:rFonts w:ascii="楷体" w:hAnsi="楷体" w:eastAsia="楷体" w:cs="楷体"/>
                <w:sz w:val="20"/>
                <w:szCs w:val="20"/>
              </w:rPr>
              <w:t xml:space="preserve"> </w:t>
            </w:r>
            <w:r>
              <w:rPr>
                <w:rFonts w:ascii="楷体" w:hAnsi="楷体" w:eastAsia="楷体" w:cs="楷体"/>
                <w:spacing w:val="5"/>
                <w:sz w:val="20"/>
                <w:szCs w:val="20"/>
              </w:rPr>
              <w:t>得三乙醇胺预计最大用量</w:t>
            </w:r>
            <w:r>
              <w:rPr>
                <w:rFonts w:ascii="楷体" w:hAnsi="楷体" w:eastAsia="楷体" w:cs="楷体"/>
                <w:spacing w:val="-17"/>
                <w:sz w:val="20"/>
                <w:szCs w:val="20"/>
              </w:rPr>
              <w:t xml:space="preserve"> </w:t>
            </w:r>
            <w:r>
              <w:rPr>
                <w:rFonts w:ascii="Times New Roman" w:hAnsi="Times New Roman" w:eastAsia="Times New Roman" w:cs="Times New Roman"/>
                <w:spacing w:val="5"/>
                <w:sz w:val="20"/>
                <w:szCs w:val="20"/>
              </w:rPr>
              <w:t>171.5t/a</w:t>
            </w:r>
            <w:r>
              <w:rPr>
                <w:rFonts w:ascii="楷体" w:hAnsi="楷体" w:eastAsia="楷体" w:cs="楷体"/>
                <w:spacing w:val="5"/>
                <w:sz w:val="20"/>
                <w:szCs w:val="20"/>
              </w:rPr>
              <w:t>。</w:t>
            </w:r>
          </w:p>
          <w:p w14:paraId="1C5C5750">
            <w:pPr>
              <w:spacing w:before="1" w:line="234" w:lineRule="auto"/>
              <w:ind w:left="108" w:right="102" w:firstLine="421"/>
              <w:rPr>
                <w:rFonts w:ascii="楷体" w:hAnsi="楷体" w:eastAsia="楷体" w:cs="楷体"/>
                <w:sz w:val="20"/>
                <w:szCs w:val="20"/>
              </w:rPr>
            </w:pPr>
            <w:r>
              <w:rPr>
                <w:rFonts w:ascii="楷体" w:hAnsi="楷体" w:eastAsia="楷体" w:cs="楷体"/>
                <w:spacing w:val="10"/>
                <w:sz w:val="20"/>
                <w:szCs w:val="20"/>
              </w:rPr>
              <w:t>项目配胶工序就是将上述几种物质按比例和顺序融合在一起，形成胶粘剂。根据建</w:t>
            </w:r>
            <w:r>
              <w:rPr>
                <w:rFonts w:ascii="楷体" w:hAnsi="楷体" w:eastAsia="楷体" w:cs="楷体"/>
                <w:spacing w:val="5"/>
                <w:sz w:val="20"/>
                <w:szCs w:val="20"/>
              </w:rPr>
              <w:t xml:space="preserve"> </w:t>
            </w:r>
            <w:r>
              <w:rPr>
                <w:rFonts w:ascii="楷体" w:hAnsi="楷体" w:eastAsia="楷体" w:cs="楷体"/>
                <w:spacing w:val="7"/>
                <w:sz w:val="20"/>
                <w:szCs w:val="20"/>
              </w:rPr>
              <w:t>设单位提供的环氧树脂化学品安全技术说明书，环氧树脂的浓度</w:t>
            </w:r>
            <w:r>
              <w:rPr>
                <w:rFonts w:ascii="Times New Roman" w:hAnsi="Times New Roman" w:eastAsia="Times New Roman" w:cs="Times New Roman"/>
                <w:spacing w:val="7"/>
                <w:sz w:val="20"/>
                <w:szCs w:val="20"/>
              </w:rPr>
              <w:t>≥99%</w:t>
            </w:r>
            <w:r>
              <w:rPr>
                <w:rFonts w:ascii="Times New Roman" w:hAnsi="Times New Roman" w:eastAsia="Times New Roman" w:cs="Times New Roman"/>
                <w:spacing w:val="-19"/>
                <w:sz w:val="20"/>
                <w:szCs w:val="20"/>
              </w:rPr>
              <w:t xml:space="preserve"> </w:t>
            </w:r>
            <w:r>
              <w:rPr>
                <w:rFonts w:ascii="楷体" w:hAnsi="楷体" w:eastAsia="楷体" w:cs="楷体"/>
                <w:spacing w:val="7"/>
                <w:sz w:val="20"/>
                <w:szCs w:val="20"/>
              </w:rPr>
              <w:t>，即形成的胶粘剂</w:t>
            </w:r>
          </w:p>
        </w:tc>
      </w:tr>
    </w:tbl>
    <w:p w14:paraId="4E8C8D6A">
      <w:pPr>
        <w:rPr>
          <w:rFonts w:ascii="Arial"/>
          <w:sz w:val="21"/>
        </w:rPr>
      </w:pPr>
    </w:p>
    <w:p w14:paraId="078E1793">
      <w:pPr>
        <w:rPr>
          <w:rFonts w:ascii="Arial" w:hAnsi="Arial" w:eastAsia="Arial" w:cs="Arial"/>
          <w:sz w:val="21"/>
          <w:szCs w:val="21"/>
        </w:rPr>
        <w:sectPr>
          <w:footerReference r:id="rId27" w:type="default"/>
          <w:pgSz w:w="11906" w:h="16839"/>
          <w:pgMar w:top="400" w:right="1451" w:bottom="1240" w:left="1451" w:header="0" w:footer="1078" w:gutter="0"/>
          <w:cols w:space="720" w:num="1"/>
        </w:sectPr>
      </w:pPr>
    </w:p>
    <w:p w14:paraId="0269B6F3">
      <w:pPr>
        <w:spacing w:before="19"/>
      </w:pPr>
    </w:p>
    <w:p w14:paraId="42A33D5B">
      <w:pPr>
        <w:spacing w:before="19"/>
      </w:pPr>
    </w:p>
    <w:p w14:paraId="3D1184CD">
      <w:pPr>
        <w:spacing w:before="19"/>
      </w:pPr>
    </w:p>
    <w:p w14:paraId="5B847AF6">
      <w:pPr>
        <w:spacing w:before="18"/>
      </w:pPr>
    </w:p>
    <w:p w14:paraId="5D5EA634">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00992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1" w:hRule="atLeast"/>
        </w:trPr>
        <w:tc>
          <w:tcPr>
            <w:tcW w:w="778" w:type="dxa"/>
            <w:tcBorders>
              <w:right w:val="single" w:color="000000" w:sz="2" w:space="0"/>
            </w:tcBorders>
            <w:vAlign w:val="top"/>
          </w:tcPr>
          <w:p w14:paraId="5C5D045B">
            <w:pPr>
              <w:rPr>
                <w:rFonts w:ascii="Arial"/>
                <w:sz w:val="21"/>
              </w:rPr>
            </w:pPr>
          </w:p>
        </w:tc>
        <w:tc>
          <w:tcPr>
            <w:tcW w:w="8210" w:type="dxa"/>
            <w:tcBorders>
              <w:left w:val="single" w:color="000000" w:sz="2" w:space="0"/>
            </w:tcBorders>
            <w:vAlign w:val="top"/>
          </w:tcPr>
          <w:p w14:paraId="7361BE56">
            <w:pPr>
              <w:spacing w:before="37" w:line="251" w:lineRule="auto"/>
              <w:ind w:left="99" w:right="102" w:firstLine="33"/>
              <w:jc w:val="both"/>
              <w:rPr>
                <w:rFonts w:ascii="楷体" w:hAnsi="楷体" w:eastAsia="楷体" w:cs="楷体"/>
                <w:sz w:val="20"/>
                <w:szCs w:val="20"/>
              </w:rPr>
            </w:pPr>
            <w:r>
              <w:rPr>
                <w:rFonts w:ascii="楷体" w:hAnsi="楷体" w:eastAsia="楷体" w:cs="楷体"/>
                <w:spacing w:val="6"/>
                <w:sz w:val="20"/>
                <w:szCs w:val="20"/>
              </w:rPr>
              <w:t>中的分散介质占比最大约为（</w:t>
            </w:r>
            <w:r>
              <w:rPr>
                <w:rFonts w:ascii="Times New Roman" w:hAnsi="Times New Roman" w:eastAsia="Times New Roman" w:cs="Times New Roman"/>
                <w:spacing w:val="6"/>
                <w:sz w:val="20"/>
                <w:szCs w:val="20"/>
              </w:rPr>
              <w:t>972×1%+9.72t</w:t>
            </w:r>
            <w:r>
              <w:rPr>
                <w:rFonts w:ascii="楷体" w:hAnsi="楷体" w:eastAsia="楷体" w:cs="楷体"/>
                <w:spacing w:val="6"/>
                <w:sz w:val="20"/>
                <w:szCs w:val="20"/>
              </w:rPr>
              <w:t>）</w:t>
            </w:r>
            <w:r>
              <w:rPr>
                <w:rFonts w:ascii="Times New Roman" w:hAnsi="Times New Roman" w:eastAsia="Times New Roman" w:cs="Times New Roman"/>
                <w:spacing w:val="6"/>
                <w:sz w:val="20"/>
                <w:szCs w:val="20"/>
              </w:rPr>
              <w:t>/</w:t>
            </w:r>
            <w:r>
              <w:rPr>
                <w:rFonts w:ascii="楷体" w:hAnsi="楷体" w:eastAsia="楷体" w:cs="楷体"/>
                <w:spacing w:val="6"/>
                <w:sz w:val="20"/>
                <w:szCs w:val="20"/>
              </w:rPr>
              <w:t>（</w:t>
            </w:r>
            <w:r>
              <w:rPr>
                <w:rFonts w:ascii="Times New Roman" w:hAnsi="Times New Roman" w:eastAsia="Times New Roman" w:cs="Times New Roman"/>
                <w:spacing w:val="6"/>
                <w:sz w:val="20"/>
                <w:szCs w:val="20"/>
              </w:rPr>
              <w:t>972t+9.72t+171.5t</w:t>
            </w:r>
            <w:r>
              <w:rPr>
                <w:rFonts w:ascii="楷体" w:hAnsi="楷体" w:eastAsia="楷体" w:cs="楷体"/>
                <w:spacing w:val="6"/>
                <w:sz w:val="20"/>
                <w:szCs w:val="20"/>
              </w:rPr>
              <w:t>）</w:t>
            </w:r>
            <w:r>
              <w:rPr>
                <w:rFonts w:ascii="楷体" w:hAnsi="楷体" w:eastAsia="楷体" w:cs="楷体"/>
                <w:spacing w:val="-62"/>
                <w:sz w:val="20"/>
                <w:szCs w:val="20"/>
              </w:rPr>
              <w:t xml:space="preserve"> </w:t>
            </w:r>
            <w:r>
              <w:rPr>
                <w:rFonts w:ascii="楷体" w:hAnsi="楷体" w:eastAsia="楷体" w:cs="楷体"/>
                <w:spacing w:val="6"/>
                <w:sz w:val="20"/>
                <w:szCs w:val="20"/>
              </w:rPr>
              <w:t>≈</w:t>
            </w:r>
            <w:r>
              <w:rPr>
                <w:rFonts w:ascii="Times New Roman" w:hAnsi="Times New Roman" w:eastAsia="Times New Roman" w:cs="Times New Roman"/>
                <w:spacing w:val="6"/>
                <w:sz w:val="20"/>
                <w:szCs w:val="20"/>
              </w:rPr>
              <w:t>1.7%</w:t>
            </w:r>
            <w:r>
              <w:rPr>
                <w:rFonts w:ascii="Times New Roman" w:hAnsi="Times New Roman" w:eastAsia="Times New Roman" w:cs="Times New Roman"/>
                <w:spacing w:val="-23"/>
                <w:sz w:val="20"/>
                <w:szCs w:val="20"/>
              </w:rPr>
              <w:t xml:space="preserve"> </w:t>
            </w:r>
            <w:r>
              <w:rPr>
                <w:rFonts w:ascii="楷体" w:hAnsi="楷体" w:eastAsia="楷体" w:cs="楷体"/>
                <w:spacing w:val="6"/>
                <w:sz w:val="20"/>
                <w:szCs w:val="20"/>
              </w:rPr>
              <w:t>，查阅《胶</w:t>
            </w:r>
            <w:r>
              <w:rPr>
                <w:rFonts w:ascii="楷体" w:hAnsi="楷体" w:eastAsia="楷体" w:cs="楷体"/>
                <w:sz w:val="20"/>
                <w:szCs w:val="20"/>
              </w:rPr>
              <w:t xml:space="preserve"> </w:t>
            </w:r>
            <w:r>
              <w:rPr>
                <w:rFonts w:ascii="楷体" w:hAnsi="楷体" w:eastAsia="楷体" w:cs="楷体"/>
                <w:spacing w:val="8"/>
                <w:sz w:val="20"/>
                <w:szCs w:val="20"/>
              </w:rPr>
              <w:t>粘剂挥发性有机化合物限量》（</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 xml:space="preserve"> 33372-2020</w:t>
            </w:r>
            <w:r>
              <w:rPr>
                <w:rFonts w:ascii="楷体" w:hAnsi="楷体" w:eastAsia="楷体" w:cs="楷体"/>
                <w:spacing w:val="-8"/>
                <w:sz w:val="20"/>
                <w:szCs w:val="20"/>
              </w:rPr>
              <w:t>），</w:t>
            </w:r>
            <w:r>
              <w:rPr>
                <w:rFonts w:ascii="楷体" w:hAnsi="楷体" w:eastAsia="楷体" w:cs="楷体"/>
                <w:spacing w:val="8"/>
                <w:sz w:val="20"/>
                <w:szCs w:val="20"/>
              </w:rPr>
              <w:t>判定项</w:t>
            </w:r>
            <w:r>
              <w:rPr>
                <w:rFonts w:ascii="楷体" w:hAnsi="楷体" w:eastAsia="楷体" w:cs="楷体"/>
                <w:spacing w:val="7"/>
                <w:sz w:val="20"/>
                <w:szCs w:val="20"/>
              </w:rPr>
              <w:t>目所用的胶粘剂属于本体型胶</w:t>
            </w:r>
            <w:r>
              <w:rPr>
                <w:rFonts w:ascii="楷体" w:hAnsi="楷体" w:eastAsia="楷体" w:cs="楷体"/>
                <w:sz w:val="20"/>
                <w:szCs w:val="20"/>
              </w:rPr>
              <w:t xml:space="preserve"> </w:t>
            </w:r>
            <w:r>
              <w:rPr>
                <w:rFonts w:ascii="楷体" w:hAnsi="楷体" w:eastAsia="楷体" w:cs="楷体"/>
                <w:spacing w:val="6"/>
                <w:sz w:val="20"/>
                <w:szCs w:val="20"/>
              </w:rPr>
              <w:t>粘剂。</w:t>
            </w:r>
          </w:p>
          <w:p w14:paraId="4ED518C4">
            <w:pPr>
              <w:spacing w:before="1" w:line="249" w:lineRule="auto"/>
              <w:ind w:left="109" w:right="102" w:firstLine="414"/>
              <w:jc w:val="both"/>
              <w:rPr>
                <w:rFonts w:ascii="楷体" w:hAnsi="楷体" w:eastAsia="楷体" w:cs="楷体"/>
                <w:sz w:val="20"/>
                <w:szCs w:val="20"/>
              </w:rPr>
            </w:pPr>
            <w:r>
              <w:rPr>
                <w:rFonts w:ascii="楷体" w:hAnsi="楷体" w:eastAsia="楷体" w:cs="楷体"/>
                <w:spacing w:val="10"/>
                <w:sz w:val="20"/>
                <w:szCs w:val="20"/>
              </w:rPr>
              <w:t>根据建设单位送检、深圳市八六三新材料技术有限公司负责检测出具的环氧树脂挥</w:t>
            </w:r>
            <w:r>
              <w:rPr>
                <w:rFonts w:ascii="楷体" w:hAnsi="楷体" w:eastAsia="楷体" w:cs="楷体"/>
                <w:spacing w:val="12"/>
                <w:sz w:val="20"/>
                <w:szCs w:val="20"/>
              </w:rPr>
              <w:t xml:space="preserve"> 发性有机化合物（</w:t>
            </w:r>
            <w:r>
              <w:rPr>
                <w:rFonts w:ascii="Times New Roman" w:hAnsi="Times New Roman" w:eastAsia="Times New Roman" w:cs="Times New Roman"/>
                <w:sz w:val="20"/>
                <w:szCs w:val="20"/>
              </w:rPr>
              <w:t>VOC</w:t>
            </w:r>
            <w:r>
              <w:rPr>
                <w:rFonts w:ascii="楷体" w:hAnsi="楷体" w:eastAsia="楷体" w:cs="楷体"/>
                <w:spacing w:val="12"/>
                <w:sz w:val="20"/>
                <w:szCs w:val="20"/>
              </w:rPr>
              <w:t>）含量的检测报告，项目所用的</w:t>
            </w:r>
            <w:r>
              <w:rPr>
                <w:rFonts w:ascii="楷体" w:hAnsi="楷体" w:eastAsia="楷体" w:cs="楷体"/>
                <w:spacing w:val="11"/>
                <w:sz w:val="20"/>
                <w:szCs w:val="20"/>
              </w:rPr>
              <w:t>环氧树脂中挥发性有机物</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VOC</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 xml:space="preserve"> </w:t>
            </w:r>
            <w:r>
              <w:rPr>
                <w:rFonts w:ascii="楷体" w:hAnsi="楷体" w:eastAsia="楷体" w:cs="楷体"/>
                <w:spacing w:val="11"/>
                <w:sz w:val="20"/>
                <w:szCs w:val="20"/>
              </w:rPr>
              <w:t>的含量为未检出，检出限为</w:t>
            </w:r>
            <w:r>
              <w:rPr>
                <w:rFonts w:ascii="Times New Roman" w:hAnsi="Times New Roman" w:eastAsia="Times New Roman" w:cs="Times New Roman"/>
                <w:spacing w:val="11"/>
                <w:sz w:val="20"/>
                <w:szCs w:val="20"/>
              </w:rPr>
              <w:t>2g/</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 xml:space="preserve"> </w:t>
            </w:r>
            <w:r>
              <w:rPr>
                <w:rFonts w:ascii="楷体" w:hAnsi="楷体" w:eastAsia="楷体" w:cs="楷体"/>
                <w:spacing w:val="11"/>
                <w:sz w:val="20"/>
                <w:szCs w:val="20"/>
              </w:rPr>
              <w:t>，检测方法为《胶粘剂挥发性有机化合物限量》（</w:t>
            </w:r>
            <w:r>
              <w:rPr>
                <w:rFonts w:ascii="Times New Roman" w:hAnsi="Times New Roman" w:eastAsia="Times New Roman" w:cs="Times New Roman"/>
                <w:sz w:val="20"/>
                <w:szCs w:val="20"/>
              </w:rPr>
              <w:t xml:space="preserve">GB </w:t>
            </w:r>
            <w:r>
              <w:rPr>
                <w:rFonts w:ascii="Times New Roman" w:hAnsi="Times New Roman" w:eastAsia="Times New Roman" w:cs="Times New Roman"/>
                <w:spacing w:val="3"/>
                <w:sz w:val="20"/>
                <w:szCs w:val="20"/>
              </w:rPr>
              <w:t>33372-2020</w:t>
            </w:r>
            <w:r>
              <w:rPr>
                <w:rFonts w:ascii="楷体" w:hAnsi="楷体" w:eastAsia="楷体" w:cs="楷体"/>
                <w:spacing w:val="3"/>
                <w:sz w:val="20"/>
                <w:szCs w:val="20"/>
              </w:rPr>
              <w:t>）</w:t>
            </w:r>
            <w:r>
              <w:rPr>
                <w:rFonts w:ascii="楷体" w:hAnsi="楷体" w:eastAsia="楷体" w:cs="楷体"/>
                <w:spacing w:val="-43"/>
                <w:sz w:val="20"/>
                <w:szCs w:val="20"/>
              </w:rPr>
              <w:t xml:space="preserve"> </w:t>
            </w:r>
            <w:r>
              <w:rPr>
                <w:rFonts w:ascii="楷体" w:hAnsi="楷体" w:eastAsia="楷体" w:cs="楷体"/>
                <w:spacing w:val="3"/>
                <w:sz w:val="20"/>
                <w:szCs w:val="20"/>
              </w:rPr>
              <w:t>中的附录</w:t>
            </w:r>
            <w:r>
              <w:rPr>
                <w:rFonts w:ascii="楷体" w:hAnsi="楷体" w:eastAsia="楷体" w:cs="楷体"/>
                <w:spacing w:val="-40"/>
                <w:sz w:val="20"/>
                <w:szCs w:val="20"/>
              </w:rPr>
              <w:t xml:space="preserve"> </w:t>
            </w:r>
            <w:r>
              <w:rPr>
                <w:rFonts w:ascii="Times New Roman" w:hAnsi="Times New Roman" w:eastAsia="Times New Roman" w:cs="Times New Roman"/>
                <w:spacing w:val="3"/>
                <w:sz w:val="20"/>
                <w:szCs w:val="20"/>
              </w:rPr>
              <w:t>E</w:t>
            </w:r>
            <w:r>
              <w:rPr>
                <w:rFonts w:ascii="Times New Roman" w:hAnsi="Times New Roman" w:eastAsia="Times New Roman" w:cs="Times New Roman"/>
                <w:spacing w:val="19"/>
                <w:sz w:val="20"/>
                <w:szCs w:val="20"/>
              </w:rPr>
              <w:t xml:space="preserve"> </w:t>
            </w:r>
            <w:r>
              <w:rPr>
                <w:rFonts w:ascii="楷体" w:hAnsi="楷体" w:eastAsia="楷体" w:cs="楷体"/>
                <w:spacing w:val="3"/>
                <w:sz w:val="20"/>
                <w:szCs w:val="20"/>
              </w:rPr>
              <w:t>方法（详见附件</w:t>
            </w:r>
            <w:r>
              <w:rPr>
                <w:rFonts w:ascii="楷体" w:hAnsi="楷体" w:eastAsia="楷体" w:cs="楷体"/>
                <w:spacing w:val="-40"/>
                <w:sz w:val="20"/>
                <w:szCs w:val="20"/>
              </w:rPr>
              <w:t xml:space="preserve"> </w:t>
            </w:r>
            <w:r>
              <w:rPr>
                <w:rFonts w:ascii="Times New Roman" w:hAnsi="Times New Roman" w:eastAsia="Times New Roman" w:cs="Times New Roman"/>
                <w:spacing w:val="3"/>
                <w:sz w:val="20"/>
                <w:szCs w:val="20"/>
              </w:rPr>
              <w:t>7</w:t>
            </w:r>
            <w:r>
              <w:rPr>
                <w:rFonts w:ascii="楷体" w:hAnsi="楷体" w:eastAsia="楷体" w:cs="楷体"/>
                <w:spacing w:val="3"/>
                <w:sz w:val="20"/>
                <w:szCs w:val="20"/>
              </w:rPr>
              <w:t>）。</w:t>
            </w:r>
          </w:p>
          <w:p w14:paraId="68C0370C">
            <w:pPr>
              <w:spacing w:before="6" w:line="249" w:lineRule="auto"/>
              <w:ind w:left="100" w:right="102" w:firstLine="429"/>
              <w:jc w:val="both"/>
              <w:rPr>
                <w:rFonts w:ascii="楷体" w:hAnsi="楷体" w:eastAsia="楷体" w:cs="楷体"/>
                <w:sz w:val="20"/>
                <w:szCs w:val="20"/>
              </w:rPr>
            </w:pPr>
            <w:r>
              <w:rPr>
                <w:rFonts w:ascii="楷体" w:hAnsi="楷体" w:eastAsia="楷体" w:cs="楷体"/>
                <w:spacing w:val="4"/>
                <w:sz w:val="20"/>
                <w:szCs w:val="20"/>
              </w:rPr>
              <w:t>项目各原料的用量为环氧树脂</w:t>
            </w:r>
            <w:r>
              <w:rPr>
                <w:rFonts w:ascii="楷体" w:hAnsi="楷体" w:eastAsia="楷体" w:cs="楷体"/>
                <w:spacing w:val="-39"/>
                <w:sz w:val="20"/>
                <w:szCs w:val="20"/>
              </w:rPr>
              <w:t xml:space="preserve"> </w:t>
            </w:r>
            <w:r>
              <w:rPr>
                <w:rFonts w:ascii="Times New Roman" w:hAnsi="Times New Roman" w:eastAsia="Times New Roman" w:cs="Times New Roman"/>
                <w:spacing w:val="4"/>
                <w:sz w:val="20"/>
                <w:szCs w:val="20"/>
              </w:rPr>
              <w:t>972t/a</w:t>
            </w:r>
            <w:r>
              <w:rPr>
                <w:rFonts w:ascii="Times New Roman" w:hAnsi="Times New Roman" w:eastAsia="Times New Roman" w:cs="Times New Roman"/>
                <w:spacing w:val="-26"/>
                <w:sz w:val="20"/>
                <w:szCs w:val="20"/>
              </w:rPr>
              <w:t xml:space="preserve"> </w:t>
            </w:r>
            <w:r>
              <w:rPr>
                <w:rFonts w:ascii="楷体" w:hAnsi="楷体" w:eastAsia="楷体" w:cs="楷体"/>
                <w:spacing w:val="4"/>
                <w:sz w:val="20"/>
                <w:szCs w:val="20"/>
              </w:rPr>
              <w:t>、稀释剂</w:t>
            </w:r>
            <w:r>
              <w:rPr>
                <w:rFonts w:ascii="楷体" w:hAnsi="楷体" w:eastAsia="楷体" w:cs="楷体"/>
                <w:spacing w:val="-37"/>
                <w:sz w:val="20"/>
                <w:szCs w:val="20"/>
              </w:rPr>
              <w:t xml:space="preserve"> </w:t>
            </w:r>
            <w:r>
              <w:rPr>
                <w:rFonts w:ascii="Times New Roman" w:hAnsi="Times New Roman" w:eastAsia="Times New Roman" w:cs="Times New Roman"/>
                <w:spacing w:val="4"/>
                <w:sz w:val="20"/>
                <w:szCs w:val="20"/>
              </w:rPr>
              <w:t>9.72t/a</w:t>
            </w:r>
            <w:r>
              <w:rPr>
                <w:rFonts w:ascii="Times New Roman" w:hAnsi="Times New Roman" w:eastAsia="Times New Roman" w:cs="Times New Roman"/>
                <w:spacing w:val="-26"/>
                <w:sz w:val="20"/>
                <w:szCs w:val="20"/>
              </w:rPr>
              <w:t xml:space="preserve"> </w:t>
            </w:r>
            <w:r>
              <w:rPr>
                <w:rFonts w:ascii="楷体" w:hAnsi="楷体" w:eastAsia="楷体" w:cs="楷体"/>
                <w:spacing w:val="4"/>
                <w:sz w:val="20"/>
                <w:szCs w:val="20"/>
              </w:rPr>
              <w:t>、三乙醇胺</w:t>
            </w:r>
            <w:r>
              <w:rPr>
                <w:rFonts w:ascii="楷体" w:hAnsi="楷体" w:eastAsia="楷体" w:cs="楷体"/>
                <w:spacing w:val="-20"/>
                <w:sz w:val="20"/>
                <w:szCs w:val="20"/>
              </w:rPr>
              <w:t xml:space="preserve"> </w:t>
            </w:r>
            <w:r>
              <w:rPr>
                <w:rFonts w:ascii="Times New Roman" w:hAnsi="Times New Roman" w:eastAsia="Times New Roman" w:cs="Times New Roman"/>
                <w:spacing w:val="4"/>
                <w:sz w:val="20"/>
                <w:szCs w:val="20"/>
              </w:rPr>
              <w:t>171.5t/a</w:t>
            </w:r>
            <w:r>
              <w:rPr>
                <w:rFonts w:ascii="Times New Roman" w:hAnsi="Times New Roman" w:eastAsia="Times New Roman" w:cs="Times New Roman"/>
                <w:spacing w:val="-26"/>
                <w:sz w:val="20"/>
                <w:szCs w:val="20"/>
              </w:rPr>
              <w:t xml:space="preserve"> </w:t>
            </w:r>
            <w:r>
              <w:rPr>
                <w:rFonts w:ascii="楷体" w:hAnsi="楷体" w:eastAsia="楷体" w:cs="楷体"/>
                <w:spacing w:val="4"/>
                <w:sz w:val="20"/>
                <w:szCs w:val="20"/>
              </w:rPr>
              <w:t>，</w:t>
            </w:r>
            <w:r>
              <w:rPr>
                <w:rFonts w:ascii="楷体" w:hAnsi="楷体" w:eastAsia="楷体" w:cs="楷体"/>
                <w:spacing w:val="3"/>
                <w:sz w:val="20"/>
                <w:szCs w:val="20"/>
              </w:rPr>
              <w:t>融合形成</w:t>
            </w:r>
            <w:r>
              <w:rPr>
                <w:rFonts w:ascii="楷体" w:hAnsi="楷体" w:eastAsia="楷体" w:cs="楷体"/>
                <w:sz w:val="20"/>
                <w:szCs w:val="20"/>
              </w:rPr>
              <w:t xml:space="preserve"> </w:t>
            </w:r>
            <w:r>
              <w:rPr>
                <w:rFonts w:ascii="楷体" w:hAnsi="楷体" w:eastAsia="楷体" w:cs="楷体"/>
                <w:spacing w:val="6"/>
                <w:sz w:val="20"/>
                <w:szCs w:val="20"/>
              </w:rPr>
              <w:t>胶粘剂后合计</w:t>
            </w:r>
            <w:r>
              <w:rPr>
                <w:rFonts w:ascii="楷体" w:hAnsi="楷体" w:eastAsia="楷体" w:cs="楷体"/>
                <w:spacing w:val="-23"/>
                <w:sz w:val="20"/>
                <w:szCs w:val="20"/>
              </w:rPr>
              <w:t xml:space="preserve"> </w:t>
            </w:r>
            <w:r>
              <w:rPr>
                <w:rFonts w:ascii="Times New Roman" w:hAnsi="Times New Roman" w:eastAsia="Times New Roman" w:cs="Times New Roman"/>
                <w:spacing w:val="6"/>
                <w:sz w:val="20"/>
                <w:szCs w:val="20"/>
              </w:rPr>
              <w:t>1153.22t/a</w:t>
            </w:r>
            <w:r>
              <w:rPr>
                <w:rFonts w:ascii="楷体" w:hAnsi="楷体" w:eastAsia="楷体" w:cs="楷体"/>
                <w:spacing w:val="6"/>
                <w:sz w:val="20"/>
                <w:szCs w:val="20"/>
              </w:rPr>
              <w:t>。根据检测报告，项目所用的环氧树脂中挥发性</w:t>
            </w:r>
            <w:r>
              <w:rPr>
                <w:rFonts w:ascii="楷体" w:hAnsi="楷体" w:eastAsia="楷体" w:cs="楷体"/>
                <w:spacing w:val="5"/>
                <w:sz w:val="20"/>
                <w:szCs w:val="20"/>
              </w:rPr>
              <w:t>有机物</w:t>
            </w:r>
            <w:r>
              <w:rPr>
                <w:rFonts w:ascii="Times New Roman" w:hAnsi="Times New Roman" w:eastAsia="Times New Roman" w:cs="Times New Roman"/>
                <w:spacing w:val="5"/>
                <w:sz w:val="20"/>
                <w:szCs w:val="20"/>
              </w:rPr>
              <w:t>(</w:t>
            </w:r>
            <w:r>
              <w:rPr>
                <w:rFonts w:ascii="楷体" w:hAnsi="楷体" w:eastAsia="楷体" w:cs="楷体"/>
                <w:spacing w:val="5"/>
                <w:sz w:val="20"/>
                <w:szCs w:val="20"/>
              </w:rPr>
              <w:t>以</w:t>
            </w:r>
            <w:r>
              <w:rPr>
                <w:rFonts w:ascii="楷体" w:hAnsi="楷体" w:eastAsia="楷体" w:cs="楷体"/>
                <w:spacing w:val="-46"/>
                <w:sz w:val="20"/>
                <w:szCs w:val="20"/>
              </w:rPr>
              <w:t xml:space="preserve"> </w:t>
            </w:r>
            <w:r>
              <w:rPr>
                <w:rFonts w:ascii="Times New Roman" w:hAnsi="Times New Roman" w:eastAsia="Times New Roman" w:cs="Times New Roman"/>
                <w:sz w:val="20"/>
                <w:szCs w:val="20"/>
              </w:rPr>
              <w:t xml:space="preserve">VOCs </w:t>
            </w:r>
            <w:r>
              <w:rPr>
                <w:rFonts w:ascii="楷体" w:hAnsi="楷体" w:eastAsia="楷体" w:cs="楷体"/>
                <w:spacing w:val="6"/>
                <w:sz w:val="20"/>
                <w:szCs w:val="20"/>
              </w:rPr>
              <w:t>计</w:t>
            </w:r>
            <w:r>
              <w:rPr>
                <w:rFonts w:ascii="Times New Roman" w:hAnsi="Times New Roman" w:eastAsia="Times New Roman" w:cs="Times New Roman"/>
                <w:spacing w:val="6"/>
                <w:sz w:val="20"/>
                <w:szCs w:val="20"/>
              </w:rPr>
              <w:t>)</w:t>
            </w:r>
            <w:r>
              <w:rPr>
                <w:rFonts w:ascii="楷体" w:hAnsi="楷体" w:eastAsia="楷体" w:cs="楷体"/>
                <w:spacing w:val="6"/>
                <w:sz w:val="20"/>
                <w:szCs w:val="20"/>
              </w:rPr>
              <w:t>的含量，可用检出限</w:t>
            </w:r>
            <w:r>
              <w:rPr>
                <w:rFonts w:ascii="楷体" w:hAnsi="楷体" w:eastAsia="楷体" w:cs="楷体"/>
                <w:spacing w:val="-22"/>
                <w:sz w:val="20"/>
                <w:szCs w:val="20"/>
              </w:rPr>
              <w:t xml:space="preserve"> </w:t>
            </w:r>
            <w:r>
              <w:rPr>
                <w:rFonts w:ascii="Times New Roman" w:hAnsi="Times New Roman" w:eastAsia="Times New Roman" w:cs="Times New Roman"/>
                <w:spacing w:val="6"/>
                <w:sz w:val="20"/>
                <w:szCs w:val="20"/>
              </w:rPr>
              <w:t>0.2g/</w:t>
            </w:r>
            <w:r>
              <w:rPr>
                <w:rFonts w:ascii="Times New Roman" w:hAnsi="Times New Roman" w:eastAsia="Times New Roman" w:cs="Times New Roman"/>
                <w:sz w:val="20"/>
                <w:szCs w:val="20"/>
              </w:rPr>
              <w:t>kg</w:t>
            </w:r>
            <w:r>
              <w:rPr>
                <w:rFonts w:ascii="Times New Roman" w:hAnsi="Times New Roman" w:eastAsia="Times New Roman" w:cs="Times New Roman"/>
                <w:spacing w:val="15"/>
                <w:w w:val="101"/>
                <w:sz w:val="20"/>
                <w:szCs w:val="20"/>
              </w:rPr>
              <w:t xml:space="preserve"> </w:t>
            </w:r>
            <w:r>
              <w:rPr>
                <w:rFonts w:ascii="楷体" w:hAnsi="楷体" w:eastAsia="楷体" w:cs="楷体"/>
                <w:spacing w:val="6"/>
                <w:sz w:val="20"/>
                <w:szCs w:val="20"/>
              </w:rPr>
              <w:t>估算，即为</w:t>
            </w:r>
            <w:r>
              <w:rPr>
                <w:rFonts w:ascii="楷体" w:hAnsi="楷体" w:eastAsia="楷体" w:cs="楷体"/>
                <w:spacing w:val="-40"/>
                <w:sz w:val="20"/>
                <w:szCs w:val="20"/>
              </w:rPr>
              <w:t xml:space="preserve"> </w:t>
            </w:r>
            <w:r>
              <w:rPr>
                <w:rFonts w:ascii="Times New Roman" w:hAnsi="Times New Roman" w:eastAsia="Times New Roman" w:cs="Times New Roman"/>
                <w:spacing w:val="6"/>
                <w:sz w:val="20"/>
                <w:szCs w:val="20"/>
              </w:rPr>
              <w:t>0.972t/a</w:t>
            </w:r>
            <w:r>
              <w:rPr>
                <w:rFonts w:ascii="楷体" w:hAnsi="楷体" w:eastAsia="楷体" w:cs="楷体"/>
                <w:spacing w:val="6"/>
                <w:sz w:val="20"/>
                <w:szCs w:val="20"/>
              </w:rPr>
              <w:t>；项目所用稀释剂全部是挥发性有机</w:t>
            </w:r>
            <w:r>
              <w:rPr>
                <w:rFonts w:ascii="楷体" w:hAnsi="楷体" w:eastAsia="楷体" w:cs="楷体"/>
                <w:sz w:val="20"/>
                <w:szCs w:val="20"/>
              </w:rPr>
              <w:t xml:space="preserve"> </w:t>
            </w:r>
            <w:r>
              <w:rPr>
                <w:rFonts w:ascii="楷体" w:hAnsi="楷体" w:eastAsia="楷体" w:cs="楷体"/>
                <w:spacing w:val="6"/>
                <w:sz w:val="20"/>
                <w:szCs w:val="20"/>
              </w:rPr>
              <w:t>化合物</w:t>
            </w:r>
            <w:r>
              <w:rPr>
                <w:rFonts w:ascii="Times New Roman" w:hAnsi="Times New Roman" w:eastAsia="Times New Roman" w:cs="Times New Roman"/>
                <w:spacing w:val="6"/>
                <w:sz w:val="20"/>
                <w:szCs w:val="20"/>
              </w:rPr>
              <w:t>(</w:t>
            </w:r>
            <w:r>
              <w:rPr>
                <w:rFonts w:ascii="楷体" w:hAnsi="楷体" w:eastAsia="楷体" w:cs="楷体"/>
                <w:spacing w:val="6"/>
                <w:sz w:val="20"/>
                <w:szCs w:val="20"/>
              </w:rPr>
              <w:t>以</w:t>
            </w:r>
            <w:r>
              <w:rPr>
                <w:rFonts w:ascii="楷体" w:hAnsi="楷体" w:eastAsia="楷体" w:cs="楷体"/>
                <w:spacing w:val="-50"/>
                <w:sz w:val="20"/>
                <w:szCs w:val="20"/>
              </w:rPr>
              <w:t xml:space="preserve"> </w:t>
            </w:r>
            <w:r>
              <w:rPr>
                <w:rFonts w:ascii="Times New Roman" w:hAnsi="Times New Roman" w:eastAsia="Times New Roman" w:cs="Times New Roman"/>
                <w:sz w:val="20"/>
                <w:szCs w:val="20"/>
              </w:rPr>
              <w:t>NMHC</w:t>
            </w:r>
            <w:r>
              <w:rPr>
                <w:rFonts w:ascii="Times New Roman" w:hAnsi="Times New Roman" w:eastAsia="Times New Roman" w:cs="Times New Roman"/>
                <w:spacing w:val="17"/>
                <w:sz w:val="20"/>
                <w:szCs w:val="20"/>
              </w:rPr>
              <w:t xml:space="preserve"> </w:t>
            </w:r>
            <w:r>
              <w:rPr>
                <w:rFonts w:ascii="楷体" w:hAnsi="楷体" w:eastAsia="楷体" w:cs="楷体"/>
                <w:spacing w:val="6"/>
                <w:sz w:val="20"/>
                <w:szCs w:val="20"/>
              </w:rPr>
              <w:t>计</w:t>
            </w:r>
            <w:r>
              <w:rPr>
                <w:rFonts w:ascii="Times New Roman" w:hAnsi="Times New Roman" w:eastAsia="Times New Roman" w:cs="Times New Roman"/>
                <w:spacing w:val="6"/>
                <w:sz w:val="20"/>
                <w:szCs w:val="20"/>
              </w:rPr>
              <w:t>)</w:t>
            </w:r>
            <w:r>
              <w:rPr>
                <w:rFonts w:ascii="楷体" w:hAnsi="楷体" w:eastAsia="楷体" w:cs="楷体"/>
                <w:spacing w:val="6"/>
                <w:sz w:val="20"/>
                <w:szCs w:val="20"/>
              </w:rPr>
              <w:t>，即为</w:t>
            </w:r>
            <w:r>
              <w:rPr>
                <w:rFonts w:ascii="楷体" w:hAnsi="楷体" w:eastAsia="楷体" w:cs="楷体"/>
                <w:spacing w:val="-37"/>
                <w:sz w:val="20"/>
                <w:szCs w:val="20"/>
              </w:rPr>
              <w:t xml:space="preserve"> </w:t>
            </w:r>
            <w:r>
              <w:rPr>
                <w:rFonts w:ascii="Times New Roman" w:hAnsi="Times New Roman" w:eastAsia="Times New Roman" w:cs="Times New Roman"/>
                <w:spacing w:val="6"/>
                <w:sz w:val="20"/>
                <w:szCs w:val="20"/>
              </w:rPr>
              <w:t>9.72t/a</w:t>
            </w:r>
            <w:r>
              <w:rPr>
                <w:rFonts w:ascii="Times New Roman" w:hAnsi="Times New Roman" w:eastAsia="Times New Roman" w:cs="Times New Roman"/>
                <w:spacing w:val="-24"/>
                <w:sz w:val="20"/>
                <w:szCs w:val="20"/>
              </w:rPr>
              <w:t xml:space="preserve"> </w:t>
            </w:r>
            <w:r>
              <w:rPr>
                <w:rFonts w:ascii="楷体" w:hAnsi="楷体" w:eastAsia="楷体" w:cs="楷体"/>
                <w:spacing w:val="6"/>
                <w:sz w:val="20"/>
                <w:szCs w:val="20"/>
              </w:rPr>
              <w:t>。因此项目配胶工序形成的胶粘剂中挥发</w:t>
            </w:r>
            <w:r>
              <w:rPr>
                <w:rFonts w:ascii="楷体" w:hAnsi="楷体" w:eastAsia="楷体" w:cs="楷体"/>
                <w:spacing w:val="5"/>
                <w:sz w:val="20"/>
                <w:szCs w:val="20"/>
              </w:rPr>
              <w:t>性有机物</w:t>
            </w:r>
            <w:r>
              <w:rPr>
                <w:rFonts w:ascii="Times New Roman" w:hAnsi="Times New Roman" w:eastAsia="Times New Roman" w:cs="Times New Roman"/>
                <w:spacing w:val="5"/>
                <w:sz w:val="20"/>
                <w:szCs w:val="20"/>
              </w:rPr>
              <w:t>(</w:t>
            </w:r>
            <w:r>
              <w:rPr>
                <w:rFonts w:ascii="楷体" w:hAnsi="楷体" w:eastAsia="楷体" w:cs="楷体"/>
                <w:spacing w:val="5"/>
                <w:sz w:val="20"/>
                <w:szCs w:val="20"/>
              </w:rPr>
              <w:t>以</w:t>
            </w:r>
            <w:r>
              <w:rPr>
                <w:rFonts w:ascii="楷体" w:hAnsi="楷体" w:eastAsia="楷体" w:cs="楷体"/>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7"/>
                <w:sz w:val="20"/>
                <w:szCs w:val="20"/>
              </w:rPr>
              <w:t xml:space="preserve"> </w:t>
            </w:r>
            <w:r>
              <w:rPr>
                <w:rFonts w:ascii="楷体" w:hAnsi="楷体" w:eastAsia="楷体" w:cs="楷体"/>
                <w:spacing w:val="5"/>
                <w:sz w:val="20"/>
                <w:szCs w:val="20"/>
              </w:rPr>
              <w:t>计</w:t>
            </w:r>
            <w:r>
              <w:rPr>
                <w:rFonts w:ascii="Times New Roman" w:hAnsi="Times New Roman" w:eastAsia="Times New Roman" w:cs="Times New Roman"/>
                <w:spacing w:val="5"/>
                <w:sz w:val="20"/>
                <w:szCs w:val="20"/>
              </w:rPr>
              <w:t>)</w:t>
            </w:r>
            <w:r>
              <w:rPr>
                <w:rFonts w:ascii="楷体" w:hAnsi="楷体" w:eastAsia="楷体" w:cs="楷体"/>
                <w:spacing w:val="5"/>
                <w:sz w:val="20"/>
                <w:szCs w:val="20"/>
              </w:rPr>
              <w:t>的含量为</w:t>
            </w:r>
            <w:r>
              <w:rPr>
                <w:rFonts w:ascii="楷体" w:hAnsi="楷体" w:eastAsia="楷体" w:cs="楷体"/>
                <w:spacing w:val="-37"/>
                <w:sz w:val="20"/>
                <w:szCs w:val="20"/>
              </w:rPr>
              <w:t xml:space="preserve"> </w:t>
            </w:r>
            <w:r>
              <w:rPr>
                <w:rFonts w:ascii="Times New Roman" w:hAnsi="Times New Roman" w:eastAsia="Times New Roman" w:cs="Times New Roman"/>
                <w:spacing w:val="5"/>
                <w:sz w:val="20"/>
                <w:szCs w:val="20"/>
              </w:rPr>
              <w:t>9.9144t/a</w:t>
            </w:r>
            <w:r>
              <w:rPr>
                <w:rFonts w:ascii="Times New Roman" w:hAnsi="Times New Roman" w:eastAsia="Times New Roman" w:cs="Times New Roman"/>
                <w:spacing w:val="-26"/>
                <w:sz w:val="20"/>
                <w:szCs w:val="20"/>
              </w:rPr>
              <w:t xml:space="preserve"> </w:t>
            </w:r>
            <w:r>
              <w:rPr>
                <w:rFonts w:ascii="楷体" w:hAnsi="楷体" w:eastAsia="楷体" w:cs="楷体"/>
                <w:spacing w:val="5"/>
                <w:sz w:val="20"/>
                <w:szCs w:val="20"/>
              </w:rPr>
              <w:t>，结合胶粘剂的总量，折合约为</w:t>
            </w:r>
            <w:r>
              <w:rPr>
                <w:rFonts w:ascii="楷体" w:hAnsi="楷体" w:eastAsia="楷体" w:cs="楷体"/>
                <w:spacing w:val="-32"/>
                <w:sz w:val="20"/>
                <w:szCs w:val="20"/>
              </w:rPr>
              <w:t xml:space="preserve"> </w:t>
            </w:r>
            <w:r>
              <w:rPr>
                <w:rFonts w:ascii="Times New Roman" w:hAnsi="Times New Roman" w:eastAsia="Times New Roman" w:cs="Times New Roman"/>
                <w:spacing w:val="5"/>
                <w:sz w:val="20"/>
                <w:szCs w:val="20"/>
              </w:rPr>
              <w:t>8.6g/</w:t>
            </w:r>
            <w:r>
              <w:rPr>
                <w:rFonts w:ascii="Times New Roman" w:hAnsi="Times New Roman" w:eastAsia="Times New Roman" w:cs="Times New Roman"/>
                <w:sz w:val="20"/>
                <w:szCs w:val="20"/>
              </w:rPr>
              <w:t>kg</w:t>
            </w:r>
            <w:r>
              <w:rPr>
                <w:rFonts w:ascii="楷体" w:hAnsi="楷体" w:eastAsia="楷体" w:cs="楷体"/>
                <w:spacing w:val="5"/>
                <w:sz w:val="20"/>
                <w:szCs w:val="20"/>
              </w:rPr>
              <w:t>，</w:t>
            </w:r>
            <w:r>
              <w:rPr>
                <w:rFonts w:ascii="楷体" w:hAnsi="楷体" w:eastAsia="楷体" w:cs="楷体"/>
                <w:spacing w:val="4"/>
                <w:sz w:val="20"/>
                <w:szCs w:val="20"/>
              </w:rPr>
              <w:t>低于《胶粘剂挥发</w:t>
            </w:r>
            <w:r>
              <w:rPr>
                <w:rFonts w:ascii="楷体" w:hAnsi="楷体" w:eastAsia="楷体" w:cs="楷体"/>
                <w:sz w:val="20"/>
                <w:szCs w:val="20"/>
              </w:rPr>
              <w:t xml:space="preserve"> </w:t>
            </w:r>
            <w:r>
              <w:rPr>
                <w:rFonts w:ascii="楷体" w:hAnsi="楷体" w:eastAsia="楷体" w:cs="楷体"/>
                <w:spacing w:val="9"/>
                <w:sz w:val="20"/>
                <w:szCs w:val="20"/>
              </w:rPr>
              <w:t>性有机化合物限量》（</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33372-2020</w:t>
            </w:r>
            <w:r>
              <w:rPr>
                <w:rFonts w:ascii="楷体" w:hAnsi="楷体" w:eastAsia="楷体" w:cs="楷体"/>
                <w:spacing w:val="9"/>
                <w:sz w:val="20"/>
                <w:szCs w:val="20"/>
              </w:rPr>
              <w:t>）</w:t>
            </w:r>
            <w:r>
              <w:rPr>
                <w:rFonts w:ascii="楷体" w:hAnsi="楷体" w:eastAsia="楷体" w:cs="楷体"/>
                <w:spacing w:val="-47"/>
                <w:sz w:val="20"/>
                <w:szCs w:val="20"/>
              </w:rPr>
              <w:t xml:space="preserve"> </w:t>
            </w:r>
            <w:r>
              <w:rPr>
                <w:rFonts w:ascii="楷体" w:hAnsi="楷体" w:eastAsia="楷体" w:cs="楷体"/>
                <w:spacing w:val="9"/>
                <w:sz w:val="20"/>
                <w:szCs w:val="20"/>
              </w:rPr>
              <w:t>中“表</w:t>
            </w:r>
            <w:r>
              <w:rPr>
                <w:rFonts w:ascii="楷体" w:hAnsi="楷体" w:eastAsia="楷体" w:cs="楷体"/>
                <w:spacing w:val="-36"/>
                <w:sz w:val="20"/>
                <w:szCs w:val="20"/>
              </w:rPr>
              <w:t xml:space="preserve"> </w:t>
            </w:r>
            <w:r>
              <w:rPr>
                <w:rFonts w:ascii="Times New Roman" w:hAnsi="Times New Roman" w:eastAsia="Times New Roman" w:cs="Times New Roman"/>
                <w:spacing w:val="9"/>
                <w:sz w:val="20"/>
                <w:szCs w:val="20"/>
              </w:rPr>
              <w:t>3</w:t>
            </w:r>
            <w:r>
              <w:rPr>
                <w:rFonts w:ascii="Times New Roman" w:hAnsi="Times New Roman" w:eastAsia="Times New Roman" w:cs="Times New Roman"/>
                <w:spacing w:val="19"/>
                <w:w w:val="101"/>
                <w:sz w:val="20"/>
                <w:szCs w:val="20"/>
              </w:rPr>
              <w:t xml:space="preserve"> </w:t>
            </w:r>
            <w:r>
              <w:rPr>
                <w:rFonts w:ascii="楷体" w:hAnsi="楷体" w:eastAsia="楷体" w:cs="楷体"/>
                <w:spacing w:val="9"/>
                <w:sz w:val="20"/>
                <w:szCs w:val="20"/>
              </w:rPr>
              <w:t>本体型胶粘剂</w:t>
            </w:r>
            <w:r>
              <w:rPr>
                <w:rFonts w:ascii="Times New Roman" w:hAnsi="Times New Roman" w:eastAsia="Times New Roman" w:cs="Times New Roman"/>
                <w:sz w:val="20"/>
                <w:szCs w:val="20"/>
              </w:rPr>
              <w:t>VOC</w:t>
            </w:r>
            <w:r>
              <w:rPr>
                <w:rFonts w:ascii="Times New Roman" w:hAnsi="Times New Roman" w:eastAsia="Times New Roman" w:cs="Times New Roman"/>
                <w:spacing w:val="9"/>
                <w:sz w:val="20"/>
                <w:szCs w:val="20"/>
              </w:rPr>
              <w:t xml:space="preserve"> </w:t>
            </w:r>
            <w:r>
              <w:rPr>
                <w:rFonts w:ascii="楷体" w:hAnsi="楷体" w:eastAsia="楷体" w:cs="楷体"/>
                <w:spacing w:val="9"/>
                <w:sz w:val="20"/>
                <w:szCs w:val="20"/>
              </w:rPr>
              <w:t>含量限量</w:t>
            </w:r>
            <w:r>
              <w:rPr>
                <w:rFonts w:ascii="楷体" w:hAnsi="楷体" w:eastAsia="楷体" w:cs="楷体"/>
                <w:spacing w:val="-70"/>
                <w:sz w:val="20"/>
                <w:szCs w:val="20"/>
              </w:rPr>
              <w:t xml:space="preserve"> </w:t>
            </w:r>
            <w:r>
              <w:rPr>
                <w:rFonts w:ascii="楷体" w:hAnsi="楷体" w:eastAsia="楷体" w:cs="楷体"/>
                <w:spacing w:val="9"/>
                <w:sz w:val="20"/>
                <w:szCs w:val="20"/>
              </w:rPr>
              <w:t>”（环氧</w:t>
            </w:r>
            <w:r>
              <w:rPr>
                <w:rFonts w:ascii="楷体" w:hAnsi="楷体" w:eastAsia="楷体" w:cs="楷体"/>
                <w:sz w:val="20"/>
                <w:szCs w:val="20"/>
              </w:rPr>
              <w:t xml:space="preserve"> </w:t>
            </w:r>
            <w:r>
              <w:rPr>
                <w:rFonts w:ascii="楷体" w:hAnsi="楷体" w:eastAsia="楷体" w:cs="楷体"/>
                <w:spacing w:val="6"/>
                <w:sz w:val="20"/>
                <w:szCs w:val="20"/>
              </w:rPr>
              <w:t>树脂类</w:t>
            </w:r>
            <w:r>
              <w:rPr>
                <w:rFonts w:ascii="Times New Roman" w:hAnsi="Times New Roman" w:eastAsia="Times New Roman" w:cs="Times New Roman"/>
                <w:spacing w:val="6"/>
                <w:sz w:val="20"/>
                <w:szCs w:val="20"/>
              </w:rPr>
              <w:t>-</w:t>
            </w:r>
            <w:r>
              <w:rPr>
                <w:rFonts w:ascii="楷体" w:hAnsi="楷体" w:eastAsia="楷体" w:cs="楷体"/>
                <w:spacing w:val="6"/>
                <w:sz w:val="20"/>
                <w:szCs w:val="20"/>
              </w:rPr>
              <w:t>其他</w:t>
            </w:r>
            <w:r>
              <w:rPr>
                <w:rFonts w:ascii="Times New Roman" w:hAnsi="Times New Roman" w:eastAsia="Times New Roman" w:cs="Times New Roman"/>
                <w:spacing w:val="6"/>
                <w:sz w:val="20"/>
                <w:szCs w:val="20"/>
              </w:rPr>
              <w:t>-50g/</w:t>
            </w:r>
            <w:r>
              <w:rPr>
                <w:rFonts w:ascii="Times New Roman" w:hAnsi="Times New Roman" w:eastAsia="Times New Roman" w:cs="Times New Roman"/>
                <w:sz w:val="20"/>
                <w:szCs w:val="20"/>
              </w:rPr>
              <w:t>kg</w:t>
            </w:r>
            <w:r>
              <w:rPr>
                <w:rFonts w:ascii="楷体" w:hAnsi="楷体" w:eastAsia="楷体" w:cs="楷体"/>
                <w:spacing w:val="6"/>
                <w:sz w:val="20"/>
                <w:szCs w:val="20"/>
              </w:rPr>
              <w:t>）。</w:t>
            </w:r>
          </w:p>
          <w:p w14:paraId="7E8E03FE">
            <w:pPr>
              <w:spacing w:before="20" w:line="249" w:lineRule="auto"/>
              <w:ind w:left="99" w:right="102" w:firstLine="434"/>
              <w:rPr>
                <w:rFonts w:ascii="楷体" w:hAnsi="楷体" w:eastAsia="楷体" w:cs="楷体"/>
                <w:sz w:val="20"/>
                <w:szCs w:val="20"/>
              </w:rPr>
            </w:pPr>
            <w:r>
              <w:rPr>
                <w:rFonts w:ascii="楷体" w:hAnsi="楷体" w:eastAsia="楷体" w:cs="楷体"/>
                <w:spacing w:val="7"/>
                <w:sz w:val="20"/>
                <w:szCs w:val="20"/>
              </w:rPr>
              <w:t>综上，项目使用的原辅材料配成胶后，挥发</w:t>
            </w:r>
            <w:r>
              <w:rPr>
                <w:rFonts w:ascii="楷体" w:hAnsi="楷体" w:eastAsia="楷体" w:cs="楷体"/>
                <w:spacing w:val="6"/>
                <w:sz w:val="20"/>
                <w:szCs w:val="20"/>
              </w:rPr>
              <w:t>性有机物</w:t>
            </w:r>
            <w:r>
              <w:rPr>
                <w:rFonts w:ascii="Times New Roman" w:hAnsi="Times New Roman" w:eastAsia="Times New Roman" w:cs="Times New Roman"/>
                <w:spacing w:val="6"/>
                <w:sz w:val="20"/>
                <w:szCs w:val="20"/>
              </w:rPr>
              <w:t>(</w:t>
            </w:r>
            <w:r>
              <w:rPr>
                <w:rFonts w:ascii="楷体" w:hAnsi="楷体" w:eastAsia="楷体" w:cs="楷体"/>
                <w:spacing w:val="6"/>
                <w:sz w:val="20"/>
                <w:szCs w:val="20"/>
              </w:rPr>
              <w:t>以</w:t>
            </w:r>
            <w:r>
              <w:rPr>
                <w:rFonts w:ascii="楷体" w:hAnsi="楷体" w:eastAsia="楷体" w:cs="楷体"/>
                <w:spacing w:val="-39"/>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7"/>
                <w:sz w:val="20"/>
                <w:szCs w:val="20"/>
              </w:rPr>
              <w:t xml:space="preserve"> </w:t>
            </w:r>
            <w:r>
              <w:rPr>
                <w:rFonts w:ascii="楷体" w:hAnsi="楷体" w:eastAsia="楷体" w:cs="楷体"/>
                <w:spacing w:val="6"/>
                <w:sz w:val="20"/>
                <w:szCs w:val="20"/>
              </w:rPr>
              <w:t>计）的含量满足《胶</w:t>
            </w:r>
            <w:r>
              <w:rPr>
                <w:rFonts w:ascii="楷体" w:hAnsi="楷体" w:eastAsia="楷体" w:cs="楷体"/>
                <w:sz w:val="20"/>
                <w:szCs w:val="20"/>
              </w:rPr>
              <w:t xml:space="preserve"> </w:t>
            </w:r>
            <w:r>
              <w:rPr>
                <w:rFonts w:ascii="楷体" w:hAnsi="楷体" w:eastAsia="楷体" w:cs="楷体"/>
                <w:spacing w:val="8"/>
                <w:sz w:val="20"/>
                <w:szCs w:val="20"/>
              </w:rPr>
              <w:t>粘剂挥发性有机化合物限量》（</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 xml:space="preserve"> 33372-2020</w:t>
            </w:r>
            <w:r>
              <w:rPr>
                <w:rFonts w:ascii="楷体" w:hAnsi="楷体" w:eastAsia="楷体" w:cs="楷体"/>
                <w:spacing w:val="8"/>
                <w:sz w:val="20"/>
                <w:szCs w:val="20"/>
              </w:rPr>
              <w:t>）的要求。</w:t>
            </w:r>
          </w:p>
          <w:p w14:paraId="531C5B3B">
            <w:pPr>
              <w:spacing w:before="5" w:line="232" w:lineRule="auto"/>
              <w:ind w:left="523"/>
              <w:rPr>
                <w:rFonts w:ascii="楷体" w:hAnsi="楷体" w:eastAsia="楷体" w:cs="楷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8"/>
                <w:sz w:val="20"/>
                <w:szCs w:val="20"/>
              </w:rPr>
              <w:t xml:space="preserve"> </w:t>
            </w:r>
            <w:r>
              <w:rPr>
                <w:rFonts w:ascii="楷体" w:hAnsi="楷体" w:eastAsia="楷体" w:cs="楷体"/>
                <w:spacing w:val="6"/>
                <w:sz w:val="20"/>
                <w:szCs w:val="20"/>
              </w:rPr>
              <w:t>、燃料的使用核算详见后文。</w:t>
            </w:r>
          </w:p>
          <w:p w14:paraId="7E5D3A99">
            <w:pPr>
              <w:pStyle w:val="6"/>
              <w:spacing w:before="143" w:line="219" w:lineRule="auto"/>
              <w:ind w:left="568"/>
            </w:pPr>
            <w:r>
              <w:rPr>
                <w:spacing w:val="-12"/>
              </w:rPr>
              <w:t>各原辅材料的理化性质如下：</w:t>
            </w:r>
          </w:p>
          <w:p w14:paraId="3A341AB7">
            <w:pPr>
              <w:pStyle w:val="6"/>
              <w:spacing w:before="186" w:line="359" w:lineRule="auto"/>
              <w:ind w:left="109" w:right="90" w:firstLine="461"/>
              <w:jc w:val="both"/>
            </w:pPr>
            <w:r>
              <w:rPr>
                <w:spacing w:val="-13"/>
              </w:rPr>
              <w:t>原料宝石：原料宝石指那种经过</w:t>
            </w:r>
            <w:r>
              <w:fldChar w:fldCharType="begin"/>
            </w:r>
            <w:r>
              <w:instrText xml:space="preserve"> HYPERLINK "https://baike.baidu.com/item/%E7%90%A2%E7%A3%A8" </w:instrText>
            </w:r>
            <w:r>
              <w:fldChar w:fldCharType="separate"/>
            </w:r>
            <w:r>
              <w:rPr>
                <w:spacing w:val="-13"/>
              </w:rPr>
              <w:t>琢磨</w:t>
            </w:r>
            <w:r>
              <w:rPr>
                <w:spacing w:val="-13"/>
              </w:rPr>
              <w:fldChar w:fldCharType="end"/>
            </w:r>
            <w:r>
              <w:rPr>
                <w:spacing w:val="-13"/>
              </w:rPr>
              <w:t>和</w:t>
            </w:r>
            <w:r>
              <w:fldChar w:fldCharType="begin"/>
            </w:r>
            <w:r>
              <w:instrText xml:space="preserve"> HYPERLINK "https://baike.baidu.com/item/%E6%8A%9B%E5%85%89" </w:instrText>
            </w:r>
            <w:r>
              <w:fldChar w:fldCharType="separate"/>
            </w:r>
            <w:r>
              <w:rPr>
                <w:spacing w:val="-13"/>
              </w:rPr>
              <w:t>抛光</w:t>
            </w:r>
            <w:r>
              <w:rPr>
                <w:spacing w:val="-13"/>
              </w:rPr>
              <w:fldChar w:fldCharType="end"/>
            </w:r>
            <w:r>
              <w:rPr>
                <w:spacing w:val="-13"/>
              </w:rPr>
              <w:t>后</w:t>
            </w:r>
            <w:r>
              <w:rPr>
                <w:rFonts w:ascii="Times New Roman" w:hAnsi="Times New Roman" w:eastAsia="Times New Roman" w:cs="Times New Roman"/>
                <w:spacing w:val="-13"/>
              </w:rPr>
              <w:t>,</w:t>
            </w:r>
            <w:r>
              <w:rPr>
                <w:spacing w:val="-13"/>
              </w:rPr>
              <w:t>可以达到</w:t>
            </w:r>
            <w:r>
              <w:fldChar w:fldCharType="begin"/>
            </w:r>
            <w:r>
              <w:instrText xml:space="preserve"> HYPERLINK "https://baike.baidu.com/item/%E7%8F%A0%E5%AE%9D/3878811" </w:instrText>
            </w:r>
            <w:r>
              <w:fldChar w:fldCharType="separate"/>
            </w:r>
            <w:r>
              <w:rPr>
                <w:spacing w:val="-13"/>
              </w:rPr>
              <w:t>珠宝</w:t>
            </w:r>
            <w:r>
              <w:rPr>
                <w:spacing w:val="-13"/>
              </w:rPr>
              <w:fldChar w:fldCharType="end"/>
            </w:r>
            <w:r>
              <w:rPr>
                <w:spacing w:val="-13"/>
              </w:rPr>
              <w:t>要求的</w:t>
            </w:r>
            <w:r>
              <w:fldChar w:fldCharType="begin"/>
            </w:r>
            <w:r>
              <w:instrText xml:space="preserve"> HYPERLINK "https://baike.baidu.com/item/%E7%9F%B3%E6%96%99" </w:instrText>
            </w:r>
            <w:r>
              <w:fldChar w:fldCharType="separate"/>
            </w:r>
            <w:r>
              <w:rPr>
                <w:spacing w:val="-13"/>
              </w:rPr>
              <w:t>石料</w:t>
            </w:r>
            <w:r>
              <w:rPr>
                <w:spacing w:val="-13"/>
              </w:rPr>
              <w:fldChar w:fldCharType="end"/>
            </w:r>
            <w:r>
              <w:rPr>
                <w:spacing w:val="-14"/>
              </w:rPr>
              <w:t>或矿</w:t>
            </w:r>
            <w:r>
              <w:t xml:space="preserve"> </w:t>
            </w:r>
            <w:r>
              <w:rPr>
                <w:spacing w:val="-12"/>
              </w:rPr>
              <w:t>物。该色泽美丽、硬度高、在大气和化学药品作用下不起变化的贵重矿石。可用</w:t>
            </w:r>
            <w:r>
              <w:rPr>
                <w:spacing w:val="18"/>
              </w:rPr>
              <w:t xml:space="preserve"> </w:t>
            </w:r>
            <w:r>
              <w:rPr>
                <w:spacing w:val="-12"/>
              </w:rPr>
              <w:t>作仪表轴承、研磨剂、装饰品等。</w:t>
            </w:r>
          </w:p>
          <w:p w14:paraId="43EC708B">
            <w:pPr>
              <w:pStyle w:val="6"/>
              <w:spacing w:before="1" w:line="358" w:lineRule="auto"/>
              <w:ind w:left="105" w:right="33" w:firstLine="460"/>
            </w:pPr>
            <w:r>
              <w:rPr>
                <w:spacing w:val="-9"/>
              </w:rPr>
              <w:t>环氧树脂：环氧树脂是一种高分子聚合物，分子式为</w:t>
            </w:r>
            <w:r>
              <w:rPr>
                <w:rFonts w:ascii="Times New Roman" w:hAnsi="Times New Roman" w:eastAsia="Times New Roman" w:cs="Times New Roman"/>
                <w:spacing w:val="-9"/>
              </w:rPr>
              <w:t>(C</w:t>
            </w:r>
            <w:r>
              <w:rPr>
                <w:rFonts w:ascii="Times New Roman" w:hAnsi="Times New Roman" w:eastAsia="Times New Roman" w:cs="Times New Roman"/>
                <w:spacing w:val="-9"/>
                <w:position w:val="-1"/>
                <w:sz w:val="15"/>
                <w:szCs w:val="15"/>
              </w:rPr>
              <w:t>11</w:t>
            </w:r>
            <w:r>
              <w:rPr>
                <w:rFonts w:ascii="Times New Roman" w:hAnsi="Times New Roman" w:eastAsia="Times New Roman" w:cs="Times New Roman"/>
                <w:spacing w:val="-9"/>
              </w:rPr>
              <w:t>H</w:t>
            </w:r>
            <w:r>
              <w:rPr>
                <w:rFonts w:ascii="Times New Roman" w:hAnsi="Times New Roman" w:eastAsia="Times New Roman" w:cs="Times New Roman"/>
                <w:spacing w:val="-9"/>
                <w:position w:val="-1"/>
                <w:sz w:val="15"/>
                <w:szCs w:val="15"/>
              </w:rPr>
              <w:t>12</w:t>
            </w:r>
            <w:r>
              <w:rPr>
                <w:rFonts w:ascii="Times New Roman" w:hAnsi="Times New Roman" w:eastAsia="Times New Roman" w:cs="Times New Roman"/>
                <w:spacing w:val="-9"/>
              </w:rPr>
              <w:t>O</w:t>
            </w:r>
            <w:r>
              <w:rPr>
                <w:rFonts w:ascii="Times New Roman" w:hAnsi="Times New Roman" w:eastAsia="Times New Roman" w:cs="Times New Roman"/>
                <w:spacing w:val="-9"/>
                <w:position w:val="-1"/>
                <w:sz w:val="15"/>
                <w:szCs w:val="15"/>
              </w:rPr>
              <w:t>3</w:t>
            </w:r>
            <w:r>
              <w:rPr>
                <w:rFonts w:ascii="Times New Roman" w:hAnsi="Times New Roman" w:eastAsia="Times New Roman" w:cs="Times New Roman"/>
                <w:spacing w:val="-9"/>
              </w:rPr>
              <w:t>)n</w:t>
            </w:r>
            <w:r>
              <w:rPr>
                <w:spacing w:val="-9"/>
              </w:rPr>
              <w:t>，是指分子</w:t>
            </w:r>
            <w:r>
              <w:rPr>
                <w:spacing w:val="11"/>
              </w:rPr>
              <w:t xml:space="preserve"> </w:t>
            </w:r>
            <w:r>
              <w:rPr>
                <w:spacing w:val="-11"/>
              </w:rPr>
              <w:t>中含有两个以上环氧基团的一类聚合物的总称。它是环氧氯丙烷与双酚</w:t>
            </w:r>
            <w:r>
              <w:rPr>
                <w:rFonts w:ascii="Times New Roman" w:hAnsi="Times New Roman" w:eastAsia="Times New Roman" w:cs="Times New Roman"/>
                <w:spacing w:val="-11"/>
              </w:rPr>
              <w:t xml:space="preserve">A </w:t>
            </w:r>
            <w:r>
              <w:rPr>
                <w:spacing w:val="-11"/>
              </w:rPr>
              <w:t>或多元</w:t>
            </w:r>
            <w:r>
              <w:rPr>
                <w:spacing w:val="5"/>
              </w:rPr>
              <w:t xml:space="preserve"> </w:t>
            </w:r>
            <w:r>
              <w:rPr>
                <w:spacing w:val="-16"/>
              </w:rPr>
              <w:t>醇的缩聚产物。由于环氧基的化学活性，可用多种含有活泼氢的化合物</w:t>
            </w:r>
            <w:r>
              <w:rPr>
                <w:spacing w:val="-17"/>
              </w:rPr>
              <w:t>使其开环，</w:t>
            </w:r>
            <w:r>
              <w:t xml:space="preserve"> </w:t>
            </w:r>
            <w:r>
              <w:rPr>
                <w:spacing w:val="-11"/>
              </w:rPr>
              <w:t>固化交联生成网状结构，因此它是一种热固性树脂</w:t>
            </w:r>
            <w:r>
              <w:rPr>
                <w:spacing w:val="-12"/>
              </w:rPr>
              <w:t>。密度</w:t>
            </w:r>
            <w:r>
              <w:rPr>
                <w:spacing w:val="-46"/>
              </w:rPr>
              <w:t xml:space="preserve"> </w:t>
            </w:r>
            <w:r>
              <w:rPr>
                <w:rFonts w:ascii="Times New Roman" w:hAnsi="Times New Roman" w:eastAsia="Times New Roman" w:cs="Times New Roman"/>
                <w:spacing w:val="-12"/>
              </w:rPr>
              <w:t>1.2g/cm³</w:t>
            </w:r>
            <w:r>
              <w:rPr>
                <w:rFonts w:ascii="Times New Roman" w:hAnsi="Times New Roman" w:eastAsia="Times New Roman" w:cs="Times New Roman"/>
                <w:spacing w:val="-35"/>
              </w:rPr>
              <w:t xml:space="preserve"> </w:t>
            </w:r>
            <w:r>
              <w:rPr>
                <w:spacing w:val="-12"/>
              </w:rPr>
              <w:t>,</w:t>
            </w:r>
            <w:r>
              <w:rPr>
                <w:spacing w:val="58"/>
              </w:rPr>
              <w:t xml:space="preserve"> </w:t>
            </w:r>
            <w:r>
              <w:rPr>
                <w:spacing w:val="-12"/>
              </w:rPr>
              <w:t>外观黄色或</w:t>
            </w:r>
            <w:r>
              <w:t xml:space="preserve"> </w:t>
            </w:r>
            <w:r>
              <w:rPr>
                <w:spacing w:val="13"/>
              </w:rPr>
              <w:t>透明固体或液体</w:t>
            </w:r>
            <w:r>
              <w:rPr>
                <w:spacing w:val="-71"/>
              </w:rPr>
              <w:t xml:space="preserve"> </w:t>
            </w:r>
            <w:r>
              <w:rPr>
                <w:spacing w:val="13"/>
              </w:rPr>
              <w:t>，主要用于制备热固性复合材料或粘结剂</w:t>
            </w:r>
            <w:r>
              <w:rPr>
                <w:spacing w:val="-71"/>
              </w:rPr>
              <w:t xml:space="preserve"> </w:t>
            </w:r>
            <w:r>
              <w:rPr>
                <w:spacing w:val="12"/>
              </w:rPr>
              <w:t>。急性毒性：</w:t>
            </w:r>
            <w:r>
              <w:t xml:space="preserve">  </w:t>
            </w:r>
            <w:r>
              <w:rPr>
                <w:rFonts w:ascii="Times New Roman" w:hAnsi="Times New Roman" w:eastAsia="Times New Roman" w:cs="Times New Roman"/>
                <w:spacing w:val="-3"/>
              </w:rPr>
              <w:t>LD11400mg/kg</w:t>
            </w:r>
            <w:r>
              <w:rPr>
                <w:spacing w:val="-3"/>
              </w:rPr>
              <w:t>（大鼠经口</w:t>
            </w:r>
            <w:r>
              <w:rPr>
                <w:spacing w:val="12"/>
              </w:rPr>
              <w:t>），</w:t>
            </w:r>
            <w:r>
              <w:rPr>
                <w:spacing w:val="-3"/>
              </w:rPr>
              <w:t>不属于健康危险急性中毒物质（类别</w:t>
            </w:r>
            <w:r>
              <w:rPr>
                <w:spacing w:val="-3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3</w:t>
            </w:r>
            <w:r>
              <w:rPr>
                <w:rFonts w:ascii="Times New Roman" w:hAnsi="Times New Roman" w:eastAsia="Times New Roman" w:cs="Times New Roman"/>
              </w:rPr>
              <w:t xml:space="preserve">   </w:t>
            </w:r>
            <w:r>
              <w:t>类</w:t>
            </w:r>
            <w:r>
              <w:rPr>
                <w:spacing w:val="10"/>
              </w:rPr>
              <w:t>），</w:t>
            </w:r>
            <w:r>
              <w:t>不属于危害水环境物质（急性毒性类别</w:t>
            </w:r>
            <w:r>
              <w:rPr>
                <w:spacing w:val="-31"/>
              </w:rPr>
              <w:t xml:space="preserve"> </w:t>
            </w:r>
            <w:r>
              <w:rPr>
                <w:rFonts w:ascii="Times New Roman" w:hAnsi="Times New Roman" w:eastAsia="Times New Roman" w:cs="Times New Roman"/>
              </w:rPr>
              <w:t>1</w:t>
            </w:r>
            <w:r>
              <w:t>）。环氧</w:t>
            </w:r>
            <w:r>
              <w:rPr>
                <w:spacing w:val="-1"/>
              </w:rPr>
              <w:t>树脂熔点</w:t>
            </w:r>
            <w:r>
              <w:rPr>
                <w:spacing w:val="-28"/>
              </w:rPr>
              <w:t xml:space="preserve"> </w:t>
            </w:r>
            <w:r>
              <w:rPr>
                <w:rFonts w:ascii="Times New Roman" w:hAnsi="Times New Roman" w:eastAsia="Times New Roman" w:cs="Times New Roman"/>
                <w:spacing w:val="-1"/>
              </w:rPr>
              <w:t>145</w:t>
            </w:r>
            <w:r>
              <w:rPr>
                <w:spacing w:val="-1"/>
              </w:rPr>
              <w:t>～</w:t>
            </w:r>
            <w:r>
              <w:rPr>
                <w:rFonts w:ascii="Times New Roman" w:hAnsi="Times New Roman" w:eastAsia="Times New Roman" w:cs="Times New Roman"/>
                <w:spacing w:val="-1"/>
              </w:rPr>
              <w:t>155</w:t>
            </w:r>
            <w:r>
              <w:rPr>
                <w:rFonts w:ascii="Times New Roman" w:hAnsi="Times New Roman" w:eastAsia="Times New Roman" w:cs="Times New Roman"/>
              </w:rPr>
              <w:t xml:space="preserve">  </w:t>
            </w:r>
            <w:r>
              <w:rPr>
                <w:spacing w:val="-4"/>
              </w:rPr>
              <w:t>℃</w:t>
            </w:r>
            <w:r>
              <w:rPr>
                <w:spacing w:val="-91"/>
              </w:rPr>
              <w:t xml:space="preserve"> </w:t>
            </w:r>
            <w:r>
              <w:rPr>
                <w:spacing w:val="-4"/>
              </w:rPr>
              <w:t>,</w:t>
            </w:r>
            <w:r>
              <w:rPr>
                <w:spacing w:val="65"/>
              </w:rPr>
              <w:t xml:space="preserve"> </w:t>
            </w:r>
            <w:r>
              <w:rPr>
                <w:spacing w:val="-4"/>
              </w:rPr>
              <w:t>无沸点资料。环氧树脂易燃，具刺激性，具致敏性。</w:t>
            </w:r>
          </w:p>
          <w:p w14:paraId="0977B62E">
            <w:pPr>
              <w:pStyle w:val="6"/>
              <w:spacing w:before="6" w:line="354" w:lineRule="auto"/>
              <w:ind w:left="111" w:right="42" w:firstLine="478"/>
            </w:pPr>
            <w:r>
              <w:rPr>
                <w:spacing w:val="2"/>
              </w:rPr>
              <w:t>三乙醇胺：是一种有机化合物，可以看做是三乙胺的三羟基取代物，化</w:t>
            </w:r>
            <w:r>
              <w:rPr>
                <w:spacing w:val="4"/>
              </w:rPr>
              <w:t xml:space="preserve"> </w:t>
            </w:r>
            <w:r>
              <w:rPr>
                <w:spacing w:val="-2"/>
              </w:rPr>
              <w:t>学式为</w:t>
            </w:r>
            <w:r>
              <w:rPr>
                <w:spacing w:val="-38"/>
              </w:rPr>
              <w:t xml:space="preserve"> </w:t>
            </w:r>
            <w:r>
              <w:rPr>
                <w:rFonts w:ascii="Times New Roman" w:hAnsi="Times New Roman" w:eastAsia="Times New Roman" w:cs="Times New Roman"/>
                <w:spacing w:val="-2"/>
              </w:rPr>
              <w:t>C</w:t>
            </w:r>
            <w:r>
              <w:rPr>
                <w:rFonts w:ascii="Times New Roman" w:hAnsi="Times New Roman" w:eastAsia="Times New Roman" w:cs="Times New Roman"/>
                <w:spacing w:val="-2"/>
                <w:position w:val="-1"/>
                <w:sz w:val="15"/>
                <w:szCs w:val="15"/>
              </w:rPr>
              <w:t>6</w:t>
            </w:r>
            <w:r>
              <w:rPr>
                <w:rFonts w:ascii="Times New Roman" w:hAnsi="Times New Roman" w:eastAsia="Times New Roman" w:cs="Times New Roman"/>
                <w:spacing w:val="-2"/>
              </w:rPr>
              <w:t>H</w:t>
            </w:r>
            <w:r>
              <w:rPr>
                <w:rFonts w:ascii="Times New Roman" w:hAnsi="Times New Roman" w:eastAsia="Times New Roman" w:cs="Times New Roman"/>
                <w:spacing w:val="-2"/>
                <w:position w:val="-1"/>
                <w:sz w:val="15"/>
                <w:szCs w:val="15"/>
              </w:rPr>
              <w:t>15</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 xml:space="preserve">3 </w:t>
            </w:r>
            <w:r>
              <w:rPr>
                <w:spacing w:val="-2"/>
              </w:rPr>
              <w:t>。无色至淡黄色透明粘稠液体，微有氨味，低温时成为无色</w:t>
            </w:r>
            <w:r>
              <w:t xml:space="preserve"> </w:t>
            </w:r>
            <w:r>
              <w:rPr>
                <w:spacing w:val="3"/>
              </w:rPr>
              <w:t>至淡黄色立方晶系晶体，露置于空气中时颜色渐渐</w:t>
            </w:r>
            <w:r>
              <w:rPr>
                <w:spacing w:val="2"/>
              </w:rPr>
              <w:t>变深。易溶于水、乙醇、</w:t>
            </w:r>
            <w:r>
              <w:t xml:space="preserve"> </w:t>
            </w:r>
            <w:r>
              <w:rPr>
                <w:spacing w:val="2"/>
              </w:rPr>
              <w:t>丙酮、甘油及乙二醇等，微溶于苯、乙醚及四氯化碳等，在非极性溶剂</w:t>
            </w:r>
            <w:r>
              <w:rPr>
                <w:spacing w:val="1"/>
              </w:rPr>
              <w:t>中几</w:t>
            </w:r>
            <w:r>
              <w:t xml:space="preserve"> </w:t>
            </w:r>
            <w:r>
              <w:rPr>
                <w:spacing w:val="2"/>
              </w:rPr>
              <w:t>乎不溶解。有刺激性，具吸湿性，能吸收二氧化碳及硫化氢等酸性气体</w:t>
            </w:r>
            <w:r>
              <w:rPr>
                <w:spacing w:val="1"/>
              </w:rPr>
              <w:t>。熔</w:t>
            </w:r>
            <w:r>
              <w:t xml:space="preserve"> </w:t>
            </w:r>
            <w:r>
              <w:rPr>
                <w:spacing w:val="-6"/>
              </w:rPr>
              <w:t>点：</w:t>
            </w:r>
            <w:r>
              <w:rPr>
                <w:rFonts w:ascii="Times New Roman" w:hAnsi="Times New Roman" w:eastAsia="Times New Roman" w:cs="Times New Roman"/>
                <w:spacing w:val="-6"/>
              </w:rPr>
              <w:t>21℃</w:t>
            </w:r>
            <w:r>
              <w:rPr>
                <w:rFonts w:ascii="Times New Roman" w:hAnsi="Times New Roman" w:eastAsia="Times New Roman" w:cs="Times New Roman"/>
                <w:spacing w:val="-32"/>
              </w:rPr>
              <w:t xml:space="preserve"> </w:t>
            </w:r>
            <w:r>
              <w:rPr>
                <w:spacing w:val="-6"/>
              </w:rPr>
              <w:t>、沸点：</w:t>
            </w:r>
            <w:r>
              <w:rPr>
                <w:rFonts w:ascii="Times New Roman" w:hAnsi="Times New Roman" w:eastAsia="Times New Roman" w:cs="Times New Roman"/>
                <w:spacing w:val="-6"/>
              </w:rPr>
              <w:t>335.4℃</w:t>
            </w:r>
            <w:r>
              <w:rPr>
                <w:rFonts w:ascii="Times New Roman" w:hAnsi="Times New Roman" w:eastAsia="Times New Roman" w:cs="Times New Roman"/>
                <w:spacing w:val="-35"/>
              </w:rPr>
              <w:t xml:space="preserve"> </w:t>
            </w:r>
            <w:r>
              <w:rPr>
                <w:spacing w:val="-6"/>
              </w:rPr>
              <w:t>、密度：</w:t>
            </w:r>
            <w:r>
              <w:rPr>
                <w:rFonts w:ascii="Times New Roman" w:hAnsi="Times New Roman" w:eastAsia="Times New Roman" w:cs="Times New Roman"/>
                <w:spacing w:val="-6"/>
              </w:rPr>
              <w:t>1.</w:t>
            </w:r>
            <w:r>
              <w:rPr>
                <w:rFonts w:ascii="Times New Roman" w:hAnsi="Times New Roman" w:eastAsia="Times New Roman" w:cs="Times New Roman"/>
                <w:spacing w:val="-31"/>
              </w:rPr>
              <w:t xml:space="preserve"> </w:t>
            </w:r>
            <w:r>
              <w:rPr>
                <w:rFonts w:ascii="Times New Roman" w:hAnsi="Times New Roman" w:eastAsia="Times New Roman" w:cs="Times New Roman"/>
                <w:spacing w:val="-6"/>
              </w:rPr>
              <w:t>12g/cm</w:t>
            </w:r>
            <w:r>
              <w:rPr>
                <w:spacing w:val="-7"/>
              </w:rPr>
              <w:t>³、分子量：</w:t>
            </w:r>
            <w:r>
              <w:rPr>
                <w:rFonts w:ascii="Times New Roman" w:hAnsi="Times New Roman" w:eastAsia="Times New Roman" w:cs="Times New Roman"/>
                <w:spacing w:val="-7"/>
              </w:rPr>
              <w:t>149.1882</w:t>
            </w:r>
            <w:r>
              <w:rPr>
                <w:rFonts w:ascii="Times New Roman" w:hAnsi="Times New Roman" w:eastAsia="Times New Roman" w:cs="Times New Roman"/>
                <w:spacing w:val="-28"/>
              </w:rPr>
              <w:t xml:space="preserve"> </w:t>
            </w:r>
            <w:r>
              <w:rPr>
                <w:spacing w:val="-7"/>
              </w:rPr>
              <w:t>。急性毒性：</w:t>
            </w:r>
          </w:p>
        </w:tc>
      </w:tr>
    </w:tbl>
    <w:p w14:paraId="111E5839">
      <w:pPr>
        <w:rPr>
          <w:rFonts w:ascii="Arial"/>
          <w:sz w:val="21"/>
        </w:rPr>
      </w:pPr>
    </w:p>
    <w:p w14:paraId="40ED8318">
      <w:pPr>
        <w:rPr>
          <w:rFonts w:ascii="Arial" w:hAnsi="Arial" w:eastAsia="Arial" w:cs="Arial"/>
          <w:sz w:val="21"/>
          <w:szCs w:val="21"/>
        </w:rPr>
        <w:sectPr>
          <w:footerReference r:id="rId28" w:type="default"/>
          <w:pgSz w:w="11906" w:h="16839"/>
          <w:pgMar w:top="400" w:right="1451" w:bottom="1240" w:left="1451" w:header="0" w:footer="1078" w:gutter="0"/>
          <w:cols w:space="720" w:num="1"/>
        </w:sectPr>
      </w:pPr>
    </w:p>
    <w:p w14:paraId="46E58066">
      <w:pPr>
        <w:spacing w:before="19"/>
      </w:pPr>
    </w:p>
    <w:p w14:paraId="672166F9">
      <w:pPr>
        <w:spacing w:before="19"/>
      </w:pPr>
    </w:p>
    <w:p w14:paraId="13233719">
      <w:pPr>
        <w:spacing w:before="19"/>
      </w:pPr>
    </w:p>
    <w:p w14:paraId="406A4FB5">
      <w:pPr>
        <w:spacing w:before="18"/>
      </w:pPr>
    </w:p>
    <w:p w14:paraId="4C09C94A">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7CB9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778" w:type="dxa"/>
            <w:tcBorders>
              <w:right w:val="single" w:color="000000" w:sz="2" w:space="0"/>
            </w:tcBorders>
            <w:vAlign w:val="top"/>
          </w:tcPr>
          <w:p w14:paraId="609EFE0A">
            <w:pPr>
              <w:rPr>
                <w:rFonts w:ascii="Arial"/>
                <w:sz w:val="21"/>
              </w:rPr>
            </w:pPr>
          </w:p>
        </w:tc>
        <w:tc>
          <w:tcPr>
            <w:tcW w:w="8210" w:type="dxa"/>
            <w:tcBorders>
              <w:left w:val="single" w:color="000000" w:sz="2" w:space="0"/>
            </w:tcBorders>
            <w:vAlign w:val="top"/>
          </w:tcPr>
          <w:p w14:paraId="5ED3D18F">
            <w:pPr>
              <w:pStyle w:val="6"/>
              <w:spacing w:before="40" w:line="357" w:lineRule="auto"/>
              <w:ind w:left="110" w:right="102" w:hanging="5"/>
              <w:jc w:val="both"/>
            </w:pPr>
            <w:r>
              <w:rPr>
                <w:rFonts w:ascii="Times New Roman" w:hAnsi="Times New Roman" w:eastAsia="Times New Roman" w:cs="Times New Roman"/>
              </w:rPr>
              <w:t>LD</w:t>
            </w:r>
            <w:r>
              <w:rPr>
                <w:rFonts w:ascii="Times New Roman" w:hAnsi="Times New Roman" w:eastAsia="Times New Roman" w:cs="Times New Roman"/>
                <w:spacing w:val="1"/>
              </w:rPr>
              <w:t>5000-9000</w:t>
            </w:r>
            <w:r>
              <w:rPr>
                <w:rFonts w:ascii="Times New Roman" w:hAnsi="Times New Roman" w:eastAsia="Times New Roman" w:cs="Times New Roman"/>
              </w:rPr>
              <w:t>mg</w:t>
            </w:r>
            <w:r>
              <w:rPr>
                <w:rFonts w:ascii="Times New Roman" w:hAnsi="Times New Roman" w:eastAsia="Times New Roman" w:cs="Times New Roman"/>
                <w:spacing w:val="1"/>
              </w:rPr>
              <w:t>/</w:t>
            </w:r>
            <w:r>
              <w:rPr>
                <w:rFonts w:ascii="Times New Roman" w:hAnsi="Times New Roman" w:eastAsia="Times New Roman" w:cs="Times New Roman"/>
              </w:rPr>
              <w:t>kg</w:t>
            </w:r>
            <w:r>
              <w:rPr>
                <w:spacing w:val="1"/>
              </w:rPr>
              <w:t>（大鼠经口</w:t>
            </w:r>
            <w:r>
              <w:rPr>
                <w:spacing w:val="8"/>
              </w:rPr>
              <w:t>），</w:t>
            </w:r>
            <w:r>
              <w:rPr>
                <w:spacing w:val="1"/>
              </w:rPr>
              <w:t>属于健康危险急性中毒物质（类别</w:t>
            </w:r>
            <w:r>
              <w:rPr>
                <w:spacing w:val="-46"/>
              </w:rPr>
              <w:t xml:space="preserve"> </w:t>
            </w:r>
            <w:r>
              <w:rPr>
                <w:rFonts w:ascii="Times New Roman" w:hAnsi="Times New Roman" w:eastAsia="Times New Roman" w:cs="Times New Roman"/>
                <w:spacing w:val="1"/>
              </w:rPr>
              <w:t>5</w:t>
            </w:r>
            <w:r>
              <w:rPr>
                <w:spacing w:val="8"/>
              </w:rPr>
              <w:t>），</w:t>
            </w:r>
            <w:r>
              <w:t xml:space="preserve"> </w:t>
            </w:r>
            <w:r>
              <w:rPr>
                <w:spacing w:val="-4"/>
              </w:rPr>
              <w:t>不属于危害水环境物质（急性毒性类别</w:t>
            </w:r>
            <w:r>
              <w:rPr>
                <w:spacing w:val="-32"/>
              </w:rPr>
              <w:t xml:space="preserve"> </w:t>
            </w:r>
            <w:r>
              <w:rPr>
                <w:rFonts w:ascii="Times New Roman" w:hAnsi="Times New Roman" w:eastAsia="Times New Roman" w:cs="Times New Roman"/>
                <w:spacing w:val="-4"/>
              </w:rPr>
              <w:t>1</w:t>
            </w:r>
            <w:r>
              <w:rPr>
                <w:spacing w:val="-4"/>
              </w:rPr>
              <w:t>）。三乙醇胺遇高热</w:t>
            </w:r>
            <w:r>
              <w:rPr>
                <w:spacing w:val="-5"/>
              </w:rPr>
              <w:t>、明火或与氧化</w:t>
            </w:r>
            <w:r>
              <w:t xml:space="preserve"> </w:t>
            </w:r>
            <w:r>
              <w:rPr>
                <w:spacing w:val="-1"/>
              </w:rPr>
              <w:t>剂接触，有引起燃烧的危险。</w:t>
            </w:r>
          </w:p>
          <w:p w14:paraId="4DFDED47">
            <w:pPr>
              <w:pStyle w:val="6"/>
              <w:tabs>
                <w:tab w:val="left" w:pos="8195"/>
              </w:tabs>
              <w:spacing w:before="11" w:line="357" w:lineRule="auto"/>
              <w:ind w:left="112" w:right="3" w:firstLine="500"/>
              <w:jc w:val="both"/>
            </w:pPr>
            <w:r>
              <w:rPr>
                <w:spacing w:val="-22"/>
              </w:rPr>
              <w:t>乙醇：有机化合物，分子式</w:t>
            </w:r>
            <w:r>
              <w:rPr>
                <w:spacing w:val="-44"/>
              </w:rPr>
              <w:t xml:space="preserve"> </w:t>
            </w:r>
            <w:r>
              <w:rPr>
                <w:rFonts w:ascii="Times New Roman" w:hAnsi="Times New Roman" w:eastAsia="Times New Roman" w:cs="Times New Roman"/>
                <w:spacing w:val="-22"/>
              </w:rPr>
              <w:t>C</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rPr>
              <w:t>H</w:t>
            </w:r>
            <w:r>
              <w:rPr>
                <w:rFonts w:ascii="Times New Roman" w:hAnsi="Times New Roman" w:eastAsia="Times New Roman" w:cs="Times New Roman"/>
                <w:spacing w:val="2"/>
                <w:position w:val="-1"/>
                <w:sz w:val="15"/>
                <w:szCs w:val="15"/>
              </w:rPr>
              <w:t>6</w:t>
            </w:r>
            <w:r>
              <w:rPr>
                <w:rFonts w:ascii="Times New Roman" w:hAnsi="Times New Roman" w:eastAsia="Times New Roman" w:cs="Times New Roman"/>
                <w:spacing w:val="2"/>
              </w:rPr>
              <w:t>O</w:t>
            </w:r>
            <w:r>
              <w:rPr>
                <w:spacing w:val="-14"/>
              </w:rPr>
              <w:t>，俗称酒精。乙醇液体密度是</w:t>
            </w:r>
            <w:r>
              <w:rPr>
                <w:spacing w:val="-51"/>
              </w:rPr>
              <w:t xml:space="preserve"> </w:t>
            </w:r>
            <w:r>
              <w:rPr>
                <w:rFonts w:ascii="Times New Roman" w:hAnsi="Times New Roman" w:eastAsia="Times New Roman" w:cs="Times New Roman"/>
                <w:spacing w:val="-14"/>
              </w:rPr>
              <w:t>0.789g/cm³</w:t>
            </w:r>
            <w:r>
              <w:rPr>
                <w:rFonts w:ascii="Times New Roman" w:hAnsi="Times New Roman" w:eastAsia="Times New Roman" w:cs="Times New Roman"/>
                <w:spacing w:val="-31"/>
              </w:rPr>
              <w:t xml:space="preserve"> </w:t>
            </w:r>
            <w:r>
              <w:rPr>
                <w:spacing w:val="-14"/>
              </w:rPr>
              <w:t>,</w:t>
            </w:r>
            <w:r>
              <w:tab/>
            </w:r>
            <w:r>
              <w:t xml:space="preserve"> </w:t>
            </w:r>
            <w:r>
              <w:rPr>
                <w:spacing w:val="-6"/>
              </w:rPr>
              <w:t>乙醇气体密度为</w:t>
            </w:r>
            <w:r>
              <w:rPr>
                <w:spacing w:val="-19"/>
              </w:rPr>
              <w:t xml:space="preserve"> </w:t>
            </w:r>
            <w:r>
              <w:rPr>
                <w:rFonts w:ascii="Times New Roman" w:hAnsi="Times New Roman" w:eastAsia="Times New Roman" w:cs="Times New Roman"/>
                <w:spacing w:val="-6"/>
              </w:rPr>
              <w:t>1.59kg/m³</w:t>
            </w:r>
            <w:r>
              <w:rPr>
                <w:rFonts w:ascii="Times New Roman" w:hAnsi="Times New Roman" w:eastAsia="Times New Roman" w:cs="Times New Roman"/>
                <w:spacing w:val="-31"/>
              </w:rPr>
              <w:t xml:space="preserve"> </w:t>
            </w:r>
            <w:r>
              <w:rPr>
                <w:spacing w:val="-6"/>
              </w:rPr>
              <w:t>,</w:t>
            </w:r>
            <w:r>
              <w:rPr>
                <w:spacing w:val="37"/>
              </w:rPr>
              <w:t xml:space="preserve"> </w:t>
            </w:r>
            <w:r>
              <w:rPr>
                <w:spacing w:val="-6"/>
              </w:rPr>
              <w:t>相对密度（</w:t>
            </w:r>
            <w:r>
              <w:rPr>
                <w:rFonts w:ascii="Times New Roman" w:hAnsi="Times New Roman" w:eastAsia="Times New Roman" w:cs="Times New Roman"/>
                <w:spacing w:val="-6"/>
              </w:rPr>
              <w:t>d15.56</w:t>
            </w:r>
            <w:r>
              <w:rPr>
                <w:spacing w:val="-6"/>
              </w:rPr>
              <w:t>）</w:t>
            </w:r>
            <w:r>
              <w:rPr>
                <w:rFonts w:ascii="Times New Roman" w:hAnsi="Times New Roman" w:eastAsia="Times New Roman" w:cs="Times New Roman"/>
                <w:spacing w:val="-6"/>
              </w:rPr>
              <w:t>0.816</w:t>
            </w:r>
            <w:r>
              <w:rPr>
                <w:spacing w:val="-6"/>
              </w:rPr>
              <w:t>，式量（相对分子质量）</w:t>
            </w:r>
            <w:r>
              <w:t xml:space="preserve"> </w:t>
            </w:r>
            <w:r>
              <w:rPr>
                <w:spacing w:val="-5"/>
              </w:rPr>
              <w:t>为</w:t>
            </w:r>
            <w:r>
              <w:rPr>
                <w:spacing w:val="-56"/>
              </w:rPr>
              <w:t xml:space="preserve"> </w:t>
            </w:r>
            <w:r>
              <w:rPr>
                <w:rFonts w:ascii="Times New Roman" w:hAnsi="Times New Roman" w:eastAsia="Times New Roman" w:cs="Times New Roman"/>
                <w:spacing w:val="-5"/>
              </w:rPr>
              <w:t>46.07g/mol</w:t>
            </w:r>
            <w:r>
              <w:rPr>
                <w:rFonts w:ascii="Times New Roman" w:hAnsi="Times New Roman" w:eastAsia="Times New Roman" w:cs="Times New Roman"/>
                <w:spacing w:val="-26"/>
              </w:rPr>
              <w:t xml:space="preserve"> </w:t>
            </w:r>
            <w:r>
              <w:rPr>
                <w:spacing w:val="-5"/>
              </w:rPr>
              <w:t>。沸点是</w:t>
            </w:r>
            <w:r>
              <w:rPr>
                <w:spacing w:val="-52"/>
              </w:rPr>
              <w:t xml:space="preserve"> </w:t>
            </w:r>
            <w:r>
              <w:rPr>
                <w:rFonts w:ascii="Times New Roman" w:hAnsi="Times New Roman" w:eastAsia="Times New Roman" w:cs="Times New Roman"/>
                <w:spacing w:val="-5"/>
              </w:rPr>
              <w:t>78.2℃</w:t>
            </w:r>
            <w:r>
              <w:rPr>
                <w:rFonts w:ascii="Times New Roman" w:hAnsi="Times New Roman" w:eastAsia="Times New Roman" w:cs="Times New Roman"/>
                <w:spacing w:val="-31"/>
              </w:rPr>
              <w:t xml:space="preserve"> </w:t>
            </w:r>
            <w:r>
              <w:rPr>
                <w:spacing w:val="-5"/>
              </w:rPr>
              <w:t>,</w:t>
            </w:r>
            <w:r>
              <w:rPr>
                <w:spacing w:val="72"/>
              </w:rPr>
              <w:t xml:space="preserve"> </w:t>
            </w:r>
            <w:r>
              <w:rPr>
                <w:rFonts w:ascii="Times New Roman" w:hAnsi="Times New Roman" w:eastAsia="Times New Roman" w:cs="Times New Roman"/>
                <w:spacing w:val="-5"/>
              </w:rPr>
              <w:t>14℃</w:t>
            </w:r>
            <w:r>
              <w:rPr>
                <w:spacing w:val="-5"/>
              </w:rPr>
              <w:t>闭口闪点，熔点是</w:t>
            </w:r>
            <w:r>
              <w:rPr>
                <w:rFonts w:ascii="Times New Roman" w:hAnsi="Times New Roman" w:eastAsia="Times New Roman" w:cs="Times New Roman"/>
                <w:spacing w:val="-5"/>
              </w:rPr>
              <w:t>-114.</w:t>
            </w:r>
            <w:r>
              <w:rPr>
                <w:rFonts w:ascii="Times New Roman" w:hAnsi="Times New Roman" w:eastAsia="Times New Roman" w:cs="Times New Roman"/>
                <w:spacing w:val="-6"/>
              </w:rPr>
              <w:t>3℃</w:t>
            </w:r>
            <w:r>
              <w:rPr>
                <w:rFonts w:ascii="Times New Roman" w:hAnsi="Times New Roman" w:eastAsia="Times New Roman" w:cs="Times New Roman"/>
                <w:spacing w:val="-28"/>
              </w:rPr>
              <w:t xml:space="preserve"> </w:t>
            </w:r>
            <w:r>
              <w:rPr>
                <w:spacing w:val="-6"/>
              </w:rPr>
              <w:t>。纯乙醇是无</w:t>
            </w:r>
            <w:r>
              <w:t xml:space="preserve"> </w:t>
            </w:r>
            <w:r>
              <w:rPr>
                <w:spacing w:val="2"/>
              </w:rPr>
              <w:t>色透明的液体，有特殊香味，易挥发。与水混溶，可混溶于乙醚、氯</w:t>
            </w:r>
            <w:r>
              <w:rPr>
                <w:spacing w:val="1"/>
              </w:rPr>
              <w:t>仿、甘</w:t>
            </w:r>
            <w:r>
              <w:t xml:space="preserve"> </w:t>
            </w:r>
            <w:r>
              <w:rPr>
                <w:spacing w:val="2"/>
              </w:rPr>
              <w:t>油、甲醇等多数有机溶剂，主要用于国防工业、医疗卫生、有机合成</w:t>
            </w:r>
            <w:r>
              <w:rPr>
                <w:spacing w:val="1"/>
              </w:rPr>
              <w:t>、食品</w:t>
            </w:r>
            <w:r>
              <w:t xml:space="preserve"> </w:t>
            </w:r>
            <w:r>
              <w:rPr>
                <w:spacing w:val="-1"/>
              </w:rPr>
              <w:t>工业、工农业生产。毒理性质：</w:t>
            </w:r>
            <w:r>
              <w:rPr>
                <w:rFonts w:ascii="Times New Roman" w:hAnsi="Times New Roman" w:eastAsia="Times New Roman" w:cs="Times New Roman"/>
                <w:spacing w:val="-1"/>
              </w:rPr>
              <w:t>LD50</w:t>
            </w:r>
            <w:r>
              <w:rPr>
                <w:spacing w:val="-1"/>
              </w:rPr>
              <w:t>：</w:t>
            </w:r>
            <w:r>
              <w:rPr>
                <w:rFonts w:ascii="Times New Roman" w:hAnsi="Times New Roman" w:eastAsia="Times New Roman" w:cs="Times New Roman"/>
                <w:spacing w:val="-1"/>
              </w:rPr>
              <w:t>7060mg/kg(</w:t>
            </w:r>
            <w:r>
              <w:rPr>
                <w:spacing w:val="-1"/>
              </w:rPr>
              <w:t>兔经口</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7430mg/kg(</w:t>
            </w:r>
            <w:r>
              <w:rPr>
                <w:spacing w:val="-1"/>
              </w:rPr>
              <w:t>兔经</w:t>
            </w:r>
            <w:r>
              <w:rPr>
                <w:spacing w:val="15"/>
              </w:rPr>
              <w:t xml:space="preserve"> </w:t>
            </w:r>
            <w:r>
              <w:rPr>
                <w:spacing w:val="-12"/>
              </w:rPr>
              <w:t>皮</w:t>
            </w:r>
            <w:r>
              <w:rPr>
                <w:rFonts w:ascii="Times New Roman" w:hAnsi="Times New Roman" w:eastAsia="Times New Roman" w:cs="Times New Roman"/>
                <w:spacing w:val="-12"/>
              </w:rPr>
              <w:t>)LC50</w:t>
            </w:r>
            <w:r>
              <w:rPr>
                <w:spacing w:val="-12"/>
              </w:rPr>
              <w:t>：</w:t>
            </w:r>
            <w:r>
              <w:rPr>
                <w:rFonts w:ascii="Times New Roman" w:hAnsi="Times New Roman" w:eastAsia="Times New Roman" w:cs="Times New Roman"/>
                <w:spacing w:val="-12"/>
              </w:rPr>
              <w:t>37620mg/m</w:t>
            </w:r>
            <w:r>
              <w:rPr>
                <w:spacing w:val="-12"/>
              </w:rPr>
              <w:t>³</w:t>
            </w:r>
            <w:r>
              <w:rPr>
                <w:spacing w:val="-92"/>
              </w:rPr>
              <w:t xml:space="preserve"> </w:t>
            </w:r>
            <w:r>
              <w:rPr>
                <w:spacing w:val="-12"/>
              </w:rPr>
              <w:t>,</w:t>
            </w:r>
            <w:r>
              <w:rPr>
                <w:spacing w:val="70"/>
              </w:rPr>
              <w:t xml:space="preserve"> </w:t>
            </w:r>
            <w:r>
              <w:rPr>
                <w:rFonts w:ascii="Times New Roman" w:hAnsi="Times New Roman" w:eastAsia="Times New Roman" w:cs="Times New Roman"/>
                <w:spacing w:val="-12"/>
              </w:rPr>
              <w:t xml:space="preserve">10 </w:t>
            </w:r>
            <w:r>
              <w:rPr>
                <w:spacing w:val="-12"/>
              </w:rPr>
              <w:t>小时</w:t>
            </w:r>
            <w:r>
              <w:rPr>
                <w:rFonts w:ascii="Times New Roman" w:hAnsi="Times New Roman" w:eastAsia="Times New Roman" w:cs="Times New Roman"/>
                <w:spacing w:val="-12"/>
              </w:rPr>
              <w:t>(</w:t>
            </w:r>
            <w:r>
              <w:rPr>
                <w:spacing w:val="-12"/>
              </w:rPr>
              <w:t>大鼠吸入</w:t>
            </w:r>
            <w:r>
              <w:rPr>
                <w:rFonts w:ascii="Times New Roman" w:hAnsi="Times New Roman" w:eastAsia="Times New Roman" w:cs="Times New Roman"/>
                <w:spacing w:val="-12"/>
              </w:rPr>
              <w:t>)</w:t>
            </w:r>
            <w:r>
              <w:rPr>
                <w:rFonts w:ascii="Times New Roman" w:hAnsi="Times New Roman" w:eastAsia="Times New Roman" w:cs="Times New Roman"/>
                <w:spacing w:val="-33"/>
              </w:rPr>
              <w:t xml:space="preserve"> </w:t>
            </w:r>
            <w:r>
              <w:rPr>
                <w:spacing w:val="-12"/>
              </w:rPr>
              <w:t>。乙醇易燃，具刺激性。</w:t>
            </w:r>
          </w:p>
          <w:p w14:paraId="7AAAAB06">
            <w:pPr>
              <w:pStyle w:val="6"/>
              <w:spacing w:before="17" w:line="358" w:lineRule="auto"/>
              <w:ind w:left="110" w:right="90" w:firstLine="483"/>
            </w:pPr>
            <w:r>
              <w:rPr>
                <w:spacing w:val="1"/>
              </w:rPr>
              <w:t>丙酮：又名二甲基酮，是一种有机物，分子式为</w:t>
            </w:r>
            <w:r>
              <w:rPr>
                <w:spacing w:val="-49"/>
              </w:rPr>
              <w:t xml:space="preserve"> </w:t>
            </w:r>
            <w:r>
              <w:rPr>
                <w:rFonts w:ascii="Times New Roman" w:hAnsi="Times New Roman" w:eastAsia="Times New Roman" w:cs="Times New Roman"/>
                <w:spacing w:val="1"/>
              </w:rPr>
              <w:t>C</w:t>
            </w:r>
            <w:r>
              <w:rPr>
                <w:rFonts w:ascii="Times New Roman" w:hAnsi="Times New Roman" w:eastAsia="Times New Roman" w:cs="Times New Roman"/>
                <w:position w:val="-1"/>
                <w:sz w:val="15"/>
                <w:szCs w:val="15"/>
              </w:rPr>
              <w:t>3</w:t>
            </w:r>
            <w:r>
              <w:rPr>
                <w:rFonts w:ascii="Times New Roman" w:hAnsi="Times New Roman" w:eastAsia="Times New Roman" w:cs="Times New Roman"/>
              </w:rPr>
              <w:t>H</w:t>
            </w:r>
            <w:r>
              <w:rPr>
                <w:rFonts w:ascii="Times New Roman" w:hAnsi="Times New Roman" w:eastAsia="Times New Roman" w:cs="Times New Roman"/>
                <w:position w:val="-1"/>
                <w:sz w:val="15"/>
                <w:szCs w:val="15"/>
              </w:rPr>
              <w:t>6</w:t>
            </w:r>
            <w:r>
              <w:rPr>
                <w:rFonts w:ascii="Times New Roman" w:hAnsi="Times New Roman" w:eastAsia="Times New Roman" w:cs="Times New Roman"/>
              </w:rPr>
              <w:t>O</w:t>
            </w:r>
            <w:r>
              <w:rPr>
                <w:rFonts w:ascii="Times New Roman" w:hAnsi="Times New Roman" w:eastAsia="Times New Roman" w:cs="Times New Roman"/>
                <w:spacing w:val="-29"/>
              </w:rPr>
              <w:t xml:space="preserve"> </w:t>
            </w:r>
            <w:r>
              <w:t xml:space="preserve">，为最简单的饱 </w:t>
            </w:r>
            <w:r>
              <w:rPr>
                <w:spacing w:val="2"/>
              </w:rPr>
              <w:t>和酮。是一种无色透明液体，有微香气味。易溶于水和甲醇、乙醇、乙醚、</w:t>
            </w:r>
            <w:r>
              <w:rPr>
                <w:spacing w:val="11"/>
              </w:rPr>
              <w:t xml:space="preserve"> </w:t>
            </w:r>
            <w:r>
              <w:rPr>
                <w:spacing w:val="-3"/>
              </w:rPr>
              <w:t>氯仿、吡啶等有机溶剂，易燃、易挥发，化学性质较活泼。分子量</w:t>
            </w:r>
            <w:r>
              <w:rPr>
                <w:spacing w:val="-36"/>
              </w:rPr>
              <w:t xml:space="preserve"> </w:t>
            </w:r>
            <w:r>
              <w:rPr>
                <w:rFonts w:ascii="Times New Roman" w:hAnsi="Times New Roman" w:eastAsia="Times New Roman" w:cs="Times New Roman"/>
                <w:spacing w:val="-3"/>
              </w:rPr>
              <w:t>58.08</w:t>
            </w:r>
            <w:r>
              <w:rPr>
                <w:rFonts w:ascii="Times New Roman" w:hAnsi="Times New Roman" w:eastAsia="Times New Roman" w:cs="Times New Roman"/>
                <w:spacing w:val="-31"/>
              </w:rPr>
              <w:t xml:space="preserve"> </w:t>
            </w:r>
            <w:r>
              <w:rPr>
                <w:spacing w:val="-3"/>
              </w:rPr>
              <w:t>，熔</w:t>
            </w:r>
            <w:r>
              <w:t xml:space="preserve"> </w:t>
            </w:r>
            <w:r>
              <w:rPr>
                <w:spacing w:val="-4"/>
              </w:rPr>
              <w:t>点</w:t>
            </w:r>
            <w:r>
              <w:rPr>
                <w:rFonts w:ascii="Times New Roman" w:hAnsi="Times New Roman" w:eastAsia="Times New Roman" w:cs="Times New Roman"/>
                <w:spacing w:val="-4"/>
              </w:rPr>
              <w:t>−94.9℃(178.2K)</w:t>
            </w:r>
            <w:r>
              <w:rPr>
                <w:rFonts w:ascii="Times New Roman" w:hAnsi="Times New Roman" w:eastAsia="Times New Roman" w:cs="Times New Roman"/>
                <w:spacing w:val="-26"/>
              </w:rPr>
              <w:t xml:space="preserve"> </w:t>
            </w:r>
            <w:r>
              <w:rPr>
                <w:spacing w:val="-4"/>
              </w:rPr>
              <w:t>，沸点</w:t>
            </w:r>
            <w:r>
              <w:rPr>
                <w:spacing w:val="-49"/>
              </w:rPr>
              <w:t xml:space="preserve"> </w:t>
            </w:r>
            <w:r>
              <w:rPr>
                <w:rFonts w:ascii="Times New Roman" w:hAnsi="Times New Roman" w:eastAsia="Times New Roman" w:cs="Times New Roman"/>
                <w:spacing w:val="-4"/>
              </w:rPr>
              <w:t>56.53℃(329.4K)</w:t>
            </w:r>
            <w:r>
              <w:rPr>
                <w:rFonts w:ascii="Times New Roman" w:hAnsi="Times New Roman" w:eastAsia="Times New Roman" w:cs="Times New Roman"/>
                <w:spacing w:val="-29"/>
              </w:rPr>
              <w:t xml:space="preserve"> </w:t>
            </w:r>
            <w:r>
              <w:rPr>
                <w:spacing w:val="-4"/>
              </w:rPr>
              <w:t>，密度</w:t>
            </w:r>
            <w:r>
              <w:rPr>
                <w:spacing w:val="-51"/>
              </w:rPr>
              <w:t xml:space="preserve"> </w:t>
            </w:r>
            <w:r>
              <w:rPr>
                <w:rFonts w:ascii="Times New Roman" w:hAnsi="Times New Roman" w:eastAsia="Times New Roman" w:cs="Times New Roman"/>
                <w:spacing w:val="-4"/>
              </w:rPr>
              <w:t>0.7899g/cm³</w:t>
            </w:r>
            <w:r>
              <w:rPr>
                <w:rFonts w:ascii="Times New Roman" w:hAnsi="Times New Roman" w:eastAsia="Times New Roman" w:cs="Times New Roman"/>
                <w:spacing w:val="-31"/>
              </w:rPr>
              <w:t xml:space="preserve"> </w:t>
            </w:r>
            <w:r>
              <w:rPr>
                <w:spacing w:val="-4"/>
              </w:rPr>
              <w:t>,</w:t>
            </w:r>
            <w:r>
              <w:rPr>
                <w:spacing w:val="58"/>
              </w:rPr>
              <w:t xml:space="preserve"> </w:t>
            </w:r>
            <w:r>
              <w:rPr>
                <w:spacing w:val="-4"/>
              </w:rPr>
              <w:t>外观常温下无</w:t>
            </w:r>
            <w:r>
              <w:t xml:space="preserve"> </w:t>
            </w:r>
            <w:r>
              <w:rPr>
                <w:spacing w:val="-7"/>
              </w:rPr>
              <w:t>色液体。毒理性质：属微毒类</w:t>
            </w:r>
            <w:r>
              <w:rPr>
                <w:spacing w:val="-54"/>
              </w:rPr>
              <w:t xml:space="preserve"> </w:t>
            </w:r>
            <w:r>
              <w:rPr>
                <w:rFonts w:ascii="Times New Roman" w:hAnsi="Times New Roman" w:eastAsia="Times New Roman" w:cs="Times New Roman"/>
                <w:spacing w:val="-7"/>
              </w:rPr>
              <w:t>LD50</w:t>
            </w:r>
            <w:r>
              <w:rPr>
                <w:spacing w:val="-7"/>
              </w:rPr>
              <w:t>：</w:t>
            </w:r>
            <w:r>
              <w:rPr>
                <w:rFonts w:ascii="Times New Roman" w:hAnsi="Times New Roman" w:eastAsia="Times New Roman" w:cs="Times New Roman"/>
                <w:spacing w:val="-7"/>
              </w:rPr>
              <w:t>5800mg</w:t>
            </w:r>
            <w:r>
              <w:rPr>
                <w:spacing w:val="-7"/>
              </w:rPr>
              <w:t>／</w:t>
            </w:r>
            <w:r>
              <w:rPr>
                <w:rFonts w:ascii="Times New Roman" w:hAnsi="Times New Roman" w:eastAsia="Times New Roman" w:cs="Times New Roman"/>
                <w:spacing w:val="-7"/>
              </w:rPr>
              <w:t>kg(</w:t>
            </w:r>
            <w:r>
              <w:rPr>
                <w:spacing w:val="-7"/>
              </w:rPr>
              <w:t>大鼠经口</w:t>
            </w:r>
            <w:r>
              <w:rPr>
                <w:rFonts w:ascii="Times New Roman" w:hAnsi="Times New Roman" w:eastAsia="Times New Roman" w:cs="Times New Roman"/>
                <w:spacing w:val="-7"/>
              </w:rPr>
              <w:t>)</w:t>
            </w:r>
            <w:r>
              <w:rPr>
                <w:spacing w:val="-7"/>
              </w:rPr>
              <w:t>；</w:t>
            </w:r>
            <w:r>
              <w:rPr>
                <w:rFonts w:ascii="Times New Roman" w:hAnsi="Times New Roman" w:eastAsia="Times New Roman" w:cs="Times New Roman"/>
                <w:spacing w:val="-7"/>
              </w:rPr>
              <w:t>20000mg</w:t>
            </w:r>
            <w:r>
              <w:rPr>
                <w:spacing w:val="-7"/>
              </w:rPr>
              <w:t>／</w:t>
            </w:r>
            <w:r>
              <w:rPr>
                <w:rFonts w:ascii="Times New Roman" w:hAnsi="Times New Roman" w:eastAsia="Times New Roman" w:cs="Times New Roman"/>
                <w:spacing w:val="-7"/>
              </w:rPr>
              <w:t>kg(</w:t>
            </w:r>
            <w:r>
              <w:rPr>
                <w:spacing w:val="-7"/>
              </w:rPr>
              <w:t>兔</w:t>
            </w:r>
            <w:r>
              <w:t xml:space="preserve"> </w:t>
            </w:r>
            <w:r>
              <w:rPr>
                <w:spacing w:val="-13"/>
              </w:rPr>
              <w:t>经皮</w:t>
            </w:r>
            <w:r>
              <w:rPr>
                <w:rFonts w:ascii="Times New Roman" w:hAnsi="Times New Roman" w:eastAsia="Times New Roman" w:cs="Times New Roman"/>
                <w:spacing w:val="-13"/>
              </w:rPr>
              <w:t>)</w:t>
            </w:r>
            <w:r>
              <w:rPr>
                <w:rFonts w:ascii="Times New Roman" w:hAnsi="Times New Roman" w:eastAsia="Times New Roman" w:cs="Times New Roman"/>
                <w:spacing w:val="-28"/>
              </w:rPr>
              <w:t xml:space="preserve"> </w:t>
            </w:r>
            <w:r>
              <w:rPr>
                <w:spacing w:val="-13"/>
              </w:rPr>
              <w:t>。丙酮极度易燃，具刺激性。</w:t>
            </w:r>
          </w:p>
          <w:p w14:paraId="21C809F1">
            <w:pPr>
              <w:pStyle w:val="6"/>
              <w:spacing w:before="11" w:line="356" w:lineRule="auto"/>
              <w:ind w:left="109" w:right="90" w:firstLine="457"/>
            </w:pPr>
            <w:r>
              <w:rPr>
                <w:spacing w:val="-7"/>
              </w:rPr>
              <w:t>盐酸：盐酸（</w:t>
            </w:r>
            <w:r>
              <w:rPr>
                <w:rFonts w:ascii="Times New Roman" w:hAnsi="Times New Roman" w:eastAsia="Times New Roman" w:cs="Times New Roman"/>
                <w:spacing w:val="-7"/>
              </w:rPr>
              <w:t>hydrochloric acid</w:t>
            </w:r>
            <w:r>
              <w:rPr>
                <w:spacing w:val="-7"/>
              </w:rPr>
              <w:t>）是氯化氢（</w:t>
            </w:r>
            <w:r>
              <w:rPr>
                <w:rFonts w:ascii="Times New Roman" w:hAnsi="Times New Roman" w:eastAsia="Times New Roman" w:cs="Times New Roman"/>
                <w:spacing w:val="-7"/>
              </w:rPr>
              <w:t>HCl</w:t>
            </w:r>
            <w:r>
              <w:rPr>
                <w:spacing w:val="-7"/>
              </w:rPr>
              <w:t>）的水溶液。盐酸的性状为</w:t>
            </w:r>
            <w:r>
              <w:rPr>
                <w:spacing w:val="2"/>
              </w:rPr>
              <w:t xml:space="preserve"> </w:t>
            </w:r>
            <w:r>
              <w:rPr>
                <w:spacing w:val="-12"/>
              </w:rPr>
              <w:t>无色透明的液体，有强烈的刺鼻气味，具有较高的腐蚀性。浓盐酸具有极强的挥</w:t>
            </w:r>
            <w:r>
              <w:rPr>
                <w:spacing w:val="18"/>
              </w:rPr>
              <w:t xml:space="preserve"> </w:t>
            </w:r>
            <w:r>
              <w:rPr>
                <w:spacing w:val="-12"/>
              </w:rPr>
              <w:t>发性，与空气中的水蒸气结合产生盐酸小液滴，使瓶口上方出现酸雾。盐酸是一</w:t>
            </w:r>
            <w:r>
              <w:rPr>
                <w:spacing w:val="18"/>
              </w:rPr>
              <w:t xml:space="preserve"> </w:t>
            </w:r>
            <w:r>
              <w:rPr>
                <w:spacing w:val="-12"/>
              </w:rPr>
              <w:t>种</w:t>
            </w:r>
            <w:r>
              <w:fldChar w:fldCharType="begin"/>
            </w:r>
            <w:r>
              <w:instrText xml:space="preserve"> HYPERLINK "https://baike.baidu.com/item/%E4%B8%80%E5%85%83%E5%BC%BA%E9%85%B8" </w:instrText>
            </w:r>
            <w:r>
              <w:fldChar w:fldCharType="separate"/>
            </w:r>
            <w:r>
              <w:rPr>
                <w:spacing w:val="-12"/>
              </w:rPr>
              <w:t>一元强酸</w:t>
            </w:r>
            <w:r>
              <w:rPr>
                <w:spacing w:val="-12"/>
              </w:rPr>
              <w:fldChar w:fldCharType="end"/>
            </w:r>
            <w:r>
              <w:rPr>
                <w:spacing w:val="-12"/>
              </w:rPr>
              <w:t>，能与碱发生中和反应，具有</w:t>
            </w:r>
            <w:r>
              <w:fldChar w:fldCharType="begin"/>
            </w:r>
            <w:r>
              <w:instrText xml:space="preserve"> HYPERLINK "https://baike.baidu.com/item/%E8%BF%98%E5%8E%9F%E6%80%A7" </w:instrText>
            </w:r>
            <w:r>
              <w:fldChar w:fldCharType="separate"/>
            </w:r>
            <w:r>
              <w:rPr>
                <w:spacing w:val="-12"/>
              </w:rPr>
              <w:t>还原性</w:t>
            </w:r>
            <w:r>
              <w:rPr>
                <w:spacing w:val="-12"/>
              </w:rPr>
              <w:fldChar w:fldCharType="end"/>
            </w:r>
            <w:r>
              <w:rPr>
                <w:spacing w:val="-12"/>
              </w:rPr>
              <w:t>，可以和一些强氧化剂反应，放</w:t>
            </w:r>
            <w:r>
              <w:rPr>
                <w:spacing w:val="18"/>
              </w:rPr>
              <w:t xml:space="preserve"> </w:t>
            </w:r>
            <w:r>
              <w:rPr>
                <w:spacing w:val="-7"/>
              </w:rPr>
              <w:t>出氯气。相对密度（水</w:t>
            </w:r>
            <w:r>
              <w:rPr>
                <w:rFonts w:ascii="Times New Roman" w:hAnsi="Times New Roman" w:eastAsia="Times New Roman" w:cs="Times New Roman"/>
                <w:spacing w:val="-7"/>
              </w:rPr>
              <w:t>=1</w:t>
            </w:r>
            <w:r>
              <w:rPr>
                <w:spacing w:val="-7"/>
              </w:rPr>
              <w:t>）</w:t>
            </w:r>
            <w:r>
              <w:rPr>
                <w:rFonts w:ascii="Times New Roman" w:hAnsi="Times New Roman" w:eastAsia="Times New Roman" w:cs="Times New Roman"/>
                <w:spacing w:val="-7"/>
              </w:rPr>
              <w:t>1.19</w:t>
            </w:r>
            <w:r>
              <w:rPr>
                <w:rFonts w:ascii="Times New Roman" w:hAnsi="Times New Roman" w:eastAsia="Times New Roman" w:cs="Times New Roman"/>
                <w:spacing w:val="-34"/>
              </w:rPr>
              <w:t xml:space="preserve"> </w:t>
            </w:r>
            <w:r>
              <w:rPr>
                <w:spacing w:val="-7"/>
              </w:rPr>
              <w:t>。熔点</w:t>
            </w:r>
            <w:r>
              <w:rPr>
                <w:rFonts w:ascii="Times New Roman" w:hAnsi="Times New Roman" w:eastAsia="Times New Roman" w:cs="Times New Roman"/>
                <w:spacing w:val="-7"/>
              </w:rPr>
              <w:t>-114.8℃</w:t>
            </w:r>
            <w:r>
              <w:rPr>
                <w:spacing w:val="-7"/>
              </w:rPr>
              <w:t>（纯</w:t>
            </w:r>
            <w:r>
              <w:rPr>
                <w:spacing w:val="2"/>
              </w:rPr>
              <w:t>），</w:t>
            </w:r>
            <w:r>
              <w:rPr>
                <w:spacing w:val="-7"/>
              </w:rPr>
              <w:t>沸点</w:t>
            </w:r>
            <w:r>
              <w:rPr>
                <w:spacing w:val="-48"/>
              </w:rPr>
              <w:t xml:space="preserve"> </w:t>
            </w:r>
            <w:r>
              <w:rPr>
                <w:rFonts w:ascii="Times New Roman" w:hAnsi="Times New Roman" w:eastAsia="Times New Roman" w:cs="Times New Roman"/>
                <w:spacing w:val="-7"/>
                <w:sz w:val="20"/>
                <w:szCs w:val="20"/>
              </w:rPr>
              <w:t>108.6</w:t>
            </w:r>
            <w:r>
              <w:rPr>
                <w:rFonts w:ascii="Times New Roman" w:hAnsi="Times New Roman" w:eastAsia="Times New Roman" w:cs="Times New Roman"/>
                <w:spacing w:val="-7"/>
              </w:rPr>
              <w:t>℃</w:t>
            </w:r>
            <w:r>
              <w:rPr>
                <w:spacing w:val="-7"/>
              </w:rPr>
              <w:t>（</w:t>
            </w:r>
            <w:r>
              <w:rPr>
                <w:rFonts w:ascii="Times New Roman" w:hAnsi="Times New Roman" w:eastAsia="Times New Roman" w:cs="Times New Roman"/>
                <w:spacing w:val="-7"/>
              </w:rPr>
              <w:t>31%</w:t>
            </w:r>
            <w:r>
              <w:rPr>
                <w:spacing w:val="-7"/>
              </w:rPr>
              <w:t>）。</w:t>
            </w:r>
            <w:r>
              <w:t xml:space="preserve"> </w:t>
            </w:r>
            <w:r>
              <w:rPr>
                <w:spacing w:val="-9"/>
              </w:rPr>
              <w:t>毒理性质：</w:t>
            </w:r>
            <w:r>
              <w:rPr>
                <w:rFonts w:ascii="Times New Roman" w:hAnsi="Times New Roman" w:eastAsia="Times New Roman" w:cs="Times New Roman"/>
                <w:spacing w:val="-9"/>
              </w:rPr>
              <w:t>LD50</w:t>
            </w:r>
            <w:r>
              <w:rPr>
                <w:spacing w:val="-9"/>
              </w:rPr>
              <w:t>：</w:t>
            </w:r>
            <w:r>
              <w:rPr>
                <w:rFonts w:ascii="Times New Roman" w:hAnsi="Times New Roman" w:eastAsia="Times New Roman" w:cs="Times New Roman"/>
                <w:spacing w:val="-9"/>
              </w:rPr>
              <w:t>900mg</w:t>
            </w:r>
            <w:r>
              <w:rPr>
                <w:spacing w:val="-9"/>
              </w:rPr>
              <w:t>／</w:t>
            </w:r>
            <w:r>
              <w:rPr>
                <w:rFonts w:ascii="Times New Roman" w:hAnsi="Times New Roman" w:eastAsia="Times New Roman" w:cs="Times New Roman"/>
                <w:spacing w:val="-9"/>
              </w:rPr>
              <w:t>kg(</w:t>
            </w:r>
            <w:r>
              <w:rPr>
                <w:spacing w:val="-9"/>
              </w:rPr>
              <w:t>兔经口</w:t>
            </w:r>
            <w:r>
              <w:rPr>
                <w:rFonts w:ascii="Times New Roman" w:hAnsi="Times New Roman" w:eastAsia="Times New Roman" w:cs="Times New Roman"/>
                <w:spacing w:val="-9"/>
              </w:rPr>
              <w:t>)LC50</w:t>
            </w:r>
            <w:r>
              <w:rPr>
                <w:spacing w:val="-9"/>
              </w:rPr>
              <w:t>：</w:t>
            </w:r>
            <w:r>
              <w:rPr>
                <w:rFonts w:ascii="Times New Roman" w:hAnsi="Times New Roman" w:eastAsia="Times New Roman" w:cs="Times New Roman"/>
                <w:spacing w:val="-10"/>
              </w:rPr>
              <w:t xml:space="preserve">3124ppm1 </w:t>
            </w:r>
            <w:r>
              <w:rPr>
                <w:spacing w:val="-10"/>
              </w:rPr>
              <w:t>小时</w:t>
            </w:r>
            <w:r>
              <w:rPr>
                <w:rFonts w:ascii="Times New Roman" w:hAnsi="Times New Roman" w:eastAsia="Times New Roman" w:cs="Times New Roman"/>
                <w:spacing w:val="-10"/>
              </w:rPr>
              <w:t>(</w:t>
            </w:r>
            <w:r>
              <w:rPr>
                <w:spacing w:val="-10"/>
              </w:rPr>
              <w:t>大鼠吸入</w:t>
            </w:r>
            <w:r>
              <w:rPr>
                <w:rFonts w:ascii="Times New Roman" w:hAnsi="Times New Roman" w:eastAsia="Times New Roman" w:cs="Times New Roman"/>
                <w:spacing w:val="-10"/>
              </w:rPr>
              <w:t>)</w:t>
            </w:r>
            <w:r>
              <w:rPr>
                <w:spacing w:val="-10"/>
              </w:rPr>
              <w:t>。盐酸属</w:t>
            </w:r>
            <w:r>
              <w:t xml:space="preserve"> </w:t>
            </w:r>
            <w:r>
              <w:rPr>
                <w:spacing w:val="-12"/>
              </w:rPr>
              <w:t>于酸性腐蚀品，不燃，具有刺激性。</w:t>
            </w:r>
          </w:p>
          <w:p w14:paraId="503E7263">
            <w:pPr>
              <w:pStyle w:val="6"/>
              <w:spacing w:before="28" w:line="352" w:lineRule="auto"/>
              <w:ind w:left="112" w:right="15" w:firstLine="455"/>
              <w:jc w:val="both"/>
            </w:pPr>
            <w:r>
              <w:rPr>
                <w:spacing w:val="-12"/>
              </w:rPr>
              <w:t>草酸：草酸不会挥发。草酸是一种有机酸，化学式为</w:t>
            </w:r>
            <w:r>
              <w:rPr>
                <w:spacing w:val="-66"/>
              </w:rPr>
              <w:t xml:space="preserve"> </w:t>
            </w:r>
            <w:r>
              <w:rPr>
                <w:rFonts w:ascii="Times New Roman" w:hAnsi="Times New Roman" w:eastAsia="Times New Roman" w:cs="Times New Roman"/>
                <w:spacing w:val="-12"/>
              </w:rPr>
              <w:t>H</w:t>
            </w:r>
            <w:r>
              <w:rPr>
                <w:rFonts w:ascii="Times New Roman" w:hAnsi="Times New Roman" w:eastAsia="Times New Roman" w:cs="Times New Roman"/>
                <w:spacing w:val="-12"/>
                <w:position w:val="-1"/>
                <w:sz w:val="15"/>
                <w:szCs w:val="15"/>
              </w:rPr>
              <w:t>2</w:t>
            </w:r>
            <w:r>
              <w:rPr>
                <w:rFonts w:ascii="Times New Roman" w:hAnsi="Times New Roman" w:eastAsia="Times New Roman" w:cs="Times New Roman"/>
                <w:spacing w:val="-12"/>
              </w:rPr>
              <w:t>C</w:t>
            </w:r>
            <w:r>
              <w:rPr>
                <w:rFonts w:ascii="Times New Roman" w:hAnsi="Times New Roman" w:eastAsia="Times New Roman" w:cs="Times New Roman"/>
                <w:spacing w:val="-12"/>
                <w:position w:val="-1"/>
                <w:sz w:val="15"/>
                <w:szCs w:val="15"/>
              </w:rPr>
              <w:t>2</w:t>
            </w:r>
            <w:r>
              <w:rPr>
                <w:rFonts w:ascii="Times New Roman" w:hAnsi="Times New Roman" w:eastAsia="Times New Roman" w:cs="Times New Roman"/>
                <w:spacing w:val="-12"/>
              </w:rPr>
              <w:t>O</w:t>
            </w:r>
            <w:r>
              <w:rPr>
                <w:rFonts w:ascii="Times New Roman" w:hAnsi="Times New Roman" w:eastAsia="Times New Roman" w:cs="Times New Roman"/>
                <w:spacing w:val="-12"/>
                <w:position w:val="-1"/>
                <w:sz w:val="15"/>
                <w:szCs w:val="15"/>
              </w:rPr>
              <w:t>4</w:t>
            </w:r>
            <w:r>
              <w:rPr>
                <w:spacing w:val="-14"/>
              </w:rPr>
              <w:t>，二元弱酸。无</w:t>
            </w:r>
            <w:r>
              <w:t xml:space="preserve"> </w:t>
            </w:r>
            <w:r>
              <w:rPr>
                <w:spacing w:val="-17"/>
              </w:rPr>
              <w:t>色单斜片状或棱柱体结晶或白色粉末，氧化</w:t>
            </w:r>
            <w:r>
              <w:rPr>
                <w:spacing w:val="-18"/>
              </w:rPr>
              <w:t>法草酸无气味，合成法草酸有味。</w:t>
            </w:r>
            <w:r>
              <w:rPr>
                <w:rFonts w:ascii="Times New Roman" w:hAnsi="Times New Roman" w:eastAsia="Times New Roman" w:cs="Times New Roman"/>
                <w:spacing w:val="-18"/>
              </w:rPr>
              <w:t>150</w:t>
            </w:r>
            <w:r>
              <w:rPr>
                <w:spacing w:val="-18"/>
              </w:rPr>
              <w:t>~</w:t>
            </w:r>
            <w:r>
              <w:t xml:space="preserve"> </w:t>
            </w:r>
            <w:r>
              <w:rPr>
                <w:rFonts w:ascii="Times New Roman" w:hAnsi="Times New Roman" w:eastAsia="Times New Roman" w:cs="Times New Roman"/>
                <w:spacing w:val="-14"/>
              </w:rPr>
              <w:t>160℃</w:t>
            </w:r>
            <w:r>
              <w:rPr>
                <w:spacing w:val="-14"/>
              </w:rPr>
              <w:t>升华。在高热干燥空气中能风化。</w:t>
            </w:r>
            <w:r>
              <w:rPr>
                <w:rFonts w:ascii="Times New Roman" w:hAnsi="Times New Roman" w:eastAsia="Times New Roman" w:cs="Times New Roman"/>
                <w:spacing w:val="-14"/>
              </w:rPr>
              <w:t xml:space="preserve">1g </w:t>
            </w:r>
            <w:r>
              <w:rPr>
                <w:spacing w:val="-14"/>
              </w:rPr>
              <w:t>溶于</w:t>
            </w:r>
            <w:r>
              <w:rPr>
                <w:spacing w:val="-65"/>
              </w:rPr>
              <w:t xml:space="preserve"> </w:t>
            </w:r>
            <w:r>
              <w:rPr>
                <w:rFonts w:ascii="Times New Roman" w:hAnsi="Times New Roman" w:eastAsia="Times New Roman" w:cs="Times New Roman"/>
                <w:spacing w:val="-14"/>
              </w:rPr>
              <w:t xml:space="preserve">7mL </w:t>
            </w:r>
            <w:r>
              <w:rPr>
                <w:spacing w:val="-14"/>
              </w:rPr>
              <w:t>水、</w:t>
            </w:r>
            <w:r>
              <w:rPr>
                <w:rFonts w:ascii="Times New Roman" w:hAnsi="Times New Roman" w:eastAsia="Times New Roman" w:cs="Times New Roman"/>
                <w:spacing w:val="-14"/>
              </w:rPr>
              <w:t xml:space="preserve">2mL </w:t>
            </w:r>
            <w:r>
              <w:rPr>
                <w:spacing w:val="-14"/>
              </w:rPr>
              <w:t>沸水、</w:t>
            </w:r>
            <w:r>
              <w:rPr>
                <w:rFonts w:ascii="Times New Roman" w:hAnsi="Times New Roman" w:eastAsia="Times New Roman" w:cs="Times New Roman"/>
                <w:spacing w:val="-14"/>
              </w:rPr>
              <w:t>2.5mL</w:t>
            </w:r>
            <w:r>
              <w:rPr>
                <w:rFonts w:ascii="Times New Roman" w:hAnsi="Times New Roman" w:eastAsia="Times New Roman" w:cs="Times New Roman"/>
                <w:spacing w:val="23"/>
              </w:rPr>
              <w:t xml:space="preserve"> </w:t>
            </w:r>
            <w:r>
              <w:rPr>
                <w:spacing w:val="-15"/>
              </w:rPr>
              <w:t>乙醇、</w:t>
            </w:r>
            <w:r>
              <w:t xml:space="preserve"> </w:t>
            </w:r>
            <w:r>
              <w:rPr>
                <w:rFonts w:ascii="Times New Roman" w:hAnsi="Times New Roman" w:eastAsia="Times New Roman" w:cs="Times New Roman"/>
                <w:spacing w:val="-7"/>
              </w:rPr>
              <w:t xml:space="preserve">1.8mL </w:t>
            </w:r>
            <w:r>
              <w:rPr>
                <w:spacing w:val="-7"/>
              </w:rPr>
              <w:t>沸乙醇、</w:t>
            </w:r>
            <w:r>
              <w:rPr>
                <w:rFonts w:ascii="Times New Roman" w:hAnsi="Times New Roman" w:eastAsia="Times New Roman" w:cs="Times New Roman"/>
                <w:spacing w:val="-7"/>
              </w:rPr>
              <w:t>100mL</w:t>
            </w:r>
            <w:r>
              <w:rPr>
                <w:rFonts w:ascii="Times New Roman" w:hAnsi="Times New Roman" w:eastAsia="Times New Roman" w:cs="Times New Roman"/>
                <w:spacing w:val="25"/>
                <w:w w:val="101"/>
              </w:rPr>
              <w:t xml:space="preserve"> </w:t>
            </w:r>
            <w:r>
              <w:rPr>
                <w:spacing w:val="-7"/>
              </w:rPr>
              <w:t>乙醚、</w:t>
            </w:r>
            <w:r>
              <w:rPr>
                <w:rFonts w:ascii="Times New Roman" w:hAnsi="Times New Roman" w:eastAsia="Times New Roman" w:cs="Times New Roman"/>
                <w:spacing w:val="-7"/>
              </w:rPr>
              <w:t xml:space="preserve">5.5mL </w:t>
            </w:r>
            <w:r>
              <w:rPr>
                <w:spacing w:val="-7"/>
              </w:rPr>
              <w:t>甘油，不溶于苯、</w:t>
            </w:r>
            <w:r>
              <w:rPr>
                <w:spacing w:val="-8"/>
              </w:rPr>
              <w:t>氯仿和石油醚。</w:t>
            </w:r>
            <w:r>
              <w:rPr>
                <w:rFonts w:ascii="Times New Roman" w:hAnsi="Times New Roman" w:eastAsia="Times New Roman" w:cs="Times New Roman"/>
                <w:spacing w:val="-8"/>
              </w:rPr>
              <w:t>0.1mol/L</w:t>
            </w:r>
            <w:r>
              <w:rPr>
                <w:rFonts w:ascii="Times New Roman" w:hAnsi="Times New Roman" w:eastAsia="Times New Roman" w:cs="Times New Roman"/>
              </w:rPr>
              <w:t xml:space="preserve">  </w:t>
            </w:r>
            <w:r>
              <w:rPr>
                <w:spacing w:val="-10"/>
              </w:rPr>
              <w:t>溶液的</w:t>
            </w:r>
            <w:r>
              <w:rPr>
                <w:rFonts w:ascii="Times New Roman" w:hAnsi="Times New Roman" w:eastAsia="Times New Roman" w:cs="Times New Roman"/>
                <w:spacing w:val="-10"/>
              </w:rPr>
              <w:t xml:space="preserve">pH </w:t>
            </w:r>
            <w:r>
              <w:rPr>
                <w:spacing w:val="-10"/>
              </w:rPr>
              <w:t>为</w:t>
            </w:r>
            <w:r>
              <w:rPr>
                <w:spacing w:val="-36"/>
              </w:rPr>
              <w:t xml:space="preserve"> </w:t>
            </w:r>
            <w:r>
              <w:rPr>
                <w:rFonts w:ascii="Times New Roman" w:hAnsi="Times New Roman" w:eastAsia="Times New Roman" w:cs="Times New Roman"/>
                <w:spacing w:val="-10"/>
              </w:rPr>
              <w:t>1.3</w:t>
            </w:r>
            <w:r>
              <w:rPr>
                <w:spacing w:val="-10"/>
              </w:rPr>
              <w:t>。相对密度（水</w:t>
            </w:r>
            <w:r>
              <w:rPr>
                <w:rFonts w:ascii="Times New Roman" w:hAnsi="Times New Roman" w:eastAsia="Times New Roman" w:cs="Times New Roman"/>
                <w:spacing w:val="-10"/>
              </w:rPr>
              <w:t>=1</w:t>
            </w:r>
            <w:r>
              <w:rPr>
                <w:spacing w:val="-10"/>
              </w:rPr>
              <w:t>）</w:t>
            </w:r>
            <w:r>
              <w:rPr>
                <w:rFonts w:ascii="Times New Roman" w:hAnsi="Times New Roman" w:eastAsia="Times New Roman" w:cs="Times New Roman"/>
                <w:spacing w:val="-10"/>
              </w:rPr>
              <w:t>1.653</w:t>
            </w:r>
            <w:r>
              <w:rPr>
                <w:spacing w:val="-10"/>
              </w:rPr>
              <w:t>。熔点</w:t>
            </w:r>
            <w:r>
              <w:rPr>
                <w:spacing w:val="-46"/>
              </w:rPr>
              <w:t xml:space="preserve"> </w:t>
            </w:r>
            <w:r>
              <w:rPr>
                <w:rFonts w:ascii="Times New Roman" w:hAnsi="Times New Roman" w:eastAsia="Times New Roman" w:cs="Times New Roman"/>
                <w:spacing w:val="-10"/>
              </w:rPr>
              <w:t>101</w:t>
            </w:r>
            <w:r>
              <w:rPr>
                <w:spacing w:val="-10"/>
              </w:rPr>
              <w:t>～</w:t>
            </w:r>
            <w:r>
              <w:rPr>
                <w:rFonts w:ascii="Times New Roman" w:hAnsi="Times New Roman" w:eastAsia="Times New Roman" w:cs="Times New Roman"/>
                <w:spacing w:val="-10"/>
              </w:rPr>
              <w:t>102℃</w:t>
            </w:r>
            <w:r>
              <w:rPr>
                <w:spacing w:val="-10"/>
              </w:rPr>
              <w:t>（</w:t>
            </w:r>
            <w:r>
              <w:rPr>
                <w:rFonts w:ascii="Times New Roman" w:hAnsi="Times New Roman" w:eastAsia="Times New Roman" w:cs="Times New Roman"/>
                <w:spacing w:val="-10"/>
              </w:rPr>
              <w:t>187℃</w:t>
            </w:r>
            <w:r>
              <w:rPr>
                <w:rFonts w:ascii="Times New Roman" w:hAnsi="Times New Roman" w:eastAsia="Times New Roman" w:cs="Times New Roman"/>
                <w:spacing w:val="-37"/>
              </w:rPr>
              <w:t xml:space="preserve"> </w:t>
            </w:r>
            <w:r>
              <w:rPr>
                <w:spacing w:val="-10"/>
              </w:rPr>
              <w:t>,</w:t>
            </w:r>
            <w:r>
              <w:rPr>
                <w:spacing w:val="53"/>
              </w:rPr>
              <w:t xml:space="preserve"> </w:t>
            </w:r>
            <w:r>
              <w:rPr>
                <w:spacing w:val="-10"/>
              </w:rPr>
              <w:t>无水）。</w:t>
            </w:r>
          </w:p>
        </w:tc>
      </w:tr>
    </w:tbl>
    <w:p w14:paraId="72F4F4FC">
      <w:pPr>
        <w:rPr>
          <w:rFonts w:ascii="Arial"/>
          <w:sz w:val="21"/>
        </w:rPr>
      </w:pPr>
    </w:p>
    <w:p w14:paraId="3CE55077">
      <w:pPr>
        <w:rPr>
          <w:rFonts w:ascii="Arial" w:hAnsi="Arial" w:eastAsia="Arial" w:cs="Arial"/>
          <w:sz w:val="21"/>
          <w:szCs w:val="21"/>
        </w:rPr>
        <w:sectPr>
          <w:footerReference r:id="rId29" w:type="default"/>
          <w:pgSz w:w="11906" w:h="16839"/>
          <w:pgMar w:top="400" w:right="1451" w:bottom="1240" w:left="1451" w:header="0" w:footer="1078" w:gutter="0"/>
          <w:cols w:space="720" w:num="1"/>
        </w:sectPr>
      </w:pPr>
    </w:p>
    <w:p w14:paraId="0A7A468E">
      <w:pPr>
        <w:spacing w:before="19"/>
      </w:pPr>
    </w:p>
    <w:p w14:paraId="01478047">
      <w:pPr>
        <w:spacing w:before="19"/>
      </w:pPr>
    </w:p>
    <w:p w14:paraId="1B172835">
      <w:pPr>
        <w:spacing w:before="19"/>
      </w:pPr>
    </w:p>
    <w:p w14:paraId="4D90F409">
      <w:pPr>
        <w:spacing w:before="18"/>
      </w:pPr>
    </w:p>
    <w:p w14:paraId="13962DBA">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5AA52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778" w:type="dxa"/>
            <w:tcBorders>
              <w:right w:val="single" w:color="000000" w:sz="2" w:space="0"/>
            </w:tcBorders>
            <w:vAlign w:val="top"/>
          </w:tcPr>
          <w:p w14:paraId="08F0BE17">
            <w:pPr>
              <w:rPr>
                <w:rFonts w:ascii="Arial"/>
                <w:sz w:val="21"/>
              </w:rPr>
            </w:pPr>
          </w:p>
        </w:tc>
        <w:tc>
          <w:tcPr>
            <w:tcW w:w="8210" w:type="dxa"/>
            <w:tcBorders>
              <w:left w:val="single" w:color="000000" w:sz="2" w:space="0"/>
            </w:tcBorders>
            <w:vAlign w:val="top"/>
          </w:tcPr>
          <w:p w14:paraId="18FEC69C">
            <w:pPr>
              <w:pStyle w:val="6"/>
              <w:spacing w:before="39" w:line="351" w:lineRule="auto"/>
              <w:ind w:left="108" w:right="90"/>
            </w:pPr>
            <w:r>
              <w:rPr>
                <w:spacing w:val="-13"/>
              </w:rPr>
              <w:t>低毒，半数致死量（兔，经皮）</w:t>
            </w:r>
            <w:r>
              <w:rPr>
                <w:rFonts w:ascii="Times New Roman" w:hAnsi="Times New Roman" w:eastAsia="Times New Roman" w:cs="Times New Roman"/>
                <w:spacing w:val="-13"/>
              </w:rPr>
              <w:t>2000mg/kg</w:t>
            </w:r>
            <w:r>
              <w:rPr>
                <w:spacing w:val="-13"/>
              </w:rPr>
              <w:t>。草酸</w:t>
            </w:r>
            <w:r>
              <w:rPr>
                <w:spacing w:val="-14"/>
              </w:rPr>
              <w:t>具有强烈刺激性和腐蚀性，无燃</w:t>
            </w:r>
            <w:r>
              <w:t xml:space="preserve"> </w:t>
            </w:r>
            <w:r>
              <w:rPr>
                <w:spacing w:val="-10"/>
              </w:rPr>
              <w:t>爆危险资料。</w:t>
            </w:r>
          </w:p>
          <w:p w14:paraId="73078EAA">
            <w:pPr>
              <w:pStyle w:val="6"/>
              <w:spacing w:before="22" w:line="356" w:lineRule="auto"/>
              <w:ind w:left="108" w:right="102" w:firstLine="480"/>
              <w:jc w:val="both"/>
            </w:pPr>
            <w:r>
              <w:rPr>
                <w:spacing w:val="-1"/>
              </w:rPr>
              <w:t>氢氟酸：氢氟酸（</w:t>
            </w:r>
            <w:r>
              <w:rPr>
                <w:rFonts w:ascii="Times New Roman" w:hAnsi="Times New Roman" w:eastAsia="Times New Roman" w:cs="Times New Roman"/>
                <w:spacing w:val="-1"/>
              </w:rPr>
              <w:t>Hydrofluoric Acid</w:t>
            </w:r>
            <w:r>
              <w:rPr>
                <w:spacing w:val="-1"/>
              </w:rPr>
              <w:t>）是氟化氢气体的水溶液，清澈，无</w:t>
            </w:r>
            <w:r>
              <w:rPr>
                <w:spacing w:val="7"/>
              </w:rPr>
              <w:t xml:space="preserve"> </w:t>
            </w:r>
            <w:r>
              <w:rPr>
                <w:spacing w:val="2"/>
              </w:rPr>
              <w:t>色、发烟的腐蚀性液体，有剧烈刺激性气味。氢氟酸是一种弱酸，具有极强</w:t>
            </w:r>
            <w:r>
              <w:rPr>
                <w:spacing w:val="1"/>
              </w:rPr>
              <w:t xml:space="preserve"> </w:t>
            </w:r>
            <w:r>
              <w:rPr>
                <w:spacing w:val="2"/>
              </w:rPr>
              <w:t>的腐蚀性，能强烈地腐蚀金属、玻璃和含硅的物体。市售通常浓度：溶质的</w:t>
            </w:r>
            <w:r>
              <w:rPr>
                <w:spacing w:val="1"/>
              </w:rPr>
              <w:t xml:space="preserve"> </w:t>
            </w:r>
            <w:r>
              <w:rPr>
                <w:spacing w:val="-1"/>
              </w:rPr>
              <w:t>质量分数</w:t>
            </w:r>
            <w:r>
              <w:rPr>
                <w:spacing w:val="-56"/>
              </w:rPr>
              <w:t xml:space="preserve"> </w:t>
            </w:r>
            <w:r>
              <w:rPr>
                <w:rFonts w:ascii="Times New Roman" w:hAnsi="Times New Roman" w:eastAsia="Times New Roman" w:cs="Times New Roman"/>
                <w:spacing w:val="-1"/>
              </w:rPr>
              <w:t>40%</w:t>
            </w:r>
            <w:r>
              <w:rPr>
                <w:rFonts w:ascii="Times New Roman" w:hAnsi="Times New Roman" w:eastAsia="Times New Roman" w:cs="Times New Roman"/>
                <w:spacing w:val="-32"/>
              </w:rPr>
              <w:t xml:space="preserve"> </w:t>
            </w:r>
            <w:r>
              <w:rPr>
                <w:spacing w:val="-1"/>
              </w:rPr>
              <w:t>，工业级；质量分数</w:t>
            </w:r>
            <w:r>
              <w:rPr>
                <w:spacing w:val="-54"/>
              </w:rPr>
              <w:t xml:space="preserve"> </w:t>
            </w:r>
            <w:r>
              <w:rPr>
                <w:rFonts w:ascii="Times New Roman" w:hAnsi="Times New Roman" w:eastAsia="Times New Roman" w:cs="Times New Roman"/>
                <w:spacing w:val="-1"/>
              </w:rPr>
              <w:t>40%</w:t>
            </w:r>
            <w:r>
              <w:rPr>
                <w:rFonts w:ascii="Times New Roman" w:hAnsi="Times New Roman" w:eastAsia="Times New Roman" w:cs="Times New Roman"/>
                <w:spacing w:val="-29"/>
              </w:rPr>
              <w:t xml:space="preserve"> </w:t>
            </w:r>
            <w:r>
              <w:rPr>
                <w:spacing w:val="-1"/>
              </w:rPr>
              <w:t>，电子级。为高度危</w:t>
            </w:r>
            <w:r>
              <w:rPr>
                <w:spacing w:val="-2"/>
              </w:rPr>
              <w:t>害毒物。最浓时</w:t>
            </w:r>
            <w:r>
              <w:t xml:space="preserve"> </w:t>
            </w:r>
            <w:r>
              <w:rPr>
                <w:spacing w:val="-1"/>
              </w:rPr>
              <w:t>的密度</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18g/cm³</w:t>
            </w:r>
            <w:r>
              <w:rPr>
                <w:rFonts w:ascii="Times New Roman" w:hAnsi="Times New Roman" w:eastAsia="Times New Roman" w:cs="Times New Roman"/>
                <w:spacing w:val="-22"/>
              </w:rPr>
              <w:t xml:space="preserve"> </w:t>
            </w:r>
            <w:r>
              <w:rPr>
                <w:spacing w:val="-1"/>
              </w:rPr>
              <w:t>。相对密度（水</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1.26</w:t>
            </w:r>
            <w:r>
              <w:rPr>
                <w:spacing w:val="-2"/>
              </w:rPr>
              <w:t>（</w:t>
            </w:r>
            <w:r>
              <w:rPr>
                <w:rFonts w:ascii="Times New Roman" w:hAnsi="Times New Roman" w:eastAsia="Times New Roman" w:cs="Times New Roman"/>
                <w:spacing w:val="-2"/>
              </w:rPr>
              <w:t>75%</w:t>
            </w:r>
            <w:r>
              <w:rPr>
                <w:spacing w:val="-2"/>
              </w:rPr>
              <w:t>）。熔点</w:t>
            </w:r>
            <w:r>
              <w:rPr>
                <w:rFonts w:ascii="Times New Roman" w:hAnsi="Times New Roman" w:eastAsia="Times New Roman" w:cs="Times New Roman"/>
                <w:spacing w:val="-2"/>
              </w:rPr>
              <w:t>-83.3℃</w:t>
            </w:r>
            <w:r>
              <w:rPr>
                <w:spacing w:val="-2"/>
              </w:rPr>
              <w:t>（纯</w:t>
            </w:r>
            <w:r>
              <w:rPr>
                <w:spacing w:val="9"/>
              </w:rPr>
              <w:t>），</w:t>
            </w:r>
            <w:r>
              <w:rPr>
                <w:spacing w:val="-2"/>
              </w:rPr>
              <w:t>沸</w:t>
            </w:r>
            <w:r>
              <w:t xml:space="preserve"> 点</w:t>
            </w:r>
            <w:r>
              <w:rPr>
                <w:spacing w:val="-25"/>
              </w:rPr>
              <w:t xml:space="preserve"> </w:t>
            </w:r>
            <w:r>
              <w:rPr>
                <w:rFonts w:ascii="Times New Roman" w:hAnsi="Times New Roman" w:eastAsia="Times New Roman" w:cs="Times New Roman"/>
              </w:rPr>
              <w:t>120℃</w:t>
            </w:r>
            <w:r>
              <w:t>（</w:t>
            </w:r>
            <w:r>
              <w:rPr>
                <w:rFonts w:ascii="Times New Roman" w:hAnsi="Times New Roman" w:eastAsia="Times New Roman" w:cs="Times New Roman"/>
              </w:rPr>
              <w:t>35.3%</w:t>
            </w:r>
            <w:r>
              <w:t>）。毒理性质：</w:t>
            </w:r>
            <w:r>
              <w:rPr>
                <w:rFonts w:ascii="Times New Roman" w:hAnsi="Times New Roman" w:eastAsia="Times New Roman" w:cs="Times New Roman"/>
              </w:rPr>
              <w:t>LD50</w:t>
            </w:r>
            <w:r>
              <w:t>：无资料；</w:t>
            </w:r>
            <w:r>
              <w:rPr>
                <w:rFonts w:ascii="Times New Roman" w:hAnsi="Times New Roman" w:eastAsia="Times New Roman" w:cs="Times New Roman"/>
              </w:rPr>
              <w:t>LC50</w:t>
            </w:r>
            <w:r>
              <w:t>：</w:t>
            </w:r>
            <w:r>
              <w:rPr>
                <w:rFonts w:ascii="Times New Roman" w:hAnsi="Times New Roman" w:eastAsia="Times New Roman" w:cs="Times New Roman"/>
              </w:rPr>
              <w:t>1044mg/m</w:t>
            </w:r>
            <w:r>
              <w:t>³</w:t>
            </w:r>
            <w:r>
              <w:rPr>
                <w:rFonts w:ascii="Times New Roman" w:hAnsi="Times New Roman" w:eastAsia="Times New Roman" w:cs="Times New Roman"/>
              </w:rPr>
              <w:t>(</w:t>
            </w:r>
            <w:r>
              <w:t xml:space="preserve">大鼠吸 </w:t>
            </w:r>
            <w:r>
              <w:rPr>
                <w:spacing w:val="-2"/>
              </w:rPr>
              <w:t>入</w:t>
            </w:r>
            <w:r>
              <w:rPr>
                <w:rFonts w:ascii="Times New Roman" w:hAnsi="Times New Roman" w:eastAsia="Times New Roman" w:cs="Times New Roman"/>
                <w:spacing w:val="-2"/>
              </w:rPr>
              <w:t>)</w:t>
            </w:r>
            <w:r>
              <w:rPr>
                <w:rFonts w:ascii="Times New Roman" w:hAnsi="Times New Roman" w:eastAsia="Times New Roman" w:cs="Times New Roman"/>
                <w:spacing w:val="-19"/>
              </w:rPr>
              <w:t xml:space="preserve"> </w:t>
            </w:r>
            <w:r>
              <w:rPr>
                <w:spacing w:val="-2"/>
              </w:rPr>
              <w:t>。氢氟酸不燃，具强腐蚀性、强刺激性，可致人体灼伤。</w:t>
            </w:r>
          </w:p>
          <w:p w14:paraId="45941073">
            <w:pPr>
              <w:pStyle w:val="6"/>
              <w:tabs>
                <w:tab w:val="left" w:pos="8175"/>
              </w:tabs>
              <w:spacing w:before="26" w:line="357" w:lineRule="auto"/>
              <w:ind w:left="105" w:right="22" w:firstLine="483"/>
              <w:jc w:val="both"/>
            </w:pPr>
            <w:r>
              <w:rPr>
                <w:spacing w:val="-3"/>
              </w:rPr>
              <w:t>硫酸：硫酸是一种无机化合物，化学式是</w:t>
            </w:r>
            <w:r>
              <w:rPr>
                <w:spacing w:val="-49"/>
              </w:rPr>
              <w:t xml:space="preserve"> </w:t>
            </w:r>
            <w:r>
              <w:rPr>
                <w:rFonts w:ascii="Times New Roman" w:hAnsi="Times New Roman" w:eastAsia="Times New Roman" w:cs="Times New Roman"/>
                <w:spacing w:val="-3"/>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4</w:t>
            </w:r>
            <w:r>
              <w:rPr>
                <w:rFonts w:ascii="Times New Roman" w:hAnsi="Times New Roman" w:eastAsia="Times New Roman" w:cs="Times New Roman"/>
                <w:spacing w:val="-10"/>
                <w:position w:val="-1"/>
                <w:sz w:val="15"/>
                <w:szCs w:val="15"/>
              </w:rPr>
              <w:t xml:space="preserve"> </w:t>
            </w:r>
            <w:r>
              <w:rPr>
                <w:spacing w:val="-3"/>
              </w:rPr>
              <w:t>，硫的最重要的含氧酸。</w:t>
            </w:r>
            <w:r>
              <w:t xml:space="preserve"> </w:t>
            </w:r>
            <w:r>
              <w:rPr>
                <w:spacing w:val="2"/>
              </w:rPr>
              <w:t>纯净的硫酸为无色油状液体，是一种最活泼的二元无机强酸，能和绝大多数</w:t>
            </w:r>
            <w:r>
              <w:rPr>
                <w:spacing w:val="4"/>
              </w:rPr>
              <w:t xml:space="preserve"> </w:t>
            </w:r>
            <w:r>
              <w:rPr>
                <w:spacing w:val="-4"/>
              </w:rPr>
              <w:t>金属发生反应。纯硫酸一般为无色油状液体，密度</w:t>
            </w:r>
            <w:r>
              <w:rPr>
                <w:spacing w:val="-30"/>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5"/>
              </w:rPr>
              <w:t>.84g/cm³</w:t>
            </w:r>
            <w:r>
              <w:rPr>
                <w:rFonts w:ascii="Times New Roman" w:hAnsi="Times New Roman" w:eastAsia="Times New Roman" w:cs="Times New Roman"/>
                <w:spacing w:val="-30"/>
              </w:rPr>
              <w:t xml:space="preserve"> </w:t>
            </w:r>
            <w:r>
              <w:rPr>
                <w:spacing w:val="-5"/>
              </w:rPr>
              <w:t>,</w:t>
            </w:r>
            <w:r>
              <w:rPr>
                <w:spacing w:val="66"/>
              </w:rPr>
              <w:t xml:space="preserve"> </w:t>
            </w:r>
            <w:r>
              <w:rPr>
                <w:spacing w:val="-5"/>
              </w:rPr>
              <w:t>沸点</w:t>
            </w:r>
            <w:r>
              <w:rPr>
                <w:spacing w:val="-48"/>
              </w:rPr>
              <w:t xml:space="preserve"> </w:t>
            </w:r>
            <w:r>
              <w:rPr>
                <w:rFonts w:ascii="Times New Roman" w:hAnsi="Times New Roman" w:eastAsia="Times New Roman" w:cs="Times New Roman"/>
                <w:spacing w:val="-5"/>
              </w:rPr>
              <w:t>337℃</w:t>
            </w:r>
            <w:r>
              <w:rPr>
                <w:rFonts w:ascii="Times New Roman" w:hAnsi="Times New Roman" w:eastAsia="Times New Roman" w:cs="Times New Roman"/>
                <w:spacing w:val="-27"/>
              </w:rPr>
              <w:t xml:space="preserve"> </w:t>
            </w:r>
            <w:r>
              <w:rPr>
                <w:spacing w:val="-5"/>
              </w:rPr>
              <w:t>,</w:t>
            </w:r>
            <w:r>
              <w:tab/>
            </w:r>
            <w:r>
              <w:t xml:space="preserve"> </w:t>
            </w:r>
            <w:r>
              <w:rPr>
                <w:spacing w:val="-3"/>
              </w:rPr>
              <w:t>能与水以任意比例互溶，同时放出大量的热</w:t>
            </w:r>
            <w:r>
              <w:rPr>
                <w:spacing w:val="-4"/>
              </w:rPr>
              <w:t>，使水沸腾。加热到</w:t>
            </w:r>
            <w:r>
              <w:rPr>
                <w:spacing w:val="-54"/>
              </w:rPr>
              <w:t xml:space="preserve"> </w:t>
            </w:r>
            <w:r>
              <w:rPr>
                <w:rFonts w:ascii="Times New Roman" w:hAnsi="Times New Roman" w:eastAsia="Times New Roman" w:cs="Times New Roman"/>
                <w:spacing w:val="-4"/>
              </w:rPr>
              <w:t>290℃</w:t>
            </w:r>
            <w:r>
              <w:rPr>
                <w:spacing w:val="-4"/>
              </w:rPr>
              <w:t>时开始</w:t>
            </w:r>
            <w:r>
              <w:t xml:space="preserve"> 释放出三氧化硫，最终变成为</w:t>
            </w:r>
            <w:r>
              <w:rPr>
                <w:spacing w:val="-30"/>
              </w:rPr>
              <w:t xml:space="preserve"> </w:t>
            </w:r>
            <w:r>
              <w:rPr>
                <w:rFonts w:ascii="Times New Roman" w:hAnsi="Times New Roman" w:eastAsia="Times New Roman" w:cs="Times New Roman"/>
              </w:rPr>
              <w:t>98.54%</w:t>
            </w:r>
            <w:r>
              <w:t>的水溶液，在</w:t>
            </w:r>
            <w:r>
              <w:rPr>
                <w:spacing w:val="-48"/>
              </w:rPr>
              <w:t xml:space="preserve"> </w:t>
            </w:r>
            <w:r>
              <w:rPr>
                <w:rFonts w:ascii="Times New Roman" w:hAnsi="Times New Roman" w:eastAsia="Times New Roman" w:cs="Times New Roman"/>
              </w:rPr>
              <w:t>317℃</w:t>
            </w:r>
            <w:r>
              <w:t xml:space="preserve">时沸腾而成为共沸 </w:t>
            </w:r>
            <w:r>
              <w:rPr>
                <w:spacing w:val="-7"/>
              </w:rPr>
              <w:t>混合物。相对密度（水</w:t>
            </w:r>
            <w:r>
              <w:rPr>
                <w:rFonts w:ascii="Times New Roman" w:hAnsi="Times New Roman" w:eastAsia="Times New Roman" w:cs="Times New Roman"/>
                <w:spacing w:val="-7"/>
              </w:rPr>
              <w:t>=1</w:t>
            </w:r>
            <w:r>
              <w:rPr>
                <w:spacing w:val="-7"/>
              </w:rPr>
              <w:t>）</w:t>
            </w:r>
            <w:r>
              <w:rPr>
                <w:rFonts w:ascii="Times New Roman" w:hAnsi="Times New Roman" w:eastAsia="Times New Roman" w:cs="Times New Roman"/>
                <w:spacing w:val="-7"/>
              </w:rPr>
              <w:t>1.83</w:t>
            </w:r>
            <w:r>
              <w:rPr>
                <w:spacing w:val="-7"/>
              </w:rPr>
              <w:t>。熔点</w:t>
            </w:r>
            <w:r>
              <w:rPr>
                <w:spacing w:val="-51"/>
              </w:rPr>
              <w:t xml:space="preserve"> </w:t>
            </w:r>
            <w:r>
              <w:rPr>
                <w:rFonts w:ascii="Times New Roman" w:hAnsi="Times New Roman" w:eastAsia="Times New Roman" w:cs="Times New Roman"/>
                <w:spacing w:val="-8"/>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9"/>
              </w:rPr>
              <w:t xml:space="preserve"> </w:t>
            </w:r>
            <w:r>
              <w:rPr>
                <w:spacing w:val="-8"/>
              </w:rPr>
              <w:t>,</w:t>
            </w:r>
            <w:r>
              <w:rPr>
                <w:spacing w:val="42"/>
              </w:rPr>
              <w:t xml:space="preserve"> </w:t>
            </w:r>
            <w:r>
              <w:rPr>
                <w:spacing w:val="-8"/>
              </w:rPr>
              <w:t>沸点</w:t>
            </w:r>
            <w:r>
              <w:rPr>
                <w:spacing w:val="-50"/>
              </w:rPr>
              <w:t xml:space="preserve"> </w:t>
            </w:r>
            <w:r>
              <w:rPr>
                <w:rFonts w:ascii="Times New Roman" w:hAnsi="Times New Roman" w:eastAsia="Times New Roman" w:cs="Times New Roman"/>
                <w:spacing w:val="-8"/>
              </w:rPr>
              <w:t>338℃</w:t>
            </w:r>
            <w:r>
              <w:rPr>
                <w:spacing w:val="-8"/>
              </w:rPr>
              <w:t>。毒理性质：</w:t>
            </w:r>
            <w:r>
              <w:rPr>
                <w:rFonts w:ascii="Times New Roman" w:hAnsi="Times New Roman" w:eastAsia="Times New Roman" w:cs="Times New Roman"/>
                <w:spacing w:val="-8"/>
              </w:rPr>
              <w:t>LD50</w:t>
            </w:r>
            <w:r>
              <w:rPr>
                <w:spacing w:val="-8"/>
              </w:rPr>
              <w:t>：</w:t>
            </w:r>
            <w:r>
              <w:t xml:space="preserve"> </w:t>
            </w:r>
            <w:r>
              <w:rPr>
                <w:rFonts w:ascii="Times New Roman" w:hAnsi="Times New Roman" w:eastAsia="Times New Roman" w:cs="Times New Roman"/>
                <w:spacing w:val="-4"/>
              </w:rPr>
              <w:t>2140mg/kg(</w:t>
            </w:r>
            <w:r>
              <w:rPr>
                <w:spacing w:val="-4"/>
              </w:rPr>
              <w:t>大鼠经口</w:t>
            </w:r>
            <w:r>
              <w:rPr>
                <w:rFonts w:ascii="Times New Roman" w:hAnsi="Times New Roman" w:eastAsia="Times New Roman" w:cs="Times New Roman"/>
                <w:spacing w:val="-4"/>
              </w:rPr>
              <w:t>)</w:t>
            </w:r>
            <w:r>
              <w:rPr>
                <w:rFonts w:ascii="Times New Roman" w:hAnsi="Times New Roman" w:eastAsia="Times New Roman" w:cs="Times New Roman"/>
                <w:spacing w:val="-30"/>
              </w:rPr>
              <w:t xml:space="preserve"> </w:t>
            </w:r>
            <w:r>
              <w:rPr>
                <w:spacing w:val="-4"/>
              </w:rPr>
              <w:t>，</w:t>
            </w:r>
            <w:r>
              <w:rPr>
                <w:rFonts w:ascii="Times New Roman" w:hAnsi="Times New Roman" w:eastAsia="Times New Roman" w:cs="Times New Roman"/>
                <w:spacing w:val="-4"/>
              </w:rPr>
              <w:t>LC5</w:t>
            </w:r>
            <w:r>
              <w:rPr>
                <w:rFonts w:ascii="Times New Roman" w:hAnsi="Times New Roman" w:eastAsia="Times New Roman" w:cs="Times New Roman"/>
                <w:spacing w:val="-5"/>
              </w:rPr>
              <w:t>0</w:t>
            </w:r>
            <w:r>
              <w:rPr>
                <w:spacing w:val="-5"/>
              </w:rPr>
              <w:t>：</w:t>
            </w:r>
            <w:r>
              <w:rPr>
                <w:rFonts w:ascii="Times New Roman" w:hAnsi="Times New Roman" w:eastAsia="Times New Roman" w:cs="Times New Roman"/>
                <w:spacing w:val="-5"/>
              </w:rPr>
              <w:t>510mg/m</w:t>
            </w:r>
            <w:r>
              <w:rPr>
                <w:spacing w:val="-5"/>
              </w:rPr>
              <w:t>³</w:t>
            </w:r>
            <w:r>
              <w:rPr>
                <w:spacing w:val="-91"/>
              </w:rPr>
              <w:t xml:space="preserve"> </w:t>
            </w:r>
            <w:r>
              <w:rPr>
                <w:spacing w:val="-5"/>
              </w:rPr>
              <w:t>,</w:t>
            </w:r>
            <w:r>
              <w:rPr>
                <w:spacing w:val="59"/>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6"/>
              </w:rPr>
              <w:t xml:space="preserve"> </w:t>
            </w:r>
            <w:r>
              <w:rPr>
                <w:spacing w:val="-5"/>
              </w:rPr>
              <w:t>小时</w:t>
            </w:r>
            <w:r>
              <w:rPr>
                <w:rFonts w:ascii="Times New Roman" w:hAnsi="Times New Roman" w:eastAsia="Times New Roman" w:cs="Times New Roman"/>
                <w:spacing w:val="-5"/>
              </w:rPr>
              <w:t>(</w:t>
            </w:r>
            <w:r>
              <w:rPr>
                <w:spacing w:val="-5"/>
              </w:rPr>
              <w:t>大鼠吸入</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320mg/m</w:t>
            </w:r>
            <w:r>
              <w:rPr>
                <w:spacing w:val="-5"/>
              </w:rPr>
              <w:t>³</w:t>
            </w:r>
            <w:r>
              <w:rPr>
                <w:spacing w:val="-91"/>
              </w:rPr>
              <w:t xml:space="preserve"> </w:t>
            </w:r>
            <w:r>
              <w:rPr>
                <w:spacing w:val="-5"/>
              </w:rPr>
              <w:t>,</w:t>
            </w:r>
            <w:r>
              <w:rPr>
                <w:spacing w:val="58"/>
              </w:rPr>
              <w:t xml:space="preserve"> </w:t>
            </w:r>
            <w:r>
              <w:rPr>
                <w:rFonts w:ascii="Times New Roman" w:hAnsi="Times New Roman" w:eastAsia="Times New Roman" w:cs="Times New Roman"/>
                <w:spacing w:val="-5"/>
              </w:rPr>
              <w:t>2</w:t>
            </w:r>
            <w:r>
              <w:rPr>
                <w:rFonts w:ascii="Times New Roman" w:hAnsi="Times New Roman" w:eastAsia="Times New Roman" w:cs="Times New Roman"/>
              </w:rPr>
              <w:t xml:space="preserve">   </w:t>
            </w:r>
            <w:r>
              <w:rPr>
                <w:spacing w:val="-1"/>
              </w:rPr>
              <w:t>小时</w:t>
            </w:r>
            <w:r>
              <w:rPr>
                <w:rFonts w:ascii="Times New Roman" w:hAnsi="Times New Roman" w:eastAsia="Times New Roman" w:cs="Times New Roman"/>
                <w:spacing w:val="-1"/>
              </w:rPr>
              <w:t>(</w:t>
            </w:r>
            <w:r>
              <w:rPr>
                <w:spacing w:val="-1"/>
              </w:rPr>
              <w:t>小鼠吸入</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。硫酸助燃，具强腐蚀性、强</w:t>
            </w:r>
            <w:r>
              <w:rPr>
                <w:spacing w:val="-2"/>
              </w:rPr>
              <w:t>刺激性，可致人体灼伤。</w:t>
            </w:r>
          </w:p>
          <w:p w14:paraId="016EF950">
            <w:pPr>
              <w:pStyle w:val="6"/>
              <w:spacing w:before="24" w:line="359" w:lineRule="auto"/>
              <w:ind w:left="111" w:right="41" w:firstLine="479"/>
              <w:jc w:val="both"/>
            </w:pPr>
            <w:r>
              <w:rPr>
                <w:spacing w:val="-4"/>
              </w:rPr>
              <w:t>硝酸：硝酸</w:t>
            </w:r>
            <w:r>
              <w:rPr>
                <w:rFonts w:ascii="Times New Roman" w:hAnsi="Times New Roman" w:eastAsia="Times New Roman" w:cs="Times New Roman"/>
                <w:spacing w:val="-4"/>
              </w:rPr>
              <w:t>(Nitric acid)</w:t>
            </w:r>
            <w:r>
              <w:rPr>
                <w:spacing w:val="-4"/>
              </w:rPr>
              <w:t>化学式为</w:t>
            </w:r>
            <w:r>
              <w:rPr>
                <w:spacing w:val="-55"/>
              </w:rPr>
              <w:t xml:space="preserve"> </w:t>
            </w:r>
            <w:r>
              <w:rPr>
                <w:rFonts w:ascii="Times New Roman" w:hAnsi="Times New Roman" w:eastAsia="Times New Roman" w:cs="Times New Roman"/>
                <w:spacing w:val="-4"/>
              </w:rPr>
              <w:t>HNO₃</w:t>
            </w:r>
            <w:r>
              <w:rPr>
                <w:rFonts w:ascii="Times New Roman" w:hAnsi="Times New Roman" w:eastAsia="Times New Roman" w:cs="Times New Roman"/>
                <w:spacing w:val="-31"/>
              </w:rPr>
              <w:t xml:space="preserve"> </w:t>
            </w:r>
            <w:r>
              <w:rPr>
                <w:spacing w:val="-4"/>
              </w:rPr>
              <w:t>,</w:t>
            </w:r>
            <w:r>
              <w:rPr>
                <w:spacing w:val="43"/>
              </w:rPr>
              <w:t xml:space="preserve"> </w:t>
            </w:r>
            <w:r>
              <w:rPr>
                <w:spacing w:val="-4"/>
              </w:rPr>
              <w:t>是一种具有强氧化性、腐蚀性的</w:t>
            </w:r>
            <w:r>
              <w:t xml:space="preserve"> </w:t>
            </w:r>
            <w:r>
              <w:rPr>
                <w:spacing w:val="2"/>
              </w:rPr>
              <w:t>强酸，属于一元无机强酸，其水溶液俗称硝镪水或氨氮水。纯硝酸为无</w:t>
            </w:r>
            <w:r>
              <w:rPr>
                <w:spacing w:val="1"/>
              </w:rPr>
              <w:t>色透</w:t>
            </w:r>
            <w:r>
              <w:t xml:space="preserve"> </w:t>
            </w:r>
            <w:r>
              <w:rPr>
                <w:spacing w:val="-4"/>
              </w:rPr>
              <w:t>明液体，浓硝酸为淡黄色液体，有窒息性刺激气味。浓硝酸含量为</w:t>
            </w:r>
            <w:r>
              <w:rPr>
                <w:spacing w:val="-49"/>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5"/>
              </w:rPr>
              <w:t>8%</w:t>
            </w:r>
            <w:r>
              <w:rPr>
                <w:spacing w:val="-5"/>
              </w:rPr>
              <w:t>左右，</w:t>
            </w:r>
            <w:r>
              <w:t xml:space="preserve"> </w:t>
            </w:r>
            <w:r>
              <w:rPr>
                <w:spacing w:val="1"/>
              </w:rPr>
              <w:t>易挥发，在空气中产生白雾（与浓盐酸相同</w:t>
            </w:r>
            <w:r>
              <w:rPr>
                <w:spacing w:val="16"/>
              </w:rPr>
              <w:t>），</w:t>
            </w:r>
            <w:r>
              <w:rPr>
                <w:spacing w:val="1"/>
              </w:rPr>
              <w:t xml:space="preserve">是硝酸蒸汽（一般来说是浓 </w:t>
            </w:r>
            <w:r>
              <w:rPr>
                <w:spacing w:val="9"/>
              </w:rPr>
              <w:t>硝酸分解出来的二氧化氮）与水蒸汽结合而形成的硝酸小液滴。相对密度</w:t>
            </w:r>
            <w:r>
              <w:rPr>
                <w:spacing w:val="16"/>
              </w:rPr>
              <w:t xml:space="preserve"> </w:t>
            </w:r>
            <w:r>
              <w:rPr>
                <w:rFonts w:ascii="Times New Roman" w:hAnsi="Times New Roman" w:eastAsia="Times New Roman" w:cs="Times New Roman"/>
                <w:spacing w:val="-3"/>
              </w:rPr>
              <w:t>1.41</w:t>
            </w:r>
            <w:r>
              <w:rPr>
                <w:rFonts w:ascii="Times New Roman" w:hAnsi="Times New Roman" w:eastAsia="Times New Roman" w:cs="Times New Roman"/>
                <w:spacing w:val="-31"/>
              </w:rPr>
              <w:t xml:space="preserve"> </w:t>
            </w:r>
            <w:r>
              <w:rPr>
                <w:spacing w:val="-3"/>
              </w:rPr>
              <w:t>，熔点</w:t>
            </w:r>
            <w:r>
              <w:rPr>
                <w:rFonts w:ascii="Times New Roman" w:hAnsi="Times New Roman" w:eastAsia="Times New Roman" w:cs="Times New Roman"/>
                <w:spacing w:val="-3"/>
              </w:rPr>
              <w:t>-37.68℃</w:t>
            </w:r>
            <w:r>
              <w:rPr>
                <w:spacing w:val="-3"/>
              </w:rPr>
              <w:t>（无水</w:t>
            </w:r>
            <w:r>
              <w:rPr>
                <w:spacing w:val="10"/>
              </w:rPr>
              <w:t>），</w:t>
            </w:r>
            <w:r>
              <w:rPr>
                <w:spacing w:val="-3"/>
              </w:rPr>
              <w:t>沸点</w:t>
            </w:r>
            <w:r>
              <w:rPr>
                <w:spacing w:val="-32"/>
              </w:rPr>
              <w:t xml:space="preserve"> </w:t>
            </w:r>
            <w:r>
              <w:rPr>
                <w:rFonts w:ascii="Times New Roman" w:hAnsi="Times New Roman" w:eastAsia="Times New Roman" w:cs="Times New Roman"/>
                <w:spacing w:val="-3"/>
              </w:rPr>
              <w:t>120.5℃</w:t>
            </w:r>
            <w:r>
              <w:rPr>
                <w:spacing w:val="-3"/>
              </w:rPr>
              <w:t>（</w:t>
            </w:r>
            <w:r>
              <w:rPr>
                <w:rFonts w:ascii="Times New Roman" w:hAnsi="Times New Roman" w:eastAsia="Times New Roman" w:cs="Times New Roman"/>
                <w:spacing w:val="-3"/>
              </w:rPr>
              <w:t>68%</w:t>
            </w:r>
            <w:r>
              <w:rPr>
                <w:spacing w:val="-3"/>
              </w:rPr>
              <w:t>）。硝酸无毒理性质资料。</w:t>
            </w:r>
            <w:r>
              <w:t xml:space="preserve"> </w:t>
            </w:r>
            <w:r>
              <w:rPr>
                <w:spacing w:val="-1"/>
              </w:rPr>
              <w:t>硝酸助燃，具强腐蚀性、强刺激性，可致人体灼伤。</w:t>
            </w:r>
          </w:p>
          <w:p w14:paraId="2B3FCB7D">
            <w:pPr>
              <w:pStyle w:val="6"/>
              <w:spacing w:before="5" w:line="350" w:lineRule="auto"/>
              <w:ind w:left="108" w:right="17" w:firstLine="479"/>
              <w:jc w:val="both"/>
            </w:pPr>
            <w:r>
              <w:rPr>
                <w:spacing w:val="-10"/>
              </w:rPr>
              <w:t>中和粉（碳酸钠</w:t>
            </w:r>
            <w:r>
              <w:rPr>
                <w:spacing w:val="-41"/>
              </w:rPr>
              <w:t>）：</w:t>
            </w:r>
            <w:r>
              <w:rPr>
                <w:spacing w:val="-10"/>
              </w:rPr>
              <w:t>化学式为</w:t>
            </w:r>
            <w:r>
              <w:rPr>
                <w:rFonts w:ascii="Times New Roman" w:hAnsi="Times New Roman" w:eastAsia="Times New Roman" w:cs="Times New Roman"/>
                <w:spacing w:val="-10"/>
              </w:rPr>
              <w:t>Na</w:t>
            </w:r>
            <w:r>
              <w:rPr>
                <w:rFonts w:ascii="Times New Roman" w:hAnsi="Times New Roman" w:eastAsia="Times New Roman" w:cs="Times New Roman"/>
                <w:spacing w:val="-10"/>
                <w:sz w:val="15"/>
                <w:szCs w:val="15"/>
              </w:rPr>
              <w:t>2</w:t>
            </w:r>
            <w:r>
              <w:rPr>
                <w:rFonts w:ascii="Times New Roman" w:hAnsi="Times New Roman" w:eastAsia="Times New Roman" w:cs="Times New Roman"/>
                <w:spacing w:val="-10"/>
              </w:rPr>
              <w:t>CO</w:t>
            </w:r>
            <w:r>
              <w:rPr>
                <w:rFonts w:ascii="Times New Roman" w:hAnsi="Times New Roman" w:eastAsia="Times New Roman" w:cs="Times New Roman"/>
                <w:spacing w:val="-10"/>
                <w:position w:val="-1"/>
                <w:sz w:val="15"/>
                <w:szCs w:val="15"/>
              </w:rPr>
              <w:t>3</w:t>
            </w:r>
            <w:r>
              <w:rPr>
                <w:spacing w:val="-20"/>
              </w:rPr>
              <w:t>，俗名苏打、纯碱、碱灰、碳酸二钠盐、</w:t>
            </w:r>
            <w:r>
              <w:rPr>
                <w:spacing w:val="1"/>
              </w:rPr>
              <w:t xml:space="preserve"> </w:t>
            </w:r>
            <w:r>
              <w:rPr>
                <w:spacing w:val="-10"/>
              </w:rPr>
              <w:t>苏打灰，通常情况下为白色粉末，为强电解质，密度为</w:t>
            </w:r>
            <w:r>
              <w:rPr>
                <w:spacing w:val="-69"/>
              </w:rPr>
              <w:t xml:space="preserve"> </w:t>
            </w:r>
            <w:r>
              <w:rPr>
                <w:rFonts w:ascii="Times New Roman" w:hAnsi="Times New Roman" w:eastAsia="Times New Roman" w:cs="Times New Roman"/>
                <w:spacing w:val="-10"/>
              </w:rPr>
              <w:t>2.532g/cm</w:t>
            </w:r>
            <w:r>
              <w:rPr>
                <w:spacing w:val="-10"/>
              </w:rPr>
              <w:t>³</w:t>
            </w:r>
            <w:r>
              <w:rPr>
                <w:spacing w:val="-101"/>
              </w:rPr>
              <w:t xml:space="preserve"> </w:t>
            </w:r>
            <w:r>
              <w:rPr>
                <w:spacing w:val="-10"/>
              </w:rPr>
              <w:t>,</w:t>
            </w:r>
            <w:r>
              <w:rPr>
                <w:spacing w:val="55"/>
              </w:rPr>
              <w:t xml:space="preserve"> </w:t>
            </w:r>
            <w:r>
              <w:rPr>
                <w:spacing w:val="-10"/>
              </w:rPr>
              <w:t>熔点为</w:t>
            </w:r>
            <w:r>
              <w:rPr>
                <w:spacing w:val="-58"/>
              </w:rPr>
              <w:t xml:space="preserve"> </w:t>
            </w:r>
            <w:r>
              <w:rPr>
                <w:rFonts w:ascii="Times New Roman" w:hAnsi="Times New Roman" w:eastAsia="Times New Roman" w:cs="Times New Roman"/>
                <w:spacing w:val="-11"/>
              </w:rPr>
              <w:t>851</w:t>
            </w:r>
            <w:r>
              <w:rPr>
                <w:rFonts w:ascii="Times New Roman" w:hAnsi="Times New Roman" w:eastAsia="Times New Roman" w:cs="Times New Roman"/>
              </w:rPr>
              <w:t xml:space="preserve">  </w:t>
            </w:r>
            <w:r>
              <w:rPr>
                <w:spacing w:val="-10"/>
              </w:rPr>
              <w:t>°</w:t>
            </w:r>
            <w:r>
              <w:rPr>
                <w:rFonts w:ascii="Times New Roman" w:hAnsi="Times New Roman" w:eastAsia="Times New Roman" w:cs="Times New Roman"/>
                <w:spacing w:val="-10"/>
              </w:rPr>
              <w:t>C</w:t>
            </w:r>
            <w:r>
              <w:rPr>
                <w:rFonts w:ascii="Times New Roman" w:hAnsi="Times New Roman" w:eastAsia="Times New Roman" w:cs="Times New Roman"/>
                <w:spacing w:val="-31"/>
              </w:rPr>
              <w:t xml:space="preserve"> </w:t>
            </w:r>
            <w:r>
              <w:rPr>
                <w:spacing w:val="-10"/>
              </w:rPr>
              <w:t>，易溶于水和甘油，微溶于无水乙醇，难溶于丙醇，具有盐的通性，属于无</w:t>
            </w:r>
            <w:r>
              <w:t xml:space="preserve"> </w:t>
            </w:r>
            <w:r>
              <w:rPr>
                <w:spacing w:val="-12"/>
              </w:rPr>
              <w:t>机盐。在环境方面，碳酸钠通常被视为对生态系统相对无害的物质。</w:t>
            </w:r>
          </w:p>
        </w:tc>
      </w:tr>
    </w:tbl>
    <w:p w14:paraId="7CF49251">
      <w:pPr>
        <w:rPr>
          <w:rFonts w:ascii="Arial"/>
          <w:sz w:val="21"/>
        </w:rPr>
      </w:pPr>
    </w:p>
    <w:p w14:paraId="32CD4D11">
      <w:pPr>
        <w:rPr>
          <w:rFonts w:ascii="Arial" w:hAnsi="Arial" w:eastAsia="Arial" w:cs="Arial"/>
          <w:sz w:val="21"/>
          <w:szCs w:val="21"/>
        </w:rPr>
        <w:sectPr>
          <w:footerReference r:id="rId30" w:type="default"/>
          <w:pgSz w:w="11906" w:h="16839"/>
          <w:pgMar w:top="400" w:right="1451" w:bottom="1240" w:left="1451" w:header="0" w:footer="1078" w:gutter="0"/>
          <w:cols w:space="720" w:num="1"/>
        </w:sectPr>
      </w:pPr>
    </w:p>
    <w:p w14:paraId="06699A37">
      <w:pPr>
        <w:spacing w:before="19"/>
      </w:pPr>
    </w:p>
    <w:p w14:paraId="699E8C3B">
      <w:pPr>
        <w:spacing w:before="19"/>
      </w:pPr>
    </w:p>
    <w:p w14:paraId="382B4CE4">
      <w:pPr>
        <w:spacing w:before="19"/>
      </w:pPr>
    </w:p>
    <w:p w14:paraId="50C7025D">
      <w:pPr>
        <w:spacing w:before="18"/>
      </w:pPr>
    </w:p>
    <w:p w14:paraId="1EAF851B">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37C23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97" w:hRule="atLeast"/>
        </w:trPr>
        <w:tc>
          <w:tcPr>
            <w:tcW w:w="778" w:type="dxa"/>
            <w:tcBorders>
              <w:right w:val="single" w:color="000000" w:sz="2" w:space="0"/>
            </w:tcBorders>
            <w:vAlign w:val="top"/>
          </w:tcPr>
          <w:p w14:paraId="0339C36E">
            <w:pPr>
              <w:rPr>
                <w:rFonts w:ascii="Arial"/>
                <w:sz w:val="21"/>
              </w:rPr>
            </w:pPr>
          </w:p>
        </w:tc>
        <w:tc>
          <w:tcPr>
            <w:tcW w:w="8210" w:type="dxa"/>
            <w:tcBorders>
              <w:left w:val="single" w:color="000000" w:sz="2" w:space="0"/>
            </w:tcBorders>
            <w:vAlign w:val="top"/>
          </w:tcPr>
          <w:p w14:paraId="015A4998">
            <w:pPr>
              <w:pStyle w:val="6"/>
              <w:spacing w:before="39" w:line="357" w:lineRule="auto"/>
              <w:ind w:left="112" w:right="41" w:firstLine="482"/>
              <w:jc w:val="both"/>
            </w:pPr>
            <w:r>
              <w:rPr>
                <w:spacing w:val="-10"/>
              </w:rPr>
              <w:t>片碱：氢氧化钠（</w:t>
            </w:r>
            <w:r>
              <w:rPr>
                <w:rFonts w:ascii="Times New Roman" w:hAnsi="Times New Roman" w:eastAsia="Times New Roman" w:cs="Times New Roman"/>
                <w:spacing w:val="-10"/>
              </w:rPr>
              <w:t>Sodium hydroxide</w:t>
            </w:r>
            <w:r>
              <w:rPr>
                <w:spacing w:val="-10"/>
              </w:rPr>
              <w:t>）的俗称，无机化合物，化学式</w:t>
            </w:r>
            <w:r>
              <w:rPr>
                <w:spacing w:val="-55"/>
              </w:rPr>
              <w:t xml:space="preserve"> </w:t>
            </w:r>
            <w:r>
              <w:rPr>
                <w:rFonts w:ascii="Times New Roman" w:hAnsi="Times New Roman" w:eastAsia="Times New Roman" w:cs="Times New Roman"/>
                <w:spacing w:val="-10"/>
              </w:rPr>
              <w:t>NaOH</w:t>
            </w:r>
            <w:r>
              <w:rPr>
                <w:spacing w:val="-10"/>
              </w:rPr>
              <w:t>，</w:t>
            </w:r>
            <w:r>
              <w:t xml:space="preserve"> </w:t>
            </w:r>
            <w:r>
              <w:rPr>
                <w:spacing w:val="2"/>
              </w:rPr>
              <w:t>也称苛性钠、烧碱、固碱、火碱、苛性苏打。氢氧化钠具有强碱性，</w:t>
            </w:r>
            <w:r>
              <w:rPr>
                <w:spacing w:val="1"/>
              </w:rPr>
              <w:t>腐蚀性</w:t>
            </w:r>
            <w:r>
              <w:t xml:space="preserve"> </w:t>
            </w:r>
            <w:r>
              <w:rPr>
                <w:spacing w:val="-8"/>
              </w:rPr>
              <w:t>极强，可作酸中和剂。沸点</w:t>
            </w:r>
            <w:r>
              <w:rPr>
                <w:spacing w:val="-32"/>
              </w:rPr>
              <w:t xml:space="preserve"> </w:t>
            </w:r>
            <w:r>
              <w:rPr>
                <w:rFonts w:ascii="Times New Roman" w:hAnsi="Times New Roman" w:eastAsia="Times New Roman" w:cs="Times New Roman"/>
                <w:spacing w:val="-8"/>
              </w:rPr>
              <w:t>1390℃</w:t>
            </w:r>
            <w:r>
              <w:rPr>
                <w:rFonts w:ascii="Times New Roman" w:hAnsi="Times New Roman" w:eastAsia="Times New Roman" w:cs="Times New Roman"/>
                <w:spacing w:val="-31"/>
              </w:rPr>
              <w:t xml:space="preserve"> </w:t>
            </w:r>
            <w:r>
              <w:rPr>
                <w:spacing w:val="-8"/>
              </w:rPr>
              <w:t>,</w:t>
            </w:r>
            <w:r>
              <w:rPr>
                <w:spacing w:val="39"/>
              </w:rPr>
              <w:t xml:space="preserve"> </w:t>
            </w:r>
            <w:r>
              <w:rPr>
                <w:spacing w:val="-8"/>
              </w:rPr>
              <w:t>密度</w:t>
            </w:r>
            <w:r>
              <w:rPr>
                <w:spacing w:val="-54"/>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8"/>
              </w:rPr>
              <w:t>13g/cm³</w:t>
            </w:r>
            <w:r>
              <w:rPr>
                <w:rFonts w:ascii="Times New Roman" w:hAnsi="Times New Roman" w:eastAsia="Times New Roman" w:cs="Times New Roman"/>
                <w:spacing w:val="-31"/>
              </w:rPr>
              <w:t xml:space="preserve"> </w:t>
            </w:r>
            <w:r>
              <w:rPr>
                <w:spacing w:val="-8"/>
              </w:rPr>
              <w:t>,</w:t>
            </w:r>
            <w:r>
              <w:rPr>
                <w:spacing w:val="42"/>
              </w:rPr>
              <w:t xml:space="preserve"> </w:t>
            </w:r>
            <w:r>
              <w:rPr>
                <w:spacing w:val="-9"/>
              </w:rPr>
              <w:t>分子量</w:t>
            </w:r>
            <w:r>
              <w:rPr>
                <w:spacing w:val="-57"/>
              </w:rPr>
              <w:t xml:space="preserve"> </w:t>
            </w:r>
            <w:r>
              <w:rPr>
                <w:rFonts w:ascii="Times New Roman" w:hAnsi="Times New Roman" w:eastAsia="Times New Roman" w:cs="Times New Roman"/>
                <w:spacing w:val="-9"/>
              </w:rPr>
              <w:t>40</w:t>
            </w:r>
            <w:r>
              <w:rPr>
                <w:spacing w:val="-9"/>
              </w:rPr>
              <w:t>，外观无色透</w:t>
            </w:r>
            <w:r>
              <w:t xml:space="preserve"> </w:t>
            </w:r>
            <w:r>
              <w:rPr>
                <w:spacing w:val="-2"/>
              </w:rPr>
              <w:t>明晶体。无毒理性质资料。</w:t>
            </w:r>
          </w:p>
          <w:p w14:paraId="2C7376B5">
            <w:pPr>
              <w:pStyle w:val="6"/>
              <w:spacing w:before="11" w:line="219" w:lineRule="auto"/>
              <w:ind w:left="592"/>
            </w:pPr>
            <w:r>
              <w:rPr>
                <w:rFonts w:ascii="Times New Roman" w:hAnsi="Times New Roman" w:eastAsia="Times New Roman" w:cs="Times New Roman"/>
                <w:spacing w:val="-7"/>
              </w:rPr>
              <w:t>5</w:t>
            </w:r>
            <w:r>
              <w:rPr>
                <w:rFonts w:ascii="Times New Roman" w:hAnsi="Times New Roman" w:eastAsia="Times New Roman" w:cs="Times New Roman"/>
                <w:spacing w:val="-31"/>
              </w:rPr>
              <w:t xml:space="preserve"> </w:t>
            </w:r>
            <w:r>
              <w:rPr>
                <w:spacing w:val="-7"/>
              </w:rPr>
              <w:t>、生产设备</w:t>
            </w:r>
          </w:p>
          <w:p w14:paraId="2C9223D0">
            <w:pPr>
              <w:pStyle w:val="6"/>
              <w:spacing w:before="182" w:line="219" w:lineRule="auto"/>
              <w:ind w:left="590"/>
            </w:pPr>
            <w:r>
              <w:rPr>
                <w:spacing w:val="-1"/>
              </w:rPr>
              <w:t>本项目需配置的主要生产设备见下表：</w:t>
            </w:r>
          </w:p>
          <w:p w14:paraId="23D75755">
            <w:pPr>
              <w:pStyle w:val="6"/>
              <w:spacing w:before="303" w:line="219" w:lineRule="auto"/>
              <w:ind w:left="1868"/>
            </w:pPr>
            <w:r>
              <w:rPr>
                <w:b/>
                <w:bCs/>
                <w:spacing w:val="-2"/>
              </w:rPr>
              <w:t>表</w:t>
            </w:r>
            <w:r>
              <w:rPr>
                <w:spacing w:val="-51"/>
              </w:rPr>
              <w:t xml:space="preserve"> </w:t>
            </w:r>
            <w:r>
              <w:rPr>
                <w:rFonts w:ascii="Times New Roman" w:hAnsi="Times New Roman" w:eastAsia="Times New Roman" w:cs="Times New Roman"/>
                <w:b/>
                <w:bCs/>
                <w:spacing w:val="-2"/>
              </w:rPr>
              <w:t xml:space="preserve">2-6    </w:t>
            </w:r>
            <w:r>
              <w:rPr>
                <w:b/>
                <w:bCs/>
                <w:spacing w:val="-2"/>
              </w:rPr>
              <w:t>本项目主要的生产辅助设备一览表</w:t>
            </w:r>
          </w:p>
          <w:p w14:paraId="45D2BDC4">
            <w:pPr>
              <w:spacing w:line="145" w:lineRule="exact"/>
            </w:pPr>
          </w:p>
          <w:tbl>
            <w:tblPr>
              <w:tblStyle w:val="5"/>
              <w:tblW w:w="8019"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850"/>
              <w:gridCol w:w="1691"/>
              <w:gridCol w:w="1057"/>
              <w:gridCol w:w="910"/>
              <w:gridCol w:w="1095"/>
              <w:gridCol w:w="1156"/>
              <w:gridCol w:w="732"/>
            </w:tblGrid>
            <w:tr w14:paraId="30065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528" w:type="dxa"/>
                  <w:vMerge w:val="restart"/>
                  <w:tcBorders>
                    <w:bottom w:val="nil"/>
                  </w:tcBorders>
                  <w:textDirection w:val="tbRlV"/>
                  <w:vAlign w:val="top"/>
                </w:tcPr>
                <w:p w14:paraId="2F577D0F">
                  <w:pPr>
                    <w:pStyle w:val="6"/>
                    <w:spacing w:before="157" w:line="218" w:lineRule="auto"/>
                    <w:ind w:left="213"/>
                    <w:rPr>
                      <w:sz w:val="20"/>
                      <w:szCs w:val="20"/>
                    </w:rPr>
                  </w:pPr>
                  <w:r>
                    <w:rPr>
                      <w:spacing w:val="8"/>
                      <w:sz w:val="20"/>
                      <w:szCs w:val="20"/>
                    </w:rPr>
                    <w:t>序</w:t>
                  </w:r>
                  <w:r>
                    <w:rPr>
                      <w:spacing w:val="-38"/>
                      <w:sz w:val="20"/>
                      <w:szCs w:val="20"/>
                    </w:rPr>
                    <w:t xml:space="preserve"> </w:t>
                  </w:r>
                  <w:r>
                    <w:rPr>
                      <w:spacing w:val="8"/>
                      <w:sz w:val="20"/>
                      <w:szCs w:val="20"/>
                    </w:rPr>
                    <w:t>号</w:t>
                  </w:r>
                </w:p>
              </w:tc>
              <w:tc>
                <w:tcPr>
                  <w:tcW w:w="850" w:type="dxa"/>
                  <w:vMerge w:val="restart"/>
                  <w:tcBorders>
                    <w:bottom w:val="nil"/>
                  </w:tcBorders>
                  <w:vAlign w:val="top"/>
                </w:tcPr>
                <w:p w14:paraId="13C163E4">
                  <w:pPr>
                    <w:pStyle w:val="6"/>
                    <w:spacing w:before="212" w:line="253" w:lineRule="auto"/>
                    <w:ind w:left="321" w:right="110" w:hanging="204"/>
                    <w:rPr>
                      <w:sz w:val="20"/>
                      <w:szCs w:val="20"/>
                    </w:rPr>
                  </w:pPr>
                  <w:r>
                    <w:rPr>
                      <w:spacing w:val="5"/>
                      <w:sz w:val="20"/>
                      <w:szCs w:val="20"/>
                    </w:rPr>
                    <w:t>设备名</w:t>
                  </w:r>
                  <w:r>
                    <w:rPr>
                      <w:spacing w:val="1"/>
                      <w:sz w:val="20"/>
                      <w:szCs w:val="20"/>
                    </w:rPr>
                    <w:t xml:space="preserve"> 称</w:t>
                  </w:r>
                </w:p>
              </w:tc>
              <w:tc>
                <w:tcPr>
                  <w:tcW w:w="1691" w:type="dxa"/>
                  <w:vMerge w:val="restart"/>
                  <w:tcBorders>
                    <w:bottom w:val="nil"/>
                  </w:tcBorders>
                  <w:vAlign w:val="top"/>
                </w:tcPr>
                <w:p w14:paraId="37591CF2">
                  <w:pPr>
                    <w:spacing w:line="282" w:lineRule="auto"/>
                    <w:rPr>
                      <w:rFonts w:ascii="Arial"/>
                      <w:sz w:val="21"/>
                    </w:rPr>
                  </w:pPr>
                </w:p>
                <w:p w14:paraId="15EE41F1">
                  <w:pPr>
                    <w:pStyle w:val="6"/>
                    <w:spacing w:before="65" w:line="228" w:lineRule="auto"/>
                    <w:ind w:left="428"/>
                    <w:rPr>
                      <w:sz w:val="20"/>
                      <w:szCs w:val="20"/>
                    </w:rPr>
                  </w:pPr>
                  <w:r>
                    <w:rPr>
                      <w:spacing w:val="7"/>
                      <w:sz w:val="20"/>
                      <w:szCs w:val="20"/>
                    </w:rPr>
                    <w:t>规格型号</w:t>
                  </w:r>
                </w:p>
              </w:tc>
              <w:tc>
                <w:tcPr>
                  <w:tcW w:w="4218" w:type="dxa"/>
                  <w:gridSpan w:val="4"/>
                  <w:vAlign w:val="top"/>
                </w:tcPr>
                <w:p w14:paraId="4549AC90">
                  <w:pPr>
                    <w:pStyle w:val="6"/>
                    <w:spacing w:before="71" w:line="228" w:lineRule="auto"/>
                    <w:ind w:left="1486"/>
                    <w:rPr>
                      <w:sz w:val="20"/>
                      <w:szCs w:val="20"/>
                    </w:rPr>
                  </w:pPr>
                  <w:r>
                    <w:rPr>
                      <w:spacing w:val="6"/>
                      <w:sz w:val="20"/>
                      <w:szCs w:val="20"/>
                    </w:rPr>
                    <w:t>数量（单位）</w:t>
                  </w:r>
                </w:p>
              </w:tc>
              <w:tc>
                <w:tcPr>
                  <w:tcW w:w="732" w:type="dxa"/>
                  <w:vMerge w:val="restart"/>
                  <w:tcBorders>
                    <w:bottom w:val="nil"/>
                  </w:tcBorders>
                  <w:vAlign w:val="top"/>
                </w:tcPr>
                <w:p w14:paraId="211BEEE3">
                  <w:pPr>
                    <w:pStyle w:val="6"/>
                    <w:spacing w:before="76" w:line="229" w:lineRule="auto"/>
                    <w:ind w:left="160"/>
                    <w:rPr>
                      <w:sz w:val="20"/>
                      <w:szCs w:val="20"/>
                    </w:rPr>
                  </w:pPr>
                  <w:r>
                    <w:rPr>
                      <w:spacing w:val="5"/>
                      <w:sz w:val="20"/>
                      <w:szCs w:val="20"/>
                    </w:rPr>
                    <w:t>对应</w:t>
                  </w:r>
                </w:p>
                <w:p w14:paraId="25279848">
                  <w:pPr>
                    <w:pStyle w:val="6"/>
                    <w:spacing w:before="22" w:line="228" w:lineRule="auto"/>
                    <w:ind w:left="163"/>
                    <w:rPr>
                      <w:sz w:val="20"/>
                      <w:szCs w:val="20"/>
                    </w:rPr>
                  </w:pPr>
                  <w:r>
                    <w:rPr>
                      <w:spacing w:val="3"/>
                      <w:sz w:val="20"/>
                      <w:szCs w:val="20"/>
                    </w:rPr>
                    <w:t>生产</w:t>
                  </w:r>
                </w:p>
                <w:p w14:paraId="3CEC797A">
                  <w:pPr>
                    <w:pStyle w:val="6"/>
                    <w:spacing w:before="27" w:line="229" w:lineRule="auto"/>
                    <w:ind w:left="163"/>
                    <w:rPr>
                      <w:sz w:val="20"/>
                      <w:szCs w:val="20"/>
                    </w:rPr>
                  </w:pPr>
                  <w:r>
                    <w:rPr>
                      <w:spacing w:val="3"/>
                      <w:sz w:val="20"/>
                      <w:szCs w:val="20"/>
                    </w:rPr>
                    <w:t>工序</w:t>
                  </w:r>
                </w:p>
              </w:tc>
            </w:tr>
            <w:tr w14:paraId="253ED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28" w:type="dxa"/>
                  <w:vMerge w:val="continue"/>
                  <w:tcBorders>
                    <w:top w:val="nil"/>
                  </w:tcBorders>
                  <w:textDirection w:val="tbRlV"/>
                  <w:vAlign w:val="top"/>
                </w:tcPr>
                <w:p w14:paraId="698149EA">
                  <w:pPr>
                    <w:rPr>
                      <w:rFonts w:ascii="Arial"/>
                      <w:sz w:val="21"/>
                    </w:rPr>
                  </w:pPr>
                </w:p>
              </w:tc>
              <w:tc>
                <w:tcPr>
                  <w:tcW w:w="850" w:type="dxa"/>
                  <w:vMerge w:val="continue"/>
                  <w:tcBorders>
                    <w:top w:val="nil"/>
                  </w:tcBorders>
                  <w:vAlign w:val="top"/>
                </w:tcPr>
                <w:p w14:paraId="20E02B58">
                  <w:pPr>
                    <w:rPr>
                      <w:rFonts w:ascii="Arial"/>
                      <w:sz w:val="21"/>
                    </w:rPr>
                  </w:pPr>
                </w:p>
              </w:tc>
              <w:tc>
                <w:tcPr>
                  <w:tcW w:w="1691" w:type="dxa"/>
                  <w:vMerge w:val="continue"/>
                  <w:tcBorders>
                    <w:top w:val="nil"/>
                  </w:tcBorders>
                  <w:vAlign w:val="top"/>
                </w:tcPr>
                <w:p w14:paraId="2961777C">
                  <w:pPr>
                    <w:rPr>
                      <w:rFonts w:ascii="Arial"/>
                      <w:sz w:val="21"/>
                    </w:rPr>
                  </w:pPr>
                </w:p>
              </w:tc>
              <w:tc>
                <w:tcPr>
                  <w:tcW w:w="1057" w:type="dxa"/>
                  <w:vAlign w:val="top"/>
                </w:tcPr>
                <w:p w14:paraId="071B1400">
                  <w:pPr>
                    <w:pStyle w:val="6"/>
                    <w:spacing w:before="167" w:line="228" w:lineRule="auto"/>
                    <w:ind w:left="113"/>
                    <w:rPr>
                      <w:sz w:val="20"/>
                      <w:szCs w:val="20"/>
                    </w:rPr>
                  </w:pPr>
                  <w:r>
                    <w:rPr>
                      <w:spacing w:val="6"/>
                      <w:sz w:val="20"/>
                      <w:szCs w:val="20"/>
                    </w:rPr>
                    <w:t>现有工程</w:t>
                  </w:r>
                </w:p>
              </w:tc>
              <w:tc>
                <w:tcPr>
                  <w:tcW w:w="910" w:type="dxa"/>
                  <w:vAlign w:val="top"/>
                </w:tcPr>
                <w:p w14:paraId="431A3530">
                  <w:pPr>
                    <w:pStyle w:val="6"/>
                    <w:spacing w:before="167" w:line="227" w:lineRule="auto"/>
                    <w:ind w:left="145"/>
                    <w:rPr>
                      <w:sz w:val="20"/>
                      <w:szCs w:val="20"/>
                    </w:rPr>
                  </w:pPr>
                  <w:r>
                    <w:rPr>
                      <w:spacing w:val="6"/>
                      <w:sz w:val="20"/>
                      <w:szCs w:val="20"/>
                    </w:rPr>
                    <w:t>本项目</w:t>
                  </w:r>
                </w:p>
              </w:tc>
              <w:tc>
                <w:tcPr>
                  <w:tcW w:w="1095" w:type="dxa"/>
                  <w:vAlign w:val="top"/>
                </w:tcPr>
                <w:p w14:paraId="7A7A30B8">
                  <w:pPr>
                    <w:pStyle w:val="6"/>
                    <w:spacing w:before="30" w:line="227" w:lineRule="auto"/>
                    <w:ind w:left="135"/>
                    <w:rPr>
                      <w:sz w:val="20"/>
                      <w:szCs w:val="20"/>
                    </w:rPr>
                  </w:pPr>
                  <w:r>
                    <w:rPr>
                      <w:spacing w:val="7"/>
                      <w:sz w:val="20"/>
                      <w:szCs w:val="20"/>
                    </w:rPr>
                    <w:t>本项目建</w:t>
                  </w:r>
                </w:p>
                <w:p w14:paraId="13B3C284">
                  <w:pPr>
                    <w:pStyle w:val="6"/>
                    <w:spacing w:before="27" w:line="218" w:lineRule="auto"/>
                    <w:ind w:left="136"/>
                    <w:rPr>
                      <w:sz w:val="20"/>
                      <w:szCs w:val="20"/>
                    </w:rPr>
                  </w:pPr>
                  <w:r>
                    <w:rPr>
                      <w:spacing w:val="6"/>
                      <w:sz w:val="20"/>
                      <w:szCs w:val="20"/>
                    </w:rPr>
                    <w:t>成后全厂</w:t>
                  </w:r>
                </w:p>
              </w:tc>
              <w:tc>
                <w:tcPr>
                  <w:tcW w:w="1156" w:type="dxa"/>
                  <w:vAlign w:val="top"/>
                </w:tcPr>
                <w:p w14:paraId="2FD0211A">
                  <w:pPr>
                    <w:pStyle w:val="6"/>
                    <w:spacing w:before="167" w:line="228" w:lineRule="auto"/>
                    <w:ind w:left="114"/>
                    <w:rPr>
                      <w:rFonts w:ascii="Times New Roman" w:hAnsi="Times New Roman" w:eastAsia="Times New Roman" w:cs="Times New Roman"/>
                      <w:sz w:val="13"/>
                      <w:szCs w:val="13"/>
                    </w:rPr>
                  </w:pPr>
                  <w:r>
                    <w:rPr>
                      <w:spacing w:val="5"/>
                      <w:sz w:val="20"/>
                      <w:szCs w:val="20"/>
                    </w:rPr>
                    <w:t>变化情况</w:t>
                  </w:r>
                  <w:r>
                    <w:rPr>
                      <w:spacing w:val="-45"/>
                      <w:sz w:val="20"/>
                      <w:szCs w:val="20"/>
                    </w:rPr>
                    <w:t xml:space="preserve"> </w:t>
                  </w:r>
                  <w:r>
                    <w:rPr>
                      <w:rFonts w:ascii="Times New Roman" w:hAnsi="Times New Roman" w:eastAsia="Times New Roman" w:cs="Times New Roman"/>
                      <w:spacing w:val="5"/>
                      <w:position w:val="6"/>
                      <w:sz w:val="13"/>
                      <w:szCs w:val="13"/>
                    </w:rPr>
                    <w:t>1</w:t>
                  </w:r>
                </w:p>
              </w:tc>
              <w:tc>
                <w:tcPr>
                  <w:tcW w:w="732" w:type="dxa"/>
                  <w:vMerge w:val="continue"/>
                  <w:tcBorders>
                    <w:top w:val="nil"/>
                  </w:tcBorders>
                  <w:vAlign w:val="top"/>
                </w:tcPr>
                <w:p w14:paraId="59B0F45A">
                  <w:pPr>
                    <w:rPr>
                      <w:rFonts w:ascii="Arial"/>
                      <w:sz w:val="21"/>
                    </w:rPr>
                  </w:pPr>
                </w:p>
              </w:tc>
            </w:tr>
            <w:tr w14:paraId="050EA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trPr>
              <w:tc>
                <w:tcPr>
                  <w:tcW w:w="528" w:type="dxa"/>
                  <w:vAlign w:val="top"/>
                </w:tcPr>
                <w:p w14:paraId="528C99BE">
                  <w:pPr>
                    <w:spacing w:line="280" w:lineRule="auto"/>
                    <w:rPr>
                      <w:rFonts w:ascii="Arial"/>
                      <w:sz w:val="21"/>
                    </w:rPr>
                  </w:pPr>
                </w:p>
                <w:p w14:paraId="005805C8">
                  <w:pPr>
                    <w:spacing w:line="281" w:lineRule="auto"/>
                    <w:rPr>
                      <w:rFonts w:ascii="Arial"/>
                      <w:sz w:val="21"/>
                    </w:rPr>
                  </w:pPr>
                </w:p>
                <w:p w14:paraId="5010CB9D">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0" w:type="dxa"/>
                  <w:vAlign w:val="top"/>
                </w:tcPr>
                <w:p w14:paraId="0F645B33">
                  <w:pPr>
                    <w:spacing w:line="259" w:lineRule="auto"/>
                    <w:rPr>
                      <w:rFonts w:ascii="Arial"/>
                      <w:sz w:val="21"/>
                    </w:rPr>
                  </w:pPr>
                </w:p>
                <w:p w14:paraId="0609A89A">
                  <w:pPr>
                    <w:spacing w:line="259" w:lineRule="auto"/>
                    <w:rPr>
                      <w:rFonts w:ascii="Arial"/>
                      <w:sz w:val="21"/>
                    </w:rPr>
                  </w:pPr>
                </w:p>
                <w:p w14:paraId="49995A47">
                  <w:pPr>
                    <w:pStyle w:val="6"/>
                    <w:spacing w:before="65" w:line="227" w:lineRule="auto"/>
                    <w:ind w:left="116"/>
                    <w:rPr>
                      <w:sz w:val="20"/>
                      <w:szCs w:val="20"/>
                    </w:rPr>
                  </w:pPr>
                  <w:r>
                    <w:rPr>
                      <w:spacing w:val="6"/>
                      <w:sz w:val="20"/>
                      <w:szCs w:val="20"/>
                    </w:rPr>
                    <w:t>真空机</w:t>
                  </w:r>
                </w:p>
              </w:tc>
              <w:tc>
                <w:tcPr>
                  <w:tcW w:w="1691" w:type="dxa"/>
                  <w:vAlign w:val="top"/>
                </w:tcPr>
                <w:p w14:paraId="00A0609E">
                  <w:pPr>
                    <w:pStyle w:val="6"/>
                    <w:spacing w:before="41" w:line="228" w:lineRule="auto"/>
                    <w:ind w:left="115"/>
                    <w:rPr>
                      <w:sz w:val="20"/>
                      <w:szCs w:val="20"/>
                    </w:rPr>
                  </w:pPr>
                  <w:r>
                    <w:rPr>
                      <w:spacing w:val="8"/>
                      <w:sz w:val="20"/>
                      <w:szCs w:val="20"/>
                    </w:rPr>
                    <w:t>用电设备，功率</w:t>
                  </w:r>
                </w:p>
                <w:p w14:paraId="27AFF529">
                  <w:pPr>
                    <w:pStyle w:val="6"/>
                    <w:spacing w:before="24" w:line="228" w:lineRule="auto"/>
                    <w:ind w:left="113"/>
                    <w:rPr>
                      <w:sz w:val="20"/>
                      <w:szCs w:val="20"/>
                    </w:rPr>
                  </w:pPr>
                  <w:r>
                    <w:rPr>
                      <w:spacing w:val="-4"/>
                      <w:sz w:val="20"/>
                      <w:szCs w:val="20"/>
                    </w:rPr>
                    <w:t>为</w:t>
                  </w:r>
                  <w:r>
                    <w:rPr>
                      <w:rFonts w:ascii="Times New Roman" w:hAnsi="Times New Roman" w:eastAsia="Times New Roman" w:cs="Times New Roman"/>
                      <w:spacing w:val="-4"/>
                      <w:sz w:val="20"/>
                      <w:szCs w:val="20"/>
                    </w:rPr>
                    <w:t>2.2kw</w:t>
                  </w:r>
                  <w:r>
                    <w:rPr>
                      <w:spacing w:val="-4"/>
                      <w:sz w:val="20"/>
                      <w:szCs w:val="20"/>
                    </w:rPr>
                    <w:t>，容积约</w:t>
                  </w:r>
                </w:p>
                <w:p w14:paraId="2F073CEE">
                  <w:pPr>
                    <w:pStyle w:val="6"/>
                    <w:spacing w:before="26" w:line="228"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100L</w:t>
                  </w:r>
                  <w:r>
                    <w:rPr>
                      <w:rFonts w:ascii="Times New Roman" w:hAnsi="Times New Roman" w:eastAsia="Times New Roman" w:cs="Times New Roman"/>
                      <w:spacing w:val="-25"/>
                      <w:sz w:val="20"/>
                      <w:szCs w:val="20"/>
                    </w:rPr>
                    <w:t xml:space="preserve"> </w:t>
                  </w:r>
                  <w:r>
                    <w:rPr>
                      <w:spacing w:val="1"/>
                      <w:sz w:val="20"/>
                      <w:szCs w:val="20"/>
                    </w:rPr>
                    <w:t>，可装</w:t>
                  </w:r>
                  <w:r>
                    <w:rPr>
                      <w:rFonts w:ascii="Times New Roman" w:hAnsi="Times New Roman" w:eastAsia="Times New Roman" w:cs="Times New Roman"/>
                      <w:spacing w:val="1"/>
                      <w:sz w:val="20"/>
                      <w:szCs w:val="20"/>
                    </w:rPr>
                    <w:t>1-4</w:t>
                  </w:r>
                </w:p>
                <w:p w14:paraId="4992B9CE">
                  <w:pPr>
                    <w:pStyle w:val="6"/>
                    <w:spacing w:before="26" w:line="228" w:lineRule="auto"/>
                    <w:ind w:left="113"/>
                    <w:rPr>
                      <w:sz w:val="20"/>
                      <w:szCs w:val="20"/>
                    </w:rPr>
                  </w:pPr>
                  <w:r>
                    <w:rPr>
                      <w:spacing w:val="8"/>
                      <w:sz w:val="20"/>
                      <w:szCs w:val="20"/>
                    </w:rPr>
                    <w:t>个铁皮桶，用作</w:t>
                  </w:r>
                </w:p>
                <w:p w14:paraId="49BBCC62">
                  <w:pPr>
                    <w:pStyle w:val="6"/>
                    <w:spacing w:before="24" w:line="228" w:lineRule="auto"/>
                    <w:ind w:left="639"/>
                    <w:rPr>
                      <w:sz w:val="20"/>
                      <w:szCs w:val="20"/>
                    </w:rPr>
                  </w:pPr>
                  <w:r>
                    <w:rPr>
                      <w:spacing w:val="4"/>
                      <w:sz w:val="20"/>
                      <w:szCs w:val="20"/>
                    </w:rPr>
                    <w:t>注胶</w:t>
                  </w:r>
                </w:p>
              </w:tc>
              <w:tc>
                <w:tcPr>
                  <w:tcW w:w="1057" w:type="dxa"/>
                  <w:vAlign w:val="top"/>
                </w:tcPr>
                <w:p w14:paraId="4207AFC7">
                  <w:pPr>
                    <w:spacing w:line="280" w:lineRule="auto"/>
                    <w:rPr>
                      <w:rFonts w:ascii="Arial"/>
                      <w:sz w:val="21"/>
                    </w:rPr>
                  </w:pPr>
                </w:p>
                <w:p w14:paraId="2C2C19EA">
                  <w:pPr>
                    <w:spacing w:line="281" w:lineRule="auto"/>
                    <w:rPr>
                      <w:rFonts w:ascii="Arial"/>
                      <w:sz w:val="21"/>
                    </w:rPr>
                  </w:pPr>
                </w:p>
                <w:p w14:paraId="5E5E1F7D">
                  <w:pPr>
                    <w:spacing w:before="5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0" w:type="dxa"/>
                  <w:vAlign w:val="top"/>
                </w:tcPr>
                <w:p w14:paraId="340F5CA5">
                  <w:pPr>
                    <w:spacing w:line="280" w:lineRule="auto"/>
                    <w:rPr>
                      <w:rFonts w:ascii="Arial"/>
                      <w:sz w:val="21"/>
                    </w:rPr>
                  </w:pPr>
                </w:p>
                <w:p w14:paraId="21675718">
                  <w:pPr>
                    <w:spacing w:line="281" w:lineRule="auto"/>
                    <w:rPr>
                      <w:rFonts w:ascii="Arial"/>
                      <w:sz w:val="21"/>
                    </w:rPr>
                  </w:pPr>
                </w:p>
                <w:p w14:paraId="06855850">
                  <w:pPr>
                    <w:spacing w:before="5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095" w:type="dxa"/>
                  <w:vAlign w:val="top"/>
                </w:tcPr>
                <w:p w14:paraId="7CEC031A">
                  <w:pPr>
                    <w:spacing w:line="280" w:lineRule="auto"/>
                    <w:rPr>
                      <w:rFonts w:ascii="Arial"/>
                      <w:sz w:val="21"/>
                    </w:rPr>
                  </w:pPr>
                </w:p>
                <w:p w14:paraId="08AECC03">
                  <w:pPr>
                    <w:spacing w:line="281" w:lineRule="auto"/>
                    <w:rPr>
                      <w:rFonts w:ascii="Arial"/>
                      <w:sz w:val="21"/>
                    </w:rPr>
                  </w:pPr>
                </w:p>
                <w:p w14:paraId="7542815C">
                  <w:pPr>
                    <w:spacing w:before="58"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156" w:type="dxa"/>
                  <w:vAlign w:val="top"/>
                </w:tcPr>
                <w:p w14:paraId="228C8187">
                  <w:pPr>
                    <w:spacing w:line="280" w:lineRule="auto"/>
                    <w:rPr>
                      <w:rFonts w:ascii="Arial"/>
                      <w:sz w:val="21"/>
                    </w:rPr>
                  </w:pPr>
                </w:p>
                <w:p w14:paraId="007D51F0">
                  <w:pPr>
                    <w:spacing w:line="281" w:lineRule="auto"/>
                    <w:rPr>
                      <w:rFonts w:ascii="Arial"/>
                      <w:sz w:val="21"/>
                    </w:rPr>
                  </w:pPr>
                </w:p>
                <w:p w14:paraId="6B845D52">
                  <w:pPr>
                    <w:spacing w:before="58"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+81</w:t>
                  </w:r>
                </w:p>
              </w:tc>
              <w:tc>
                <w:tcPr>
                  <w:tcW w:w="732" w:type="dxa"/>
                  <w:vMerge w:val="restart"/>
                  <w:tcBorders>
                    <w:bottom w:val="nil"/>
                  </w:tcBorders>
                  <w:vAlign w:val="top"/>
                </w:tcPr>
                <w:p w14:paraId="195B5B8E">
                  <w:pPr>
                    <w:spacing w:line="245" w:lineRule="auto"/>
                    <w:rPr>
                      <w:rFonts w:ascii="Arial"/>
                      <w:sz w:val="21"/>
                    </w:rPr>
                  </w:pPr>
                </w:p>
                <w:p w14:paraId="2CA72299">
                  <w:pPr>
                    <w:spacing w:line="245" w:lineRule="auto"/>
                    <w:rPr>
                      <w:rFonts w:ascii="Arial"/>
                      <w:sz w:val="21"/>
                    </w:rPr>
                  </w:pPr>
                </w:p>
                <w:p w14:paraId="496736E3">
                  <w:pPr>
                    <w:spacing w:line="245" w:lineRule="auto"/>
                    <w:rPr>
                      <w:rFonts w:ascii="Arial"/>
                      <w:sz w:val="21"/>
                    </w:rPr>
                  </w:pPr>
                </w:p>
                <w:p w14:paraId="0A7FA764">
                  <w:pPr>
                    <w:spacing w:line="245" w:lineRule="auto"/>
                    <w:rPr>
                      <w:rFonts w:ascii="Arial"/>
                      <w:sz w:val="21"/>
                    </w:rPr>
                  </w:pPr>
                </w:p>
                <w:p w14:paraId="7AE7F7FA">
                  <w:pPr>
                    <w:spacing w:line="246" w:lineRule="auto"/>
                    <w:rPr>
                      <w:rFonts w:ascii="Arial"/>
                      <w:sz w:val="21"/>
                    </w:rPr>
                  </w:pPr>
                </w:p>
                <w:p w14:paraId="1DF999CB">
                  <w:pPr>
                    <w:spacing w:line="246" w:lineRule="auto"/>
                    <w:rPr>
                      <w:rFonts w:ascii="Arial"/>
                      <w:sz w:val="21"/>
                    </w:rPr>
                  </w:pPr>
                </w:p>
                <w:p w14:paraId="21148D6B">
                  <w:pPr>
                    <w:spacing w:line="246" w:lineRule="auto"/>
                    <w:rPr>
                      <w:rFonts w:ascii="Arial"/>
                      <w:sz w:val="21"/>
                    </w:rPr>
                  </w:pPr>
                </w:p>
                <w:p w14:paraId="26863EE8">
                  <w:pPr>
                    <w:spacing w:line="246" w:lineRule="auto"/>
                    <w:rPr>
                      <w:rFonts w:ascii="Arial"/>
                      <w:sz w:val="21"/>
                    </w:rPr>
                  </w:pPr>
                </w:p>
                <w:p w14:paraId="26AD17E8">
                  <w:pPr>
                    <w:spacing w:line="246" w:lineRule="auto"/>
                    <w:rPr>
                      <w:rFonts w:ascii="Arial"/>
                      <w:sz w:val="21"/>
                    </w:rPr>
                  </w:pPr>
                </w:p>
                <w:p w14:paraId="5C2E1A54">
                  <w:pPr>
                    <w:spacing w:line="246" w:lineRule="auto"/>
                    <w:rPr>
                      <w:rFonts w:ascii="Arial"/>
                      <w:sz w:val="21"/>
                    </w:rPr>
                  </w:pPr>
                </w:p>
                <w:p w14:paraId="755317AA">
                  <w:pPr>
                    <w:spacing w:line="246" w:lineRule="auto"/>
                    <w:rPr>
                      <w:rFonts w:ascii="Arial"/>
                      <w:sz w:val="21"/>
                    </w:rPr>
                  </w:pPr>
                </w:p>
                <w:p w14:paraId="4055D9ED">
                  <w:pPr>
                    <w:spacing w:line="246" w:lineRule="auto"/>
                    <w:rPr>
                      <w:rFonts w:ascii="Arial"/>
                      <w:sz w:val="21"/>
                    </w:rPr>
                  </w:pPr>
                </w:p>
                <w:p w14:paraId="29ABA000">
                  <w:pPr>
                    <w:pStyle w:val="6"/>
                    <w:spacing w:before="65" w:line="228" w:lineRule="auto"/>
                    <w:ind w:left="161"/>
                    <w:rPr>
                      <w:sz w:val="20"/>
                      <w:szCs w:val="20"/>
                    </w:rPr>
                  </w:pPr>
                  <w:r>
                    <w:rPr>
                      <w:spacing w:val="4"/>
                      <w:sz w:val="20"/>
                      <w:szCs w:val="20"/>
                    </w:rPr>
                    <w:t>注胶</w:t>
                  </w:r>
                </w:p>
              </w:tc>
            </w:tr>
            <w:tr w14:paraId="7AA38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5" w:hRule="atLeast"/>
              </w:trPr>
              <w:tc>
                <w:tcPr>
                  <w:tcW w:w="528" w:type="dxa"/>
                  <w:vAlign w:val="top"/>
                </w:tcPr>
                <w:p w14:paraId="63F74384">
                  <w:pPr>
                    <w:spacing w:line="288" w:lineRule="auto"/>
                    <w:rPr>
                      <w:rFonts w:ascii="Arial"/>
                      <w:sz w:val="21"/>
                    </w:rPr>
                  </w:pPr>
                </w:p>
                <w:p w14:paraId="24AA084C">
                  <w:pPr>
                    <w:spacing w:line="288" w:lineRule="auto"/>
                    <w:rPr>
                      <w:rFonts w:ascii="Arial"/>
                      <w:sz w:val="21"/>
                    </w:rPr>
                  </w:pPr>
                </w:p>
                <w:p w14:paraId="7BF4D737">
                  <w:pPr>
                    <w:spacing w:line="288" w:lineRule="auto"/>
                    <w:rPr>
                      <w:rFonts w:ascii="Arial"/>
                      <w:sz w:val="21"/>
                    </w:rPr>
                  </w:pPr>
                </w:p>
                <w:p w14:paraId="21502C2C">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50" w:type="dxa"/>
                  <w:vAlign w:val="top"/>
                </w:tcPr>
                <w:p w14:paraId="4FF6E0DB">
                  <w:pPr>
                    <w:spacing w:line="273" w:lineRule="auto"/>
                    <w:rPr>
                      <w:rFonts w:ascii="Arial"/>
                      <w:sz w:val="21"/>
                    </w:rPr>
                  </w:pPr>
                </w:p>
                <w:p w14:paraId="262CAC96">
                  <w:pPr>
                    <w:spacing w:line="273" w:lineRule="auto"/>
                    <w:rPr>
                      <w:rFonts w:ascii="Arial"/>
                      <w:sz w:val="21"/>
                    </w:rPr>
                  </w:pPr>
                </w:p>
                <w:p w14:paraId="6A93D587">
                  <w:pPr>
                    <w:spacing w:line="274" w:lineRule="auto"/>
                    <w:rPr>
                      <w:rFonts w:ascii="Arial"/>
                      <w:sz w:val="21"/>
                    </w:rPr>
                  </w:pPr>
                </w:p>
                <w:p w14:paraId="0679DAC0">
                  <w:pPr>
                    <w:pStyle w:val="6"/>
                    <w:spacing w:before="65" w:line="228" w:lineRule="auto"/>
                    <w:ind w:left="216"/>
                    <w:rPr>
                      <w:sz w:val="20"/>
                      <w:szCs w:val="20"/>
                    </w:rPr>
                  </w:pPr>
                  <w:r>
                    <w:rPr>
                      <w:spacing w:val="5"/>
                      <w:sz w:val="20"/>
                      <w:szCs w:val="20"/>
                    </w:rPr>
                    <w:t>烤箱</w:t>
                  </w:r>
                </w:p>
              </w:tc>
              <w:tc>
                <w:tcPr>
                  <w:tcW w:w="1691" w:type="dxa"/>
                  <w:vAlign w:val="top"/>
                </w:tcPr>
                <w:p w14:paraId="18A5A98E">
                  <w:pPr>
                    <w:pStyle w:val="6"/>
                    <w:spacing w:before="72" w:line="228" w:lineRule="auto"/>
                    <w:ind w:left="115"/>
                    <w:rPr>
                      <w:sz w:val="20"/>
                      <w:szCs w:val="20"/>
                    </w:rPr>
                  </w:pPr>
                  <w:r>
                    <w:rPr>
                      <w:spacing w:val="8"/>
                      <w:sz w:val="20"/>
                      <w:szCs w:val="20"/>
                    </w:rPr>
                    <w:t>用电设备，功率</w:t>
                  </w:r>
                </w:p>
                <w:p w14:paraId="51913972">
                  <w:pPr>
                    <w:pStyle w:val="6"/>
                    <w:spacing w:before="27" w:line="228" w:lineRule="auto"/>
                    <w:ind w:left="113"/>
                    <w:rPr>
                      <w:sz w:val="20"/>
                      <w:szCs w:val="20"/>
                    </w:rPr>
                  </w:pPr>
                  <w:r>
                    <w:rPr>
                      <w:spacing w:val="-4"/>
                      <w:sz w:val="20"/>
                      <w:szCs w:val="20"/>
                    </w:rPr>
                    <w:t>为</w:t>
                  </w:r>
                  <w:r>
                    <w:rPr>
                      <w:rFonts w:ascii="Times New Roman" w:hAnsi="Times New Roman" w:eastAsia="Times New Roman" w:cs="Times New Roman"/>
                      <w:spacing w:val="-4"/>
                      <w:sz w:val="20"/>
                      <w:szCs w:val="20"/>
                    </w:rPr>
                    <w:t>2.2kw</w:t>
                  </w:r>
                  <w:r>
                    <w:rPr>
                      <w:spacing w:val="-4"/>
                      <w:sz w:val="20"/>
                      <w:szCs w:val="20"/>
                    </w:rPr>
                    <w:t>，容积约</w:t>
                  </w:r>
                </w:p>
                <w:p w14:paraId="051CE06B">
                  <w:pPr>
                    <w:pStyle w:val="6"/>
                    <w:spacing w:before="24" w:line="228"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500L</w:t>
                  </w:r>
                  <w:r>
                    <w:rPr>
                      <w:rFonts w:ascii="Times New Roman" w:hAnsi="Times New Roman" w:eastAsia="Times New Roman" w:cs="Times New Roman"/>
                      <w:spacing w:val="-20"/>
                      <w:sz w:val="20"/>
                      <w:szCs w:val="20"/>
                    </w:rPr>
                    <w:t xml:space="preserve"> </w:t>
                  </w:r>
                  <w:r>
                    <w:rPr>
                      <w:spacing w:val="2"/>
                      <w:sz w:val="20"/>
                      <w:szCs w:val="20"/>
                    </w:rPr>
                    <w:t>，可装</w:t>
                  </w:r>
                  <w:r>
                    <w:rPr>
                      <w:rFonts w:ascii="Times New Roman" w:hAnsi="Times New Roman" w:eastAsia="Times New Roman" w:cs="Times New Roman"/>
                      <w:spacing w:val="2"/>
                      <w:sz w:val="20"/>
                      <w:szCs w:val="20"/>
                    </w:rPr>
                    <w:t>1-4</w:t>
                  </w:r>
                </w:p>
                <w:p w14:paraId="463246D6">
                  <w:pPr>
                    <w:pStyle w:val="6"/>
                    <w:spacing w:before="25" w:line="228" w:lineRule="auto"/>
                    <w:ind w:left="113"/>
                    <w:rPr>
                      <w:sz w:val="20"/>
                      <w:szCs w:val="20"/>
                    </w:rPr>
                  </w:pPr>
                  <w:r>
                    <w:rPr>
                      <w:spacing w:val="8"/>
                      <w:sz w:val="20"/>
                      <w:szCs w:val="20"/>
                    </w:rPr>
                    <w:t>个烤盘，用作注</w:t>
                  </w:r>
                </w:p>
                <w:p w14:paraId="7F9FDC53">
                  <w:pPr>
                    <w:pStyle w:val="6"/>
                    <w:spacing w:before="24" w:line="227" w:lineRule="auto"/>
                    <w:ind w:left="112"/>
                    <w:rPr>
                      <w:sz w:val="20"/>
                      <w:szCs w:val="20"/>
                    </w:rPr>
                  </w:pPr>
                  <w:r>
                    <w:rPr>
                      <w:spacing w:val="8"/>
                      <w:sz w:val="20"/>
                      <w:szCs w:val="20"/>
                    </w:rPr>
                    <w:t>胶前烘干宝石水</w:t>
                  </w:r>
                </w:p>
                <w:p w14:paraId="54C11692">
                  <w:pPr>
                    <w:pStyle w:val="6"/>
                    <w:spacing w:before="25" w:line="228" w:lineRule="auto"/>
                    <w:ind w:left="116"/>
                    <w:rPr>
                      <w:sz w:val="20"/>
                      <w:szCs w:val="20"/>
                    </w:rPr>
                  </w:pPr>
                  <w:r>
                    <w:rPr>
                      <w:spacing w:val="8"/>
                      <w:sz w:val="20"/>
                      <w:szCs w:val="20"/>
                    </w:rPr>
                    <w:t>分，注胶后后烘</w:t>
                  </w:r>
                </w:p>
                <w:p w14:paraId="59A254DB">
                  <w:pPr>
                    <w:pStyle w:val="6"/>
                    <w:spacing w:before="27" w:line="227" w:lineRule="auto"/>
                    <w:ind w:left="323"/>
                    <w:rPr>
                      <w:sz w:val="20"/>
                      <w:szCs w:val="20"/>
                    </w:rPr>
                  </w:pPr>
                  <w:r>
                    <w:rPr>
                      <w:spacing w:val="8"/>
                      <w:sz w:val="20"/>
                      <w:szCs w:val="20"/>
                    </w:rPr>
                    <w:t>干环氧树脂</w:t>
                  </w:r>
                </w:p>
              </w:tc>
              <w:tc>
                <w:tcPr>
                  <w:tcW w:w="1057" w:type="dxa"/>
                  <w:vAlign w:val="top"/>
                </w:tcPr>
                <w:p w14:paraId="4782F37D">
                  <w:pPr>
                    <w:spacing w:line="307" w:lineRule="auto"/>
                    <w:rPr>
                      <w:rFonts w:ascii="Arial"/>
                      <w:sz w:val="21"/>
                    </w:rPr>
                  </w:pPr>
                </w:p>
                <w:p w14:paraId="32EDFFF7">
                  <w:pPr>
                    <w:spacing w:line="308" w:lineRule="auto"/>
                    <w:rPr>
                      <w:rFonts w:ascii="Arial"/>
                      <w:sz w:val="21"/>
                    </w:rPr>
                  </w:pPr>
                </w:p>
                <w:p w14:paraId="5E81C89A">
                  <w:pPr>
                    <w:spacing w:line="308" w:lineRule="auto"/>
                    <w:rPr>
                      <w:rFonts w:ascii="Arial"/>
                      <w:sz w:val="21"/>
                    </w:rPr>
                  </w:pPr>
                </w:p>
                <w:p w14:paraId="4432358D">
                  <w:pPr>
                    <w:spacing w:before="5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0" w:type="dxa"/>
                  <w:vAlign w:val="top"/>
                </w:tcPr>
                <w:p w14:paraId="40236381">
                  <w:pPr>
                    <w:spacing w:line="307" w:lineRule="auto"/>
                    <w:rPr>
                      <w:rFonts w:ascii="Arial"/>
                      <w:sz w:val="21"/>
                    </w:rPr>
                  </w:pPr>
                </w:p>
                <w:p w14:paraId="348FB4EC">
                  <w:pPr>
                    <w:spacing w:line="308" w:lineRule="auto"/>
                    <w:rPr>
                      <w:rFonts w:ascii="Arial"/>
                      <w:sz w:val="21"/>
                    </w:rPr>
                  </w:pPr>
                </w:p>
                <w:p w14:paraId="5046465C">
                  <w:pPr>
                    <w:spacing w:line="308" w:lineRule="auto"/>
                    <w:rPr>
                      <w:rFonts w:ascii="Arial"/>
                      <w:sz w:val="21"/>
                    </w:rPr>
                  </w:pPr>
                </w:p>
                <w:p w14:paraId="5A5E219A">
                  <w:pPr>
                    <w:spacing w:before="58"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324</w:t>
                  </w:r>
                </w:p>
              </w:tc>
              <w:tc>
                <w:tcPr>
                  <w:tcW w:w="1095" w:type="dxa"/>
                  <w:vAlign w:val="top"/>
                </w:tcPr>
                <w:p w14:paraId="4D1D11AC">
                  <w:pPr>
                    <w:spacing w:line="307" w:lineRule="auto"/>
                    <w:rPr>
                      <w:rFonts w:ascii="Arial"/>
                      <w:sz w:val="21"/>
                    </w:rPr>
                  </w:pPr>
                </w:p>
                <w:p w14:paraId="1F025EA0">
                  <w:pPr>
                    <w:spacing w:line="308" w:lineRule="auto"/>
                    <w:rPr>
                      <w:rFonts w:ascii="Arial"/>
                      <w:sz w:val="21"/>
                    </w:rPr>
                  </w:pPr>
                </w:p>
                <w:p w14:paraId="76B84225">
                  <w:pPr>
                    <w:spacing w:line="308" w:lineRule="auto"/>
                    <w:rPr>
                      <w:rFonts w:ascii="Arial"/>
                      <w:sz w:val="21"/>
                    </w:rPr>
                  </w:pPr>
                </w:p>
                <w:p w14:paraId="275BB9CC">
                  <w:pPr>
                    <w:spacing w:before="5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324</w:t>
                  </w:r>
                </w:p>
              </w:tc>
              <w:tc>
                <w:tcPr>
                  <w:tcW w:w="1156" w:type="dxa"/>
                  <w:vAlign w:val="top"/>
                </w:tcPr>
                <w:p w14:paraId="68CBA729">
                  <w:pPr>
                    <w:spacing w:line="307" w:lineRule="auto"/>
                    <w:rPr>
                      <w:rFonts w:ascii="Arial"/>
                      <w:sz w:val="21"/>
                    </w:rPr>
                  </w:pPr>
                </w:p>
                <w:p w14:paraId="295FE88C">
                  <w:pPr>
                    <w:spacing w:line="308" w:lineRule="auto"/>
                    <w:rPr>
                      <w:rFonts w:ascii="Arial"/>
                      <w:sz w:val="21"/>
                    </w:rPr>
                  </w:pPr>
                </w:p>
                <w:p w14:paraId="75AA25A1">
                  <w:pPr>
                    <w:spacing w:line="308" w:lineRule="auto"/>
                    <w:rPr>
                      <w:rFonts w:ascii="Arial"/>
                      <w:sz w:val="21"/>
                    </w:rPr>
                  </w:pPr>
                </w:p>
                <w:p w14:paraId="562EC148">
                  <w:pPr>
                    <w:spacing w:before="5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+324</w:t>
                  </w:r>
                </w:p>
              </w:tc>
              <w:tc>
                <w:tcPr>
                  <w:tcW w:w="732" w:type="dxa"/>
                  <w:vMerge w:val="continue"/>
                  <w:tcBorders>
                    <w:top w:val="nil"/>
                    <w:bottom w:val="nil"/>
                  </w:tcBorders>
                  <w:vAlign w:val="top"/>
                </w:tcPr>
                <w:p w14:paraId="1910E337">
                  <w:pPr>
                    <w:rPr>
                      <w:rFonts w:ascii="Arial"/>
                      <w:sz w:val="21"/>
                    </w:rPr>
                  </w:pPr>
                </w:p>
              </w:tc>
            </w:tr>
            <w:tr w14:paraId="56180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528" w:type="dxa"/>
                  <w:vAlign w:val="top"/>
                </w:tcPr>
                <w:p w14:paraId="53455FFA">
                  <w:pPr>
                    <w:spacing w:line="293" w:lineRule="auto"/>
                    <w:rPr>
                      <w:rFonts w:ascii="Arial"/>
                      <w:sz w:val="21"/>
                    </w:rPr>
                  </w:pPr>
                </w:p>
                <w:p w14:paraId="5F789C39">
                  <w:pPr>
                    <w:spacing w:line="293" w:lineRule="auto"/>
                    <w:rPr>
                      <w:rFonts w:ascii="Arial"/>
                      <w:sz w:val="21"/>
                    </w:rPr>
                  </w:pPr>
                </w:p>
                <w:p w14:paraId="6A0F1359">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50" w:type="dxa"/>
                  <w:vAlign w:val="top"/>
                </w:tcPr>
                <w:p w14:paraId="60D691C5">
                  <w:pPr>
                    <w:spacing w:line="271" w:lineRule="auto"/>
                    <w:rPr>
                      <w:rFonts w:ascii="Arial"/>
                      <w:sz w:val="21"/>
                    </w:rPr>
                  </w:pPr>
                </w:p>
                <w:p w14:paraId="61D64FBC">
                  <w:pPr>
                    <w:spacing w:line="272" w:lineRule="auto"/>
                    <w:rPr>
                      <w:rFonts w:ascii="Arial"/>
                      <w:sz w:val="21"/>
                    </w:rPr>
                  </w:pPr>
                </w:p>
                <w:p w14:paraId="5A02B405">
                  <w:pPr>
                    <w:pStyle w:val="6"/>
                    <w:spacing w:before="65" w:line="227" w:lineRule="auto"/>
                    <w:ind w:left="117"/>
                    <w:rPr>
                      <w:sz w:val="20"/>
                      <w:szCs w:val="20"/>
                    </w:rPr>
                  </w:pPr>
                  <w:r>
                    <w:rPr>
                      <w:spacing w:val="5"/>
                      <w:sz w:val="20"/>
                      <w:szCs w:val="20"/>
                    </w:rPr>
                    <w:t>离心机</w:t>
                  </w:r>
                </w:p>
              </w:tc>
              <w:tc>
                <w:tcPr>
                  <w:tcW w:w="1691" w:type="dxa"/>
                  <w:vAlign w:val="top"/>
                </w:tcPr>
                <w:p w14:paraId="06B01630">
                  <w:pPr>
                    <w:pStyle w:val="6"/>
                    <w:spacing w:before="66" w:line="228" w:lineRule="auto"/>
                    <w:ind w:left="115"/>
                    <w:rPr>
                      <w:sz w:val="20"/>
                      <w:szCs w:val="20"/>
                    </w:rPr>
                  </w:pPr>
                  <w:r>
                    <w:rPr>
                      <w:spacing w:val="8"/>
                      <w:sz w:val="20"/>
                      <w:szCs w:val="20"/>
                    </w:rPr>
                    <w:t>用电设备，功率</w:t>
                  </w:r>
                </w:p>
                <w:p w14:paraId="34D637FD">
                  <w:pPr>
                    <w:pStyle w:val="6"/>
                    <w:spacing w:before="24" w:line="228" w:lineRule="auto"/>
                    <w:ind w:left="113"/>
                    <w:rPr>
                      <w:sz w:val="20"/>
                      <w:szCs w:val="20"/>
                    </w:rPr>
                  </w:pPr>
                  <w:r>
                    <w:rPr>
                      <w:spacing w:val="-4"/>
                      <w:sz w:val="20"/>
                      <w:szCs w:val="20"/>
                    </w:rPr>
                    <w:t>为</w:t>
                  </w:r>
                  <w:r>
                    <w:rPr>
                      <w:rFonts w:ascii="Times New Roman" w:hAnsi="Times New Roman" w:eastAsia="Times New Roman" w:cs="Times New Roman"/>
                      <w:spacing w:val="-4"/>
                      <w:sz w:val="20"/>
                      <w:szCs w:val="20"/>
                    </w:rPr>
                    <w:t>2.2kw</w:t>
                  </w:r>
                  <w:r>
                    <w:rPr>
                      <w:spacing w:val="-4"/>
                      <w:sz w:val="20"/>
                      <w:szCs w:val="20"/>
                    </w:rPr>
                    <w:t>，容积约</w:t>
                  </w:r>
                </w:p>
                <w:p w14:paraId="34394306">
                  <w:pPr>
                    <w:pStyle w:val="6"/>
                    <w:spacing w:before="24" w:line="228"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100L</w:t>
                  </w:r>
                  <w:r>
                    <w:rPr>
                      <w:rFonts w:ascii="Times New Roman" w:hAnsi="Times New Roman" w:eastAsia="Times New Roman" w:cs="Times New Roman"/>
                      <w:spacing w:val="-25"/>
                      <w:sz w:val="20"/>
                      <w:szCs w:val="20"/>
                    </w:rPr>
                    <w:t xml:space="preserve"> </w:t>
                  </w:r>
                  <w:r>
                    <w:rPr>
                      <w:spacing w:val="1"/>
                      <w:sz w:val="20"/>
                      <w:szCs w:val="20"/>
                    </w:rPr>
                    <w:t>，可装</w:t>
                  </w:r>
                  <w:r>
                    <w:rPr>
                      <w:rFonts w:ascii="Times New Roman" w:hAnsi="Times New Roman" w:eastAsia="Times New Roman" w:cs="Times New Roman"/>
                      <w:spacing w:val="1"/>
                      <w:sz w:val="20"/>
                      <w:szCs w:val="20"/>
                    </w:rPr>
                    <w:t>1-4</w:t>
                  </w:r>
                </w:p>
                <w:p w14:paraId="702D0124">
                  <w:pPr>
                    <w:pStyle w:val="6"/>
                    <w:spacing w:before="25" w:line="228" w:lineRule="auto"/>
                    <w:ind w:left="113"/>
                    <w:rPr>
                      <w:sz w:val="20"/>
                      <w:szCs w:val="20"/>
                    </w:rPr>
                  </w:pPr>
                  <w:r>
                    <w:rPr>
                      <w:spacing w:val="8"/>
                      <w:sz w:val="20"/>
                      <w:szCs w:val="20"/>
                    </w:rPr>
                    <w:t>个铁皮桶，用作</w:t>
                  </w:r>
                </w:p>
                <w:p w14:paraId="78C8B75E">
                  <w:pPr>
                    <w:pStyle w:val="6"/>
                    <w:spacing w:before="24" w:line="228" w:lineRule="auto"/>
                    <w:ind w:left="640"/>
                    <w:rPr>
                      <w:sz w:val="20"/>
                      <w:szCs w:val="20"/>
                    </w:rPr>
                  </w:pPr>
                  <w:r>
                    <w:rPr>
                      <w:spacing w:val="3"/>
                      <w:sz w:val="20"/>
                      <w:szCs w:val="20"/>
                    </w:rPr>
                    <w:t>甩胶</w:t>
                  </w:r>
                </w:p>
              </w:tc>
              <w:tc>
                <w:tcPr>
                  <w:tcW w:w="1057" w:type="dxa"/>
                  <w:vAlign w:val="top"/>
                </w:tcPr>
                <w:p w14:paraId="7AF2A770">
                  <w:pPr>
                    <w:spacing w:line="293" w:lineRule="auto"/>
                    <w:rPr>
                      <w:rFonts w:ascii="Arial"/>
                      <w:sz w:val="21"/>
                    </w:rPr>
                  </w:pPr>
                </w:p>
                <w:p w14:paraId="0F29ACDF">
                  <w:pPr>
                    <w:spacing w:line="293" w:lineRule="auto"/>
                    <w:rPr>
                      <w:rFonts w:ascii="Arial"/>
                      <w:sz w:val="21"/>
                    </w:rPr>
                  </w:pPr>
                </w:p>
                <w:p w14:paraId="7E6EB09B">
                  <w:pPr>
                    <w:spacing w:before="5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0" w:type="dxa"/>
                  <w:vAlign w:val="top"/>
                </w:tcPr>
                <w:p w14:paraId="7579FA23">
                  <w:pPr>
                    <w:spacing w:line="293" w:lineRule="auto"/>
                    <w:rPr>
                      <w:rFonts w:ascii="Arial"/>
                      <w:sz w:val="21"/>
                    </w:rPr>
                  </w:pPr>
                </w:p>
                <w:p w14:paraId="294A7C8A">
                  <w:pPr>
                    <w:spacing w:line="293" w:lineRule="auto"/>
                    <w:rPr>
                      <w:rFonts w:ascii="Arial"/>
                      <w:sz w:val="21"/>
                    </w:rPr>
                  </w:pPr>
                </w:p>
                <w:p w14:paraId="4AF0F8E9">
                  <w:pPr>
                    <w:spacing w:before="5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095" w:type="dxa"/>
                  <w:vAlign w:val="top"/>
                </w:tcPr>
                <w:p w14:paraId="10D4C87D">
                  <w:pPr>
                    <w:spacing w:line="293" w:lineRule="auto"/>
                    <w:rPr>
                      <w:rFonts w:ascii="Arial"/>
                      <w:sz w:val="21"/>
                    </w:rPr>
                  </w:pPr>
                </w:p>
                <w:p w14:paraId="7300728A">
                  <w:pPr>
                    <w:spacing w:line="293" w:lineRule="auto"/>
                    <w:rPr>
                      <w:rFonts w:ascii="Arial"/>
                      <w:sz w:val="21"/>
                    </w:rPr>
                  </w:pPr>
                </w:p>
                <w:p w14:paraId="4AD98892">
                  <w:pPr>
                    <w:spacing w:before="58"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156" w:type="dxa"/>
                  <w:vAlign w:val="top"/>
                </w:tcPr>
                <w:p w14:paraId="1C7AE5B5">
                  <w:pPr>
                    <w:spacing w:line="293" w:lineRule="auto"/>
                    <w:rPr>
                      <w:rFonts w:ascii="Arial"/>
                      <w:sz w:val="21"/>
                    </w:rPr>
                  </w:pPr>
                </w:p>
                <w:p w14:paraId="264D1DD3">
                  <w:pPr>
                    <w:spacing w:line="293" w:lineRule="auto"/>
                    <w:rPr>
                      <w:rFonts w:ascii="Arial"/>
                      <w:sz w:val="21"/>
                    </w:rPr>
                  </w:pPr>
                </w:p>
                <w:p w14:paraId="4201DA50">
                  <w:pPr>
                    <w:spacing w:before="58"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+81</w:t>
                  </w:r>
                </w:p>
              </w:tc>
              <w:tc>
                <w:tcPr>
                  <w:tcW w:w="732" w:type="dxa"/>
                  <w:vMerge w:val="continue"/>
                  <w:tcBorders>
                    <w:top w:val="nil"/>
                    <w:bottom w:val="nil"/>
                  </w:tcBorders>
                  <w:vAlign w:val="top"/>
                </w:tcPr>
                <w:p w14:paraId="2020E0CB">
                  <w:pPr>
                    <w:rPr>
                      <w:rFonts w:ascii="Arial"/>
                      <w:sz w:val="21"/>
                    </w:rPr>
                  </w:pPr>
                </w:p>
              </w:tc>
            </w:tr>
            <w:tr w14:paraId="7C85C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528" w:type="dxa"/>
                  <w:vAlign w:val="top"/>
                </w:tcPr>
                <w:p w14:paraId="1C7D75DE">
                  <w:pPr>
                    <w:spacing w:line="295" w:lineRule="auto"/>
                    <w:rPr>
                      <w:rFonts w:ascii="Arial"/>
                      <w:sz w:val="21"/>
                    </w:rPr>
                  </w:pPr>
                </w:p>
                <w:p w14:paraId="30810597">
                  <w:pPr>
                    <w:spacing w:line="296" w:lineRule="auto"/>
                    <w:rPr>
                      <w:rFonts w:ascii="Arial"/>
                      <w:sz w:val="21"/>
                    </w:rPr>
                  </w:pPr>
                </w:p>
                <w:p w14:paraId="6BE31DC6">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50" w:type="dxa"/>
                  <w:vAlign w:val="top"/>
                </w:tcPr>
                <w:p w14:paraId="1BFC8DE3">
                  <w:pPr>
                    <w:spacing w:line="414" w:lineRule="auto"/>
                    <w:rPr>
                      <w:rFonts w:ascii="Arial"/>
                      <w:sz w:val="21"/>
                    </w:rPr>
                  </w:pPr>
                </w:p>
                <w:p w14:paraId="5E757A5E">
                  <w:pPr>
                    <w:pStyle w:val="6"/>
                    <w:spacing w:before="65" w:line="229" w:lineRule="auto"/>
                    <w:ind w:left="114"/>
                    <w:rPr>
                      <w:sz w:val="20"/>
                      <w:szCs w:val="20"/>
                    </w:rPr>
                  </w:pPr>
                  <w:r>
                    <w:rPr>
                      <w:spacing w:val="6"/>
                      <w:sz w:val="20"/>
                      <w:szCs w:val="20"/>
                    </w:rPr>
                    <w:t>石油气</w:t>
                  </w:r>
                </w:p>
                <w:p w14:paraId="07B07E22">
                  <w:pPr>
                    <w:pStyle w:val="6"/>
                    <w:spacing w:before="23" w:line="228" w:lineRule="auto"/>
                    <w:ind w:left="325"/>
                    <w:rPr>
                      <w:sz w:val="20"/>
                      <w:szCs w:val="20"/>
                    </w:rPr>
                  </w:pPr>
                  <w:r>
                    <w:rPr>
                      <w:sz w:val="20"/>
                      <w:szCs w:val="20"/>
                    </w:rPr>
                    <w:t>炉</w:t>
                  </w:r>
                </w:p>
              </w:tc>
              <w:tc>
                <w:tcPr>
                  <w:tcW w:w="1691" w:type="dxa"/>
                  <w:vAlign w:val="top"/>
                </w:tcPr>
                <w:p w14:paraId="60B60AEC">
                  <w:pPr>
                    <w:pStyle w:val="6"/>
                    <w:spacing w:before="71" w:line="228" w:lineRule="auto"/>
                    <w:ind w:left="112"/>
                    <w:rPr>
                      <w:sz w:val="20"/>
                      <w:szCs w:val="20"/>
                    </w:rPr>
                  </w:pPr>
                  <w:r>
                    <w:rPr>
                      <w:spacing w:val="8"/>
                      <w:sz w:val="20"/>
                      <w:szCs w:val="20"/>
                    </w:rPr>
                    <w:t>普通石油液化气</w:t>
                  </w:r>
                </w:p>
                <w:p w14:paraId="58587F8F">
                  <w:pPr>
                    <w:pStyle w:val="6"/>
                    <w:spacing w:before="26" w:line="228" w:lineRule="auto"/>
                    <w:ind w:left="116"/>
                    <w:rPr>
                      <w:sz w:val="20"/>
                      <w:szCs w:val="20"/>
                    </w:rPr>
                  </w:pPr>
                  <w:r>
                    <w:rPr>
                      <w:spacing w:val="8"/>
                      <w:sz w:val="20"/>
                      <w:szCs w:val="20"/>
                    </w:rPr>
                    <w:t>炉，额定热负荷</w:t>
                  </w:r>
                </w:p>
                <w:p w14:paraId="68094519">
                  <w:pPr>
                    <w:pStyle w:val="6"/>
                    <w:spacing w:before="24" w:line="228" w:lineRule="auto"/>
                    <w:ind w:left="170"/>
                    <w:rPr>
                      <w:sz w:val="20"/>
                      <w:szCs w:val="20"/>
                    </w:rPr>
                  </w:pPr>
                  <w:r>
                    <w:rPr>
                      <w:rFonts w:ascii="Times New Roman" w:hAnsi="Times New Roman" w:eastAsia="Times New Roman" w:cs="Times New Roman"/>
                      <w:spacing w:val="3"/>
                      <w:sz w:val="20"/>
                      <w:szCs w:val="20"/>
                    </w:rPr>
                    <w:t>5.0</w:t>
                  </w:r>
                  <w:r>
                    <w:rPr>
                      <w:rFonts w:ascii="Times New Roman" w:hAnsi="Times New Roman" w:eastAsia="Times New Roman" w:cs="Times New Roman"/>
                      <w:sz w:val="20"/>
                      <w:szCs w:val="20"/>
                    </w:rPr>
                    <w:t>kw</w:t>
                  </w:r>
                  <w:r>
                    <w:rPr>
                      <w:rFonts w:ascii="Times New Roman" w:hAnsi="Times New Roman" w:eastAsia="Times New Roman" w:cs="Times New Roman"/>
                      <w:spacing w:val="-21"/>
                      <w:sz w:val="20"/>
                      <w:szCs w:val="20"/>
                    </w:rPr>
                    <w:t xml:space="preserve"> </w:t>
                  </w:r>
                  <w:r>
                    <w:rPr>
                      <w:spacing w:val="3"/>
                      <w:sz w:val="20"/>
                      <w:szCs w:val="20"/>
                    </w:rPr>
                    <w:t>，热效率</w:t>
                  </w:r>
                </w:p>
                <w:p w14:paraId="27B276E5">
                  <w:pPr>
                    <w:pStyle w:val="6"/>
                    <w:spacing w:before="26" w:line="228" w:lineRule="auto"/>
                    <w:ind w:left="131"/>
                    <w:rPr>
                      <w:sz w:val="20"/>
                      <w:szCs w:val="20"/>
                    </w:rPr>
                  </w:pPr>
                  <w:r>
                    <w:rPr>
                      <w:rFonts w:ascii="Times New Roman" w:hAnsi="Times New Roman" w:eastAsia="Times New Roman" w:cs="Times New Roman"/>
                      <w:spacing w:val="4"/>
                      <w:sz w:val="20"/>
                      <w:szCs w:val="20"/>
                    </w:rPr>
                    <w:t>62%</w:t>
                  </w:r>
                  <w:r>
                    <w:rPr>
                      <w:rFonts w:ascii="Times New Roman" w:hAnsi="Times New Roman" w:eastAsia="Times New Roman" w:cs="Times New Roman"/>
                      <w:spacing w:val="-26"/>
                      <w:sz w:val="20"/>
                      <w:szCs w:val="20"/>
                    </w:rPr>
                    <w:t xml:space="preserve"> </w:t>
                  </w:r>
                  <w:r>
                    <w:rPr>
                      <w:spacing w:val="4"/>
                      <w:sz w:val="20"/>
                      <w:szCs w:val="20"/>
                    </w:rPr>
                    <w:t>，用作配胶</w:t>
                  </w:r>
                </w:p>
                <w:p w14:paraId="37CEDBD6">
                  <w:pPr>
                    <w:pStyle w:val="6"/>
                    <w:spacing w:before="24" w:line="228" w:lineRule="auto"/>
                    <w:ind w:left="428"/>
                    <w:rPr>
                      <w:sz w:val="20"/>
                      <w:szCs w:val="20"/>
                    </w:rPr>
                  </w:pPr>
                  <w:r>
                    <w:rPr>
                      <w:spacing w:val="7"/>
                      <w:sz w:val="20"/>
                      <w:szCs w:val="20"/>
                    </w:rPr>
                    <w:t>过程加热</w:t>
                  </w:r>
                </w:p>
              </w:tc>
              <w:tc>
                <w:tcPr>
                  <w:tcW w:w="1057" w:type="dxa"/>
                  <w:vAlign w:val="top"/>
                </w:tcPr>
                <w:p w14:paraId="0FACB54B">
                  <w:pPr>
                    <w:spacing w:line="295" w:lineRule="auto"/>
                    <w:rPr>
                      <w:rFonts w:ascii="Arial"/>
                      <w:sz w:val="21"/>
                    </w:rPr>
                  </w:pPr>
                </w:p>
                <w:p w14:paraId="01E77E28">
                  <w:pPr>
                    <w:spacing w:line="296" w:lineRule="auto"/>
                    <w:rPr>
                      <w:rFonts w:ascii="Arial"/>
                      <w:sz w:val="21"/>
                    </w:rPr>
                  </w:pPr>
                </w:p>
                <w:p w14:paraId="43884C60">
                  <w:pPr>
                    <w:spacing w:before="57" w:line="195"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0" w:type="dxa"/>
                  <w:vAlign w:val="top"/>
                </w:tcPr>
                <w:p w14:paraId="5544E127">
                  <w:pPr>
                    <w:spacing w:line="295" w:lineRule="auto"/>
                    <w:rPr>
                      <w:rFonts w:ascii="Arial"/>
                      <w:sz w:val="21"/>
                    </w:rPr>
                  </w:pPr>
                </w:p>
                <w:p w14:paraId="570516FF">
                  <w:pPr>
                    <w:spacing w:line="296" w:lineRule="auto"/>
                    <w:rPr>
                      <w:rFonts w:ascii="Arial"/>
                      <w:sz w:val="21"/>
                    </w:rPr>
                  </w:pPr>
                </w:p>
                <w:p w14:paraId="3E368E68">
                  <w:pPr>
                    <w:spacing w:before="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095" w:type="dxa"/>
                  <w:vAlign w:val="top"/>
                </w:tcPr>
                <w:p w14:paraId="4C31F8FA">
                  <w:pPr>
                    <w:spacing w:line="295" w:lineRule="auto"/>
                    <w:rPr>
                      <w:rFonts w:ascii="Arial"/>
                      <w:sz w:val="21"/>
                    </w:rPr>
                  </w:pPr>
                </w:p>
                <w:p w14:paraId="600C90D0">
                  <w:pPr>
                    <w:spacing w:line="296" w:lineRule="auto"/>
                    <w:rPr>
                      <w:rFonts w:ascii="Arial"/>
                      <w:sz w:val="21"/>
                    </w:rPr>
                  </w:pPr>
                </w:p>
                <w:p w14:paraId="39C0E45F">
                  <w:pPr>
                    <w:spacing w:before="57"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156" w:type="dxa"/>
                  <w:vAlign w:val="top"/>
                </w:tcPr>
                <w:p w14:paraId="7C8F731B">
                  <w:pPr>
                    <w:spacing w:line="295" w:lineRule="auto"/>
                    <w:rPr>
                      <w:rFonts w:ascii="Arial"/>
                      <w:sz w:val="21"/>
                    </w:rPr>
                  </w:pPr>
                </w:p>
                <w:p w14:paraId="696D3282">
                  <w:pPr>
                    <w:spacing w:line="296" w:lineRule="auto"/>
                    <w:rPr>
                      <w:rFonts w:ascii="Arial"/>
                      <w:sz w:val="21"/>
                    </w:rPr>
                  </w:pPr>
                </w:p>
                <w:p w14:paraId="1EA3DB30">
                  <w:pPr>
                    <w:spacing w:before="57"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+81</w:t>
                  </w:r>
                </w:p>
              </w:tc>
              <w:tc>
                <w:tcPr>
                  <w:tcW w:w="732" w:type="dxa"/>
                  <w:vMerge w:val="continue"/>
                  <w:tcBorders>
                    <w:top w:val="nil"/>
                  </w:tcBorders>
                  <w:vAlign w:val="top"/>
                </w:tcPr>
                <w:p w14:paraId="0CFABF88">
                  <w:pPr>
                    <w:rPr>
                      <w:rFonts w:ascii="Arial"/>
                      <w:sz w:val="21"/>
                    </w:rPr>
                  </w:pPr>
                </w:p>
              </w:tc>
            </w:tr>
            <w:tr w14:paraId="4A619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9" w:hRule="atLeast"/>
              </w:trPr>
              <w:tc>
                <w:tcPr>
                  <w:tcW w:w="528" w:type="dxa"/>
                  <w:vAlign w:val="top"/>
                </w:tcPr>
                <w:p w14:paraId="008554B3">
                  <w:pPr>
                    <w:spacing w:line="282" w:lineRule="auto"/>
                    <w:rPr>
                      <w:rFonts w:ascii="Arial"/>
                      <w:sz w:val="21"/>
                    </w:rPr>
                  </w:pPr>
                </w:p>
                <w:p w14:paraId="2D8862FB">
                  <w:pPr>
                    <w:spacing w:line="282" w:lineRule="auto"/>
                    <w:rPr>
                      <w:rFonts w:ascii="Arial"/>
                      <w:sz w:val="21"/>
                    </w:rPr>
                  </w:pPr>
                </w:p>
                <w:p w14:paraId="5084DC3C">
                  <w:pPr>
                    <w:spacing w:line="282" w:lineRule="auto"/>
                    <w:rPr>
                      <w:rFonts w:ascii="Arial"/>
                      <w:sz w:val="21"/>
                    </w:rPr>
                  </w:pPr>
                </w:p>
                <w:p w14:paraId="2CC5FFB6">
                  <w:pPr>
                    <w:spacing w:line="282" w:lineRule="auto"/>
                    <w:rPr>
                      <w:rFonts w:ascii="Arial"/>
                      <w:sz w:val="21"/>
                    </w:rPr>
                  </w:pPr>
                </w:p>
                <w:p w14:paraId="6CEBD205">
                  <w:pPr>
                    <w:spacing w:before="57" w:line="192"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50" w:type="dxa"/>
                  <w:vAlign w:val="top"/>
                </w:tcPr>
                <w:p w14:paraId="2D7BE1A6">
                  <w:pPr>
                    <w:spacing w:line="315" w:lineRule="auto"/>
                    <w:rPr>
                      <w:rFonts w:ascii="Arial"/>
                      <w:sz w:val="21"/>
                    </w:rPr>
                  </w:pPr>
                </w:p>
                <w:p w14:paraId="236576B3">
                  <w:pPr>
                    <w:spacing w:line="315" w:lineRule="auto"/>
                    <w:rPr>
                      <w:rFonts w:ascii="Arial"/>
                      <w:sz w:val="21"/>
                    </w:rPr>
                  </w:pPr>
                </w:p>
                <w:p w14:paraId="0FB80B6B">
                  <w:pPr>
                    <w:spacing w:line="315" w:lineRule="auto"/>
                    <w:rPr>
                      <w:rFonts w:ascii="Arial"/>
                      <w:sz w:val="21"/>
                    </w:rPr>
                  </w:pPr>
                </w:p>
                <w:p w14:paraId="2DACE2B3">
                  <w:pPr>
                    <w:pStyle w:val="6"/>
                    <w:spacing w:before="65" w:line="252" w:lineRule="auto"/>
                    <w:ind w:left="324" w:right="110" w:hanging="195"/>
                    <w:rPr>
                      <w:sz w:val="20"/>
                      <w:szCs w:val="20"/>
                    </w:rPr>
                  </w:pPr>
                  <w:r>
                    <w:rPr>
                      <w:spacing w:val="1"/>
                      <w:sz w:val="20"/>
                      <w:szCs w:val="20"/>
                    </w:rPr>
                    <w:t xml:space="preserve">敞口胶 </w:t>
                  </w:r>
                  <w:r>
                    <w:rPr>
                      <w:sz w:val="20"/>
                      <w:szCs w:val="20"/>
                    </w:rPr>
                    <w:t>桶</w:t>
                  </w:r>
                </w:p>
              </w:tc>
              <w:tc>
                <w:tcPr>
                  <w:tcW w:w="1691" w:type="dxa"/>
                  <w:vAlign w:val="top"/>
                </w:tcPr>
                <w:p w14:paraId="35618DB7">
                  <w:pPr>
                    <w:pStyle w:val="6"/>
                    <w:spacing w:before="64" w:line="221" w:lineRule="auto"/>
                    <w:ind w:left="162"/>
                    <w:rPr>
                      <w:sz w:val="20"/>
                      <w:szCs w:val="20"/>
                    </w:rPr>
                  </w:pPr>
                  <w:r>
                    <w:rPr>
                      <w:rFonts w:ascii="Times New Roman" w:hAnsi="Times New Roman" w:eastAsia="Times New Roman" w:cs="Times New Roman"/>
                      <w:spacing w:val="8"/>
                      <w:sz w:val="20"/>
                      <w:szCs w:val="20"/>
                    </w:rPr>
                    <w:t>220</w:t>
                  </w:r>
                  <w:r>
                    <w:rPr>
                      <w:rFonts w:ascii="Times New Roman" w:hAnsi="Times New Roman" w:eastAsia="Times New Roman" w:cs="Times New Roman"/>
                      <w:sz w:val="20"/>
                      <w:szCs w:val="20"/>
                    </w:rPr>
                    <w:t>kg</w:t>
                  </w:r>
                  <w:r>
                    <w:rPr>
                      <w:spacing w:val="8"/>
                      <w:sz w:val="20"/>
                      <w:szCs w:val="20"/>
                    </w:rPr>
                    <w:t>容积带盖</w:t>
                  </w:r>
                </w:p>
                <w:p w14:paraId="5EAD8098">
                  <w:pPr>
                    <w:pStyle w:val="6"/>
                    <w:spacing w:before="31" w:line="228" w:lineRule="auto"/>
                    <w:ind w:left="532"/>
                    <w:rPr>
                      <w:sz w:val="20"/>
                      <w:szCs w:val="20"/>
                    </w:rPr>
                  </w:pPr>
                  <w:r>
                    <w:rPr>
                      <w:spacing w:val="3"/>
                      <w:sz w:val="20"/>
                      <w:szCs w:val="20"/>
                    </w:rPr>
                    <w:t>胶桶，</w:t>
                  </w:r>
                </w:p>
                <w:p w14:paraId="66BF4321">
                  <w:pPr>
                    <w:pStyle w:val="6"/>
                    <w:spacing w:before="60" w:line="186" w:lineRule="auto"/>
                    <w:ind w:left="158"/>
                    <w:rPr>
                      <w:sz w:val="20"/>
                      <w:szCs w:val="20"/>
                    </w:rPr>
                  </w:pPr>
                  <w:r>
                    <w:rPr>
                      <w:rFonts w:ascii="Times New Roman" w:hAnsi="Times New Roman" w:eastAsia="Times New Roman" w:cs="Times New Roman"/>
                      <w:spacing w:val="3"/>
                      <w:sz w:val="20"/>
                      <w:szCs w:val="20"/>
                    </w:rPr>
                    <w:t>Φ0.58×0.92m</w:t>
                  </w:r>
                  <w:r>
                    <w:rPr>
                      <w:spacing w:val="3"/>
                      <w:sz w:val="20"/>
                      <w:szCs w:val="20"/>
                    </w:rPr>
                    <w:t>，</w:t>
                  </w:r>
                </w:p>
                <w:p w14:paraId="0A686596">
                  <w:pPr>
                    <w:pStyle w:val="6"/>
                    <w:spacing w:before="35" w:line="228" w:lineRule="auto"/>
                    <w:ind w:left="220"/>
                    <w:rPr>
                      <w:sz w:val="20"/>
                      <w:szCs w:val="20"/>
                    </w:rPr>
                  </w:pPr>
                  <w:r>
                    <w:rPr>
                      <w:spacing w:val="7"/>
                      <w:sz w:val="20"/>
                      <w:szCs w:val="20"/>
                    </w:rPr>
                    <w:t>可最大同时装</w:t>
                  </w:r>
                </w:p>
                <w:p w14:paraId="3CF07496">
                  <w:pPr>
                    <w:pStyle w:val="6"/>
                    <w:spacing w:before="24" w:line="221" w:lineRule="auto"/>
                    <w:ind w:left="108"/>
                    <w:rPr>
                      <w:sz w:val="20"/>
                      <w:szCs w:val="20"/>
                    </w:rPr>
                  </w:pPr>
                  <w:r>
                    <w:rPr>
                      <w:rFonts w:ascii="Times New Roman" w:hAnsi="Times New Roman" w:eastAsia="Times New Roman" w:cs="Times New Roman"/>
                      <w:spacing w:val="9"/>
                      <w:sz w:val="20"/>
                      <w:szCs w:val="20"/>
                    </w:rPr>
                    <w:t>40</w:t>
                  </w:r>
                  <w:r>
                    <w:rPr>
                      <w:rFonts w:ascii="Times New Roman" w:hAnsi="Times New Roman" w:eastAsia="Times New Roman" w:cs="Times New Roman"/>
                      <w:sz w:val="20"/>
                      <w:szCs w:val="20"/>
                    </w:rPr>
                    <w:t>kg</w:t>
                  </w:r>
                  <w:r>
                    <w:rPr>
                      <w:spacing w:val="9"/>
                      <w:sz w:val="20"/>
                      <w:szCs w:val="20"/>
                    </w:rPr>
                    <w:t>宝石原料和</w:t>
                  </w:r>
                </w:p>
                <w:p w14:paraId="4F6A5480">
                  <w:pPr>
                    <w:pStyle w:val="6"/>
                    <w:spacing w:before="35" w:line="228" w:lineRule="auto"/>
                    <w:ind w:left="134"/>
                    <w:rPr>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11m³</w:t>
                  </w:r>
                  <w:r>
                    <w:rPr>
                      <w:spacing w:val="1"/>
                      <w:sz w:val="20"/>
                      <w:szCs w:val="20"/>
                    </w:rPr>
                    <w:t>的液体，</w:t>
                  </w:r>
                </w:p>
                <w:p w14:paraId="1DD20CA7">
                  <w:pPr>
                    <w:pStyle w:val="6"/>
                    <w:spacing w:before="24" w:line="228" w:lineRule="auto"/>
                    <w:ind w:right="14"/>
                    <w:jc w:val="right"/>
                    <w:rPr>
                      <w:sz w:val="20"/>
                      <w:szCs w:val="20"/>
                    </w:rPr>
                  </w:pPr>
                  <w:r>
                    <w:rPr>
                      <w:spacing w:val="-6"/>
                      <w:sz w:val="20"/>
                      <w:szCs w:val="20"/>
                    </w:rPr>
                    <w:t>用作配酸、泡酸、</w:t>
                  </w:r>
                </w:p>
                <w:p w14:paraId="1F3ABBB6">
                  <w:pPr>
                    <w:pStyle w:val="6"/>
                    <w:spacing w:before="26" w:line="228" w:lineRule="auto"/>
                    <w:ind w:left="115"/>
                    <w:rPr>
                      <w:sz w:val="20"/>
                      <w:szCs w:val="20"/>
                    </w:rPr>
                  </w:pPr>
                  <w:r>
                    <w:rPr>
                      <w:spacing w:val="11"/>
                      <w:sz w:val="20"/>
                      <w:szCs w:val="20"/>
                    </w:rPr>
                    <w:t>泡碱、清洗、中</w:t>
                  </w:r>
                </w:p>
                <w:p w14:paraId="7A13C8FC">
                  <w:pPr>
                    <w:pStyle w:val="6"/>
                    <w:spacing w:before="24" w:line="228" w:lineRule="auto"/>
                    <w:ind w:left="114"/>
                    <w:rPr>
                      <w:sz w:val="20"/>
                      <w:szCs w:val="20"/>
                    </w:rPr>
                  </w:pPr>
                  <w:r>
                    <w:rPr>
                      <w:spacing w:val="8"/>
                      <w:sz w:val="20"/>
                      <w:szCs w:val="20"/>
                    </w:rPr>
                    <w:t>转等的盛装容器</w:t>
                  </w:r>
                </w:p>
              </w:tc>
              <w:tc>
                <w:tcPr>
                  <w:tcW w:w="1057" w:type="dxa"/>
                  <w:vAlign w:val="top"/>
                </w:tcPr>
                <w:p w14:paraId="09E34D0A">
                  <w:pPr>
                    <w:spacing w:line="281" w:lineRule="auto"/>
                    <w:rPr>
                      <w:rFonts w:ascii="Arial"/>
                      <w:sz w:val="21"/>
                    </w:rPr>
                  </w:pPr>
                </w:p>
                <w:p w14:paraId="73B169B9">
                  <w:pPr>
                    <w:spacing w:line="281" w:lineRule="auto"/>
                    <w:rPr>
                      <w:rFonts w:ascii="Arial"/>
                      <w:sz w:val="21"/>
                    </w:rPr>
                  </w:pPr>
                </w:p>
                <w:p w14:paraId="2FF61AB1">
                  <w:pPr>
                    <w:spacing w:line="281" w:lineRule="auto"/>
                    <w:rPr>
                      <w:rFonts w:ascii="Arial"/>
                      <w:sz w:val="21"/>
                    </w:rPr>
                  </w:pPr>
                </w:p>
                <w:p w14:paraId="6A4C41DA">
                  <w:pPr>
                    <w:spacing w:line="282" w:lineRule="auto"/>
                    <w:rPr>
                      <w:rFonts w:ascii="Arial"/>
                      <w:sz w:val="21"/>
                    </w:rPr>
                  </w:pPr>
                </w:p>
                <w:p w14:paraId="40887433">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910" w:type="dxa"/>
                  <w:vAlign w:val="top"/>
                </w:tcPr>
                <w:p w14:paraId="35C537D3">
                  <w:pPr>
                    <w:spacing w:line="281" w:lineRule="auto"/>
                    <w:rPr>
                      <w:rFonts w:ascii="Arial"/>
                      <w:sz w:val="21"/>
                    </w:rPr>
                  </w:pPr>
                </w:p>
                <w:p w14:paraId="0384B8EB">
                  <w:pPr>
                    <w:spacing w:line="281" w:lineRule="auto"/>
                    <w:rPr>
                      <w:rFonts w:ascii="Arial"/>
                      <w:sz w:val="21"/>
                    </w:rPr>
                  </w:pPr>
                </w:p>
                <w:p w14:paraId="3EF71A04">
                  <w:pPr>
                    <w:spacing w:line="281" w:lineRule="auto"/>
                    <w:rPr>
                      <w:rFonts w:ascii="Arial"/>
                      <w:sz w:val="21"/>
                    </w:rPr>
                  </w:pPr>
                </w:p>
                <w:p w14:paraId="5A73F85C">
                  <w:pPr>
                    <w:spacing w:line="282" w:lineRule="auto"/>
                    <w:rPr>
                      <w:rFonts w:ascii="Arial"/>
                      <w:sz w:val="21"/>
                    </w:rPr>
                  </w:pPr>
                </w:p>
                <w:p w14:paraId="37ACE632">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5236</w:t>
                  </w:r>
                </w:p>
              </w:tc>
              <w:tc>
                <w:tcPr>
                  <w:tcW w:w="1095" w:type="dxa"/>
                  <w:vAlign w:val="top"/>
                </w:tcPr>
                <w:p w14:paraId="2E05F29C">
                  <w:pPr>
                    <w:spacing w:line="281" w:lineRule="auto"/>
                    <w:rPr>
                      <w:rFonts w:ascii="Arial"/>
                      <w:sz w:val="21"/>
                    </w:rPr>
                  </w:pPr>
                </w:p>
                <w:p w14:paraId="78B6B190">
                  <w:pPr>
                    <w:spacing w:line="281" w:lineRule="auto"/>
                    <w:rPr>
                      <w:rFonts w:ascii="Arial"/>
                      <w:sz w:val="21"/>
                    </w:rPr>
                  </w:pPr>
                </w:p>
                <w:p w14:paraId="2E4221C1">
                  <w:pPr>
                    <w:spacing w:line="281" w:lineRule="auto"/>
                    <w:rPr>
                      <w:rFonts w:ascii="Arial"/>
                      <w:sz w:val="21"/>
                    </w:rPr>
                  </w:pPr>
                </w:p>
                <w:p w14:paraId="62AF5170">
                  <w:pPr>
                    <w:spacing w:line="282" w:lineRule="auto"/>
                    <w:rPr>
                      <w:rFonts w:ascii="Arial"/>
                      <w:sz w:val="21"/>
                    </w:rPr>
                  </w:pPr>
                </w:p>
                <w:p w14:paraId="438A5AF8">
                  <w:pPr>
                    <w:spacing w:before="5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6736</w:t>
                  </w:r>
                </w:p>
              </w:tc>
              <w:tc>
                <w:tcPr>
                  <w:tcW w:w="1156" w:type="dxa"/>
                  <w:vAlign w:val="top"/>
                </w:tcPr>
                <w:p w14:paraId="4A92543A">
                  <w:pPr>
                    <w:spacing w:line="281" w:lineRule="auto"/>
                    <w:rPr>
                      <w:rFonts w:ascii="Arial"/>
                      <w:sz w:val="21"/>
                    </w:rPr>
                  </w:pPr>
                </w:p>
                <w:p w14:paraId="1190BCA0">
                  <w:pPr>
                    <w:spacing w:line="281" w:lineRule="auto"/>
                    <w:rPr>
                      <w:rFonts w:ascii="Arial"/>
                      <w:sz w:val="21"/>
                    </w:rPr>
                  </w:pPr>
                </w:p>
                <w:p w14:paraId="1FF8211B">
                  <w:pPr>
                    <w:spacing w:line="281" w:lineRule="auto"/>
                    <w:rPr>
                      <w:rFonts w:ascii="Arial"/>
                      <w:sz w:val="21"/>
                    </w:rPr>
                  </w:pPr>
                </w:p>
                <w:p w14:paraId="467F3C2E">
                  <w:pPr>
                    <w:spacing w:line="282" w:lineRule="auto"/>
                    <w:rPr>
                      <w:rFonts w:ascii="Arial"/>
                      <w:sz w:val="21"/>
                    </w:rPr>
                  </w:pPr>
                </w:p>
                <w:p w14:paraId="76FDCD60">
                  <w:pPr>
                    <w:spacing w:before="5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+4736</w:t>
                  </w:r>
                </w:p>
              </w:tc>
              <w:tc>
                <w:tcPr>
                  <w:tcW w:w="732" w:type="dxa"/>
                  <w:vAlign w:val="top"/>
                </w:tcPr>
                <w:p w14:paraId="039775B3">
                  <w:pPr>
                    <w:spacing w:line="270" w:lineRule="auto"/>
                    <w:rPr>
                      <w:rFonts w:ascii="Arial"/>
                      <w:sz w:val="21"/>
                    </w:rPr>
                  </w:pPr>
                </w:p>
                <w:p w14:paraId="2AA596E3">
                  <w:pPr>
                    <w:spacing w:line="270" w:lineRule="auto"/>
                    <w:rPr>
                      <w:rFonts w:ascii="Arial"/>
                      <w:sz w:val="21"/>
                    </w:rPr>
                  </w:pPr>
                </w:p>
                <w:p w14:paraId="4BEF6975">
                  <w:pPr>
                    <w:spacing w:line="271" w:lineRule="auto"/>
                    <w:rPr>
                      <w:rFonts w:ascii="Arial"/>
                      <w:sz w:val="21"/>
                    </w:rPr>
                  </w:pPr>
                </w:p>
                <w:p w14:paraId="3CFCE9D3">
                  <w:pPr>
                    <w:spacing w:line="271" w:lineRule="auto"/>
                    <w:rPr>
                      <w:rFonts w:ascii="Arial"/>
                      <w:sz w:val="21"/>
                    </w:rPr>
                  </w:pPr>
                </w:p>
                <w:p w14:paraId="3944D550">
                  <w:pPr>
                    <w:pStyle w:val="6"/>
                    <w:spacing w:before="65" w:line="229" w:lineRule="auto"/>
                    <w:ind w:left="163"/>
                    <w:rPr>
                      <w:sz w:val="20"/>
                      <w:szCs w:val="20"/>
                    </w:rPr>
                  </w:pPr>
                  <w:r>
                    <w:rPr>
                      <w:spacing w:val="3"/>
                      <w:sz w:val="20"/>
                      <w:szCs w:val="20"/>
                    </w:rPr>
                    <w:t>泡酸</w:t>
                  </w:r>
                </w:p>
              </w:tc>
            </w:tr>
          </w:tbl>
          <w:p w14:paraId="54DA7563">
            <w:pPr>
              <w:spacing w:before="30" w:line="216" w:lineRule="auto"/>
              <w:ind w:left="539"/>
              <w:rPr>
                <w:rFonts w:ascii="楷体" w:hAnsi="楷体" w:eastAsia="楷体" w:cs="楷体"/>
                <w:sz w:val="20"/>
                <w:szCs w:val="20"/>
              </w:rPr>
            </w:pPr>
            <w:r>
              <w:rPr>
                <w:rFonts w:ascii="楷体" w:hAnsi="楷体" w:eastAsia="楷体" w:cs="楷体"/>
                <w:spacing w:val="9"/>
                <w:sz w:val="20"/>
                <w:szCs w:val="20"/>
              </w:rPr>
              <w:t>注：拆除原项目的</w:t>
            </w:r>
            <w:r>
              <w:rPr>
                <w:rFonts w:ascii="楷体" w:hAnsi="楷体" w:eastAsia="楷体" w:cs="楷体"/>
                <w:spacing w:val="-30"/>
                <w:sz w:val="20"/>
                <w:szCs w:val="20"/>
              </w:rPr>
              <w:t xml:space="preserve"> </w:t>
            </w:r>
            <w:r>
              <w:rPr>
                <w:rFonts w:ascii="Times New Roman" w:hAnsi="Times New Roman" w:eastAsia="Times New Roman" w:cs="Times New Roman"/>
                <w:spacing w:val="9"/>
                <w:sz w:val="20"/>
                <w:szCs w:val="20"/>
              </w:rPr>
              <w:t>4#</w:t>
            </w:r>
            <w:r>
              <w:rPr>
                <w:rFonts w:ascii="楷体" w:hAnsi="楷体" w:eastAsia="楷体" w:cs="楷体"/>
                <w:spacing w:val="9"/>
                <w:sz w:val="20"/>
                <w:szCs w:val="20"/>
              </w:rPr>
              <w:t>楼泡酸车间后泡酸胶桶对应有减少</w:t>
            </w:r>
            <w:r>
              <w:rPr>
                <w:rFonts w:ascii="Times New Roman" w:hAnsi="Times New Roman" w:eastAsia="Times New Roman" w:cs="Times New Roman"/>
                <w:spacing w:val="9"/>
                <w:sz w:val="20"/>
                <w:szCs w:val="20"/>
              </w:rPr>
              <w:t xml:space="preserve">500 </w:t>
            </w:r>
            <w:r>
              <w:rPr>
                <w:rFonts w:ascii="楷体" w:hAnsi="楷体" w:eastAsia="楷体" w:cs="楷体"/>
                <w:spacing w:val="9"/>
                <w:sz w:val="20"/>
                <w:szCs w:val="20"/>
              </w:rPr>
              <w:t>个。</w:t>
            </w:r>
          </w:p>
        </w:tc>
      </w:tr>
    </w:tbl>
    <w:p w14:paraId="6F366D37">
      <w:pPr>
        <w:rPr>
          <w:rFonts w:ascii="Arial"/>
          <w:sz w:val="21"/>
        </w:rPr>
      </w:pPr>
    </w:p>
    <w:p w14:paraId="1521DA27">
      <w:pPr>
        <w:rPr>
          <w:rFonts w:ascii="Arial" w:hAnsi="Arial" w:eastAsia="Arial" w:cs="Arial"/>
          <w:sz w:val="21"/>
          <w:szCs w:val="21"/>
        </w:rPr>
        <w:sectPr>
          <w:footerReference r:id="rId31" w:type="default"/>
          <w:pgSz w:w="11906" w:h="16839"/>
          <w:pgMar w:top="400" w:right="1451" w:bottom="1240" w:left="1451" w:header="0" w:footer="1078" w:gutter="0"/>
          <w:cols w:space="720" w:num="1"/>
        </w:sectPr>
      </w:pPr>
    </w:p>
    <w:p w14:paraId="66ADE385">
      <w:pPr>
        <w:spacing w:before="19"/>
      </w:pPr>
    </w:p>
    <w:p w14:paraId="0066B3F1">
      <w:pPr>
        <w:spacing w:before="19"/>
      </w:pPr>
    </w:p>
    <w:p w14:paraId="4190AFDF">
      <w:pPr>
        <w:spacing w:before="19"/>
      </w:pPr>
    </w:p>
    <w:p w14:paraId="1CCABE3C">
      <w:pPr>
        <w:spacing w:before="18"/>
      </w:pPr>
    </w:p>
    <w:p w14:paraId="58098A23">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7DBD1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5" w:hRule="atLeast"/>
        </w:trPr>
        <w:tc>
          <w:tcPr>
            <w:tcW w:w="778" w:type="dxa"/>
            <w:tcBorders>
              <w:right w:val="single" w:color="000000" w:sz="2" w:space="0"/>
            </w:tcBorders>
            <w:vAlign w:val="top"/>
          </w:tcPr>
          <w:p w14:paraId="3CC10FA7">
            <w:pPr>
              <w:rPr>
                <w:rFonts w:ascii="Arial"/>
                <w:sz w:val="21"/>
              </w:rPr>
            </w:pPr>
          </w:p>
        </w:tc>
        <w:tc>
          <w:tcPr>
            <w:tcW w:w="8210" w:type="dxa"/>
            <w:tcBorders>
              <w:left w:val="single" w:color="000000" w:sz="2" w:space="0"/>
            </w:tcBorders>
            <w:vAlign w:val="top"/>
          </w:tcPr>
          <w:p w14:paraId="353537DF">
            <w:pPr>
              <w:pStyle w:val="6"/>
              <w:spacing w:before="41" w:line="359" w:lineRule="auto"/>
              <w:ind w:left="109" w:right="43" w:firstLine="480"/>
              <w:jc w:val="both"/>
            </w:pPr>
            <w:r>
              <w:rPr>
                <w:spacing w:val="2"/>
              </w:rPr>
              <w:t>本项目原料宝石主要类型为海蓝宝、草莓晶、发晶、云母、闪光石、粉</w:t>
            </w:r>
            <w:r>
              <w:rPr>
                <w:spacing w:val="3"/>
              </w:rPr>
              <w:t xml:space="preserve"> </w:t>
            </w:r>
            <w:r>
              <w:rPr>
                <w:spacing w:val="2"/>
              </w:rPr>
              <w:t>晶、紫晶等泡酸工序主要生产设备为已经布置在泡酸车间内的胶桶。项目共</w:t>
            </w:r>
            <w:r>
              <w:t xml:space="preserve"> </w:t>
            </w:r>
            <w:r>
              <w:rPr>
                <w:spacing w:val="1"/>
              </w:rPr>
              <w:t>有</w:t>
            </w:r>
            <w:r>
              <w:rPr>
                <w:spacing w:val="-32"/>
              </w:rPr>
              <w:t xml:space="preserve"> </w:t>
            </w:r>
            <w:r>
              <w:rPr>
                <w:rFonts w:ascii="Times New Roman" w:hAnsi="Times New Roman" w:eastAsia="Times New Roman" w:cs="Times New Roman"/>
                <w:spacing w:val="1"/>
              </w:rPr>
              <w:t xml:space="preserve">187 </w:t>
            </w:r>
            <w:r>
              <w:rPr>
                <w:spacing w:val="1"/>
              </w:rPr>
              <w:t>个泡酸车间，单个车间的生产全流程为平均最大泡酸浸泡时间</w:t>
            </w:r>
            <w:r>
              <w:rPr>
                <w:spacing w:val="-43"/>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7"/>
              </w:rPr>
              <w:t xml:space="preserve"> </w:t>
            </w:r>
            <w:r>
              <w:t xml:space="preserve">天， </w:t>
            </w:r>
            <w:r>
              <w:rPr>
                <w:spacing w:val="-2"/>
              </w:rPr>
              <w:t>排</w:t>
            </w:r>
            <w:r>
              <w:rPr>
                <w:spacing w:val="-24"/>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8"/>
                <w:w w:val="101"/>
              </w:rPr>
              <w:t xml:space="preserve"> </w:t>
            </w:r>
            <w:r>
              <w:rPr>
                <w:spacing w:val="-2"/>
              </w:rPr>
              <w:t>次废酸；泡酸后高压冲洗和浸泡清洗，平均最大清洗时间</w:t>
            </w:r>
            <w:r>
              <w:rPr>
                <w:spacing w:val="-48"/>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rPr>
              <w:t xml:space="preserve"> </w:t>
            </w:r>
            <w:r>
              <w:rPr>
                <w:spacing w:val="-2"/>
              </w:rPr>
              <w:t>天，排</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8"/>
                <w:w w:val="101"/>
              </w:rPr>
              <w:t xml:space="preserve"> </w:t>
            </w:r>
            <w:r>
              <w:rPr>
                <w:spacing w:val="-2"/>
              </w:rPr>
              <w:t>次</w:t>
            </w:r>
            <w:r>
              <w:t xml:space="preserve"> </w:t>
            </w:r>
            <w:r>
              <w:rPr>
                <w:spacing w:val="-6"/>
              </w:rPr>
              <w:t>冲洗废水和</w:t>
            </w:r>
            <w:r>
              <w:rPr>
                <w:spacing w:val="-32"/>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5"/>
                <w:w w:val="101"/>
              </w:rPr>
              <w:t xml:space="preserve"> </w:t>
            </w:r>
            <w:r>
              <w:rPr>
                <w:spacing w:val="-6"/>
              </w:rPr>
              <w:t>次清洗废水；泡碱平均最大浸泡时间为</w:t>
            </w:r>
            <w:r>
              <w:rPr>
                <w:spacing w:val="-56"/>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4"/>
              </w:rPr>
              <w:t xml:space="preserve"> </w:t>
            </w:r>
            <w:r>
              <w:rPr>
                <w:spacing w:val="-6"/>
              </w:rPr>
              <w:t>天，排</w:t>
            </w:r>
            <w:r>
              <w:rPr>
                <w:spacing w:val="-49"/>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6"/>
                <w:w w:val="101"/>
              </w:rPr>
              <w:t xml:space="preserve"> </w:t>
            </w:r>
            <w:r>
              <w:rPr>
                <w:spacing w:val="-6"/>
              </w:rPr>
              <w:t>次泡碱废水；</w:t>
            </w:r>
            <w:r>
              <w:t xml:space="preserve"> </w:t>
            </w:r>
            <w:r>
              <w:rPr>
                <w:spacing w:val="1"/>
              </w:rPr>
              <w:t>泡碱后清洗，平均最大浸泡清洗时间为</w:t>
            </w:r>
            <w:r>
              <w:rPr>
                <w:spacing w:val="-48"/>
              </w:rPr>
              <w:t xml:space="preserve"> </w:t>
            </w:r>
            <w:r>
              <w:rPr>
                <w:rFonts w:ascii="Times New Roman" w:hAnsi="Times New Roman" w:eastAsia="Times New Roman" w:cs="Times New Roman"/>
                <w:spacing w:val="1"/>
              </w:rPr>
              <w:t xml:space="preserve">6 </w:t>
            </w:r>
            <w:r>
              <w:rPr>
                <w:spacing w:val="1"/>
              </w:rPr>
              <w:t>天，排</w:t>
            </w:r>
            <w:r>
              <w:rPr>
                <w:spacing w:val="-48"/>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18"/>
              </w:rPr>
              <w:t xml:space="preserve"> </w:t>
            </w:r>
            <w:r>
              <w:rPr>
                <w:spacing w:val="1"/>
              </w:rPr>
              <w:t>次</w:t>
            </w:r>
            <w:r>
              <w:t xml:space="preserve">清洗废水。因此泡酸生 </w:t>
            </w:r>
            <w:r>
              <w:rPr>
                <w:spacing w:val="-2"/>
              </w:rPr>
              <w:t>产全流程周期约</w:t>
            </w:r>
            <w:r>
              <w:rPr>
                <w:spacing w:val="-47"/>
              </w:rPr>
              <w:t xml:space="preserve"> </w:t>
            </w:r>
            <w:r>
              <w:rPr>
                <w:rFonts w:ascii="Times New Roman" w:hAnsi="Times New Roman" w:eastAsia="Times New Roman" w:cs="Times New Roman"/>
                <w:spacing w:val="-2"/>
              </w:rPr>
              <w:t xml:space="preserve">21 </w:t>
            </w:r>
            <w:r>
              <w:rPr>
                <w:spacing w:val="-2"/>
              </w:rPr>
              <w:t>天。</w:t>
            </w:r>
          </w:p>
          <w:p w14:paraId="681BD847">
            <w:pPr>
              <w:pStyle w:val="6"/>
              <w:spacing w:before="5" w:line="357" w:lineRule="auto"/>
              <w:ind w:left="104" w:right="102" w:firstLine="487"/>
              <w:jc w:val="both"/>
            </w:pPr>
            <w:r>
              <w:t>单个车间设置</w:t>
            </w:r>
            <w:r>
              <w:rPr>
                <w:spacing w:val="-55"/>
              </w:rPr>
              <w:t xml:space="preserve"> </w:t>
            </w:r>
            <w:r>
              <w:rPr>
                <w:rFonts w:ascii="Times New Roman" w:hAnsi="Times New Roman" w:eastAsia="Times New Roman" w:cs="Times New Roman"/>
              </w:rPr>
              <w:t xml:space="preserve">28 </w:t>
            </w:r>
            <w:r>
              <w:t>个胶桶，根据工艺流程分析可知，单</w:t>
            </w:r>
            <w:r>
              <w:rPr>
                <w:spacing w:val="-1"/>
              </w:rPr>
              <w:t>桶（尺寸</w:t>
            </w:r>
            <w:r>
              <w:rPr>
                <w:rFonts w:ascii="Times New Roman" w:hAnsi="Times New Roman" w:eastAsia="Times New Roman" w:cs="Times New Roman"/>
                <w:spacing w:val="-1"/>
              </w:rPr>
              <w:t>Φ0.58×0.</w:t>
            </w:r>
            <w:r>
              <w:rPr>
                <w:rFonts w:ascii="Times New Roman" w:hAnsi="Times New Roman" w:eastAsia="Times New Roman" w:cs="Times New Roman"/>
              </w:rPr>
              <w:t xml:space="preserve"> </w:t>
            </w:r>
            <w:r>
              <w:rPr>
                <w:rFonts w:ascii="Times New Roman" w:hAnsi="Times New Roman" w:eastAsia="Times New Roman" w:cs="Times New Roman"/>
                <w:spacing w:val="-2"/>
              </w:rPr>
              <w:t>92m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0.24m</w:t>
            </w:r>
            <w:r>
              <w:rPr>
                <w:spacing w:val="-2"/>
              </w:rPr>
              <w:t>³</w:t>
            </w:r>
            <w:r>
              <w:rPr>
                <w:spacing w:val="-85"/>
              </w:rPr>
              <w:t xml:space="preserve"> </w:t>
            </w:r>
            <w:r>
              <w:rPr>
                <w:spacing w:val="-2"/>
              </w:rPr>
              <w:t>) 单桶酸液、碱液、</w:t>
            </w:r>
            <w:r>
              <w:rPr>
                <w:spacing w:val="-3"/>
              </w:rPr>
              <w:t>清洗液的投加量为胶桶容积的</w:t>
            </w:r>
            <w:r>
              <w:rPr>
                <w:spacing w:val="-49"/>
              </w:rPr>
              <w:t xml:space="preserve"> </w:t>
            </w:r>
            <w:r>
              <w:rPr>
                <w:rFonts w:ascii="Times New Roman" w:hAnsi="Times New Roman" w:eastAsia="Times New Roman" w:cs="Times New Roman"/>
                <w:spacing w:val="-3"/>
              </w:rPr>
              <w:t>60%</w:t>
            </w:r>
            <w:r>
              <w:rPr>
                <w:spacing w:val="-3"/>
              </w:rPr>
              <w:t>（约</w:t>
            </w:r>
            <w:r>
              <w:rPr>
                <w:spacing w:val="-52"/>
              </w:rPr>
              <w:t xml:space="preserve"> </w:t>
            </w:r>
            <w:r>
              <w:rPr>
                <w:rFonts w:ascii="Times New Roman" w:hAnsi="Times New Roman" w:eastAsia="Times New Roman" w:cs="Times New Roman"/>
                <w:spacing w:val="-3"/>
              </w:rPr>
              <w:t>0.1</w:t>
            </w:r>
            <w:r>
              <w:rPr>
                <w:rFonts w:ascii="Times New Roman" w:hAnsi="Times New Roman" w:eastAsia="Times New Roman" w:cs="Times New Roman"/>
              </w:rPr>
              <w:t xml:space="preserve"> 44m</w:t>
            </w:r>
            <w:r>
              <w:rPr>
                <w:rFonts w:ascii="Times New Roman" w:hAnsi="Times New Roman" w:eastAsia="Times New Roman" w:cs="Times New Roman"/>
                <w:position w:val="8"/>
                <w:sz w:val="15"/>
                <w:szCs w:val="15"/>
              </w:rPr>
              <w:t xml:space="preserve">3 </w:t>
            </w:r>
            <w:r>
              <w:rPr>
                <w:spacing w:val="-9"/>
              </w:rPr>
              <w:t>），</w:t>
            </w:r>
            <w:r>
              <w:t>宝石的投加量约为</w:t>
            </w:r>
            <w:r>
              <w:rPr>
                <w:spacing w:val="-32"/>
              </w:rPr>
              <w:t xml:space="preserve"> </w:t>
            </w:r>
            <w:r>
              <w:rPr>
                <w:rFonts w:ascii="Times New Roman" w:hAnsi="Times New Roman" w:eastAsia="Times New Roman" w:cs="Times New Roman"/>
              </w:rPr>
              <w:t>150kg</w:t>
            </w:r>
            <w:r>
              <w:t>（规格为</w:t>
            </w:r>
            <w:r>
              <w:rPr>
                <w:spacing w:val="-27"/>
              </w:rPr>
              <w:t xml:space="preserve"> </w:t>
            </w:r>
            <w:r>
              <w:rPr>
                <w:rFonts w:ascii="Times New Roman" w:hAnsi="Times New Roman" w:eastAsia="Times New Roman" w:cs="Times New Roman"/>
              </w:rPr>
              <w:t>15kg/</w:t>
            </w:r>
            <w:r>
              <w:t>袋的原料宝</w:t>
            </w:r>
            <w:r>
              <w:rPr>
                <w:spacing w:val="-1"/>
              </w:rPr>
              <w:t>石</w:t>
            </w:r>
            <w:r>
              <w:rPr>
                <w:spacing w:val="-29"/>
              </w:rPr>
              <w:t xml:space="preserve"> </w:t>
            </w:r>
            <w:r>
              <w:rPr>
                <w:rFonts w:ascii="Times New Roman" w:hAnsi="Times New Roman" w:eastAsia="Times New Roman" w:cs="Times New Roman"/>
                <w:spacing w:val="-1"/>
              </w:rPr>
              <w:t xml:space="preserve">10 </w:t>
            </w:r>
            <w:r>
              <w:rPr>
                <w:spacing w:val="-1"/>
              </w:rPr>
              <w:t>袋）。本</w:t>
            </w:r>
            <w:r>
              <w:t xml:space="preserve"> </w:t>
            </w:r>
            <w:r>
              <w:rPr>
                <w:spacing w:val="-1"/>
              </w:rPr>
              <w:t>项目年生产时间为</w:t>
            </w:r>
            <w:r>
              <w:rPr>
                <w:spacing w:val="-40"/>
              </w:rPr>
              <w:t xml:space="preserve"> </w:t>
            </w:r>
            <w:r>
              <w:rPr>
                <w:rFonts w:ascii="Times New Roman" w:hAnsi="Times New Roman" w:eastAsia="Times New Roman" w:cs="Times New Roman"/>
                <w:spacing w:val="-1"/>
              </w:rPr>
              <w:t xml:space="preserve">300 </w:t>
            </w:r>
            <w:r>
              <w:rPr>
                <w:spacing w:val="-1"/>
              </w:rPr>
              <w:t>天，产品产能核算详见下表：</w:t>
            </w:r>
          </w:p>
          <w:p w14:paraId="3880B594">
            <w:pPr>
              <w:pStyle w:val="6"/>
              <w:spacing w:before="125" w:line="219" w:lineRule="auto"/>
              <w:ind w:left="1990"/>
            </w:pPr>
            <w:r>
              <w:rPr>
                <w:b/>
                <w:bCs/>
                <w:spacing w:val="-2"/>
              </w:rPr>
              <w:t>表</w:t>
            </w:r>
            <w:r>
              <w:rPr>
                <w:spacing w:val="-52"/>
              </w:rPr>
              <w:t xml:space="preserve"> </w:t>
            </w:r>
            <w:r>
              <w:rPr>
                <w:rFonts w:ascii="Times New Roman" w:hAnsi="Times New Roman" w:eastAsia="Times New Roman" w:cs="Times New Roman"/>
                <w:b/>
                <w:bCs/>
                <w:spacing w:val="-2"/>
              </w:rPr>
              <w:t xml:space="preserve">2-7    </w:t>
            </w:r>
            <w:r>
              <w:rPr>
                <w:b/>
                <w:bCs/>
                <w:spacing w:val="-2"/>
              </w:rPr>
              <w:t>本项目主要生产设备产能核算表</w:t>
            </w:r>
          </w:p>
          <w:p w14:paraId="1D2D6323">
            <w:pPr>
              <w:spacing w:line="148" w:lineRule="exact"/>
            </w:pPr>
          </w:p>
          <w:tbl>
            <w:tblPr>
              <w:tblStyle w:val="5"/>
              <w:tblW w:w="7971" w:type="dxa"/>
              <w:tblInd w:w="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9"/>
              <w:gridCol w:w="724"/>
              <w:gridCol w:w="836"/>
              <w:gridCol w:w="823"/>
              <w:gridCol w:w="736"/>
              <w:gridCol w:w="674"/>
              <w:gridCol w:w="944"/>
              <w:gridCol w:w="876"/>
              <w:gridCol w:w="855"/>
              <w:gridCol w:w="994"/>
            </w:tblGrid>
            <w:tr w14:paraId="4EE9A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509" w:type="dxa"/>
                  <w:textDirection w:val="tbRlV"/>
                  <w:vAlign w:val="top"/>
                </w:tcPr>
                <w:p w14:paraId="7DCAF3D1">
                  <w:pPr>
                    <w:pStyle w:val="6"/>
                    <w:spacing w:before="145" w:line="218" w:lineRule="auto"/>
                    <w:ind w:left="68"/>
                    <w:rPr>
                      <w:sz w:val="20"/>
                      <w:szCs w:val="20"/>
                    </w:rPr>
                  </w:pPr>
                  <w:r>
                    <w:rPr>
                      <w:spacing w:val="8"/>
                      <w:sz w:val="20"/>
                      <w:szCs w:val="20"/>
                    </w:rPr>
                    <w:t>设</w:t>
                  </w:r>
                  <w:r>
                    <w:rPr>
                      <w:spacing w:val="-34"/>
                      <w:sz w:val="20"/>
                      <w:szCs w:val="20"/>
                    </w:rPr>
                    <w:t xml:space="preserve"> </w:t>
                  </w:r>
                  <w:r>
                    <w:rPr>
                      <w:spacing w:val="8"/>
                      <w:sz w:val="20"/>
                      <w:szCs w:val="20"/>
                    </w:rPr>
                    <w:t>备</w:t>
                  </w:r>
                  <w:r>
                    <w:rPr>
                      <w:spacing w:val="-37"/>
                      <w:sz w:val="20"/>
                      <w:szCs w:val="20"/>
                    </w:rPr>
                    <w:t xml:space="preserve"> </w:t>
                  </w:r>
                  <w:r>
                    <w:rPr>
                      <w:spacing w:val="8"/>
                      <w:sz w:val="20"/>
                      <w:szCs w:val="20"/>
                    </w:rPr>
                    <w:t>名</w:t>
                  </w:r>
                  <w:r>
                    <w:rPr>
                      <w:spacing w:val="-35"/>
                      <w:sz w:val="20"/>
                      <w:szCs w:val="20"/>
                    </w:rPr>
                    <w:t xml:space="preserve"> </w:t>
                  </w:r>
                  <w:r>
                    <w:rPr>
                      <w:spacing w:val="8"/>
                      <w:sz w:val="20"/>
                      <w:szCs w:val="20"/>
                    </w:rPr>
                    <w:t>称</w:t>
                  </w:r>
                </w:p>
              </w:tc>
              <w:tc>
                <w:tcPr>
                  <w:tcW w:w="724" w:type="dxa"/>
                  <w:vAlign w:val="top"/>
                </w:tcPr>
                <w:p w14:paraId="0D211260">
                  <w:pPr>
                    <w:pStyle w:val="6"/>
                    <w:spacing w:before="205" w:line="228" w:lineRule="auto"/>
                    <w:ind w:left="146"/>
                    <w:rPr>
                      <w:sz w:val="20"/>
                      <w:szCs w:val="20"/>
                    </w:rPr>
                  </w:pPr>
                  <w:r>
                    <w:rPr>
                      <w:spacing w:val="3"/>
                      <w:sz w:val="20"/>
                      <w:szCs w:val="20"/>
                    </w:rPr>
                    <w:t>单桶</w:t>
                  </w:r>
                </w:p>
                <w:p w14:paraId="342C3091">
                  <w:pPr>
                    <w:pStyle w:val="6"/>
                    <w:spacing w:before="25" w:line="228" w:lineRule="auto"/>
                    <w:ind w:left="147"/>
                    <w:rPr>
                      <w:sz w:val="20"/>
                      <w:szCs w:val="20"/>
                    </w:rPr>
                  </w:pPr>
                  <w:r>
                    <w:rPr>
                      <w:spacing w:val="3"/>
                      <w:sz w:val="20"/>
                      <w:szCs w:val="20"/>
                    </w:rPr>
                    <w:t>容积</w:t>
                  </w:r>
                </w:p>
                <w:p w14:paraId="7BDB63B3">
                  <w:pPr>
                    <w:pStyle w:val="6"/>
                    <w:spacing w:before="26"/>
                    <w:ind w:left="59"/>
                    <w:rPr>
                      <w:sz w:val="20"/>
                      <w:szCs w:val="20"/>
                    </w:rPr>
                  </w:pPr>
                  <w:r>
                    <w:rPr>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position w:val="6"/>
                      <w:sz w:val="13"/>
                      <w:szCs w:val="13"/>
                    </w:rPr>
                    <w:t>3</w:t>
                  </w:r>
                  <w:r>
                    <w:rPr>
                      <w:sz w:val="20"/>
                      <w:szCs w:val="20"/>
                    </w:rPr>
                    <w:t>）</w:t>
                  </w:r>
                </w:p>
              </w:tc>
              <w:tc>
                <w:tcPr>
                  <w:tcW w:w="836" w:type="dxa"/>
                  <w:vAlign w:val="top"/>
                </w:tcPr>
                <w:p w14:paraId="0F28452E">
                  <w:pPr>
                    <w:pStyle w:val="6"/>
                    <w:spacing w:before="69" w:line="228" w:lineRule="auto"/>
                    <w:ind w:left="100"/>
                    <w:rPr>
                      <w:sz w:val="20"/>
                      <w:szCs w:val="20"/>
                    </w:rPr>
                  </w:pPr>
                  <w:r>
                    <w:rPr>
                      <w:spacing w:val="6"/>
                      <w:sz w:val="20"/>
                      <w:szCs w:val="20"/>
                    </w:rPr>
                    <w:t>投加酸</w:t>
                  </w:r>
                </w:p>
                <w:p w14:paraId="76879EE7">
                  <w:pPr>
                    <w:pStyle w:val="6"/>
                    <w:spacing w:before="26" w:line="228" w:lineRule="auto"/>
                    <w:ind w:left="99"/>
                    <w:rPr>
                      <w:sz w:val="20"/>
                      <w:szCs w:val="20"/>
                    </w:rPr>
                  </w:pPr>
                  <w:r>
                    <w:rPr>
                      <w:spacing w:val="6"/>
                      <w:sz w:val="20"/>
                      <w:szCs w:val="20"/>
                    </w:rPr>
                    <w:t>液体积</w:t>
                  </w:r>
                </w:p>
                <w:p w14:paraId="5221B1E7">
                  <w:pPr>
                    <w:pStyle w:val="6"/>
                    <w:spacing w:before="23" w:line="241" w:lineRule="auto"/>
                    <w:ind w:left="172"/>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5"/>
                      <w:sz w:val="13"/>
                      <w:szCs w:val="13"/>
                    </w:rPr>
                    <w:t>3</w:t>
                  </w:r>
                  <w:r>
                    <w:rPr>
                      <w:rFonts w:ascii="Times New Roman" w:hAnsi="Times New Roman" w:eastAsia="Times New Roman" w:cs="Times New Roman"/>
                      <w:spacing w:val="1"/>
                      <w:sz w:val="20"/>
                      <w:szCs w:val="20"/>
                    </w:rPr>
                    <w:t>/</w:t>
                  </w:r>
                </w:p>
                <w:p w14:paraId="45677C6D">
                  <w:pPr>
                    <w:pStyle w:val="6"/>
                    <w:spacing w:before="12" w:line="228" w:lineRule="auto"/>
                    <w:ind w:left="205"/>
                    <w:rPr>
                      <w:sz w:val="20"/>
                      <w:szCs w:val="20"/>
                    </w:rPr>
                  </w:pPr>
                  <w:r>
                    <w:rPr>
                      <w:spacing w:val="-1"/>
                      <w:sz w:val="20"/>
                      <w:szCs w:val="20"/>
                    </w:rPr>
                    <w:t>桶）</w:t>
                  </w:r>
                </w:p>
              </w:tc>
              <w:tc>
                <w:tcPr>
                  <w:tcW w:w="823" w:type="dxa"/>
                  <w:vAlign w:val="top"/>
                </w:tcPr>
                <w:p w14:paraId="4C3774DC">
                  <w:pPr>
                    <w:pStyle w:val="6"/>
                    <w:spacing w:before="206" w:line="228" w:lineRule="auto"/>
                    <w:ind w:left="97"/>
                    <w:rPr>
                      <w:sz w:val="20"/>
                      <w:szCs w:val="20"/>
                    </w:rPr>
                  </w:pPr>
                  <w:r>
                    <w:rPr>
                      <w:spacing w:val="6"/>
                      <w:sz w:val="20"/>
                      <w:szCs w:val="20"/>
                    </w:rPr>
                    <w:t>投加宝</w:t>
                  </w:r>
                </w:p>
                <w:p w14:paraId="42096062">
                  <w:pPr>
                    <w:pStyle w:val="6"/>
                    <w:spacing w:before="23" w:line="231" w:lineRule="auto"/>
                    <w:ind w:left="95"/>
                    <w:rPr>
                      <w:sz w:val="20"/>
                      <w:szCs w:val="20"/>
                    </w:rPr>
                  </w:pPr>
                  <w:r>
                    <w:rPr>
                      <w:spacing w:val="6"/>
                      <w:sz w:val="20"/>
                      <w:szCs w:val="20"/>
                    </w:rPr>
                    <w:t>石重量</w:t>
                  </w:r>
                </w:p>
                <w:p w14:paraId="2C3B349C">
                  <w:pPr>
                    <w:pStyle w:val="6"/>
                    <w:spacing w:before="23" w:line="228" w:lineRule="auto"/>
                    <w:ind w:left="61"/>
                    <w:rPr>
                      <w:sz w:val="20"/>
                      <w:szCs w:val="20"/>
                    </w:rPr>
                  </w:pPr>
                  <w:r>
                    <w:rPr>
                      <w:spacing w:val="1"/>
                      <w:sz w:val="20"/>
                      <w:szCs w:val="20"/>
                    </w:rPr>
                    <w:t>（</w:t>
                  </w:r>
                  <w:r>
                    <w:rPr>
                      <w:rFonts w:ascii="Times New Roman" w:hAnsi="Times New Roman" w:eastAsia="Times New Roman" w:cs="Times New Roman"/>
                      <w:spacing w:val="1"/>
                      <w:sz w:val="20"/>
                      <w:szCs w:val="20"/>
                    </w:rPr>
                    <w:t>t/</w:t>
                  </w:r>
                  <w:r>
                    <w:rPr>
                      <w:spacing w:val="1"/>
                      <w:sz w:val="20"/>
                      <w:szCs w:val="20"/>
                    </w:rPr>
                    <w:t>桶）</w:t>
                  </w:r>
                </w:p>
              </w:tc>
              <w:tc>
                <w:tcPr>
                  <w:tcW w:w="736" w:type="dxa"/>
                  <w:vAlign w:val="top"/>
                </w:tcPr>
                <w:p w14:paraId="155DA07F">
                  <w:pPr>
                    <w:pStyle w:val="6"/>
                    <w:spacing w:before="68" w:line="228" w:lineRule="auto"/>
                    <w:ind w:left="158"/>
                    <w:rPr>
                      <w:sz w:val="20"/>
                      <w:szCs w:val="20"/>
                    </w:rPr>
                  </w:pPr>
                  <w:r>
                    <w:rPr>
                      <w:spacing w:val="3"/>
                      <w:sz w:val="20"/>
                      <w:szCs w:val="20"/>
                    </w:rPr>
                    <w:t>生产</w:t>
                  </w:r>
                </w:p>
                <w:p w14:paraId="6213D13F">
                  <w:pPr>
                    <w:pStyle w:val="6"/>
                    <w:spacing w:before="27" w:line="250" w:lineRule="auto"/>
                    <w:ind w:left="85" w:right="72" w:firstLine="72"/>
                    <w:jc w:val="both"/>
                    <w:rPr>
                      <w:sz w:val="20"/>
                      <w:szCs w:val="20"/>
                    </w:rPr>
                  </w:pPr>
                  <w:r>
                    <w:rPr>
                      <w:spacing w:val="4"/>
                      <w:sz w:val="20"/>
                      <w:szCs w:val="20"/>
                    </w:rPr>
                    <w:t>周期</w:t>
                  </w:r>
                  <w:r>
                    <w:rPr>
                      <w:sz w:val="20"/>
                      <w:szCs w:val="20"/>
                    </w:rPr>
                    <w:t xml:space="preserve">  </w:t>
                  </w:r>
                  <w:r>
                    <w:rPr>
                      <w:spacing w:val="1"/>
                      <w:sz w:val="20"/>
                      <w:szCs w:val="20"/>
                    </w:rPr>
                    <w:t>（</w:t>
                  </w:r>
                  <w:r>
                    <w:rPr>
                      <w:rFonts w:ascii="Times New Roman" w:hAnsi="Times New Roman" w:eastAsia="Times New Roman" w:cs="Times New Roman"/>
                      <w:spacing w:val="1"/>
                      <w:sz w:val="20"/>
                      <w:szCs w:val="20"/>
                    </w:rPr>
                    <w:t>d/</w:t>
                  </w:r>
                  <w:r>
                    <w:rPr>
                      <w:spacing w:val="1"/>
                      <w:sz w:val="20"/>
                      <w:szCs w:val="20"/>
                    </w:rPr>
                    <w:t>批</w:t>
                  </w:r>
                  <w:r>
                    <w:rPr>
                      <w:spacing w:val="2"/>
                      <w:sz w:val="20"/>
                      <w:szCs w:val="20"/>
                    </w:rPr>
                    <w:t xml:space="preserve"> </w:t>
                  </w:r>
                  <w:r>
                    <w:rPr>
                      <w:spacing w:val="36"/>
                      <w:sz w:val="20"/>
                      <w:szCs w:val="20"/>
                    </w:rPr>
                    <w:t>次）</w:t>
                  </w:r>
                </w:p>
              </w:tc>
              <w:tc>
                <w:tcPr>
                  <w:tcW w:w="674" w:type="dxa"/>
                  <w:vAlign w:val="top"/>
                </w:tcPr>
                <w:p w14:paraId="7D245BC6">
                  <w:pPr>
                    <w:pStyle w:val="6"/>
                    <w:spacing w:before="68" w:line="228" w:lineRule="auto"/>
                    <w:ind w:left="128"/>
                    <w:rPr>
                      <w:sz w:val="20"/>
                      <w:szCs w:val="20"/>
                    </w:rPr>
                  </w:pPr>
                  <w:r>
                    <w:rPr>
                      <w:spacing w:val="3"/>
                      <w:sz w:val="20"/>
                      <w:szCs w:val="20"/>
                    </w:rPr>
                    <w:t>生产</w:t>
                  </w:r>
                </w:p>
                <w:p w14:paraId="5595D1EE">
                  <w:pPr>
                    <w:pStyle w:val="6"/>
                    <w:spacing w:before="27" w:line="251" w:lineRule="auto"/>
                    <w:ind w:left="112" w:right="97" w:firstLine="23"/>
                    <w:rPr>
                      <w:rFonts w:ascii="Times New Roman" w:hAnsi="Times New Roman" w:eastAsia="Times New Roman" w:cs="Times New Roman"/>
                      <w:sz w:val="20"/>
                      <w:szCs w:val="20"/>
                    </w:rPr>
                  </w:pPr>
                  <w:r>
                    <w:rPr>
                      <w:spacing w:val="-1"/>
                      <w:sz w:val="20"/>
                      <w:szCs w:val="20"/>
                    </w:rPr>
                    <w:t>时间</w:t>
                  </w:r>
                  <w:r>
                    <w:rPr>
                      <w:sz w:val="20"/>
                      <w:szCs w:val="20"/>
                    </w:rPr>
                    <w:t xml:space="preserve"> </w:t>
                  </w:r>
                  <w:r>
                    <w:rPr>
                      <w:spacing w:val="1"/>
                      <w:sz w:val="20"/>
                      <w:szCs w:val="20"/>
                    </w:rPr>
                    <w:t>（</w:t>
                  </w:r>
                  <w:r>
                    <w:rPr>
                      <w:rFonts w:ascii="Times New Roman" w:hAnsi="Times New Roman" w:eastAsia="Times New Roman" w:cs="Times New Roman"/>
                      <w:spacing w:val="1"/>
                      <w:sz w:val="20"/>
                      <w:szCs w:val="20"/>
                    </w:rPr>
                    <w:t>d/a</w:t>
                  </w:r>
                </w:p>
                <w:p w14:paraId="324DF7DC">
                  <w:pPr>
                    <w:pStyle w:val="6"/>
                    <w:spacing w:line="230" w:lineRule="auto"/>
                    <w:ind w:left="254"/>
                    <w:rPr>
                      <w:sz w:val="20"/>
                      <w:szCs w:val="20"/>
                    </w:rPr>
                  </w:pPr>
                  <w:r>
                    <w:rPr>
                      <w:sz w:val="20"/>
                      <w:szCs w:val="20"/>
                    </w:rPr>
                    <w:t>)</w:t>
                  </w:r>
                </w:p>
              </w:tc>
              <w:tc>
                <w:tcPr>
                  <w:tcW w:w="944" w:type="dxa"/>
                  <w:vAlign w:val="top"/>
                </w:tcPr>
                <w:p w14:paraId="63FB9FAB">
                  <w:pPr>
                    <w:pStyle w:val="6"/>
                    <w:spacing w:before="68" w:line="228" w:lineRule="auto"/>
                    <w:ind w:left="160"/>
                    <w:rPr>
                      <w:sz w:val="20"/>
                      <w:szCs w:val="20"/>
                    </w:rPr>
                  </w:pPr>
                  <w:r>
                    <w:rPr>
                      <w:spacing w:val="6"/>
                      <w:sz w:val="20"/>
                      <w:szCs w:val="20"/>
                    </w:rPr>
                    <w:t>单桶最</w:t>
                  </w:r>
                </w:p>
                <w:p w14:paraId="175EC29A">
                  <w:pPr>
                    <w:pStyle w:val="6"/>
                    <w:spacing w:before="27" w:line="251" w:lineRule="auto"/>
                    <w:ind w:left="54" w:right="46" w:firstLine="106"/>
                    <w:rPr>
                      <w:sz w:val="20"/>
                      <w:szCs w:val="20"/>
                    </w:rPr>
                  </w:pPr>
                  <w:r>
                    <w:rPr>
                      <w:spacing w:val="6"/>
                      <w:sz w:val="20"/>
                      <w:szCs w:val="20"/>
                    </w:rPr>
                    <w:t>大生产</w:t>
                  </w:r>
                  <w:r>
                    <w:rPr>
                      <w:sz w:val="20"/>
                      <w:szCs w:val="20"/>
                    </w:rPr>
                    <w:t xml:space="preserve">  </w:t>
                  </w:r>
                  <w:r>
                    <w:rPr>
                      <w:spacing w:val="7"/>
                      <w:sz w:val="20"/>
                      <w:szCs w:val="20"/>
                    </w:rPr>
                    <w:t>批次（批</w:t>
                  </w:r>
                </w:p>
                <w:p w14:paraId="7D8AB2DD">
                  <w:pPr>
                    <w:pStyle w:val="6"/>
                    <w:spacing w:line="227" w:lineRule="auto"/>
                    <w:ind w:left="135"/>
                    <w:rPr>
                      <w:sz w:val="20"/>
                      <w:szCs w:val="20"/>
                    </w:rPr>
                  </w:pPr>
                  <w:r>
                    <w:rPr>
                      <w:spacing w:val="2"/>
                      <w:sz w:val="20"/>
                      <w:szCs w:val="20"/>
                    </w:rPr>
                    <w:t>次</w:t>
                  </w:r>
                  <w:r>
                    <w:rPr>
                      <w:rFonts w:ascii="Times New Roman" w:hAnsi="Times New Roman" w:eastAsia="Times New Roman" w:cs="Times New Roman"/>
                      <w:spacing w:val="2"/>
                      <w:sz w:val="20"/>
                      <w:szCs w:val="20"/>
                    </w:rPr>
                    <w:t>/</w:t>
                  </w:r>
                  <w:r>
                    <w:rPr>
                      <w:spacing w:val="2"/>
                      <w:sz w:val="20"/>
                      <w:szCs w:val="20"/>
                    </w:rPr>
                    <w:t>年）</w:t>
                  </w:r>
                </w:p>
              </w:tc>
              <w:tc>
                <w:tcPr>
                  <w:tcW w:w="876" w:type="dxa"/>
                  <w:vAlign w:val="top"/>
                </w:tcPr>
                <w:p w14:paraId="5172DF67">
                  <w:pPr>
                    <w:pStyle w:val="6"/>
                    <w:spacing w:before="68" w:line="228" w:lineRule="auto"/>
                    <w:ind w:left="128"/>
                    <w:rPr>
                      <w:sz w:val="20"/>
                      <w:szCs w:val="20"/>
                    </w:rPr>
                  </w:pPr>
                  <w:r>
                    <w:rPr>
                      <w:spacing w:val="6"/>
                      <w:sz w:val="20"/>
                      <w:szCs w:val="20"/>
                    </w:rPr>
                    <w:t>单桶宝</w:t>
                  </w:r>
                </w:p>
                <w:p w14:paraId="38356316">
                  <w:pPr>
                    <w:pStyle w:val="6"/>
                    <w:spacing w:before="27" w:line="229" w:lineRule="auto"/>
                    <w:ind w:left="127"/>
                    <w:rPr>
                      <w:sz w:val="20"/>
                      <w:szCs w:val="20"/>
                    </w:rPr>
                  </w:pPr>
                  <w:r>
                    <w:rPr>
                      <w:spacing w:val="6"/>
                      <w:sz w:val="20"/>
                      <w:szCs w:val="20"/>
                    </w:rPr>
                    <w:t>石泡酸</w:t>
                  </w:r>
                </w:p>
                <w:p w14:paraId="0D55E1C3">
                  <w:pPr>
                    <w:pStyle w:val="6"/>
                    <w:spacing w:before="23" w:line="231" w:lineRule="auto"/>
                    <w:ind w:left="126"/>
                    <w:rPr>
                      <w:sz w:val="20"/>
                      <w:szCs w:val="20"/>
                    </w:rPr>
                  </w:pPr>
                  <w:r>
                    <w:rPr>
                      <w:spacing w:val="6"/>
                      <w:sz w:val="20"/>
                      <w:szCs w:val="20"/>
                    </w:rPr>
                    <w:t>加工量</w:t>
                  </w:r>
                </w:p>
                <w:p w14:paraId="4E42EC22">
                  <w:pPr>
                    <w:pStyle w:val="6"/>
                    <w:spacing w:before="22"/>
                    <w:ind w:left="136"/>
                    <w:rPr>
                      <w:sz w:val="20"/>
                      <w:szCs w:val="20"/>
                    </w:rPr>
                  </w:pPr>
                  <w:r>
                    <w:rPr>
                      <w:sz w:val="20"/>
                      <w:szCs w:val="20"/>
                    </w:rPr>
                    <w:t>（</w:t>
                  </w:r>
                  <w:r>
                    <w:rPr>
                      <w:rFonts w:ascii="Times New Roman" w:hAnsi="Times New Roman" w:eastAsia="Times New Roman" w:cs="Times New Roman"/>
                      <w:sz w:val="20"/>
                      <w:szCs w:val="20"/>
                    </w:rPr>
                    <w:t>t/a</w:t>
                  </w:r>
                  <w:r>
                    <w:rPr>
                      <w:sz w:val="20"/>
                      <w:szCs w:val="20"/>
                    </w:rPr>
                    <w:t>）</w:t>
                  </w:r>
                </w:p>
              </w:tc>
              <w:tc>
                <w:tcPr>
                  <w:tcW w:w="855" w:type="dxa"/>
                  <w:vAlign w:val="top"/>
                </w:tcPr>
                <w:p w14:paraId="63298DC6">
                  <w:pPr>
                    <w:pStyle w:val="6"/>
                    <w:spacing w:before="69" w:line="228" w:lineRule="auto"/>
                    <w:ind w:left="120"/>
                    <w:rPr>
                      <w:sz w:val="20"/>
                      <w:szCs w:val="20"/>
                    </w:rPr>
                  </w:pPr>
                  <w:r>
                    <w:rPr>
                      <w:spacing w:val="5"/>
                      <w:sz w:val="20"/>
                      <w:szCs w:val="20"/>
                    </w:rPr>
                    <w:t>项目设</w:t>
                  </w:r>
                </w:p>
                <w:p w14:paraId="6CCEAB22">
                  <w:pPr>
                    <w:pStyle w:val="6"/>
                    <w:spacing w:before="26" w:line="229" w:lineRule="auto"/>
                    <w:ind w:left="115"/>
                    <w:rPr>
                      <w:sz w:val="20"/>
                      <w:szCs w:val="20"/>
                    </w:rPr>
                  </w:pPr>
                  <w:r>
                    <w:rPr>
                      <w:spacing w:val="7"/>
                      <w:sz w:val="20"/>
                      <w:szCs w:val="20"/>
                    </w:rPr>
                    <w:t>置泡酸</w:t>
                  </w:r>
                </w:p>
                <w:p w14:paraId="45EC24D9">
                  <w:pPr>
                    <w:pStyle w:val="6"/>
                    <w:spacing w:before="22" w:line="228" w:lineRule="auto"/>
                    <w:ind w:left="118"/>
                    <w:rPr>
                      <w:sz w:val="20"/>
                      <w:szCs w:val="20"/>
                    </w:rPr>
                  </w:pPr>
                  <w:r>
                    <w:rPr>
                      <w:spacing w:val="6"/>
                      <w:sz w:val="20"/>
                      <w:szCs w:val="20"/>
                    </w:rPr>
                    <w:t>桶总数</w:t>
                  </w:r>
                </w:p>
                <w:p w14:paraId="5416FCC2">
                  <w:pPr>
                    <w:pStyle w:val="6"/>
                    <w:spacing w:before="26" w:line="228" w:lineRule="auto"/>
                    <w:ind w:left="126"/>
                    <w:rPr>
                      <w:sz w:val="20"/>
                      <w:szCs w:val="20"/>
                    </w:rPr>
                  </w:pPr>
                  <w:r>
                    <w:rPr>
                      <w:spacing w:val="-1"/>
                      <w:sz w:val="20"/>
                      <w:szCs w:val="20"/>
                    </w:rPr>
                    <w:t>（个）</w:t>
                  </w:r>
                </w:p>
              </w:tc>
              <w:tc>
                <w:tcPr>
                  <w:tcW w:w="994" w:type="dxa"/>
                  <w:vAlign w:val="top"/>
                </w:tcPr>
                <w:p w14:paraId="0FA67749">
                  <w:pPr>
                    <w:pStyle w:val="6"/>
                    <w:spacing w:before="68" w:line="235" w:lineRule="auto"/>
                    <w:ind w:left="188"/>
                    <w:rPr>
                      <w:sz w:val="20"/>
                      <w:szCs w:val="20"/>
                    </w:rPr>
                  </w:pPr>
                  <w:r>
                    <w:rPr>
                      <w:spacing w:val="6"/>
                      <w:sz w:val="20"/>
                      <w:szCs w:val="20"/>
                    </w:rPr>
                    <w:t>理论宝</w:t>
                  </w:r>
                </w:p>
                <w:p w14:paraId="7C15741F">
                  <w:pPr>
                    <w:pStyle w:val="6"/>
                    <w:spacing w:before="19" w:line="229" w:lineRule="auto"/>
                    <w:ind w:left="186"/>
                    <w:rPr>
                      <w:sz w:val="20"/>
                      <w:szCs w:val="20"/>
                    </w:rPr>
                  </w:pPr>
                  <w:r>
                    <w:rPr>
                      <w:spacing w:val="6"/>
                      <w:sz w:val="20"/>
                      <w:szCs w:val="20"/>
                    </w:rPr>
                    <w:t>石泡酸</w:t>
                  </w:r>
                </w:p>
                <w:p w14:paraId="406F5443">
                  <w:pPr>
                    <w:pStyle w:val="6"/>
                    <w:spacing w:before="22" w:line="250" w:lineRule="auto"/>
                    <w:ind w:left="113" w:right="17" w:firstLine="72"/>
                    <w:rPr>
                      <w:sz w:val="20"/>
                      <w:szCs w:val="20"/>
                    </w:rPr>
                  </w:pPr>
                  <w:r>
                    <w:rPr>
                      <w:spacing w:val="6"/>
                      <w:sz w:val="20"/>
                      <w:szCs w:val="20"/>
                    </w:rPr>
                    <w:t>加工总</w:t>
                  </w:r>
                  <w:r>
                    <w:rPr>
                      <w:sz w:val="20"/>
                      <w:szCs w:val="20"/>
                    </w:rPr>
                    <w:t xml:space="preserve">  </w:t>
                  </w:r>
                  <w:r>
                    <w:rPr>
                      <w:spacing w:val="-9"/>
                      <w:sz w:val="20"/>
                      <w:szCs w:val="20"/>
                    </w:rPr>
                    <w:t>量（t/a）</w:t>
                  </w:r>
                </w:p>
              </w:tc>
            </w:tr>
            <w:tr w14:paraId="01269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5" w:hRule="atLeast"/>
              </w:trPr>
              <w:tc>
                <w:tcPr>
                  <w:tcW w:w="509" w:type="dxa"/>
                  <w:textDirection w:val="tbRlV"/>
                  <w:vAlign w:val="top"/>
                </w:tcPr>
                <w:p w14:paraId="7BD2ADA6">
                  <w:pPr>
                    <w:pStyle w:val="6"/>
                    <w:spacing w:before="145" w:line="215" w:lineRule="auto"/>
                    <w:ind w:left="33"/>
                    <w:rPr>
                      <w:sz w:val="20"/>
                      <w:szCs w:val="20"/>
                    </w:rPr>
                  </w:pPr>
                  <w:r>
                    <w:rPr>
                      <w:spacing w:val="8"/>
                      <w:sz w:val="20"/>
                      <w:szCs w:val="20"/>
                    </w:rPr>
                    <w:t>泡</w:t>
                  </w:r>
                  <w:r>
                    <w:rPr>
                      <w:spacing w:val="-34"/>
                      <w:sz w:val="20"/>
                      <w:szCs w:val="20"/>
                    </w:rPr>
                    <w:t xml:space="preserve"> </w:t>
                  </w:r>
                  <w:r>
                    <w:rPr>
                      <w:spacing w:val="8"/>
                      <w:sz w:val="20"/>
                      <w:szCs w:val="20"/>
                    </w:rPr>
                    <w:t>酸</w:t>
                  </w:r>
                  <w:r>
                    <w:rPr>
                      <w:spacing w:val="-38"/>
                      <w:sz w:val="20"/>
                      <w:szCs w:val="20"/>
                    </w:rPr>
                    <w:t xml:space="preserve"> </w:t>
                  </w:r>
                  <w:r>
                    <w:rPr>
                      <w:spacing w:val="8"/>
                      <w:sz w:val="20"/>
                      <w:szCs w:val="20"/>
                    </w:rPr>
                    <w:t>桶</w:t>
                  </w:r>
                </w:p>
              </w:tc>
              <w:tc>
                <w:tcPr>
                  <w:tcW w:w="724" w:type="dxa"/>
                  <w:vAlign w:val="top"/>
                </w:tcPr>
                <w:p w14:paraId="74E70D77">
                  <w:pPr>
                    <w:spacing w:line="283" w:lineRule="auto"/>
                    <w:rPr>
                      <w:rFonts w:ascii="Arial"/>
                      <w:sz w:val="21"/>
                    </w:rPr>
                  </w:pPr>
                </w:p>
                <w:p w14:paraId="01087E00">
                  <w:pPr>
                    <w:spacing w:before="5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836" w:type="dxa"/>
                  <w:vAlign w:val="top"/>
                </w:tcPr>
                <w:p w14:paraId="3AB09C24">
                  <w:pPr>
                    <w:spacing w:line="283" w:lineRule="auto"/>
                    <w:rPr>
                      <w:rFonts w:ascii="Arial"/>
                      <w:sz w:val="21"/>
                    </w:rPr>
                  </w:pPr>
                </w:p>
                <w:p w14:paraId="1707F43D">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144</w:t>
                  </w:r>
                </w:p>
              </w:tc>
              <w:tc>
                <w:tcPr>
                  <w:tcW w:w="823" w:type="dxa"/>
                  <w:vAlign w:val="top"/>
                </w:tcPr>
                <w:p w14:paraId="463A072A">
                  <w:pPr>
                    <w:spacing w:line="283" w:lineRule="auto"/>
                    <w:rPr>
                      <w:rFonts w:ascii="Arial"/>
                      <w:sz w:val="21"/>
                    </w:rPr>
                  </w:pPr>
                </w:p>
                <w:p w14:paraId="74446867">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736" w:type="dxa"/>
                  <w:vAlign w:val="top"/>
                </w:tcPr>
                <w:p w14:paraId="3819A094">
                  <w:pPr>
                    <w:spacing w:line="283" w:lineRule="auto"/>
                    <w:rPr>
                      <w:rFonts w:ascii="Arial"/>
                      <w:sz w:val="21"/>
                    </w:rPr>
                  </w:pPr>
                </w:p>
                <w:p w14:paraId="1A60F698">
                  <w:pPr>
                    <w:spacing w:before="5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674" w:type="dxa"/>
                  <w:vAlign w:val="top"/>
                </w:tcPr>
                <w:p w14:paraId="7F8A06EB">
                  <w:pPr>
                    <w:spacing w:line="283" w:lineRule="auto"/>
                    <w:rPr>
                      <w:rFonts w:ascii="Arial"/>
                      <w:sz w:val="21"/>
                    </w:rPr>
                  </w:pPr>
                </w:p>
                <w:p w14:paraId="115E2D3F">
                  <w:pPr>
                    <w:spacing w:before="5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44" w:type="dxa"/>
                  <w:vAlign w:val="top"/>
                </w:tcPr>
                <w:p w14:paraId="3F795268">
                  <w:pPr>
                    <w:spacing w:line="283" w:lineRule="auto"/>
                    <w:rPr>
                      <w:rFonts w:ascii="Arial"/>
                      <w:sz w:val="21"/>
                    </w:rPr>
                  </w:pPr>
                </w:p>
                <w:p w14:paraId="73513F9A">
                  <w:pPr>
                    <w:spacing w:before="58"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76" w:type="dxa"/>
                  <w:vAlign w:val="top"/>
                </w:tcPr>
                <w:p w14:paraId="5C1C6141">
                  <w:pPr>
                    <w:spacing w:line="283" w:lineRule="auto"/>
                    <w:rPr>
                      <w:rFonts w:ascii="Arial"/>
                      <w:sz w:val="21"/>
                    </w:rPr>
                  </w:pPr>
                </w:p>
                <w:p w14:paraId="5A4AF582">
                  <w:pPr>
                    <w:spacing w:before="5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c>
                <w:tcPr>
                  <w:tcW w:w="855" w:type="dxa"/>
                  <w:vAlign w:val="top"/>
                </w:tcPr>
                <w:p w14:paraId="39F9689D">
                  <w:pPr>
                    <w:spacing w:line="283" w:lineRule="auto"/>
                    <w:rPr>
                      <w:rFonts w:ascii="Arial"/>
                      <w:sz w:val="21"/>
                    </w:rPr>
                  </w:pPr>
                </w:p>
                <w:p w14:paraId="702DF4AD">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5236</w:t>
                  </w:r>
                </w:p>
              </w:tc>
              <w:tc>
                <w:tcPr>
                  <w:tcW w:w="994" w:type="dxa"/>
                  <w:vAlign w:val="top"/>
                </w:tcPr>
                <w:p w14:paraId="78EFEB4F">
                  <w:pPr>
                    <w:spacing w:line="283" w:lineRule="auto"/>
                    <w:rPr>
                      <w:rFonts w:ascii="Arial"/>
                      <w:sz w:val="21"/>
                    </w:rPr>
                  </w:pPr>
                </w:p>
                <w:p w14:paraId="4F1944AB">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10996</w:t>
                  </w:r>
                </w:p>
              </w:tc>
            </w:tr>
          </w:tbl>
          <w:p w14:paraId="3F6223A7">
            <w:pPr>
              <w:pStyle w:val="6"/>
              <w:spacing w:before="36" w:line="219" w:lineRule="auto"/>
              <w:ind w:left="593"/>
            </w:pPr>
            <w:r>
              <w:rPr>
                <w:spacing w:val="-8"/>
              </w:rPr>
              <w:t>项 目</w:t>
            </w:r>
            <w:r>
              <w:rPr>
                <w:spacing w:val="-39"/>
              </w:rPr>
              <w:t xml:space="preserve"> </w:t>
            </w:r>
            <w:r>
              <w:rPr>
                <w:spacing w:val="-8"/>
              </w:rPr>
              <w:t>泡</w:t>
            </w:r>
            <w:r>
              <w:rPr>
                <w:spacing w:val="-40"/>
              </w:rPr>
              <w:t xml:space="preserve"> </w:t>
            </w:r>
            <w:r>
              <w:rPr>
                <w:spacing w:val="-8"/>
              </w:rPr>
              <w:t>酸</w:t>
            </w:r>
            <w:r>
              <w:rPr>
                <w:spacing w:val="-43"/>
              </w:rPr>
              <w:t xml:space="preserve"> </w:t>
            </w:r>
            <w:r>
              <w:rPr>
                <w:spacing w:val="-8"/>
              </w:rPr>
              <w:t>加</w:t>
            </w:r>
            <w:r>
              <w:rPr>
                <w:spacing w:val="-39"/>
              </w:rPr>
              <w:t xml:space="preserve"> </w:t>
            </w:r>
            <w:r>
              <w:rPr>
                <w:spacing w:val="-8"/>
              </w:rPr>
              <w:t>工</w:t>
            </w:r>
            <w:r>
              <w:rPr>
                <w:spacing w:val="-40"/>
              </w:rPr>
              <w:t xml:space="preserve"> </w:t>
            </w:r>
            <w:r>
              <w:rPr>
                <w:spacing w:val="-8"/>
              </w:rPr>
              <w:t>宝</w:t>
            </w:r>
            <w:r>
              <w:rPr>
                <w:spacing w:val="-40"/>
              </w:rPr>
              <w:t xml:space="preserve"> </w:t>
            </w:r>
            <w:r>
              <w:rPr>
                <w:spacing w:val="-8"/>
              </w:rPr>
              <w:t>石</w:t>
            </w:r>
            <w:r>
              <w:rPr>
                <w:spacing w:val="-40"/>
              </w:rPr>
              <w:t xml:space="preserve"> </w:t>
            </w:r>
            <w:r>
              <w:rPr>
                <w:spacing w:val="-8"/>
              </w:rPr>
              <w:t>年</w:t>
            </w:r>
            <w:r>
              <w:rPr>
                <w:spacing w:val="-41"/>
              </w:rPr>
              <w:t xml:space="preserve"> </w:t>
            </w:r>
            <w:r>
              <w:rPr>
                <w:spacing w:val="-8"/>
              </w:rPr>
              <w:t>产</w:t>
            </w:r>
            <w:r>
              <w:rPr>
                <w:spacing w:val="-44"/>
              </w:rPr>
              <w:t xml:space="preserve"> </w:t>
            </w:r>
            <w:r>
              <w:rPr>
                <w:spacing w:val="-8"/>
              </w:rPr>
              <w:t>量</w:t>
            </w:r>
            <w:r>
              <w:rPr>
                <w:spacing w:val="-38"/>
              </w:rPr>
              <w:t xml:space="preserve"> </w:t>
            </w:r>
            <w:r>
              <w:rPr>
                <w:spacing w:val="-8"/>
              </w:rPr>
              <w:t xml:space="preserve">为 </w:t>
            </w:r>
            <w:r>
              <w:rPr>
                <w:rFonts w:ascii="Times New Roman" w:hAnsi="Times New Roman" w:eastAsia="Times New Roman" w:cs="Times New Roman"/>
                <w:spacing w:val="-8"/>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8"/>
              </w:rPr>
              <w:t>150t/</w:t>
            </w:r>
            <w:r>
              <w:rPr>
                <w:rFonts w:ascii="Times New Roman" w:hAnsi="Times New Roman" w:eastAsia="Times New Roman" w:cs="Times New Roman"/>
                <w:spacing w:val="16"/>
              </w:rPr>
              <w:t xml:space="preserve"> </w:t>
            </w:r>
            <w:r>
              <w:rPr>
                <w:spacing w:val="-8"/>
              </w:rPr>
              <w:t>批</w:t>
            </w:r>
            <w:r>
              <w:rPr>
                <w:spacing w:val="-35"/>
              </w:rPr>
              <w:t xml:space="preserve"> </w:t>
            </w:r>
            <w:r>
              <w:rPr>
                <w:spacing w:val="-9"/>
              </w:rPr>
              <w:t>次 ×</w:t>
            </w:r>
            <w:r>
              <w:rPr>
                <w:spacing w:val="-40"/>
              </w:rPr>
              <w:t xml:space="preserve"> </w:t>
            </w:r>
            <w:r>
              <w:rPr>
                <w:rFonts w:ascii="Times New Roman" w:hAnsi="Times New Roman" w:eastAsia="Times New Roman" w:cs="Times New Roman"/>
                <w:spacing w:val="-9"/>
              </w:rPr>
              <w:t xml:space="preserve">300d/a  </w:t>
            </w:r>
            <w:r>
              <w:rPr>
                <w:spacing w:val="-9"/>
              </w:rPr>
              <w:t>÷</w:t>
            </w:r>
            <w:r>
              <w:rPr>
                <w:spacing w:val="-43"/>
              </w:rPr>
              <w:t xml:space="preserve"> </w:t>
            </w:r>
            <w:r>
              <w:rPr>
                <w:rFonts w:ascii="Times New Roman" w:hAnsi="Times New Roman" w:eastAsia="Times New Roman" w:cs="Times New Roman"/>
                <w:spacing w:val="-9"/>
              </w:rPr>
              <w:t>21d/</w:t>
            </w:r>
            <w:r>
              <w:rPr>
                <w:rFonts w:ascii="Times New Roman" w:hAnsi="Times New Roman" w:eastAsia="Times New Roman" w:cs="Times New Roman"/>
                <w:spacing w:val="15"/>
                <w:w w:val="101"/>
              </w:rPr>
              <w:t xml:space="preserve"> </w:t>
            </w:r>
            <w:r>
              <w:rPr>
                <w:spacing w:val="-9"/>
              </w:rPr>
              <w:t>批</w:t>
            </w:r>
            <w:r>
              <w:rPr>
                <w:spacing w:val="-35"/>
              </w:rPr>
              <w:t xml:space="preserve"> </w:t>
            </w:r>
            <w:r>
              <w:rPr>
                <w:spacing w:val="-9"/>
              </w:rPr>
              <w:t>次</w:t>
            </w:r>
          </w:p>
          <w:p w14:paraId="3EA2B598">
            <w:pPr>
              <w:pStyle w:val="6"/>
              <w:spacing w:before="137" w:line="354" w:lineRule="auto"/>
              <w:ind w:left="110" w:right="102" w:firstLine="6"/>
            </w:pPr>
            <w:r>
              <w:rPr>
                <w:rFonts w:ascii="Times New Roman" w:hAnsi="Times New Roman" w:eastAsia="Times New Roman" w:cs="Times New Roman"/>
                <w:spacing w:val="-3"/>
              </w:rPr>
              <w:t>*5236=</w:t>
            </w:r>
            <w:r>
              <w:rPr>
                <w:rFonts w:ascii="Times New Roman" w:hAnsi="Times New Roman" w:eastAsia="Times New Roman" w:cs="Times New Roman"/>
                <w:spacing w:val="-27"/>
              </w:rPr>
              <w:t xml:space="preserve"> </w:t>
            </w:r>
            <w:r>
              <w:rPr>
                <w:rFonts w:ascii="Times New Roman" w:hAnsi="Times New Roman" w:eastAsia="Times New Roman" w:cs="Times New Roman"/>
                <w:spacing w:val="-3"/>
              </w:rPr>
              <w:t>10996t/a</w:t>
            </w:r>
            <w:r>
              <w:rPr>
                <w:rFonts w:ascii="Times New Roman" w:hAnsi="Times New Roman" w:eastAsia="Times New Roman" w:cs="Times New Roman"/>
                <w:spacing w:val="-31"/>
              </w:rPr>
              <w:t xml:space="preserve"> </w:t>
            </w:r>
            <w:r>
              <w:rPr>
                <w:spacing w:val="-3"/>
              </w:rPr>
              <w:t>，因此本项目设计原料宝石泡酸生产规模为</w:t>
            </w:r>
            <w:r>
              <w:rPr>
                <w:spacing w:val="-32"/>
              </w:rPr>
              <w:t xml:space="preserve"> </w:t>
            </w:r>
            <w:r>
              <w:rPr>
                <w:rFonts w:ascii="Times New Roman" w:hAnsi="Times New Roman" w:eastAsia="Times New Roman" w:cs="Times New Roman"/>
                <w:spacing w:val="-3"/>
              </w:rPr>
              <w:t>10000t/a</w:t>
            </w:r>
            <w:r>
              <w:rPr>
                <w:rFonts w:ascii="Times New Roman" w:hAnsi="Times New Roman" w:eastAsia="Times New Roman" w:cs="Times New Roman"/>
                <w:spacing w:val="-32"/>
              </w:rPr>
              <w:t xml:space="preserve"> </w:t>
            </w:r>
            <w:r>
              <w:rPr>
                <w:spacing w:val="-3"/>
              </w:rPr>
              <w:t>，小于上</w:t>
            </w:r>
            <w:r>
              <w:t xml:space="preserve"> </w:t>
            </w:r>
            <w:r>
              <w:rPr>
                <w:spacing w:val="-1"/>
              </w:rPr>
              <w:t>面计算的数值，满足生产需求。</w:t>
            </w:r>
          </w:p>
          <w:p w14:paraId="48FCAE25">
            <w:pPr>
              <w:pStyle w:val="6"/>
              <w:spacing w:before="58" w:line="351" w:lineRule="auto"/>
              <w:ind w:left="110" w:right="102" w:firstLine="480"/>
            </w:pPr>
            <w:r>
              <w:rPr>
                <w:spacing w:val="-1"/>
              </w:rPr>
              <w:t>本项目原料宝石按平均密度</w:t>
            </w:r>
            <w:r>
              <w:rPr>
                <w:spacing w:val="-54"/>
              </w:rPr>
              <w:t xml:space="preserve"> </w:t>
            </w:r>
            <w:r>
              <w:rPr>
                <w:rFonts w:ascii="Times New Roman" w:hAnsi="Times New Roman" w:eastAsia="Times New Roman" w:cs="Times New Roman"/>
                <w:spacing w:val="-1"/>
              </w:rPr>
              <w:t>2.54mg/cm</w:t>
            </w:r>
            <w:r>
              <w:rPr>
                <w:spacing w:val="-1"/>
              </w:rPr>
              <w:t>³计（</w:t>
            </w:r>
            <w:r>
              <w:rPr>
                <w:rFonts w:ascii="Times New Roman" w:hAnsi="Times New Roman" w:eastAsia="Times New Roman" w:cs="Times New Roman"/>
                <w:spacing w:val="-1"/>
              </w:rPr>
              <w:t>1.08</w:t>
            </w:r>
            <w:r>
              <w:rPr>
                <w:rFonts w:ascii="Times New Roman" w:hAnsi="Times New Roman" w:eastAsia="Times New Roman" w:cs="Times New Roman"/>
                <w:spacing w:val="-2"/>
              </w:rPr>
              <w:t>~4.0g/cm</w:t>
            </w:r>
            <w:r>
              <w:rPr>
                <w:spacing w:val="-2"/>
              </w:rPr>
              <w:t>³</w:t>
            </w:r>
            <w:r>
              <w:rPr>
                <w:spacing w:val="-91"/>
              </w:rPr>
              <w:t xml:space="preserve"> </w:t>
            </w:r>
            <w:r>
              <w:rPr>
                <w:spacing w:val="-2"/>
              </w:rPr>
              <w:t>的均值</w:t>
            </w:r>
            <w:r>
              <w:rPr>
                <w:spacing w:val="4"/>
              </w:rPr>
              <w:t>），</w:t>
            </w:r>
            <w:r>
              <w:rPr>
                <w:spacing w:val="-2"/>
              </w:rPr>
              <w:t>据</w:t>
            </w:r>
            <w:r>
              <w:t xml:space="preserve"> </w:t>
            </w:r>
            <w:r>
              <w:rPr>
                <w:spacing w:val="-1"/>
              </w:rPr>
              <w:t>此可核算本项目胶桶的容积利用率，详细核算过程见下表：</w:t>
            </w:r>
          </w:p>
          <w:p w14:paraId="3183EB84">
            <w:pPr>
              <w:pStyle w:val="6"/>
              <w:spacing w:before="138" w:line="219" w:lineRule="auto"/>
              <w:ind w:left="2350"/>
            </w:pPr>
            <w:r>
              <w:rPr>
                <w:b/>
                <w:bCs/>
                <w:spacing w:val="-2"/>
              </w:rPr>
              <w:t>表</w:t>
            </w:r>
            <w:r>
              <w:rPr>
                <w:spacing w:val="-51"/>
              </w:rPr>
              <w:t xml:space="preserve"> </w:t>
            </w:r>
            <w:r>
              <w:rPr>
                <w:rFonts w:ascii="Times New Roman" w:hAnsi="Times New Roman" w:eastAsia="Times New Roman" w:cs="Times New Roman"/>
                <w:b/>
                <w:bCs/>
                <w:spacing w:val="-2"/>
              </w:rPr>
              <w:t xml:space="preserve">2-8    </w:t>
            </w:r>
            <w:r>
              <w:rPr>
                <w:b/>
                <w:bCs/>
                <w:spacing w:val="-2"/>
              </w:rPr>
              <w:t>本项目胶桶利用率核算表</w:t>
            </w:r>
          </w:p>
          <w:p w14:paraId="367458F3">
            <w:pPr>
              <w:spacing w:line="149" w:lineRule="exact"/>
            </w:pPr>
          </w:p>
          <w:tbl>
            <w:tblPr>
              <w:tblStyle w:val="5"/>
              <w:tblW w:w="8039"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2"/>
              <w:gridCol w:w="891"/>
              <w:gridCol w:w="1283"/>
              <w:gridCol w:w="1075"/>
              <w:gridCol w:w="1739"/>
              <w:gridCol w:w="847"/>
              <w:gridCol w:w="882"/>
            </w:tblGrid>
            <w:tr w14:paraId="76097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322" w:type="dxa"/>
                  <w:vAlign w:val="top"/>
                </w:tcPr>
                <w:p w14:paraId="79D51C7E">
                  <w:pPr>
                    <w:pStyle w:val="6"/>
                    <w:spacing w:before="170" w:line="252" w:lineRule="auto"/>
                    <w:ind w:left="187" w:right="133" w:hanging="43"/>
                    <w:rPr>
                      <w:sz w:val="20"/>
                      <w:szCs w:val="20"/>
                    </w:rPr>
                  </w:pPr>
                  <w:r>
                    <w:rPr>
                      <w:spacing w:val="7"/>
                      <w:sz w:val="20"/>
                      <w:szCs w:val="20"/>
                    </w:rPr>
                    <w:t>投加宝石重</w:t>
                  </w:r>
                  <w:r>
                    <w:rPr>
                      <w:spacing w:val="2"/>
                      <w:sz w:val="20"/>
                      <w:szCs w:val="20"/>
                    </w:rPr>
                    <w:t xml:space="preserve"> </w:t>
                  </w:r>
                  <w:r>
                    <w:rPr>
                      <w:spacing w:val="4"/>
                      <w:sz w:val="20"/>
                      <w:szCs w:val="20"/>
                    </w:rPr>
                    <w:t>量（</w:t>
                  </w:r>
                  <w:r>
                    <w:rPr>
                      <w:rFonts w:ascii="Times New Roman" w:hAnsi="Times New Roman" w:eastAsia="Times New Roman" w:cs="Times New Roman"/>
                      <w:spacing w:val="4"/>
                      <w:sz w:val="20"/>
                      <w:szCs w:val="20"/>
                    </w:rPr>
                    <w:t>t/</w:t>
                  </w:r>
                  <w:r>
                    <w:rPr>
                      <w:spacing w:val="4"/>
                      <w:sz w:val="20"/>
                      <w:szCs w:val="20"/>
                    </w:rPr>
                    <w:t>桶）</w:t>
                  </w:r>
                </w:p>
              </w:tc>
              <w:tc>
                <w:tcPr>
                  <w:tcW w:w="891" w:type="dxa"/>
                  <w:vAlign w:val="top"/>
                </w:tcPr>
                <w:p w14:paraId="64AF175D">
                  <w:pPr>
                    <w:pStyle w:val="6"/>
                    <w:spacing w:before="171" w:line="252" w:lineRule="auto"/>
                    <w:ind w:left="146" w:right="129" w:hanging="8"/>
                    <w:rPr>
                      <w:rFonts w:ascii="Times New Roman" w:hAnsi="Times New Roman" w:eastAsia="Times New Roman" w:cs="Times New Roman"/>
                      <w:sz w:val="20"/>
                      <w:szCs w:val="20"/>
                    </w:rPr>
                  </w:pPr>
                  <w:r>
                    <w:rPr>
                      <w:spacing w:val="6"/>
                      <w:sz w:val="20"/>
                      <w:szCs w:val="20"/>
                    </w:rPr>
                    <w:t>宝石密</w:t>
                  </w:r>
                  <w:r>
                    <w:rPr>
                      <w:sz w:val="20"/>
                      <w:szCs w:val="20"/>
                    </w:rPr>
                    <w:t xml:space="preserve"> </w:t>
                  </w:r>
                  <w:r>
                    <w:rPr>
                      <w:spacing w:val="-5"/>
                      <w:sz w:val="20"/>
                      <w:szCs w:val="20"/>
                    </w:rPr>
                    <w:t>度</w:t>
                  </w:r>
                  <w:r>
                    <w:rPr>
                      <w:spacing w:val="-46"/>
                      <w:sz w:val="20"/>
                      <w:szCs w:val="20"/>
                    </w:rPr>
                    <w:t xml:space="preserve"> </w:t>
                  </w:r>
                  <w:r>
                    <w:rPr>
                      <w:rFonts w:ascii="Times New Roman" w:hAnsi="Times New Roman" w:eastAsia="Times New Roman" w:cs="Times New Roman"/>
                      <w:spacing w:val="-5"/>
                      <w:sz w:val="20"/>
                      <w:szCs w:val="20"/>
                    </w:rPr>
                    <w:t>t/m3</w:t>
                  </w:r>
                </w:p>
              </w:tc>
              <w:tc>
                <w:tcPr>
                  <w:tcW w:w="1283" w:type="dxa"/>
                  <w:vAlign w:val="top"/>
                </w:tcPr>
                <w:p w14:paraId="3E4DB392">
                  <w:pPr>
                    <w:pStyle w:val="6"/>
                    <w:spacing w:before="171" w:line="252" w:lineRule="auto"/>
                    <w:ind w:left="130" w:right="19" w:hanging="5"/>
                    <w:rPr>
                      <w:sz w:val="20"/>
                      <w:szCs w:val="20"/>
                    </w:rPr>
                  </w:pPr>
                  <w:r>
                    <w:rPr>
                      <w:spacing w:val="7"/>
                      <w:sz w:val="20"/>
                      <w:szCs w:val="20"/>
                    </w:rPr>
                    <w:t>投加的宝石</w:t>
                  </w:r>
                  <w:r>
                    <w:rPr>
                      <w:spacing w:val="1"/>
                      <w:sz w:val="20"/>
                      <w:szCs w:val="20"/>
                    </w:rPr>
                    <w:t xml:space="preserve">  </w:t>
                  </w:r>
                  <w:r>
                    <w:rPr>
                      <w:spacing w:val="-19"/>
                      <w:sz w:val="20"/>
                      <w:szCs w:val="20"/>
                    </w:rPr>
                    <w:t>的体积（</w:t>
                  </w:r>
                  <w:r>
                    <w:rPr>
                      <w:rFonts w:ascii="Times New Roman" w:hAnsi="Times New Roman" w:eastAsia="Times New Roman" w:cs="Times New Roman"/>
                      <w:spacing w:val="-19"/>
                      <w:sz w:val="20"/>
                      <w:szCs w:val="20"/>
                    </w:rPr>
                    <w:t>m3</w:t>
                  </w:r>
                  <w:r>
                    <w:rPr>
                      <w:spacing w:val="-19"/>
                      <w:sz w:val="20"/>
                      <w:szCs w:val="20"/>
                    </w:rPr>
                    <w:t>）</w:t>
                  </w:r>
                </w:p>
              </w:tc>
              <w:tc>
                <w:tcPr>
                  <w:tcW w:w="1075" w:type="dxa"/>
                  <w:vAlign w:val="top"/>
                </w:tcPr>
                <w:p w14:paraId="7EACE0CD">
                  <w:pPr>
                    <w:pStyle w:val="6"/>
                    <w:spacing w:before="171" w:line="252" w:lineRule="auto"/>
                    <w:ind w:left="114" w:right="19" w:firstLine="12"/>
                    <w:rPr>
                      <w:sz w:val="20"/>
                      <w:szCs w:val="20"/>
                    </w:rPr>
                  </w:pPr>
                  <w:r>
                    <w:rPr>
                      <w:spacing w:val="6"/>
                      <w:sz w:val="20"/>
                      <w:szCs w:val="20"/>
                    </w:rPr>
                    <w:t>投加酸液</w:t>
                  </w:r>
                  <w:r>
                    <w:rPr>
                      <w:spacing w:val="1"/>
                      <w:sz w:val="20"/>
                      <w:szCs w:val="20"/>
                    </w:rPr>
                    <w:t xml:space="preserve">  </w:t>
                  </w:r>
                  <w:r>
                    <w:rPr>
                      <w:spacing w:val="-20"/>
                      <w:sz w:val="20"/>
                      <w:szCs w:val="20"/>
                    </w:rPr>
                    <w:t>体积（</w:t>
                  </w:r>
                  <w:r>
                    <w:rPr>
                      <w:rFonts w:ascii="Times New Roman" w:hAnsi="Times New Roman" w:eastAsia="Times New Roman" w:cs="Times New Roman"/>
                      <w:spacing w:val="-20"/>
                      <w:sz w:val="20"/>
                      <w:szCs w:val="20"/>
                    </w:rPr>
                    <w:t>m3</w:t>
                  </w:r>
                  <w:r>
                    <w:rPr>
                      <w:spacing w:val="-20"/>
                      <w:sz w:val="20"/>
                      <w:szCs w:val="20"/>
                    </w:rPr>
                    <w:t>）</w:t>
                  </w:r>
                </w:p>
              </w:tc>
              <w:tc>
                <w:tcPr>
                  <w:tcW w:w="1739" w:type="dxa"/>
                  <w:vAlign w:val="top"/>
                </w:tcPr>
                <w:p w14:paraId="58B0CC4C">
                  <w:pPr>
                    <w:pStyle w:val="6"/>
                    <w:spacing w:before="171" w:line="252" w:lineRule="auto"/>
                    <w:ind w:left="150" w:right="132" w:hanging="8"/>
                    <w:rPr>
                      <w:sz w:val="20"/>
                      <w:szCs w:val="20"/>
                    </w:rPr>
                  </w:pPr>
                  <w:r>
                    <w:rPr>
                      <w:spacing w:val="8"/>
                      <w:sz w:val="20"/>
                      <w:szCs w:val="20"/>
                    </w:rPr>
                    <w:t>桶内酸液和宝石</w:t>
                  </w:r>
                  <w:r>
                    <w:rPr>
                      <w:spacing w:val="2"/>
                      <w:sz w:val="20"/>
                      <w:szCs w:val="20"/>
                    </w:rPr>
                    <w:t xml:space="preserve"> </w:t>
                  </w:r>
                  <w:r>
                    <w:rPr>
                      <w:spacing w:val="-1"/>
                      <w:sz w:val="20"/>
                      <w:szCs w:val="20"/>
                    </w:rPr>
                    <w:t>的总体积（</w:t>
                  </w:r>
                  <w:r>
                    <w:rPr>
                      <w:rFonts w:ascii="Times New Roman" w:hAnsi="Times New Roman" w:eastAsia="Times New Roman" w:cs="Times New Roman"/>
                      <w:spacing w:val="-1"/>
                      <w:sz w:val="20"/>
                      <w:szCs w:val="20"/>
                    </w:rPr>
                    <w:t>m3</w:t>
                  </w:r>
                  <w:r>
                    <w:rPr>
                      <w:spacing w:val="-1"/>
                      <w:sz w:val="20"/>
                      <w:szCs w:val="20"/>
                    </w:rPr>
                    <w:t>）</w:t>
                  </w:r>
                </w:p>
              </w:tc>
              <w:tc>
                <w:tcPr>
                  <w:tcW w:w="847" w:type="dxa"/>
                  <w:vAlign w:val="top"/>
                </w:tcPr>
                <w:p w14:paraId="445B2D7E">
                  <w:pPr>
                    <w:pStyle w:val="6"/>
                    <w:spacing w:before="34" w:line="228" w:lineRule="auto"/>
                    <w:ind w:left="222"/>
                    <w:rPr>
                      <w:sz w:val="20"/>
                      <w:szCs w:val="20"/>
                    </w:rPr>
                  </w:pPr>
                  <w:r>
                    <w:rPr>
                      <w:spacing w:val="3"/>
                      <w:sz w:val="20"/>
                      <w:szCs w:val="20"/>
                    </w:rPr>
                    <w:t>单桶</w:t>
                  </w:r>
                </w:p>
                <w:p w14:paraId="7CC0DA14">
                  <w:pPr>
                    <w:pStyle w:val="6"/>
                    <w:spacing w:before="27" w:line="228" w:lineRule="auto"/>
                    <w:ind w:left="223"/>
                    <w:rPr>
                      <w:sz w:val="20"/>
                      <w:szCs w:val="20"/>
                    </w:rPr>
                  </w:pPr>
                  <w:r>
                    <w:rPr>
                      <w:spacing w:val="3"/>
                      <w:sz w:val="20"/>
                      <w:szCs w:val="20"/>
                    </w:rPr>
                    <w:t>容积</w:t>
                  </w:r>
                </w:p>
                <w:p w14:paraId="1F1E25BE">
                  <w:pPr>
                    <w:pStyle w:val="6"/>
                    <w:spacing w:before="23" w:line="216" w:lineRule="auto"/>
                    <w:ind w:left="125"/>
                    <w:rPr>
                      <w:sz w:val="20"/>
                      <w:szCs w:val="20"/>
                    </w:rPr>
                  </w:pPr>
                  <w:r>
                    <w:rPr>
                      <w:spacing w:val="-10"/>
                      <w:sz w:val="20"/>
                      <w:szCs w:val="20"/>
                    </w:rPr>
                    <w:t>（</w:t>
                  </w:r>
                  <w:r>
                    <w:rPr>
                      <w:rFonts w:ascii="Times New Roman" w:hAnsi="Times New Roman" w:eastAsia="Times New Roman" w:cs="Times New Roman"/>
                      <w:spacing w:val="-10"/>
                      <w:sz w:val="20"/>
                      <w:szCs w:val="20"/>
                    </w:rPr>
                    <w:t>m3</w:t>
                  </w:r>
                  <w:r>
                    <w:rPr>
                      <w:spacing w:val="-10"/>
                      <w:sz w:val="20"/>
                      <w:szCs w:val="20"/>
                    </w:rPr>
                    <w:t>）</w:t>
                  </w:r>
                </w:p>
              </w:tc>
              <w:tc>
                <w:tcPr>
                  <w:tcW w:w="882" w:type="dxa"/>
                  <w:vAlign w:val="top"/>
                </w:tcPr>
                <w:p w14:paraId="0DA85CB2">
                  <w:pPr>
                    <w:pStyle w:val="6"/>
                    <w:spacing w:before="171" w:line="228" w:lineRule="auto"/>
                    <w:ind w:left="131"/>
                    <w:rPr>
                      <w:sz w:val="20"/>
                      <w:szCs w:val="20"/>
                    </w:rPr>
                  </w:pPr>
                  <w:r>
                    <w:rPr>
                      <w:spacing w:val="7"/>
                      <w:sz w:val="20"/>
                      <w:szCs w:val="20"/>
                    </w:rPr>
                    <w:t>胶桶利</w:t>
                  </w:r>
                </w:p>
                <w:p w14:paraId="0E055ED2">
                  <w:pPr>
                    <w:pStyle w:val="6"/>
                    <w:spacing w:before="24" w:line="228" w:lineRule="auto"/>
                    <w:ind w:left="151"/>
                    <w:rPr>
                      <w:rFonts w:ascii="Times New Roman" w:hAnsi="Times New Roman" w:eastAsia="Times New Roman" w:cs="Times New Roman"/>
                      <w:sz w:val="20"/>
                      <w:szCs w:val="20"/>
                    </w:rPr>
                  </w:pPr>
                  <w:r>
                    <w:rPr>
                      <w:spacing w:val="5"/>
                      <w:sz w:val="20"/>
                      <w:szCs w:val="20"/>
                    </w:rPr>
                    <w:t>用率</w:t>
                  </w:r>
                  <w:r>
                    <w:rPr>
                      <w:rFonts w:ascii="Times New Roman" w:hAnsi="Times New Roman" w:eastAsia="Times New Roman" w:cs="Times New Roman"/>
                      <w:spacing w:val="5"/>
                      <w:sz w:val="20"/>
                      <w:szCs w:val="20"/>
                    </w:rPr>
                    <w:t>%</w:t>
                  </w:r>
                </w:p>
              </w:tc>
            </w:tr>
            <w:tr w14:paraId="248E1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322" w:type="dxa"/>
                  <w:vAlign w:val="top"/>
                </w:tcPr>
                <w:p w14:paraId="3DB1F883">
                  <w:pPr>
                    <w:spacing w:before="18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0.150</w:t>
                  </w:r>
                </w:p>
              </w:tc>
              <w:tc>
                <w:tcPr>
                  <w:tcW w:w="891" w:type="dxa"/>
                  <w:vAlign w:val="top"/>
                </w:tcPr>
                <w:p w14:paraId="29FCB183">
                  <w:pPr>
                    <w:spacing w:before="18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2.540</w:t>
                  </w:r>
                </w:p>
              </w:tc>
              <w:tc>
                <w:tcPr>
                  <w:tcW w:w="1283" w:type="dxa"/>
                  <w:vAlign w:val="top"/>
                </w:tcPr>
                <w:p w14:paraId="36AD46A6">
                  <w:pPr>
                    <w:spacing w:before="183"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0.059</w:t>
                  </w:r>
                </w:p>
              </w:tc>
              <w:tc>
                <w:tcPr>
                  <w:tcW w:w="1075" w:type="dxa"/>
                  <w:vAlign w:val="top"/>
                </w:tcPr>
                <w:p w14:paraId="209483FE">
                  <w:pPr>
                    <w:spacing w:before="18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144</w:t>
                  </w:r>
                </w:p>
              </w:tc>
              <w:tc>
                <w:tcPr>
                  <w:tcW w:w="1739" w:type="dxa"/>
                  <w:vAlign w:val="top"/>
                </w:tcPr>
                <w:p w14:paraId="245C9798">
                  <w:pPr>
                    <w:spacing w:before="183"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0.203</w:t>
                  </w:r>
                </w:p>
              </w:tc>
              <w:tc>
                <w:tcPr>
                  <w:tcW w:w="847" w:type="dxa"/>
                  <w:vAlign w:val="top"/>
                </w:tcPr>
                <w:p w14:paraId="4A088211">
                  <w:pPr>
                    <w:spacing w:before="18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882" w:type="dxa"/>
                  <w:vAlign w:val="top"/>
                </w:tcPr>
                <w:p w14:paraId="7EE47193">
                  <w:pPr>
                    <w:spacing w:before="18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r>
          </w:tbl>
          <w:p w14:paraId="14BFBE15">
            <w:pPr>
              <w:pStyle w:val="6"/>
              <w:spacing w:before="155" w:line="343" w:lineRule="auto"/>
              <w:ind w:left="112" w:right="102" w:firstLine="477"/>
            </w:pPr>
            <w:r>
              <w:t>根据上表可知，本项目的胶桶的容积利用率为</w:t>
            </w:r>
            <w:r>
              <w:rPr>
                <w:spacing w:val="-43"/>
              </w:rPr>
              <w:t xml:space="preserve"> </w:t>
            </w:r>
            <w:r>
              <w:rPr>
                <w:rFonts w:ascii="Times New Roman" w:hAnsi="Times New Roman" w:eastAsia="Times New Roman" w:cs="Times New Roman"/>
              </w:rPr>
              <w:t>85%</w:t>
            </w:r>
            <w:r>
              <w:rPr>
                <w:rFonts w:ascii="Times New Roman" w:hAnsi="Times New Roman" w:eastAsia="Times New Roman" w:cs="Times New Roman"/>
                <w:spacing w:val="-29"/>
              </w:rPr>
              <w:t xml:space="preserve"> </w:t>
            </w:r>
            <w:r>
              <w:t>，本项目产能设</w:t>
            </w:r>
            <w:r>
              <w:rPr>
                <w:spacing w:val="-1"/>
              </w:rPr>
              <w:t>置合</w:t>
            </w:r>
            <w:r>
              <w:t xml:space="preserve"> </w:t>
            </w:r>
            <w:r>
              <w:rPr>
                <w:spacing w:val="-7"/>
              </w:rPr>
              <w:t>理。</w:t>
            </w:r>
          </w:p>
        </w:tc>
      </w:tr>
    </w:tbl>
    <w:p w14:paraId="62B071F7">
      <w:pPr>
        <w:rPr>
          <w:rFonts w:ascii="Arial"/>
          <w:sz w:val="21"/>
        </w:rPr>
      </w:pPr>
    </w:p>
    <w:p w14:paraId="06541576">
      <w:pPr>
        <w:rPr>
          <w:rFonts w:ascii="Arial" w:hAnsi="Arial" w:eastAsia="Arial" w:cs="Arial"/>
          <w:sz w:val="21"/>
          <w:szCs w:val="21"/>
        </w:rPr>
        <w:sectPr>
          <w:footerReference r:id="rId32" w:type="default"/>
          <w:pgSz w:w="11906" w:h="16839"/>
          <w:pgMar w:top="400" w:right="1451" w:bottom="1240" w:left="1451" w:header="0" w:footer="1078" w:gutter="0"/>
          <w:cols w:space="720" w:num="1"/>
        </w:sectPr>
      </w:pPr>
    </w:p>
    <w:p w14:paraId="5EE8804F">
      <w:pPr>
        <w:spacing w:before="19"/>
      </w:pPr>
    </w:p>
    <w:p w14:paraId="096E3429">
      <w:pPr>
        <w:spacing w:before="19"/>
      </w:pPr>
    </w:p>
    <w:p w14:paraId="69198CA7">
      <w:pPr>
        <w:spacing w:before="19"/>
      </w:pPr>
    </w:p>
    <w:p w14:paraId="277A9604">
      <w:pPr>
        <w:spacing w:before="18"/>
      </w:pPr>
    </w:p>
    <w:p w14:paraId="2F85D40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53A90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3" w:hRule="atLeast"/>
        </w:trPr>
        <w:tc>
          <w:tcPr>
            <w:tcW w:w="778" w:type="dxa"/>
            <w:tcBorders>
              <w:right w:val="single" w:color="000000" w:sz="2" w:space="0"/>
            </w:tcBorders>
            <w:vAlign w:val="top"/>
          </w:tcPr>
          <w:p w14:paraId="2D8418C2">
            <w:pPr>
              <w:rPr>
                <w:rFonts w:ascii="Arial"/>
                <w:sz w:val="21"/>
              </w:rPr>
            </w:pPr>
          </w:p>
        </w:tc>
        <w:tc>
          <w:tcPr>
            <w:tcW w:w="8210" w:type="dxa"/>
            <w:tcBorders>
              <w:left w:val="single" w:color="000000" w:sz="2" w:space="0"/>
            </w:tcBorders>
            <w:vAlign w:val="top"/>
          </w:tcPr>
          <w:p w14:paraId="0F3616DE">
            <w:pPr>
              <w:pStyle w:val="6"/>
              <w:spacing w:before="160" w:line="219" w:lineRule="auto"/>
              <w:ind w:left="590"/>
            </w:pPr>
            <w:r>
              <w:rPr>
                <w:rFonts w:ascii="Times New Roman" w:hAnsi="Times New Roman" w:eastAsia="Times New Roman" w:cs="Times New Roman"/>
                <w:spacing w:val="-4"/>
              </w:rPr>
              <w:t>6</w:t>
            </w:r>
            <w:r>
              <w:rPr>
                <w:rFonts w:ascii="Times New Roman" w:hAnsi="Times New Roman" w:eastAsia="Times New Roman" w:cs="Times New Roman"/>
                <w:spacing w:val="-28"/>
              </w:rPr>
              <w:t xml:space="preserve"> </w:t>
            </w:r>
            <w:r>
              <w:rPr>
                <w:spacing w:val="-4"/>
              </w:rPr>
              <w:t>、劳动定员及工作制度</w:t>
            </w:r>
          </w:p>
          <w:p w14:paraId="27912A8F">
            <w:pPr>
              <w:pStyle w:val="6"/>
              <w:spacing w:before="183" w:line="360" w:lineRule="auto"/>
              <w:ind w:left="109" w:right="102" w:firstLine="483"/>
            </w:pPr>
            <w:r>
              <w:rPr>
                <w:spacing w:val="-1"/>
              </w:rPr>
              <w:t>项目全面生产</w:t>
            </w:r>
            <w:r>
              <w:rPr>
                <w:rFonts w:ascii="Times New Roman" w:hAnsi="Times New Roman" w:eastAsia="Times New Roman" w:cs="Times New Roman"/>
                <w:spacing w:val="-1"/>
              </w:rPr>
              <w:t xml:space="preserve">300 </w:t>
            </w:r>
            <w:r>
              <w:rPr>
                <w:spacing w:val="-1"/>
              </w:rPr>
              <w:t>天，每天工作</w:t>
            </w:r>
            <w:r>
              <w:rPr>
                <w:spacing w:val="-32"/>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6"/>
              </w:rPr>
              <w:t xml:space="preserve"> </w:t>
            </w:r>
            <w:r>
              <w:rPr>
                <w:spacing w:val="-1"/>
              </w:rPr>
              <w:t>小时。本项目需配</w:t>
            </w:r>
            <w:r>
              <w:rPr>
                <w:spacing w:val="-2"/>
              </w:rPr>
              <w:t>置的员工人数及生</w:t>
            </w:r>
            <w:r>
              <w:t xml:space="preserve"> </w:t>
            </w:r>
            <w:r>
              <w:rPr>
                <w:spacing w:val="-2"/>
              </w:rPr>
              <w:t>产工作制度见下表：</w:t>
            </w:r>
          </w:p>
          <w:p w14:paraId="026C1164">
            <w:pPr>
              <w:pStyle w:val="6"/>
              <w:spacing w:before="116" w:line="219" w:lineRule="auto"/>
              <w:ind w:left="1868"/>
            </w:pPr>
            <w:r>
              <w:rPr>
                <w:b/>
                <w:bCs/>
                <w:spacing w:val="-2"/>
              </w:rPr>
              <w:t>表</w:t>
            </w:r>
            <w:r>
              <w:rPr>
                <w:spacing w:val="-51"/>
              </w:rPr>
              <w:t xml:space="preserve"> </w:t>
            </w:r>
            <w:r>
              <w:rPr>
                <w:rFonts w:ascii="Times New Roman" w:hAnsi="Times New Roman" w:eastAsia="Times New Roman" w:cs="Times New Roman"/>
                <w:b/>
                <w:bCs/>
                <w:spacing w:val="-2"/>
              </w:rPr>
              <w:t xml:space="preserve">2-9    </w:t>
            </w:r>
            <w:r>
              <w:rPr>
                <w:b/>
                <w:bCs/>
                <w:spacing w:val="-2"/>
              </w:rPr>
              <w:t>本项目工作制度与人员情况一览表</w:t>
            </w:r>
          </w:p>
          <w:p w14:paraId="64CDAC62">
            <w:pPr>
              <w:spacing w:line="147" w:lineRule="exact"/>
            </w:pPr>
          </w:p>
          <w:tbl>
            <w:tblPr>
              <w:tblStyle w:val="5"/>
              <w:tblW w:w="7863" w:type="dxa"/>
              <w:tblInd w:w="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1199"/>
              <w:gridCol w:w="1049"/>
              <w:gridCol w:w="1332"/>
              <w:gridCol w:w="1016"/>
              <w:gridCol w:w="1718"/>
            </w:tblGrid>
            <w:tr w14:paraId="25E17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49" w:type="dxa"/>
                  <w:vMerge w:val="restart"/>
                  <w:tcBorders>
                    <w:bottom w:val="nil"/>
                  </w:tcBorders>
                  <w:vAlign w:val="top"/>
                </w:tcPr>
                <w:p w14:paraId="1804B5C2">
                  <w:pPr>
                    <w:spacing w:line="308" w:lineRule="auto"/>
                    <w:rPr>
                      <w:rFonts w:ascii="Arial"/>
                      <w:sz w:val="21"/>
                    </w:rPr>
                  </w:pPr>
                </w:p>
                <w:p w14:paraId="026D1887">
                  <w:pPr>
                    <w:pStyle w:val="6"/>
                    <w:spacing w:before="65" w:line="228" w:lineRule="auto"/>
                    <w:ind w:left="572"/>
                    <w:rPr>
                      <w:sz w:val="20"/>
                      <w:szCs w:val="20"/>
                    </w:rPr>
                  </w:pPr>
                  <w:r>
                    <w:rPr>
                      <w:b/>
                      <w:bCs/>
                      <w:spacing w:val="2"/>
                      <w:sz w:val="20"/>
                      <w:szCs w:val="20"/>
                    </w:rPr>
                    <w:t>项目</w:t>
                  </w:r>
                </w:p>
              </w:tc>
              <w:tc>
                <w:tcPr>
                  <w:tcW w:w="4596" w:type="dxa"/>
                  <w:gridSpan w:val="4"/>
                  <w:vAlign w:val="top"/>
                </w:tcPr>
                <w:p w14:paraId="54FA4A7B">
                  <w:pPr>
                    <w:pStyle w:val="6"/>
                    <w:spacing w:before="95" w:line="228" w:lineRule="auto"/>
                    <w:ind w:left="2093"/>
                    <w:rPr>
                      <w:sz w:val="20"/>
                      <w:szCs w:val="20"/>
                    </w:rPr>
                  </w:pPr>
                  <w:r>
                    <w:rPr>
                      <w:b/>
                      <w:bCs/>
                      <w:spacing w:val="3"/>
                      <w:sz w:val="20"/>
                      <w:szCs w:val="20"/>
                    </w:rPr>
                    <w:t>数量</w:t>
                  </w:r>
                </w:p>
              </w:tc>
              <w:tc>
                <w:tcPr>
                  <w:tcW w:w="1718" w:type="dxa"/>
                  <w:vMerge w:val="restart"/>
                  <w:tcBorders>
                    <w:bottom w:val="nil"/>
                  </w:tcBorders>
                  <w:vAlign w:val="top"/>
                </w:tcPr>
                <w:p w14:paraId="49368102">
                  <w:pPr>
                    <w:spacing w:line="307" w:lineRule="auto"/>
                    <w:rPr>
                      <w:rFonts w:ascii="Arial"/>
                      <w:sz w:val="21"/>
                    </w:rPr>
                  </w:pPr>
                </w:p>
                <w:p w14:paraId="34A21DE0">
                  <w:pPr>
                    <w:pStyle w:val="6"/>
                    <w:spacing w:before="65" w:line="229" w:lineRule="auto"/>
                    <w:ind w:left="656"/>
                    <w:rPr>
                      <w:sz w:val="20"/>
                      <w:szCs w:val="20"/>
                    </w:rPr>
                  </w:pPr>
                  <w:r>
                    <w:rPr>
                      <w:b/>
                      <w:bCs/>
                      <w:spacing w:val="2"/>
                      <w:sz w:val="20"/>
                      <w:szCs w:val="20"/>
                    </w:rPr>
                    <w:t>备注</w:t>
                  </w:r>
                </w:p>
              </w:tc>
            </w:tr>
            <w:tr w14:paraId="0D8A7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49" w:type="dxa"/>
                  <w:vMerge w:val="continue"/>
                  <w:tcBorders>
                    <w:top w:val="nil"/>
                  </w:tcBorders>
                  <w:vAlign w:val="top"/>
                </w:tcPr>
                <w:p w14:paraId="488DBE8E">
                  <w:pPr>
                    <w:rPr>
                      <w:rFonts w:ascii="Arial"/>
                      <w:sz w:val="21"/>
                    </w:rPr>
                  </w:pPr>
                </w:p>
              </w:tc>
              <w:tc>
                <w:tcPr>
                  <w:tcW w:w="1199" w:type="dxa"/>
                  <w:vAlign w:val="top"/>
                </w:tcPr>
                <w:p w14:paraId="5AC3B989">
                  <w:pPr>
                    <w:pStyle w:val="6"/>
                    <w:spacing w:before="166" w:line="228" w:lineRule="auto"/>
                    <w:ind w:left="185"/>
                    <w:rPr>
                      <w:sz w:val="20"/>
                      <w:szCs w:val="20"/>
                    </w:rPr>
                  </w:pPr>
                  <w:r>
                    <w:rPr>
                      <w:spacing w:val="6"/>
                      <w:sz w:val="20"/>
                      <w:szCs w:val="20"/>
                    </w:rPr>
                    <w:t>现有工程</w:t>
                  </w:r>
                </w:p>
              </w:tc>
              <w:tc>
                <w:tcPr>
                  <w:tcW w:w="1049" w:type="dxa"/>
                  <w:vAlign w:val="top"/>
                </w:tcPr>
                <w:p w14:paraId="49B55A78">
                  <w:pPr>
                    <w:pStyle w:val="6"/>
                    <w:spacing w:before="166" w:line="227" w:lineRule="auto"/>
                    <w:ind w:left="216"/>
                    <w:rPr>
                      <w:sz w:val="20"/>
                      <w:szCs w:val="20"/>
                    </w:rPr>
                  </w:pPr>
                  <w:r>
                    <w:rPr>
                      <w:spacing w:val="6"/>
                      <w:sz w:val="20"/>
                      <w:szCs w:val="20"/>
                    </w:rPr>
                    <w:t>本项目</w:t>
                  </w:r>
                </w:p>
              </w:tc>
              <w:tc>
                <w:tcPr>
                  <w:tcW w:w="1332" w:type="dxa"/>
                  <w:vAlign w:val="top"/>
                </w:tcPr>
                <w:p w14:paraId="69CD75AD">
                  <w:pPr>
                    <w:pStyle w:val="6"/>
                    <w:spacing w:before="31" w:line="227" w:lineRule="auto"/>
                    <w:ind w:left="146"/>
                    <w:rPr>
                      <w:sz w:val="20"/>
                      <w:szCs w:val="20"/>
                    </w:rPr>
                  </w:pPr>
                  <w:r>
                    <w:rPr>
                      <w:spacing w:val="7"/>
                      <w:sz w:val="20"/>
                      <w:szCs w:val="20"/>
                    </w:rPr>
                    <w:t>本项目建成</w:t>
                  </w:r>
                </w:p>
                <w:p w14:paraId="3050E597">
                  <w:pPr>
                    <w:pStyle w:val="6"/>
                    <w:spacing w:before="27" w:line="214" w:lineRule="auto"/>
                    <w:ind w:left="299"/>
                    <w:rPr>
                      <w:rFonts w:ascii="Times New Roman" w:hAnsi="Times New Roman" w:eastAsia="Times New Roman" w:cs="Times New Roman"/>
                      <w:sz w:val="13"/>
                      <w:szCs w:val="13"/>
                    </w:rPr>
                  </w:pPr>
                  <w:r>
                    <w:rPr>
                      <w:spacing w:val="4"/>
                      <w:sz w:val="20"/>
                      <w:szCs w:val="20"/>
                    </w:rPr>
                    <w:t>后全厂</w:t>
                  </w:r>
                  <w:r>
                    <w:rPr>
                      <w:spacing w:val="-30"/>
                      <w:sz w:val="20"/>
                      <w:szCs w:val="20"/>
                    </w:rPr>
                    <w:t xml:space="preserve"> </w:t>
                  </w:r>
                  <w:r>
                    <w:rPr>
                      <w:rFonts w:ascii="Times New Roman" w:hAnsi="Times New Roman" w:eastAsia="Times New Roman" w:cs="Times New Roman"/>
                      <w:spacing w:val="4"/>
                      <w:position w:val="6"/>
                      <w:sz w:val="13"/>
                      <w:szCs w:val="13"/>
                    </w:rPr>
                    <w:t>1</w:t>
                  </w:r>
                </w:p>
              </w:tc>
              <w:tc>
                <w:tcPr>
                  <w:tcW w:w="1016" w:type="dxa"/>
                  <w:vAlign w:val="top"/>
                </w:tcPr>
                <w:p w14:paraId="79951CEE">
                  <w:pPr>
                    <w:pStyle w:val="6"/>
                    <w:spacing w:before="32" w:line="228" w:lineRule="auto"/>
                    <w:ind w:left="198"/>
                    <w:rPr>
                      <w:sz w:val="20"/>
                      <w:szCs w:val="20"/>
                    </w:rPr>
                  </w:pPr>
                  <w:r>
                    <w:rPr>
                      <w:spacing w:val="6"/>
                      <w:sz w:val="20"/>
                      <w:szCs w:val="20"/>
                    </w:rPr>
                    <w:t>变化情</w:t>
                  </w:r>
                </w:p>
                <w:p w14:paraId="5C098A9E">
                  <w:pPr>
                    <w:pStyle w:val="6"/>
                    <w:spacing w:before="25" w:line="214" w:lineRule="auto"/>
                    <w:ind w:left="411"/>
                    <w:rPr>
                      <w:sz w:val="20"/>
                      <w:szCs w:val="20"/>
                    </w:rPr>
                  </w:pPr>
                  <w:r>
                    <w:rPr>
                      <w:sz w:val="20"/>
                      <w:szCs w:val="20"/>
                    </w:rPr>
                    <w:t>况</w:t>
                  </w:r>
                </w:p>
              </w:tc>
              <w:tc>
                <w:tcPr>
                  <w:tcW w:w="1718" w:type="dxa"/>
                  <w:vMerge w:val="continue"/>
                  <w:tcBorders>
                    <w:top w:val="nil"/>
                  </w:tcBorders>
                  <w:vAlign w:val="top"/>
                </w:tcPr>
                <w:p w14:paraId="27BE198C">
                  <w:pPr>
                    <w:rPr>
                      <w:rFonts w:ascii="Arial"/>
                      <w:sz w:val="21"/>
                    </w:rPr>
                  </w:pPr>
                </w:p>
              </w:tc>
            </w:tr>
            <w:tr w14:paraId="52CD0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49" w:type="dxa"/>
                  <w:vAlign w:val="top"/>
                </w:tcPr>
                <w:p w14:paraId="0906A6E9">
                  <w:pPr>
                    <w:pStyle w:val="6"/>
                    <w:spacing w:before="96" w:line="229" w:lineRule="auto"/>
                    <w:ind w:left="256"/>
                    <w:rPr>
                      <w:sz w:val="20"/>
                      <w:szCs w:val="20"/>
                    </w:rPr>
                  </w:pPr>
                  <w:r>
                    <w:rPr>
                      <w:spacing w:val="5"/>
                      <w:sz w:val="20"/>
                      <w:szCs w:val="20"/>
                    </w:rPr>
                    <w:t>人员（人）</w:t>
                  </w:r>
                </w:p>
              </w:tc>
              <w:tc>
                <w:tcPr>
                  <w:tcW w:w="1199" w:type="dxa"/>
                  <w:vAlign w:val="top"/>
                </w:tcPr>
                <w:p w14:paraId="06BB1FAD">
                  <w:pPr>
                    <w:spacing w:before="132"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049" w:type="dxa"/>
                  <w:vAlign w:val="top"/>
                </w:tcPr>
                <w:p w14:paraId="581D522C">
                  <w:pPr>
                    <w:spacing w:before="132"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332" w:type="dxa"/>
                  <w:vAlign w:val="top"/>
                </w:tcPr>
                <w:p w14:paraId="01B35A0A">
                  <w:pPr>
                    <w:spacing w:before="132"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390</w:t>
                  </w:r>
                </w:p>
              </w:tc>
              <w:tc>
                <w:tcPr>
                  <w:tcW w:w="1016" w:type="dxa"/>
                  <w:vAlign w:val="top"/>
                </w:tcPr>
                <w:p w14:paraId="50E70056">
                  <w:pPr>
                    <w:spacing w:before="13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w:t>
                  </w:r>
                </w:p>
              </w:tc>
              <w:tc>
                <w:tcPr>
                  <w:tcW w:w="1718" w:type="dxa"/>
                  <w:vAlign w:val="top"/>
                </w:tcPr>
                <w:p w14:paraId="499CEA53">
                  <w:pPr>
                    <w:pStyle w:val="6"/>
                    <w:spacing w:before="96" w:line="228" w:lineRule="auto"/>
                    <w:ind w:left="133"/>
                    <w:rPr>
                      <w:sz w:val="20"/>
                      <w:szCs w:val="20"/>
                    </w:rPr>
                  </w:pPr>
                  <w:r>
                    <w:rPr>
                      <w:spacing w:val="7"/>
                      <w:sz w:val="20"/>
                      <w:szCs w:val="20"/>
                    </w:rPr>
                    <w:t>厂区内不设食堂</w:t>
                  </w:r>
                </w:p>
              </w:tc>
            </w:tr>
          </w:tbl>
          <w:p w14:paraId="0B9711CC">
            <w:pPr>
              <w:spacing w:before="31" w:line="235" w:lineRule="auto"/>
              <w:ind w:left="539"/>
              <w:rPr>
                <w:rFonts w:ascii="楷体" w:hAnsi="楷体" w:eastAsia="楷体" w:cs="楷体"/>
                <w:sz w:val="20"/>
                <w:szCs w:val="20"/>
              </w:rPr>
            </w:pPr>
            <w:r>
              <w:rPr>
                <w:rFonts w:ascii="楷体" w:hAnsi="楷体" w:eastAsia="楷体" w:cs="楷体"/>
                <w:spacing w:val="7"/>
                <w:sz w:val="20"/>
                <w:szCs w:val="20"/>
              </w:rPr>
              <w:t>注：拆除原项目的</w:t>
            </w:r>
            <w:r>
              <w:rPr>
                <w:rFonts w:ascii="楷体" w:hAnsi="楷体" w:eastAsia="楷体" w:cs="楷体"/>
                <w:spacing w:val="-32"/>
                <w:sz w:val="20"/>
                <w:szCs w:val="20"/>
              </w:rPr>
              <w:t xml:space="preserve"> </w:t>
            </w:r>
            <w:r>
              <w:rPr>
                <w:rFonts w:ascii="Times New Roman" w:hAnsi="Times New Roman" w:eastAsia="Times New Roman" w:cs="Times New Roman"/>
                <w:spacing w:val="7"/>
                <w:sz w:val="20"/>
                <w:szCs w:val="20"/>
              </w:rPr>
              <w:t>4#</w:t>
            </w:r>
            <w:r>
              <w:rPr>
                <w:rFonts w:ascii="楷体" w:hAnsi="楷体" w:eastAsia="楷体" w:cs="楷体"/>
                <w:spacing w:val="7"/>
                <w:sz w:val="20"/>
                <w:szCs w:val="20"/>
              </w:rPr>
              <w:t>楼泡酸车间后对应员工减少约</w:t>
            </w:r>
            <w:r>
              <w:rPr>
                <w:rFonts w:ascii="楷体" w:hAnsi="楷体" w:eastAsia="楷体" w:cs="楷体"/>
                <w:spacing w:val="-39"/>
                <w:sz w:val="20"/>
                <w:szCs w:val="20"/>
              </w:rPr>
              <w:t xml:space="preserve"> </w:t>
            </w:r>
            <w:r>
              <w:rPr>
                <w:rFonts w:ascii="Times New Roman" w:hAnsi="Times New Roman" w:eastAsia="Times New Roman" w:cs="Times New Roman"/>
                <w:spacing w:val="7"/>
                <w:sz w:val="20"/>
                <w:szCs w:val="20"/>
              </w:rPr>
              <w:t xml:space="preserve">30 </w:t>
            </w:r>
            <w:r>
              <w:rPr>
                <w:rFonts w:ascii="楷体" w:hAnsi="楷体" w:eastAsia="楷体" w:cs="楷体"/>
                <w:spacing w:val="7"/>
                <w:sz w:val="20"/>
                <w:szCs w:val="20"/>
              </w:rPr>
              <w:t>人。</w:t>
            </w:r>
          </w:p>
          <w:p w14:paraId="042AD1A2">
            <w:pPr>
              <w:pStyle w:val="6"/>
              <w:spacing w:before="141" w:line="219" w:lineRule="auto"/>
              <w:ind w:left="528"/>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9"/>
                <w:sz w:val="20"/>
                <w:szCs w:val="20"/>
              </w:rPr>
              <w:t xml:space="preserve"> </w:t>
            </w:r>
            <w:r>
              <w:rPr>
                <w:spacing w:val="-4"/>
                <w:sz w:val="20"/>
                <w:szCs w:val="20"/>
              </w:rPr>
              <w:t>、</w:t>
            </w:r>
            <w:r>
              <w:rPr>
                <w:spacing w:val="-4"/>
              </w:rPr>
              <w:t>给水</w:t>
            </w:r>
          </w:p>
          <w:p w14:paraId="2B160ECB">
            <w:pPr>
              <w:pStyle w:val="6"/>
              <w:spacing w:before="185" w:line="359" w:lineRule="auto"/>
              <w:ind w:left="108" w:right="41" w:firstLine="482"/>
            </w:pPr>
            <w:r>
              <w:rPr>
                <w:spacing w:val="-6"/>
              </w:rPr>
              <w:t>本项目水源由市政供水管网供给。项目用水包括配制酸液用水、中和（泡</w:t>
            </w:r>
            <w:r>
              <w:rPr>
                <w:spacing w:val="17"/>
              </w:rPr>
              <w:t xml:space="preserve"> </w:t>
            </w:r>
            <w:r>
              <w:rPr>
                <w:spacing w:val="-3"/>
              </w:rPr>
              <w:t>碱）用水、清洗用水、喷淋用水和员工生活用水</w:t>
            </w:r>
            <w:r>
              <w:rPr>
                <w:spacing w:val="-4"/>
              </w:rPr>
              <w:t>，总用水量约为</w:t>
            </w:r>
            <w:r>
              <w:rPr>
                <w:spacing w:val="-32"/>
              </w:rPr>
              <w:t xml:space="preserve"> </w:t>
            </w:r>
            <w:r>
              <w:rPr>
                <w:rFonts w:ascii="Times New Roman" w:hAnsi="Times New Roman" w:eastAsia="Times New Roman" w:cs="Times New Roman"/>
                <w:spacing w:val="-4"/>
              </w:rPr>
              <w:t>167163.3t/a</w:t>
            </w:r>
            <w:r>
              <w:rPr>
                <w:spacing w:val="-4"/>
              </w:rPr>
              <w:t>，</w:t>
            </w:r>
            <w:r>
              <w:t xml:space="preserve"> </w:t>
            </w:r>
            <w:r>
              <w:rPr>
                <w:spacing w:val="-3"/>
              </w:rPr>
              <w:t>约</w:t>
            </w:r>
            <w:r>
              <w:rPr>
                <w:spacing w:val="-42"/>
              </w:rPr>
              <w:t xml:space="preserve"> </w:t>
            </w:r>
            <w:r>
              <w:rPr>
                <w:rFonts w:ascii="Times New Roman" w:hAnsi="Times New Roman" w:eastAsia="Times New Roman" w:cs="Times New Roman"/>
                <w:spacing w:val="-3"/>
              </w:rPr>
              <w:t>557.211t/a</w:t>
            </w:r>
            <w:r>
              <w:rPr>
                <w:spacing w:val="-3"/>
              </w:rPr>
              <w:t>。</w:t>
            </w:r>
          </w:p>
          <w:p w14:paraId="5407F673">
            <w:pPr>
              <w:pStyle w:val="6"/>
              <w:spacing w:line="219" w:lineRule="auto"/>
              <w:ind w:left="601"/>
            </w:pPr>
            <w:r>
              <w:rPr>
                <w:spacing w:val="-3"/>
              </w:rPr>
              <w:t>（</w:t>
            </w:r>
            <w:r>
              <w:rPr>
                <w:rFonts w:ascii="Times New Roman" w:hAnsi="Times New Roman" w:eastAsia="Times New Roman" w:cs="Times New Roman"/>
                <w:spacing w:val="-3"/>
              </w:rPr>
              <w:t>1</w:t>
            </w:r>
            <w:r>
              <w:rPr>
                <w:spacing w:val="-3"/>
              </w:rPr>
              <w:t>）配制酸液用水</w:t>
            </w:r>
          </w:p>
          <w:p w14:paraId="228E2E2D">
            <w:pPr>
              <w:pStyle w:val="6"/>
              <w:spacing w:before="182" w:line="359" w:lineRule="auto"/>
              <w:ind w:left="110" w:right="102" w:firstLine="480"/>
            </w:pPr>
            <w:r>
              <w:rPr>
                <w:spacing w:val="-1"/>
              </w:rPr>
              <w:t>本项目胶桶总数为</w:t>
            </w:r>
            <w:r>
              <w:rPr>
                <w:spacing w:val="-48"/>
              </w:rPr>
              <w:t xml:space="preserve"> </w:t>
            </w:r>
            <w:r>
              <w:rPr>
                <w:rFonts w:ascii="Times New Roman" w:hAnsi="Times New Roman" w:eastAsia="Times New Roman" w:cs="Times New Roman"/>
                <w:spacing w:val="-1"/>
              </w:rPr>
              <w:t xml:space="preserve">5236 </w:t>
            </w:r>
            <w:r>
              <w:rPr>
                <w:spacing w:val="-1"/>
              </w:rPr>
              <w:t>个，单桶容积为</w:t>
            </w:r>
            <w:r>
              <w:rPr>
                <w:spacing w:val="-51"/>
              </w:rPr>
              <w:t xml:space="preserve"> </w:t>
            </w:r>
            <w:r>
              <w:rPr>
                <w:rFonts w:ascii="Times New Roman" w:hAnsi="Times New Roman" w:eastAsia="Times New Roman" w:cs="Times New Roman"/>
                <w:spacing w:val="-1"/>
              </w:rPr>
              <w:t>0.24m</w:t>
            </w:r>
            <w:r>
              <w:rPr>
                <w:spacing w:val="-1"/>
              </w:rPr>
              <w:t>³ (</w:t>
            </w:r>
            <w:r>
              <w:rPr>
                <w:rFonts w:ascii="Times New Roman" w:hAnsi="Times New Roman" w:eastAsia="Times New Roman" w:cs="Times New Roman"/>
                <w:spacing w:val="-1"/>
              </w:rPr>
              <w:t>Φ0.58×</w:t>
            </w:r>
            <w:r>
              <w:rPr>
                <w:rFonts w:ascii="Times New Roman" w:hAnsi="Times New Roman" w:eastAsia="Times New Roman" w:cs="Times New Roman"/>
                <w:spacing w:val="-2"/>
              </w:rPr>
              <w:t>0.92m</w:t>
            </w:r>
            <w:r>
              <w:rPr>
                <w:spacing w:val="4"/>
              </w:rPr>
              <w:t>），</w:t>
            </w:r>
            <w:r>
              <w:rPr>
                <w:spacing w:val="-2"/>
              </w:rPr>
              <w:t>酸液</w:t>
            </w:r>
            <w:r>
              <w:t xml:space="preserve"> </w:t>
            </w:r>
            <w:r>
              <w:rPr>
                <w:spacing w:val="-2"/>
              </w:rPr>
              <w:t>投加量约占单桶容积的</w:t>
            </w:r>
            <w:r>
              <w:rPr>
                <w:spacing w:val="-36"/>
              </w:rPr>
              <w:t xml:space="preserve"> </w:t>
            </w:r>
            <w:r>
              <w:rPr>
                <w:rFonts w:ascii="Times New Roman" w:hAnsi="Times New Roman" w:eastAsia="Times New Roman" w:cs="Times New Roman"/>
                <w:spacing w:val="-2"/>
              </w:rPr>
              <w:t>60%</w:t>
            </w:r>
            <w:r>
              <w:rPr>
                <w:rFonts w:ascii="Times New Roman" w:hAnsi="Times New Roman" w:eastAsia="Times New Roman" w:cs="Times New Roman"/>
                <w:spacing w:val="-30"/>
              </w:rPr>
              <w:t xml:space="preserve"> </w:t>
            </w:r>
            <w:r>
              <w:rPr>
                <w:spacing w:val="-2"/>
              </w:rPr>
              <w:t>。其中盐酸、硫酸、硝酸等添加量约占酸液量的</w:t>
            </w:r>
            <w:r>
              <w:t xml:space="preserve"> </w:t>
            </w:r>
            <w:r>
              <w:rPr>
                <w:rFonts w:ascii="Times New Roman" w:hAnsi="Times New Roman" w:eastAsia="Times New Roman" w:cs="Times New Roman"/>
                <w:spacing w:val="-4"/>
              </w:rPr>
              <w:t>90%</w:t>
            </w:r>
            <w:r>
              <w:rPr>
                <w:rFonts w:ascii="Times New Roman" w:hAnsi="Times New Roman" w:eastAsia="Times New Roman" w:cs="Times New Roman"/>
                <w:spacing w:val="-34"/>
              </w:rPr>
              <w:t xml:space="preserve"> </w:t>
            </w:r>
            <w:r>
              <w:rPr>
                <w:spacing w:val="-4"/>
              </w:rPr>
              <w:t>，水用量约占酸液量的</w:t>
            </w:r>
            <w:r>
              <w:rPr>
                <w:spacing w:val="-32"/>
              </w:rPr>
              <w:t xml:space="preserve"> </w:t>
            </w:r>
            <w:r>
              <w:rPr>
                <w:rFonts w:ascii="Times New Roman" w:hAnsi="Times New Roman" w:eastAsia="Times New Roman" w:cs="Times New Roman"/>
                <w:spacing w:val="-4"/>
              </w:rPr>
              <w:t>10%</w:t>
            </w:r>
            <w:r>
              <w:rPr>
                <w:spacing w:val="-4"/>
              </w:rPr>
              <w:t>。</w:t>
            </w:r>
          </w:p>
          <w:p w14:paraId="51E7C91D">
            <w:pPr>
              <w:pStyle w:val="6"/>
              <w:spacing w:before="6" w:line="358" w:lineRule="auto"/>
              <w:ind w:left="110" w:right="101" w:firstLine="480"/>
              <w:jc w:val="both"/>
            </w:pPr>
            <w:r>
              <w:rPr>
                <w:spacing w:val="-1"/>
              </w:rPr>
              <w:t>泡酸生产全流程周期约</w:t>
            </w:r>
            <w:r>
              <w:rPr>
                <w:spacing w:val="-38"/>
              </w:rPr>
              <w:t xml:space="preserve"> </w:t>
            </w:r>
            <w:r>
              <w:rPr>
                <w:rFonts w:ascii="Times New Roman" w:hAnsi="Times New Roman" w:eastAsia="Times New Roman" w:cs="Times New Roman"/>
                <w:spacing w:val="-1"/>
              </w:rPr>
              <w:t>21</w:t>
            </w:r>
            <w:r>
              <w:rPr>
                <w:rFonts w:ascii="Times New Roman" w:hAnsi="Times New Roman" w:eastAsia="Times New Roman" w:cs="Times New Roman"/>
                <w:spacing w:val="17"/>
              </w:rPr>
              <w:t xml:space="preserve"> </w:t>
            </w:r>
            <w:r>
              <w:rPr>
                <w:spacing w:val="-1"/>
              </w:rPr>
              <w:t>天，年生产</w:t>
            </w:r>
            <w:r>
              <w:rPr>
                <w:spacing w:val="-48"/>
              </w:rPr>
              <w:t xml:space="preserve"> </w:t>
            </w:r>
            <w:r>
              <w:rPr>
                <w:rFonts w:ascii="Times New Roman" w:hAnsi="Times New Roman" w:eastAsia="Times New Roman" w:cs="Times New Roman"/>
                <w:spacing w:val="-1"/>
              </w:rPr>
              <w:t>300</w:t>
            </w:r>
            <w:r>
              <w:rPr>
                <w:rFonts w:ascii="Times New Roman" w:hAnsi="Times New Roman" w:eastAsia="Times New Roman" w:cs="Times New Roman"/>
                <w:spacing w:val="16"/>
                <w:w w:val="101"/>
              </w:rPr>
              <w:t xml:space="preserve"> </w:t>
            </w:r>
            <w:r>
              <w:rPr>
                <w:spacing w:val="-1"/>
              </w:rPr>
              <w:t>天，即全年生产</w:t>
            </w:r>
            <w:r>
              <w:rPr>
                <w:spacing w:val="-30"/>
              </w:rPr>
              <w:t xml:space="preserve"> </w:t>
            </w:r>
            <w:r>
              <w:rPr>
                <w:rFonts w:ascii="Times New Roman" w:hAnsi="Times New Roman" w:eastAsia="Times New Roman" w:cs="Times New Roman"/>
                <w:spacing w:val="-1"/>
              </w:rPr>
              <w:t xml:space="preserve">14 </w:t>
            </w:r>
            <w:r>
              <w:rPr>
                <w:spacing w:val="-1"/>
              </w:rPr>
              <w:t>批次。则</w:t>
            </w:r>
            <w:r>
              <w:t xml:space="preserve"> </w:t>
            </w:r>
            <w:r>
              <w:rPr>
                <w:spacing w:val="-3"/>
              </w:rPr>
              <w:t>酸液补充量为</w:t>
            </w:r>
            <w:r>
              <w:rPr>
                <w:spacing w:val="-34"/>
              </w:rPr>
              <w:t xml:space="preserve"> </w:t>
            </w:r>
            <w:r>
              <w:rPr>
                <w:rFonts w:ascii="Times New Roman" w:hAnsi="Times New Roman" w:eastAsia="Times New Roman" w:cs="Times New Roman"/>
                <w:spacing w:val="-3"/>
              </w:rPr>
              <w:t>0.24m</w:t>
            </w:r>
            <w:r>
              <w:rPr>
                <w:spacing w:val="-3"/>
              </w:rPr>
              <w:t>³</w:t>
            </w:r>
            <w:r>
              <w:rPr>
                <w:spacing w:val="-77"/>
              </w:rPr>
              <w:t xml:space="preserve"> </w:t>
            </w:r>
            <w:r>
              <w:rPr>
                <w:spacing w:val="-3"/>
              </w:rPr>
              <w:t>×</w:t>
            </w:r>
            <w:r>
              <w:rPr>
                <w:rFonts w:ascii="Times New Roman" w:hAnsi="Times New Roman" w:eastAsia="Times New Roman" w:cs="Times New Roman"/>
                <w:spacing w:val="-3"/>
              </w:rPr>
              <w:t>60%</w:t>
            </w:r>
            <w:r>
              <w:rPr>
                <w:spacing w:val="-3"/>
              </w:rPr>
              <w:t>×</w:t>
            </w:r>
            <w:r>
              <w:rPr>
                <w:rFonts w:ascii="Times New Roman" w:hAnsi="Times New Roman" w:eastAsia="Times New Roman" w:cs="Times New Roman"/>
                <w:spacing w:val="-3"/>
              </w:rPr>
              <w:t>5236</w:t>
            </w:r>
            <w:r>
              <w:rPr>
                <w:spacing w:val="-3"/>
              </w:rPr>
              <w:t>×</w:t>
            </w:r>
            <w:r>
              <w:rPr>
                <w:rFonts w:ascii="Times New Roman" w:hAnsi="Times New Roman" w:eastAsia="Times New Roman" w:cs="Times New Roman"/>
                <w:spacing w:val="-3"/>
              </w:rPr>
              <w:t>14=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10556t/a</w:t>
            </w:r>
            <w:r>
              <w:rPr>
                <w:rFonts w:ascii="Times New Roman" w:hAnsi="Times New Roman" w:eastAsia="Times New Roman" w:cs="Times New Roman"/>
                <w:spacing w:val="-30"/>
              </w:rPr>
              <w:t xml:space="preserve"> </w:t>
            </w:r>
            <w:r>
              <w:rPr>
                <w:spacing w:val="-3"/>
              </w:rPr>
              <w:t>，其中的</w:t>
            </w:r>
            <w:r>
              <w:rPr>
                <w:spacing w:val="-48"/>
              </w:rPr>
              <w:t xml:space="preserve"> </w:t>
            </w:r>
            <w:r>
              <w:rPr>
                <w:rFonts w:ascii="Times New Roman" w:hAnsi="Times New Roman" w:eastAsia="Times New Roman" w:cs="Times New Roman"/>
                <w:spacing w:val="-3"/>
              </w:rPr>
              <w:t>50%</w:t>
            </w:r>
            <w:r>
              <w:rPr>
                <w:spacing w:val="-3"/>
              </w:rPr>
              <w:t>为泡酸废液回</w:t>
            </w:r>
            <w:r>
              <w:t xml:space="preserve"> </w:t>
            </w:r>
            <w:r>
              <w:rPr>
                <w:spacing w:val="2"/>
              </w:rPr>
              <w:t>用的酸液（泡酸过程中会损耗酸，溶液酸度会下降，需排掉少量酸液后再与</w:t>
            </w:r>
            <w:r>
              <w:t xml:space="preserve"> </w:t>
            </w:r>
            <w:r>
              <w:rPr>
                <w:spacing w:val="2"/>
              </w:rPr>
              <w:t>原料酸重新调配以维持所需要的酸度</w:t>
            </w:r>
            <w:r>
              <w:rPr>
                <w:spacing w:val="20"/>
              </w:rPr>
              <w:t>），</w:t>
            </w:r>
            <w:r>
              <w:rPr>
                <w:spacing w:val="2"/>
              </w:rPr>
              <w:t>即新鲜</w:t>
            </w:r>
            <w:r>
              <w:rPr>
                <w:spacing w:val="1"/>
              </w:rPr>
              <w:t>配制的酸液的量为</w:t>
            </w:r>
            <w:r>
              <w:rPr>
                <w:spacing w:val="-28"/>
              </w:rPr>
              <w:t xml:space="preserve"> </w:t>
            </w:r>
            <w:r>
              <w:rPr>
                <w:rFonts w:ascii="Times New Roman" w:hAnsi="Times New Roman" w:eastAsia="Times New Roman" w:cs="Times New Roman"/>
                <w:spacing w:val="1"/>
              </w:rPr>
              <w:t>10556t/a</w:t>
            </w:r>
            <w:r>
              <w:rPr>
                <w:rFonts w:ascii="Times New Roman" w:hAnsi="Times New Roman" w:eastAsia="Times New Roman" w:cs="Times New Roman"/>
              </w:rPr>
              <w:t xml:space="preserve"> </w:t>
            </w:r>
            <w:r>
              <w:rPr>
                <w:spacing w:val="-1"/>
              </w:rPr>
              <w:t>×</w:t>
            </w:r>
            <w:r>
              <w:rPr>
                <w:rFonts w:ascii="Times New Roman" w:hAnsi="Times New Roman" w:eastAsia="Times New Roman" w:cs="Times New Roman"/>
                <w:spacing w:val="-1"/>
              </w:rPr>
              <w:t>50%=5278t/a</w:t>
            </w:r>
            <w:r>
              <w:rPr>
                <w:rFonts w:ascii="Times New Roman" w:hAnsi="Times New Roman" w:eastAsia="Times New Roman" w:cs="Times New Roman"/>
                <w:spacing w:val="-31"/>
              </w:rPr>
              <w:t xml:space="preserve"> </w:t>
            </w:r>
            <w:r>
              <w:rPr>
                <w:spacing w:val="-1"/>
              </w:rPr>
              <w:t>，则配酸需水量约为</w:t>
            </w:r>
            <w:r>
              <w:rPr>
                <w:spacing w:val="-49"/>
              </w:rPr>
              <w:t xml:space="preserve"> </w:t>
            </w:r>
            <w:r>
              <w:rPr>
                <w:rFonts w:ascii="Times New Roman" w:hAnsi="Times New Roman" w:eastAsia="Times New Roman" w:cs="Times New Roman"/>
                <w:spacing w:val="-1"/>
              </w:rPr>
              <w:t>5278t/a</w:t>
            </w:r>
            <w:r>
              <w:rPr>
                <w:spacing w:val="-1"/>
              </w:rPr>
              <w:t>×</w:t>
            </w:r>
            <w:r>
              <w:rPr>
                <w:rFonts w:ascii="Times New Roman" w:hAnsi="Times New Roman" w:eastAsia="Times New Roman" w:cs="Times New Roman"/>
                <w:spacing w:val="-1"/>
              </w:rPr>
              <w:t>10%=527.8t/a</w:t>
            </w:r>
            <w:r>
              <w:rPr>
                <w:spacing w:val="-1"/>
              </w:rPr>
              <w:t>（</w:t>
            </w:r>
            <w:r>
              <w:rPr>
                <w:rFonts w:ascii="Times New Roman" w:hAnsi="Times New Roman" w:eastAsia="Times New Roman" w:cs="Times New Roman"/>
                <w:spacing w:val="-1"/>
              </w:rPr>
              <w:t>1.759t/d</w:t>
            </w:r>
            <w:r>
              <w:rPr>
                <w:spacing w:val="-2"/>
              </w:rPr>
              <w:t>）。</w:t>
            </w:r>
          </w:p>
          <w:p w14:paraId="0B4583C9">
            <w:pPr>
              <w:pStyle w:val="6"/>
              <w:spacing w:before="1" w:line="220" w:lineRule="auto"/>
              <w:ind w:left="601"/>
            </w:pPr>
            <w:r>
              <w:rPr>
                <w:spacing w:val="-5"/>
              </w:rPr>
              <w:t>（</w:t>
            </w:r>
            <w:r>
              <w:rPr>
                <w:rFonts w:ascii="Times New Roman" w:hAnsi="Times New Roman" w:eastAsia="Times New Roman" w:cs="Times New Roman"/>
                <w:spacing w:val="-5"/>
              </w:rPr>
              <w:t>2</w:t>
            </w:r>
            <w:r>
              <w:rPr>
                <w:spacing w:val="-5"/>
              </w:rPr>
              <w:t>）泡酸</w:t>
            </w:r>
          </w:p>
          <w:p w14:paraId="7A7AC60F">
            <w:pPr>
              <w:pStyle w:val="6"/>
              <w:spacing w:before="180" w:line="351" w:lineRule="auto"/>
              <w:ind w:left="109" w:right="102" w:firstLine="455"/>
            </w:pPr>
            <w:r>
              <w:rPr>
                <w:spacing w:val="-12"/>
              </w:rPr>
              <w:t>在胶桶内进行宝石的泡酸加工，酸液投加量约占单桶容积的</w:t>
            </w:r>
            <w:r>
              <w:rPr>
                <w:spacing w:val="-61"/>
              </w:rPr>
              <w:t xml:space="preserve"> </w:t>
            </w:r>
            <w:r>
              <w:rPr>
                <w:rFonts w:ascii="Times New Roman" w:hAnsi="Times New Roman" w:eastAsia="Times New Roman" w:cs="Times New Roman"/>
                <w:spacing w:val="-12"/>
              </w:rPr>
              <w:t>60%</w:t>
            </w:r>
            <w:r>
              <w:rPr>
                <w:spacing w:val="-12"/>
              </w:rPr>
              <w:t>。平均最大</w:t>
            </w:r>
            <w:r>
              <w:t xml:space="preserve"> </w:t>
            </w:r>
            <w:r>
              <w:rPr>
                <w:spacing w:val="-5"/>
              </w:rPr>
              <w:t>泡酸浸泡时间</w:t>
            </w:r>
            <w:r>
              <w:rPr>
                <w:spacing w:val="-32"/>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14"/>
              </w:rPr>
              <w:t xml:space="preserve"> </w:t>
            </w:r>
            <w:r>
              <w:rPr>
                <w:spacing w:val="-5"/>
              </w:rPr>
              <w:t>天，排</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w w:val="101"/>
              </w:rPr>
              <w:t xml:space="preserve"> </w:t>
            </w:r>
            <w:r>
              <w:rPr>
                <w:spacing w:val="-5"/>
              </w:rPr>
              <w:t>次废酸，全年生产</w:t>
            </w:r>
            <w:r>
              <w:rPr>
                <w:spacing w:val="-30"/>
              </w:rPr>
              <w:t xml:space="preserve"> </w:t>
            </w:r>
            <w:r>
              <w:rPr>
                <w:rFonts w:ascii="Times New Roman" w:hAnsi="Times New Roman" w:eastAsia="Times New Roman" w:cs="Times New Roman"/>
                <w:spacing w:val="-5"/>
              </w:rPr>
              <w:t xml:space="preserve">14 </w:t>
            </w:r>
            <w:r>
              <w:rPr>
                <w:spacing w:val="-5"/>
              </w:rPr>
              <w:t>批次，则排出的酸液量为酸液</w:t>
            </w:r>
            <w:r>
              <w:t xml:space="preserve"> </w:t>
            </w:r>
            <w:r>
              <w:rPr>
                <w:spacing w:val="-7"/>
              </w:rPr>
              <w:t>补充量为</w:t>
            </w:r>
            <w:r>
              <w:rPr>
                <w:spacing w:val="-52"/>
              </w:rPr>
              <w:t xml:space="preserve"> </w:t>
            </w:r>
            <w:r>
              <w:rPr>
                <w:rFonts w:ascii="Times New Roman" w:hAnsi="Times New Roman" w:eastAsia="Times New Roman" w:cs="Times New Roman"/>
                <w:spacing w:val="-7"/>
              </w:rPr>
              <w:t>0.24m</w:t>
            </w:r>
            <w:r>
              <w:rPr>
                <w:spacing w:val="-7"/>
              </w:rPr>
              <w:t>³</w:t>
            </w:r>
            <w:r>
              <w:rPr>
                <w:spacing w:val="-77"/>
              </w:rPr>
              <w:t xml:space="preserve"> </w:t>
            </w:r>
            <w:r>
              <w:rPr>
                <w:spacing w:val="-7"/>
              </w:rPr>
              <w:t>×</w:t>
            </w:r>
            <w:r>
              <w:rPr>
                <w:rFonts w:ascii="Times New Roman" w:hAnsi="Times New Roman" w:eastAsia="Times New Roman" w:cs="Times New Roman"/>
                <w:spacing w:val="-7"/>
              </w:rPr>
              <w:t>60%</w:t>
            </w:r>
            <w:r>
              <w:rPr>
                <w:spacing w:val="-7"/>
              </w:rPr>
              <w:t>×</w:t>
            </w:r>
            <w:r>
              <w:rPr>
                <w:rFonts w:ascii="Times New Roman" w:hAnsi="Times New Roman" w:eastAsia="Times New Roman" w:cs="Times New Roman"/>
                <w:spacing w:val="-7"/>
              </w:rPr>
              <w:t>5236</w:t>
            </w:r>
            <w:r>
              <w:rPr>
                <w:spacing w:val="-7"/>
              </w:rPr>
              <w:t>×</w:t>
            </w:r>
            <w:r>
              <w:rPr>
                <w:rFonts w:ascii="Times New Roman" w:hAnsi="Times New Roman" w:eastAsia="Times New Roman" w:cs="Times New Roman"/>
                <w:spacing w:val="-7"/>
              </w:rPr>
              <w:t>14=</w:t>
            </w:r>
            <w:r>
              <w:rPr>
                <w:rFonts w:ascii="Times New Roman" w:hAnsi="Times New Roman" w:eastAsia="Times New Roman" w:cs="Times New Roman"/>
                <w:spacing w:val="-30"/>
              </w:rPr>
              <w:t xml:space="preserve"> </w:t>
            </w:r>
            <w:r>
              <w:rPr>
                <w:rFonts w:ascii="Times New Roman" w:hAnsi="Times New Roman" w:eastAsia="Times New Roman" w:cs="Times New Roman"/>
                <w:spacing w:val="-7"/>
              </w:rPr>
              <w:t>10556t/a</w:t>
            </w:r>
            <w:r>
              <w:rPr>
                <w:rFonts w:ascii="Times New Roman" w:hAnsi="Times New Roman" w:eastAsia="Times New Roman" w:cs="Times New Roman"/>
                <w:spacing w:val="-32"/>
              </w:rPr>
              <w:t xml:space="preserve"> </w:t>
            </w:r>
            <w:r>
              <w:rPr>
                <w:spacing w:val="-7"/>
              </w:rPr>
              <w:t>，该酸液量</w:t>
            </w:r>
            <w:r>
              <w:rPr>
                <w:spacing w:val="-65"/>
              </w:rPr>
              <w:t xml:space="preserve"> </w:t>
            </w:r>
            <w:r>
              <w:rPr>
                <w:rFonts w:ascii="Times New Roman" w:hAnsi="Times New Roman" w:eastAsia="Times New Roman" w:cs="Times New Roman"/>
                <w:spacing w:val="-8"/>
              </w:rPr>
              <w:t>50%</w:t>
            </w:r>
            <w:r>
              <w:rPr>
                <w:spacing w:val="-8"/>
              </w:rPr>
              <w:t>回用到配酸工序，</w:t>
            </w:r>
            <w:r>
              <w:t xml:space="preserve"> </w:t>
            </w:r>
            <w:r>
              <w:rPr>
                <w:spacing w:val="-9"/>
              </w:rPr>
              <w:t>即回用的酸量为</w:t>
            </w:r>
            <w:r>
              <w:rPr>
                <w:spacing w:val="-57"/>
              </w:rPr>
              <w:t xml:space="preserve"> </w:t>
            </w:r>
            <w:r>
              <w:rPr>
                <w:rFonts w:ascii="Times New Roman" w:hAnsi="Times New Roman" w:eastAsia="Times New Roman" w:cs="Times New Roman"/>
                <w:spacing w:val="-9"/>
              </w:rPr>
              <w:t>5278t/a</w:t>
            </w:r>
            <w:r>
              <w:rPr>
                <w:spacing w:val="-9"/>
              </w:rPr>
              <w:t>。</w:t>
            </w:r>
          </w:p>
          <w:p w14:paraId="1975754B">
            <w:pPr>
              <w:pStyle w:val="6"/>
              <w:spacing w:before="1" w:line="353" w:lineRule="auto"/>
              <w:ind w:left="112" w:right="102" w:firstLine="479"/>
            </w:pPr>
            <w:r>
              <w:t>泡酸后的宝石含水约</w:t>
            </w:r>
            <w:r>
              <w:rPr>
                <w:spacing w:val="-55"/>
              </w:rPr>
              <w:t xml:space="preserve"> </w:t>
            </w:r>
            <w:r>
              <w:rPr>
                <w:rFonts w:ascii="Times New Roman" w:hAnsi="Times New Roman" w:eastAsia="Times New Roman" w:cs="Times New Roman"/>
              </w:rPr>
              <w:t>25%</w:t>
            </w:r>
            <w:r>
              <w:rPr>
                <w:rFonts w:ascii="Times New Roman" w:hAnsi="Times New Roman" w:eastAsia="Times New Roman" w:cs="Times New Roman"/>
                <w:spacing w:val="-27"/>
              </w:rPr>
              <w:t xml:space="preserve"> </w:t>
            </w:r>
            <w:r>
              <w:t>，宝石带出量为</w:t>
            </w:r>
            <w:r>
              <w:rPr>
                <w:spacing w:val="-32"/>
              </w:rPr>
              <w:t xml:space="preserve"> </w:t>
            </w:r>
            <w:r>
              <w:rPr>
                <w:rFonts w:ascii="Times New Roman" w:hAnsi="Times New Roman" w:eastAsia="Times New Roman" w:cs="Times New Roman"/>
              </w:rPr>
              <w:t>10000t/a</w:t>
            </w:r>
            <w:r>
              <w:t>×</w:t>
            </w:r>
            <w:r>
              <w:rPr>
                <w:rFonts w:ascii="Times New Roman" w:hAnsi="Times New Roman" w:eastAsia="Times New Roman" w:cs="Times New Roman"/>
              </w:rPr>
              <w:t>25</w:t>
            </w:r>
            <w:r>
              <w:rPr>
                <w:rFonts w:ascii="Times New Roman" w:hAnsi="Times New Roman" w:eastAsia="Times New Roman" w:cs="Times New Roman"/>
                <w:spacing w:val="-1"/>
              </w:rPr>
              <w:t>%=2500m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spacing w:val="-1"/>
              </w:rPr>
              <w:t>（该</w:t>
            </w:r>
            <w:r>
              <w:t xml:space="preserve"> </w:t>
            </w:r>
            <w:r>
              <w:rPr>
                <w:spacing w:val="1"/>
              </w:rPr>
              <w:t>部分水会与宝石一起进入下一工序</w:t>
            </w:r>
            <w:r>
              <w:rPr>
                <w:spacing w:val="16"/>
              </w:rPr>
              <w:t>）；</w:t>
            </w:r>
            <w:r>
              <w:rPr>
                <w:spacing w:val="1"/>
              </w:rPr>
              <w:t>常温作业，因持续时间长，泡酸工序</w:t>
            </w:r>
          </w:p>
        </w:tc>
      </w:tr>
    </w:tbl>
    <w:p w14:paraId="736DC400">
      <w:pPr>
        <w:rPr>
          <w:rFonts w:ascii="Arial"/>
          <w:sz w:val="21"/>
        </w:rPr>
      </w:pPr>
    </w:p>
    <w:p w14:paraId="5A52245B">
      <w:pPr>
        <w:rPr>
          <w:rFonts w:ascii="Arial" w:hAnsi="Arial" w:eastAsia="Arial" w:cs="Arial"/>
          <w:sz w:val="21"/>
          <w:szCs w:val="21"/>
        </w:rPr>
        <w:sectPr>
          <w:footerReference r:id="rId33" w:type="default"/>
          <w:pgSz w:w="11906" w:h="16839"/>
          <w:pgMar w:top="400" w:right="1451" w:bottom="1240" w:left="1451" w:header="0" w:footer="1078" w:gutter="0"/>
          <w:cols w:space="720" w:num="1"/>
        </w:sectPr>
      </w:pPr>
    </w:p>
    <w:p w14:paraId="5096FA66">
      <w:pPr>
        <w:spacing w:before="19"/>
      </w:pPr>
    </w:p>
    <w:p w14:paraId="1CDABDAD">
      <w:pPr>
        <w:spacing w:before="19"/>
      </w:pPr>
    </w:p>
    <w:p w14:paraId="68657298">
      <w:pPr>
        <w:spacing w:before="19"/>
      </w:pPr>
    </w:p>
    <w:p w14:paraId="07AF47DF">
      <w:pPr>
        <w:spacing w:before="18"/>
      </w:pPr>
    </w:p>
    <w:p w14:paraId="44A7F596">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3E22D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778" w:type="dxa"/>
            <w:tcBorders>
              <w:right w:val="single" w:color="000000" w:sz="2" w:space="0"/>
            </w:tcBorders>
            <w:vAlign w:val="top"/>
          </w:tcPr>
          <w:p w14:paraId="3F82C450">
            <w:pPr>
              <w:rPr>
                <w:rFonts w:ascii="Arial"/>
                <w:sz w:val="21"/>
              </w:rPr>
            </w:pPr>
          </w:p>
        </w:tc>
        <w:tc>
          <w:tcPr>
            <w:tcW w:w="8210" w:type="dxa"/>
            <w:tcBorders>
              <w:left w:val="single" w:color="000000" w:sz="2" w:space="0"/>
            </w:tcBorders>
            <w:vAlign w:val="top"/>
          </w:tcPr>
          <w:p w14:paraId="3AEC6230">
            <w:pPr>
              <w:pStyle w:val="6"/>
              <w:spacing w:line="319" w:lineRule="exact"/>
              <w:ind w:left="110"/>
            </w:pPr>
            <w:r>
              <w:rPr>
                <w:spacing w:val="-3"/>
                <w:position w:val="1"/>
              </w:rPr>
              <w:t>酸液损耗约为</w:t>
            </w:r>
            <w:r>
              <w:rPr>
                <w:spacing w:val="-26"/>
                <w:position w:val="1"/>
              </w:rPr>
              <w:t xml:space="preserve"> </w:t>
            </w:r>
            <w:r>
              <w:rPr>
                <w:rFonts w:ascii="Times New Roman" w:hAnsi="Times New Roman" w:eastAsia="Times New Roman" w:cs="Times New Roman"/>
                <w:spacing w:val="-3"/>
                <w:position w:val="1"/>
              </w:rPr>
              <w:t>15%</w:t>
            </w:r>
            <w:r>
              <w:rPr>
                <w:rFonts w:ascii="Times New Roman" w:hAnsi="Times New Roman" w:eastAsia="Times New Roman" w:cs="Times New Roman"/>
                <w:spacing w:val="-34"/>
                <w:position w:val="1"/>
              </w:rPr>
              <w:t xml:space="preserve"> </w:t>
            </w:r>
            <w:r>
              <w:rPr>
                <w:spacing w:val="-3"/>
                <w:position w:val="1"/>
              </w:rPr>
              <w:t>，则损耗的量为</w:t>
            </w:r>
            <w:r>
              <w:rPr>
                <w:spacing w:val="-32"/>
                <w:position w:val="1"/>
              </w:rPr>
              <w:t xml:space="preserve"> </w:t>
            </w:r>
            <w:r>
              <w:rPr>
                <w:rFonts w:ascii="Times New Roman" w:hAnsi="Times New Roman" w:eastAsia="Times New Roman" w:cs="Times New Roman"/>
                <w:spacing w:val="-3"/>
                <w:position w:val="1"/>
              </w:rPr>
              <w:t>10556m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position w:val="1"/>
              </w:rPr>
              <w:t>/a</w:t>
            </w:r>
            <w:r>
              <w:rPr>
                <w:spacing w:val="-3"/>
                <w:position w:val="1"/>
              </w:rPr>
              <w:t>×</w:t>
            </w:r>
            <w:r>
              <w:rPr>
                <w:rFonts w:ascii="Times New Roman" w:hAnsi="Times New Roman" w:eastAsia="Times New Roman" w:cs="Times New Roman"/>
                <w:spacing w:val="-3"/>
                <w:position w:val="1"/>
              </w:rPr>
              <w:t>15%=</w:t>
            </w:r>
            <w:r>
              <w:rPr>
                <w:rFonts w:ascii="Times New Roman" w:hAnsi="Times New Roman" w:eastAsia="Times New Roman" w:cs="Times New Roman"/>
                <w:spacing w:val="-32"/>
                <w:position w:val="1"/>
              </w:rPr>
              <w:t xml:space="preserve"> </w:t>
            </w:r>
            <w:r>
              <w:rPr>
                <w:rFonts w:ascii="Times New Roman" w:hAnsi="Times New Roman" w:eastAsia="Times New Roman" w:cs="Times New Roman"/>
                <w:spacing w:val="-3"/>
                <w:position w:val="1"/>
              </w:rPr>
              <w:t>1583.4m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position w:val="1"/>
              </w:rPr>
              <w:t>/a</w:t>
            </w:r>
            <w:r>
              <w:rPr>
                <w:spacing w:val="-3"/>
                <w:position w:val="1"/>
              </w:rPr>
              <w:t>。</w:t>
            </w:r>
          </w:p>
          <w:p w14:paraId="0AD4F701">
            <w:pPr>
              <w:pStyle w:val="6"/>
              <w:spacing w:before="189" w:line="343" w:lineRule="auto"/>
              <w:ind w:left="109" w:right="102" w:firstLine="499"/>
              <w:jc w:val="both"/>
            </w:pPr>
            <w:r>
              <w:rPr>
                <w:spacing w:val="-5"/>
              </w:rPr>
              <w:t>因此未回用的酸减去宝石带走的和损耗的量，作为废酸，则废酸液量为</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rPr>
              <w:t xml:space="preserve"> </w:t>
            </w:r>
            <w:r>
              <w:rPr>
                <w:rFonts w:ascii="Times New Roman" w:hAnsi="Times New Roman" w:eastAsia="Times New Roman" w:cs="Times New Roman"/>
                <w:spacing w:val="1"/>
              </w:rPr>
              <w:t>0556m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50%-2500m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/a-1583.4m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/a=1194.6</w:t>
            </w:r>
            <w:r>
              <w:rPr>
                <w:rFonts w:ascii="Times New Roman" w:hAnsi="Times New Roman" w:eastAsia="Times New Roman" w:cs="Times New Roman"/>
              </w:rPr>
              <w:t>m</w:t>
            </w:r>
            <w:r>
              <w:rPr>
                <w:rFonts w:ascii="Times New Roman" w:hAnsi="Times New Roman" w:eastAsia="Times New Roman" w:cs="Times New Roman"/>
                <w:position w:val="7"/>
                <w:sz w:val="15"/>
                <w:szCs w:val="15"/>
              </w:rPr>
              <w:t>3</w:t>
            </w:r>
            <w:r>
              <w:rPr>
                <w:rFonts w:ascii="Times New Roman" w:hAnsi="Times New Roman" w:eastAsia="Times New Roman" w:cs="Times New Roman"/>
              </w:rPr>
              <w:t>/a</w:t>
            </w:r>
            <w:r>
              <w:t>（</w:t>
            </w:r>
            <w:r>
              <w:rPr>
                <w:rFonts w:ascii="Times New Roman" w:hAnsi="Times New Roman" w:eastAsia="Times New Roman" w:cs="Times New Roman"/>
              </w:rPr>
              <w:t>3.982t/d</w:t>
            </w:r>
            <w:r>
              <w:t xml:space="preserve">）。废酸液经鉴定 </w:t>
            </w:r>
            <w:r>
              <w:rPr>
                <w:spacing w:val="-1"/>
              </w:rPr>
              <w:t>作为危废，委托有危废处理资质单位处置。</w:t>
            </w:r>
          </w:p>
          <w:p w14:paraId="12FA44E0">
            <w:pPr>
              <w:pStyle w:val="6"/>
              <w:spacing w:before="60" w:line="219" w:lineRule="auto"/>
              <w:ind w:left="601"/>
            </w:pPr>
            <w:r>
              <w:rPr>
                <w:spacing w:val="-3"/>
              </w:rPr>
              <w:t>（</w:t>
            </w:r>
            <w:r>
              <w:rPr>
                <w:rFonts w:ascii="Times New Roman" w:hAnsi="Times New Roman" w:eastAsia="Times New Roman" w:cs="Times New Roman"/>
                <w:spacing w:val="-3"/>
              </w:rPr>
              <w:t>3</w:t>
            </w:r>
            <w:r>
              <w:rPr>
                <w:spacing w:val="-3"/>
              </w:rPr>
              <w:t>）泡酸后高压冲洗</w:t>
            </w:r>
          </w:p>
          <w:p w14:paraId="3FE1D6B3">
            <w:pPr>
              <w:pStyle w:val="6"/>
              <w:spacing w:before="182" w:line="352" w:lineRule="auto"/>
              <w:ind w:left="102" w:right="90" w:firstLine="463"/>
            </w:pPr>
            <w:r>
              <w:rPr>
                <w:spacing w:val="-14"/>
              </w:rPr>
              <w:t>排废酸后，使用高压水枪冲洗宝石，冲洗时间平均最大</w:t>
            </w:r>
            <w:r>
              <w:rPr>
                <w:spacing w:val="-68"/>
              </w:rPr>
              <w:t xml:space="preserve"> </w:t>
            </w:r>
            <w:r>
              <w:rPr>
                <w:rFonts w:ascii="Times New Roman" w:hAnsi="Times New Roman" w:eastAsia="Times New Roman" w:cs="Times New Roman"/>
                <w:spacing w:val="-14"/>
              </w:rPr>
              <w:t xml:space="preserve">20 </w:t>
            </w:r>
            <w:r>
              <w:rPr>
                <w:spacing w:val="-14"/>
              </w:rPr>
              <w:t>秒，冲洗水量平均</w:t>
            </w:r>
            <w:r>
              <w:t xml:space="preserve"> </w:t>
            </w:r>
            <w:r>
              <w:rPr>
                <w:spacing w:val="-2"/>
              </w:rPr>
              <w:t>最大约为胶桶容积的</w:t>
            </w:r>
            <w:r>
              <w:rPr>
                <w:spacing w:val="-63"/>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4"/>
              </w:rPr>
              <w:t xml:space="preserve"> </w:t>
            </w:r>
            <w:r>
              <w:rPr>
                <w:spacing w:val="-2"/>
              </w:rPr>
              <w:t>，即高压冲洗水量约为</w:t>
            </w:r>
            <w:r>
              <w:rPr>
                <w:spacing w:val="-49"/>
              </w:rPr>
              <w:t xml:space="preserve"> </w:t>
            </w:r>
            <w:r>
              <w:rPr>
                <w:rFonts w:ascii="Times New Roman" w:hAnsi="Times New Roman" w:eastAsia="Times New Roman" w:cs="Times New Roman"/>
                <w:spacing w:val="-2"/>
              </w:rPr>
              <w:t>0.24m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4"/>
                <w:position w:val="8"/>
                <w:sz w:val="15"/>
                <w:szCs w:val="15"/>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
              </w:rPr>
              <w:t>5236×14=879.648</w:t>
            </w:r>
            <w:r>
              <w:rPr>
                <w:rFonts w:ascii="Times New Roman" w:hAnsi="Times New Roman" w:eastAsia="Times New Roman" w:cs="Times New Roman"/>
              </w:rPr>
              <w:t xml:space="preserve"> m</w:t>
            </w:r>
            <w:r>
              <w:rPr>
                <w:rFonts w:ascii="Times New Roman" w:hAnsi="Times New Roman" w:eastAsia="Times New Roman" w:cs="Times New Roman"/>
                <w:position w:val="8"/>
                <w:sz w:val="15"/>
                <w:szCs w:val="15"/>
              </w:rPr>
              <w:t>3</w:t>
            </w:r>
            <w:r>
              <w:rPr>
                <w:rFonts w:ascii="Times New Roman" w:hAnsi="Times New Roman" w:eastAsia="Times New Roman" w:cs="Times New Roman"/>
              </w:rPr>
              <w:t>/a</w:t>
            </w:r>
            <w:r>
              <w:rPr>
                <w:spacing w:val="-5"/>
              </w:rPr>
              <w:t>（</w:t>
            </w:r>
            <w:r>
              <w:rPr>
                <w:rFonts w:ascii="Times New Roman" w:hAnsi="Times New Roman" w:eastAsia="Times New Roman" w:cs="Times New Roman"/>
                <w:spacing w:val="-5"/>
              </w:rPr>
              <w:t>2.932t/d</w:t>
            </w:r>
            <w:r>
              <w:rPr>
                <w:spacing w:val="-5"/>
              </w:rPr>
              <w:t>）。该部分冲洗废水因酸液浓度比较高</w:t>
            </w:r>
            <w:r>
              <w:rPr>
                <w:spacing w:val="-6"/>
              </w:rPr>
              <w:t>，作为危废管理，委托有</w:t>
            </w:r>
            <w:r>
              <w:rPr>
                <w:spacing w:val="1"/>
              </w:rPr>
              <w:t xml:space="preserve"> </w:t>
            </w:r>
            <w:r>
              <w:rPr>
                <w:spacing w:val="-1"/>
              </w:rPr>
              <w:t>危废处理资质单位处置。</w:t>
            </w:r>
          </w:p>
          <w:p w14:paraId="3CA75829">
            <w:pPr>
              <w:pStyle w:val="6"/>
              <w:spacing w:before="37" w:line="220" w:lineRule="auto"/>
              <w:ind w:left="601"/>
            </w:pPr>
            <w:r>
              <w:rPr>
                <w:spacing w:val="-3"/>
              </w:rPr>
              <w:t>（</w:t>
            </w:r>
            <w:r>
              <w:rPr>
                <w:rFonts w:ascii="Times New Roman" w:hAnsi="Times New Roman" w:eastAsia="Times New Roman" w:cs="Times New Roman"/>
                <w:spacing w:val="-3"/>
              </w:rPr>
              <w:t>4</w:t>
            </w:r>
            <w:r>
              <w:rPr>
                <w:spacing w:val="-3"/>
              </w:rPr>
              <w:t>）泡酸后清洗</w:t>
            </w:r>
          </w:p>
          <w:p w14:paraId="14817C74">
            <w:pPr>
              <w:pStyle w:val="6"/>
              <w:spacing w:before="176" w:line="353" w:lineRule="auto"/>
              <w:ind w:left="105" w:right="102" w:firstLine="486"/>
            </w:pPr>
            <w:r>
              <w:t>泡酸后清洗在胶桶中进行，单桶加水量约占其容积的</w:t>
            </w:r>
            <w:r>
              <w:rPr>
                <w:spacing w:val="-50"/>
              </w:rPr>
              <w:t xml:space="preserve"> </w:t>
            </w:r>
            <w:r>
              <w:rPr>
                <w:rFonts w:ascii="Times New Roman" w:hAnsi="Times New Roman" w:eastAsia="Times New Roman" w:cs="Times New Roman"/>
              </w:rPr>
              <w:t>60%</w:t>
            </w:r>
            <w:r>
              <w:rPr>
                <w:rFonts w:ascii="Times New Roman" w:hAnsi="Times New Roman" w:eastAsia="Times New Roman" w:cs="Times New Roman"/>
                <w:spacing w:val="-23"/>
              </w:rPr>
              <w:t xml:space="preserve"> </w:t>
            </w:r>
            <w:r>
              <w:t>。平均</w:t>
            </w:r>
            <w:r>
              <w:rPr>
                <w:spacing w:val="-1"/>
              </w:rPr>
              <w:t>最大清</w:t>
            </w:r>
            <w:r>
              <w:t xml:space="preserve"> </w:t>
            </w:r>
            <w:r>
              <w:rPr>
                <w:spacing w:val="-4"/>
              </w:rPr>
              <w:t>洗时间</w:t>
            </w:r>
            <w:r>
              <w:rPr>
                <w:spacing w:val="-38"/>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4"/>
              </w:rPr>
              <w:t xml:space="preserve"> </w:t>
            </w:r>
            <w:r>
              <w:rPr>
                <w:spacing w:val="-4"/>
              </w:rPr>
              <w:t>天，排</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6"/>
                <w:w w:val="101"/>
              </w:rPr>
              <w:t xml:space="preserve"> </w:t>
            </w:r>
            <w:r>
              <w:rPr>
                <w:spacing w:val="-4"/>
              </w:rPr>
              <w:t>次清洗废水，全年生产</w:t>
            </w:r>
            <w:r>
              <w:rPr>
                <w:spacing w:val="-32"/>
              </w:rPr>
              <w:t xml:space="preserve"> </w:t>
            </w:r>
            <w:r>
              <w:rPr>
                <w:rFonts w:ascii="Times New Roman" w:hAnsi="Times New Roman" w:eastAsia="Times New Roman" w:cs="Times New Roman"/>
                <w:spacing w:val="-4"/>
              </w:rPr>
              <w:t xml:space="preserve">14 </w:t>
            </w:r>
            <w:r>
              <w:rPr>
                <w:spacing w:val="-4"/>
              </w:rPr>
              <w:t>批次，则泡酸后清洗总需水量约</w:t>
            </w:r>
            <w:r>
              <w:t xml:space="preserve"> </w:t>
            </w:r>
            <w:r>
              <w:rPr>
                <w:spacing w:val="-1"/>
              </w:rPr>
              <w:t>为</w:t>
            </w:r>
            <w:r>
              <w:rPr>
                <w:spacing w:val="-52"/>
              </w:rPr>
              <w:t xml:space="preserve"> </w:t>
            </w:r>
            <w:r>
              <w:rPr>
                <w:rFonts w:ascii="Times New Roman" w:hAnsi="Times New Roman" w:eastAsia="Times New Roman" w:cs="Times New Roman"/>
                <w:spacing w:val="-1"/>
              </w:rPr>
              <w:t>0.24m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7"/>
                <w:position w:val="7"/>
                <w:sz w:val="15"/>
                <w:szCs w:val="15"/>
              </w:rPr>
              <w:t xml:space="preserve"> </w:t>
            </w:r>
            <w:r>
              <w:rPr>
                <w:rFonts w:ascii="Times New Roman" w:hAnsi="Times New Roman" w:eastAsia="Times New Roman" w:cs="Times New Roman"/>
                <w:spacing w:val="-1"/>
              </w:rPr>
              <w:t>×60%×5236×14×3=31668m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105.56t/d</w:t>
            </w:r>
            <w:r>
              <w:rPr>
                <w:spacing w:val="3"/>
              </w:rPr>
              <w:t>）；</w:t>
            </w:r>
            <w:r>
              <w:rPr>
                <w:spacing w:val="-1"/>
              </w:rPr>
              <w:t>清洗工艺为常温操作，</w:t>
            </w:r>
            <w:r>
              <w:t xml:space="preserve"> </w:t>
            </w:r>
            <w:r>
              <w:rPr>
                <w:spacing w:val="-1"/>
              </w:rPr>
              <w:t>损耗约</w:t>
            </w:r>
            <w:r>
              <w:rPr>
                <w:spacing w:val="-51"/>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30"/>
              </w:rPr>
              <w:t xml:space="preserve"> </w:t>
            </w:r>
            <w:r>
              <w:rPr>
                <w:spacing w:val="-1"/>
              </w:rPr>
              <w:t>，则损耗的水量为</w:t>
            </w:r>
            <w:r>
              <w:rPr>
                <w:spacing w:val="-47"/>
              </w:rPr>
              <w:t xml:space="preserve"> </w:t>
            </w:r>
            <w:r>
              <w:rPr>
                <w:rFonts w:ascii="Times New Roman" w:hAnsi="Times New Roman" w:eastAsia="Times New Roman" w:cs="Times New Roman"/>
                <w:spacing w:val="-1"/>
              </w:rPr>
              <w:t>31668m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/a×5%=</w:t>
            </w:r>
            <w:r>
              <w:rPr>
                <w:rFonts w:ascii="Times New Roman" w:hAnsi="Times New Roman" w:eastAsia="Times New Roman" w:cs="Times New Roman"/>
                <w:spacing w:val="-28"/>
              </w:rPr>
              <w:t xml:space="preserve"> </w:t>
            </w:r>
            <w:r>
              <w:rPr>
                <w:rFonts w:ascii="Times New Roman" w:hAnsi="Times New Roman" w:eastAsia="Times New Roman" w:cs="Times New Roman"/>
                <w:spacing w:val="-1"/>
              </w:rPr>
              <w:t>1583.4m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spacing w:val="-2"/>
              </w:rPr>
              <w:t>；清洗后的宝石含水</w:t>
            </w:r>
            <w:r>
              <w:t xml:space="preserve"> 约</w:t>
            </w:r>
            <w:r>
              <w:rPr>
                <w:spacing w:val="-55"/>
              </w:rPr>
              <w:t xml:space="preserve"> </w:t>
            </w:r>
            <w:r>
              <w:rPr>
                <w:rFonts w:ascii="Times New Roman" w:hAnsi="Times New Roman" w:eastAsia="Times New Roman" w:cs="Times New Roman"/>
              </w:rPr>
              <w:t>25%</w:t>
            </w:r>
            <w:r>
              <w:rPr>
                <w:rFonts w:ascii="Times New Roman" w:hAnsi="Times New Roman" w:eastAsia="Times New Roman" w:cs="Times New Roman"/>
                <w:spacing w:val="-29"/>
              </w:rPr>
              <w:t xml:space="preserve"> </w:t>
            </w:r>
            <w:r>
              <w:t>，宝石带出水量为</w:t>
            </w:r>
            <w:r>
              <w:rPr>
                <w:spacing w:val="-30"/>
              </w:rPr>
              <w:t xml:space="preserve"> </w:t>
            </w:r>
            <w:r>
              <w:rPr>
                <w:rFonts w:ascii="Times New Roman" w:hAnsi="Times New Roman" w:eastAsia="Times New Roman" w:cs="Times New Roman"/>
              </w:rPr>
              <w:t>10000t/a</w:t>
            </w:r>
            <w:r>
              <w:t>×</w:t>
            </w:r>
            <w:r>
              <w:rPr>
                <w:rFonts w:ascii="Times New Roman" w:hAnsi="Times New Roman" w:eastAsia="Times New Roman" w:cs="Times New Roman"/>
              </w:rPr>
              <w:t>25%=2500m</w:t>
            </w:r>
            <w:r>
              <w:rPr>
                <w:rFonts w:ascii="Times New Roman" w:hAnsi="Times New Roman" w:eastAsia="Times New Roman" w:cs="Times New Roman"/>
                <w:position w:val="8"/>
                <w:sz w:val="15"/>
                <w:szCs w:val="15"/>
              </w:rPr>
              <w:t>3</w:t>
            </w:r>
            <w:r>
              <w:rPr>
                <w:rFonts w:ascii="Times New Roman" w:hAnsi="Times New Roman" w:eastAsia="Times New Roman" w:cs="Times New Roman"/>
              </w:rPr>
              <w:t>/a</w:t>
            </w:r>
            <w:r>
              <w:t>（该部分水</w:t>
            </w:r>
            <w:r>
              <w:rPr>
                <w:spacing w:val="-1"/>
              </w:rPr>
              <w:t>会与宝石一起</w:t>
            </w:r>
            <w:r>
              <w:t xml:space="preserve"> </w:t>
            </w:r>
            <w:r>
              <w:rPr>
                <w:spacing w:val="-1"/>
              </w:rPr>
              <w:t>进入泡碱工序</w:t>
            </w:r>
            <w:r>
              <w:rPr>
                <w:spacing w:val="9"/>
              </w:rPr>
              <w:t>），</w:t>
            </w:r>
            <w:r>
              <w:rPr>
                <w:spacing w:val="-1"/>
              </w:rPr>
              <w:t>废水产生量为</w:t>
            </w:r>
            <w:r>
              <w:rPr>
                <w:spacing w:val="-47"/>
              </w:rPr>
              <w:t xml:space="preserve"> </w:t>
            </w:r>
            <w:r>
              <w:rPr>
                <w:rFonts w:ascii="Times New Roman" w:hAnsi="Times New Roman" w:eastAsia="Times New Roman" w:cs="Times New Roman"/>
                <w:spacing w:val="-1"/>
              </w:rPr>
              <w:t>31668+2500-1583.4-2500=30084.6m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r>
              <w:rPr>
                <w:spacing w:val="-55"/>
              </w:rPr>
              <w:t xml:space="preserve"> </w:t>
            </w:r>
            <w:r>
              <w:rPr>
                <w:rFonts w:ascii="Times New Roman" w:hAnsi="Times New Roman" w:eastAsia="Times New Roman" w:cs="Times New Roman"/>
                <w:spacing w:val="-1"/>
              </w:rPr>
              <w:t>100.</w:t>
            </w:r>
            <w:r>
              <w:rPr>
                <w:rFonts w:ascii="Times New Roman" w:hAnsi="Times New Roman" w:eastAsia="Times New Roman" w:cs="Times New Roman"/>
              </w:rPr>
              <w:t xml:space="preserve"> </w:t>
            </w:r>
            <w:r>
              <w:rPr>
                <w:rFonts w:ascii="Times New Roman" w:hAnsi="Times New Roman" w:eastAsia="Times New Roman" w:cs="Times New Roman"/>
                <w:spacing w:val="-1"/>
              </w:rPr>
              <w:t>282t/d</w:t>
            </w:r>
            <w:r>
              <w:rPr>
                <w:spacing w:val="-1"/>
              </w:rPr>
              <w:t>）。</w:t>
            </w:r>
          </w:p>
          <w:p w14:paraId="1B70FC48">
            <w:pPr>
              <w:pStyle w:val="6"/>
              <w:spacing w:before="60" w:line="221" w:lineRule="auto"/>
              <w:ind w:left="601"/>
            </w:pPr>
            <w:r>
              <w:rPr>
                <w:spacing w:val="-5"/>
              </w:rPr>
              <w:t>（</w:t>
            </w:r>
            <w:r>
              <w:rPr>
                <w:rFonts w:ascii="Times New Roman" w:hAnsi="Times New Roman" w:eastAsia="Times New Roman" w:cs="Times New Roman"/>
                <w:spacing w:val="-5"/>
              </w:rPr>
              <w:t>5</w:t>
            </w:r>
            <w:r>
              <w:rPr>
                <w:spacing w:val="-5"/>
              </w:rPr>
              <w:t>）泡碱</w:t>
            </w:r>
          </w:p>
          <w:p w14:paraId="2BD1573A">
            <w:pPr>
              <w:pStyle w:val="6"/>
              <w:spacing w:before="181" w:line="351" w:lineRule="auto"/>
              <w:ind w:left="110" w:right="102" w:firstLine="481"/>
            </w:pPr>
            <w:r>
              <w:t>泡碱在胶桶中进行，单桶碱液的量约占其容积的</w:t>
            </w:r>
            <w:r>
              <w:rPr>
                <w:spacing w:val="-47"/>
              </w:rPr>
              <w:t xml:space="preserve"> </w:t>
            </w:r>
            <w:r>
              <w:rPr>
                <w:rFonts w:ascii="Times New Roman" w:hAnsi="Times New Roman" w:eastAsia="Times New Roman" w:cs="Times New Roman"/>
              </w:rPr>
              <w:t>60%</w:t>
            </w:r>
            <w:r>
              <w:rPr>
                <w:rFonts w:ascii="Times New Roman" w:hAnsi="Times New Roman" w:eastAsia="Times New Roman" w:cs="Times New Roman"/>
                <w:spacing w:val="-26"/>
              </w:rPr>
              <w:t xml:space="preserve"> </w:t>
            </w:r>
            <w:r>
              <w:t>。平均最大</w:t>
            </w:r>
            <w:r>
              <w:rPr>
                <w:spacing w:val="-1"/>
              </w:rPr>
              <w:t>浸泡时</w:t>
            </w:r>
            <w:r>
              <w:t xml:space="preserve"> </w:t>
            </w:r>
            <w:r>
              <w:rPr>
                <w:spacing w:val="-4"/>
              </w:rPr>
              <w:t>间为</w:t>
            </w:r>
            <w:r>
              <w:rPr>
                <w:spacing w:val="-56"/>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14"/>
              </w:rPr>
              <w:t xml:space="preserve"> </w:t>
            </w:r>
            <w:r>
              <w:rPr>
                <w:spacing w:val="-4"/>
              </w:rPr>
              <w:t>天，排</w:t>
            </w:r>
            <w:r>
              <w:rPr>
                <w:spacing w:val="-48"/>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6"/>
              </w:rPr>
              <w:t xml:space="preserve"> </w:t>
            </w:r>
            <w:r>
              <w:rPr>
                <w:spacing w:val="-4"/>
              </w:rPr>
              <w:t>次泡碱废水，全年生产</w:t>
            </w:r>
            <w:r>
              <w:rPr>
                <w:spacing w:val="-32"/>
              </w:rPr>
              <w:t xml:space="preserve"> </w:t>
            </w:r>
            <w:r>
              <w:rPr>
                <w:rFonts w:ascii="Times New Roman" w:hAnsi="Times New Roman" w:eastAsia="Times New Roman" w:cs="Times New Roman"/>
                <w:spacing w:val="-4"/>
              </w:rPr>
              <w:t xml:space="preserve">14 </w:t>
            </w:r>
            <w:r>
              <w:rPr>
                <w:spacing w:val="-4"/>
              </w:rPr>
              <w:t>批次，则碱液量为</w:t>
            </w:r>
            <w:r>
              <w:rPr>
                <w:spacing w:val="-51"/>
              </w:rPr>
              <w:t xml:space="preserve"> </w:t>
            </w:r>
            <w:r>
              <w:rPr>
                <w:rFonts w:ascii="Times New Roman" w:hAnsi="Times New Roman" w:eastAsia="Times New Roman" w:cs="Times New Roman"/>
                <w:spacing w:val="-4"/>
              </w:rPr>
              <w:t>0.24m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7"/>
                <w:position w:val="7"/>
                <w:sz w:val="15"/>
                <w:szCs w:val="15"/>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5"/>
              </w:rPr>
              <w:t>60%×52</w:t>
            </w:r>
            <w:r>
              <w:rPr>
                <w:rFonts w:ascii="Times New Roman" w:hAnsi="Times New Roman" w:eastAsia="Times New Roman" w:cs="Times New Roman"/>
              </w:rPr>
              <w:t xml:space="preserve"> </w:t>
            </w:r>
            <w:r>
              <w:rPr>
                <w:rFonts w:ascii="Times New Roman" w:hAnsi="Times New Roman" w:eastAsia="Times New Roman" w:cs="Times New Roman"/>
                <w:spacing w:val="-1"/>
              </w:rPr>
              <w:t>36×14×5=52780m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spacing w:val="-1"/>
              </w:rPr>
              <w:t>。泡碱工序使用的中和粉和</w:t>
            </w:r>
            <w:r>
              <w:rPr>
                <w:spacing w:val="-2"/>
              </w:rPr>
              <w:t>片碱均为固态辅料，因此泡碱</w:t>
            </w:r>
            <w:r>
              <w:t xml:space="preserve"> </w:t>
            </w:r>
            <w:r>
              <w:rPr>
                <w:spacing w:val="-1"/>
              </w:rPr>
              <w:t>需水量约为</w:t>
            </w:r>
            <w:r>
              <w:rPr>
                <w:spacing w:val="-44"/>
              </w:rPr>
              <w:t xml:space="preserve"> </w:t>
            </w:r>
            <w:r>
              <w:rPr>
                <w:rFonts w:ascii="Times New Roman" w:hAnsi="Times New Roman" w:eastAsia="Times New Roman" w:cs="Times New Roman"/>
                <w:spacing w:val="-1"/>
              </w:rPr>
              <w:t>52780m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175.933t/d</w:t>
            </w:r>
            <w:r>
              <w:rPr>
                <w:spacing w:val="-1"/>
              </w:rPr>
              <w:t>）。</w:t>
            </w:r>
          </w:p>
          <w:p w14:paraId="520221C0">
            <w:pPr>
              <w:pStyle w:val="6"/>
              <w:spacing w:before="40" w:line="355" w:lineRule="auto"/>
              <w:ind w:left="100" w:right="102" w:firstLine="491"/>
              <w:jc w:val="both"/>
            </w:pPr>
            <w:r>
              <w:rPr>
                <w:spacing w:val="-1"/>
              </w:rPr>
              <w:t>泡碱工序需加热操作（加热棒</w:t>
            </w:r>
            <w:r>
              <w:rPr>
                <w:spacing w:val="9"/>
              </w:rPr>
              <w:t>），</w:t>
            </w:r>
            <w:r>
              <w:rPr>
                <w:spacing w:val="-1"/>
              </w:rPr>
              <w:t>蒸发损耗约占溶液</w:t>
            </w:r>
            <w:r>
              <w:rPr>
                <w:spacing w:val="-2"/>
              </w:rPr>
              <w:t>的</w:t>
            </w:r>
            <w:r>
              <w:rPr>
                <w:spacing w:val="-28"/>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27"/>
              </w:rPr>
              <w:t xml:space="preserve"> </w:t>
            </w:r>
            <w:r>
              <w:rPr>
                <w:spacing w:val="-2"/>
              </w:rPr>
              <w:t>，则损耗的</w:t>
            </w:r>
            <w:r>
              <w:t xml:space="preserve"> </w:t>
            </w:r>
            <w:r>
              <w:rPr>
                <w:spacing w:val="-1"/>
              </w:rPr>
              <w:t>水量为</w:t>
            </w:r>
            <w:r>
              <w:rPr>
                <w:spacing w:val="-48"/>
              </w:rPr>
              <w:t xml:space="preserve"> </w:t>
            </w:r>
            <w:r>
              <w:rPr>
                <w:rFonts w:ascii="Times New Roman" w:hAnsi="Times New Roman" w:eastAsia="Times New Roman" w:cs="Times New Roman"/>
                <w:spacing w:val="-1"/>
              </w:rPr>
              <w:t>52780m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/a×15%=7917m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；水宝石带出量（进入下一工序）为</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
              </w:rPr>
              <w:t>0000t</w:t>
            </w:r>
            <w:r>
              <w:rPr>
                <w:rFonts w:ascii="Times New Roman" w:hAnsi="Times New Roman" w:eastAsia="Times New Roman" w:cs="Times New Roman"/>
              </w:rPr>
              <w:t xml:space="preserve"> </w:t>
            </w:r>
            <w:r>
              <w:rPr>
                <w:rFonts w:ascii="Times New Roman" w:hAnsi="Times New Roman" w:eastAsia="Times New Roman" w:cs="Times New Roman"/>
                <w:spacing w:val="-1"/>
              </w:rPr>
              <w:t>/a×25%=2500t/a</w:t>
            </w:r>
            <w:r>
              <w:rPr>
                <w:spacing w:val="-1"/>
              </w:rPr>
              <w:t>；剩余废碱液排入废水处理站进行处理，则废碱液量为</w:t>
            </w:r>
            <w:r>
              <w:rPr>
                <w:spacing w:val="-46"/>
              </w:rPr>
              <w:t xml:space="preserve"> </w:t>
            </w:r>
            <w:r>
              <w:rPr>
                <w:rFonts w:ascii="Times New Roman" w:hAnsi="Times New Roman" w:eastAsia="Times New Roman" w:cs="Times New Roman"/>
                <w:spacing w:val="-1"/>
              </w:rPr>
              <w:t>52780</w:t>
            </w:r>
            <w:r>
              <w:rPr>
                <w:rFonts w:ascii="Times New Roman" w:hAnsi="Times New Roman" w:eastAsia="Times New Roman" w:cs="Times New Roman"/>
              </w:rPr>
              <w:t xml:space="preserve"> +2500-7917-2500m</w:t>
            </w:r>
            <w:r>
              <w:rPr>
                <w:rFonts w:ascii="Times New Roman" w:hAnsi="Times New Roman" w:eastAsia="Times New Roman" w:cs="Times New Roman"/>
                <w:position w:val="7"/>
                <w:sz w:val="15"/>
                <w:szCs w:val="15"/>
              </w:rPr>
              <w:t>3</w:t>
            </w:r>
            <w:r>
              <w:rPr>
                <w:rFonts w:ascii="Times New Roman" w:hAnsi="Times New Roman" w:eastAsia="Times New Roman" w:cs="Times New Roman"/>
              </w:rPr>
              <w:t>/a=44863m</w:t>
            </w:r>
            <w:r>
              <w:rPr>
                <w:rFonts w:ascii="Times New Roman" w:hAnsi="Times New Roman" w:eastAsia="Times New Roman" w:cs="Times New Roman"/>
                <w:position w:val="7"/>
                <w:sz w:val="15"/>
                <w:szCs w:val="15"/>
              </w:rPr>
              <w:t>3</w:t>
            </w:r>
            <w:r>
              <w:rPr>
                <w:rFonts w:ascii="Times New Roman" w:hAnsi="Times New Roman" w:eastAsia="Times New Roman" w:cs="Times New Roman"/>
              </w:rPr>
              <w:t>/a</w:t>
            </w:r>
            <w:r>
              <w:t>（</w:t>
            </w:r>
            <w:r>
              <w:rPr>
                <w:rFonts w:ascii="Times New Roman" w:hAnsi="Times New Roman" w:eastAsia="Times New Roman" w:cs="Times New Roman"/>
              </w:rPr>
              <w:t>149.543t/d</w:t>
            </w:r>
            <w:r>
              <w:t>）。</w:t>
            </w:r>
          </w:p>
          <w:p w14:paraId="6BCAD4B3">
            <w:pPr>
              <w:pStyle w:val="6"/>
              <w:spacing w:before="23" w:line="220" w:lineRule="auto"/>
              <w:ind w:left="601"/>
            </w:pPr>
            <w:r>
              <w:rPr>
                <w:spacing w:val="-3"/>
              </w:rPr>
              <w:t>（</w:t>
            </w:r>
            <w:r>
              <w:rPr>
                <w:rFonts w:ascii="Times New Roman" w:hAnsi="Times New Roman" w:eastAsia="Times New Roman" w:cs="Times New Roman"/>
                <w:spacing w:val="-3"/>
              </w:rPr>
              <w:t>6</w:t>
            </w:r>
            <w:r>
              <w:rPr>
                <w:spacing w:val="-3"/>
              </w:rPr>
              <w:t>）泡碱后清洗</w:t>
            </w:r>
          </w:p>
          <w:p w14:paraId="35099BF1">
            <w:pPr>
              <w:pStyle w:val="6"/>
              <w:spacing w:before="182" w:line="219" w:lineRule="auto"/>
              <w:ind w:left="591"/>
            </w:pPr>
            <w:r>
              <w:t>泡碱后清洗在胶桶中进行，单桶加水量约占其容积的</w:t>
            </w:r>
            <w:r>
              <w:rPr>
                <w:spacing w:val="-50"/>
              </w:rPr>
              <w:t xml:space="preserve"> </w:t>
            </w:r>
            <w:r>
              <w:rPr>
                <w:rFonts w:ascii="Times New Roman" w:hAnsi="Times New Roman" w:eastAsia="Times New Roman" w:cs="Times New Roman"/>
              </w:rPr>
              <w:t>60%</w:t>
            </w:r>
            <w:r>
              <w:rPr>
                <w:rFonts w:ascii="Times New Roman" w:hAnsi="Times New Roman" w:eastAsia="Times New Roman" w:cs="Times New Roman"/>
                <w:spacing w:val="-23"/>
              </w:rPr>
              <w:t xml:space="preserve"> </w:t>
            </w:r>
            <w:r>
              <w:t>。平均</w:t>
            </w:r>
            <w:r>
              <w:rPr>
                <w:spacing w:val="-1"/>
              </w:rPr>
              <w:t>最大浸</w:t>
            </w:r>
          </w:p>
        </w:tc>
      </w:tr>
    </w:tbl>
    <w:p w14:paraId="31A9AE73">
      <w:pPr>
        <w:rPr>
          <w:rFonts w:ascii="Arial"/>
          <w:sz w:val="21"/>
        </w:rPr>
      </w:pPr>
    </w:p>
    <w:p w14:paraId="1F68B6CA">
      <w:pPr>
        <w:rPr>
          <w:rFonts w:ascii="Arial" w:hAnsi="Arial" w:eastAsia="Arial" w:cs="Arial"/>
          <w:sz w:val="21"/>
          <w:szCs w:val="21"/>
        </w:rPr>
        <w:sectPr>
          <w:footerReference r:id="rId34" w:type="default"/>
          <w:pgSz w:w="11906" w:h="16839"/>
          <w:pgMar w:top="400" w:right="1451" w:bottom="1240" w:left="1451" w:header="0" w:footer="1078" w:gutter="0"/>
          <w:cols w:space="720" w:num="1"/>
        </w:sectPr>
      </w:pPr>
    </w:p>
    <w:p w14:paraId="30C179A6">
      <w:pPr>
        <w:spacing w:before="19"/>
      </w:pPr>
    </w:p>
    <w:p w14:paraId="6EE33F2F">
      <w:pPr>
        <w:spacing w:before="19"/>
      </w:pPr>
    </w:p>
    <w:p w14:paraId="14ABA6C4">
      <w:pPr>
        <w:spacing w:before="19"/>
      </w:pPr>
    </w:p>
    <w:p w14:paraId="7A68DC7E">
      <w:pPr>
        <w:spacing w:before="18"/>
      </w:pPr>
    </w:p>
    <w:p w14:paraId="10B6F23D">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68"/>
        <w:gridCol w:w="834"/>
        <w:gridCol w:w="783"/>
        <w:gridCol w:w="716"/>
        <w:gridCol w:w="665"/>
        <w:gridCol w:w="695"/>
        <w:gridCol w:w="672"/>
        <w:gridCol w:w="758"/>
        <w:gridCol w:w="674"/>
        <w:gridCol w:w="719"/>
        <w:gridCol w:w="689"/>
        <w:gridCol w:w="659"/>
        <w:gridCol w:w="178"/>
      </w:tblGrid>
      <w:tr w14:paraId="4C70C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9" w:hRule="atLeast"/>
        </w:trPr>
        <w:tc>
          <w:tcPr>
            <w:tcW w:w="778" w:type="dxa"/>
            <w:vMerge w:val="restart"/>
            <w:tcBorders>
              <w:top w:val="single" w:color="000000" w:sz="6" w:space="0"/>
              <w:left w:val="single" w:color="000000" w:sz="6" w:space="0"/>
              <w:bottom w:val="nil"/>
            </w:tcBorders>
            <w:vAlign w:val="top"/>
          </w:tcPr>
          <w:p w14:paraId="46A3F804">
            <w:pPr>
              <w:rPr>
                <w:rFonts w:ascii="Arial"/>
                <w:sz w:val="21"/>
              </w:rPr>
            </w:pPr>
          </w:p>
        </w:tc>
        <w:tc>
          <w:tcPr>
            <w:tcW w:w="8210" w:type="dxa"/>
            <w:gridSpan w:val="13"/>
            <w:tcBorders>
              <w:top w:val="single" w:color="000000" w:sz="6" w:space="0"/>
              <w:right w:val="single" w:color="000000" w:sz="6" w:space="0"/>
            </w:tcBorders>
            <w:vAlign w:val="top"/>
          </w:tcPr>
          <w:p w14:paraId="753D1850">
            <w:pPr>
              <w:pStyle w:val="6"/>
              <w:tabs>
                <w:tab w:val="left" w:pos="8199"/>
              </w:tabs>
              <w:spacing w:before="41" w:line="352" w:lineRule="auto"/>
              <w:ind w:left="110"/>
              <w:jc w:val="both"/>
            </w:pPr>
            <w:r>
              <w:rPr>
                <w:spacing w:val="-5"/>
              </w:rPr>
              <w:t>泡清洗时间为</w:t>
            </w:r>
            <w:r>
              <w:rPr>
                <w:spacing w:val="-50"/>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14"/>
              </w:rPr>
              <w:t xml:space="preserve"> </w:t>
            </w:r>
            <w:r>
              <w:rPr>
                <w:spacing w:val="-5"/>
              </w:rPr>
              <w:t>天，排</w:t>
            </w:r>
            <w:r>
              <w:rPr>
                <w:spacing w:val="-52"/>
              </w:rPr>
              <w:t xml:space="preserve"> </w:t>
            </w:r>
            <w:r>
              <w:rPr>
                <w:rFonts w:ascii="Times New Roman" w:hAnsi="Times New Roman" w:eastAsia="Times New Roman" w:cs="Times New Roman"/>
                <w:spacing w:val="-5"/>
              </w:rPr>
              <w:t>7</w:t>
            </w:r>
            <w:r>
              <w:rPr>
                <w:rFonts w:ascii="Times New Roman" w:hAnsi="Times New Roman" w:eastAsia="Times New Roman" w:cs="Times New Roman"/>
                <w:spacing w:val="15"/>
                <w:w w:val="101"/>
              </w:rPr>
              <w:t xml:space="preserve"> </w:t>
            </w:r>
            <w:r>
              <w:rPr>
                <w:spacing w:val="-5"/>
              </w:rPr>
              <w:t>次清洗废水，全年</w:t>
            </w:r>
            <w:r>
              <w:rPr>
                <w:spacing w:val="-6"/>
              </w:rPr>
              <w:t>生产</w:t>
            </w:r>
            <w:r>
              <w:rPr>
                <w:spacing w:val="-33"/>
              </w:rPr>
              <w:t xml:space="preserve"> </w:t>
            </w:r>
            <w:r>
              <w:rPr>
                <w:rFonts w:ascii="Times New Roman" w:hAnsi="Times New Roman" w:eastAsia="Times New Roman" w:cs="Times New Roman"/>
                <w:spacing w:val="-6"/>
              </w:rPr>
              <w:t xml:space="preserve">14 </w:t>
            </w:r>
            <w:r>
              <w:rPr>
                <w:spacing w:val="-6"/>
              </w:rPr>
              <w:t>批次，则泡碱后清洗总需</w:t>
            </w:r>
            <w:r>
              <w:t xml:space="preserve">  水量约为</w:t>
            </w:r>
            <w:r>
              <w:rPr>
                <w:spacing w:val="-52"/>
              </w:rPr>
              <w:t xml:space="preserve"> </w:t>
            </w:r>
            <w:r>
              <w:rPr>
                <w:rFonts w:ascii="Times New Roman" w:hAnsi="Times New Roman" w:eastAsia="Times New Roman" w:cs="Times New Roman"/>
              </w:rPr>
              <w:t>0.24m</w:t>
            </w:r>
            <w:r>
              <w:rPr>
                <w:rFonts w:ascii="Times New Roman" w:hAnsi="Times New Roman" w:eastAsia="Times New Roman" w:cs="Times New Roman"/>
                <w:position w:val="7"/>
                <w:sz w:val="15"/>
                <w:szCs w:val="15"/>
              </w:rPr>
              <w:t>3</w:t>
            </w:r>
            <w:r>
              <w:rPr>
                <w:rFonts w:ascii="Times New Roman" w:hAnsi="Times New Roman" w:eastAsia="Times New Roman" w:cs="Times New Roman"/>
                <w:spacing w:val="-17"/>
                <w:position w:val="7"/>
                <w:sz w:val="15"/>
                <w:szCs w:val="15"/>
              </w:rPr>
              <w:t xml:space="preserve"> </w:t>
            </w:r>
            <w:r>
              <w:rPr>
                <w:rFonts w:ascii="Times New Roman" w:hAnsi="Times New Roman" w:eastAsia="Times New Roman" w:cs="Times New Roman"/>
              </w:rPr>
              <w:t>×60%×5236×14×7=73892m</w:t>
            </w:r>
            <w:r>
              <w:rPr>
                <w:rFonts w:ascii="Times New Roman" w:hAnsi="Times New Roman" w:eastAsia="Times New Roman" w:cs="Times New Roman"/>
                <w:position w:val="7"/>
                <w:sz w:val="15"/>
                <w:szCs w:val="15"/>
              </w:rPr>
              <w:t>3</w:t>
            </w:r>
            <w:r>
              <w:rPr>
                <w:rFonts w:ascii="Times New Roman" w:hAnsi="Times New Roman" w:eastAsia="Times New Roman" w:cs="Times New Roman"/>
              </w:rPr>
              <w:t>/a</w:t>
            </w:r>
            <w:r>
              <w:t>（</w:t>
            </w:r>
            <w:r>
              <w:rPr>
                <w:rFonts w:ascii="Times New Roman" w:hAnsi="Times New Roman" w:eastAsia="Times New Roman" w:cs="Times New Roman"/>
              </w:rPr>
              <w:t>246.307t/d</w:t>
            </w:r>
            <w:r>
              <w:rPr>
                <w:spacing w:val="6"/>
              </w:rPr>
              <w:t>）；</w:t>
            </w:r>
            <w:r>
              <w:t>清</w:t>
            </w:r>
            <w:r>
              <w:rPr>
                <w:spacing w:val="-1"/>
              </w:rPr>
              <w:t>洗工艺为常</w:t>
            </w:r>
            <w:r>
              <w:tab/>
            </w:r>
            <w:r>
              <w:t xml:space="preserve"> </w:t>
            </w:r>
            <w:r>
              <w:rPr>
                <w:spacing w:val="-4"/>
              </w:rPr>
              <w:t>温操作，损耗约</w:t>
            </w:r>
            <w:r>
              <w:rPr>
                <w:spacing w:val="-42"/>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32"/>
              </w:rPr>
              <w:t xml:space="preserve"> </w:t>
            </w:r>
            <w:r>
              <w:rPr>
                <w:spacing w:val="-4"/>
              </w:rPr>
              <w:t>，则损耗的水量为</w:t>
            </w:r>
            <w:r>
              <w:rPr>
                <w:spacing w:val="-52"/>
              </w:rPr>
              <w:t xml:space="preserve"> </w:t>
            </w:r>
            <w:r>
              <w:rPr>
                <w:rFonts w:ascii="Times New Roman" w:hAnsi="Times New Roman" w:eastAsia="Times New Roman" w:cs="Times New Roman"/>
                <w:spacing w:val="-4"/>
              </w:rPr>
              <w:t>73892m</w:t>
            </w:r>
            <w:r>
              <w:rPr>
                <w:spacing w:val="-4"/>
              </w:rPr>
              <w:t>³</w:t>
            </w:r>
            <w:r>
              <w:rPr>
                <w:rFonts w:ascii="Times New Roman" w:hAnsi="Times New Roman" w:eastAsia="Times New Roman" w:cs="Times New Roman"/>
                <w:spacing w:val="-4"/>
              </w:rPr>
              <w:t>/a×5%=3694.6m</w:t>
            </w:r>
            <w:r>
              <w:rPr>
                <w:spacing w:val="-4"/>
              </w:rPr>
              <w:t>³</w:t>
            </w:r>
            <w:r>
              <w:rPr>
                <w:rFonts w:ascii="Times New Roman" w:hAnsi="Times New Roman" w:eastAsia="Times New Roman" w:cs="Times New Roman"/>
                <w:spacing w:val="-4"/>
              </w:rPr>
              <w:t>/a</w:t>
            </w:r>
            <w:r>
              <w:rPr>
                <w:spacing w:val="-4"/>
              </w:rPr>
              <w:t>；清洗后的</w:t>
            </w:r>
            <w:r>
              <w:t xml:space="preserve">  </w:t>
            </w:r>
            <w:r>
              <w:rPr>
                <w:spacing w:val="-2"/>
              </w:rPr>
              <w:t>宝石含水约</w:t>
            </w:r>
            <w:r>
              <w:rPr>
                <w:spacing w:val="-58"/>
              </w:rPr>
              <w:t xml:space="preserve"> </w:t>
            </w:r>
            <w:r>
              <w:rPr>
                <w:rFonts w:ascii="Times New Roman" w:hAnsi="Times New Roman" w:eastAsia="Times New Roman" w:cs="Times New Roman"/>
                <w:spacing w:val="-2"/>
              </w:rPr>
              <w:t>25%</w:t>
            </w:r>
            <w:r>
              <w:rPr>
                <w:rFonts w:ascii="Times New Roman" w:hAnsi="Times New Roman" w:eastAsia="Times New Roman" w:cs="Times New Roman"/>
                <w:spacing w:val="-27"/>
              </w:rPr>
              <w:t xml:space="preserve"> </w:t>
            </w:r>
            <w:r>
              <w:rPr>
                <w:spacing w:val="-2"/>
              </w:rPr>
              <w:t>，宝石带出水量为</w:t>
            </w:r>
            <w:r>
              <w:rPr>
                <w:spacing w:val="-35"/>
              </w:rPr>
              <w:t xml:space="preserve"> </w:t>
            </w:r>
            <w:r>
              <w:rPr>
                <w:rFonts w:ascii="Times New Roman" w:hAnsi="Times New Roman" w:eastAsia="Times New Roman" w:cs="Times New Roman"/>
                <w:spacing w:val="-2"/>
              </w:rPr>
              <w:t>100</w:t>
            </w:r>
            <w:r>
              <w:rPr>
                <w:rFonts w:ascii="Times New Roman" w:hAnsi="Times New Roman" w:eastAsia="Times New Roman" w:cs="Times New Roman"/>
                <w:spacing w:val="-3"/>
              </w:rPr>
              <w:t>00t/a</w:t>
            </w:r>
            <w:r>
              <w:rPr>
                <w:spacing w:val="-3"/>
              </w:rPr>
              <w:t>×</w:t>
            </w:r>
            <w:r>
              <w:rPr>
                <w:rFonts w:ascii="Times New Roman" w:hAnsi="Times New Roman" w:eastAsia="Times New Roman" w:cs="Times New Roman"/>
                <w:spacing w:val="-3"/>
              </w:rPr>
              <w:t>25%=2500m</w:t>
            </w:r>
            <w:r>
              <w:rPr>
                <w:spacing w:val="-3"/>
              </w:rPr>
              <w:t>³</w:t>
            </w:r>
            <w:r>
              <w:rPr>
                <w:rFonts w:ascii="Times New Roman" w:hAnsi="Times New Roman" w:eastAsia="Times New Roman" w:cs="Times New Roman"/>
                <w:spacing w:val="-3"/>
              </w:rPr>
              <w:t>/a</w:t>
            </w:r>
            <w:r>
              <w:rPr>
                <w:spacing w:val="-3"/>
              </w:rPr>
              <w:t>（该部分水由宝</w:t>
            </w:r>
            <w:r>
              <w:t xml:space="preserve">  </w:t>
            </w:r>
            <w:r>
              <w:rPr>
                <w:spacing w:val="-3"/>
              </w:rPr>
              <w:t>石带走</w:t>
            </w:r>
            <w:r>
              <w:rPr>
                <w:spacing w:val="-28"/>
              </w:rPr>
              <w:t>），</w:t>
            </w:r>
            <w:r>
              <w:rPr>
                <w:spacing w:val="-3"/>
              </w:rPr>
              <w:t>废水产生量为</w:t>
            </w:r>
            <w:r>
              <w:rPr>
                <w:spacing w:val="-50"/>
              </w:rPr>
              <w:t xml:space="preserve"> </w:t>
            </w:r>
            <w:r>
              <w:rPr>
                <w:rFonts w:ascii="Times New Roman" w:hAnsi="Times New Roman" w:eastAsia="Times New Roman" w:cs="Times New Roman"/>
                <w:spacing w:val="-3"/>
              </w:rPr>
              <w:t>73892+2500-3694.6-2500=70197.4</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spacing w:val="-4"/>
              </w:rPr>
              <w:t>（</w:t>
            </w:r>
            <w:r>
              <w:rPr>
                <w:rFonts w:ascii="Times New Roman" w:hAnsi="Times New Roman" w:eastAsia="Times New Roman" w:cs="Times New Roman"/>
                <w:spacing w:val="-4"/>
              </w:rPr>
              <w:t>233.991t/d</w:t>
            </w:r>
            <w:r>
              <w:rPr>
                <w:spacing w:val="-4"/>
              </w:rPr>
              <w:t>）。</w:t>
            </w:r>
          </w:p>
          <w:p w14:paraId="1EF7EFB7">
            <w:pPr>
              <w:pStyle w:val="6"/>
              <w:spacing w:before="45" w:line="218" w:lineRule="auto"/>
              <w:ind w:left="601"/>
            </w:pPr>
            <w:r>
              <w:rPr>
                <w:spacing w:val="-3"/>
              </w:rPr>
              <w:t>（</w:t>
            </w:r>
            <w:r>
              <w:rPr>
                <w:rFonts w:ascii="Times New Roman" w:hAnsi="Times New Roman" w:eastAsia="Times New Roman" w:cs="Times New Roman"/>
                <w:spacing w:val="-3"/>
              </w:rPr>
              <w:t>6</w:t>
            </w:r>
            <w:r>
              <w:rPr>
                <w:spacing w:val="-3"/>
              </w:rPr>
              <w:t>）喷淋用水</w:t>
            </w:r>
          </w:p>
          <w:p w14:paraId="6A88493B">
            <w:pPr>
              <w:pStyle w:val="6"/>
              <w:spacing w:before="184" w:line="351" w:lineRule="auto"/>
              <w:ind w:left="110" w:right="102" w:firstLine="480"/>
            </w:pPr>
            <w:r>
              <w:rPr>
                <w:spacing w:val="2"/>
              </w:rPr>
              <w:t>本项目共有喷淋设施</w:t>
            </w:r>
            <w:r>
              <w:rPr>
                <w:rFonts w:ascii="Times New Roman" w:hAnsi="Times New Roman" w:eastAsia="Times New Roman" w:cs="Times New Roman"/>
                <w:spacing w:val="2"/>
              </w:rPr>
              <w:t>(</w:t>
            </w:r>
            <w:r>
              <w:rPr>
                <w:spacing w:val="2"/>
              </w:rPr>
              <w:t>喷淋塔</w:t>
            </w:r>
            <w:r>
              <w:rPr>
                <w:rFonts w:ascii="Times New Roman" w:hAnsi="Times New Roman" w:eastAsia="Times New Roman" w:cs="Times New Roman"/>
                <w:spacing w:val="2"/>
              </w:rPr>
              <w:t xml:space="preserve">)13 </w:t>
            </w:r>
            <w:r>
              <w:rPr>
                <w:spacing w:val="2"/>
              </w:rPr>
              <w:t>套，其中酸雾废气喷淋塔</w:t>
            </w:r>
            <w:r>
              <w:rPr>
                <w:spacing w:val="-43"/>
              </w:rPr>
              <w:t xml:space="preserve"> </w:t>
            </w:r>
            <w:r>
              <w:rPr>
                <w:rFonts w:ascii="Times New Roman" w:hAnsi="Times New Roman" w:eastAsia="Times New Roman" w:cs="Times New Roman"/>
                <w:spacing w:val="2"/>
              </w:rPr>
              <w:t xml:space="preserve">8 </w:t>
            </w:r>
            <w:r>
              <w:rPr>
                <w:spacing w:val="2"/>
              </w:rPr>
              <w:t>套、注</w:t>
            </w:r>
            <w:r>
              <w:rPr>
                <w:spacing w:val="1"/>
              </w:rPr>
              <w:t>胶废</w:t>
            </w:r>
            <w:r>
              <w:t xml:space="preserve"> </w:t>
            </w:r>
            <w:r>
              <w:rPr>
                <w:spacing w:val="-3"/>
              </w:rPr>
              <w:t>气喷淋塔</w:t>
            </w:r>
            <w:r>
              <w:rPr>
                <w:spacing w:val="-48"/>
              </w:rPr>
              <w:t xml:space="preserve"> </w:t>
            </w:r>
            <w:r>
              <w:rPr>
                <w:rFonts w:ascii="Times New Roman" w:hAnsi="Times New Roman" w:eastAsia="Times New Roman" w:cs="Times New Roman"/>
                <w:spacing w:val="-3"/>
              </w:rPr>
              <w:t xml:space="preserve">5 </w:t>
            </w:r>
            <w:r>
              <w:rPr>
                <w:spacing w:val="-3"/>
              </w:rPr>
              <w:t>套。</w:t>
            </w:r>
          </w:p>
          <w:p w14:paraId="393E8399">
            <w:pPr>
              <w:pStyle w:val="6"/>
              <w:spacing w:before="21" w:line="359" w:lineRule="auto"/>
              <w:ind w:left="100" w:right="41" w:firstLine="489"/>
              <w:jc w:val="both"/>
            </w:pPr>
            <w:r>
              <w:t>根据《简明通风设计手册》</w:t>
            </w:r>
            <w:r>
              <w:rPr>
                <w:rFonts w:ascii="Times New Roman" w:hAnsi="Times New Roman" w:eastAsia="Times New Roman" w:cs="Times New Roman"/>
              </w:rPr>
              <w:t>(</w:t>
            </w:r>
            <w:r>
              <w:t>孙一坚主编</w:t>
            </w:r>
            <w:r>
              <w:rPr>
                <w:rFonts w:ascii="Times New Roman" w:hAnsi="Times New Roman" w:eastAsia="Times New Roman" w:cs="Times New Roman"/>
              </w:rPr>
              <w:t>)</w:t>
            </w:r>
            <w:r>
              <w:rPr>
                <w:rFonts w:ascii="Times New Roman" w:hAnsi="Times New Roman" w:eastAsia="Times New Roman" w:cs="Times New Roman"/>
                <w:spacing w:val="-1"/>
              </w:rPr>
              <w:t>“</w:t>
            </w:r>
            <w:r>
              <w:rPr>
                <w:spacing w:val="-1"/>
              </w:rPr>
              <w:t>各种吸收装置的技术经济比较</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4"/>
              </w:rPr>
              <w:t>中填料塔的液气比为</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10L/m³</w:t>
            </w:r>
            <w:r>
              <w:rPr>
                <w:rFonts w:ascii="Times New Roman" w:hAnsi="Times New Roman" w:eastAsia="Times New Roman" w:cs="Times New Roman"/>
                <w:spacing w:val="-31"/>
              </w:rPr>
              <w:t xml:space="preserve"> </w:t>
            </w:r>
            <w:r>
              <w:rPr>
                <w:spacing w:val="-4"/>
              </w:rPr>
              <w:t>,</w:t>
            </w:r>
            <w:r>
              <w:rPr>
                <w:spacing w:val="55"/>
              </w:rPr>
              <w:t xml:space="preserve"> </w:t>
            </w:r>
            <w:r>
              <w:rPr>
                <w:spacing w:val="-4"/>
              </w:rPr>
              <w:t>本项目废气喷淋水循环水量根据液气比</w:t>
            </w:r>
            <w:r>
              <w:rPr>
                <w:spacing w:val="-55"/>
              </w:rPr>
              <w:t xml:space="preserve"> </w:t>
            </w:r>
            <w:r>
              <w:rPr>
                <w:rFonts w:ascii="Times New Roman" w:hAnsi="Times New Roman" w:eastAsia="Times New Roman" w:cs="Times New Roman"/>
                <w:spacing w:val="-5"/>
              </w:rPr>
              <w:t>2L</w:t>
            </w:r>
            <w:r>
              <w:rPr>
                <w:rFonts w:ascii="Times New Roman" w:hAnsi="Times New Roman" w:eastAsia="Times New Roman" w:cs="Times New Roman"/>
              </w:rPr>
              <w:t xml:space="preserve">  </w:t>
            </w:r>
            <w:r>
              <w:rPr>
                <w:rFonts w:ascii="Times New Roman" w:hAnsi="Times New Roman" w:eastAsia="Times New Roman" w:cs="Times New Roman"/>
                <w:spacing w:val="-1"/>
              </w:rPr>
              <w:t>/m³</w:t>
            </w:r>
            <w:r>
              <w:rPr>
                <w:spacing w:val="-1"/>
              </w:rPr>
              <w:t>计，喷淋塔的储水量按</w:t>
            </w:r>
            <w:r>
              <w:rPr>
                <w:spacing w:val="-34"/>
              </w:rPr>
              <w:t xml:space="preserve"> </w:t>
            </w:r>
            <w:r>
              <w:rPr>
                <w:rFonts w:ascii="Times New Roman" w:hAnsi="Times New Roman" w:eastAsia="Times New Roman" w:cs="Times New Roman"/>
                <w:spacing w:val="-1"/>
              </w:rPr>
              <w:t xml:space="preserve">3 </w:t>
            </w:r>
            <w:r>
              <w:rPr>
                <w:spacing w:val="-1"/>
              </w:rPr>
              <w:t>分钟的循环水量核算。项目收集的有机废气主要</w:t>
            </w:r>
            <w:r>
              <w:t xml:space="preserve"> </w:t>
            </w:r>
            <w:r>
              <w:rPr>
                <w:spacing w:val="2"/>
              </w:rPr>
              <w:t>成分是非甲烷总烃，并有少量的颗粒物、二氧化硫和氮氧化物，喷淋塔能吸</w:t>
            </w:r>
            <w:r>
              <w:rPr>
                <w:spacing w:val="9"/>
              </w:rPr>
              <w:t xml:space="preserve"> </w:t>
            </w:r>
            <w:r>
              <w:rPr>
                <w:spacing w:val="-3"/>
              </w:rPr>
              <w:t>附颗粒物，并对能溶于水的污染物有一定的处理效果。因此喷淋塔的循环水，</w:t>
            </w:r>
            <w:r>
              <w:t xml:space="preserve"> </w:t>
            </w:r>
            <w:r>
              <w:rPr>
                <w:spacing w:val="2"/>
              </w:rPr>
              <w:t>使用一段时间后，水质会变差，会影响其起到的作用，因此需要定期更换循</w:t>
            </w:r>
            <w:r>
              <w:rPr>
                <w:spacing w:val="9"/>
              </w:rPr>
              <w:t xml:space="preserve"> </w:t>
            </w:r>
            <w:r>
              <w:rPr>
                <w:spacing w:val="2"/>
              </w:rPr>
              <w:t>环水。根据宝石加工行业的经验，参考相同企业的实际操作，项目喷淋塔的</w:t>
            </w:r>
            <w:r>
              <w:rPr>
                <w:spacing w:val="9"/>
              </w:rPr>
              <w:t xml:space="preserve"> </w:t>
            </w:r>
            <w:r>
              <w:t>循环水每</w:t>
            </w:r>
            <w:r>
              <w:rPr>
                <w:spacing w:val="-30"/>
              </w:rPr>
              <w:t xml:space="preserve"> </w:t>
            </w:r>
            <w:r>
              <w:rPr>
                <w:rFonts w:ascii="Times New Roman" w:hAnsi="Times New Roman" w:eastAsia="Times New Roman" w:cs="Times New Roman"/>
              </w:rPr>
              <w:t>10</w:t>
            </w:r>
            <w:r>
              <w:rPr>
                <w:rFonts w:ascii="Times New Roman" w:hAnsi="Times New Roman" w:eastAsia="Times New Roman" w:cs="Times New Roman"/>
                <w:spacing w:val="19"/>
              </w:rPr>
              <w:t xml:space="preserve"> </w:t>
            </w:r>
            <w:r>
              <w:t>天更换一次，工作期内更换</w:t>
            </w:r>
            <w:r>
              <w:rPr>
                <w:spacing w:val="-48"/>
              </w:rPr>
              <w:t xml:space="preserve"> </w:t>
            </w:r>
            <w:r>
              <w:rPr>
                <w:rFonts w:ascii="Times New Roman" w:hAnsi="Times New Roman" w:eastAsia="Times New Roman" w:cs="Times New Roman"/>
              </w:rPr>
              <w:t>30</w:t>
            </w:r>
            <w:r>
              <w:rPr>
                <w:rFonts w:ascii="Times New Roman" w:hAnsi="Times New Roman" w:eastAsia="Times New Roman" w:cs="Times New Roman"/>
                <w:spacing w:val="21"/>
              </w:rPr>
              <w:t xml:space="preserve"> </w:t>
            </w:r>
            <w:r>
              <w:t>次，废水纳入前</w:t>
            </w:r>
            <w:r>
              <w:rPr>
                <w:spacing w:val="-1"/>
              </w:rPr>
              <w:t>处理废水收集管</w:t>
            </w:r>
            <w:r>
              <w:t xml:space="preserve"> </w:t>
            </w:r>
            <w:r>
              <w:rPr>
                <w:spacing w:val="-1"/>
              </w:rPr>
              <w:t>网并入项目废水处理站。</w:t>
            </w:r>
          </w:p>
          <w:p w14:paraId="2AFADE71">
            <w:pPr>
              <w:pStyle w:val="6"/>
              <w:spacing w:before="2" w:line="360" w:lineRule="auto"/>
              <w:ind w:left="109" w:right="102" w:firstLine="489"/>
              <w:jc w:val="both"/>
            </w:pPr>
            <w:r>
              <w:rPr>
                <w:spacing w:val="2"/>
              </w:rPr>
              <w:t>喷淋塔因废气带出、蒸发等损耗，需定期添加喷淋水。参</w:t>
            </w:r>
            <w:r>
              <w:rPr>
                <w:spacing w:val="1"/>
              </w:rPr>
              <w:t>考《民用建筑</w:t>
            </w:r>
            <w:r>
              <w:t xml:space="preserve"> 供暖通风与空气调节设计规范》（</w:t>
            </w:r>
            <w:r>
              <w:rPr>
                <w:rFonts w:ascii="Times New Roman" w:hAnsi="Times New Roman" w:eastAsia="Times New Roman" w:cs="Times New Roman"/>
              </w:rPr>
              <w:t>GB50736-2012</w:t>
            </w:r>
            <w:r>
              <w:t>）中喷淋循环的补充系数，</w:t>
            </w:r>
            <w:r>
              <w:rPr>
                <w:spacing w:val="12"/>
              </w:rPr>
              <w:t xml:space="preserve"> </w:t>
            </w:r>
            <w:r>
              <w:rPr>
                <w:spacing w:val="-2"/>
              </w:rPr>
              <w:t>补充量为循环水量的</w:t>
            </w:r>
            <w:r>
              <w:rPr>
                <w:spacing w:val="-53"/>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1%~0.3%</w:t>
            </w:r>
            <w:r>
              <w:rPr>
                <w:rFonts w:ascii="Times New Roman" w:hAnsi="Times New Roman" w:eastAsia="Times New Roman" w:cs="Times New Roman"/>
                <w:spacing w:val="-29"/>
              </w:rPr>
              <w:t xml:space="preserve"> </w:t>
            </w:r>
            <w:r>
              <w:rPr>
                <w:spacing w:val="-2"/>
              </w:rPr>
              <w:t>，本环评按最大损耗情况</w:t>
            </w:r>
            <w:r>
              <w:rPr>
                <w:spacing w:val="-54"/>
              </w:rPr>
              <w:t xml:space="preserve"> </w:t>
            </w:r>
            <w:r>
              <w:rPr>
                <w:rFonts w:ascii="Times New Roman" w:hAnsi="Times New Roman" w:eastAsia="Times New Roman" w:cs="Times New Roman"/>
                <w:spacing w:val="-2"/>
              </w:rPr>
              <w:t>0.3%</w:t>
            </w:r>
            <w:r>
              <w:rPr>
                <w:spacing w:val="-2"/>
              </w:rPr>
              <w:t>计算。喷淋塔</w:t>
            </w:r>
            <w:r>
              <w:t xml:space="preserve"> </w:t>
            </w:r>
            <w:r>
              <w:rPr>
                <w:spacing w:val="-1"/>
              </w:rPr>
              <w:t>补充水量、废水产生量详见下表。</w:t>
            </w:r>
          </w:p>
          <w:p w14:paraId="777FF793">
            <w:pPr>
              <w:pStyle w:val="6"/>
              <w:spacing w:before="112" w:line="218" w:lineRule="auto"/>
              <w:ind w:left="2050"/>
            </w:pPr>
            <w:r>
              <w:rPr>
                <w:b/>
                <w:bCs/>
                <w:spacing w:val="-2"/>
              </w:rPr>
              <w:t>表</w:t>
            </w:r>
            <w:r>
              <w:rPr>
                <w:spacing w:val="-50"/>
              </w:rPr>
              <w:t xml:space="preserve"> </w:t>
            </w:r>
            <w:r>
              <w:rPr>
                <w:rFonts w:ascii="Times New Roman" w:hAnsi="Times New Roman" w:eastAsia="Times New Roman" w:cs="Times New Roman"/>
                <w:b/>
                <w:bCs/>
                <w:spacing w:val="-2"/>
              </w:rPr>
              <w:t xml:space="preserve">2-10    </w:t>
            </w:r>
            <w:r>
              <w:rPr>
                <w:b/>
                <w:bCs/>
                <w:spacing w:val="-2"/>
              </w:rPr>
              <w:t>本项目喷淋塔用水核算一览表</w:t>
            </w:r>
          </w:p>
        </w:tc>
      </w:tr>
      <w:tr w14:paraId="2D88E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589DB5F8">
            <w:pPr>
              <w:rPr>
                <w:rFonts w:ascii="Arial"/>
                <w:sz w:val="21"/>
              </w:rPr>
            </w:pPr>
          </w:p>
        </w:tc>
        <w:tc>
          <w:tcPr>
            <w:tcW w:w="168" w:type="dxa"/>
            <w:vMerge w:val="restart"/>
            <w:tcBorders>
              <w:top w:val="nil"/>
              <w:bottom w:val="nil"/>
            </w:tcBorders>
            <w:vAlign w:val="top"/>
          </w:tcPr>
          <w:p w14:paraId="7E67ADC5">
            <w:pPr>
              <w:rPr>
                <w:rFonts w:ascii="Arial"/>
                <w:sz w:val="21"/>
              </w:rPr>
            </w:pPr>
          </w:p>
        </w:tc>
        <w:tc>
          <w:tcPr>
            <w:tcW w:w="834" w:type="dxa"/>
            <w:vMerge w:val="restart"/>
            <w:tcBorders>
              <w:bottom w:val="nil"/>
            </w:tcBorders>
            <w:vAlign w:val="top"/>
          </w:tcPr>
          <w:p w14:paraId="2B935EC3">
            <w:pPr>
              <w:pStyle w:val="6"/>
              <w:spacing w:before="179" w:line="226" w:lineRule="auto"/>
              <w:ind w:left="109"/>
              <w:rPr>
                <w:sz w:val="20"/>
                <w:szCs w:val="20"/>
              </w:rPr>
            </w:pPr>
            <w:r>
              <w:rPr>
                <w:spacing w:val="4"/>
                <w:sz w:val="20"/>
                <w:szCs w:val="20"/>
              </w:rPr>
              <w:t>喷淋塔</w:t>
            </w:r>
          </w:p>
          <w:p w14:paraId="542968AA">
            <w:pPr>
              <w:pStyle w:val="6"/>
              <w:spacing w:before="25" w:line="228" w:lineRule="auto"/>
              <w:ind w:left="101"/>
              <w:rPr>
                <w:sz w:val="20"/>
                <w:szCs w:val="20"/>
              </w:rPr>
            </w:pPr>
            <w:r>
              <w:rPr>
                <w:spacing w:val="6"/>
                <w:sz w:val="20"/>
                <w:szCs w:val="20"/>
              </w:rPr>
              <w:t>排气筒</w:t>
            </w:r>
          </w:p>
        </w:tc>
        <w:tc>
          <w:tcPr>
            <w:tcW w:w="783" w:type="dxa"/>
            <w:vMerge w:val="restart"/>
            <w:tcBorders>
              <w:bottom w:val="nil"/>
            </w:tcBorders>
            <w:vAlign w:val="top"/>
          </w:tcPr>
          <w:p w14:paraId="0E46D815">
            <w:pPr>
              <w:pStyle w:val="6"/>
              <w:spacing w:before="178" w:line="260" w:lineRule="auto"/>
              <w:ind w:left="170" w:right="100" w:hanging="114"/>
              <w:rPr>
                <w:rFonts w:ascii="Times New Roman" w:hAnsi="Times New Roman" w:eastAsia="Times New Roman" w:cs="Times New Roman"/>
                <w:sz w:val="20"/>
                <w:szCs w:val="20"/>
              </w:rPr>
            </w:pPr>
            <w:r>
              <w:rPr>
                <w:spacing w:val="7"/>
                <w:sz w:val="20"/>
                <w:szCs w:val="20"/>
              </w:rPr>
              <w:t>废气量</w:t>
            </w:r>
            <w:r>
              <w:rPr>
                <w:sz w:val="20"/>
                <w:szCs w:val="20"/>
              </w:rPr>
              <w:t xml:space="preserve"> </w:t>
            </w:r>
            <w:r>
              <w:rPr>
                <w:rFonts w:ascii="Times New Roman" w:hAnsi="Times New Roman" w:eastAsia="Times New Roman" w:cs="Times New Roman"/>
                <w:spacing w:val="4"/>
                <w:sz w:val="20"/>
                <w:szCs w:val="20"/>
              </w:rPr>
              <w:t>m</w:t>
            </w:r>
            <w:r>
              <w:rPr>
                <w:spacing w:val="4"/>
                <w:sz w:val="20"/>
                <w:szCs w:val="20"/>
              </w:rPr>
              <w:t>³</w:t>
            </w:r>
            <w:r>
              <w:rPr>
                <w:rFonts w:ascii="Times New Roman" w:hAnsi="Times New Roman" w:eastAsia="Times New Roman" w:cs="Times New Roman"/>
                <w:spacing w:val="4"/>
                <w:sz w:val="20"/>
                <w:szCs w:val="20"/>
              </w:rPr>
              <w:t>/h</w:t>
            </w:r>
          </w:p>
        </w:tc>
        <w:tc>
          <w:tcPr>
            <w:tcW w:w="716" w:type="dxa"/>
            <w:vMerge w:val="restart"/>
            <w:tcBorders>
              <w:bottom w:val="nil"/>
            </w:tcBorders>
            <w:vAlign w:val="top"/>
          </w:tcPr>
          <w:p w14:paraId="05BA84FA">
            <w:pPr>
              <w:pStyle w:val="6"/>
              <w:spacing w:before="59" w:line="228" w:lineRule="auto"/>
              <w:ind w:left="152"/>
              <w:rPr>
                <w:sz w:val="20"/>
                <w:szCs w:val="20"/>
              </w:rPr>
            </w:pPr>
            <w:r>
              <w:rPr>
                <w:spacing w:val="4"/>
                <w:sz w:val="20"/>
                <w:szCs w:val="20"/>
              </w:rPr>
              <w:t>循环</w:t>
            </w:r>
          </w:p>
          <w:p w14:paraId="2C96E5F8">
            <w:pPr>
              <w:pStyle w:val="6"/>
              <w:spacing w:before="25" w:line="235" w:lineRule="auto"/>
              <w:ind w:left="160" w:right="148" w:hanging="5"/>
              <w:rPr>
                <w:rFonts w:ascii="Times New Roman" w:hAnsi="Times New Roman" w:eastAsia="Times New Roman" w:cs="Times New Roman"/>
                <w:sz w:val="20"/>
                <w:szCs w:val="20"/>
              </w:rPr>
            </w:pPr>
            <w:r>
              <w:rPr>
                <w:spacing w:val="3"/>
                <w:sz w:val="20"/>
                <w:szCs w:val="20"/>
              </w:rPr>
              <w:t>水量</w:t>
            </w:r>
            <w:r>
              <w:rPr>
                <w:sz w:val="20"/>
                <w:szCs w:val="20"/>
              </w:rPr>
              <w:t xml:space="preserve"> </w:t>
            </w:r>
            <w:r>
              <w:rPr>
                <w:rFonts w:ascii="Times New Roman" w:hAnsi="Times New Roman" w:eastAsia="Times New Roman" w:cs="Times New Roman"/>
                <w:spacing w:val="3"/>
                <w:sz w:val="20"/>
                <w:szCs w:val="20"/>
              </w:rPr>
              <w:t>m³/h</w:t>
            </w:r>
          </w:p>
        </w:tc>
        <w:tc>
          <w:tcPr>
            <w:tcW w:w="665" w:type="dxa"/>
            <w:vMerge w:val="restart"/>
            <w:tcBorders>
              <w:bottom w:val="nil"/>
            </w:tcBorders>
            <w:vAlign w:val="top"/>
          </w:tcPr>
          <w:p w14:paraId="681B36A7">
            <w:pPr>
              <w:pStyle w:val="6"/>
              <w:spacing w:before="178" w:line="255" w:lineRule="auto"/>
              <w:ind w:left="91" w:right="89" w:firstLine="35"/>
              <w:rPr>
                <w:rFonts w:ascii="Times New Roman" w:hAnsi="Times New Roman" w:eastAsia="Times New Roman" w:cs="Times New Roman"/>
                <w:sz w:val="20"/>
                <w:szCs w:val="20"/>
              </w:rPr>
            </w:pPr>
            <w:r>
              <w:rPr>
                <w:spacing w:val="5"/>
                <w:sz w:val="20"/>
                <w:szCs w:val="20"/>
              </w:rPr>
              <w:t>储水</w:t>
            </w:r>
            <w:r>
              <w:rPr>
                <w:sz w:val="20"/>
                <w:szCs w:val="20"/>
              </w:rPr>
              <w:t xml:space="preserve"> </w:t>
            </w:r>
            <w:r>
              <w:rPr>
                <w:spacing w:val="2"/>
                <w:sz w:val="20"/>
                <w:szCs w:val="20"/>
              </w:rPr>
              <w:t>量</w:t>
            </w:r>
            <w:r>
              <w:rPr>
                <w:spacing w:val="-44"/>
                <w:sz w:val="20"/>
                <w:szCs w:val="20"/>
              </w:rPr>
              <w:t xml:space="preserve"> </w:t>
            </w:r>
            <w:r>
              <w:rPr>
                <w:rFonts w:ascii="Times New Roman" w:hAnsi="Times New Roman" w:eastAsia="Times New Roman" w:cs="Times New Roman"/>
                <w:spacing w:val="2"/>
                <w:sz w:val="20"/>
                <w:szCs w:val="20"/>
              </w:rPr>
              <w:t>m³</w:t>
            </w:r>
          </w:p>
        </w:tc>
        <w:tc>
          <w:tcPr>
            <w:tcW w:w="695" w:type="dxa"/>
            <w:vMerge w:val="restart"/>
            <w:tcBorders>
              <w:bottom w:val="nil"/>
            </w:tcBorders>
            <w:vAlign w:val="top"/>
          </w:tcPr>
          <w:p w14:paraId="167060C3">
            <w:pPr>
              <w:pStyle w:val="6"/>
              <w:spacing w:before="43" w:line="228" w:lineRule="auto"/>
              <w:ind w:left="146"/>
              <w:rPr>
                <w:sz w:val="20"/>
                <w:szCs w:val="20"/>
              </w:rPr>
            </w:pPr>
            <w:r>
              <w:rPr>
                <w:spacing w:val="3"/>
                <w:sz w:val="20"/>
                <w:szCs w:val="20"/>
              </w:rPr>
              <w:t>更换</w:t>
            </w:r>
          </w:p>
          <w:p w14:paraId="13BE6149">
            <w:pPr>
              <w:pStyle w:val="6"/>
              <w:spacing w:before="25" w:line="228" w:lineRule="auto"/>
              <w:ind w:left="116"/>
              <w:rPr>
                <w:rFonts w:ascii="Times New Roman" w:hAnsi="Times New Roman" w:eastAsia="Times New Roman" w:cs="Times New Roman"/>
                <w:sz w:val="20"/>
                <w:szCs w:val="20"/>
              </w:rPr>
            </w:pPr>
            <w:r>
              <w:rPr>
                <w:spacing w:val="4"/>
                <w:sz w:val="20"/>
                <w:szCs w:val="20"/>
              </w:rPr>
              <w:t>频次</w:t>
            </w:r>
            <w:r>
              <w:rPr>
                <w:rFonts w:ascii="Times New Roman" w:hAnsi="Times New Roman" w:eastAsia="Times New Roman" w:cs="Times New Roman"/>
                <w:spacing w:val="4"/>
                <w:sz w:val="20"/>
                <w:szCs w:val="20"/>
              </w:rPr>
              <w:t>/</w:t>
            </w:r>
          </w:p>
          <w:p w14:paraId="7D80114D">
            <w:pPr>
              <w:pStyle w:val="6"/>
              <w:spacing w:before="24" w:line="206" w:lineRule="auto"/>
              <w:ind w:left="248"/>
              <w:rPr>
                <w:sz w:val="20"/>
                <w:szCs w:val="20"/>
              </w:rPr>
            </w:pPr>
            <w:r>
              <w:rPr>
                <w:sz w:val="20"/>
                <w:szCs w:val="20"/>
              </w:rPr>
              <w:t>年</w:t>
            </w:r>
          </w:p>
        </w:tc>
        <w:tc>
          <w:tcPr>
            <w:tcW w:w="1430" w:type="dxa"/>
            <w:gridSpan w:val="2"/>
            <w:vAlign w:val="top"/>
          </w:tcPr>
          <w:p w14:paraId="2ABB70D8">
            <w:pPr>
              <w:pStyle w:val="6"/>
              <w:spacing w:before="90" w:line="228" w:lineRule="auto"/>
              <w:ind w:left="303"/>
              <w:rPr>
                <w:sz w:val="20"/>
                <w:szCs w:val="20"/>
              </w:rPr>
            </w:pPr>
            <w:r>
              <w:rPr>
                <w:spacing w:val="7"/>
                <w:sz w:val="20"/>
                <w:szCs w:val="20"/>
              </w:rPr>
              <w:t>补充水量</w:t>
            </w:r>
          </w:p>
        </w:tc>
        <w:tc>
          <w:tcPr>
            <w:tcW w:w="1393" w:type="dxa"/>
            <w:gridSpan w:val="2"/>
            <w:vAlign w:val="top"/>
          </w:tcPr>
          <w:p w14:paraId="3BB65F24">
            <w:pPr>
              <w:pStyle w:val="6"/>
              <w:spacing w:before="90" w:line="228" w:lineRule="auto"/>
              <w:ind w:left="392"/>
              <w:rPr>
                <w:sz w:val="20"/>
                <w:szCs w:val="20"/>
              </w:rPr>
            </w:pPr>
            <w:r>
              <w:rPr>
                <w:spacing w:val="6"/>
                <w:sz w:val="20"/>
                <w:szCs w:val="20"/>
              </w:rPr>
              <w:t>用水量</w:t>
            </w:r>
          </w:p>
        </w:tc>
        <w:tc>
          <w:tcPr>
            <w:tcW w:w="1348" w:type="dxa"/>
            <w:gridSpan w:val="2"/>
            <w:vAlign w:val="top"/>
          </w:tcPr>
          <w:p w14:paraId="394EFDD4">
            <w:pPr>
              <w:pStyle w:val="6"/>
              <w:spacing w:before="90" w:line="228" w:lineRule="auto"/>
              <w:ind w:left="369"/>
              <w:rPr>
                <w:sz w:val="20"/>
                <w:szCs w:val="20"/>
              </w:rPr>
            </w:pPr>
            <w:r>
              <w:rPr>
                <w:spacing w:val="7"/>
                <w:sz w:val="20"/>
                <w:szCs w:val="20"/>
              </w:rPr>
              <w:t>废水量</w:t>
            </w:r>
          </w:p>
        </w:tc>
        <w:tc>
          <w:tcPr>
            <w:tcW w:w="178" w:type="dxa"/>
            <w:vMerge w:val="restart"/>
            <w:tcBorders>
              <w:top w:val="nil"/>
              <w:bottom w:val="nil"/>
              <w:right w:val="single" w:color="000000" w:sz="6" w:space="0"/>
            </w:tcBorders>
            <w:vAlign w:val="top"/>
          </w:tcPr>
          <w:p w14:paraId="79CAD27B">
            <w:pPr>
              <w:rPr>
                <w:rFonts w:ascii="Arial"/>
                <w:sz w:val="21"/>
              </w:rPr>
            </w:pPr>
          </w:p>
        </w:tc>
      </w:tr>
      <w:tr w14:paraId="02D07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778" w:type="dxa"/>
            <w:vMerge w:val="continue"/>
            <w:tcBorders>
              <w:top w:val="nil"/>
              <w:left w:val="single" w:color="000000" w:sz="6" w:space="0"/>
              <w:bottom w:val="nil"/>
            </w:tcBorders>
            <w:vAlign w:val="top"/>
          </w:tcPr>
          <w:p w14:paraId="4B2DCF09">
            <w:pPr>
              <w:rPr>
                <w:rFonts w:ascii="Arial"/>
                <w:sz w:val="21"/>
              </w:rPr>
            </w:pPr>
          </w:p>
        </w:tc>
        <w:tc>
          <w:tcPr>
            <w:tcW w:w="168" w:type="dxa"/>
            <w:vMerge w:val="continue"/>
            <w:tcBorders>
              <w:top w:val="nil"/>
              <w:bottom w:val="nil"/>
            </w:tcBorders>
            <w:vAlign w:val="top"/>
          </w:tcPr>
          <w:p w14:paraId="694639D0">
            <w:pPr>
              <w:rPr>
                <w:rFonts w:ascii="Arial"/>
                <w:sz w:val="21"/>
              </w:rPr>
            </w:pPr>
          </w:p>
        </w:tc>
        <w:tc>
          <w:tcPr>
            <w:tcW w:w="834" w:type="dxa"/>
            <w:vMerge w:val="continue"/>
            <w:tcBorders>
              <w:top w:val="nil"/>
            </w:tcBorders>
            <w:vAlign w:val="top"/>
          </w:tcPr>
          <w:p w14:paraId="5266ED07">
            <w:pPr>
              <w:rPr>
                <w:rFonts w:ascii="Arial"/>
                <w:sz w:val="21"/>
              </w:rPr>
            </w:pPr>
          </w:p>
        </w:tc>
        <w:tc>
          <w:tcPr>
            <w:tcW w:w="783" w:type="dxa"/>
            <w:vMerge w:val="continue"/>
            <w:tcBorders>
              <w:top w:val="nil"/>
            </w:tcBorders>
            <w:vAlign w:val="top"/>
          </w:tcPr>
          <w:p w14:paraId="36101E48">
            <w:pPr>
              <w:rPr>
                <w:rFonts w:ascii="Arial"/>
                <w:sz w:val="21"/>
              </w:rPr>
            </w:pPr>
          </w:p>
        </w:tc>
        <w:tc>
          <w:tcPr>
            <w:tcW w:w="716" w:type="dxa"/>
            <w:vMerge w:val="continue"/>
            <w:tcBorders>
              <w:top w:val="nil"/>
            </w:tcBorders>
            <w:vAlign w:val="top"/>
          </w:tcPr>
          <w:p w14:paraId="22F9FEE6">
            <w:pPr>
              <w:rPr>
                <w:rFonts w:ascii="Arial"/>
                <w:sz w:val="21"/>
              </w:rPr>
            </w:pPr>
          </w:p>
        </w:tc>
        <w:tc>
          <w:tcPr>
            <w:tcW w:w="665" w:type="dxa"/>
            <w:vMerge w:val="continue"/>
            <w:tcBorders>
              <w:top w:val="nil"/>
            </w:tcBorders>
            <w:vAlign w:val="top"/>
          </w:tcPr>
          <w:p w14:paraId="09C5BAB0">
            <w:pPr>
              <w:rPr>
                <w:rFonts w:ascii="Arial"/>
                <w:sz w:val="21"/>
              </w:rPr>
            </w:pPr>
          </w:p>
        </w:tc>
        <w:tc>
          <w:tcPr>
            <w:tcW w:w="695" w:type="dxa"/>
            <w:vMerge w:val="continue"/>
            <w:tcBorders>
              <w:top w:val="nil"/>
            </w:tcBorders>
            <w:vAlign w:val="top"/>
          </w:tcPr>
          <w:p w14:paraId="582A025A">
            <w:pPr>
              <w:rPr>
                <w:rFonts w:ascii="Arial"/>
                <w:sz w:val="21"/>
              </w:rPr>
            </w:pPr>
          </w:p>
        </w:tc>
        <w:tc>
          <w:tcPr>
            <w:tcW w:w="672" w:type="dxa"/>
            <w:vAlign w:val="top"/>
          </w:tcPr>
          <w:p w14:paraId="77B5C7A4">
            <w:pPr>
              <w:spacing w:before="158" w:line="199"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t/d</w:t>
            </w:r>
          </w:p>
        </w:tc>
        <w:tc>
          <w:tcPr>
            <w:tcW w:w="758" w:type="dxa"/>
            <w:vAlign w:val="top"/>
          </w:tcPr>
          <w:p w14:paraId="632896CD">
            <w:pPr>
              <w:spacing w:before="158" w:line="199"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674" w:type="dxa"/>
            <w:vAlign w:val="top"/>
          </w:tcPr>
          <w:p w14:paraId="58E93B02">
            <w:pPr>
              <w:spacing w:before="158" w:line="199"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t/d</w:t>
            </w:r>
          </w:p>
        </w:tc>
        <w:tc>
          <w:tcPr>
            <w:tcW w:w="719" w:type="dxa"/>
            <w:vAlign w:val="top"/>
          </w:tcPr>
          <w:p w14:paraId="67FEA6DE">
            <w:pPr>
              <w:spacing w:before="158" w:line="199"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689" w:type="dxa"/>
            <w:vAlign w:val="top"/>
          </w:tcPr>
          <w:p w14:paraId="0C8C6804">
            <w:pPr>
              <w:spacing w:before="158"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t/d</w:t>
            </w:r>
          </w:p>
        </w:tc>
        <w:tc>
          <w:tcPr>
            <w:tcW w:w="659" w:type="dxa"/>
            <w:vAlign w:val="top"/>
          </w:tcPr>
          <w:p w14:paraId="34D2D7BB">
            <w:pPr>
              <w:spacing w:before="158" w:line="19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78" w:type="dxa"/>
            <w:vMerge w:val="continue"/>
            <w:tcBorders>
              <w:top w:val="nil"/>
              <w:bottom w:val="nil"/>
              <w:right w:val="single" w:color="000000" w:sz="6" w:space="0"/>
            </w:tcBorders>
            <w:vAlign w:val="top"/>
          </w:tcPr>
          <w:p w14:paraId="06AB9419">
            <w:pPr>
              <w:rPr>
                <w:rFonts w:ascii="Arial"/>
                <w:sz w:val="21"/>
              </w:rPr>
            </w:pPr>
          </w:p>
        </w:tc>
      </w:tr>
      <w:tr w14:paraId="285F6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8" w:type="dxa"/>
            <w:vMerge w:val="continue"/>
            <w:tcBorders>
              <w:top w:val="nil"/>
              <w:left w:val="single" w:color="000000" w:sz="6" w:space="0"/>
              <w:bottom w:val="nil"/>
            </w:tcBorders>
            <w:vAlign w:val="top"/>
          </w:tcPr>
          <w:p w14:paraId="78FD82BF">
            <w:pPr>
              <w:rPr>
                <w:rFonts w:ascii="Arial"/>
                <w:sz w:val="21"/>
              </w:rPr>
            </w:pPr>
          </w:p>
        </w:tc>
        <w:tc>
          <w:tcPr>
            <w:tcW w:w="168" w:type="dxa"/>
            <w:vMerge w:val="continue"/>
            <w:tcBorders>
              <w:top w:val="nil"/>
              <w:bottom w:val="nil"/>
            </w:tcBorders>
            <w:vAlign w:val="top"/>
          </w:tcPr>
          <w:p w14:paraId="20035A3D">
            <w:pPr>
              <w:rPr>
                <w:rFonts w:ascii="Arial"/>
                <w:sz w:val="21"/>
              </w:rPr>
            </w:pPr>
          </w:p>
        </w:tc>
        <w:tc>
          <w:tcPr>
            <w:tcW w:w="834" w:type="dxa"/>
            <w:vAlign w:val="top"/>
          </w:tcPr>
          <w:p w14:paraId="6C7AE66C">
            <w:pPr>
              <w:spacing w:before="12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783" w:type="dxa"/>
            <w:vAlign w:val="top"/>
          </w:tcPr>
          <w:p w14:paraId="1C958F7B">
            <w:pPr>
              <w:spacing w:before="128"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5059640A">
            <w:pPr>
              <w:spacing w:before="12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5DF52DDC">
            <w:pPr>
              <w:spacing w:before="12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622BD177">
            <w:pPr>
              <w:spacing w:before="12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6AB1E226">
            <w:pPr>
              <w:spacing w:before="12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4C036DFB">
            <w:pPr>
              <w:spacing w:before="12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6C079988">
            <w:pPr>
              <w:spacing w:before="12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5922113E">
            <w:pPr>
              <w:spacing w:before="12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15BBF7CC">
            <w:pPr>
              <w:spacing w:before="12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48423455">
            <w:pPr>
              <w:spacing w:before="12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5E7069CD">
            <w:pPr>
              <w:rPr>
                <w:rFonts w:ascii="Arial"/>
                <w:sz w:val="21"/>
              </w:rPr>
            </w:pPr>
          </w:p>
        </w:tc>
      </w:tr>
      <w:tr w14:paraId="6F4D3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6841091C">
            <w:pPr>
              <w:rPr>
                <w:rFonts w:ascii="Arial"/>
                <w:sz w:val="21"/>
              </w:rPr>
            </w:pPr>
          </w:p>
        </w:tc>
        <w:tc>
          <w:tcPr>
            <w:tcW w:w="168" w:type="dxa"/>
            <w:vMerge w:val="continue"/>
            <w:tcBorders>
              <w:top w:val="nil"/>
              <w:bottom w:val="nil"/>
            </w:tcBorders>
            <w:vAlign w:val="top"/>
          </w:tcPr>
          <w:p w14:paraId="6B298BCF">
            <w:pPr>
              <w:rPr>
                <w:rFonts w:ascii="Arial"/>
                <w:sz w:val="21"/>
              </w:rPr>
            </w:pPr>
          </w:p>
        </w:tc>
        <w:tc>
          <w:tcPr>
            <w:tcW w:w="834" w:type="dxa"/>
            <w:vAlign w:val="top"/>
          </w:tcPr>
          <w:p w14:paraId="107F9E7E">
            <w:pPr>
              <w:spacing w:before="129"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783" w:type="dxa"/>
            <w:vAlign w:val="top"/>
          </w:tcPr>
          <w:p w14:paraId="5DACC870">
            <w:pPr>
              <w:spacing w:before="12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16" w:type="dxa"/>
            <w:vAlign w:val="top"/>
          </w:tcPr>
          <w:p w14:paraId="20AF6B07">
            <w:pPr>
              <w:spacing w:before="12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65" w:type="dxa"/>
            <w:vAlign w:val="top"/>
          </w:tcPr>
          <w:p w14:paraId="14D01FA6">
            <w:pPr>
              <w:spacing w:before="12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5" w:type="dxa"/>
            <w:vAlign w:val="top"/>
          </w:tcPr>
          <w:p w14:paraId="2961C00D">
            <w:pPr>
              <w:spacing w:before="129"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7A2952AD">
            <w:pPr>
              <w:spacing w:before="12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1.92</w:t>
            </w:r>
          </w:p>
        </w:tc>
        <w:tc>
          <w:tcPr>
            <w:tcW w:w="758" w:type="dxa"/>
            <w:vAlign w:val="top"/>
          </w:tcPr>
          <w:p w14:paraId="1925A869">
            <w:pPr>
              <w:spacing w:before="129"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576</w:t>
            </w:r>
          </w:p>
        </w:tc>
        <w:tc>
          <w:tcPr>
            <w:tcW w:w="674" w:type="dxa"/>
            <w:vAlign w:val="top"/>
          </w:tcPr>
          <w:p w14:paraId="0C00EFF7">
            <w:pPr>
              <w:spacing w:before="129"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w:t>
            </w:r>
          </w:p>
        </w:tc>
        <w:tc>
          <w:tcPr>
            <w:tcW w:w="719" w:type="dxa"/>
            <w:vAlign w:val="top"/>
          </w:tcPr>
          <w:p w14:paraId="50D1ED66">
            <w:pPr>
              <w:spacing w:before="129"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696</w:t>
            </w:r>
          </w:p>
        </w:tc>
        <w:tc>
          <w:tcPr>
            <w:tcW w:w="689" w:type="dxa"/>
            <w:vAlign w:val="top"/>
          </w:tcPr>
          <w:p w14:paraId="04E2F1C4">
            <w:pPr>
              <w:spacing w:before="129"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659" w:type="dxa"/>
            <w:vAlign w:val="top"/>
          </w:tcPr>
          <w:p w14:paraId="31951C63">
            <w:pPr>
              <w:spacing w:before="129"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78" w:type="dxa"/>
            <w:vMerge w:val="continue"/>
            <w:tcBorders>
              <w:top w:val="nil"/>
              <w:bottom w:val="nil"/>
              <w:right w:val="single" w:color="000000" w:sz="6" w:space="0"/>
            </w:tcBorders>
            <w:vAlign w:val="top"/>
          </w:tcPr>
          <w:p w14:paraId="5F984323">
            <w:pPr>
              <w:rPr>
                <w:rFonts w:ascii="Arial"/>
                <w:sz w:val="21"/>
              </w:rPr>
            </w:pPr>
          </w:p>
        </w:tc>
      </w:tr>
      <w:tr w14:paraId="025A1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8" w:type="dxa"/>
            <w:vMerge w:val="continue"/>
            <w:tcBorders>
              <w:top w:val="nil"/>
              <w:left w:val="single" w:color="000000" w:sz="6" w:space="0"/>
              <w:bottom w:val="nil"/>
            </w:tcBorders>
            <w:vAlign w:val="top"/>
          </w:tcPr>
          <w:p w14:paraId="0882B0D3">
            <w:pPr>
              <w:rPr>
                <w:rFonts w:ascii="Arial"/>
                <w:sz w:val="21"/>
              </w:rPr>
            </w:pPr>
          </w:p>
        </w:tc>
        <w:tc>
          <w:tcPr>
            <w:tcW w:w="168" w:type="dxa"/>
            <w:vMerge w:val="continue"/>
            <w:tcBorders>
              <w:top w:val="nil"/>
              <w:bottom w:val="nil"/>
            </w:tcBorders>
            <w:vAlign w:val="top"/>
          </w:tcPr>
          <w:p w14:paraId="054F8657">
            <w:pPr>
              <w:rPr>
                <w:rFonts w:ascii="Arial"/>
                <w:sz w:val="21"/>
              </w:rPr>
            </w:pPr>
          </w:p>
        </w:tc>
        <w:tc>
          <w:tcPr>
            <w:tcW w:w="834" w:type="dxa"/>
            <w:vAlign w:val="top"/>
          </w:tcPr>
          <w:p w14:paraId="591C1C8A">
            <w:pPr>
              <w:spacing w:before="129"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003</w:t>
            </w:r>
          </w:p>
        </w:tc>
        <w:tc>
          <w:tcPr>
            <w:tcW w:w="783" w:type="dxa"/>
            <w:vAlign w:val="top"/>
          </w:tcPr>
          <w:p w14:paraId="2C9CADFA">
            <w:pPr>
              <w:spacing w:before="12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16" w:type="dxa"/>
            <w:vAlign w:val="top"/>
          </w:tcPr>
          <w:p w14:paraId="0B780FD2">
            <w:pPr>
              <w:spacing w:before="12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65" w:type="dxa"/>
            <w:vAlign w:val="top"/>
          </w:tcPr>
          <w:p w14:paraId="6CFAAD74">
            <w:pPr>
              <w:spacing w:before="13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5" w:type="dxa"/>
            <w:vAlign w:val="top"/>
          </w:tcPr>
          <w:p w14:paraId="69DDFD86">
            <w:pPr>
              <w:spacing w:before="129"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7F91CC8C">
            <w:pPr>
              <w:spacing w:before="12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1.92</w:t>
            </w:r>
          </w:p>
        </w:tc>
        <w:tc>
          <w:tcPr>
            <w:tcW w:w="758" w:type="dxa"/>
            <w:vAlign w:val="top"/>
          </w:tcPr>
          <w:p w14:paraId="112D80D6">
            <w:pPr>
              <w:spacing w:before="129"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576</w:t>
            </w:r>
          </w:p>
        </w:tc>
        <w:tc>
          <w:tcPr>
            <w:tcW w:w="674" w:type="dxa"/>
            <w:vAlign w:val="top"/>
          </w:tcPr>
          <w:p w14:paraId="5877B4DD">
            <w:pPr>
              <w:spacing w:before="129"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w:t>
            </w:r>
          </w:p>
        </w:tc>
        <w:tc>
          <w:tcPr>
            <w:tcW w:w="719" w:type="dxa"/>
            <w:vAlign w:val="top"/>
          </w:tcPr>
          <w:p w14:paraId="32E47439">
            <w:pPr>
              <w:spacing w:before="129"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696</w:t>
            </w:r>
          </w:p>
        </w:tc>
        <w:tc>
          <w:tcPr>
            <w:tcW w:w="689" w:type="dxa"/>
            <w:vAlign w:val="top"/>
          </w:tcPr>
          <w:p w14:paraId="10AF7235">
            <w:pPr>
              <w:spacing w:before="129"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659" w:type="dxa"/>
            <w:vAlign w:val="top"/>
          </w:tcPr>
          <w:p w14:paraId="5CAC1104">
            <w:pPr>
              <w:spacing w:before="129"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78" w:type="dxa"/>
            <w:vMerge w:val="continue"/>
            <w:tcBorders>
              <w:top w:val="nil"/>
              <w:bottom w:val="nil"/>
              <w:right w:val="single" w:color="000000" w:sz="6" w:space="0"/>
            </w:tcBorders>
            <w:vAlign w:val="top"/>
          </w:tcPr>
          <w:p w14:paraId="2A23195C">
            <w:pPr>
              <w:rPr>
                <w:rFonts w:ascii="Arial"/>
                <w:sz w:val="21"/>
              </w:rPr>
            </w:pPr>
          </w:p>
        </w:tc>
      </w:tr>
      <w:tr w14:paraId="50925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71ADFC87">
            <w:pPr>
              <w:rPr>
                <w:rFonts w:ascii="Arial"/>
                <w:sz w:val="21"/>
              </w:rPr>
            </w:pPr>
          </w:p>
        </w:tc>
        <w:tc>
          <w:tcPr>
            <w:tcW w:w="168" w:type="dxa"/>
            <w:vMerge w:val="continue"/>
            <w:tcBorders>
              <w:top w:val="nil"/>
              <w:bottom w:val="nil"/>
            </w:tcBorders>
            <w:vAlign w:val="top"/>
          </w:tcPr>
          <w:p w14:paraId="77E63376">
            <w:pPr>
              <w:rPr>
                <w:rFonts w:ascii="Arial"/>
                <w:sz w:val="21"/>
              </w:rPr>
            </w:pPr>
          </w:p>
        </w:tc>
        <w:tc>
          <w:tcPr>
            <w:tcW w:w="834" w:type="dxa"/>
            <w:vAlign w:val="top"/>
          </w:tcPr>
          <w:p w14:paraId="20AA282B">
            <w:pPr>
              <w:spacing w:before="131"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004</w:t>
            </w:r>
          </w:p>
        </w:tc>
        <w:tc>
          <w:tcPr>
            <w:tcW w:w="783" w:type="dxa"/>
            <w:vAlign w:val="top"/>
          </w:tcPr>
          <w:p w14:paraId="13D51E6B">
            <w:pPr>
              <w:spacing w:before="13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16" w:type="dxa"/>
            <w:vAlign w:val="top"/>
          </w:tcPr>
          <w:p w14:paraId="618CF5C7">
            <w:pPr>
              <w:spacing w:before="13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65" w:type="dxa"/>
            <w:vAlign w:val="top"/>
          </w:tcPr>
          <w:p w14:paraId="3D115368">
            <w:pPr>
              <w:spacing w:before="13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5" w:type="dxa"/>
            <w:vAlign w:val="top"/>
          </w:tcPr>
          <w:p w14:paraId="337BC0AD">
            <w:pPr>
              <w:spacing w:before="131"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07ECD51C">
            <w:pPr>
              <w:spacing w:before="13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1.92</w:t>
            </w:r>
          </w:p>
        </w:tc>
        <w:tc>
          <w:tcPr>
            <w:tcW w:w="758" w:type="dxa"/>
            <w:vAlign w:val="top"/>
          </w:tcPr>
          <w:p w14:paraId="7E87D841">
            <w:pPr>
              <w:spacing w:before="131"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576</w:t>
            </w:r>
          </w:p>
        </w:tc>
        <w:tc>
          <w:tcPr>
            <w:tcW w:w="674" w:type="dxa"/>
            <w:vAlign w:val="top"/>
          </w:tcPr>
          <w:p w14:paraId="1C2B01BD">
            <w:pPr>
              <w:spacing w:before="131"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w:t>
            </w:r>
          </w:p>
        </w:tc>
        <w:tc>
          <w:tcPr>
            <w:tcW w:w="719" w:type="dxa"/>
            <w:vAlign w:val="top"/>
          </w:tcPr>
          <w:p w14:paraId="2C94837A">
            <w:pPr>
              <w:spacing w:before="131"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696</w:t>
            </w:r>
          </w:p>
        </w:tc>
        <w:tc>
          <w:tcPr>
            <w:tcW w:w="689" w:type="dxa"/>
            <w:vAlign w:val="top"/>
          </w:tcPr>
          <w:p w14:paraId="338A6BC2">
            <w:pPr>
              <w:spacing w:before="131"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659" w:type="dxa"/>
            <w:vAlign w:val="top"/>
          </w:tcPr>
          <w:p w14:paraId="41C9E109">
            <w:pPr>
              <w:spacing w:before="13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78" w:type="dxa"/>
            <w:vMerge w:val="continue"/>
            <w:tcBorders>
              <w:top w:val="nil"/>
              <w:bottom w:val="nil"/>
              <w:right w:val="single" w:color="000000" w:sz="6" w:space="0"/>
            </w:tcBorders>
            <w:vAlign w:val="top"/>
          </w:tcPr>
          <w:p w14:paraId="09222C9F">
            <w:pPr>
              <w:rPr>
                <w:rFonts w:ascii="Arial"/>
                <w:sz w:val="21"/>
              </w:rPr>
            </w:pPr>
          </w:p>
        </w:tc>
      </w:tr>
      <w:tr w14:paraId="60C9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78" w:type="dxa"/>
            <w:vMerge w:val="continue"/>
            <w:tcBorders>
              <w:top w:val="nil"/>
              <w:left w:val="single" w:color="000000" w:sz="6" w:space="0"/>
              <w:bottom w:val="single" w:color="000000" w:sz="6" w:space="0"/>
            </w:tcBorders>
            <w:vAlign w:val="top"/>
          </w:tcPr>
          <w:p w14:paraId="7C51E4C8">
            <w:pPr>
              <w:rPr>
                <w:rFonts w:ascii="Arial"/>
                <w:sz w:val="21"/>
              </w:rPr>
            </w:pPr>
          </w:p>
        </w:tc>
        <w:tc>
          <w:tcPr>
            <w:tcW w:w="168" w:type="dxa"/>
            <w:vMerge w:val="continue"/>
            <w:tcBorders>
              <w:top w:val="nil"/>
              <w:bottom w:val="single" w:color="000000" w:sz="6" w:space="0"/>
            </w:tcBorders>
            <w:vAlign w:val="top"/>
          </w:tcPr>
          <w:p w14:paraId="5C02E6F9">
            <w:pPr>
              <w:rPr>
                <w:rFonts w:ascii="Arial"/>
                <w:sz w:val="21"/>
              </w:rPr>
            </w:pPr>
          </w:p>
        </w:tc>
        <w:tc>
          <w:tcPr>
            <w:tcW w:w="834" w:type="dxa"/>
            <w:tcBorders>
              <w:bottom w:val="single" w:color="000000" w:sz="6" w:space="0"/>
            </w:tcBorders>
            <w:vAlign w:val="top"/>
          </w:tcPr>
          <w:p w14:paraId="5075A952">
            <w:pPr>
              <w:spacing w:before="131"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005</w:t>
            </w:r>
          </w:p>
        </w:tc>
        <w:tc>
          <w:tcPr>
            <w:tcW w:w="783" w:type="dxa"/>
            <w:tcBorders>
              <w:bottom w:val="single" w:color="000000" w:sz="6" w:space="0"/>
            </w:tcBorders>
            <w:vAlign w:val="top"/>
          </w:tcPr>
          <w:p w14:paraId="5D9A4210">
            <w:pPr>
              <w:spacing w:before="13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16" w:type="dxa"/>
            <w:tcBorders>
              <w:bottom w:val="single" w:color="000000" w:sz="6" w:space="0"/>
            </w:tcBorders>
            <w:vAlign w:val="top"/>
          </w:tcPr>
          <w:p w14:paraId="31C26B63">
            <w:pPr>
              <w:spacing w:before="13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65" w:type="dxa"/>
            <w:tcBorders>
              <w:bottom w:val="single" w:color="000000" w:sz="6" w:space="0"/>
            </w:tcBorders>
            <w:vAlign w:val="top"/>
          </w:tcPr>
          <w:p w14:paraId="44E2410D">
            <w:pPr>
              <w:spacing w:before="13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5" w:type="dxa"/>
            <w:tcBorders>
              <w:bottom w:val="single" w:color="000000" w:sz="6" w:space="0"/>
            </w:tcBorders>
            <w:vAlign w:val="top"/>
          </w:tcPr>
          <w:p w14:paraId="743FE0E1">
            <w:pPr>
              <w:spacing w:before="131"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tcBorders>
              <w:bottom w:val="single" w:color="000000" w:sz="6" w:space="0"/>
            </w:tcBorders>
            <w:vAlign w:val="top"/>
          </w:tcPr>
          <w:p w14:paraId="754DE30F">
            <w:pPr>
              <w:spacing w:before="13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1.92</w:t>
            </w:r>
          </w:p>
        </w:tc>
        <w:tc>
          <w:tcPr>
            <w:tcW w:w="758" w:type="dxa"/>
            <w:tcBorders>
              <w:bottom w:val="single" w:color="000000" w:sz="6" w:space="0"/>
            </w:tcBorders>
            <w:vAlign w:val="top"/>
          </w:tcPr>
          <w:p w14:paraId="49A1837D">
            <w:pPr>
              <w:spacing w:before="131"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576</w:t>
            </w:r>
          </w:p>
        </w:tc>
        <w:tc>
          <w:tcPr>
            <w:tcW w:w="674" w:type="dxa"/>
            <w:tcBorders>
              <w:bottom w:val="single" w:color="000000" w:sz="6" w:space="0"/>
            </w:tcBorders>
            <w:vAlign w:val="top"/>
          </w:tcPr>
          <w:p w14:paraId="27BA20E0">
            <w:pPr>
              <w:spacing w:before="131"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w:t>
            </w:r>
          </w:p>
        </w:tc>
        <w:tc>
          <w:tcPr>
            <w:tcW w:w="719" w:type="dxa"/>
            <w:tcBorders>
              <w:bottom w:val="single" w:color="000000" w:sz="6" w:space="0"/>
            </w:tcBorders>
            <w:vAlign w:val="top"/>
          </w:tcPr>
          <w:p w14:paraId="4A9CEBF8">
            <w:pPr>
              <w:spacing w:before="131"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696</w:t>
            </w:r>
          </w:p>
        </w:tc>
        <w:tc>
          <w:tcPr>
            <w:tcW w:w="689" w:type="dxa"/>
            <w:tcBorders>
              <w:bottom w:val="single" w:color="000000" w:sz="6" w:space="0"/>
            </w:tcBorders>
            <w:vAlign w:val="top"/>
          </w:tcPr>
          <w:p w14:paraId="2753E0C9">
            <w:pPr>
              <w:spacing w:before="131"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659" w:type="dxa"/>
            <w:tcBorders>
              <w:bottom w:val="single" w:color="000000" w:sz="6" w:space="0"/>
            </w:tcBorders>
            <w:vAlign w:val="top"/>
          </w:tcPr>
          <w:p w14:paraId="3DC5AF76">
            <w:pPr>
              <w:spacing w:before="13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78" w:type="dxa"/>
            <w:vMerge w:val="continue"/>
            <w:tcBorders>
              <w:top w:val="nil"/>
              <w:bottom w:val="single" w:color="000000" w:sz="6" w:space="0"/>
              <w:right w:val="single" w:color="000000" w:sz="6" w:space="0"/>
            </w:tcBorders>
            <w:vAlign w:val="top"/>
          </w:tcPr>
          <w:p w14:paraId="2878E3C2">
            <w:pPr>
              <w:rPr>
                <w:rFonts w:ascii="Arial"/>
                <w:sz w:val="21"/>
              </w:rPr>
            </w:pPr>
          </w:p>
        </w:tc>
      </w:tr>
    </w:tbl>
    <w:p w14:paraId="692BF6BB">
      <w:pPr>
        <w:rPr>
          <w:rFonts w:ascii="Arial"/>
          <w:sz w:val="21"/>
        </w:rPr>
      </w:pPr>
    </w:p>
    <w:p w14:paraId="79778AB7">
      <w:pPr>
        <w:rPr>
          <w:rFonts w:ascii="Arial" w:hAnsi="Arial" w:eastAsia="Arial" w:cs="Arial"/>
          <w:sz w:val="21"/>
          <w:szCs w:val="21"/>
        </w:rPr>
        <w:sectPr>
          <w:footerReference r:id="rId35" w:type="default"/>
          <w:pgSz w:w="11906" w:h="16839"/>
          <w:pgMar w:top="400" w:right="1451" w:bottom="1240" w:left="1451" w:header="0" w:footer="1078" w:gutter="0"/>
          <w:cols w:space="720" w:num="1"/>
        </w:sectPr>
      </w:pPr>
    </w:p>
    <w:p w14:paraId="52E359ED">
      <w:pPr>
        <w:spacing w:before="19"/>
      </w:pPr>
    </w:p>
    <w:p w14:paraId="00EE26AD">
      <w:pPr>
        <w:spacing w:before="19"/>
      </w:pPr>
    </w:p>
    <w:p w14:paraId="5DDFE369">
      <w:pPr>
        <w:spacing w:before="19"/>
      </w:pPr>
    </w:p>
    <w:p w14:paraId="38D37BA0">
      <w:pPr>
        <w:spacing w:before="18"/>
      </w:pPr>
    </w:p>
    <w:p w14:paraId="1015BA5A">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68"/>
        <w:gridCol w:w="834"/>
        <w:gridCol w:w="783"/>
        <w:gridCol w:w="716"/>
        <w:gridCol w:w="665"/>
        <w:gridCol w:w="695"/>
        <w:gridCol w:w="672"/>
        <w:gridCol w:w="758"/>
        <w:gridCol w:w="674"/>
        <w:gridCol w:w="719"/>
        <w:gridCol w:w="689"/>
        <w:gridCol w:w="659"/>
        <w:gridCol w:w="178"/>
      </w:tblGrid>
      <w:tr w14:paraId="7E41A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778" w:type="dxa"/>
            <w:vMerge w:val="restart"/>
            <w:tcBorders>
              <w:top w:val="single" w:color="000000" w:sz="6" w:space="0"/>
              <w:left w:val="single" w:color="000000" w:sz="6" w:space="0"/>
              <w:bottom w:val="nil"/>
            </w:tcBorders>
            <w:vAlign w:val="top"/>
          </w:tcPr>
          <w:p w14:paraId="710F65F4">
            <w:pPr>
              <w:rPr>
                <w:rFonts w:ascii="Arial"/>
                <w:sz w:val="21"/>
              </w:rPr>
            </w:pPr>
          </w:p>
        </w:tc>
        <w:tc>
          <w:tcPr>
            <w:tcW w:w="168" w:type="dxa"/>
            <w:vMerge w:val="restart"/>
            <w:tcBorders>
              <w:top w:val="single" w:color="000000" w:sz="6" w:space="0"/>
              <w:bottom w:val="nil"/>
            </w:tcBorders>
            <w:vAlign w:val="top"/>
          </w:tcPr>
          <w:p w14:paraId="00F2480C">
            <w:pPr>
              <w:rPr>
                <w:rFonts w:ascii="Arial"/>
                <w:sz w:val="21"/>
              </w:rPr>
            </w:pPr>
          </w:p>
        </w:tc>
        <w:tc>
          <w:tcPr>
            <w:tcW w:w="834" w:type="dxa"/>
            <w:tcBorders>
              <w:top w:val="single" w:color="000000" w:sz="6" w:space="0"/>
            </w:tcBorders>
            <w:vAlign w:val="top"/>
          </w:tcPr>
          <w:p w14:paraId="52346B6B">
            <w:pPr>
              <w:spacing w:before="130"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006</w:t>
            </w:r>
          </w:p>
        </w:tc>
        <w:tc>
          <w:tcPr>
            <w:tcW w:w="783" w:type="dxa"/>
            <w:tcBorders>
              <w:top w:val="single" w:color="000000" w:sz="6" w:space="0"/>
            </w:tcBorders>
            <w:vAlign w:val="top"/>
          </w:tcPr>
          <w:p w14:paraId="7CCFBBBC">
            <w:pPr>
              <w:spacing w:before="130"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tcBorders>
              <w:top w:val="single" w:color="000000" w:sz="6" w:space="0"/>
            </w:tcBorders>
            <w:vAlign w:val="top"/>
          </w:tcPr>
          <w:p w14:paraId="7D76AAA8">
            <w:pPr>
              <w:spacing w:before="130"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tcBorders>
              <w:top w:val="single" w:color="000000" w:sz="6" w:space="0"/>
            </w:tcBorders>
            <w:vAlign w:val="top"/>
          </w:tcPr>
          <w:p w14:paraId="60CAAE3A">
            <w:pPr>
              <w:spacing w:before="13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tcBorders>
              <w:top w:val="single" w:color="000000" w:sz="6" w:space="0"/>
            </w:tcBorders>
            <w:vAlign w:val="top"/>
          </w:tcPr>
          <w:p w14:paraId="42DB60D1">
            <w:pPr>
              <w:spacing w:before="13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tcBorders>
              <w:top w:val="single" w:color="000000" w:sz="6" w:space="0"/>
            </w:tcBorders>
            <w:vAlign w:val="top"/>
          </w:tcPr>
          <w:p w14:paraId="3F098DD4">
            <w:pPr>
              <w:spacing w:before="130"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tcBorders>
              <w:top w:val="single" w:color="000000" w:sz="6" w:space="0"/>
            </w:tcBorders>
            <w:vAlign w:val="top"/>
          </w:tcPr>
          <w:p w14:paraId="55265B9E">
            <w:pPr>
              <w:spacing w:before="130"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tcBorders>
              <w:top w:val="single" w:color="000000" w:sz="6" w:space="0"/>
            </w:tcBorders>
            <w:vAlign w:val="top"/>
          </w:tcPr>
          <w:p w14:paraId="7519521C">
            <w:pPr>
              <w:spacing w:before="130"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tcBorders>
              <w:top w:val="single" w:color="000000" w:sz="6" w:space="0"/>
            </w:tcBorders>
            <w:vAlign w:val="top"/>
          </w:tcPr>
          <w:p w14:paraId="30EC1841">
            <w:pPr>
              <w:spacing w:before="130"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tcBorders>
              <w:top w:val="single" w:color="000000" w:sz="6" w:space="0"/>
            </w:tcBorders>
            <w:vAlign w:val="top"/>
          </w:tcPr>
          <w:p w14:paraId="257411F8">
            <w:pPr>
              <w:spacing w:before="130"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tcBorders>
              <w:top w:val="single" w:color="000000" w:sz="6" w:space="0"/>
            </w:tcBorders>
            <w:vAlign w:val="top"/>
          </w:tcPr>
          <w:p w14:paraId="56E0054A">
            <w:pPr>
              <w:spacing w:before="130"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restart"/>
            <w:tcBorders>
              <w:top w:val="single" w:color="000000" w:sz="6" w:space="0"/>
              <w:bottom w:val="nil"/>
              <w:right w:val="single" w:color="000000" w:sz="6" w:space="0"/>
            </w:tcBorders>
            <w:vAlign w:val="top"/>
          </w:tcPr>
          <w:p w14:paraId="05C349EE">
            <w:pPr>
              <w:rPr>
                <w:rFonts w:ascii="Arial"/>
                <w:sz w:val="21"/>
              </w:rPr>
            </w:pPr>
          </w:p>
        </w:tc>
      </w:tr>
      <w:tr w14:paraId="5ED90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6993E181">
            <w:pPr>
              <w:rPr>
                <w:rFonts w:ascii="Arial"/>
                <w:sz w:val="21"/>
              </w:rPr>
            </w:pPr>
          </w:p>
        </w:tc>
        <w:tc>
          <w:tcPr>
            <w:tcW w:w="168" w:type="dxa"/>
            <w:vMerge w:val="continue"/>
            <w:tcBorders>
              <w:top w:val="nil"/>
              <w:bottom w:val="nil"/>
            </w:tcBorders>
            <w:vAlign w:val="top"/>
          </w:tcPr>
          <w:p w14:paraId="1EC47744">
            <w:pPr>
              <w:rPr>
                <w:rFonts w:ascii="Arial"/>
                <w:sz w:val="21"/>
              </w:rPr>
            </w:pPr>
          </w:p>
        </w:tc>
        <w:tc>
          <w:tcPr>
            <w:tcW w:w="834" w:type="dxa"/>
            <w:vAlign w:val="top"/>
          </w:tcPr>
          <w:p w14:paraId="50E69AB7">
            <w:pPr>
              <w:spacing w:before="117"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007</w:t>
            </w:r>
          </w:p>
        </w:tc>
        <w:tc>
          <w:tcPr>
            <w:tcW w:w="783" w:type="dxa"/>
            <w:vAlign w:val="top"/>
          </w:tcPr>
          <w:p w14:paraId="65D9134F">
            <w:pPr>
              <w:spacing w:before="11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387F6B6A">
            <w:pPr>
              <w:spacing w:before="11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0E842990">
            <w:pPr>
              <w:spacing w:before="11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50D0688F">
            <w:pPr>
              <w:spacing w:before="11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0AC877B6">
            <w:pPr>
              <w:spacing w:before="11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7ACF0057">
            <w:pPr>
              <w:spacing w:before="11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07005B63">
            <w:pPr>
              <w:spacing w:before="11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084D9AB5">
            <w:pPr>
              <w:spacing w:before="11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63C35D79">
            <w:pPr>
              <w:spacing w:before="11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3CD48DA5">
            <w:pPr>
              <w:spacing w:before="117"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5AB42E34">
            <w:pPr>
              <w:rPr>
                <w:rFonts w:ascii="Arial"/>
                <w:sz w:val="21"/>
              </w:rPr>
            </w:pPr>
          </w:p>
        </w:tc>
      </w:tr>
      <w:tr w14:paraId="7FCB8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7034AEFD">
            <w:pPr>
              <w:rPr>
                <w:rFonts w:ascii="Arial"/>
                <w:sz w:val="21"/>
              </w:rPr>
            </w:pPr>
          </w:p>
        </w:tc>
        <w:tc>
          <w:tcPr>
            <w:tcW w:w="168" w:type="dxa"/>
            <w:vMerge w:val="continue"/>
            <w:tcBorders>
              <w:top w:val="nil"/>
              <w:bottom w:val="nil"/>
            </w:tcBorders>
            <w:vAlign w:val="top"/>
          </w:tcPr>
          <w:p w14:paraId="587103D1">
            <w:pPr>
              <w:rPr>
                <w:rFonts w:ascii="Arial"/>
                <w:sz w:val="21"/>
              </w:rPr>
            </w:pPr>
          </w:p>
        </w:tc>
        <w:tc>
          <w:tcPr>
            <w:tcW w:w="834" w:type="dxa"/>
            <w:vAlign w:val="top"/>
          </w:tcPr>
          <w:p w14:paraId="7367AB7B">
            <w:pPr>
              <w:spacing w:before="117"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008</w:t>
            </w:r>
          </w:p>
        </w:tc>
        <w:tc>
          <w:tcPr>
            <w:tcW w:w="783" w:type="dxa"/>
            <w:vAlign w:val="top"/>
          </w:tcPr>
          <w:p w14:paraId="590E9677">
            <w:pPr>
              <w:spacing w:before="11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5A4CFE80">
            <w:pPr>
              <w:spacing w:before="11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5B91FB29">
            <w:pPr>
              <w:spacing w:before="11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3CD6F3A4">
            <w:pPr>
              <w:spacing w:before="11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73380D60">
            <w:pPr>
              <w:spacing w:before="11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0FF35AD8">
            <w:pPr>
              <w:spacing w:before="11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49960B4B">
            <w:pPr>
              <w:spacing w:before="11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59A59810">
            <w:pPr>
              <w:spacing w:before="11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1A0C895F">
            <w:pPr>
              <w:spacing w:before="11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25413579">
            <w:pPr>
              <w:spacing w:before="117"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26BBDE82">
            <w:pPr>
              <w:rPr>
                <w:rFonts w:ascii="Arial"/>
                <w:sz w:val="21"/>
              </w:rPr>
            </w:pPr>
          </w:p>
        </w:tc>
      </w:tr>
      <w:tr w14:paraId="21A51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8" w:type="dxa"/>
            <w:vMerge w:val="continue"/>
            <w:tcBorders>
              <w:top w:val="nil"/>
              <w:left w:val="single" w:color="000000" w:sz="6" w:space="0"/>
              <w:bottom w:val="nil"/>
            </w:tcBorders>
            <w:vAlign w:val="top"/>
          </w:tcPr>
          <w:p w14:paraId="26D1706A">
            <w:pPr>
              <w:rPr>
                <w:rFonts w:ascii="Arial"/>
                <w:sz w:val="21"/>
              </w:rPr>
            </w:pPr>
          </w:p>
        </w:tc>
        <w:tc>
          <w:tcPr>
            <w:tcW w:w="168" w:type="dxa"/>
            <w:vMerge w:val="continue"/>
            <w:tcBorders>
              <w:top w:val="nil"/>
              <w:bottom w:val="nil"/>
            </w:tcBorders>
            <w:vAlign w:val="top"/>
          </w:tcPr>
          <w:p w14:paraId="6FC8209F">
            <w:pPr>
              <w:rPr>
                <w:rFonts w:ascii="Arial"/>
                <w:sz w:val="21"/>
              </w:rPr>
            </w:pPr>
          </w:p>
        </w:tc>
        <w:tc>
          <w:tcPr>
            <w:tcW w:w="834" w:type="dxa"/>
            <w:vAlign w:val="top"/>
          </w:tcPr>
          <w:p w14:paraId="5C7BE601">
            <w:pPr>
              <w:spacing w:before="115"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009</w:t>
            </w:r>
          </w:p>
        </w:tc>
        <w:tc>
          <w:tcPr>
            <w:tcW w:w="783" w:type="dxa"/>
            <w:vAlign w:val="top"/>
          </w:tcPr>
          <w:p w14:paraId="6009329C">
            <w:pPr>
              <w:spacing w:before="11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43710873">
            <w:pPr>
              <w:spacing w:before="115"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15D96891">
            <w:pPr>
              <w:spacing w:before="11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42DE9346">
            <w:pPr>
              <w:spacing w:before="115"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04E3BF02">
            <w:pPr>
              <w:spacing w:before="115"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212F8219">
            <w:pPr>
              <w:spacing w:before="115"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179494D0">
            <w:pPr>
              <w:spacing w:before="1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5D421439">
            <w:pPr>
              <w:spacing w:before="115"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634AA4B9">
            <w:pPr>
              <w:spacing w:before="11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000809AD">
            <w:pPr>
              <w:spacing w:before="11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6B1368BC">
            <w:pPr>
              <w:rPr>
                <w:rFonts w:ascii="Arial"/>
                <w:sz w:val="21"/>
              </w:rPr>
            </w:pPr>
          </w:p>
        </w:tc>
      </w:tr>
      <w:tr w14:paraId="779FB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010A9420">
            <w:pPr>
              <w:rPr>
                <w:rFonts w:ascii="Arial"/>
                <w:sz w:val="21"/>
              </w:rPr>
            </w:pPr>
          </w:p>
        </w:tc>
        <w:tc>
          <w:tcPr>
            <w:tcW w:w="168" w:type="dxa"/>
            <w:vMerge w:val="continue"/>
            <w:tcBorders>
              <w:top w:val="nil"/>
              <w:bottom w:val="nil"/>
            </w:tcBorders>
            <w:vAlign w:val="top"/>
          </w:tcPr>
          <w:p w14:paraId="386821C3">
            <w:pPr>
              <w:rPr>
                <w:rFonts w:ascii="Arial"/>
                <w:sz w:val="21"/>
              </w:rPr>
            </w:pPr>
          </w:p>
        </w:tc>
        <w:tc>
          <w:tcPr>
            <w:tcW w:w="834" w:type="dxa"/>
            <w:vAlign w:val="top"/>
          </w:tcPr>
          <w:p w14:paraId="3BD9F400">
            <w:pPr>
              <w:spacing w:before="116"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010</w:t>
            </w:r>
          </w:p>
        </w:tc>
        <w:tc>
          <w:tcPr>
            <w:tcW w:w="783" w:type="dxa"/>
            <w:vAlign w:val="top"/>
          </w:tcPr>
          <w:p w14:paraId="797CB19C">
            <w:pPr>
              <w:spacing w:before="116"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65995D55">
            <w:pPr>
              <w:spacing w:before="11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6509ACED">
            <w:pPr>
              <w:spacing w:before="11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42594DCE">
            <w:pPr>
              <w:spacing w:before="11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01775F56">
            <w:pPr>
              <w:spacing w:before="116"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370F953E">
            <w:pPr>
              <w:spacing w:before="116"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0548EF2F">
            <w:pPr>
              <w:spacing w:before="116"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3C8A8E5B">
            <w:pPr>
              <w:spacing w:before="116"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0020B1E4">
            <w:pPr>
              <w:spacing w:before="116"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2CDD2704">
            <w:pPr>
              <w:spacing w:before="116"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02158043">
            <w:pPr>
              <w:rPr>
                <w:rFonts w:ascii="Arial"/>
                <w:sz w:val="21"/>
              </w:rPr>
            </w:pPr>
          </w:p>
        </w:tc>
      </w:tr>
      <w:tr w14:paraId="6712E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8" w:type="dxa"/>
            <w:vMerge w:val="continue"/>
            <w:tcBorders>
              <w:top w:val="nil"/>
              <w:left w:val="single" w:color="000000" w:sz="6" w:space="0"/>
              <w:bottom w:val="nil"/>
            </w:tcBorders>
            <w:vAlign w:val="top"/>
          </w:tcPr>
          <w:p w14:paraId="0AB8F049">
            <w:pPr>
              <w:rPr>
                <w:rFonts w:ascii="Arial"/>
                <w:sz w:val="21"/>
              </w:rPr>
            </w:pPr>
          </w:p>
        </w:tc>
        <w:tc>
          <w:tcPr>
            <w:tcW w:w="168" w:type="dxa"/>
            <w:vMerge w:val="continue"/>
            <w:tcBorders>
              <w:top w:val="nil"/>
              <w:bottom w:val="nil"/>
            </w:tcBorders>
            <w:vAlign w:val="top"/>
          </w:tcPr>
          <w:p w14:paraId="48213010">
            <w:pPr>
              <w:rPr>
                <w:rFonts w:ascii="Arial"/>
                <w:sz w:val="21"/>
              </w:rPr>
            </w:pPr>
          </w:p>
        </w:tc>
        <w:tc>
          <w:tcPr>
            <w:tcW w:w="834" w:type="dxa"/>
            <w:vAlign w:val="top"/>
          </w:tcPr>
          <w:p w14:paraId="323B97FA">
            <w:pPr>
              <w:spacing w:before="116"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011</w:t>
            </w:r>
          </w:p>
        </w:tc>
        <w:tc>
          <w:tcPr>
            <w:tcW w:w="783" w:type="dxa"/>
            <w:vAlign w:val="top"/>
          </w:tcPr>
          <w:p w14:paraId="4F213850">
            <w:pPr>
              <w:spacing w:before="116"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7D578EAA">
            <w:pPr>
              <w:spacing w:before="11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682B8BCE">
            <w:pPr>
              <w:spacing w:before="11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402DBA4D">
            <w:pPr>
              <w:spacing w:before="11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21AE44BA">
            <w:pPr>
              <w:spacing w:before="116"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21846B0C">
            <w:pPr>
              <w:spacing w:before="116"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68368B99">
            <w:pPr>
              <w:spacing w:before="116"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35C33406">
            <w:pPr>
              <w:spacing w:before="116"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19D8187B">
            <w:pPr>
              <w:spacing w:before="116"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2F2815B9">
            <w:pPr>
              <w:spacing w:before="116"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3D03F085">
            <w:pPr>
              <w:rPr>
                <w:rFonts w:ascii="Arial"/>
                <w:sz w:val="21"/>
              </w:rPr>
            </w:pPr>
          </w:p>
        </w:tc>
      </w:tr>
      <w:tr w14:paraId="357A1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8" w:type="dxa"/>
            <w:vMerge w:val="continue"/>
            <w:tcBorders>
              <w:top w:val="nil"/>
              <w:left w:val="single" w:color="000000" w:sz="6" w:space="0"/>
              <w:bottom w:val="nil"/>
            </w:tcBorders>
            <w:vAlign w:val="top"/>
          </w:tcPr>
          <w:p w14:paraId="74E67B76">
            <w:pPr>
              <w:rPr>
                <w:rFonts w:ascii="Arial"/>
                <w:sz w:val="21"/>
              </w:rPr>
            </w:pPr>
          </w:p>
        </w:tc>
        <w:tc>
          <w:tcPr>
            <w:tcW w:w="168" w:type="dxa"/>
            <w:vMerge w:val="continue"/>
            <w:tcBorders>
              <w:top w:val="nil"/>
              <w:bottom w:val="nil"/>
            </w:tcBorders>
            <w:vAlign w:val="top"/>
          </w:tcPr>
          <w:p w14:paraId="4DC61219">
            <w:pPr>
              <w:rPr>
                <w:rFonts w:ascii="Arial"/>
                <w:sz w:val="21"/>
              </w:rPr>
            </w:pPr>
          </w:p>
        </w:tc>
        <w:tc>
          <w:tcPr>
            <w:tcW w:w="834" w:type="dxa"/>
            <w:vAlign w:val="top"/>
          </w:tcPr>
          <w:p w14:paraId="6FC3BB3F">
            <w:pPr>
              <w:spacing w:before="117"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012</w:t>
            </w:r>
          </w:p>
        </w:tc>
        <w:tc>
          <w:tcPr>
            <w:tcW w:w="783" w:type="dxa"/>
            <w:vAlign w:val="top"/>
          </w:tcPr>
          <w:p w14:paraId="75BA72B8">
            <w:pPr>
              <w:spacing w:before="11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67333189">
            <w:pPr>
              <w:spacing w:before="11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4BE52D0B">
            <w:pPr>
              <w:spacing w:before="11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438F6D2C">
            <w:pPr>
              <w:spacing w:before="11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2BF81490">
            <w:pPr>
              <w:spacing w:before="11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1CB94B6B">
            <w:pPr>
              <w:spacing w:before="11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4B1E58A1">
            <w:pPr>
              <w:spacing w:before="11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43AFAE42">
            <w:pPr>
              <w:spacing w:before="11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012F2E2D">
            <w:pPr>
              <w:spacing w:before="11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4FD8DD57">
            <w:pPr>
              <w:spacing w:before="117"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7AB51BA2">
            <w:pPr>
              <w:rPr>
                <w:rFonts w:ascii="Arial"/>
                <w:sz w:val="21"/>
              </w:rPr>
            </w:pPr>
          </w:p>
        </w:tc>
      </w:tr>
      <w:tr w14:paraId="6D122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31C4D9CD">
            <w:pPr>
              <w:rPr>
                <w:rFonts w:ascii="Arial"/>
                <w:sz w:val="21"/>
              </w:rPr>
            </w:pPr>
          </w:p>
        </w:tc>
        <w:tc>
          <w:tcPr>
            <w:tcW w:w="168" w:type="dxa"/>
            <w:vMerge w:val="continue"/>
            <w:tcBorders>
              <w:top w:val="nil"/>
              <w:bottom w:val="nil"/>
            </w:tcBorders>
            <w:vAlign w:val="top"/>
          </w:tcPr>
          <w:p w14:paraId="211B7F63">
            <w:pPr>
              <w:rPr>
                <w:rFonts w:ascii="Arial"/>
                <w:sz w:val="21"/>
              </w:rPr>
            </w:pPr>
          </w:p>
        </w:tc>
        <w:tc>
          <w:tcPr>
            <w:tcW w:w="834" w:type="dxa"/>
            <w:vAlign w:val="top"/>
          </w:tcPr>
          <w:p w14:paraId="494A031E">
            <w:pPr>
              <w:spacing w:before="11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013</w:t>
            </w:r>
          </w:p>
        </w:tc>
        <w:tc>
          <w:tcPr>
            <w:tcW w:w="783" w:type="dxa"/>
            <w:vAlign w:val="top"/>
          </w:tcPr>
          <w:p w14:paraId="32E366E7">
            <w:pPr>
              <w:spacing w:before="118"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16" w:type="dxa"/>
            <w:vAlign w:val="top"/>
          </w:tcPr>
          <w:p w14:paraId="6F9CD298">
            <w:pPr>
              <w:spacing w:before="11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665" w:type="dxa"/>
            <w:vAlign w:val="top"/>
          </w:tcPr>
          <w:p w14:paraId="33CEDCA5">
            <w:pPr>
              <w:spacing w:before="11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5" w:type="dxa"/>
            <w:vAlign w:val="top"/>
          </w:tcPr>
          <w:p w14:paraId="1D5D3258">
            <w:pPr>
              <w:spacing w:before="11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2" w:type="dxa"/>
            <w:vAlign w:val="top"/>
          </w:tcPr>
          <w:p w14:paraId="41DEABDA">
            <w:pPr>
              <w:spacing w:before="11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758" w:type="dxa"/>
            <w:vAlign w:val="top"/>
          </w:tcPr>
          <w:p w14:paraId="6289E439">
            <w:pPr>
              <w:spacing w:before="11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674" w:type="dxa"/>
            <w:vAlign w:val="top"/>
          </w:tcPr>
          <w:p w14:paraId="4676008E">
            <w:pPr>
              <w:spacing w:before="11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w:t>
            </w:r>
          </w:p>
        </w:tc>
        <w:tc>
          <w:tcPr>
            <w:tcW w:w="719" w:type="dxa"/>
            <w:vAlign w:val="top"/>
          </w:tcPr>
          <w:p w14:paraId="3C54E624">
            <w:pPr>
              <w:spacing w:before="11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89" w:type="dxa"/>
            <w:vAlign w:val="top"/>
          </w:tcPr>
          <w:p w14:paraId="6421FEF8">
            <w:pPr>
              <w:spacing w:before="11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59" w:type="dxa"/>
            <w:vAlign w:val="top"/>
          </w:tcPr>
          <w:p w14:paraId="57CA3F41">
            <w:pPr>
              <w:spacing w:before="11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8" w:type="dxa"/>
            <w:vMerge w:val="continue"/>
            <w:tcBorders>
              <w:top w:val="nil"/>
              <w:bottom w:val="nil"/>
              <w:right w:val="single" w:color="000000" w:sz="6" w:space="0"/>
            </w:tcBorders>
            <w:vAlign w:val="top"/>
          </w:tcPr>
          <w:p w14:paraId="7DF2A221">
            <w:pPr>
              <w:rPr>
                <w:rFonts w:ascii="Arial"/>
                <w:sz w:val="21"/>
              </w:rPr>
            </w:pPr>
          </w:p>
        </w:tc>
      </w:tr>
      <w:tr w14:paraId="40901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7D7A2A0E">
            <w:pPr>
              <w:rPr>
                <w:rFonts w:ascii="Arial"/>
                <w:sz w:val="21"/>
              </w:rPr>
            </w:pPr>
          </w:p>
        </w:tc>
        <w:tc>
          <w:tcPr>
            <w:tcW w:w="168" w:type="dxa"/>
            <w:vMerge w:val="continue"/>
            <w:tcBorders>
              <w:top w:val="nil"/>
              <w:bottom w:val="nil"/>
            </w:tcBorders>
            <w:vAlign w:val="top"/>
          </w:tcPr>
          <w:p w14:paraId="1F99BA65">
            <w:pPr>
              <w:rPr>
                <w:rFonts w:ascii="Arial"/>
                <w:sz w:val="21"/>
              </w:rPr>
            </w:pPr>
          </w:p>
        </w:tc>
        <w:tc>
          <w:tcPr>
            <w:tcW w:w="834" w:type="dxa"/>
            <w:vAlign w:val="top"/>
          </w:tcPr>
          <w:p w14:paraId="0E39D0B0">
            <w:pPr>
              <w:pStyle w:val="6"/>
              <w:spacing w:before="83" w:line="229" w:lineRule="auto"/>
              <w:ind w:left="207"/>
              <w:rPr>
                <w:sz w:val="20"/>
                <w:szCs w:val="20"/>
              </w:rPr>
            </w:pPr>
            <w:r>
              <w:rPr>
                <w:spacing w:val="4"/>
                <w:sz w:val="20"/>
                <w:szCs w:val="20"/>
              </w:rPr>
              <w:t>合计</w:t>
            </w:r>
          </w:p>
        </w:tc>
        <w:tc>
          <w:tcPr>
            <w:tcW w:w="783" w:type="dxa"/>
            <w:vAlign w:val="top"/>
          </w:tcPr>
          <w:p w14:paraId="080FB8F6">
            <w:pPr>
              <w:spacing w:before="119"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340000</w:t>
            </w:r>
          </w:p>
        </w:tc>
        <w:tc>
          <w:tcPr>
            <w:tcW w:w="716" w:type="dxa"/>
            <w:vAlign w:val="top"/>
          </w:tcPr>
          <w:p w14:paraId="3A117610">
            <w:pPr>
              <w:spacing w:before="119"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680</w:t>
            </w:r>
          </w:p>
        </w:tc>
        <w:tc>
          <w:tcPr>
            <w:tcW w:w="665" w:type="dxa"/>
            <w:vAlign w:val="top"/>
          </w:tcPr>
          <w:p w14:paraId="77FBAF3E">
            <w:pPr>
              <w:spacing w:before="11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695" w:type="dxa"/>
            <w:vAlign w:val="top"/>
          </w:tcPr>
          <w:p w14:paraId="1D75F735">
            <w:pPr>
              <w:spacing w:before="115" w:line="199"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2" w:type="dxa"/>
            <w:vAlign w:val="top"/>
          </w:tcPr>
          <w:p w14:paraId="43C9637C">
            <w:pPr>
              <w:spacing w:before="119"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16.32</w:t>
            </w:r>
          </w:p>
        </w:tc>
        <w:tc>
          <w:tcPr>
            <w:tcW w:w="758" w:type="dxa"/>
            <w:vAlign w:val="top"/>
          </w:tcPr>
          <w:p w14:paraId="7E8D1AFF">
            <w:pPr>
              <w:spacing w:before="11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4896</w:t>
            </w:r>
          </w:p>
        </w:tc>
        <w:tc>
          <w:tcPr>
            <w:tcW w:w="674" w:type="dxa"/>
            <w:vAlign w:val="top"/>
          </w:tcPr>
          <w:p w14:paraId="265FDBFA">
            <w:pPr>
              <w:spacing w:before="11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19.72</w:t>
            </w:r>
          </w:p>
        </w:tc>
        <w:tc>
          <w:tcPr>
            <w:tcW w:w="719" w:type="dxa"/>
            <w:vAlign w:val="top"/>
          </w:tcPr>
          <w:p w14:paraId="4291E03E">
            <w:pPr>
              <w:spacing w:before="119"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5916</w:t>
            </w:r>
          </w:p>
        </w:tc>
        <w:tc>
          <w:tcPr>
            <w:tcW w:w="689" w:type="dxa"/>
            <w:vAlign w:val="top"/>
          </w:tcPr>
          <w:p w14:paraId="6082F5D5">
            <w:pPr>
              <w:spacing w:before="11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c>
          <w:tcPr>
            <w:tcW w:w="659" w:type="dxa"/>
            <w:vAlign w:val="top"/>
          </w:tcPr>
          <w:p w14:paraId="768D88D2">
            <w:pPr>
              <w:spacing w:before="119"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1020</w:t>
            </w:r>
          </w:p>
        </w:tc>
        <w:tc>
          <w:tcPr>
            <w:tcW w:w="178" w:type="dxa"/>
            <w:vMerge w:val="continue"/>
            <w:tcBorders>
              <w:top w:val="nil"/>
              <w:bottom w:val="nil"/>
              <w:right w:val="single" w:color="000000" w:sz="6" w:space="0"/>
            </w:tcBorders>
            <w:vAlign w:val="top"/>
          </w:tcPr>
          <w:p w14:paraId="0EE1D760">
            <w:pPr>
              <w:rPr>
                <w:rFonts w:ascii="Arial"/>
                <w:sz w:val="21"/>
              </w:rPr>
            </w:pPr>
          </w:p>
        </w:tc>
      </w:tr>
      <w:tr w14:paraId="1CEEE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5" w:hRule="atLeast"/>
        </w:trPr>
        <w:tc>
          <w:tcPr>
            <w:tcW w:w="778" w:type="dxa"/>
            <w:vMerge w:val="continue"/>
            <w:tcBorders>
              <w:top w:val="nil"/>
              <w:left w:val="single" w:color="000000" w:sz="6" w:space="0"/>
              <w:bottom w:val="single" w:color="000000" w:sz="6" w:space="0"/>
            </w:tcBorders>
            <w:vAlign w:val="top"/>
          </w:tcPr>
          <w:p w14:paraId="56EE905C">
            <w:pPr>
              <w:rPr>
                <w:rFonts w:ascii="Arial"/>
                <w:sz w:val="21"/>
              </w:rPr>
            </w:pPr>
          </w:p>
        </w:tc>
        <w:tc>
          <w:tcPr>
            <w:tcW w:w="8210" w:type="dxa"/>
            <w:gridSpan w:val="13"/>
            <w:tcBorders>
              <w:bottom w:val="single" w:color="000000" w:sz="6" w:space="0"/>
              <w:right w:val="single" w:color="000000" w:sz="6" w:space="0"/>
            </w:tcBorders>
            <w:vAlign w:val="top"/>
          </w:tcPr>
          <w:p w14:paraId="5308ED70">
            <w:pPr>
              <w:pStyle w:val="6"/>
              <w:spacing w:before="159" w:line="218" w:lineRule="auto"/>
              <w:ind w:left="537"/>
            </w:pPr>
            <w:r>
              <w:rPr>
                <w:spacing w:val="-1"/>
              </w:rPr>
              <w:t>根据上表计算结果，项目喷淋塔的用水量为</w:t>
            </w:r>
            <w:r>
              <w:rPr>
                <w:spacing w:val="-31"/>
              </w:rPr>
              <w:t xml:space="preserve"> </w:t>
            </w:r>
            <w:r>
              <w:rPr>
                <w:rFonts w:ascii="Times New Roman" w:hAnsi="Times New Roman" w:eastAsia="Times New Roman" w:cs="Times New Roman"/>
                <w:spacing w:val="-1"/>
              </w:rPr>
              <w:t>5916t/a</w:t>
            </w:r>
            <w:r>
              <w:rPr>
                <w:spacing w:val="-1"/>
              </w:rPr>
              <w:t>（</w:t>
            </w:r>
            <w:r>
              <w:rPr>
                <w:rFonts w:ascii="Times New Roman" w:hAnsi="Times New Roman" w:eastAsia="Times New Roman" w:cs="Times New Roman"/>
                <w:spacing w:val="-1"/>
              </w:rPr>
              <w:t>19.72.00t/a</w:t>
            </w:r>
            <w:r>
              <w:rPr>
                <w:spacing w:val="-1"/>
              </w:rPr>
              <w:t>）。</w:t>
            </w:r>
          </w:p>
          <w:p w14:paraId="32E63E81">
            <w:pPr>
              <w:pStyle w:val="6"/>
              <w:spacing w:before="182" w:line="219" w:lineRule="auto"/>
              <w:ind w:left="601"/>
            </w:pPr>
            <w:r>
              <w:rPr>
                <w:spacing w:val="-3"/>
              </w:rPr>
              <w:t>（</w:t>
            </w:r>
            <w:r>
              <w:rPr>
                <w:rFonts w:ascii="Times New Roman" w:hAnsi="Times New Roman" w:eastAsia="Times New Roman" w:cs="Times New Roman"/>
                <w:spacing w:val="-3"/>
              </w:rPr>
              <w:t>7</w:t>
            </w:r>
            <w:r>
              <w:rPr>
                <w:spacing w:val="-3"/>
              </w:rPr>
              <w:t>）生活用水</w:t>
            </w:r>
          </w:p>
          <w:p w14:paraId="0CF7826C">
            <w:pPr>
              <w:pStyle w:val="6"/>
              <w:spacing w:before="183" w:line="359" w:lineRule="auto"/>
              <w:ind w:left="109" w:right="102" w:firstLine="480"/>
            </w:pPr>
            <w:r>
              <w:rPr>
                <w:spacing w:val="1"/>
              </w:rPr>
              <w:t>本项目有员工</w:t>
            </w:r>
            <w:r>
              <w:rPr>
                <w:spacing w:val="-28"/>
              </w:rPr>
              <w:t xml:space="preserve"> </w:t>
            </w:r>
            <w:r>
              <w:rPr>
                <w:rFonts w:ascii="Times New Roman" w:hAnsi="Times New Roman" w:eastAsia="Times New Roman" w:cs="Times New Roman"/>
                <w:spacing w:val="1"/>
              </w:rPr>
              <w:t xml:space="preserve">150 </w:t>
            </w:r>
            <w:r>
              <w:rPr>
                <w:spacing w:val="1"/>
              </w:rPr>
              <w:t>人，均不在厂内食宿。根据广东省地方标准《用水定</w:t>
            </w:r>
            <w:r>
              <w:t xml:space="preserve"> </w:t>
            </w:r>
            <w:r>
              <w:rPr>
                <w:spacing w:val="1"/>
              </w:rPr>
              <w:t>额第</w:t>
            </w:r>
            <w:r>
              <w:rPr>
                <w:spacing w:val="-46"/>
              </w:rPr>
              <w:t xml:space="preserve"> </w:t>
            </w:r>
            <w:r>
              <w:rPr>
                <w:rFonts w:ascii="Times New Roman" w:hAnsi="Times New Roman" w:eastAsia="Times New Roman" w:cs="Times New Roman"/>
                <w:spacing w:val="1"/>
              </w:rPr>
              <w:t xml:space="preserve">3 </w:t>
            </w:r>
            <w:r>
              <w:rPr>
                <w:spacing w:val="1"/>
              </w:rPr>
              <w:t>部分：生活》（</w:t>
            </w:r>
            <w:r>
              <w:rPr>
                <w:rFonts w:ascii="Times New Roman" w:hAnsi="Times New Roman" w:eastAsia="Times New Roman" w:cs="Times New Roman"/>
              </w:rPr>
              <w:t>DB</w:t>
            </w:r>
            <w:r>
              <w:rPr>
                <w:rFonts w:ascii="Times New Roman" w:hAnsi="Times New Roman" w:eastAsia="Times New Roman" w:cs="Times New Roman"/>
                <w:spacing w:val="1"/>
              </w:rPr>
              <w:t>44/T1461.3—2021</w:t>
            </w:r>
            <w:r>
              <w:rPr>
                <w:spacing w:val="9"/>
              </w:rPr>
              <w:t>），</w:t>
            </w:r>
            <w:r>
              <w:rPr>
                <w:spacing w:val="1"/>
              </w:rPr>
              <w:t>本</w:t>
            </w:r>
            <w:r>
              <w:t xml:space="preserve">项目生活用水不在厂区食 </w:t>
            </w:r>
            <w:r>
              <w:rPr>
                <w:spacing w:val="1"/>
              </w:rPr>
              <w:t>宿的参照国家机构办公楼无食堂和浴室的先进值</w:t>
            </w:r>
            <w:r>
              <w:rPr>
                <w:spacing w:val="-18"/>
              </w:rPr>
              <w:t xml:space="preserve"> </w:t>
            </w:r>
            <w:r>
              <w:rPr>
                <w:rFonts w:ascii="Times New Roman" w:hAnsi="Times New Roman" w:eastAsia="Times New Roman" w:cs="Times New Roman"/>
                <w:spacing w:val="1"/>
              </w:rPr>
              <w:t>10m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w:t>
            </w:r>
            <w:r>
              <w:rPr>
                <w:spacing w:val="1"/>
              </w:rPr>
              <w:t>人</w:t>
            </w:r>
            <w:r>
              <w:rPr>
                <w:rFonts w:ascii="Times New Roman" w:hAnsi="Times New Roman" w:eastAsia="Times New Roman" w:cs="Times New Roman"/>
                <w:spacing w:val="1"/>
              </w:rPr>
              <w:t>·</w:t>
            </w:r>
            <w:r>
              <w:rPr>
                <w:spacing w:val="1"/>
              </w:rPr>
              <w:t>年计算，则本项目</w:t>
            </w:r>
            <w:r>
              <w:t xml:space="preserve"> </w:t>
            </w:r>
            <w:r>
              <w:rPr>
                <w:spacing w:val="-3"/>
              </w:rPr>
              <w:t>员工用水量为</w:t>
            </w:r>
            <w:r>
              <w:rPr>
                <w:spacing w:val="-21"/>
              </w:rPr>
              <w:t xml:space="preserve"> </w:t>
            </w:r>
            <w:r>
              <w:rPr>
                <w:rFonts w:ascii="Times New Roman" w:hAnsi="Times New Roman" w:eastAsia="Times New Roman" w:cs="Times New Roman"/>
                <w:spacing w:val="-3"/>
              </w:rPr>
              <w:t>1500t/a</w:t>
            </w:r>
            <w:r>
              <w:rPr>
                <w:spacing w:val="-3"/>
              </w:rPr>
              <w:t>（约</w:t>
            </w:r>
            <w:r>
              <w:rPr>
                <w:spacing w:val="-49"/>
              </w:rPr>
              <w:t xml:space="preserve"> </w:t>
            </w:r>
            <w:r>
              <w:rPr>
                <w:rFonts w:ascii="Times New Roman" w:hAnsi="Times New Roman" w:eastAsia="Times New Roman" w:cs="Times New Roman"/>
                <w:spacing w:val="-3"/>
              </w:rPr>
              <w:t>5t/a</w:t>
            </w:r>
            <w:r>
              <w:rPr>
                <w:spacing w:val="-3"/>
              </w:rPr>
              <w:t>）。</w:t>
            </w:r>
          </w:p>
          <w:p w14:paraId="5A9D9216">
            <w:pPr>
              <w:pStyle w:val="6"/>
              <w:spacing w:line="219" w:lineRule="auto"/>
              <w:ind w:left="595"/>
            </w:pPr>
            <w:r>
              <w:rPr>
                <w:rFonts w:ascii="Times New Roman" w:hAnsi="Times New Roman" w:eastAsia="Times New Roman" w:cs="Times New Roman"/>
                <w:spacing w:val="-11"/>
              </w:rPr>
              <w:t>8</w:t>
            </w:r>
            <w:r>
              <w:rPr>
                <w:rFonts w:ascii="Times New Roman" w:hAnsi="Times New Roman" w:eastAsia="Times New Roman" w:cs="Times New Roman"/>
                <w:spacing w:val="-32"/>
              </w:rPr>
              <w:t xml:space="preserve"> </w:t>
            </w:r>
            <w:r>
              <w:rPr>
                <w:spacing w:val="-11"/>
              </w:rPr>
              <w:t>、排水</w:t>
            </w:r>
          </w:p>
          <w:p w14:paraId="516719D0">
            <w:pPr>
              <w:pStyle w:val="6"/>
              <w:spacing w:before="183" w:line="358" w:lineRule="auto"/>
              <w:ind w:left="111" w:right="161" w:firstLine="481"/>
            </w:pPr>
            <w:r>
              <w:rPr>
                <w:spacing w:val="-2"/>
              </w:rPr>
              <w:t>项目泡酸产生的废酸液约</w:t>
            </w:r>
            <w:r>
              <w:rPr>
                <w:spacing w:val="-58"/>
              </w:rPr>
              <w:t xml:space="preserve"> </w:t>
            </w:r>
            <w:r>
              <w:rPr>
                <w:rFonts w:ascii="Times New Roman" w:hAnsi="Times New Roman" w:eastAsia="Times New Roman" w:cs="Times New Roman"/>
                <w:spacing w:val="-2"/>
              </w:rPr>
              <w:t>2074.2t/a</w:t>
            </w:r>
            <w:r>
              <w:rPr>
                <w:spacing w:val="-2"/>
              </w:rPr>
              <w:t>（</w:t>
            </w:r>
            <w:r>
              <w:rPr>
                <w:rFonts w:ascii="Times New Roman" w:hAnsi="Times New Roman" w:eastAsia="Times New Roman" w:cs="Times New Roman"/>
                <w:spacing w:val="-2"/>
              </w:rPr>
              <w:t>6.914t/d</w:t>
            </w:r>
            <w:r>
              <w:rPr>
                <w:spacing w:val="4"/>
              </w:rPr>
              <w:t>），</w:t>
            </w:r>
            <w:r>
              <w:rPr>
                <w:spacing w:val="-2"/>
              </w:rPr>
              <w:t>废酸液属于危险废</w:t>
            </w:r>
            <w:r>
              <w:rPr>
                <w:spacing w:val="-3"/>
              </w:rPr>
              <w:t>物，</w:t>
            </w:r>
            <w:r>
              <w:t xml:space="preserve"> </w:t>
            </w:r>
            <w:r>
              <w:rPr>
                <w:spacing w:val="-1"/>
              </w:rPr>
              <w:t>经收集后委托有资质的单位处置。</w:t>
            </w:r>
          </w:p>
          <w:p w14:paraId="3B4B0930">
            <w:pPr>
              <w:pStyle w:val="6"/>
              <w:spacing w:before="3" w:line="359" w:lineRule="auto"/>
              <w:ind w:left="112" w:right="43" w:firstLine="479"/>
              <w:jc w:val="both"/>
            </w:pPr>
            <w:r>
              <w:rPr>
                <w:spacing w:val="-2"/>
              </w:rPr>
              <w:t>泡酸后清洗产生废水量约为</w:t>
            </w:r>
            <w:r>
              <w:rPr>
                <w:spacing w:val="-49"/>
              </w:rPr>
              <w:t xml:space="preserve"> </w:t>
            </w:r>
            <w:r>
              <w:rPr>
                <w:rFonts w:ascii="Times New Roman" w:hAnsi="Times New Roman" w:eastAsia="Times New Roman" w:cs="Times New Roman"/>
                <w:spacing w:val="-2"/>
              </w:rPr>
              <w:t>30084.6t/a</w:t>
            </w:r>
            <w:r>
              <w:rPr>
                <w:spacing w:val="-2"/>
              </w:rPr>
              <w:t>（</w:t>
            </w:r>
            <w:r>
              <w:rPr>
                <w:rFonts w:ascii="Times New Roman" w:hAnsi="Times New Roman" w:eastAsia="Times New Roman" w:cs="Times New Roman"/>
                <w:spacing w:val="-2"/>
              </w:rPr>
              <w:t>100.282t/d</w:t>
            </w:r>
            <w:r>
              <w:rPr>
                <w:spacing w:val="-29"/>
              </w:rPr>
              <w:t>），</w:t>
            </w:r>
            <w:r>
              <w:rPr>
                <w:spacing w:val="-2"/>
              </w:rPr>
              <w:t>泡碱产生废水量约</w:t>
            </w:r>
            <w:r>
              <w:t xml:space="preserve"> </w:t>
            </w:r>
            <w:r>
              <w:rPr>
                <w:spacing w:val="-1"/>
              </w:rPr>
              <w:t>为</w:t>
            </w:r>
            <w:r>
              <w:rPr>
                <w:spacing w:val="-54"/>
              </w:rPr>
              <w:t xml:space="preserve"> </w:t>
            </w:r>
            <w:r>
              <w:rPr>
                <w:rFonts w:ascii="Times New Roman" w:hAnsi="Times New Roman" w:eastAsia="Times New Roman" w:cs="Times New Roman"/>
                <w:spacing w:val="-1"/>
              </w:rPr>
              <w:t>44863t/a</w:t>
            </w:r>
            <w:r>
              <w:rPr>
                <w:spacing w:val="-1"/>
              </w:rPr>
              <w:t>（</w:t>
            </w:r>
            <w:r>
              <w:rPr>
                <w:rFonts w:ascii="Times New Roman" w:hAnsi="Times New Roman" w:eastAsia="Times New Roman" w:cs="Times New Roman"/>
                <w:spacing w:val="-1"/>
              </w:rPr>
              <w:t>149.543t/d</w:t>
            </w:r>
            <w:r>
              <w:rPr>
                <w:spacing w:val="-12"/>
              </w:rPr>
              <w:t>）；</w:t>
            </w:r>
            <w:r>
              <w:rPr>
                <w:spacing w:val="-1"/>
              </w:rPr>
              <w:t>泡碱后清洗废水量约为</w:t>
            </w:r>
            <w:r>
              <w:rPr>
                <w:spacing w:val="-52"/>
              </w:rPr>
              <w:t xml:space="preserve"> </w:t>
            </w:r>
            <w:r>
              <w:rPr>
                <w:rFonts w:ascii="Times New Roman" w:hAnsi="Times New Roman" w:eastAsia="Times New Roman" w:cs="Times New Roman"/>
                <w:spacing w:val="-1"/>
              </w:rPr>
              <w:t>70197.4t/a</w:t>
            </w:r>
            <w:r>
              <w:rPr>
                <w:spacing w:val="-1"/>
              </w:rPr>
              <w:t>（</w:t>
            </w:r>
            <w:r>
              <w:rPr>
                <w:rFonts w:ascii="Times New Roman" w:hAnsi="Times New Roman" w:eastAsia="Times New Roman" w:cs="Times New Roman"/>
                <w:spacing w:val="-1"/>
              </w:rPr>
              <w:t>233.991t/d</w:t>
            </w:r>
            <w:r>
              <w:rPr>
                <w:spacing w:val="-12"/>
              </w:rPr>
              <w:t>）；</w:t>
            </w:r>
            <w:r>
              <w:t xml:space="preserve"> </w:t>
            </w:r>
            <w:r>
              <w:rPr>
                <w:spacing w:val="-2"/>
              </w:rPr>
              <w:t>喷淋液更换产生的废水量约</w:t>
            </w:r>
            <w:r>
              <w:rPr>
                <w:spacing w:val="-32"/>
              </w:rPr>
              <w:t xml:space="preserve"> </w:t>
            </w:r>
            <w:r>
              <w:rPr>
                <w:rFonts w:ascii="Times New Roman" w:hAnsi="Times New Roman" w:eastAsia="Times New Roman" w:cs="Times New Roman"/>
                <w:spacing w:val="-2"/>
              </w:rPr>
              <w:t>1020t/a</w:t>
            </w:r>
            <w:r>
              <w:rPr>
                <w:spacing w:val="-2"/>
              </w:rPr>
              <w:t>（</w:t>
            </w:r>
            <w:r>
              <w:rPr>
                <w:rFonts w:ascii="Times New Roman" w:hAnsi="Times New Roman" w:eastAsia="Times New Roman" w:cs="Times New Roman"/>
                <w:spacing w:val="-2"/>
              </w:rPr>
              <w:t>3.4t/d</w:t>
            </w:r>
            <w:r>
              <w:rPr>
                <w:spacing w:val="-10"/>
              </w:rPr>
              <w:t>）；</w:t>
            </w:r>
            <w:r>
              <w:rPr>
                <w:spacing w:val="-2"/>
              </w:rPr>
              <w:t>上述生产废水排入项目生产废</w:t>
            </w:r>
            <w:r>
              <w:t xml:space="preserve"> </w:t>
            </w:r>
            <w:r>
              <w:rPr>
                <w:spacing w:val="-3"/>
              </w:rPr>
              <w:t>水处理站。</w:t>
            </w:r>
          </w:p>
          <w:p w14:paraId="537C93E5">
            <w:pPr>
              <w:pStyle w:val="6"/>
              <w:spacing w:line="359" w:lineRule="auto"/>
              <w:ind w:left="121" w:right="101" w:firstLine="477"/>
            </w:pPr>
            <w:r>
              <w:rPr>
                <w:spacing w:val="13"/>
              </w:rPr>
              <w:t>员工生活污水产生量按用水量</w:t>
            </w:r>
            <w:r>
              <w:rPr>
                <w:spacing w:val="-60"/>
              </w:rPr>
              <w:t xml:space="preserve"> </w:t>
            </w:r>
            <w:r>
              <w:rPr>
                <w:spacing w:val="13"/>
              </w:rPr>
              <w:t>的</w:t>
            </w:r>
            <w:r>
              <w:rPr>
                <w:spacing w:val="-22"/>
              </w:rPr>
              <w:t xml:space="preserve"> </w:t>
            </w:r>
            <w:r>
              <w:rPr>
                <w:rFonts w:ascii="Times New Roman" w:hAnsi="Times New Roman" w:eastAsia="Times New Roman" w:cs="Times New Roman"/>
                <w:spacing w:val="13"/>
              </w:rPr>
              <w:t>90%</w:t>
            </w:r>
            <w:r>
              <w:rPr>
                <w:rFonts w:ascii="Times New Roman" w:hAnsi="Times New Roman" w:eastAsia="Times New Roman" w:cs="Times New Roman"/>
                <w:spacing w:val="-20"/>
              </w:rPr>
              <w:t xml:space="preserve"> </w:t>
            </w:r>
            <w:r>
              <w:rPr>
                <w:spacing w:val="13"/>
              </w:rPr>
              <w:t>计</w:t>
            </w:r>
            <w:r>
              <w:rPr>
                <w:spacing w:val="-63"/>
              </w:rPr>
              <w:t xml:space="preserve"> </w:t>
            </w:r>
            <w:r>
              <w:rPr>
                <w:spacing w:val="13"/>
              </w:rPr>
              <w:t xml:space="preserve">，则生活污水量为 </w:t>
            </w:r>
            <w:r>
              <w:rPr>
                <w:rFonts w:ascii="Times New Roman" w:hAnsi="Times New Roman" w:eastAsia="Times New Roman" w:cs="Times New Roman"/>
                <w:spacing w:val="13"/>
              </w:rPr>
              <w:t>1350t/a</w:t>
            </w:r>
            <w:r>
              <w:rPr>
                <w:rFonts w:ascii="Times New Roman" w:hAnsi="Times New Roman" w:eastAsia="Times New Roman" w:cs="Times New Roman"/>
              </w:rPr>
              <w:t xml:space="preserve"> </w:t>
            </w:r>
            <w:r>
              <w:rPr>
                <w:spacing w:val="-1"/>
              </w:rPr>
              <w:t>（</w:t>
            </w:r>
            <w:r>
              <w:rPr>
                <w:rFonts w:ascii="Times New Roman" w:hAnsi="Times New Roman" w:eastAsia="Times New Roman" w:cs="Times New Roman"/>
                <w:spacing w:val="-1"/>
              </w:rPr>
              <w:t>4.5t/d</w:t>
            </w:r>
            <w:r>
              <w:rPr>
                <w:spacing w:val="-1"/>
              </w:rPr>
              <w:t>）。生活污水排入项目生活污水处理设施。</w:t>
            </w:r>
          </w:p>
          <w:p w14:paraId="5B5A8379">
            <w:pPr>
              <w:pStyle w:val="6"/>
              <w:spacing w:before="1" w:line="360" w:lineRule="auto"/>
              <w:ind w:left="111" w:right="102" w:firstLine="481"/>
            </w:pPr>
            <w:r>
              <w:rPr>
                <w:spacing w:val="2"/>
              </w:rPr>
              <w:t>项目生产废水、生活污水经处理达标后排入污水管网，最后汇入可塘镇</w:t>
            </w:r>
            <w:r>
              <w:t xml:space="preserve"> </w:t>
            </w:r>
            <w:r>
              <w:rPr>
                <w:spacing w:val="-2"/>
              </w:rPr>
              <w:t>污水处理厂。</w:t>
            </w:r>
          </w:p>
        </w:tc>
      </w:tr>
    </w:tbl>
    <w:p w14:paraId="3AAE20A1">
      <w:pPr>
        <w:rPr>
          <w:rFonts w:ascii="Arial"/>
          <w:sz w:val="21"/>
        </w:rPr>
      </w:pPr>
    </w:p>
    <w:p w14:paraId="60F0B0C1">
      <w:pPr>
        <w:rPr>
          <w:rFonts w:ascii="Arial" w:hAnsi="Arial" w:eastAsia="Arial" w:cs="Arial"/>
          <w:sz w:val="21"/>
          <w:szCs w:val="21"/>
        </w:rPr>
        <w:sectPr>
          <w:footerReference r:id="rId36" w:type="default"/>
          <w:pgSz w:w="11906" w:h="16839"/>
          <w:pgMar w:top="400" w:right="1451" w:bottom="1240" w:left="1451" w:header="0" w:footer="1078" w:gutter="0"/>
          <w:cols w:space="720" w:num="1"/>
        </w:sectPr>
      </w:pPr>
    </w:p>
    <w:p w14:paraId="01A8829A">
      <w:pPr>
        <w:spacing w:before="19"/>
      </w:pPr>
    </w:p>
    <w:p w14:paraId="0954FEB2">
      <w:pPr>
        <w:spacing w:before="19"/>
      </w:pPr>
    </w:p>
    <w:p w14:paraId="2FC62F52">
      <w:pPr>
        <w:spacing w:before="19"/>
      </w:pPr>
    </w:p>
    <w:p w14:paraId="324B79F7">
      <w:pPr>
        <w:spacing w:before="18"/>
      </w:pPr>
    </w:p>
    <w:p w14:paraId="2F2E92B6">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2E2F0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8" w:hRule="atLeast"/>
        </w:trPr>
        <w:tc>
          <w:tcPr>
            <w:tcW w:w="778" w:type="dxa"/>
            <w:tcBorders>
              <w:right w:val="single" w:color="000000" w:sz="2" w:space="0"/>
            </w:tcBorders>
            <w:vAlign w:val="top"/>
          </w:tcPr>
          <w:p w14:paraId="4280B615">
            <w:pPr>
              <w:rPr>
                <w:rFonts w:ascii="Arial"/>
                <w:sz w:val="21"/>
              </w:rPr>
            </w:pPr>
          </w:p>
        </w:tc>
        <w:tc>
          <w:tcPr>
            <w:tcW w:w="8210" w:type="dxa"/>
            <w:tcBorders>
              <w:left w:val="single" w:color="000000" w:sz="2" w:space="0"/>
            </w:tcBorders>
            <w:vAlign w:val="top"/>
          </w:tcPr>
          <w:p w14:paraId="4C76FC61">
            <w:pPr>
              <w:spacing w:before="124" w:line="5496" w:lineRule="exact"/>
              <w:ind w:firstLine="511"/>
            </w:pPr>
            <w:r>
              <w:rPr>
                <w:position w:val="-109"/>
              </w:rPr>
              <w:drawing>
                <wp:inline distT="0" distB="0" distL="0" distR="0">
                  <wp:extent cx="4554855" cy="34893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91"/>
                          <a:stretch>
                            <a:fillRect/>
                          </a:stretch>
                        </pic:blipFill>
                        <pic:spPr>
                          <a:xfrm>
                            <a:off x="0" y="0"/>
                            <a:ext cx="4555235" cy="3489959"/>
                          </a:xfrm>
                          <a:prstGeom prst="rect">
                            <a:avLst/>
                          </a:prstGeom>
                        </pic:spPr>
                      </pic:pic>
                    </a:graphicData>
                  </a:graphic>
                </wp:inline>
              </w:drawing>
            </w:r>
          </w:p>
          <w:p w14:paraId="41CDEE64">
            <w:pPr>
              <w:pStyle w:val="6"/>
              <w:spacing w:before="272" w:line="228" w:lineRule="auto"/>
              <w:ind w:left="2733"/>
              <w:rPr>
                <w:sz w:val="20"/>
                <w:szCs w:val="20"/>
              </w:rPr>
            </w:pPr>
            <w:r>
              <w:rPr>
                <w:b/>
                <w:bCs/>
                <w:spacing w:val="3"/>
                <w:sz w:val="20"/>
                <w:szCs w:val="20"/>
              </w:rPr>
              <w:t>图</w:t>
            </w:r>
            <w:r>
              <w:rPr>
                <w:spacing w:val="-35"/>
                <w:sz w:val="20"/>
                <w:szCs w:val="20"/>
              </w:rPr>
              <w:t xml:space="preserve"> </w:t>
            </w:r>
            <w:r>
              <w:rPr>
                <w:rFonts w:ascii="Times New Roman" w:hAnsi="Times New Roman" w:eastAsia="Times New Roman" w:cs="Times New Roman"/>
                <w:b/>
                <w:bCs/>
                <w:spacing w:val="3"/>
                <w:sz w:val="20"/>
                <w:szCs w:val="20"/>
              </w:rPr>
              <w:t xml:space="preserve">2-1    </w:t>
            </w:r>
            <w:r>
              <w:rPr>
                <w:b/>
                <w:bCs/>
                <w:spacing w:val="3"/>
                <w:sz w:val="20"/>
                <w:szCs w:val="20"/>
              </w:rPr>
              <w:t>项目水平衡图（</w:t>
            </w:r>
            <w:r>
              <w:rPr>
                <w:rFonts w:ascii="Times New Roman" w:hAnsi="Times New Roman" w:eastAsia="Times New Roman" w:cs="Times New Roman"/>
                <w:b/>
                <w:bCs/>
                <w:spacing w:val="3"/>
                <w:sz w:val="20"/>
                <w:szCs w:val="20"/>
              </w:rPr>
              <w:t>t/d</w:t>
            </w:r>
            <w:r>
              <w:rPr>
                <w:b/>
                <w:bCs/>
                <w:spacing w:val="3"/>
                <w:sz w:val="20"/>
                <w:szCs w:val="20"/>
              </w:rPr>
              <w:t>）</w:t>
            </w:r>
          </w:p>
          <w:p w14:paraId="0E16411E">
            <w:pPr>
              <w:pStyle w:val="6"/>
              <w:spacing w:before="268" w:line="221" w:lineRule="auto"/>
              <w:ind w:left="590"/>
            </w:pPr>
            <w:r>
              <w:rPr>
                <w:rFonts w:ascii="Times New Roman" w:hAnsi="Times New Roman" w:eastAsia="Times New Roman" w:cs="Times New Roman"/>
                <w:spacing w:val="-9"/>
              </w:rPr>
              <w:t>9</w:t>
            </w:r>
            <w:r>
              <w:rPr>
                <w:rFonts w:ascii="Times New Roman" w:hAnsi="Times New Roman" w:eastAsia="Times New Roman" w:cs="Times New Roman"/>
                <w:spacing w:val="-34"/>
              </w:rPr>
              <w:t xml:space="preserve"> </w:t>
            </w:r>
            <w:r>
              <w:rPr>
                <w:spacing w:val="-9"/>
              </w:rPr>
              <w:t>、能源</w:t>
            </w:r>
          </w:p>
          <w:p w14:paraId="05A758B0">
            <w:pPr>
              <w:pStyle w:val="6"/>
              <w:spacing w:before="178" w:line="359" w:lineRule="auto"/>
              <w:ind w:left="110" w:right="102" w:firstLine="480"/>
            </w:pPr>
            <w:r>
              <w:rPr>
                <w:spacing w:val="2"/>
              </w:rPr>
              <w:t>本项目不设锅炉。项目用电包括车间生产用电和办公室生活用电，预计</w:t>
            </w:r>
            <w:r>
              <w:rPr>
                <w:spacing w:val="3"/>
              </w:rPr>
              <w:t xml:space="preserve"> </w:t>
            </w:r>
            <w:r>
              <w:rPr>
                <w:spacing w:val="-3"/>
              </w:rPr>
              <w:t>年用电量约为</w:t>
            </w:r>
            <w:r>
              <w:rPr>
                <w:spacing w:val="-41"/>
              </w:rPr>
              <w:t xml:space="preserve"> </w:t>
            </w:r>
            <w:r>
              <w:rPr>
                <w:rFonts w:ascii="Times New Roman" w:hAnsi="Times New Roman" w:eastAsia="Times New Roman" w:cs="Times New Roman"/>
                <w:spacing w:val="-3"/>
              </w:rPr>
              <w:t>30</w:t>
            </w:r>
            <w:r>
              <w:rPr>
                <w:rFonts w:ascii="Times New Roman" w:hAnsi="Times New Roman" w:eastAsia="Times New Roman" w:cs="Times New Roman"/>
                <w:spacing w:val="15"/>
              </w:rPr>
              <w:t xml:space="preserve"> </w:t>
            </w:r>
            <w:r>
              <w:rPr>
                <w:spacing w:val="-3"/>
              </w:rPr>
              <w:t>万</w:t>
            </w:r>
            <w:r>
              <w:rPr>
                <w:spacing w:val="-58"/>
              </w:rPr>
              <w:t xml:space="preserve"> </w:t>
            </w:r>
            <w:r>
              <w:rPr>
                <w:rFonts w:ascii="Times New Roman" w:hAnsi="Times New Roman" w:eastAsia="Times New Roman" w:cs="Times New Roman"/>
                <w:spacing w:val="-3"/>
              </w:rPr>
              <w:t>kwh</w:t>
            </w:r>
            <w:r>
              <w:rPr>
                <w:spacing w:val="-3"/>
              </w:rPr>
              <w:t>（度）。</w:t>
            </w:r>
          </w:p>
          <w:p w14:paraId="4750F32E">
            <w:pPr>
              <w:pStyle w:val="6"/>
              <w:spacing w:before="5" w:line="357" w:lineRule="auto"/>
              <w:ind w:left="110" w:right="15" w:firstLine="456"/>
              <w:jc w:val="both"/>
            </w:pPr>
            <w:r>
              <w:rPr>
                <w:spacing w:val="-12"/>
              </w:rPr>
              <w:t>本项目新增普通石油液化气炉</w:t>
            </w:r>
            <w:r>
              <w:rPr>
                <w:spacing w:val="-45"/>
              </w:rPr>
              <w:t xml:space="preserve"> </w:t>
            </w:r>
            <w:r>
              <w:rPr>
                <w:rFonts w:ascii="Times New Roman" w:hAnsi="Times New Roman" w:eastAsia="Times New Roman" w:cs="Times New Roman"/>
                <w:spacing w:val="-12"/>
              </w:rPr>
              <w:t xml:space="preserve">81 </w:t>
            </w:r>
            <w:r>
              <w:rPr>
                <w:spacing w:val="-12"/>
              </w:rPr>
              <w:t>个，单炉额定热负荷为</w:t>
            </w:r>
            <w:r>
              <w:rPr>
                <w:spacing w:val="-63"/>
              </w:rPr>
              <w:t xml:space="preserve"> </w:t>
            </w:r>
            <w:r>
              <w:rPr>
                <w:rFonts w:ascii="Times New Roman" w:hAnsi="Times New Roman" w:eastAsia="Times New Roman" w:cs="Times New Roman"/>
                <w:spacing w:val="-12"/>
              </w:rPr>
              <w:t>5.0kw</w:t>
            </w:r>
            <w:r>
              <w:rPr>
                <w:spacing w:val="-12"/>
              </w:rPr>
              <w:t>。单炉额定热</w:t>
            </w:r>
            <w:r>
              <w:t xml:space="preserve"> </w:t>
            </w:r>
            <w:r>
              <w:rPr>
                <w:spacing w:val="-9"/>
              </w:rPr>
              <w:t>负荷为</w:t>
            </w:r>
            <w:r>
              <w:rPr>
                <w:spacing w:val="-63"/>
              </w:rPr>
              <w:t xml:space="preserve"> </w:t>
            </w:r>
            <w:r>
              <w:rPr>
                <w:rFonts w:ascii="Times New Roman" w:hAnsi="Times New Roman" w:eastAsia="Times New Roman" w:cs="Times New Roman"/>
                <w:spacing w:val="-9"/>
              </w:rPr>
              <w:t>5.0kw</w:t>
            </w:r>
            <w:r>
              <w:rPr>
                <w:spacing w:val="-9"/>
              </w:rPr>
              <w:t>，热负荷是指燃气灶在单位时间内能够产生的热量。项目所用燃气</w:t>
            </w:r>
            <w:r>
              <w:t xml:space="preserve"> </w:t>
            </w:r>
            <w:r>
              <w:rPr>
                <w:spacing w:val="-13"/>
              </w:rPr>
              <w:t>炉的热效率为</w:t>
            </w:r>
            <w:r>
              <w:rPr>
                <w:spacing w:val="-67"/>
              </w:rPr>
              <w:t xml:space="preserve"> </w:t>
            </w:r>
            <w:r>
              <w:rPr>
                <w:rFonts w:ascii="Times New Roman" w:hAnsi="Times New Roman" w:eastAsia="Times New Roman" w:cs="Times New Roman"/>
                <w:spacing w:val="-13"/>
              </w:rPr>
              <w:t>62%</w:t>
            </w:r>
            <w:r>
              <w:rPr>
                <w:spacing w:val="-13"/>
              </w:rPr>
              <w:t>，每日运行时间约为</w:t>
            </w:r>
            <w:r>
              <w:rPr>
                <w:spacing w:val="-65"/>
              </w:rPr>
              <w:t xml:space="preserve"> </w:t>
            </w:r>
            <w:r>
              <w:rPr>
                <w:rFonts w:ascii="Times New Roman" w:hAnsi="Times New Roman" w:eastAsia="Times New Roman" w:cs="Times New Roman"/>
                <w:spacing w:val="-13"/>
              </w:rPr>
              <w:t>30min</w:t>
            </w:r>
            <w:r>
              <w:rPr>
                <w:spacing w:val="-13"/>
              </w:rPr>
              <w:t>，根据</w:t>
            </w:r>
            <w:r>
              <w:rPr>
                <w:spacing w:val="-46"/>
              </w:rPr>
              <w:t xml:space="preserve"> </w:t>
            </w:r>
            <w:r>
              <w:rPr>
                <w:rFonts w:ascii="Times New Roman" w:hAnsi="Times New Roman" w:eastAsia="Times New Roman" w:cs="Times New Roman"/>
                <w:spacing w:val="-13"/>
              </w:rPr>
              <w:t>1kW=3600kJ</w:t>
            </w:r>
            <w:r>
              <w:rPr>
                <w:spacing w:val="-13"/>
              </w:rPr>
              <w:t>，则</w:t>
            </w:r>
            <w:r>
              <w:rPr>
                <w:spacing w:val="-65"/>
              </w:rPr>
              <w:t xml:space="preserve"> </w:t>
            </w:r>
            <w:r>
              <w:rPr>
                <w:rFonts w:ascii="Times New Roman" w:hAnsi="Times New Roman" w:eastAsia="Times New Roman" w:cs="Times New Roman"/>
                <w:spacing w:val="-13"/>
              </w:rPr>
              <w:t>5.0</w:t>
            </w:r>
            <w:r>
              <w:rPr>
                <w:spacing w:val="-13"/>
              </w:rPr>
              <w:t>×</w:t>
            </w:r>
            <w:r>
              <w:rPr>
                <w:rFonts w:ascii="Times New Roman" w:hAnsi="Times New Roman" w:eastAsia="Times New Roman" w:cs="Times New Roman"/>
                <w:spacing w:val="-13"/>
              </w:rPr>
              <w:t>3600kJ</w:t>
            </w:r>
            <w:r>
              <w:rPr>
                <w:rFonts w:ascii="Times New Roman" w:hAnsi="Times New Roman" w:eastAsia="Times New Roman" w:cs="Times New Roman"/>
              </w:rPr>
              <w:t xml:space="preserve">  </w:t>
            </w:r>
            <w:r>
              <w:rPr>
                <w:spacing w:val="-11"/>
              </w:rPr>
              <w:t>×</w:t>
            </w:r>
            <w:r>
              <w:rPr>
                <w:rFonts w:ascii="Times New Roman" w:hAnsi="Times New Roman" w:eastAsia="Times New Roman" w:cs="Times New Roman"/>
                <w:spacing w:val="-11"/>
              </w:rPr>
              <w:t>0.5h/d</w:t>
            </w:r>
            <w:r>
              <w:rPr>
                <w:rFonts w:ascii="Arial" w:hAnsi="Arial" w:eastAsia="Arial" w:cs="Arial"/>
                <w:spacing w:val="-11"/>
              </w:rPr>
              <w:t>÷</w:t>
            </w:r>
            <w:r>
              <w:rPr>
                <w:rFonts w:ascii="Times New Roman" w:hAnsi="Times New Roman" w:eastAsia="Times New Roman" w:cs="Times New Roman"/>
                <w:spacing w:val="-11"/>
              </w:rPr>
              <w:t>62%</w:t>
            </w:r>
            <w:r>
              <w:rPr>
                <w:spacing w:val="-11"/>
              </w:rPr>
              <w:t>，即单炉需产生</w:t>
            </w:r>
            <w:r>
              <w:rPr>
                <w:spacing w:val="-46"/>
              </w:rPr>
              <w:t xml:space="preserve"> </w:t>
            </w:r>
            <w:r>
              <w:rPr>
                <w:rFonts w:ascii="Times New Roman" w:hAnsi="Times New Roman" w:eastAsia="Times New Roman" w:cs="Times New Roman"/>
                <w:spacing w:val="-11"/>
              </w:rPr>
              <w:t>14516kJ/d</w:t>
            </w:r>
            <w:r>
              <w:rPr>
                <w:spacing w:val="-11"/>
              </w:rPr>
              <w:t>。查阅《环境保护计算手册》，液化石油</w:t>
            </w:r>
            <w:r>
              <w:t xml:space="preserve"> </w:t>
            </w:r>
            <w:r>
              <w:rPr>
                <w:spacing w:val="-10"/>
              </w:rPr>
              <w:t>气（气态）的低位热值为</w:t>
            </w:r>
            <w:r>
              <w:rPr>
                <w:spacing w:val="-70"/>
              </w:rPr>
              <w:t xml:space="preserve"> </w:t>
            </w:r>
            <w:r>
              <w:rPr>
                <w:rFonts w:ascii="Times New Roman" w:hAnsi="Times New Roman" w:eastAsia="Times New Roman" w:cs="Times New Roman"/>
                <w:spacing w:val="-10"/>
              </w:rPr>
              <w:t>21000</w:t>
            </w:r>
            <w:r>
              <w:rPr>
                <w:spacing w:val="-10"/>
              </w:rPr>
              <w:t>～</w:t>
            </w:r>
            <w:r>
              <w:rPr>
                <w:rFonts w:ascii="Times New Roman" w:hAnsi="Times New Roman" w:eastAsia="Times New Roman" w:cs="Times New Roman"/>
                <w:spacing w:val="-10"/>
              </w:rPr>
              <w:t>24000kcal/</w:t>
            </w:r>
            <w:r>
              <w:rPr>
                <w:rFonts w:ascii="Times New Roman" w:hAnsi="Times New Roman" w:eastAsia="Times New Roman" w:cs="Times New Roman"/>
                <w:spacing w:val="-11"/>
              </w:rPr>
              <w:t>m</w:t>
            </w:r>
            <w:r>
              <w:rPr>
                <w:spacing w:val="-11"/>
              </w:rPr>
              <w:t>³</w:t>
            </w:r>
            <w:r>
              <w:rPr>
                <w:spacing w:val="-103"/>
              </w:rPr>
              <w:t xml:space="preserve"> </w:t>
            </w:r>
            <w:r>
              <w:rPr>
                <w:spacing w:val="-11"/>
              </w:rPr>
              <w:t>,</w:t>
            </w:r>
            <w:r>
              <w:rPr>
                <w:spacing w:val="53"/>
              </w:rPr>
              <w:t xml:space="preserve"> </w:t>
            </w:r>
            <w:r>
              <w:rPr>
                <w:spacing w:val="-11"/>
              </w:rPr>
              <w:t>折合为约</w:t>
            </w:r>
            <w:r>
              <w:rPr>
                <w:spacing w:val="-62"/>
              </w:rPr>
              <w:t xml:space="preserve"> </w:t>
            </w:r>
            <w:r>
              <w:rPr>
                <w:rFonts w:ascii="Times New Roman" w:hAnsi="Times New Roman" w:eastAsia="Times New Roman" w:cs="Times New Roman"/>
                <w:spacing w:val="-11"/>
              </w:rPr>
              <w:t>87903</w:t>
            </w:r>
            <w:r>
              <w:rPr>
                <w:spacing w:val="-11"/>
              </w:rPr>
              <w:t>～</w:t>
            </w:r>
            <w:r>
              <w:rPr>
                <w:rFonts w:ascii="Times New Roman" w:hAnsi="Times New Roman" w:eastAsia="Times New Roman" w:cs="Times New Roman"/>
                <w:spacing w:val="-11"/>
              </w:rPr>
              <w:t>100460kJ/m</w:t>
            </w:r>
            <w:r>
              <w:rPr>
                <w:spacing w:val="-11"/>
              </w:rPr>
              <w:t>³。</w:t>
            </w:r>
            <w:r>
              <w:t xml:space="preserve"> </w:t>
            </w:r>
            <w:r>
              <w:rPr>
                <w:spacing w:val="2"/>
              </w:rPr>
              <w:t>则单炉耗气量约为</w:t>
            </w:r>
            <w:r>
              <w:rPr>
                <w:spacing w:val="-49"/>
              </w:rPr>
              <w:t xml:space="preserve"> </w:t>
            </w:r>
            <w:r>
              <w:rPr>
                <w:rFonts w:ascii="Times New Roman" w:hAnsi="Times New Roman" w:eastAsia="Times New Roman" w:cs="Times New Roman"/>
                <w:spacing w:val="2"/>
              </w:rPr>
              <w:t>0.144</w:t>
            </w:r>
            <w:r>
              <w:rPr>
                <w:spacing w:val="2"/>
              </w:rPr>
              <w:t>～</w:t>
            </w:r>
            <w:r>
              <w:rPr>
                <w:rFonts w:ascii="Times New Roman" w:hAnsi="Times New Roman" w:eastAsia="Times New Roman" w:cs="Times New Roman"/>
                <w:spacing w:val="2"/>
              </w:rPr>
              <w:t>0.165m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22"/>
              </w:rPr>
              <w:t xml:space="preserve"> </w:t>
            </w:r>
            <w:r>
              <w:rPr>
                <w:spacing w:val="2"/>
              </w:rPr>
              <w:t>，则</w:t>
            </w:r>
            <w:r>
              <w:rPr>
                <w:spacing w:val="2"/>
                <w:u w:val="single" w:color="auto"/>
              </w:rPr>
              <w:t>全部炉全年</w:t>
            </w:r>
            <w:r>
              <w:rPr>
                <w:spacing w:val="2"/>
              </w:rPr>
              <w:t>的石油气的</w:t>
            </w:r>
            <w:r>
              <w:rPr>
                <w:spacing w:val="1"/>
              </w:rPr>
              <w:t>消耗量约为</w:t>
            </w:r>
            <w:r>
              <w:t xml:space="preserve"> </w:t>
            </w:r>
            <w:r>
              <w:rPr>
                <w:rFonts w:ascii="Times New Roman" w:hAnsi="Times New Roman" w:eastAsia="Times New Roman" w:cs="Times New Roman"/>
                <w:spacing w:val="-6"/>
              </w:rPr>
              <w:t>3499.2</w:t>
            </w:r>
            <w:r>
              <w:rPr>
                <w:spacing w:val="-6"/>
              </w:rPr>
              <w:t>～</w:t>
            </w:r>
            <w:r>
              <w:rPr>
                <w:rFonts w:ascii="Times New Roman" w:hAnsi="Times New Roman" w:eastAsia="Times New Roman" w:cs="Times New Roman"/>
                <w:spacing w:val="-6"/>
              </w:rPr>
              <w:t>4009.25m</w:t>
            </w:r>
            <w:r>
              <w:rPr>
                <w:spacing w:val="-6"/>
              </w:rPr>
              <w:t>³</w:t>
            </w:r>
            <w:r>
              <w:rPr>
                <w:rFonts w:ascii="Times New Roman" w:hAnsi="Times New Roman" w:eastAsia="Times New Roman" w:cs="Times New Roman"/>
                <w:spacing w:val="-6"/>
              </w:rPr>
              <w:t>/a</w:t>
            </w:r>
            <w:r>
              <w:rPr>
                <w:spacing w:val="-6"/>
              </w:rPr>
              <w:t>，约合</w:t>
            </w:r>
            <w:r>
              <w:rPr>
                <w:spacing w:val="-55"/>
              </w:rPr>
              <w:t xml:space="preserve"> </w:t>
            </w:r>
            <w:r>
              <w:rPr>
                <w:rFonts w:ascii="Times New Roman" w:hAnsi="Times New Roman" w:eastAsia="Times New Roman" w:cs="Times New Roman"/>
                <w:spacing w:val="-6"/>
              </w:rPr>
              <w:t>87</w:t>
            </w:r>
            <w:r>
              <w:rPr>
                <w:rFonts w:ascii="Times New Roman" w:hAnsi="Times New Roman" w:eastAsia="Times New Roman" w:cs="Times New Roman"/>
                <w:spacing w:val="-7"/>
              </w:rPr>
              <w:t>48</w:t>
            </w:r>
            <w:r>
              <w:rPr>
                <w:spacing w:val="-7"/>
              </w:rPr>
              <w:t>～</w:t>
            </w:r>
            <w:r>
              <w:rPr>
                <w:rFonts w:ascii="Times New Roman" w:hAnsi="Times New Roman" w:eastAsia="Times New Roman" w:cs="Times New Roman"/>
                <w:spacing w:val="-7"/>
              </w:rPr>
              <w:t>10023.75kg/a</w:t>
            </w:r>
            <w:r>
              <w:rPr>
                <w:spacing w:val="-7"/>
              </w:rPr>
              <w:t>，因此本项目液化石油气最大使</w:t>
            </w:r>
            <w:r>
              <w:t xml:space="preserve"> </w:t>
            </w:r>
            <w:r>
              <w:rPr>
                <w:spacing w:val="-9"/>
              </w:rPr>
              <w:t>用量约为</w:t>
            </w:r>
            <w:r>
              <w:rPr>
                <w:spacing w:val="-53"/>
              </w:rPr>
              <w:t xml:space="preserve"> </w:t>
            </w:r>
            <w:r>
              <w:rPr>
                <w:rFonts w:ascii="Times New Roman" w:hAnsi="Times New Roman" w:eastAsia="Times New Roman" w:cs="Times New Roman"/>
                <w:spacing w:val="-9"/>
              </w:rPr>
              <w:t xml:space="preserve">669 </w:t>
            </w:r>
            <w:r>
              <w:rPr>
                <w:spacing w:val="-9"/>
              </w:rPr>
              <w:t>标准瓶</w:t>
            </w:r>
            <w:r>
              <w:rPr>
                <w:rFonts w:ascii="Times New Roman" w:hAnsi="Times New Roman" w:eastAsia="Times New Roman" w:cs="Times New Roman"/>
                <w:spacing w:val="-9"/>
              </w:rPr>
              <w:t>/</w:t>
            </w:r>
            <w:r>
              <w:rPr>
                <w:spacing w:val="-9"/>
              </w:rPr>
              <w:t>年（</w:t>
            </w:r>
            <w:r>
              <w:rPr>
                <w:rFonts w:ascii="Times New Roman" w:hAnsi="Times New Roman" w:eastAsia="Times New Roman" w:cs="Times New Roman"/>
                <w:spacing w:val="-9"/>
              </w:rPr>
              <w:t xml:space="preserve">15kg </w:t>
            </w:r>
            <w:r>
              <w:rPr>
                <w:spacing w:val="-9"/>
              </w:rPr>
              <w:t>装）。</w:t>
            </w:r>
          </w:p>
          <w:p w14:paraId="5B1CE3AF">
            <w:pPr>
              <w:pStyle w:val="6"/>
              <w:spacing w:before="16" w:line="219" w:lineRule="auto"/>
              <w:ind w:left="608"/>
            </w:pPr>
            <w:r>
              <w:rPr>
                <w:rFonts w:ascii="Times New Roman" w:hAnsi="Times New Roman" w:eastAsia="Times New Roman" w:cs="Times New Roman"/>
                <w:spacing w:val="-4"/>
              </w:rPr>
              <w:t>10</w:t>
            </w:r>
            <w:r>
              <w:rPr>
                <w:rFonts w:ascii="Times New Roman" w:hAnsi="Times New Roman" w:eastAsia="Times New Roman" w:cs="Times New Roman"/>
                <w:spacing w:val="-34"/>
              </w:rPr>
              <w:t xml:space="preserve"> </w:t>
            </w:r>
            <w:r>
              <w:rPr>
                <w:spacing w:val="-4"/>
              </w:rPr>
              <w:t>、项目环保投资和运行成本</w:t>
            </w:r>
          </w:p>
          <w:p w14:paraId="5700465A">
            <w:pPr>
              <w:pStyle w:val="6"/>
              <w:spacing w:before="184" w:line="348" w:lineRule="auto"/>
              <w:ind w:left="110" w:right="102" w:firstLine="485"/>
            </w:pPr>
            <w:r>
              <w:rPr>
                <w:spacing w:val="-2"/>
              </w:rPr>
              <w:t>《建设项目环境保护设计规定》第六十三条指出：</w:t>
            </w:r>
            <w:r>
              <w:rPr>
                <w:rFonts w:ascii="Times New Roman" w:hAnsi="Times New Roman" w:eastAsia="Times New Roman" w:cs="Times New Roman"/>
                <w:spacing w:val="-2"/>
              </w:rPr>
              <w:t>“</w:t>
            </w:r>
            <w:r>
              <w:rPr>
                <w:spacing w:val="-2"/>
              </w:rPr>
              <w:t>凡属于污染治理和保</w:t>
            </w:r>
            <w:r>
              <w:rPr>
                <w:spacing w:val="17"/>
              </w:rPr>
              <w:t xml:space="preserve"> </w:t>
            </w:r>
            <w:r>
              <w:rPr>
                <w:spacing w:val="-4"/>
              </w:rPr>
              <w:t>护环境所需的装置、设备、监测手段和工程设施等均属于环境</w:t>
            </w:r>
            <w:r>
              <w:rPr>
                <w:spacing w:val="-5"/>
              </w:rPr>
              <w:t>保护设施</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w:t>
            </w:r>
            <w:r>
              <w:rPr>
                <w:spacing w:val="-5"/>
              </w:rPr>
              <w:t>凡</w:t>
            </w:r>
            <w:r>
              <w:t xml:space="preserve"> </w:t>
            </w:r>
            <w:r>
              <w:rPr>
                <w:spacing w:val="-3"/>
              </w:rPr>
              <w:t>有环境保护设施的建设项目均应列出环境保护设施的投资概算</w:t>
            </w:r>
            <w:r>
              <w:rPr>
                <w:rFonts w:ascii="Times New Roman" w:hAnsi="Times New Roman" w:eastAsia="Times New Roman" w:cs="Times New Roman"/>
                <w:spacing w:val="-3"/>
              </w:rPr>
              <w:t>”</w:t>
            </w:r>
            <w:r>
              <w:rPr>
                <w:rFonts w:ascii="Times New Roman" w:hAnsi="Times New Roman" w:eastAsia="Times New Roman" w:cs="Times New Roman"/>
                <w:spacing w:val="-24"/>
              </w:rPr>
              <w:t xml:space="preserve"> </w:t>
            </w:r>
            <w:r>
              <w:rPr>
                <w:spacing w:val="-3"/>
              </w:rPr>
              <w:t>。据此规定，</w:t>
            </w:r>
          </w:p>
        </w:tc>
      </w:tr>
    </w:tbl>
    <w:p w14:paraId="47BDF878">
      <w:pPr>
        <w:rPr>
          <w:rFonts w:ascii="Arial"/>
          <w:sz w:val="21"/>
        </w:rPr>
      </w:pPr>
    </w:p>
    <w:p w14:paraId="5B3A93A9">
      <w:pPr>
        <w:rPr>
          <w:rFonts w:ascii="Arial" w:hAnsi="Arial" w:eastAsia="Arial" w:cs="Arial"/>
          <w:sz w:val="21"/>
          <w:szCs w:val="21"/>
        </w:rPr>
        <w:sectPr>
          <w:footerReference r:id="rId37" w:type="default"/>
          <w:pgSz w:w="11906" w:h="16839"/>
          <w:pgMar w:top="400" w:right="1451" w:bottom="1240" w:left="1451" w:header="0" w:footer="1078" w:gutter="0"/>
          <w:cols w:space="720" w:num="1"/>
        </w:sectPr>
      </w:pPr>
    </w:p>
    <w:p w14:paraId="5C51302D">
      <w:pPr>
        <w:spacing w:before="19"/>
      </w:pPr>
    </w:p>
    <w:p w14:paraId="65062C7F">
      <w:pPr>
        <w:spacing w:before="19"/>
      </w:pPr>
    </w:p>
    <w:p w14:paraId="0F1CDB8B">
      <w:pPr>
        <w:spacing w:before="19"/>
      </w:pPr>
    </w:p>
    <w:p w14:paraId="279AB62D">
      <w:pPr>
        <w:spacing w:before="18"/>
      </w:pPr>
    </w:p>
    <w:p w14:paraId="34ECCCEA">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49"/>
        <w:gridCol w:w="243"/>
        <w:gridCol w:w="678"/>
        <w:gridCol w:w="154"/>
        <w:gridCol w:w="1461"/>
        <w:gridCol w:w="1459"/>
        <w:gridCol w:w="2477"/>
        <w:gridCol w:w="1082"/>
        <w:gridCol w:w="302"/>
      </w:tblGrid>
      <w:tr w14:paraId="749A4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783" w:type="dxa"/>
            <w:vMerge w:val="restart"/>
            <w:tcBorders>
              <w:top w:val="single" w:color="000000" w:sz="6" w:space="0"/>
              <w:left w:val="single" w:color="000000" w:sz="6" w:space="0"/>
              <w:bottom w:val="nil"/>
            </w:tcBorders>
            <w:vAlign w:val="top"/>
          </w:tcPr>
          <w:p w14:paraId="39E21347">
            <w:pPr>
              <w:rPr>
                <w:rFonts w:ascii="Arial"/>
                <w:sz w:val="21"/>
              </w:rPr>
            </w:pPr>
          </w:p>
        </w:tc>
        <w:tc>
          <w:tcPr>
            <w:tcW w:w="8205" w:type="dxa"/>
            <w:gridSpan w:val="9"/>
            <w:tcBorders>
              <w:top w:val="single" w:color="000000" w:sz="6" w:space="0"/>
              <w:right w:val="single" w:color="000000" w:sz="6" w:space="0"/>
            </w:tcBorders>
            <w:vAlign w:val="top"/>
          </w:tcPr>
          <w:p w14:paraId="140B2B67">
            <w:pPr>
              <w:pStyle w:val="6"/>
              <w:spacing w:before="40" w:line="361" w:lineRule="auto"/>
              <w:ind w:left="105" w:right="105"/>
            </w:pPr>
            <w:r>
              <w:rPr>
                <w:spacing w:val="2"/>
              </w:rPr>
              <w:t>本项目环境保护设施主要有：废气污染治理设施、噪声污染治理设</w:t>
            </w:r>
            <w:r>
              <w:rPr>
                <w:spacing w:val="1"/>
              </w:rPr>
              <w:t>施、废水</w:t>
            </w:r>
            <w:r>
              <w:t xml:space="preserve"> </w:t>
            </w:r>
            <w:r>
              <w:rPr>
                <w:spacing w:val="-1"/>
              </w:rPr>
              <w:t>污染防治措施、固体废物处置设施等，其环境保护投资估算详见下表：</w:t>
            </w:r>
          </w:p>
          <w:p w14:paraId="23B744BE">
            <w:pPr>
              <w:pStyle w:val="6"/>
              <w:spacing w:before="114" w:line="220" w:lineRule="auto"/>
              <w:ind w:left="2292"/>
            </w:pPr>
            <w:r>
              <w:rPr>
                <w:b/>
                <w:bCs/>
                <w:spacing w:val="-3"/>
              </w:rPr>
              <w:t>表</w:t>
            </w:r>
            <w:r>
              <w:rPr>
                <w:spacing w:val="-43"/>
              </w:rPr>
              <w:t xml:space="preserve"> </w:t>
            </w:r>
            <w:r>
              <w:rPr>
                <w:rFonts w:ascii="Times New Roman" w:hAnsi="Times New Roman" w:eastAsia="Times New Roman" w:cs="Times New Roman"/>
                <w:b/>
                <w:bCs/>
                <w:spacing w:val="-3"/>
              </w:rPr>
              <w:t xml:space="preserve">2-11    </w:t>
            </w:r>
            <w:r>
              <w:rPr>
                <w:b/>
                <w:bCs/>
                <w:spacing w:val="-3"/>
              </w:rPr>
              <w:t>建设项目环保投资一览表</w:t>
            </w:r>
          </w:p>
        </w:tc>
      </w:tr>
      <w:tr w14:paraId="30C33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83" w:type="dxa"/>
            <w:vMerge w:val="continue"/>
            <w:tcBorders>
              <w:top w:val="nil"/>
              <w:left w:val="single" w:color="000000" w:sz="6" w:space="0"/>
              <w:bottom w:val="nil"/>
            </w:tcBorders>
            <w:vAlign w:val="top"/>
          </w:tcPr>
          <w:p w14:paraId="1EF623E2">
            <w:pPr>
              <w:rPr>
                <w:rFonts w:ascii="Arial"/>
                <w:sz w:val="21"/>
              </w:rPr>
            </w:pPr>
          </w:p>
        </w:tc>
        <w:tc>
          <w:tcPr>
            <w:tcW w:w="2885" w:type="dxa"/>
            <w:gridSpan w:val="5"/>
            <w:vAlign w:val="top"/>
          </w:tcPr>
          <w:p w14:paraId="4763A68D">
            <w:pPr>
              <w:pStyle w:val="6"/>
              <w:spacing w:before="176" w:line="228" w:lineRule="auto"/>
              <w:ind w:left="1202"/>
              <w:rPr>
                <w:sz w:val="20"/>
                <w:szCs w:val="20"/>
              </w:rPr>
            </w:pPr>
            <w:r>
              <w:rPr>
                <w:b/>
                <w:bCs/>
                <w:spacing w:val="5"/>
                <w:sz w:val="20"/>
                <w:szCs w:val="20"/>
              </w:rPr>
              <w:t>污染物</w:t>
            </w:r>
          </w:p>
        </w:tc>
        <w:tc>
          <w:tcPr>
            <w:tcW w:w="3936" w:type="dxa"/>
            <w:gridSpan w:val="2"/>
            <w:vAlign w:val="top"/>
          </w:tcPr>
          <w:p w14:paraId="1545E5FF">
            <w:pPr>
              <w:pStyle w:val="6"/>
              <w:spacing w:before="176" w:line="228" w:lineRule="auto"/>
              <w:ind w:left="1608"/>
              <w:rPr>
                <w:sz w:val="20"/>
                <w:szCs w:val="20"/>
              </w:rPr>
            </w:pPr>
            <w:r>
              <w:rPr>
                <w:b/>
                <w:bCs/>
                <w:spacing w:val="5"/>
                <w:sz w:val="20"/>
                <w:szCs w:val="20"/>
              </w:rPr>
              <w:t>治理措施</w:t>
            </w:r>
          </w:p>
        </w:tc>
        <w:tc>
          <w:tcPr>
            <w:tcW w:w="1384" w:type="dxa"/>
            <w:gridSpan w:val="2"/>
            <w:tcBorders>
              <w:right w:val="single" w:color="000000" w:sz="6" w:space="0"/>
            </w:tcBorders>
            <w:vAlign w:val="top"/>
          </w:tcPr>
          <w:p w14:paraId="386DF7B8">
            <w:pPr>
              <w:pStyle w:val="6"/>
              <w:spacing w:before="42" w:line="228" w:lineRule="auto"/>
              <w:ind w:left="252"/>
              <w:rPr>
                <w:sz w:val="20"/>
                <w:szCs w:val="20"/>
              </w:rPr>
            </w:pPr>
            <w:r>
              <w:rPr>
                <w:b/>
                <w:bCs/>
                <w:spacing w:val="6"/>
                <w:sz w:val="20"/>
                <w:szCs w:val="20"/>
              </w:rPr>
              <w:t>环保投资</w:t>
            </w:r>
          </w:p>
          <w:p w14:paraId="4C686041">
            <w:pPr>
              <w:pStyle w:val="6"/>
              <w:spacing w:before="23" w:line="225" w:lineRule="auto"/>
              <w:ind w:left="262"/>
              <w:rPr>
                <w:sz w:val="20"/>
                <w:szCs w:val="20"/>
              </w:rPr>
            </w:pPr>
            <w:r>
              <w:rPr>
                <w:b/>
                <w:bCs/>
                <w:spacing w:val="1"/>
                <w:sz w:val="20"/>
                <w:szCs w:val="20"/>
              </w:rPr>
              <w:t>（万元）</w:t>
            </w:r>
          </w:p>
        </w:tc>
      </w:tr>
      <w:tr w14:paraId="09120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783" w:type="dxa"/>
            <w:vMerge w:val="continue"/>
            <w:tcBorders>
              <w:top w:val="nil"/>
              <w:left w:val="single" w:color="000000" w:sz="6" w:space="0"/>
              <w:bottom w:val="nil"/>
            </w:tcBorders>
            <w:vAlign w:val="top"/>
          </w:tcPr>
          <w:p w14:paraId="35D4D8B8">
            <w:pPr>
              <w:rPr>
                <w:rFonts w:ascii="Arial"/>
                <w:sz w:val="21"/>
              </w:rPr>
            </w:pPr>
          </w:p>
        </w:tc>
        <w:tc>
          <w:tcPr>
            <w:tcW w:w="592" w:type="dxa"/>
            <w:gridSpan w:val="2"/>
            <w:vMerge w:val="restart"/>
            <w:tcBorders>
              <w:bottom w:val="nil"/>
            </w:tcBorders>
            <w:textDirection w:val="tbRlV"/>
            <w:vAlign w:val="top"/>
          </w:tcPr>
          <w:p w14:paraId="32FEE5F4">
            <w:pPr>
              <w:pStyle w:val="6"/>
              <w:spacing w:before="114" w:line="216" w:lineRule="auto"/>
              <w:ind w:left="2083"/>
              <w:rPr>
                <w:sz w:val="20"/>
                <w:szCs w:val="20"/>
              </w:rPr>
            </w:pPr>
            <w:r>
              <w:rPr>
                <w:spacing w:val="8"/>
                <w:sz w:val="20"/>
                <w:szCs w:val="20"/>
              </w:rPr>
              <w:t>运</w:t>
            </w:r>
            <w:r>
              <w:rPr>
                <w:spacing w:val="-37"/>
                <w:sz w:val="20"/>
                <w:szCs w:val="20"/>
              </w:rPr>
              <w:t xml:space="preserve"> </w:t>
            </w:r>
            <w:r>
              <w:rPr>
                <w:spacing w:val="8"/>
                <w:sz w:val="20"/>
                <w:szCs w:val="20"/>
              </w:rPr>
              <w:t>营</w:t>
            </w:r>
            <w:r>
              <w:rPr>
                <w:spacing w:val="-35"/>
                <w:sz w:val="20"/>
                <w:szCs w:val="20"/>
              </w:rPr>
              <w:t xml:space="preserve"> </w:t>
            </w:r>
            <w:r>
              <w:rPr>
                <w:spacing w:val="8"/>
                <w:sz w:val="20"/>
                <w:szCs w:val="20"/>
              </w:rPr>
              <w:t>期</w:t>
            </w:r>
          </w:p>
        </w:tc>
        <w:tc>
          <w:tcPr>
            <w:tcW w:w="832" w:type="dxa"/>
            <w:gridSpan w:val="2"/>
            <w:vMerge w:val="restart"/>
            <w:tcBorders>
              <w:bottom w:val="nil"/>
            </w:tcBorders>
            <w:vAlign w:val="top"/>
          </w:tcPr>
          <w:p w14:paraId="61306122">
            <w:pPr>
              <w:pStyle w:val="6"/>
              <w:spacing w:before="286" w:line="228" w:lineRule="auto"/>
              <w:ind w:left="281"/>
              <w:rPr>
                <w:sz w:val="20"/>
                <w:szCs w:val="20"/>
              </w:rPr>
            </w:pPr>
            <w:r>
              <w:rPr>
                <w:spacing w:val="5"/>
                <w:sz w:val="20"/>
                <w:szCs w:val="20"/>
              </w:rPr>
              <w:t>废气</w:t>
            </w:r>
          </w:p>
        </w:tc>
        <w:tc>
          <w:tcPr>
            <w:tcW w:w="1461" w:type="dxa"/>
            <w:vAlign w:val="top"/>
          </w:tcPr>
          <w:p w14:paraId="630CDDD6">
            <w:pPr>
              <w:pStyle w:val="6"/>
              <w:spacing w:before="88" w:line="227" w:lineRule="auto"/>
              <w:ind w:left="382"/>
              <w:rPr>
                <w:sz w:val="20"/>
                <w:szCs w:val="20"/>
              </w:rPr>
            </w:pPr>
            <w:r>
              <w:rPr>
                <w:spacing w:val="7"/>
                <w:sz w:val="20"/>
                <w:szCs w:val="20"/>
              </w:rPr>
              <w:t>有机废气</w:t>
            </w:r>
          </w:p>
        </w:tc>
        <w:tc>
          <w:tcPr>
            <w:tcW w:w="3936" w:type="dxa"/>
            <w:gridSpan w:val="2"/>
            <w:vAlign w:val="top"/>
          </w:tcPr>
          <w:p w14:paraId="1B00B9E1">
            <w:pPr>
              <w:pStyle w:val="6"/>
              <w:spacing w:before="89" w:line="226" w:lineRule="auto"/>
              <w:ind w:left="605"/>
              <w:rPr>
                <w:sz w:val="20"/>
                <w:szCs w:val="20"/>
              </w:rPr>
            </w:pPr>
            <w:r>
              <w:rPr>
                <w:spacing w:val="7"/>
                <w:sz w:val="20"/>
                <w:szCs w:val="20"/>
              </w:rPr>
              <w:t>水喷淋塔</w:t>
            </w:r>
            <w:r>
              <w:rPr>
                <w:rFonts w:ascii="Times New Roman" w:hAnsi="Times New Roman" w:eastAsia="Times New Roman" w:cs="Times New Roman"/>
                <w:spacing w:val="7"/>
                <w:sz w:val="20"/>
                <w:szCs w:val="20"/>
              </w:rPr>
              <w:t>+</w:t>
            </w:r>
            <w:r>
              <w:rPr>
                <w:spacing w:val="7"/>
                <w:sz w:val="20"/>
                <w:szCs w:val="20"/>
              </w:rPr>
              <w:t>活性炭吸附装置</w:t>
            </w:r>
            <w:r>
              <w:rPr>
                <w:spacing w:val="-33"/>
                <w:sz w:val="20"/>
                <w:szCs w:val="20"/>
              </w:rPr>
              <w:t xml:space="preserve"> </w:t>
            </w:r>
            <w:r>
              <w:rPr>
                <w:rFonts w:ascii="Times New Roman" w:hAnsi="Times New Roman" w:eastAsia="Times New Roman" w:cs="Times New Roman"/>
                <w:spacing w:val="7"/>
                <w:sz w:val="20"/>
                <w:szCs w:val="20"/>
              </w:rPr>
              <w:t xml:space="preserve">5 </w:t>
            </w:r>
            <w:r>
              <w:rPr>
                <w:spacing w:val="7"/>
                <w:sz w:val="20"/>
                <w:szCs w:val="20"/>
              </w:rPr>
              <w:t>套</w:t>
            </w:r>
          </w:p>
        </w:tc>
        <w:tc>
          <w:tcPr>
            <w:tcW w:w="1384" w:type="dxa"/>
            <w:gridSpan w:val="2"/>
            <w:tcBorders>
              <w:right w:val="single" w:color="000000" w:sz="6" w:space="0"/>
            </w:tcBorders>
            <w:vAlign w:val="top"/>
          </w:tcPr>
          <w:p w14:paraId="1F06A8CB">
            <w:pPr>
              <w:spacing w:before="124"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225FA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783" w:type="dxa"/>
            <w:vMerge w:val="continue"/>
            <w:tcBorders>
              <w:top w:val="nil"/>
              <w:left w:val="single" w:color="000000" w:sz="6" w:space="0"/>
              <w:bottom w:val="nil"/>
            </w:tcBorders>
            <w:vAlign w:val="top"/>
          </w:tcPr>
          <w:p w14:paraId="0F44618D">
            <w:pPr>
              <w:rPr>
                <w:rFonts w:ascii="Arial"/>
                <w:sz w:val="21"/>
              </w:rPr>
            </w:pPr>
          </w:p>
        </w:tc>
        <w:tc>
          <w:tcPr>
            <w:tcW w:w="592" w:type="dxa"/>
            <w:gridSpan w:val="2"/>
            <w:vMerge w:val="continue"/>
            <w:tcBorders>
              <w:top w:val="nil"/>
              <w:bottom w:val="nil"/>
            </w:tcBorders>
            <w:textDirection w:val="tbRlV"/>
            <w:vAlign w:val="top"/>
          </w:tcPr>
          <w:p w14:paraId="2EC89183">
            <w:pPr>
              <w:rPr>
                <w:rFonts w:ascii="Arial"/>
                <w:sz w:val="21"/>
              </w:rPr>
            </w:pPr>
          </w:p>
        </w:tc>
        <w:tc>
          <w:tcPr>
            <w:tcW w:w="832" w:type="dxa"/>
            <w:gridSpan w:val="2"/>
            <w:vMerge w:val="continue"/>
            <w:tcBorders>
              <w:top w:val="nil"/>
            </w:tcBorders>
            <w:vAlign w:val="top"/>
          </w:tcPr>
          <w:p w14:paraId="6F0CBBE6">
            <w:pPr>
              <w:rPr>
                <w:rFonts w:ascii="Arial"/>
                <w:sz w:val="21"/>
              </w:rPr>
            </w:pPr>
          </w:p>
        </w:tc>
        <w:tc>
          <w:tcPr>
            <w:tcW w:w="1461" w:type="dxa"/>
            <w:vAlign w:val="top"/>
          </w:tcPr>
          <w:p w14:paraId="135EBDCA">
            <w:pPr>
              <w:pStyle w:val="6"/>
              <w:spacing w:before="91" w:line="228" w:lineRule="auto"/>
              <w:ind w:left="382"/>
              <w:rPr>
                <w:sz w:val="20"/>
                <w:szCs w:val="20"/>
              </w:rPr>
            </w:pPr>
            <w:r>
              <w:rPr>
                <w:spacing w:val="7"/>
                <w:sz w:val="20"/>
                <w:szCs w:val="20"/>
              </w:rPr>
              <w:t>酸雾废气</w:t>
            </w:r>
          </w:p>
        </w:tc>
        <w:tc>
          <w:tcPr>
            <w:tcW w:w="3936" w:type="dxa"/>
            <w:gridSpan w:val="2"/>
            <w:vAlign w:val="top"/>
          </w:tcPr>
          <w:p w14:paraId="34BCFA1E">
            <w:pPr>
              <w:pStyle w:val="6"/>
              <w:spacing w:before="91" w:line="226" w:lineRule="auto"/>
              <w:ind w:left="1082"/>
              <w:rPr>
                <w:sz w:val="20"/>
                <w:szCs w:val="20"/>
              </w:rPr>
            </w:pPr>
            <w:r>
              <w:rPr>
                <w:spacing w:val="6"/>
                <w:sz w:val="20"/>
                <w:szCs w:val="20"/>
              </w:rPr>
              <w:t>三级碱液喷淋塔</w:t>
            </w:r>
            <w:r>
              <w:rPr>
                <w:spacing w:val="-31"/>
                <w:sz w:val="20"/>
                <w:szCs w:val="20"/>
              </w:rPr>
              <w:t xml:space="preserve"> </w:t>
            </w:r>
            <w:r>
              <w:rPr>
                <w:rFonts w:ascii="Times New Roman" w:hAnsi="Times New Roman" w:eastAsia="Times New Roman" w:cs="Times New Roman"/>
                <w:spacing w:val="6"/>
                <w:sz w:val="20"/>
                <w:szCs w:val="20"/>
              </w:rPr>
              <w:t xml:space="preserve">8 </w:t>
            </w:r>
            <w:r>
              <w:rPr>
                <w:spacing w:val="6"/>
                <w:sz w:val="20"/>
                <w:szCs w:val="20"/>
              </w:rPr>
              <w:t>套</w:t>
            </w:r>
          </w:p>
        </w:tc>
        <w:tc>
          <w:tcPr>
            <w:tcW w:w="1384" w:type="dxa"/>
            <w:gridSpan w:val="2"/>
            <w:tcBorders>
              <w:right w:val="single" w:color="000000" w:sz="6" w:space="0"/>
            </w:tcBorders>
            <w:vAlign w:val="top"/>
          </w:tcPr>
          <w:p w14:paraId="542EE26D">
            <w:pPr>
              <w:spacing w:before="126"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r>
      <w:tr w14:paraId="43096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783" w:type="dxa"/>
            <w:vMerge w:val="continue"/>
            <w:tcBorders>
              <w:top w:val="nil"/>
              <w:left w:val="single" w:color="000000" w:sz="6" w:space="0"/>
              <w:bottom w:val="nil"/>
            </w:tcBorders>
            <w:vAlign w:val="top"/>
          </w:tcPr>
          <w:p w14:paraId="3F904AFB">
            <w:pPr>
              <w:rPr>
                <w:rFonts w:ascii="Arial"/>
                <w:sz w:val="21"/>
              </w:rPr>
            </w:pPr>
          </w:p>
        </w:tc>
        <w:tc>
          <w:tcPr>
            <w:tcW w:w="592" w:type="dxa"/>
            <w:gridSpan w:val="2"/>
            <w:vMerge w:val="continue"/>
            <w:tcBorders>
              <w:top w:val="nil"/>
              <w:bottom w:val="nil"/>
            </w:tcBorders>
            <w:textDirection w:val="tbRlV"/>
            <w:vAlign w:val="top"/>
          </w:tcPr>
          <w:p w14:paraId="0CA1A12D">
            <w:pPr>
              <w:rPr>
                <w:rFonts w:ascii="Arial"/>
                <w:sz w:val="21"/>
              </w:rPr>
            </w:pPr>
          </w:p>
        </w:tc>
        <w:tc>
          <w:tcPr>
            <w:tcW w:w="832" w:type="dxa"/>
            <w:gridSpan w:val="2"/>
            <w:vMerge w:val="restart"/>
            <w:tcBorders>
              <w:bottom w:val="nil"/>
            </w:tcBorders>
            <w:vAlign w:val="top"/>
          </w:tcPr>
          <w:p w14:paraId="06FCD57B">
            <w:pPr>
              <w:pStyle w:val="6"/>
              <w:spacing w:before="287" w:line="228" w:lineRule="auto"/>
              <w:ind w:left="281"/>
              <w:rPr>
                <w:sz w:val="20"/>
                <w:szCs w:val="20"/>
              </w:rPr>
            </w:pPr>
            <w:r>
              <w:rPr>
                <w:spacing w:val="5"/>
                <w:sz w:val="20"/>
                <w:szCs w:val="20"/>
              </w:rPr>
              <w:t>废水</w:t>
            </w:r>
          </w:p>
        </w:tc>
        <w:tc>
          <w:tcPr>
            <w:tcW w:w="1461" w:type="dxa"/>
            <w:vAlign w:val="top"/>
          </w:tcPr>
          <w:p w14:paraId="7EA66055">
            <w:pPr>
              <w:pStyle w:val="6"/>
              <w:spacing w:before="90" w:line="228" w:lineRule="auto"/>
              <w:ind w:left="383"/>
              <w:rPr>
                <w:sz w:val="20"/>
                <w:szCs w:val="20"/>
              </w:rPr>
            </w:pPr>
            <w:r>
              <w:rPr>
                <w:spacing w:val="6"/>
                <w:sz w:val="20"/>
                <w:szCs w:val="20"/>
              </w:rPr>
              <w:t>生产废水</w:t>
            </w:r>
          </w:p>
        </w:tc>
        <w:tc>
          <w:tcPr>
            <w:tcW w:w="3936" w:type="dxa"/>
            <w:gridSpan w:val="2"/>
            <w:vAlign w:val="top"/>
          </w:tcPr>
          <w:p w14:paraId="628CD05E">
            <w:pPr>
              <w:pStyle w:val="6"/>
              <w:spacing w:before="90" w:line="228" w:lineRule="auto"/>
              <w:ind w:left="1290"/>
              <w:rPr>
                <w:sz w:val="20"/>
                <w:szCs w:val="20"/>
              </w:rPr>
            </w:pPr>
            <w:r>
              <w:rPr>
                <w:spacing w:val="3"/>
                <w:sz w:val="20"/>
                <w:szCs w:val="20"/>
              </w:rPr>
              <w:t>废水处理站</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3"/>
                <w:w w:val="101"/>
                <w:sz w:val="20"/>
                <w:szCs w:val="20"/>
              </w:rPr>
              <w:t xml:space="preserve"> </w:t>
            </w:r>
            <w:r>
              <w:rPr>
                <w:spacing w:val="3"/>
                <w:sz w:val="20"/>
                <w:szCs w:val="20"/>
              </w:rPr>
              <w:t>座</w:t>
            </w:r>
          </w:p>
        </w:tc>
        <w:tc>
          <w:tcPr>
            <w:tcW w:w="1384" w:type="dxa"/>
            <w:gridSpan w:val="2"/>
            <w:tcBorders>
              <w:right w:val="single" w:color="000000" w:sz="6" w:space="0"/>
            </w:tcBorders>
            <w:vAlign w:val="top"/>
          </w:tcPr>
          <w:p w14:paraId="107A5A01">
            <w:pPr>
              <w:spacing w:before="126"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596CC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783" w:type="dxa"/>
            <w:vMerge w:val="continue"/>
            <w:tcBorders>
              <w:top w:val="nil"/>
              <w:left w:val="single" w:color="000000" w:sz="6" w:space="0"/>
              <w:bottom w:val="nil"/>
            </w:tcBorders>
            <w:vAlign w:val="top"/>
          </w:tcPr>
          <w:p w14:paraId="56BC5998">
            <w:pPr>
              <w:rPr>
                <w:rFonts w:ascii="Arial"/>
                <w:sz w:val="21"/>
              </w:rPr>
            </w:pPr>
          </w:p>
        </w:tc>
        <w:tc>
          <w:tcPr>
            <w:tcW w:w="592" w:type="dxa"/>
            <w:gridSpan w:val="2"/>
            <w:vMerge w:val="continue"/>
            <w:tcBorders>
              <w:top w:val="nil"/>
              <w:bottom w:val="nil"/>
            </w:tcBorders>
            <w:textDirection w:val="tbRlV"/>
            <w:vAlign w:val="top"/>
          </w:tcPr>
          <w:p w14:paraId="21156F61">
            <w:pPr>
              <w:rPr>
                <w:rFonts w:ascii="Arial"/>
                <w:sz w:val="21"/>
              </w:rPr>
            </w:pPr>
          </w:p>
        </w:tc>
        <w:tc>
          <w:tcPr>
            <w:tcW w:w="832" w:type="dxa"/>
            <w:gridSpan w:val="2"/>
            <w:vMerge w:val="continue"/>
            <w:tcBorders>
              <w:top w:val="nil"/>
            </w:tcBorders>
            <w:vAlign w:val="top"/>
          </w:tcPr>
          <w:p w14:paraId="3934337D">
            <w:pPr>
              <w:rPr>
                <w:rFonts w:ascii="Arial"/>
                <w:sz w:val="21"/>
              </w:rPr>
            </w:pPr>
          </w:p>
        </w:tc>
        <w:tc>
          <w:tcPr>
            <w:tcW w:w="1461" w:type="dxa"/>
            <w:vAlign w:val="top"/>
          </w:tcPr>
          <w:p w14:paraId="31BE725C">
            <w:pPr>
              <w:pStyle w:val="6"/>
              <w:spacing w:before="92" w:line="228" w:lineRule="auto"/>
              <w:ind w:left="383"/>
              <w:rPr>
                <w:sz w:val="20"/>
                <w:szCs w:val="20"/>
              </w:rPr>
            </w:pPr>
            <w:r>
              <w:rPr>
                <w:spacing w:val="6"/>
                <w:sz w:val="20"/>
                <w:szCs w:val="20"/>
              </w:rPr>
              <w:t>生活污水</w:t>
            </w:r>
          </w:p>
        </w:tc>
        <w:tc>
          <w:tcPr>
            <w:tcW w:w="3936" w:type="dxa"/>
            <w:gridSpan w:val="2"/>
            <w:vAlign w:val="top"/>
          </w:tcPr>
          <w:p w14:paraId="49E6CE90">
            <w:pPr>
              <w:pStyle w:val="6"/>
              <w:spacing w:before="92" w:line="228" w:lineRule="auto"/>
              <w:ind w:left="1503"/>
              <w:rPr>
                <w:sz w:val="20"/>
                <w:szCs w:val="20"/>
              </w:rPr>
            </w:pPr>
            <w:r>
              <w:rPr>
                <w:spacing w:val="4"/>
                <w:sz w:val="20"/>
                <w:szCs w:val="20"/>
              </w:rPr>
              <w:t>化粪池</w:t>
            </w:r>
            <w:r>
              <w:rPr>
                <w:spacing w:val="-43"/>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13"/>
                <w:w w:val="101"/>
                <w:sz w:val="20"/>
                <w:szCs w:val="20"/>
              </w:rPr>
              <w:t xml:space="preserve"> </w:t>
            </w:r>
            <w:r>
              <w:rPr>
                <w:spacing w:val="4"/>
                <w:sz w:val="20"/>
                <w:szCs w:val="20"/>
              </w:rPr>
              <w:t>座</w:t>
            </w:r>
          </w:p>
        </w:tc>
        <w:tc>
          <w:tcPr>
            <w:tcW w:w="1384" w:type="dxa"/>
            <w:gridSpan w:val="2"/>
            <w:tcBorders>
              <w:right w:val="single" w:color="000000" w:sz="6" w:space="0"/>
            </w:tcBorders>
            <w:vAlign w:val="top"/>
          </w:tcPr>
          <w:p w14:paraId="78D558D0">
            <w:pPr>
              <w:spacing w:before="128"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773B8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83" w:type="dxa"/>
            <w:vMerge w:val="continue"/>
            <w:tcBorders>
              <w:top w:val="nil"/>
              <w:left w:val="single" w:color="000000" w:sz="6" w:space="0"/>
              <w:bottom w:val="nil"/>
            </w:tcBorders>
            <w:vAlign w:val="top"/>
          </w:tcPr>
          <w:p w14:paraId="298ADFCD">
            <w:pPr>
              <w:rPr>
                <w:rFonts w:ascii="Arial"/>
                <w:sz w:val="21"/>
              </w:rPr>
            </w:pPr>
          </w:p>
        </w:tc>
        <w:tc>
          <w:tcPr>
            <w:tcW w:w="592" w:type="dxa"/>
            <w:gridSpan w:val="2"/>
            <w:vMerge w:val="continue"/>
            <w:tcBorders>
              <w:top w:val="nil"/>
              <w:bottom w:val="nil"/>
            </w:tcBorders>
            <w:textDirection w:val="tbRlV"/>
            <w:vAlign w:val="top"/>
          </w:tcPr>
          <w:p w14:paraId="7F5275DD">
            <w:pPr>
              <w:rPr>
                <w:rFonts w:ascii="Arial"/>
                <w:sz w:val="21"/>
              </w:rPr>
            </w:pPr>
          </w:p>
        </w:tc>
        <w:tc>
          <w:tcPr>
            <w:tcW w:w="832" w:type="dxa"/>
            <w:gridSpan w:val="2"/>
            <w:vAlign w:val="top"/>
          </w:tcPr>
          <w:p w14:paraId="2DBE3E00">
            <w:pPr>
              <w:pStyle w:val="6"/>
              <w:spacing w:before="92" w:line="228" w:lineRule="auto"/>
              <w:ind w:left="291"/>
              <w:rPr>
                <w:sz w:val="20"/>
                <w:szCs w:val="20"/>
              </w:rPr>
            </w:pPr>
            <w:r>
              <w:rPr>
                <w:spacing w:val="-1"/>
                <w:sz w:val="20"/>
                <w:szCs w:val="20"/>
              </w:rPr>
              <w:t>噪声</w:t>
            </w:r>
          </w:p>
        </w:tc>
        <w:tc>
          <w:tcPr>
            <w:tcW w:w="1461" w:type="dxa"/>
            <w:vAlign w:val="top"/>
          </w:tcPr>
          <w:p w14:paraId="51C11A47">
            <w:pPr>
              <w:pStyle w:val="6"/>
              <w:spacing w:before="92" w:line="228" w:lineRule="auto"/>
              <w:ind w:left="384"/>
              <w:rPr>
                <w:sz w:val="20"/>
                <w:szCs w:val="20"/>
              </w:rPr>
            </w:pPr>
            <w:r>
              <w:rPr>
                <w:spacing w:val="6"/>
                <w:sz w:val="20"/>
                <w:szCs w:val="20"/>
              </w:rPr>
              <w:t>设备噪声</w:t>
            </w:r>
          </w:p>
        </w:tc>
        <w:tc>
          <w:tcPr>
            <w:tcW w:w="3936" w:type="dxa"/>
            <w:gridSpan w:val="2"/>
            <w:vAlign w:val="top"/>
          </w:tcPr>
          <w:p w14:paraId="3E50CA59">
            <w:pPr>
              <w:pStyle w:val="6"/>
              <w:spacing w:before="92" w:line="228" w:lineRule="auto"/>
              <w:ind w:left="981"/>
              <w:rPr>
                <w:sz w:val="20"/>
                <w:szCs w:val="20"/>
              </w:rPr>
            </w:pPr>
            <w:r>
              <w:rPr>
                <w:spacing w:val="8"/>
                <w:sz w:val="20"/>
                <w:szCs w:val="20"/>
              </w:rPr>
              <w:t>消声、减振、隔声措施</w:t>
            </w:r>
          </w:p>
        </w:tc>
        <w:tc>
          <w:tcPr>
            <w:tcW w:w="1384" w:type="dxa"/>
            <w:gridSpan w:val="2"/>
            <w:tcBorders>
              <w:right w:val="single" w:color="000000" w:sz="6" w:space="0"/>
            </w:tcBorders>
            <w:vAlign w:val="top"/>
          </w:tcPr>
          <w:p w14:paraId="6228A68B">
            <w:pPr>
              <w:spacing w:before="128"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r w14:paraId="69D58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83" w:type="dxa"/>
            <w:vMerge w:val="continue"/>
            <w:tcBorders>
              <w:top w:val="nil"/>
              <w:left w:val="single" w:color="000000" w:sz="6" w:space="0"/>
              <w:bottom w:val="nil"/>
            </w:tcBorders>
            <w:vAlign w:val="top"/>
          </w:tcPr>
          <w:p w14:paraId="3437F11E">
            <w:pPr>
              <w:rPr>
                <w:rFonts w:ascii="Arial"/>
                <w:sz w:val="21"/>
              </w:rPr>
            </w:pPr>
          </w:p>
        </w:tc>
        <w:tc>
          <w:tcPr>
            <w:tcW w:w="592" w:type="dxa"/>
            <w:gridSpan w:val="2"/>
            <w:vMerge w:val="continue"/>
            <w:tcBorders>
              <w:top w:val="nil"/>
              <w:bottom w:val="nil"/>
            </w:tcBorders>
            <w:textDirection w:val="tbRlV"/>
            <w:vAlign w:val="top"/>
          </w:tcPr>
          <w:p w14:paraId="1CA774C2">
            <w:pPr>
              <w:rPr>
                <w:rFonts w:ascii="Arial"/>
                <w:sz w:val="21"/>
              </w:rPr>
            </w:pPr>
          </w:p>
        </w:tc>
        <w:tc>
          <w:tcPr>
            <w:tcW w:w="832" w:type="dxa"/>
            <w:gridSpan w:val="2"/>
            <w:vMerge w:val="restart"/>
            <w:tcBorders>
              <w:bottom w:val="nil"/>
            </w:tcBorders>
            <w:vAlign w:val="top"/>
          </w:tcPr>
          <w:p w14:paraId="43E89B62">
            <w:pPr>
              <w:spacing w:line="286" w:lineRule="auto"/>
              <w:rPr>
                <w:rFonts w:ascii="Arial"/>
                <w:sz w:val="21"/>
              </w:rPr>
            </w:pPr>
          </w:p>
          <w:p w14:paraId="1CF3C252">
            <w:pPr>
              <w:pStyle w:val="6"/>
              <w:spacing w:before="65" w:line="228" w:lineRule="auto"/>
              <w:ind w:left="300"/>
              <w:rPr>
                <w:sz w:val="20"/>
                <w:szCs w:val="20"/>
              </w:rPr>
            </w:pPr>
            <w:r>
              <w:rPr>
                <w:spacing w:val="-5"/>
                <w:sz w:val="20"/>
                <w:szCs w:val="20"/>
              </w:rPr>
              <w:t>固体</w:t>
            </w:r>
          </w:p>
          <w:p w14:paraId="7B19A055">
            <w:pPr>
              <w:pStyle w:val="6"/>
              <w:spacing w:before="24" w:line="228" w:lineRule="auto"/>
              <w:ind w:left="281"/>
              <w:rPr>
                <w:sz w:val="20"/>
                <w:szCs w:val="20"/>
              </w:rPr>
            </w:pPr>
            <w:r>
              <w:rPr>
                <w:spacing w:val="5"/>
                <w:sz w:val="20"/>
                <w:szCs w:val="20"/>
              </w:rPr>
              <w:t>废物</w:t>
            </w:r>
          </w:p>
        </w:tc>
        <w:tc>
          <w:tcPr>
            <w:tcW w:w="1461" w:type="dxa"/>
            <w:vAlign w:val="top"/>
          </w:tcPr>
          <w:p w14:paraId="73C32568">
            <w:pPr>
              <w:pStyle w:val="6"/>
              <w:spacing w:before="93" w:line="228" w:lineRule="auto"/>
              <w:ind w:left="383"/>
              <w:rPr>
                <w:sz w:val="20"/>
                <w:szCs w:val="20"/>
              </w:rPr>
            </w:pPr>
            <w:r>
              <w:rPr>
                <w:spacing w:val="6"/>
                <w:sz w:val="20"/>
                <w:szCs w:val="20"/>
              </w:rPr>
              <w:t>生活垃圾</w:t>
            </w:r>
          </w:p>
        </w:tc>
        <w:tc>
          <w:tcPr>
            <w:tcW w:w="3936" w:type="dxa"/>
            <w:gridSpan w:val="2"/>
            <w:vAlign w:val="top"/>
          </w:tcPr>
          <w:p w14:paraId="5BB9B0AF">
            <w:pPr>
              <w:pStyle w:val="6"/>
              <w:spacing w:before="92" w:line="228" w:lineRule="auto"/>
              <w:ind w:left="1713"/>
              <w:rPr>
                <w:sz w:val="20"/>
                <w:szCs w:val="20"/>
              </w:rPr>
            </w:pPr>
            <w:r>
              <w:rPr>
                <w:spacing w:val="6"/>
                <w:sz w:val="20"/>
                <w:szCs w:val="20"/>
              </w:rPr>
              <w:t>垃圾桶</w:t>
            </w:r>
          </w:p>
        </w:tc>
        <w:tc>
          <w:tcPr>
            <w:tcW w:w="1384" w:type="dxa"/>
            <w:gridSpan w:val="2"/>
            <w:tcBorders>
              <w:right w:val="single" w:color="000000" w:sz="6" w:space="0"/>
            </w:tcBorders>
            <w:vAlign w:val="top"/>
          </w:tcPr>
          <w:p w14:paraId="54087D31">
            <w:pPr>
              <w:spacing w:before="129" w:line="195" w:lineRule="auto"/>
              <w:ind w:left="6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437F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83" w:type="dxa"/>
            <w:vMerge w:val="continue"/>
            <w:tcBorders>
              <w:top w:val="nil"/>
              <w:left w:val="single" w:color="000000" w:sz="6" w:space="0"/>
              <w:bottom w:val="nil"/>
            </w:tcBorders>
            <w:vAlign w:val="top"/>
          </w:tcPr>
          <w:p w14:paraId="5D9CB1FB">
            <w:pPr>
              <w:rPr>
                <w:rFonts w:ascii="Arial"/>
                <w:sz w:val="21"/>
              </w:rPr>
            </w:pPr>
          </w:p>
        </w:tc>
        <w:tc>
          <w:tcPr>
            <w:tcW w:w="592" w:type="dxa"/>
            <w:gridSpan w:val="2"/>
            <w:vMerge w:val="continue"/>
            <w:tcBorders>
              <w:top w:val="nil"/>
              <w:bottom w:val="nil"/>
            </w:tcBorders>
            <w:textDirection w:val="tbRlV"/>
            <w:vAlign w:val="top"/>
          </w:tcPr>
          <w:p w14:paraId="58D58B4A">
            <w:pPr>
              <w:rPr>
                <w:rFonts w:ascii="Arial"/>
                <w:sz w:val="21"/>
              </w:rPr>
            </w:pPr>
          </w:p>
        </w:tc>
        <w:tc>
          <w:tcPr>
            <w:tcW w:w="832" w:type="dxa"/>
            <w:gridSpan w:val="2"/>
            <w:vMerge w:val="continue"/>
            <w:tcBorders>
              <w:top w:val="nil"/>
              <w:bottom w:val="nil"/>
            </w:tcBorders>
            <w:vAlign w:val="top"/>
          </w:tcPr>
          <w:p w14:paraId="31C0B09D">
            <w:pPr>
              <w:rPr>
                <w:rFonts w:ascii="Arial"/>
                <w:sz w:val="21"/>
              </w:rPr>
            </w:pPr>
          </w:p>
        </w:tc>
        <w:tc>
          <w:tcPr>
            <w:tcW w:w="1461" w:type="dxa"/>
            <w:vAlign w:val="top"/>
          </w:tcPr>
          <w:p w14:paraId="452A26B7">
            <w:pPr>
              <w:pStyle w:val="6"/>
              <w:spacing w:before="94" w:line="228" w:lineRule="auto"/>
              <w:ind w:left="384"/>
              <w:rPr>
                <w:sz w:val="20"/>
                <w:szCs w:val="20"/>
              </w:rPr>
            </w:pPr>
            <w:r>
              <w:rPr>
                <w:spacing w:val="6"/>
                <w:sz w:val="20"/>
                <w:szCs w:val="20"/>
              </w:rPr>
              <w:t>一般固废</w:t>
            </w:r>
          </w:p>
        </w:tc>
        <w:tc>
          <w:tcPr>
            <w:tcW w:w="3936" w:type="dxa"/>
            <w:gridSpan w:val="2"/>
            <w:vAlign w:val="top"/>
          </w:tcPr>
          <w:p w14:paraId="1259997B">
            <w:pPr>
              <w:pStyle w:val="6"/>
              <w:spacing w:before="93" w:line="228" w:lineRule="auto"/>
              <w:ind w:left="1712"/>
              <w:rPr>
                <w:sz w:val="20"/>
                <w:szCs w:val="20"/>
              </w:rPr>
            </w:pPr>
            <w:r>
              <w:rPr>
                <w:spacing w:val="6"/>
                <w:sz w:val="20"/>
                <w:szCs w:val="20"/>
              </w:rPr>
              <w:t>周转桶</w:t>
            </w:r>
          </w:p>
        </w:tc>
        <w:tc>
          <w:tcPr>
            <w:tcW w:w="1384" w:type="dxa"/>
            <w:gridSpan w:val="2"/>
            <w:tcBorders>
              <w:right w:val="single" w:color="000000" w:sz="6" w:space="0"/>
            </w:tcBorders>
            <w:vAlign w:val="top"/>
          </w:tcPr>
          <w:p w14:paraId="74D35A0D">
            <w:pPr>
              <w:spacing w:before="130"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13303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83" w:type="dxa"/>
            <w:vMerge w:val="continue"/>
            <w:tcBorders>
              <w:top w:val="nil"/>
              <w:left w:val="single" w:color="000000" w:sz="6" w:space="0"/>
              <w:bottom w:val="nil"/>
            </w:tcBorders>
            <w:vAlign w:val="top"/>
          </w:tcPr>
          <w:p w14:paraId="07F79F35">
            <w:pPr>
              <w:rPr>
                <w:rFonts w:ascii="Arial"/>
                <w:sz w:val="21"/>
              </w:rPr>
            </w:pPr>
          </w:p>
        </w:tc>
        <w:tc>
          <w:tcPr>
            <w:tcW w:w="592" w:type="dxa"/>
            <w:gridSpan w:val="2"/>
            <w:vMerge w:val="continue"/>
            <w:tcBorders>
              <w:top w:val="nil"/>
              <w:bottom w:val="nil"/>
            </w:tcBorders>
            <w:textDirection w:val="tbRlV"/>
            <w:vAlign w:val="top"/>
          </w:tcPr>
          <w:p w14:paraId="43DCDF03">
            <w:pPr>
              <w:rPr>
                <w:rFonts w:ascii="Arial"/>
                <w:sz w:val="21"/>
              </w:rPr>
            </w:pPr>
          </w:p>
        </w:tc>
        <w:tc>
          <w:tcPr>
            <w:tcW w:w="832" w:type="dxa"/>
            <w:gridSpan w:val="2"/>
            <w:vMerge w:val="continue"/>
            <w:tcBorders>
              <w:top w:val="nil"/>
            </w:tcBorders>
            <w:vAlign w:val="top"/>
          </w:tcPr>
          <w:p w14:paraId="1B4E923F">
            <w:pPr>
              <w:rPr>
                <w:rFonts w:ascii="Arial"/>
                <w:sz w:val="21"/>
              </w:rPr>
            </w:pPr>
          </w:p>
        </w:tc>
        <w:tc>
          <w:tcPr>
            <w:tcW w:w="1461" w:type="dxa"/>
            <w:vAlign w:val="top"/>
          </w:tcPr>
          <w:p w14:paraId="1A6B36E9">
            <w:pPr>
              <w:pStyle w:val="6"/>
              <w:spacing w:before="93" w:line="228" w:lineRule="auto"/>
              <w:ind w:left="383"/>
              <w:rPr>
                <w:sz w:val="20"/>
                <w:szCs w:val="20"/>
              </w:rPr>
            </w:pPr>
            <w:r>
              <w:rPr>
                <w:spacing w:val="6"/>
                <w:sz w:val="20"/>
                <w:szCs w:val="20"/>
              </w:rPr>
              <w:t>危险废物</w:t>
            </w:r>
          </w:p>
        </w:tc>
        <w:tc>
          <w:tcPr>
            <w:tcW w:w="3936" w:type="dxa"/>
            <w:gridSpan w:val="2"/>
            <w:vAlign w:val="top"/>
          </w:tcPr>
          <w:p w14:paraId="70F03856">
            <w:pPr>
              <w:pStyle w:val="6"/>
              <w:spacing w:before="92" w:line="228" w:lineRule="auto"/>
              <w:ind w:left="874"/>
              <w:rPr>
                <w:sz w:val="20"/>
                <w:szCs w:val="20"/>
              </w:rPr>
            </w:pPr>
            <w:r>
              <w:rPr>
                <w:spacing w:val="8"/>
                <w:sz w:val="20"/>
                <w:szCs w:val="20"/>
              </w:rPr>
              <w:t>容器、分区、消防措施等</w:t>
            </w:r>
          </w:p>
        </w:tc>
        <w:tc>
          <w:tcPr>
            <w:tcW w:w="1384" w:type="dxa"/>
            <w:gridSpan w:val="2"/>
            <w:tcBorders>
              <w:right w:val="single" w:color="000000" w:sz="6" w:space="0"/>
            </w:tcBorders>
            <w:vAlign w:val="top"/>
          </w:tcPr>
          <w:p w14:paraId="30D54FE3">
            <w:pPr>
              <w:spacing w:before="128"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12797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83" w:type="dxa"/>
            <w:vMerge w:val="continue"/>
            <w:tcBorders>
              <w:top w:val="nil"/>
              <w:left w:val="single" w:color="000000" w:sz="6" w:space="0"/>
              <w:bottom w:val="nil"/>
            </w:tcBorders>
            <w:vAlign w:val="top"/>
          </w:tcPr>
          <w:p w14:paraId="30FCAF67">
            <w:pPr>
              <w:rPr>
                <w:rFonts w:ascii="Arial"/>
                <w:sz w:val="21"/>
              </w:rPr>
            </w:pPr>
          </w:p>
        </w:tc>
        <w:tc>
          <w:tcPr>
            <w:tcW w:w="592" w:type="dxa"/>
            <w:gridSpan w:val="2"/>
            <w:vMerge w:val="continue"/>
            <w:tcBorders>
              <w:top w:val="nil"/>
              <w:bottom w:val="nil"/>
            </w:tcBorders>
            <w:textDirection w:val="tbRlV"/>
            <w:vAlign w:val="top"/>
          </w:tcPr>
          <w:p w14:paraId="66880F85">
            <w:pPr>
              <w:rPr>
                <w:rFonts w:ascii="Arial"/>
                <w:sz w:val="21"/>
              </w:rPr>
            </w:pPr>
          </w:p>
        </w:tc>
        <w:tc>
          <w:tcPr>
            <w:tcW w:w="2293" w:type="dxa"/>
            <w:gridSpan w:val="3"/>
            <w:vAlign w:val="top"/>
          </w:tcPr>
          <w:p w14:paraId="03646D7C">
            <w:pPr>
              <w:pStyle w:val="6"/>
              <w:spacing w:before="182" w:line="228" w:lineRule="auto"/>
              <w:ind w:left="589"/>
              <w:rPr>
                <w:sz w:val="20"/>
                <w:szCs w:val="20"/>
              </w:rPr>
            </w:pPr>
            <w:r>
              <w:rPr>
                <w:spacing w:val="8"/>
                <w:sz w:val="20"/>
                <w:szCs w:val="20"/>
              </w:rPr>
              <w:t>地下水、土壤</w:t>
            </w:r>
          </w:p>
        </w:tc>
        <w:tc>
          <w:tcPr>
            <w:tcW w:w="3936" w:type="dxa"/>
            <w:gridSpan w:val="2"/>
            <w:vAlign w:val="top"/>
          </w:tcPr>
          <w:p w14:paraId="46E9D245">
            <w:pPr>
              <w:pStyle w:val="6"/>
              <w:spacing w:before="45" w:line="228" w:lineRule="auto"/>
              <w:ind w:left="177"/>
              <w:rPr>
                <w:sz w:val="20"/>
                <w:szCs w:val="20"/>
              </w:rPr>
            </w:pPr>
            <w:r>
              <w:rPr>
                <w:spacing w:val="5"/>
                <w:sz w:val="20"/>
                <w:szCs w:val="20"/>
              </w:rPr>
              <w:t>车间、废水站、管道、应急池内防腐防渗</w:t>
            </w:r>
          </w:p>
          <w:p w14:paraId="6B8A21BD">
            <w:pPr>
              <w:pStyle w:val="6"/>
              <w:spacing w:before="27" w:line="219" w:lineRule="auto"/>
              <w:ind w:left="1407"/>
              <w:rPr>
                <w:sz w:val="20"/>
                <w:szCs w:val="20"/>
              </w:rPr>
            </w:pPr>
            <w:r>
              <w:rPr>
                <w:spacing w:val="4"/>
                <w:sz w:val="20"/>
                <w:szCs w:val="20"/>
              </w:rPr>
              <w:t>（分区防渗）</w:t>
            </w:r>
          </w:p>
        </w:tc>
        <w:tc>
          <w:tcPr>
            <w:tcW w:w="1384" w:type="dxa"/>
            <w:gridSpan w:val="2"/>
            <w:tcBorders>
              <w:right w:val="single" w:color="000000" w:sz="6" w:space="0"/>
            </w:tcBorders>
            <w:vAlign w:val="top"/>
          </w:tcPr>
          <w:p w14:paraId="0D65FBD6">
            <w:pPr>
              <w:spacing w:before="218"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0E9DF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783" w:type="dxa"/>
            <w:vMerge w:val="continue"/>
            <w:tcBorders>
              <w:top w:val="nil"/>
              <w:left w:val="single" w:color="000000" w:sz="6" w:space="0"/>
              <w:bottom w:val="nil"/>
            </w:tcBorders>
            <w:vAlign w:val="top"/>
          </w:tcPr>
          <w:p w14:paraId="60EB8935">
            <w:pPr>
              <w:rPr>
                <w:rFonts w:ascii="Arial"/>
                <w:sz w:val="21"/>
              </w:rPr>
            </w:pPr>
          </w:p>
        </w:tc>
        <w:tc>
          <w:tcPr>
            <w:tcW w:w="592" w:type="dxa"/>
            <w:gridSpan w:val="2"/>
            <w:vMerge w:val="continue"/>
            <w:tcBorders>
              <w:top w:val="nil"/>
              <w:bottom w:val="nil"/>
            </w:tcBorders>
            <w:textDirection w:val="tbRlV"/>
            <w:vAlign w:val="top"/>
          </w:tcPr>
          <w:p w14:paraId="100180E0">
            <w:pPr>
              <w:rPr>
                <w:rFonts w:ascii="Arial"/>
                <w:sz w:val="21"/>
              </w:rPr>
            </w:pPr>
          </w:p>
        </w:tc>
        <w:tc>
          <w:tcPr>
            <w:tcW w:w="2293" w:type="dxa"/>
            <w:gridSpan w:val="3"/>
            <w:vAlign w:val="top"/>
          </w:tcPr>
          <w:p w14:paraId="5386BFC7">
            <w:pPr>
              <w:pStyle w:val="6"/>
              <w:spacing w:before="95" w:line="228" w:lineRule="auto"/>
              <w:ind w:left="800"/>
              <w:rPr>
                <w:sz w:val="20"/>
                <w:szCs w:val="20"/>
              </w:rPr>
            </w:pPr>
            <w:r>
              <w:rPr>
                <w:spacing w:val="7"/>
                <w:sz w:val="20"/>
                <w:szCs w:val="20"/>
              </w:rPr>
              <w:t>环境管理</w:t>
            </w:r>
          </w:p>
        </w:tc>
        <w:tc>
          <w:tcPr>
            <w:tcW w:w="3936" w:type="dxa"/>
            <w:gridSpan w:val="2"/>
            <w:vAlign w:val="top"/>
          </w:tcPr>
          <w:p w14:paraId="059EB43D">
            <w:pPr>
              <w:pStyle w:val="6"/>
              <w:spacing w:before="95" w:line="228" w:lineRule="auto"/>
              <w:ind w:left="1291"/>
              <w:rPr>
                <w:sz w:val="20"/>
                <w:szCs w:val="20"/>
              </w:rPr>
            </w:pPr>
            <w:r>
              <w:rPr>
                <w:spacing w:val="8"/>
                <w:sz w:val="20"/>
                <w:szCs w:val="20"/>
              </w:rPr>
              <w:t>应急池、管道等</w:t>
            </w:r>
          </w:p>
        </w:tc>
        <w:tc>
          <w:tcPr>
            <w:tcW w:w="1384" w:type="dxa"/>
            <w:gridSpan w:val="2"/>
            <w:tcBorders>
              <w:right w:val="single" w:color="000000" w:sz="6" w:space="0"/>
            </w:tcBorders>
            <w:vAlign w:val="top"/>
          </w:tcPr>
          <w:p w14:paraId="4848C882">
            <w:pPr>
              <w:spacing w:before="131"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1406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83" w:type="dxa"/>
            <w:vMerge w:val="continue"/>
            <w:tcBorders>
              <w:top w:val="nil"/>
              <w:left w:val="single" w:color="000000" w:sz="6" w:space="0"/>
              <w:bottom w:val="nil"/>
            </w:tcBorders>
            <w:vAlign w:val="top"/>
          </w:tcPr>
          <w:p w14:paraId="48EC6D18">
            <w:pPr>
              <w:rPr>
                <w:rFonts w:ascii="Arial"/>
                <w:sz w:val="21"/>
              </w:rPr>
            </w:pPr>
          </w:p>
        </w:tc>
        <w:tc>
          <w:tcPr>
            <w:tcW w:w="592" w:type="dxa"/>
            <w:gridSpan w:val="2"/>
            <w:vMerge w:val="continue"/>
            <w:tcBorders>
              <w:top w:val="nil"/>
              <w:bottom w:val="nil"/>
            </w:tcBorders>
            <w:textDirection w:val="tbRlV"/>
            <w:vAlign w:val="top"/>
          </w:tcPr>
          <w:p w14:paraId="279DA5DD">
            <w:pPr>
              <w:rPr>
                <w:rFonts w:ascii="Arial"/>
                <w:sz w:val="21"/>
              </w:rPr>
            </w:pPr>
          </w:p>
        </w:tc>
        <w:tc>
          <w:tcPr>
            <w:tcW w:w="2293" w:type="dxa"/>
            <w:gridSpan w:val="3"/>
            <w:vAlign w:val="top"/>
          </w:tcPr>
          <w:p w14:paraId="7C3AEE94">
            <w:pPr>
              <w:pStyle w:val="6"/>
              <w:spacing w:before="95" w:line="228" w:lineRule="auto"/>
              <w:ind w:left="1010"/>
              <w:rPr>
                <w:sz w:val="20"/>
                <w:szCs w:val="20"/>
              </w:rPr>
            </w:pPr>
            <w:r>
              <w:rPr>
                <w:spacing w:val="4"/>
                <w:sz w:val="20"/>
                <w:szCs w:val="20"/>
              </w:rPr>
              <w:t>其他</w:t>
            </w:r>
          </w:p>
        </w:tc>
        <w:tc>
          <w:tcPr>
            <w:tcW w:w="3936" w:type="dxa"/>
            <w:gridSpan w:val="2"/>
            <w:vAlign w:val="top"/>
          </w:tcPr>
          <w:p w14:paraId="26496563">
            <w:pPr>
              <w:pStyle w:val="6"/>
              <w:spacing w:before="94" w:line="228" w:lineRule="auto"/>
              <w:ind w:left="1397"/>
              <w:rPr>
                <w:sz w:val="20"/>
                <w:szCs w:val="20"/>
              </w:rPr>
            </w:pPr>
            <w:r>
              <w:rPr>
                <w:spacing w:val="8"/>
                <w:sz w:val="20"/>
                <w:szCs w:val="20"/>
              </w:rPr>
              <w:t>护栏、标识等</w:t>
            </w:r>
          </w:p>
        </w:tc>
        <w:tc>
          <w:tcPr>
            <w:tcW w:w="1384" w:type="dxa"/>
            <w:gridSpan w:val="2"/>
            <w:tcBorders>
              <w:right w:val="single" w:color="000000" w:sz="6" w:space="0"/>
            </w:tcBorders>
            <w:vAlign w:val="top"/>
          </w:tcPr>
          <w:p w14:paraId="17F14175">
            <w:pPr>
              <w:spacing w:before="131" w:line="195" w:lineRule="auto"/>
              <w:ind w:left="6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2046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83" w:type="dxa"/>
            <w:vMerge w:val="continue"/>
            <w:tcBorders>
              <w:top w:val="nil"/>
              <w:left w:val="single" w:color="000000" w:sz="6" w:space="0"/>
              <w:bottom w:val="nil"/>
            </w:tcBorders>
            <w:vAlign w:val="top"/>
          </w:tcPr>
          <w:p w14:paraId="12BD531B">
            <w:pPr>
              <w:rPr>
                <w:rFonts w:ascii="Arial"/>
                <w:sz w:val="21"/>
              </w:rPr>
            </w:pPr>
          </w:p>
        </w:tc>
        <w:tc>
          <w:tcPr>
            <w:tcW w:w="592" w:type="dxa"/>
            <w:gridSpan w:val="2"/>
            <w:vMerge w:val="continue"/>
            <w:tcBorders>
              <w:top w:val="nil"/>
            </w:tcBorders>
            <w:textDirection w:val="tbRlV"/>
            <w:vAlign w:val="top"/>
          </w:tcPr>
          <w:p w14:paraId="55B2B0D1">
            <w:pPr>
              <w:rPr>
                <w:rFonts w:ascii="Arial"/>
                <w:sz w:val="21"/>
              </w:rPr>
            </w:pPr>
          </w:p>
        </w:tc>
        <w:tc>
          <w:tcPr>
            <w:tcW w:w="6229" w:type="dxa"/>
            <w:gridSpan w:val="5"/>
            <w:vAlign w:val="top"/>
          </w:tcPr>
          <w:p w14:paraId="6B4D99DA">
            <w:pPr>
              <w:pStyle w:val="6"/>
              <w:spacing w:before="100" w:line="229" w:lineRule="auto"/>
              <w:ind w:left="2968"/>
              <w:rPr>
                <w:sz w:val="20"/>
                <w:szCs w:val="20"/>
              </w:rPr>
            </w:pPr>
            <w:r>
              <w:rPr>
                <w:spacing w:val="4"/>
                <w:sz w:val="20"/>
                <w:szCs w:val="20"/>
              </w:rPr>
              <w:t>合计</w:t>
            </w:r>
          </w:p>
        </w:tc>
        <w:tc>
          <w:tcPr>
            <w:tcW w:w="1384" w:type="dxa"/>
            <w:gridSpan w:val="2"/>
            <w:tcBorders>
              <w:right w:val="single" w:color="000000" w:sz="6" w:space="0"/>
            </w:tcBorders>
            <w:vAlign w:val="top"/>
          </w:tcPr>
          <w:p w14:paraId="5046360A">
            <w:pPr>
              <w:spacing w:before="136"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r>
      <w:tr w14:paraId="7DF25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2" w:hRule="atLeast"/>
        </w:trPr>
        <w:tc>
          <w:tcPr>
            <w:tcW w:w="783" w:type="dxa"/>
            <w:vMerge w:val="continue"/>
            <w:tcBorders>
              <w:top w:val="nil"/>
              <w:left w:val="single" w:color="000000" w:sz="6" w:space="0"/>
              <w:bottom w:val="nil"/>
            </w:tcBorders>
            <w:vAlign w:val="top"/>
          </w:tcPr>
          <w:p w14:paraId="7D73A8F2">
            <w:pPr>
              <w:rPr>
                <w:rFonts w:ascii="Arial"/>
                <w:sz w:val="21"/>
              </w:rPr>
            </w:pPr>
          </w:p>
        </w:tc>
        <w:tc>
          <w:tcPr>
            <w:tcW w:w="8205" w:type="dxa"/>
            <w:gridSpan w:val="9"/>
            <w:tcBorders>
              <w:right w:val="single" w:color="000000" w:sz="6" w:space="0"/>
            </w:tcBorders>
            <w:vAlign w:val="top"/>
          </w:tcPr>
          <w:p w14:paraId="3746FAEF">
            <w:pPr>
              <w:pStyle w:val="6"/>
              <w:spacing w:before="164" w:line="219" w:lineRule="auto"/>
              <w:ind w:left="587"/>
            </w:pPr>
            <w:r>
              <w:rPr>
                <w:spacing w:val="-1"/>
              </w:rPr>
              <w:t>综上，本项目环境保护设施拟投资</w:t>
            </w:r>
            <w:r>
              <w:rPr>
                <w:spacing w:val="-49"/>
              </w:rPr>
              <w:t xml:space="preserve"> </w:t>
            </w:r>
            <w:r>
              <w:rPr>
                <w:rFonts w:ascii="Times New Roman" w:hAnsi="Times New Roman" w:eastAsia="Times New Roman" w:cs="Times New Roman"/>
                <w:spacing w:val="-1"/>
              </w:rPr>
              <w:t>600</w:t>
            </w:r>
            <w:r>
              <w:rPr>
                <w:rFonts w:ascii="Times New Roman" w:hAnsi="Times New Roman" w:eastAsia="Times New Roman" w:cs="Times New Roman"/>
                <w:spacing w:val="15"/>
              </w:rPr>
              <w:t xml:space="preserve"> </w:t>
            </w:r>
            <w:r>
              <w:rPr>
                <w:spacing w:val="-1"/>
              </w:rPr>
              <w:t>万元，占工程总投资</w:t>
            </w:r>
            <w:r>
              <w:rPr>
                <w:rFonts w:ascii="Times New Roman" w:hAnsi="Times New Roman" w:eastAsia="Times New Roman" w:cs="Times New Roman"/>
                <w:spacing w:val="-1"/>
              </w:rPr>
              <w:t>600</w:t>
            </w:r>
            <w:r>
              <w:rPr>
                <w:rFonts w:ascii="Times New Roman" w:hAnsi="Times New Roman" w:eastAsia="Times New Roman" w:cs="Times New Roman"/>
                <w:spacing w:val="-2"/>
              </w:rPr>
              <w:t>0</w:t>
            </w:r>
            <w:r>
              <w:rPr>
                <w:rFonts w:ascii="Times New Roman" w:hAnsi="Times New Roman" w:eastAsia="Times New Roman" w:cs="Times New Roman"/>
                <w:spacing w:val="15"/>
              </w:rPr>
              <w:t xml:space="preserve"> </w:t>
            </w:r>
            <w:r>
              <w:rPr>
                <w:spacing w:val="-2"/>
              </w:rPr>
              <w:t>万元的</w:t>
            </w:r>
          </w:p>
          <w:p w14:paraId="02FC1D51">
            <w:pPr>
              <w:pStyle w:val="6"/>
              <w:spacing w:before="222" w:line="180" w:lineRule="auto"/>
              <w:ind w:left="123"/>
            </w:pPr>
            <w:r>
              <w:rPr>
                <w:rFonts w:ascii="Times New Roman" w:hAnsi="Times New Roman" w:eastAsia="Times New Roman" w:cs="Times New Roman"/>
                <w:spacing w:val="-8"/>
              </w:rPr>
              <w:t>10%</w:t>
            </w:r>
            <w:r>
              <w:rPr>
                <w:spacing w:val="-8"/>
              </w:rPr>
              <w:t>。</w:t>
            </w:r>
          </w:p>
          <w:p w14:paraId="3BE3CBCF">
            <w:pPr>
              <w:pStyle w:val="6"/>
              <w:spacing w:before="192" w:line="359" w:lineRule="auto"/>
              <w:ind w:left="108" w:right="102" w:firstLine="480"/>
            </w:pPr>
            <w:r>
              <w:rPr>
                <w:spacing w:val="2"/>
              </w:rPr>
              <w:t>项目运营期环保设施的运营成本，主要为废水处理站何废气处理装置运</w:t>
            </w:r>
            <w:r>
              <w:t xml:space="preserve"> </w:t>
            </w:r>
            <w:r>
              <w:rPr>
                <w:spacing w:val="-2"/>
              </w:rPr>
              <w:t>行费用，具体如下：</w:t>
            </w:r>
          </w:p>
          <w:p w14:paraId="10390DE8">
            <w:pPr>
              <w:pStyle w:val="6"/>
              <w:spacing w:line="218" w:lineRule="auto"/>
              <w:ind w:left="596"/>
            </w:pPr>
            <w:r>
              <w:rPr>
                <w:spacing w:val="-2"/>
              </w:rPr>
              <w:t>（1）废水站运行成本统计：</w:t>
            </w:r>
          </w:p>
          <w:p w14:paraId="3C92AF62">
            <w:pPr>
              <w:pStyle w:val="6"/>
              <w:spacing w:before="303" w:line="219" w:lineRule="auto"/>
              <w:ind w:left="2285"/>
            </w:pPr>
            <w:r>
              <w:rPr>
                <w:b/>
                <w:bCs/>
                <w:spacing w:val="-2"/>
              </w:rPr>
              <w:t>表</w:t>
            </w:r>
            <w:r>
              <w:rPr>
                <w:spacing w:val="-51"/>
              </w:rPr>
              <w:t xml:space="preserve"> </w:t>
            </w:r>
            <w:r>
              <w:rPr>
                <w:rFonts w:ascii="Times New Roman" w:hAnsi="Times New Roman" w:eastAsia="Times New Roman" w:cs="Times New Roman"/>
                <w:b/>
                <w:bCs/>
                <w:spacing w:val="-2"/>
              </w:rPr>
              <w:t xml:space="preserve">2-12    </w:t>
            </w:r>
            <w:r>
              <w:rPr>
                <w:b/>
                <w:bCs/>
                <w:spacing w:val="-2"/>
              </w:rPr>
              <w:t>项目废水站运行成本核算</w:t>
            </w:r>
          </w:p>
        </w:tc>
      </w:tr>
      <w:tr w14:paraId="6DD36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783" w:type="dxa"/>
            <w:vMerge w:val="continue"/>
            <w:tcBorders>
              <w:top w:val="nil"/>
              <w:left w:val="single" w:color="000000" w:sz="6" w:space="0"/>
              <w:bottom w:val="nil"/>
            </w:tcBorders>
            <w:vAlign w:val="top"/>
          </w:tcPr>
          <w:p w14:paraId="1C171D4C">
            <w:pPr>
              <w:rPr>
                <w:rFonts w:ascii="Arial"/>
                <w:sz w:val="21"/>
              </w:rPr>
            </w:pPr>
          </w:p>
        </w:tc>
        <w:tc>
          <w:tcPr>
            <w:tcW w:w="349" w:type="dxa"/>
            <w:vMerge w:val="restart"/>
            <w:tcBorders>
              <w:top w:val="nil"/>
              <w:bottom w:val="nil"/>
            </w:tcBorders>
            <w:vAlign w:val="top"/>
          </w:tcPr>
          <w:p w14:paraId="0E9E02C0">
            <w:pPr>
              <w:rPr>
                <w:rFonts w:ascii="Arial"/>
                <w:sz w:val="21"/>
              </w:rPr>
            </w:pPr>
          </w:p>
        </w:tc>
        <w:tc>
          <w:tcPr>
            <w:tcW w:w="921" w:type="dxa"/>
            <w:gridSpan w:val="2"/>
            <w:tcBorders>
              <w:bottom w:val="single" w:color="000000" w:sz="6" w:space="0"/>
              <w:right w:val="single" w:color="000000" w:sz="6" w:space="0"/>
            </w:tcBorders>
            <w:vAlign w:val="top"/>
          </w:tcPr>
          <w:p w14:paraId="5950B083">
            <w:pPr>
              <w:pStyle w:val="6"/>
              <w:spacing w:before="91" w:line="229" w:lineRule="auto"/>
              <w:ind w:left="238"/>
              <w:rPr>
                <w:sz w:val="20"/>
                <w:szCs w:val="20"/>
              </w:rPr>
            </w:pPr>
            <w:r>
              <w:rPr>
                <w:b/>
                <w:bCs/>
                <w:spacing w:val="4"/>
                <w:sz w:val="20"/>
                <w:szCs w:val="20"/>
              </w:rPr>
              <w:t>序号</w:t>
            </w:r>
          </w:p>
        </w:tc>
        <w:tc>
          <w:tcPr>
            <w:tcW w:w="3074" w:type="dxa"/>
            <w:gridSpan w:val="3"/>
            <w:tcBorders>
              <w:left w:val="single" w:color="000000" w:sz="6" w:space="0"/>
              <w:bottom w:val="single" w:color="000000" w:sz="6" w:space="0"/>
              <w:right w:val="single" w:color="000000" w:sz="6" w:space="0"/>
            </w:tcBorders>
            <w:vAlign w:val="top"/>
          </w:tcPr>
          <w:p w14:paraId="3AC5DDB9">
            <w:pPr>
              <w:pStyle w:val="6"/>
              <w:spacing w:before="91" w:line="228" w:lineRule="auto"/>
              <w:ind w:left="1095"/>
              <w:rPr>
                <w:sz w:val="20"/>
                <w:szCs w:val="20"/>
              </w:rPr>
            </w:pPr>
            <w:r>
              <w:rPr>
                <w:b/>
                <w:bCs/>
                <w:spacing w:val="5"/>
                <w:sz w:val="20"/>
                <w:szCs w:val="20"/>
              </w:rPr>
              <w:t>项目名称</w:t>
            </w:r>
          </w:p>
        </w:tc>
        <w:tc>
          <w:tcPr>
            <w:tcW w:w="3559" w:type="dxa"/>
            <w:gridSpan w:val="2"/>
            <w:tcBorders>
              <w:left w:val="single" w:color="000000" w:sz="6" w:space="0"/>
              <w:bottom w:val="single" w:color="000000" w:sz="6" w:space="0"/>
            </w:tcBorders>
            <w:vAlign w:val="top"/>
          </w:tcPr>
          <w:p w14:paraId="7042F67B">
            <w:pPr>
              <w:pStyle w:val="6"/>
              <w:spacing w:before="91" w:line="228" w:lineRule="auto"/>
              <w:ind w:left="739"/>
              <w:rPr>
                <w:sz w:val="20"/>
                <w:szCs w:val="20"/>
              </w:rPr>
            </w:pPr>
            <w:r>
              <w:rPr>
                <w:b/>
                <w:bCs/>
                <w:spacing w:val="5"/>
                <w:sz w:val="20"/>
                <w:szCs w:val="20"/>
              </w:rPr>
              <w:t>运行费用（元/吨水）</w:t>
            </w:r>
          </w:p>
        </w:tc>
        <w:tc>
          <w:tcPr>
            <w:tcW w:w="302" w:type="dxa"/>
            <w:vMerge w:val="restart"/>
            <w:tcBorders>
              <w:top w:val="nil"/>
              <w:bottom w:val="nil"/>
              <w:right w:val="single" w:color="000000" w:sz="6" w:space="0"/>
            </w:tcBorders>
            <w:vAlign w:val="top"/>
          </w:tcPr>
          <w:p w14:paraId="518F4050">
            <w:pPr>
              <w:rPr>
                <w:rFonts w:ascii="Arial"/>
                <w:sz w:val="21"/>
              </w:rPr>
            </w:pPr>
          </w:p>
        </w:tc>
      </w:tr>
      <w:tr w14:paraId="1729E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3" w:type="dxa"/>
            <w:vMerge w:val="continue"/>
            <w:tcBorders>
              <w:top w:val="nil"/>
              <w:left w:val="single" w:color="000000" w:sz="6" w:space="0"/>
              <w:bottom w:val="nil"/>
            </w:tcBorders>
            <w:vAlign w:val="top"/>
          </w:tcPr>
          <w:p w14:paraId="3204E3A8">
            <w:pPr>
              <w:rPr>
                <w:rFonts w:ascii="Arial"/>
                <w:sz w:val="21"/>
              </w:rPr>
            </w:pPr>
          </w:p>
        </w:tc>
        <w:tc>
          <w:tcPr>
            <w:tcW w:w="349" w:type="dxa"/>
            <w:vMerge w:val="continue"/>
            <w:tcBorders>
              <w:top w:val="nil"/>
              <w:bottom w:val="nil"/>
            </w:tcBorders>
            <w:vAlign w:val="top"/>
          </w:tcPr>
          <w:p w14:paraId="333C4D8A">
            <w:pPr>
              <w:rPr>
                <w:rFonts w:ascii="Arial"/>
                <w:sz w:val="21"/>
              </w:rPr>
            </w:pPr>
          </w:p>
        </w:tc>
        <w:tc>
          <w:tcPr>
            <w:tcW w:w="921" w:type="dxa"/>
            <w:gridSpan w:val="2"/>
            <w:tcBorders>
              <w:top w:val="single" w:color="000000" w:sz="6" w:space="0"/>
              <w:bottom w:val="single" w:color="000000" w:sz="6" w:space="0"/>
              <w:right w:val="single" w:color="000000" w:sz="6" w:space="0"/>
            </w:tcBorders>
            <w:vAlign w:val="top"/>
          </w:tcPr>
          <w:p w14:paraId="4674EB50">
            <w:pPr>
              <w:pStyle w:val="6"/>
              <w:spacing w:before="87" w:line="270" w:lineRule="exact"/>
              <w:ind w:left="413"/>
              <w:rPr>
                <w:sz w:val="20"/>
                <w:szCs w:val="20"/>
              </w:rPr>
            </w:pPr>
            <w:r>
              <w:rPr>
                <w:position w:val="1"/>
                <w:sz w:val="20"/>
                <w:szCs w:val="20"/>
              </w:rPr>
              <w:t>1</w:t>
            </w:r>
          </w:p>
        </w:tc>
        <w:tc>
          <w:tcPr>
            <w:tcW w:w="3074" w:type="dxa"/>
            <w:gridSpan w:val="3"/>
            <w:tcBorders>
              <w:top w:val="single" w:color="000000" w:sz="6" w:space="0"/>
              <w:left w:val="single" w:color="000000" w:sz="6" w:space="0"/>
              <w:bottom w:val="single" w:color="000000" w:sz="6" w:space="0"/>
              <w:right w:val="single" w:color="000000" w:sz="6" w:space="0"/>
            </w:tcBorders>
            <w:vAlign w:val="top"/>
          </w:tcPr>
          <w:p w14:paraId="7602E3BE">
            <w:pPr>
              <w:pStyle w:val="6"/>
              <w:spacing w:before="87" w:line="228" w:lineRule="auto"/>
              <w:ind w:left="1327"/>
              <w:rPr>
                <w:sz w:val="20"/>
                <w:szCs w:val="20"/>
              </w:rPr>
            </w:pPr>
            <w:r>
              <w:rPr>
                <w:spacing w:val="-8"/>
                <w:sz w:val="20"/>
                <w:szCs w:val="20"/>
              </w:rPr>
              <w:t>电费</w:t>
            </w:r>
          </w:p>
        </w:tc>
        <w:tc>
          <w:tcPr>
            <w:tcW w:w="3559" w:type="dxa"/>
            <w:gridSpan w:val="2"/>
            <w:tcBorders>
              <w:top w:val="single" w:color="000000" w:sz="6" w:space="0"/>
              <w:left w:val="single" w:color="000000" w:sz="6" w:space="0"/>
              <w:bottom w:val="single" w:color="000000" w:sz="6" w:space="0"/>
            </w:tcBorders>
            <w:vAlign w:val="top"/>
          </w:tcPr>
          <w:p w14:paraId="140832C8">
            <w:pPr>
              <w:pStyle w:val="6"/>
              <w:spacing w:before="87" w:line="267" w:lineRule="exact"/>
              <w:ind w:left="1530"/>
              <w:rPr>
                <w:sz w:val="20"/>
                <w:szCs w:val="20"/>
              </w:rPr>
            </w:pPr>
            <w:r>
              <w:rPr>
                <w:spacing w:val="2"/>
                <w:position w:val="1"/>
                <w:sz w:val="20"/>
                <w:szCs w:val="20"/>
              </w:rPr>
              <w:t>0.86</w:t>
            </w:r>
          </w:p>
        </w:tc>
        <w:tc>
          <w:tcPr>
            <w:tcW w:w="302" w:type="dxa"/>
            <w:vMerge w:val="continue"/>
            <w:tcBorders>
              <w:top w:val="nil"/>
              <w:bottom w:val="nil"/>
              <w:right w:val="single" w:color="000000" w:sz="6" w:space="0"/>
            </w:tcBorders>
            <w:vAlign w:val="top"/>
          </w:tcPr>
          <w:p w14:paraId="6AEA0434">
            <w:pPr>
              <w:rPr>
                <w:rFonts w:ascii="Arial"/>
                <w:sz w:val="21"/>
              </w:rPr>
            </w:pPr>
          </w:p>
        </w:tc>
      </w:tr>
      <w:tr w14:paraId="2682A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3" w:type="dxa"/>
            <w:vMerge w:val="continue"/>
            <w:tcBorders>
              <w:top w:val="nil"/>
              <w:left w:val="single" w:color="000000" w:sz="6" w:space="0"/>
              <w:bottom w:val="nil"/>
            </w:tcBorders>
            <w:vAlign w:val="top"/>
          </w:tcPr>
          <w:p w14:paraId="2A6F6BFD">
            <w:pPr>
              <w:rPr>
                <w:rFonts w:ascii="Arial"/>
                <w:sz w:val="21"/>
              </w:rPr>
            </w:pPr>
          </w:p>
        </w:tc>
        <w:tc>
          <w:tcPr>
            <w:tcW w:w="349" w:type="dxa"/>
            <w:vMerge w:val="continue"/>
            <w:tcBorders>
              <w:top w:val="nil"/>
              <w:bottom w:val="nil"/>
            </w:tcBorders>
            <w:vAlign w:val="top"/>
          </w:tcPr>
          <w:p w14:paraId="790017E0">
            <w:pPr>
              <w:rPr>
                <w:rFonts w:ascii="Arial"/>
                <w:sz w:val="21"/>
              </w:rPr>
            </w:pPr>
          </w:p>
        </w:tc>
        <w:tc>
          <w:tcPr>
            <w:tcW w:w="921" w:type="dxa"/>
            <w:gridSpan w:val="2"/>
            <w:tcBorders>
              <w:top w:val="single" w:color="000000" w:sz="6" w:space="0"/>
              <w:bottom w:val="single" w:color="000000" w:sz="6" w:space="0"/>
              <w:right w:val="single" w:color="000000" w:sz="6" w:space="0"/>
            </w:tcBorders>
            <w:vAlign w:val="top"/>
          </w:tcPr>
          <w:p w14:paraId="4508230F">
            <w:pPr>
              <w:pStyle w:val="6"/>
              <w:spacing w:before="89" w:line="270" w:lineRule="exact"/>
              <w:ind w:left="400"/>
              <w:rPr>
                <w:sz w:val="20"/>
                <w:szCs w:val="20"/>
              </w:rPr>
            </w:pPr>
            <w:r>
              <w:rPr>
                <w:position w:val="1"/>
                <w:sz w:val="20"/>
                <w:szCs w:val="20"/>
              </w:rPr>
              <w:t>2</w:t>
            </w:r>
          </w:p>
        </w:tc>
        <w:tc>
          <w:tcPr>
            <w:tcW w:w="3074" w:type="dxa"/>
            <w:gridSpan w:val="3"/>
            <w:tcBorders>
              <w:top w:val="single" w:color="000000" w:sz="6" w:space="0"/>
              <w:left w:val="single" w:color="000000" w:sz="6" w:space="0"/>
              <w:bottom w:val="single" w:color="000000" w:sz="6" w:space="0"/>
              <w:right w:val="single" w:color="000000" w:sz="6" w:space="0"/>
            </w:tcBorders>
            <w:vAlign w:val="top"/>
          </w:tcPr>
          <w:p w14:paraId="20BEE8DE">
            <w:pPr>
              <w:pStyle w:val="6"/>
              <w:spacing w:before="89" w:line="228" w:lineRule="auto"/>
              <w:ind w:left="1199"/>
              <w:rPr>
                <w:sz w:val="20"/>
                <w:szCs w:val="20"/>
              </w:rPr>
            </w:pPr>
            <w:r>
              <w:rPr>
                <w:spacing w:val="6"/>
                <w:sz w:val="20"/>
                <w:szCs w:val="20"/>
              </w:rPr>
              <w:t>人工费</w:t>
            </w:r>
          </w:p>
        </w:tc>
        <w:tc>
          <w:tcPr>
            <w:tcW w:w="3559" w:type="dxa"/>
            <w:gridSpan w:val="2"/>
            <w:tcBorders>
              <w:top w:val="single" w:color="000000" w:sz="6" w:space="0"/>
              <w:left w:val="single" w:color="000000" w:sz="6" w:space="0"/>
              <w:bottom w:val="single" w:color="000000" w:sz="6" w:space="0"/>
            </w:tcBorders>
            <w:vAlign w:val="top"/>
          </w:tcPr>
          <w:p w14:paraId="59773ED9">
            <w:pPr>
              <w:pStyle w:val="6"/>
              <w:spacing w:before="89" w:line="268" w:lineRule="exact"/>
              <w:ind w:left="1528"/>
              <w:rPr>
                <w:sz w:val="20"/>
                <w:szCs w:val="20"/>
              </w:rPr>
            </w:pPr>
            <w:r>
              <w:rPr>
                <w:spacing w:val="3"/>
                <w:position w:val="1"/>
                <w:sz w:val="20"/>
                <w:szCs w:val="20"/>
              </w:rPr>
              <w:t>4.17</w:t>
            </w:r>
          </w:p>
        </w:tc>
        <w:tc>
          <w:tcPr>
            <w:tcW w:w="302" w:type="dxa"/>
            <w:vMerge w:val="continue"/>
            <w:tcBorders>
              <w:top w:val="nil"/>
              <w:bottom w:val="nil"/>
              <w:right w:val="single" w:color="000000" w:sz="6" w:space="0"/>
            </w:tcBorders>
            <w:vAlign w:val="top"/>
          </w:tcPr>
          <w:p w14:paraId="2CB2D306">
            <w:pPr>
              <w:rPr>
                <w:rFonts w:ascii="Arial"/>
                <w:sz w:val="21"/>
              </w:rPr>
            </w:pPr>
          </w:p>
        </w:tc>
      </w:tr>
      <w:tr w14:paraId="7CF0D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3" w:type="dxa"/>
            <w:vMerge w:val="continue"/>
            <w:tcBorders>
              <w:top w:val="nil"/>
              <w:left w:val="single" w:color="000000" w:sz="6" w:space="0"/>
              <w:bottom w:val="nil"/>
            </w:tcBorders>
            <w:vAlign w:val="top"/>
          </w:tcPr>
          <w:p w14:paraId="3DB07D4E">
            <w:pPr>
              <w:rPr>
                <w:rFonts w:ascii="Arial"/>
                <w:sz w:val="21"/>
              </w:rPr>
            </w:pPr>
          </w:p>
        </w:tc>
        <w:tc>
          <w:tcPr>
            <w:tcW w:w="349" w:type="dxa"/>
            <w:vMerge w:val="continue"/>
            <w:tcBorders>
              <w:top w:val="nil"/>
              <w:bottom w:val="nil"/>
            </w:tcBorders>
            <w:vAlign w:val="top"/>
          </w:tcPr>
          <w:p w14:paraId="61734E97">
            <w:pPr>
              <w:rPr>
                <w:rFonts w:ascii="Arial"/>
                <w:sz w:val="21"/>
              </w:rPr>
            </w:pPr>
          </w:p>
        </w:tc>
        <w:tc>
          <w:tcPr>
            <w:tcW w:w="921" w:type="dxa"/>
            <w:gridSpan w:val="2"/>
            <w:tcBorders>
              <w:top w:val="single" w:color="000000" w:sz="6" w:space="0"/>
              <w:bottom w:val="single" w:color="000000" w:sz="6" w:space="0"/>
              <w:right w:val="single" w:color="000000" w:sz="6" w:space="0"/>
            </w:tcBorders>
            <w:vAlign w:val="top"/>
          </w:tcPr>
          <w:p w14:paraId="6BFA6FCF">
            <w:pPr>
              <w:pStyle w:val="6"/>
              <w:spacing w:before="89" w:line="268" w:lineRule="exact"/>
              <w:ind w:left="402"/>
              <w:rPr>
                <w:sz w:val="20"/>
                <w:szCs w:val="20"/>
              </w:rPr>
            </w:pPr>
            <w:r>
              <w:rPr>
                <w:position w:val="1"/>
                <w:sz w:val="20"/>
                <w:szCs w:val="20"/>
              </w:rPr>
              <w:t>3</w:t>
            </w:r>
          </w:p>
        </w:tc>
        <w:tc>
          <w:tcPr>
            <w:tcW w:w="3074" w:type="dxa"/>
            <w:gridSpan w:val="3"/>
            <w:tcBorders>
              <w:top w:val="single" w:color="000000" w:sz="6" w:space="0"/>
              <w:left w:val="single" w:color="000000" w:sz="6" w:space="0"/>
              <w:bottom w:val="single" w:color="000000" w:sz="6" w:space="0"/>
              <w:right w:val="single" w:color="000000" w:sz="6" w:space="0"/>
            </w:tcBorders>
            <w:vAlign w:val="top"/>
          </w:tcPr>
          <w:p w14:paraId="6C013366">
            <w:pPr>
              <w:pStyle w:val="6"/>
              <w:spacing w:before="89" w:line="227" w:lineRule="auto"/>
              <w:ind w:left="1200"/>
              <w:rPr>
                <w:sz w:val="20"/>
                <w:szCs w:val="20"/>
              </w:rPr>
            </w:pPr>
            <w:r>
              <w:rPr>
                <w:spacing w:val="6"/>
                <w:sz w:val="20"/>
                <w:szCs w:val="20"/>
              </w:rPr>
              <w:t>药剂费</w:t>
            </w:r>
          </w:p>
        </w:tc>
        <w:tc>
          <w:tcPr>
            <w:tcW w:w="3559" w:type="dxa"/>
            <w:gridSpan w:val="2"/>
            <w:tcBorders>
              <w:top w:val="single" w:color="000000" w:sz="6" w:space="0"/>
              <w:left w:val="single" w:color="000000" w:sz="6" w:space="0"/>
              <w:bottom w:val="single" w:color="000000" w:sz="6" w:space="0"/>
            </w:tcBorders>
            <w:vAlign w:val="top"/>
          </w:tcPr>
          <w:p w14:paraId="21344786">
            <w:pPr>
              <w:pStyle w:val="6"/>
              <w:spacing w:before="89" w:line="267" w:lineRule="exact"/>
              <w:ind w:left="1528"/>
              <w:rPr>
                <w:sz w:val="20"/>
                <w:szCs w:val="20"/>
              </w:rPr>
            </w:pPr>
            <w:r>
              <w:rPr>
                <w:spacing w:val="3"/>
                <w:position w:val="1"/>
                <w:sz w:val="20"/>
                <w:szCs w:val="20"/>
              </w:rPr>
              <w:t>4.10</w:t>
            </w:r>
          </w:p>
        </w:tc>
        <w:tc>
          <w:tcPr>
            <w:tcW w:w="302" w:type="dxa"/>
            <w:vMerge w:val="continue"/>
            <w:tcBorders>
              <w:top w:val="nil"/>
              <w:bottom w:val="nil"/>
              <w:right w:val="single" w:color="000000" w:sz="6" w:space="0"/>
            </w:tcBorders>
            <w:vAlign w:val="top"/>
          </w:tcPr>
          <w:p w14:paraId="1B33A514">
            <w:pPr>
              <w:rPr>
                <w:rFonts w:ascii="Arial"/>
                <w:sz w:val="21"/>
              </w:rPr>
            </w:pPr>
          </w:p>
        </w:tc>
      </w:tr>
      <w:tr w14:paraId="082A6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3" w:type="dxa"/>
            <w:vMerge w:val="continue"/>
            <w:tcBorders>
              <w:top w:val="nil"/>
              <w:left w:val="single" w:color="000000" w:sz="6" w:space="0"/>
              <w:bottom w:val="nil"/>
            </w:tcBorders>
            <w:vAlign w:val="top"/>
          </w:tcPr>
          <w:p w14:paraId="6AE7DCCA">
            <w:pPr>
              <w:rPr>
                <w:rFonts w:ascii="Arial"/>
                <w:sz w:val="21"/>
              </w:rPr>
            </w:pPr>
          </w:p>
        </w:tc>
        <w:tc>
          <w:tcPr>
            <w:tcW w:w="349" w:type="dxa"/>
            <w:vMerge w:val="continue"/>
            <w:tcBorders>
              <w:top w:val="nil"/>
              <w:bottom w:val="nil"/>
            </w:tcBorders>
            <w:vAlign w:val="top"/>
          </w:tcPr>
          <w:p w14:paraId="171B652B">
            <w:pPr>
              <w:rPr>
                <w:rFonts w:ascii="Arial"/>
                <w:sz w:val="21"/>
              </w:rPr>
            </w:pPr>
          </w:p>
        </w:tc>
        <w:tc>
          <w:tcPr>
            <w:tcW w:w="921" w:type="dxa"/>
            <w:gridSpan w:val="2"/>
            <w:tcBorders>
              <w:top w:val="single" w:color="000000" w:sz="6" w:space="0"/>
              <w:bottom w:val="single" w:color="000000" w:sz="6" w:space="0"/>
              <w:right w:val="single" w:color="000000" w:sz="6" w:space="0"/>
            </w:tcBorders>
            <w:vAlign w:val="top"/>
          </w:tcPr>
          <w:p w14:paraId="676089B2">
            <w:pPr>
              <w:pStyle w:val="6"/>
              <w:spacing w:before="89" w:line="270" w:lineRule="exact"/>
              <w:ind w:left="397"/>
              <w:rPr>
                <w:sz w:val="20"/>
                <w:szCs w:val="20"/>
              </w:rPr>
            </w:pPr>
            <w:r>
              <w:rPr>
                <w:position w:val="1"/>
                <w:sz w:val="20"/>
                <w:szCs w:val="20"/>
              </w:rPr>
              <w:t>4</w:t>
            </w:r>
          </w:p>
        </w:tc>
        <w:tc>
          <w:tcPr>
            <w:tcW w:w="3074" w:type="dxa"/>
            <w:gridSpan w:val="3"/>
            <w:tcBorders>
              <w:top w:val="single" w:color="000000" w:sz="6" w:space="0"/>
              <w:left w:val="single" w:color="000000" w:sz="6" w:space="0"/>
              <w:bottom w:val="single" w:color="000000" w:sz="6" w:space="0"/>
              <w:right w:val="single" w:color="000000" w:sz="6" w:space="0"/>
            </w:tcBorders>
            <w:vAlign w:val="top"/>
          </w:tcPr>
          <w:p w14:paraId="25E4E260">
            <w:pPr>
              <w:pStyle w:val="6"/>
              <w:spacing w:before="89" w:line="228" w:lineRule="auto"/>
              <w:ind w:left="884"/>
              <w:rPr>
                <w:sz w:val="20"/>
                <w:szCs w:val="20"/>
              </w:rPr>
            </w:pPr>
            <w:r>
              <w:rPr>
                <w:spacing w:val="7"/>
                <w:sz w:val="20"/>
                <w:szCs w:val="20"/>
              </w:rPr>
              <w:t>污泥处理费用</w:t>
            </w:r>
          </w:p>
        </w:tc>
        <w:tc>
          <w:tcPr>
            <w:tcW w:w="3559" w:type="dxa"/>
            <w:gridSpan w:val="2"/>
            <w:tcBorders>
              <w:top w:val="single" w:color="000000" w:sz="6" w:space="0"/>
              <w:left w:val="single" w:color="000000" w:sz="6" w:space="0"/>
              <w:bottom w:val="single" w:color="000000" w:sz="6" w:space="0"/>
            </w:tcBorders>
            <w:vAlign w:val="top"/>
          </w:tcPr>
          <w:p w14:paraId="6327B351">
            <w:pPr>
              <w:pStyle w:val="6"/>
              <w:spacing w:before="89" w:line="267" w:lineRule="exact"/>
              <w:ind w:left="1494"/>
              <w:rPr>
                <w:sz w:val="20"/>
                <w:szCs w:val="20"/>
              </w:rPr>
            </w:pPr>
            <w:r>
              <w:rPr>
                <w:position w:val="1"/>
                <w:sz w:val="20"/>
                <w:szCs w:val="20"/>
              </w:rPr>
              <w:t>13.71</w:t>
            </w:r>
          </w:p>
        </w:tc>
        <w:tc>
          <w:tcPr>
            <w:tcW w:w="302" w:type="dxa"/>
            <w:vMerge w:val="continue"/>
            <w:tcBorders>
              <w:top w:val="nil"/>
              <w:bottom w:val="nil"/>
              <w:right w:val="single" w:color="000000" w:sz="6" w:space="0"/>
            </w:tcBorders>
            <w:vAlign w:val="top"/>
          </w:tcPr>
          <w:p w14:paraId="02FD3771">
            <w:pPr>
              <w:rPr>
                <w:rFonts w:ascii="Arial"/>
                <w:sz w:val="21"/>
              </w:rPr>
            </w:pPr>
          </w:p>
        </w:tc>
      </w:tr>
      <w:tr w14:paraId="69272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3" w:type="dxa"/>
            <w:vMerge w:val="continue"/>
            <w:tcBorders>
              <w:top w:val="nil"/>
              <w:left w:val="single" w:color="000000" w:sz="6" w:space="0"/>
              <w:bottom w:val="nil"/>
            </w:tcBorders>
            <w:vAlign w:val="top"/>
          </w:tcPr>
          <w:p w14:paraId="769BD342">
            <w:pPr>
              <w:rPr>
                <w:rFonts w:ascii="Arial"/>
                <w:sz w:val="21"/>
              </w:rPr>
            </w:pPr>
          </w:p>
        </w:tc>
        <w:tc>
          <w:tcPr>
            <w:tcW w:w="349" w:type="dxa"/>
            <w:vMerge w:val="continue"/>
            <w:tcBorders>
              <w:top w:val="nil"/>
              <w:bottom w:val="nil"/>
            </w:tcBorders>
            <w:vAlign w:val="top"/>
          </w:tcPr>
          <w:p w14:paraId="2C0E953E">
            <w:pPr>
              <w:rPr>
                <w:rFonts w:ascii="Arial"/>
                <w:sz w:val="21"/>
              </w:rPr>
            </w:pPr>
          </w:p>
        </w:tc>
        <w:tc>
          <w:tcPr>
            <w:tcW w:w="921" w:type="dxa"/>
            <w:gridSpan w:val="2"/>
            <w:tcBorders>
              <w:top w:val="single" w:color="000000" w:sz="6" w:space="0"/>
              <w:bottom w:val="single" w:color="000000" w:sz="6" w:space="0"/>
              <w:right w:val="single" w:color="000000" w:sz="6" w:space="0"/>
            </w:tcBorders>
            <w:vAlign w:val="top"/>
          </w:tcPr>
          <w:p w14:paraId="69E2FB09">
            <w:pPr>
              <w:pStyle w:val="6"/>
              <w:spacing w:before="88" w:line="269" w:lineRule="exact"/>
              <w:ind w:left="402"/>
              <w:rPr>
                <w:sz w:val="20"/>
                <w:szCs w:val="20"/>
              </w:rPr>
            </w:pPr>
            <w:r>
              <w:rPr>
                <w:position w:val="1"/>
                <w:sz w:val="20"/>
                <w:szCs w:val="20"/>
              </w:rPr>
              <w:t>5</w:t>
            </w:r>
          </w:p>
        </w:tc>
        <w:tc>
          <w:tcPr>
            <w:tcW w:w="3074" w:type="dxa"/>
            <w:gridSpan w:val="3"/>
            <w:tcBorders>
              <w:top w:val="single" w:color="000000" w:sz="6" w:space="0"/>
              <w:left w:val="single" w:color="000000" w:sz="6" w:space="0"/>
              <w:bottom w:val="single" w:color="000000" w:sz="6" w:space="0"/>
              <w:right w:val="single" w:color="000000" w:sz="6" w:space="0"/>
            </w:tcBorders>
            <w:vAlign w:val="top"/>
          </w:tcPr>
          <w:p w14:paraId="01668C35">
            <w:pPr>
              <w:pStyle w:val="6"/>
              <w:spacing w:before="89" w:line="228" w:lineRule="auto"/>
              <w:ind w:left="919"/>
              <w:rPr>
                <w:sz w:val="20"/>
                <w:szCs w:val="20"/>
              </w:rPr>
            </w:pPr>
            <w:r>
              <w:rPr>
                <w:spacing w:val="2"/>
                <w:sz w:val="20"/>
                <w:szCs w:val="20"/>
              </w:rPr>
              <w:t>日常维护费用</w:t>
            </w:r>
          </w:p>
        </w:tc>
        <w:tc>
          <w:tcPr>
            <w:tcW w:w="3559" w:type="dxa"/>
            <w:gridSpan w:val="2"/>
            <w:tcBorders>
              <w:top w:val="single" w:color="000000" w:sz="6" w:space="0"/>
              <w:left w:val="single" w:color="000000" w:sz="6" w:space="0"/>
              <w:bottom w:val="single" w:color="000000" w:sz="6" w:space="0"/>
            </w:tcBorders>
            <w:vAlign w:val="top"/>
          </w:tcPr>
          <w:p w14:paraId="5E422F4B">
            <w:pPr>
              <w:pStyle w:val="6"/>
              <w:spacing w:before="88" w:line="268" w:lineRule="exact"/>
              <w:ind w:left="1530"/>
              <w:rPr>
                <w:sz w:val="20"/>
                <w:szCs w:val="20"/>
              </w:rPr>
            </w:pPr>
            <w:r>
              <w:rPr>
                <w:spacing w:val="2"/>
                <w:position w:val="1"/>
                <w:sz w:val="20"/>
                <w:szCs w:val="20"/>
              </w:rPr>
              <w:t>0.67</w:t>
            </w:r>
          </w:p>
        </w:tc>
        <w:tc>
          <w:tcPr>
            <w:tcW w:w="302" w:type="dxa"/>
            <w:vMerge w:val="continue"/>
            <w:tcBorders>
              <w:top w:val="nil"/>
              <w:bottom w:val="nil"/>
              <w:right w:val="single" w:color="000000" w:sz="6" w:space="0"/>
            </w:tcBorders>
            <w:vAlign w:val="top"/>
          </w:tcPr>
          <w:p w14:paraId="0E80244F">
            <w:pPr>
              <w:rPr>
                <w:rFonts w:ascii="Arial"/>
                <w:sz w:val="21"/>
              </w:rPr>
            </w:pPr>
          </w:p>
        </w:tc>
      </w:tr>
      <w:tr w14:paraId="1CBE9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4" w:hRule="atLeast"/>
        </w:trPr>
        <w:tc>
          <w:tcPr>
            <w:tcW w:w="783" w:type="dxa"/>
            <w:vMerge w:val="continue"/>
            <w:tcBorders>
              <w:top w:val="nil"/>
              <w:left w:val="single" w:color="000000" w:sz="6" w:space="0"/>
              <w:bottom w:val="nil"/>
            </w:tcBorders>
            <w:vAlign w:val="top"/>
          </w:tcPr>
          <w:p w14:paraId="47299722">
            <w:pPr>
              <w:rPr>
                <w:rFonts w:ascii="Arial"/>
                <w:sz w:val="21"/>
              </w:rPr>
            </w:pPr>
          </w:p>
        </w:tc>
        <w:tc>
          <w:tcPr>
            <w:tcW w:w="349" w:type="dxa"/>
            <w:vMerge w:val="continue"/>
            <w:tcBorders>
              <w:top w:val="nil"/>
              <w:bottom w:val="nil"/>
            </w:tcBorders>
            <w:vAlign w:val="top"/>
          </w:tcPr>
          <w:p w14:paraId="76C3672A">
            <w:pPr>
              <w:rPr>
                <w:rFonts w:ascii="Arial"/>
                <w:sz w:val="21"/>
              </w:rPr>
            </w:pPr>
          </w:p>
        </w:tc>
        <w:tc>
          <w:tcPr>
            <w:tcW w:w="921" w:type="dxa"/>
            <w:gridSpan w:val="2"/>
            <w:tcBorders>
              <w:top w:val="single" w:color="000000" w:sz="6" w:space="0"/>
              <w:bottom w:val="single" w:color="000000" w:sz="6" w:space="0"/>
              <w:right w:val="single" w:color="000000" w:sz="6" w:space="0"/>
            </w:tcBorders>
            <w:vAlign w:val="top"/>
          </w:tcPr>
          <w:p w14:paraId="085085D4">
            <w:pPr>
              <w:pStyle w:val="6"/>
              <w:spacing w:before="88" w:line="269" w:lineRule="exact"/>
              <w:ind w:left="399"/>
              <w:rPr>
                <w:sz w:val="20"/>
                <w:szCs w:val="20"/>
              </w:rPr>
            </w:pPr>
            <w:r>
              <w:rPr>
                <w:position w:val="1"/>
                <w:sz w:val="20"/>
                <w:szCs w:val="20"/>
              </w:rPr>
              <w:t>6</w:t>
            </w:r>
          </w:p>
        </w:tc>
        <w:tc>
          <w:tcPr>
            <w:tcW w:w="3074" w:type="dxa"/>
            <w:gridSpan w:val="3"/>
            <w:tcBorders>
              <w:top w:val="single" w:color="000000" w:sz="6" w:space="0"/>
              <w:left w:val="single" w:color="000000" w:sz="6" w:space="0"/>
              <w:bottom w:val="single" w:color="000000" w:sz="6" w:space="0"/>
              <w:right w:val="single" w:color="000000" w:sz="6" w:space="0"/>
            </w:tcBorders>
            <w:vAlign w:val="top"/>
          </w:tcPr>
          <w:p w14:paraId="166681DB">
            <w:pPr>
              <w:pStyle w:val="6"/>
              <w:spacing w:before="88" w:line="229" w:lineRule="auto"/>
              <w:ind w:left="1303"/>
              <w:rPr>
                <w:sz w:val="20"/>
                <w:szCs w:val="20"/>
              </w:rPr>
            </w:pPr>
            <w:r>
              <w:rPr>
                <w:spacing w:val="4"/>
                <w:sz w:val="20"/>
                <w:szCs w:val="20"/>
              </w:rPr>
              <w:t>合计</w:t>
            </w:r>
          </w:p>
        </w:tc>
        <w:tc>
          <w:tcPr>
            <w:tcW w:w="3559" w:type="dxa"/>
            <w:gridSpan w:val="2"/>
            <w:tcBorders>
              <w:top w:val="single" w:color="000000" w:sz="6" w:space="0"/>
              <w:left w:val="single" w:color="000000" w:sz="6" w:space="0"/>
              <w:bottom w:val="single" w:color="000000" w:sz="6" w:space="0"/>
            </w:tcBorders>
            <w:vAlign w:val="top"/>
          </w:tcPr>
          <w:p w14:paraId="1F8FD5F7">
            <w:pPr>
              <w:pStyle w:val="6"/>
              <w:spacing w:before="88" w:line="268" w:lineRule="exact"/>
              <w:ind w:left="1481"/>
              <w:rPr>
                <w:sz w:val="20"/>
                <w:szCs w:val="20"/>
              </w:rPr>
            </w:pPr>
            <w:r>
              <w:rPr>
                <w:spacing w:val="2"/>
                <w:position w:val="1"/>
                <w:sz w:val="20"/>
                <w:szCs w:val="20"/>
              </w:rPr>
              <w:t>23.50</w:t>
            </w:r>
          </w:p>
        </w:tc>
        <w:tc>
          <w:tcPr>
            <w:tcW w:w="302" w:type="dxa"/>
            <w:vMerge w:val="continue"/>
            <w:tcBorders>
              <w:top w:val="nil"/>
              <w:bottom w:val="nil"/>
              <w:right w:val="single" w:color="000000" w:sz="6" w:space="0"/>
            </w:tcBorders>
            <w:vAlign w:val="top"/>
          </w:tcPr>
          <w:p w14:paraId="2D333D53">
            <w:pPr>
              <w:rPr>
                <w:rFonts w:ascii="Arial"/>
                <w:sz w:val="21"/>
              </w:rPr>
            </w:pPr>
          </w:p>
        </w:tc>
      </w:tr>
      <w:tr w14:paraId="6A4FC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83" w:type="dxa"/>
            <w:vMerge w:val="continue"/>
            <w:tcBorders>
              <w:top w:val="nil"/>
              <w:left w:val="single" w:color="000000" w:sz="6" w:space="0"/>
              <w:bottom w:val="single" w:color="000000" w:sz="6" w:space="0"/>
            </w:tcBorders>
            <w:vAlign w:val="top"/>
          </w:tcPr>
          <w:p w14:paraId="4030BC03">
            <w:pPr>
              <w:rPr>
                <w:rFonts w:ascii="Arial"/>
                <w:sz w:val="21"/>
              </w:rPr>
            </w:pPr>
          </w:p>
        </w:tc>
        <w:tc>
          <w:tcPr>
            <w:tcW w:w="349" w:type="dxa"/>
            <w:vMerge w:val="continue"/>
            <w:tcBorders>
              <w:top w:val="nil"/>
              <w:bottom w:val="single" w:color="000000" w:sz="6" w:space="0"/>
            </w:tcBorders>
            <w:vAlign w:val="top"/>
          </w:tcPr>
          <w:p w14:paraId="15DCC3CC">
            <w:pPr>
              <w:rPr>
                <w:rFonts w:ascii="Arial"/>
                <w:sz w:val="21"/>
              </w:rPr>
            </w:pPr>
          </w:p>
        </w:tc>
        <w:tc>
          <w:tcPr>
            <w:tcW w:w="921" w:type="dxa"/>
            <w:gridSpan w:val="2"/>
            <w:tcBorders>
              <w:top w:val="single" w:color="000000" w:sz="6" w:space="0"/>
              <w:bottom w:val="single" w:color="000000" w:sz="6" w:space="0"/>
              <w:right w:val="single" w:color="000000" w:sz="6" w:space="0"/>
            </w:tcBorders>
            <w:vAlign w:val="top"/>
          </w:tcPr>
          <w:p w14:paraId="49F17361">
            <w:pPr>
              <w:pStyle w:val="6"/>
              <w:spacing w:before="88" w:line="268" w:lineRule="exact"/>
              <w:ind w:left="402"/>
              <w:rPr>
                <w:sz w:val="20"/>
                <w:szCs w:val="20"/>
              </w:rPr>
            </w:pPr>
            <w:r>
              <w:rPr>
                <w:position w:val="1"/>
                <w:sz w:val="20"/>
                <w:szCs w:val="20"/>
              </w:rPr>
              <w:t>7</w:t>
            </w:r>
          </w:p>
        </w:tc>
        <w:tc>
          <w:tcPr>
            <w:tcW w:w="3074" w:type="dxa"/>
            <w:gridSpan w:val="3"/>
            <w:tcBorders>
              <w:top w:val="single" w:color="000000" w:sz="6" w:space="0"/>
              <w:left w:val="single" w:color="000000" w:sz="6" w:space="0"/>
              <w:bottom w:val="single" w:color="000000" w:sz="6" w:space="0"/>
              <w:right w:val="single" w:color="000000" w:sz="6" w:space="0"/>
            </w:tcBorders>
            <w:vAlign w:val="top"/>
          </w:tcPr>
          <w:p w14:paraId="56571916">
            <w:pPr>
              <w:pStyle w:val="6"/>
              <w:spacing w:before="88" w:line="227" w:lineRule="auto"/>
              <w:ind w:left="331"/>
              <w:rPr>
                <w:sz w:val="20"/>
                <w:szCs w:val="20"/>
              </w:rPr>
            </w:pPr>
            <w:r>
              <w:rPr>
                <w:spacing w:val="5"/>
                <w:sz w:val="20"/>
                <w:szCs w:val="20"/>
              </w:rPr>
              <w:t>本项目废水量</w:t>
            </w:r>
            <w:r>
              <w:rPr>
                <w:spacing w:val="-28"/>
                <w:sz w:val="20"/>
                <w:szCs w:val="20"/>
              </w:rPr>
              <w:t xml:space="preserve"> </w:t>
            </w:r>
            <w:r>
              <w:rPr>
                <w:spacing w:val="5"/>
                <w:sz w:val="20"/>
                <w:szCs w:val="20"/>
              </w:rPr>
              <w:t>487.216t/d</w:t>
            </w:r>
          </w:p>
        </w:tc>
        <w:tc>
          <w:tcPr>
            <w:tcW w:w="3559" w:type="dxa"/>
            <w:gridSpan w:val="2"/>
            <w:tcBorders>
              <w:top w:val="single" w:color="000000" w:sz="6" w:space="0"/>
              <w:left w:val="single" w:color="000000" w:sz="6" w:space="0"/>
              <w:bottom w:val="single" w:color="000000" w:sz="6" w:space="0"/>
            </w:tcBorders>
            <w:vAlign w:val="top"/>
          </w:tcPr>
          <w:p w14:paraId="677B6421">
            <w:pPr>
              <w:pStyle w:val="6"/>
              <w:spacing w:before="88" w:line="228" w:lineRule="auto"/>
              <w:ind w:left="1192"/>
              <w:rPr>
                <w:sz w:val="20"/>
                <w:szCs w:val="20"/>
              </w:rPr>
            </w:pPr>
            <w:r>
              <w:rPr>
                <w:spacing w:val="2"/>
                <w:sz w:val="20"/>
                <w:szCs w:val="20"/>
              </w:rPr>
              <w:t>343.49</w:t>
            </w:r>
            <w:r>
              <w:rPr>
                <w:spacing w:val="-30"/>
                <w:sz w:val="20"/>
                <w:szCs w:val="20"/>
              </w:rPr>
              <w:t xml:space="preserve"> </w:t>
            </w:r>
            <w:r>
              <w:rPr>
                <w:spacing w:val="2"/>
                <w:sz w:val="20"/>
                <w:szCs w:val="20"/>
              </w:rPr>
              <w:t>万元</w:t>
            </w:r>
          </w:p>
        </w:tc>
        <w:tc>
          <w:tcPr>
            <w:tcW w:w="302" w:type="dxa"/>
            <w:vMerge w:val="continue"/>
            <w:tcBorders>
              <w:top w:val="nil"/>
              <w:bottom w:val="single" w:color="000000" w:sz="6" w:space="0"/>
              <w:right w:val="single" w:color="000000" w:sz="6" w:space="0"/>
            </w:tcBorders>
            <w:vAlign w:val="top"/>
          </w:tcPr>
          <w:p w14:paraId="78B8152B">
            <w:pPr>
              <w:rPr>
                <w:rFonts w:ascii="Arial"/>
                <w:sz w:val="21"/>
              </w:rPr>
            </w:pPr>
          </w:p>
        </w:tc>
      </w:tr>
    </w:tbl>
    <w:p w14:paraId="65165A69">
      <w:pPr>
        <w:rPr>
          <w:rFonts w:ascii="Arial"/>
          <w:sz w:val="21"/>
        </w:rPr>
      </w:pPr>
    </w:p>
    <w:p w14:paraId="560F12DE">
      <w:pPr>
        <w:rPr>
          <w:rFonts w:ascii="Arial" w:hAnsi="Arial" w:eastAsia="Arial" w:cs="Arial"/>
          <w:sz w:val="21"/>
          <w:szCs w:val="21"/>
        </w:rPr>
        <w:sectPr>
          <w:footerReference r:id="rId38" w:type="default"/>
          <w:pgSz w:w="11906" w:h="16839"/>
          <w:pgMar w:top="400" w:right="1451" w:bottom="1240" w:left="1451" w:header="0" w:footer="1078" w:gutter="0"/>
          <w:cols w:space="720" w:num="1"/>
        </w:sectPr>
      </w:pPr>
    </w:p>
    <w:p w14:paraId="7E8A60A2">
      <w:pPr>
        <w:spacing w:before="19"/>
      </w:pPr>
    </w:p>
    <w:p w14:paraId="66CB5493">
      <w:pPr>
        <w:spacing w:before="19"/>
      </w:pPr>
    </w:p>
    <w:p w14:paraId="231CCE46">
      <w:pPr>
        <w:spacing w:before="19"/>
      </w:pPr>
    </w:p>
    <w:p w14:paraId="6044F515">
      <w:pPr>
        <w:spacing w:before="18"/>
      </w:pPr>
    </w:p>
    <w:p w14:paraId="3A7C8ED3">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14"/>
        <w:gridCol w:w="411"/>
        <w:gridCol w:w="1123"/>
        <w:gridCol w:w="800"/>
        <w:gridCol w:w="867"/>
        <w:gridCol w:w="1077"/>
        <w:gridCol w:w="963"/>
        <w:gridCol w:w="929"/>
        <w:gridCol w:w="869"/>
        <w:gridCol w:w="934"/>
        <w:gridCol w:w="123"/>
      </w:tblGrid>
      <w:tr w14:paraId="65A87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2" w:hRule="atLeast"/>
        </w:trPr>
        <w:tc>
          <w:tcPr>
            <w:tcW w:w="778" w:type="dxa"/>
            <w:vMerge w:val="restart"/>
            <w:tcBorders>
              <w:top w:val="single" w:color="000000" w:sz="6" w:space="0"/>
              <w:left w:val="single" w:color="000000" w:sz="6" w:space="0"/>
              <w:bottom w:val="nil"/>
            </w:tcBorders>
            <w:vAlign w:val="top"/>
          </w:tcPr>
          <w:p w14:paraId="3E09FCD5">
            <w:pPr>
              <w:rPr>
                <w:rFonts w:ascii="Arial"/>
                <w:sz w:val="21"/>
              </w:rPr>
            </w:pPr>
          </w:p>
        </w:tc>
        <w:tc>
          <w:tcPr>
            <w:tcW w:w="8210" w:type="dxa"/>
            <w:gridSpan w:val="11"/>
            <w:tcBorders>
              <w:top w:val="single" w:color="000000" w:sz="6" w:space="0"/>
              <w:right w:val="single" w:color="000000" w:sz="6" w:space="0"/>
            </w:tcBorders>
            <w:vAlign w:val="top"/>
          </w:tcPr>
          <w:p w14:paraId="0D8A0B8B">
            <w:pPr>
              <w:pStyle w:val="6"/>
              <w:spacing w:before="159" w:line="359" w:lineRule="auto"/>
              <w:ind w:left="123" w:right="102" w:firstLine="466"/>
            </w:pPr>
            <w:r>
              <w:rPr>
                <w:spacing w:val="-2"/>
              </w:rPr>
              <w:t>计算公式：吨水运行费用=电费+人工费+药剂费+污泥处理费用+日常维护</w:t>
            </w:r>
            <w:r>
              <w:rPr>
                <w:spacing w:val="14"/>
              </w:rPr>
              <w:t xml:space="preserve"> </w:t>
            </w:r>
            <w:r>
              <w:rPr>
                <w:spacing w:val="-12"/>
              </w:rPr>
              <w:t>费用</w:t>
            </w:r>
          </w:p>
          <w:p w14:paraId="526A1708">
            <w:pPr>
              <w:pStyle w:val="6"/>
              <w:spacing w:line="219" w:lineRule="auto"/>
              <w:ind w:left="591"/>
            </w:pPr>
            <w:r>
              <w:rPr>
                <w:spacing w:val="-3"/>
              </w:rPr>
              <w:t>按例计算：</w:t>
            </w:r>
          </w:p>
          <w:p w14:paraId="602A7647">
            <w:pPr>
              <w:pStyle w:val="6"/>
              <w:spacing w:before="183" w:line="217" w:lineRule="auto"/>
              <w:ind w:left="588"/>
            </w:pPr>
            <w:r>
              <w:t>①电费=装机总功率*20（运行时间）*0.</w:t>
            </w:r>
            <w:r>
              <w:rPr>
                <w:spacing w:val="-1"/>
              </w:rPr>
              <w:t>8（电费）/600。</w:t>
            </w:r>
          </w:p>
          <w:p w14:paraId="67B6281A">
            <w:pPr>
              <w:pStyle w:val="6"/>
              <w:spacing w:before="183" w:line="217" w:lineRule="auto"/>
              <w:ind w:left="588"/>
            </w:pPr>
            <w:r>
              <w:rPr>
                <w:spacing w:val="-1"/>
              </w:rPr>
              <w:t>②人工费=50000*15</w:t>
            </w:r>
            <w:r>
              <w:rPr>
                <w:spacing w:val="-46"/>
              </w:rPr>
              <w:t xml:space="preserve"> </w:t>
            </w:r>
            <w:r>
              <w:rPr>
                <w:spacing w:val="-1"/>
              </w:rPr>
              <w:t>人/300/600。</w:t>
            </w:r>
          </w:p>
          <w:p w14:paraId="1FDD52E6">
            <w:pPr>
              <w:pStyle w:val="6"/>
              <w:spacing w:before="185" w:line="312" w:lineRule="auto"/>
              <w:ind w:left="110" w:right="102" w:firstLine="477"/>
            </w:pPr>
            <w:r>
              <w:rPr>
                <w:spacing w:val="-1"/>
              </w:rPr>
              <w:t>③药剂费用：PAM</w:t>
            </w:r>
            <w:r>
              <w:rPr>
                <w:spacing w:val="-30"/>
              </w:rPr>
              <w:t xml:space="preserve"> </w:t>
            </w:r>
            <w:r>
              <w:rPr>
                <w:spacing w:val="-1"/>
              </w:rPr>
              <w:t>单价取</w:t>
            </w:r>
            <w:r>
              <w:rPr>
                <w:spacing w:val="-46"/>
              </w:rPr>
              <w:t xml:space="preserve"> </w:t>
            </w:r>
            <w:r>
              <w:rPr>
                <w:spacing w:val="-1"/>
              </w:rPr>
              <w:t>25000</w:t>
            </w:r>
            <w:r>
              <w:rPr>
                <w:spacing w:val="-43"/>
              </w:rPr>
              <w:t xml:space="preserve"> </w:t>
            </w:r>
            <w:r>
              <w:rPr>
                <w:spacing w:val="-1"/>
              </w:rPr>
              <w:t>元/t、PAC</w:t>
            </w:r>
            <w:r>
              <w:rPr>
                <w:spacing w:val="-44"/>
              </w:rPr>
              <w:t xml:space="preserve"> </w:t>
            </w:r>
            <w:r>
              <w:rPr>
                <w:spacing w:val="-1"/>
              </w:rPr>
              <w:t>单价取</w:t>
            </w:r>
            <w:r>
              <w:rPr>
                <w:spacing w:val="-44"/>
              </w:rPr>
              <w:t xml:space="preserve"> </w:t>
            </w:r>
            <w:r>
              <w:rPr>
                <w:spacing w:val="-1"/>
              </w:rPr>
              <w:t>3500</w:t>
            </w:r>
            <w:r>
              <w:rPr>
                <w:spacing w:val="-46"/>
              </w:rPr>
              <w:t xml:space="preserve"> </w:t>
            </w:r>
            <w:r>
              <w:rPr>
                <w:spacing w:val="-1"/>
              </w:rPr>
              <w:t>元/t、复合碱单</w:t>
            </w:r>
            <w:r>
              <w:t xml:space="preserve"> </w:t>
            </w:r>
            <w:r>
              <w:rPr>
                <w:spacing w:val="-1"/>
              </w:rPr>
              <w:t>价取</w:t>
            </w:r>
            <w:r>
              <w:rPr>
                <w:spacing w:val="-40"/>
              </w:rPr>
              <w:t xml:space="preserve"> </w:t>
            </w:r>
            <w:r>
              <w:rPr>
                <w:spacing w:val="-1"/>
              </w:rPr>
              <w:t>2000</w:t>
            </w:r>
            <w:r>
              <w:rPr>
                <w:spacing w:val="-47"/>
              </w:rPr>
              <w:t xml:space="preserve"> </w:t>
            </w:r>
            <w:r>
              <w:rPr>
                <w:spacing w:val="-1"/>
              </w:rPr>
              <w:t>元/t、氯化钙单价取</w:t>
            </w:r>
            <w:r>
              <w:rPr>
                <w:spacing w:val="-46"/>
              </w:rPr>
              <w:t xml:space="preserve"> </w:t>
            </w:r>
            <w:r>
              <w:rPr>
                <w:spacing w:val="-1"/>
              </w:rPr>
              <w:t>4000</w:t>
            </w:r>
            <w:r>
              <w:rPr>
                <w:spacing w:val="-47"/>
              </w:rPr>
              <w:t xml:space="preserve"> </w:t>
            </w:r>
            <w:r>
              <w:rPr>
                <w:spacing w:val="-1"/>
              </w:rPr>
              <w:t>元/t、重补剂单价取</w:t>
            </w:r>
            <w:r>
              <w:rPr>
                <w:spacing w:val="-28"/>
              </w:rPr>
              <w:t xml:space="preserve"> </w:t>
            </w:r>
            <w:r>
              <w:rPr>
                <w:spacing w:val="-1"/>
              </w:rPr>
              <w:t>10000</w:t>
            </w:r>
            <w:r>
              <w:rPr>
                <w:spacing w:val="-46"/>
              </w:rPr>
              <w:t xml:space="preserve"> </w:t>
            </w:r>
            <w:r>
              <w:rPr>
                <w:spacing w:val="-1"/>
              </w:rPr>
              <w:t>元/t、高效</w:t>
            </w:r>
            <w:r>
              <w:t xml:space="preserve"> </w:t>
            </w:r>
            <w:r>
              <w:rPr>
                <w:spacing w:val="-3"/>
              </w:rPr>
              <w:t>除氟剂单价取</w:t>
            </w:r>
            <w:r>
              <w:rPr>
                <w:spacing w:val="-41"/>
              </w:rPr>
              <w:t xml:space="preserve"> </w:t>
            </w:r>
            <w:r>
              <w:rPr>
                <w:spacing w:val="-3"/>
              </w:rPr>
              <w:t>5000</w:t>
            </w:r>
            <w:r>
              <w:rPr>
                <w:spacing w:val="-49"/>
              </w:rPr>
              <w:t xml:space="preserve"> </w:t>
            </w:r>
            <w:r>
              <w:rPr>
                <w:spacing w:val="-3"/>
              </w:rPr>
              <w:t>元/t。</w:t>
            </w:r>
          </w:p>
          <w:p w14:paraId="724F56B3">
            <w:pPr>
              <w:pStyle w:val="6"/>
              <w:spacing w:before="185" w:line="217" w:lineRule="auto"/>
              <w:ind w:left="588"/>
            </w:pPr>
            <w:r>
              <w:rPr>
                <w:spacing w:val="1"/>
              </w:rPr>
              <w:t>④该项目污泥为危险废物，危废按照现在市场价</w:t>
            </w:r>
            <w:r>
              <w:rPr>
                <w:spacing w:val="-38"/>
              </w:rPr>
              <w:t xml:space="preserve"> </w:t>
            </w:r>
            <w:r>
              <w:rPr>
                <w:spacing w:val="1"/>
              </w:rPr>
              <w:t>2500元/t。</w:t>
            </w:r>
          </w:p>
          <w:p w14:paraId="271650CE">
            <w:pPr>
              <w:pStyle w:val="6"/>
              <w:spacing w:before="184" w:line="217" w:lineRule="auto"/>
              <w:ind w:left="588"/>
            </w:pPr>
            <w:r>
              <w:rPr>
                <w:spacing w:val="-1"/>
              </w:rPr>
              <w:t>⑤日常维护费用按照废水厂建设资金的</w:t>
            </w:r>
            <w:r>
              <w:rPr>
                <w:spacing w:val="-46"/>
              </w:rPr>
              <w:t xml:space="preserve"> </w:t>
            </w:r>
            <w:r>
              <w:rPr>
                <w:spacing w:val="-1"/>
              </w:rPr>
              <w:t>3%计算。</w:t>
            </w:r>
          </w:p>
          <w:p w14:paraId="6ACF0D3D">
            <w:pPr>
              <w:pStyle w:val="6"/>
              <w:spacing w:before="183" w:line="219" w:lineRule="auto"/>
              <w:ind w:left="592"/>
            </w:pPr>
            <w:r>
              <w:rPr>
                <w:spacing w:val="-2"/>
              </w:rPr>
              <w:t>详细计算如下：</w:t>
            </w:r>
          </w:p>
          <w:p w14:paraId="3CE9A541">
            <w:pPr>
              <w:pStyle w:val="6"/>
              <w:spacing w:before="183" w:line="217" w:lineRule="auto"/>
              <w:ind w:left="588"/>
            </w:pPr>
            <w:r>
              <w:rPr>
                <w:spacing w:val="-2"/>
              </w:rPr>
              <w:t>①动力费用</w:t>
            </w:r>
          </w:p>
          <w:p w14:paraId="5B3E8A21">
            <w:pPr>
              <w:pStyle w:val="6"/>
              <w:spacing w:before="186" w:line="219" w:lineRule="auto"/>
              <w:ind w:left="2508"/>
            </w:pPr>
            <w:r>
              <w:rPr>
                <w:b/>
                <w:bCs/>
                <w:spacing w:val="-3"/>
              </w:rPr>
              <w:t>表</w:t>
            </w:r>
            <w:r>
              <w:rPr>
                <w:spacing w:val="-43"/>
              </w:rPr>
              <w:t xml:space="preserve"> </w:t>
            </w:r>
            <w:r>
              <w:rPr>
                <w:b/>
                <w:bCs/>
                <w:spacing w:val="-3"/>
              </w:rPr>
              <w:t>2-13</w:t>
            </w:r>
            <w:r>
              <w:rPr>
                <w:spacing w:val="-3"/>
              </w:rPr>
              <w:t xml:space="preserve">  </w:t>
            </w:r>
            <w:r>
              <w:rPr>
                <w:b/>
                <w:bCs/>
                <w:spacing w:val="-3"/>
              </w:rPr>
              <w:t>项目废水站动力费用</w:t>
            </w:r>
          </w:p>
        </w:tc>
      </w:tr>
      <w:tr w14:paraId="0F12C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78" w:type="dxa"/>
            <w:vMerge w:val="continue"/>
            <w:tcBorders>
              <w:top w:val="nil"/>
              <w:left w:val="single" w:color="000000" w:sz="6" w:space="0"/>
              <w:bottom w:val="nil"/>
            </w:tcBorders>
            <w:vAlign w:val="top"/>
          </w:tcPr>
          <w:p w14:paraId="34310773">
            <w:pPr>
              <w:rPr>
                <w:rFonts w:ascii="Arial"/>
                <w:sz w:val="21"/>
              </w:rPr>
            </w:pPr>
          </w:p>
        </w:tc>
        <w:tc>
          <w:tcPr>
            <w:tcW w:w="114" w:type="dxa"/>
            <w:tcBorders>
              <w:top w:val="nil"/>
              <w:bottom w:val="nil"/>
            </w:tcBorders>
            <w:vAlign w:val="top"/>
          </w:tcPr>
          <w:p w14:paraId="7FEB84C6">
            <w:pPr>
              <w:rPr>
                <w:rFonts w:ascii="Arial"/>
                <w:sz w:val="21"/>
              </w:rPr>
            </w:pPr>
          </w:p>
        </w:tc>
        <w:tc>
          <w:tcPr>
            <w:tcW w:w="411" w:type="dxa"/>
            <w:vMerge w:val="restart"/>
            <w:tcBorders>
              <w:bottom w:val="nil"/>
            </w:tcBorders>
            <w:textDirection w:val="tbRlV"/>
            <w:vAlign w:val="top"/>
          </w:tcPr>
          <w:p w14:paraId="6E44BBF7">
            <w:pPr>
              <w:pStyle w:val="6"/>
              <w:spacing w:before="97" w:line="218" w:lineRule="auto"/>
              <w:ind w:left="226"/>
              <w:rPr>
                <w:sz w:val="20"/>
                <w:szCs w:val="20"/>
              </w:rPr>
            </w:pPr>
            <w:r>
              <w:rPr>
                <w:b/>
                <w:bCs/>
                <w:spacing w:val="6"/>
                <w:sz w:val="20"/>
                <w:szCs w:val="20"/>
              </w:rPr>
              <w:t>序</w:t>
            </w:r>
            <w:r>
              <w:rPr>
                <w:spacing w:val="-35"/>
                <w:sz w:val="20"/>
                <w:szCs w:val="20"/>
              </w:rPr>
              <w:t xml:space="preserve"> </w:t>
            </w:r>
            <w:r>
              <w:rPr>
                <w:b/>
                <w:bCs/>
                <w:spacing w:val="6"/>
                <w:sz w:val="20"/>
                <w:szCs w:val="20"/>
              </w:rPr>
              <w:t>号</w:t>
            </w:r>
          </w:p>
        </w:tc>
        <w:tc>
          <w:tcPr>
            <w:tcW w:w="1123" w:type="dxa"/>
            <w:vMerge w:val="restart"/>
            <w:tcBorders>
              <w:bottom w:val="nil"/>
            </w:tcBorders>
            <w:vAlign w:val="top"/>
          </w:tcPr>
          <w:p w14:paraId="2C602A1E">
            <w:pPr>
              <w:spacing w:line="296" w:lineRule="auto"/>
              <w:rPr>
                <w:rFonts w:ascii="Arial"/>
                <w:sz w:val="21"/>
              </w:rPr>
            </w:pPr>
          </w:p>
          <w:p w14:paraId="5D4D5547">
            <w:pPr>
              <w:pStyle w:val="6"/>
              <w:spacing w:before="65" w:line="229" w:lineRule="auto"/>
              <w:ind w:left="143"/>
              <w:rPr>
                <w:sz w:val="20"/>
                <w:szCs w:val="20"/>
              </w:rPr>
            </w:pPr>
            <w:r>
              <w:rPr>
                <w:b/>
                <w:bCs/>
                <w:spacing w:val="5"/>
                <w:sz w:val="20"/>
                <w:szCs w:val="20"/>
              </w:rPr>
              <w:t>设备名称</w:t>
            </w:r>
          </w:p>
        </w:tc>
        <w:tc>
          <w:tcPr>
            <w:tcW w:w="2744" w:type="dxa"/>
            <w:gridSpan w:val="3"/>
            <w:vAlign w:val="top"/>
          </w:tcPr>
          <w:p w14:paraId="759E0F1D">
            <w:pPr>
              <w:pStyle w:val="6"/>
              <w:spacing w:before="85" w:line="227" w:lineRule="auto"/>
              <w:ind w:left="954"/>
              <w:rPr>
                <w:sz w:val="20"/>
                <w:szCs w:val="20"/>
              </w:rPr>
            </w:pPr>
            <w:r>
              <w:rPr>
                <w:b/>
                <w:bCs/>
                <w:spacing w:val="6"/>
                <w:sz w:val="20"/>
                <w:szCs w:val="20"/>
              </w:rPr>
              <w:t>装机容量</w:t>
            </w:r>
          </w:p>
        </w:tc>
        <w:tc>
          <w:tcPr>
            <w:tcW w:w="2761" w:type="dxa"/>
            <w:gridSpan w:val="3"/>
            <w:vAlign w:val="top"/>
          </w:tcPr>
          <w:p w14:paraId="6E63DD45">
            <w:pPr>
              <w:pStyle w:val="6"/>
              <w:spacing w:before="85" w:line="228" w:lineRule="auto"/>
              <w:ind w:left="970"/>
              <w:rPr>
                <w:sz w:val="20"/>
                <w:szCs w:val="20"/>
              </w:rPr>
            </w:pPr>
            <w:r>
              <w:rPr>
                <w:b/>
                <w:bCs/>
                <w:spacing w:val="5"/>
                <w:sz w:val="20"/>
                <w:szCs w:val="20"/>
              </w:rPr>
              <w:t>工作容量</w:t>
            </w:r>
          </w:p>
        </w:tc>
        <w:tc>
          <w:tcPr>
            <w:tcW w:w="934" w:type="dxa"/>
            <w:vMerge w:val="restart"/>
            <w:tcBorders>
              <w:bottom w:val="nil"/>
            </w:tcBorders>
            <w:vAlign w:val="top"/>
          </w:tcPr>
          <w:p w14:paraId="5A52ED4A">
            <w:pPr>
              <w:pStyle w:val="6"/>
              <w:spacing w:before="91" w:line="251" w:lineRule="auto"/>
              <w:ind w:left="132" w:right="105" w:firstLine="31"/>
              <w:rPr>
                <w:rFonts w:ascii="Times New Roman" w:hAnsi="Times New Roman" w:eastAsia="Times New Roman" w:cs="Times New Roman"/>
                <w:sz w:val="20"/>
                <w:szCs w:val="20"/>
              </w:rPr>
            </w:pPr>
            <w:r>
              <w:rPr>
                <w:b/>
                <w:bCs/>
                <w:spacing w:val="5"/>
                <w:sz w:val="20"/>
                <w:szCs w:val="20"/>
              </w:rPr>
              <w:t>耗电量</w:t>
            </w:r>
            <w:r>
              <w:rPr>
                <w:sz w:val="20"/>
                <w:szCs w:val="20"/>
              </w:rPr>
              <w:t xml:space="preserve"> </w:t>
            </w:r>
            <w:r>
              <w:rPr>
                <w:b/>
                <w:bCs/>
                <w:spacing w:val="5"/>
                <w:sz w:val="20"/>
                <w:szCs w:val="20"/>
              </w:rPr>
              <w:t>（</w:t>
            </w:r>
            <w:r>
              <w:rPr>
                <w:rFonts w:ascii="Times New Roman" w:hAnsi="Times New Roman" w:eastAsia="Times New Roman" w:cs="Times New Roman"/>
                <w:b/>
                <w:bCs/>
                <w:sz w:val="20"/>
                <w:szCs w:val="20"/>
              </w:rPr>
              <w:t>kWh</w:t>
            </w:r>
            <w:r>
              <w:rPr>
                <w:rFonts w:ascii="Times New Roman" w:hAnsi="Times New Roman" w:eastAsia="Times New Roman" w:cs="Times New Roman"/>
                <w:b/>
                <w:bCs/>
                <w:spacing w:val="5"/>
                <w:sz w:val="20"/>
                <w:szCs w:val="20"/>
              </w:rPr>
              <w:t>/</w:t>
            </w:r>
          </w:p>
          <w:p w14:paraId="137C14A3">
            <w:pPr>
              <w:pStyle w:val="6"/>
              <w:spacing w:line="239" w:lineRule="auto"/>
              <w:ind w:left="314"/>
              <w:rPr>
                <w:sz w:val="20"/>
                <w:szCs w:val="20"/>
              </w:rPr>
            </w:pPr>
            <w:r>
              <w:rPr>
                <w:rFonts w:ascii="Times New Roman" w:hAnsi="Times New Roman" w:eastAsia="Times New Roman" w:cs="Times New Roman"/>
                <w:b/>
                <w:bCs/>
                <w:spacing w:val="-3"/>
                <w:sz w:val="20"/>
                <w:szCs w:val="20"/>
              </w:rPr>
              <w:t>d</w:t>
            </w:r>
            <w:r>
              <w:rPr>
                <w:b/>
                <w:bCs/>
                <w:spacing w:val="-3"/>
                <w:sz w:val="20"/>
                <w:szCs w:val="20"/>
              </w:rPr>
              <w:t>）</w:t>
            </w:r>
          </w:p>
        </w:tc>
        <w:tc>
          <w:tcPr>
            <w:tcW w:w="123" w:type="dxa"/>
            <w:tcBorders>
              <w:top w:val="nil"/>
              <w:bottom w:val="nil"/>
              <w:right w:val="single" w:color="000000" w:sz="6" w:space="0"/>
            </w:tcBorders>
            <w:vAlign w:val="top"/>
          </w:tcPr>
          <w:p w14:paraId="2225243F">
            <w:pPr>
              <w:rPr>
                <w:rFonts w:ascii="Arial"/>
                <w:sz w:val="21"/>
              </w:rPr>
            </w:pPr>
          </w:p>
        </w:tc>
      </w:tr>
      <w:tr w14:paraId="7E6BD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78" w:type="dxa"/>
            <w:vMerge w:val="continue"/>
            <w:tcBorders>
              <w:top w:val="nil"/>
              <w:left w:val="single" w:color="000000" w:sz="6" w:space="0"/>
              <w:bottom w:val="nil"/>
            </w:tcBorders>
            <w:vAlign w:val="top"/>
          </w:tcPr>
          <w:p w14:paraId="389D5A69">
            <w:pPr>
              <w:rPr>
                <w:rFonts w:ascii="Arial"/>
                <w:sz w:val="21"/>
              </w:rPr>
            </w:pPr>
          </w:p>
        </w:tc>
        <w:tc>
          <w:tcPr>
            <w:tcW w:w="114" w:type="dxa"/>
            <w:tcBorders>
              <w:top w:val="nil"/>
              <w:bottom w:val="nil"/>
            </w:tcBorders>
            <w:vAlign w:val="top"/>
          </w:tcPr>
          <w:p w14:paraId="75E6680C">
            <w:pPr>
              <w:rPr>
                <w:rFonts w:ascii="Arial"/>
                <w:sz w:val="21"/>
              </w:rPr>
            </w:pPr>
          </w:p>
        </w:tc>
        <w:tc>
          <w:tcPr>
            <w:tcW w:w="411" w:type="dxa"/>
            <w:vMerge w:val="continue"/>
            <w:tcBorders>
              <w:top w:val="nil"/>
            </w:tcBorders>
            <w:textDirection w:val="tbRlV"/>
            <w:vAlign w:val="top"/>
          </w:tcPr>
          <w:p w14:paraId="4036EF26">
            <w:pPr>
              <w:rPr>
                <w:rFonts w:ascii="Arial"/>
                <w:sz w:val="21"/>
              </w:rPr>
            </w:pPr>
          </w:p>
        </w:tc>
        <w:tc>
          <w:tcPr>
            <w:tcW w:w="1123" w:type="dxa"/>
            <w:vMerge w:val="continue"/>
            <w:tcBorders>
              <w:top w:val="nil"/>
            </w:tcBorders>
            <w:vAlign w:val="top"/>
          </w:tcPr>
          <w:p w14:paraId="25DA19AB">
            <w:pPr>
              <w:rPr>
                <w:rFonts w:ascii="Arial"/>
                <w:sz w:val="21"/>
              </w:rPr>
            </w:pPr>
          </w:p>
        </w:tc>
        <w:tc>
          <w:tcPr>
            <w:tcW w:w="800" w:type="dxa"/>
            <w:vAlign w:val="top"/>
          </w:tcPr>
          <w:p w14:paraId="2389CDA2">
            <w:pPr>
              <w:pStyle w:val="6"/>
              <w:spacing w:before="46" w:line="231" w:lineRule="auto"/>
              <w:ind w:left="8" w:firstLine="73"/>
              <w:rPr>
                <w:sz w:val="20"/>
                <w:szCs w:val="20"/>
              </w:rPr>
            </w:pPr>
            <w:r>
              <w:rPr>
                <w:b/>
                <w:bCs/>
                <w:spacing w:val="-16"/>
                <w:sz w:val="20"/>
                <w:szCs w:val="20"/>
              </w:rPr>
              <w:t>设备功</w:t>
            </w:r>
            <w:r>
              <w:rPr>
                <w:sz w:val="20"/>
                <w:szCs w:val="20"/>
              </w:rPr>
              <w:t xml:space="preserve">  </w:t>
            </w:r>
            <w:r>
              <w:rPr>
                <w:b/>
                <w:bCs/>
                <w:spacing w:val="-15"/>
                <w:sz w:val="20"/>
                <w:szCs w:val="20"/>
              </w:rPr>
              <w:t>率（</w:t>
            </w:r>
            <w:r>
              <w:rPr>
                <w:rFonts w:ascii="Times New Roman" w:hAnsi="Times New Roman" w:eastAsia="Times New Roman" w:cs="Times New Roman"/>
                <w:b/>
                <w:bCs/>
                <w:spacing w:val="-15"/>
                <w:sz w:val="20"/>
                <w:szCs w:val="20"/>
              </w:rPr>
              <w:t>kw</w:t>
            </w:r>
            <w:r>
              <w:rPr>
                <w:b/>
                <w:bCs/>
                <w:spacing w:val="-15"/>
                <w:sz w:val="20"/>
                <w:szCs w:val="20"/>
              </w:rPr>
              <w:t>）</w:t>
            </w:r>
          </w:p>
        </w:tc>
        <w:tc>
          <w:tcPr>
            <w:tcW w:w="867" w:type="dxa"/>
            <w:vAlign w:val="top"/>
          </w:tcPr>
          <w:p w14:paraId="0862EA55">
            <w:pPr>
              <w:pStyle w:val="6"/>
              <w:spacing w:before="46" w:line="231" w:lineRule="auto"/>
              <w:ind w:left="111" w:right="21" w:firstLine="13"/>
              <w:rPr>
                <w:sz w:val="20"/>
                <w:szCs w:val="20"/>
              </w:rPr>
            </w:pPr>
            <w:r>
              <w:rPr>
                <w:b/>
                <w:bCs/>
                <w:spacing w:val="4"/>
                <w:sz w:val="20"/>
                <w:szCs w:val="20"/>
              </w:rPr>
              <w:t>安装数</w:t>
            </w:r>
            <w:r>
              <w:rPr>
                <w:sz w:val="20"/>
                <w:szCs w:val="20"/>
              </w:rPr>
              <w:t xml:space="preserve">  </w:t>
            </w:r>
            <w:r>
              <w:rPr>
                <w:b/>
                <w:bCs/>
                <w:spacing w:val="-20"/>
                <w:sz w:val="20"/>
                <w:szCs w:val="20"/>
              </w:rPr>
              <w:t>量（台）</w:t>
            </w:r>
          </w:p>
        </w:tc>
        <w:tc>
          <w:tcPr>
            <w:tcW w:w="1077" w:type="dxa"/>
            <w:vAlign w:val="top"/>
          </w:tcPr>
          <w:p w14:paraId="2F5A5E14">
            <w:pPr>
              <w:pStyle w:val="6"/>
              <w:spacing w:before="46" w:line="227" w:lineRule="auto"/>
              <w:ind w:left="122"/>
              <w:rPr>
                <w:sz w:val="20"/>
                <w:szCs w:val="20"/>
              </w:rPr>
            </w:pPr>
            <w:r>
              <w:rPr>
                <w:b/>
                <w:bCs/>
                <w:spacing w:val="6"/>
                <w:sz w:val="20"/>
                <w:szCs w:val="20"/>
              </w:rPr>
              <w:t>装机容量</w:t>
            </w:r>
          </w:p>
          <w:p w14:paraId="3A4A42C4">
            <w:pPr>
              <w:pStyle w:val="6"/>
              <w:spacing w:before="28" w:line="209" w:lineRule="auto"/>
              <w:ind w:left="209"/>
              <w:rPr>
                <w:sz w:val="20"/>
                <w:szCs w:val="20"/>
              </w:rPr>
            </w:pPr>
            <w:r>
              <w:rPr>
                <w:b/>
                <w:bCs/>
                <w:spacing w:val="-1"/>
                <w:sz w:val="20"/>
                <w:szCs w:val="20"/>
              </w:rPr>
              <w:t>（</w:t>
            </w:r>
            <w:r>
              <w:rPr>
                <w:rFonts w:ascii="Times New Roman" w:hAnsi="Times New Roman" w:eastAsia="Times New Roman" w:cs="Times New Roman"/>
                <w:b/>
                <w:bCs/>
                <w:spacing w:val="-1"/>
                <w:sz w:val="20"/>
                <w:szCs w:val="20"/>
              </w:rPr>
              <w:t>kw</w:t>
            </w:r>
            <w:r>
              <w:rPr>
                <w:b/>
                <w:bCs/>
                <w:spacing w:val="-1"/>
                <w:sz w:val="20"/>
                <w:szCs w:val="20"/>
              </w:rPr>
              <w:t>）</w:t>
            </w:r>
          </w:p>
        </w:tc>
        <w:tc>
          <w:tcPr>
            <w:tcW w:w="963" w:type="dxa"/>
            <w:vAlign w:val="top"/>
          </w:tcPr>
          <w:p w14:paraId="04A80C6C">
            <w:pPr>
              <w:pStyle w:val="6"/>
              <w:spacing w:before="46" w:line="231" w:lineRule="auto"/>
              <w:ind w:left="113" w:right="28" w:firstLine="62"/>
              <w:rPr>
                <w:sz w:val="20"/>
                <w:szCs w:val="20"/>
              </w:rPr>
            </w:pPr>
            <w:r>
              <w:rPr>
                <w:b/>
                <w:bCs/>
                <w:spacing w:val="4"/>
                <w:sz w:val="20"/>
                <w:szCs w:val="20"/>
              </w:rPr>
              <w:t>工作数</w:t>
            </w:r>
            <w:r>
              <w:rPr>
                <w:sz w:val="20"/>
                <w:szCs w:val="20"/>
              </w:rPr>
              <w:t xml:space="preserve">  </w:t>
            </w:r>
            <w:r>
              <w:rPr>
                <w:b/>
                <w:bCs/>
                <w:spacing w:val="1"/>
                <w:sz w:val="20"/>
                <w:szCs w:val="20"/>
              </w:rPr>
              <w:t>量（台）</w:t>
            </w:r>
          </w:p>
        </w:tc>
        <w:tc>
          <w:tcPr>
            <w:tcW w:w="929" w:type="dxa"/>
            <w:vAlign w:val="top"/>
          </w:tcPr>
          <w:p w14:paraId="521D2F21">
            <w:pPr>
              <w:pStyle w:val="6"/>
              <w:spacing w:before="46" w:line="231" w:lineRule="auto"/>
              <w:ind w:left="163" w:right="142" w:hanging="2"/>
              <w:rPr>
                <w:rFonts w:ascii="Times New Roman" w:hAnsi="Times New Roman" w:eastAsia="Times New Roman" w:cs="Times New Roman"/>
                <w:sz w:val="20"/>
                <w:szCs w:val="20"/>
              </w:rPr>
            </w:pPr>
            <w:r>
              <w:rPr>
                <w:b/>
                <w:bCs/>
                <w:spacing w:val="4"/>
                <w:sz w:val="20"/>
                <w:szCs w:val="20"/>
              </w:rPr>
              <w:t>工作容</w:t>
            </w:r>
            <w:r>
              <w:rPr>
                <w:spacing w:val="1"/>
                <w:sz w:val="20"/>
                <w:szCs w:val="20"/>
              </w:rPr>
              <w:t xml:space="preserve"> </w:t>
            </w:r>
            <w:r>
              <w:rPr>
                <w:b/>
                <w:bCs/>
                <w:spacing w:val="6"/>
                <w:sz w:val="20"/>
                <w:szCs w:val="20"/>
              </w:rPr>
              <w:t>量</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kw</w:t>
            </w:r>
            <w:r>
              <w:rPr>
                <w:rFonts w:ascii="Times New Roman" w:hAnsi="Times New Roman" w:eastAsia="Times New Roman" w:cs="Times New Roman"/>
                <w:b/>
                <w:bCs/>
                <w:spacing w:val="6"/>
                <w:sz w:val="20"/>
                <w:szCs w:val="20"/>
              </w:rPr>
              <w:t>)</w:t>
            </w:r>
          </w:p>
        </w:tc>
        <w:tc>
          <w:tcPr>
            <w:tcW w:w="869" w:type="dxa"/>
            <w:vAlign w:val="top"/>
          </w:tcPr>
          <w:p w14:paraId="665A6261">
            <w:pPr>
              <w:pStyle w:val="6"/>
              <w:spacing w:before="46" w:line="231" w:lineRule="auto"/>
              <w:ind w:left="227" w:right="111" w:hanging="95"/>
              <w:rPr>
                <w:rFonts w:ascii="Times New Roman" w:hAnsi="Times New Roman" w:eastAsia="Times New Roman" w:cs="Times New Roman"/>
                <w:sz w:val="20"/>
                <w:szCs w:val="20"/>
              </w:rPr>
            </w:pPr>
            <w:r>
              <w:rPr>
                <w:b/>
                <w:bCs/>
                <w:spacing w:val="4"/>
                <w:sz w:val="20"/>
                <w:szCs w:val="20"/>
              </w:rPr>
              <w:t>工作时</w:t>
            </w:r>
            <w:r>
              <w:rPr>
                <w:spacing w:val="1"/>
                <w:sz w:val="20"/>
                <w:szCs w:val="20"/>
              </w:rPr>
              <w:t xml:space="preserve"> </w:t>
            </w:r>
            <w:r>
              <w:rPr>
                <w:b/>
                <w:bCs/>
                <w:spacing w:val="-2"/>
                <w:sz w:val="20"/>
                <w:szCs w:val="20"/>
              </w:rPr>
              <w:t>间</w:t>
            </w:r>
            <w:r>
              <w:rPr>
                <w:rFonts w:ascii="Times New Roman" w:hAnsi="Times New Roman" w:eastAsia="Times New Roman" w:cs="Times New Roman"/>
                <w:b/>
                <w:bCs/>
                <w:spacing w:val="-2"/>
                <w:sz w:val="20"/>
                <w:szCs w:val="20"/>
              </w:rPr>
              <w:t>(h)</w:t>
            </w:r>
          </w:p>
        </w:tc>
        <w:tc>
          <w:tcPr>
            <w:tcW w:w="934" w:type="dxa"/>
            <w:vMerge w:val="continue"/>
            <w:tcBorders>
              <w:top w:val="nil"/>
            </w:tcBorders>
            <w:vAlign w:val="top"/>
          </w:tcPr>
          <w:p w14:paraId="55620F6A">
            <w:pPr>
              <w:rPr>
                <w:rFonts w:ascii="Arial"/>
                <w:sz w:val="21"/>
              </w:rPr>
            </w:pPr>
          </w:p>
        </w:tc>
        <w:tc>
          <w:tcPr>
            <w:tcW w:w="123" w:type="dxa"/>
            <w:tcBorders>
              <w:top w:val="nil"/>
              <w:bottom w:val="nil"/>
              <w:right w:val="single" w:color="000000" w:sz="6" w:space="0"/>
            </w:tcBorders>
            <w:vAlign w:val="top"/>
          </w:tcPr>
          <w:p w14:paraId="05F91D3B">
            <w:pPr>
              <w:rPr>
                <w:rFonts w:ascii="Arial"/>
                <w:sz w:val="21"/>
              </w:rPr>
            </w:pPr>
          </w:p>
        </w:tc>
      </w:tr>
      <w:tr w14:paraId="2C8CE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5FD9D170">
            <w:pPr>
              <w:rPr>
                <w:rFonts w:ascii="Arial"/>
                <w:sz w:val="21"/>
              </w:rPr>
            </w:pPr>
          </w:p>
        </w:tc>
        <w:tc>
          <w:tcPr>
            <w:tcW w:w="114" w:type="dxa"/>
            <w:tcBorders>
              <w:top w:val="nil"/>
              <w:bottom w:val="nil"/>
            </w:tcBorders>
            <w:vAlign w:val="top"/>
          </w:tcPr>
          <w:p w14:paraId="2B3E2951">
            <w:pPr>
              <w:rPr>
                <w:rFonts w:ascii="Arial"/>
                <w:sz w:val="21"/>
              </w:rPr>
            </w:pPr>
          </w:p>
        </w:tc>
        <w:tc>
          <w:tcPr>
            <w:tcW w:w="411" w:type="dxa"/>
            <w:vAlign w:val="top"/>
          </w:tcPr>
          <w:p w14:paraId="0CAF4A9A">
            <w:pPr>
              <w:spacing w:before="12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3" w:type="dxa"/>
            <w:vAlign w:val="top"/>
          </w:tcPr>
          <w:p w14:paraId="0753A6F1">
            <w:pPr>
              <w:pStyle w:val="6"/>
              <w:spacing w:before="88" w:line="228" w:lineRule="auto"/>
              <w:ind w:left="249"/>
              <w:rPr>
                <w:sz w:val="20"/>
                <w:szCs w:val="20"/>
              </w:rPr>
            </w:pPr>
            <w:r>
              <w:rPr>
                <w:spacing w:val="6"/>
                <w:sz w:val="20"/>
                <w:szCs w:val="20"/>
              </w:rPr>
              <w:t>提升泵</w:t>
            </w:r>
          </w:p>
        </w:tc>
        <w:tc>
          <w:tcPr>
            <w:tcW w:w="800" w:type="dxa"/>
            <w:vAlign w:val="top"/>
          </w:tcPr>
          <w:p w14:paraId="57262D35">
            <w:pPr>
              <w:spacing w:before="125"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7" w:type="dxa"/>
            <w:vAlign w:val="top"/>
          </w:tcPr>
          <w:p w14:paraId="565317C6">
            <w:pPr>
              <w:spacing w:before="125"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7" w:type="dxa"/>
            <w:vAlign w:val="top"/>
          </w:tcPr>
          <w:p w14:paraId="03EC055C">
            <w:pPr>
              <w:spacing w:before="125"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63" w:type="dxa"/>
            <w:vAlign w:val="top"/>
          </w:tcPr>
          <w:p w14:paraId="56918B6B">
            <w:pPr>
              <w:spacing w:before="12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9" w:type="dxa"/>
            <w:vAlign w:val="top"/>
          </w:tcPr>
          <w:p w14:paraId="06F6AB8F">
            <w:pPr>
              <w:spacing w:before="125"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9" w:type="dxa"/>
            <w:vAlign w:val="top"/>
          </w:tcPr>
          <w:p w14:paraId="5F6F576E">
            <w:pPr>
              <w:spacing w:before="125"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34" w:type="dxa"/>
            <w:vAlign w:val="top"/>
          </w:tcPr>
          <w:p w14:paraId="26BD6E0F">
            <w:pPr>
              <w:spacing w:before="125"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3" w:type="dxa"/>
            <w:tcBorders>
              <w:top w:val="nil"/>
              <w:bottom w:val="nil"/>
              <w:right w:val="single" w:color="000000" w:sz="6" w:space="0"/>
            </w:tcBorders>
            <w:vAlign w:val="top"/>
          </w:tcPr>
          <w:p w14:paraId="22B051C0">
            <w:pPr>
              <w:rPr>
                <w:rFonts w:ascii="Arial"/>
                <w:sz w:val="21"/>
              </w:rPr>
            </w:pPr>
          </w:p>
        </w:tc>
      </w:tr>
      <w:tr w14:paraId="4FC88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07B654FB">
            <w:pPr>
              <w:rPr>
                <w:rFonts w:ascii="Arial"/>
                <w:sz w:val="21"/>
              </w:rPr>
            </w:pPr>
          </w:p>
        </w:tc>
        <w:tc>
          <w:tcPr>
            <w:tcW w:w="114" w:type="dxa"/>
            <w:tcBorders>
              <w:top w:val="nil"/>
              <w:bottom w:val="nil"/>
            </w:tcBorders>
            <w:vAlign w:val="top"/>
          </w:tcPr>
          <w:p w14:paraId="5F125C07">
            <w:pPr>
              <w:rPr>
                <w:rFonts w:ascii="Arial"/>
                <w:sz w:val="21"/>
              </w:rPr>
            </w:pPr>
          </w:p>
        </w:tc>
        <w:tc>
          <w:tcPr>
            <w:tcW w:w="411" w:type="dxa"/>
            <w:vAlign w:val="top"/>
          </w:tcPr>
          <w:p w14:paraId="6648895B">
            <w:pPr>
              <w:spacing w:before="125"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3" w:type="dxa"/>
            <w:vAlign w:val="top"/>
          </w:tcPr>
          <w:p w14:paraId="0642CFC9">
            <w:pPr>
              <w:pStyle w:val="6"/>
              <w:spacing w:before="89" w:line="228" w:lineRule="auto"/>
              <w:ind w:left="248"/>
              <w:rPr>
                <w:sz w:val="20"/>
                <w:szCs w:val="20"/>
              </w:rPr>
            </w:pPr>
            <w:r>
              <w:rPr>
                <w:spacing w:val="6"/>
                <w:sz w:val="20"/>
                <w:szCs w:val="20"/>
              </w:rPr>
              <w:t>加药泵</w:t>
            </w:r>
          </w:p>
        </w:tc>
        <w:tc>
          <w:tcPr>
            <w:tcW w:w="800" w:type="dxa"/>
            <w:vAlign w:val="top"/>
          </w:tcPr>
          <w:p w14:paraId="3E24770D">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867" w:type="dxa"/>
            <w:vAlign w:val="top"/>
          </w:tcPr>
          <w:p w14:paraId="4E9A2B44">
            <w:pPr>
              <w:spacing w:before="125"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77" w:type="dxa"/>
            <w:vAlign w:val="top"/>
          </w:tcPr>
          <w:p w14:paraId="0B1D03DD">
            <w:pPr>
              <w:spacing w:before="125"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63" w:type="dxa"/>
            <w:vAlign w:val="top"/>
          </w:tcPr>
          <w:p w14:paraId="7147CFCD">
            <w:pPr>
              <w:spacing w:before="128" w:line="192" w:lineRule="auto"/>
              <w:ind w:left="43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9" w:type="dxa"/>
            <w:vAlign w:val="top"/>
          </w:tcPr>
          <w:p w14:paraId="3E773EFD">
            <w:pPr>
              <w:spacing w:before="125"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869" w:type="dxa"/>
            <w:vAlign w:val="top"/>
          </w:tcPr>
          <w:p w14:paraId="1486F8A9">
            <w:pPr>
              <w:spacing w:before="125"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34" w:type="dxa"/>
            <w:vAlign w:val="top"/>
          </w:tcPr>
          <w:p w14:paraId="640247CB">
            <w:pPr>
              <w:spacing w:before="125"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3" w:type="dxa"/>
            <w:tcBorders>
              <w:top w:val="nil"/>
              <w:bottom w:val="nil"/>
              <w:right w:val="single" w:color="000000" w:sz="6" w:space="0"/>
            </w:tcBorders>
            <w:vAlign w:val="top"/>
          </w:tcPr>
          <w:p w14:paraId="08A49CB1">
            <w:pPr>
              <w:rPr>
                <w:rFonts w:ascii="Arial"/>
                <w:sz w:val="21"/>
              </w:rPr>
            </w:pPr>
          </w:p>
        </w:tc>
      </w:tr>
      <w:tr w14:paraId="66911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8" w:type="dxa"/>
            <w:vMerge w:val="continue"/>
            <w:tcBorders>
              <w:top w:val="nil"/>
              <w:left w:val="single" w:color="000000" w:sz="6" w:space="0"/>
              <w:bottom w:val="nil"/>
            </w:tcBorders>
            <w:vAlign w:val="top"/>
          </w:tcPr>
          <w:p w14:paraId="16D79EC8">
            <w:pPr>
              <w:rPr>
                <w:rFonts w:ascii="Arial"/>
                <w:sz w:val="21"/>
              </w:rPr>
            </w:pPr>
          </w:p>
        </w:tc>
        <w:tc>
          <w:tcPr>
            <w:tcW w:w="114" w:type="dxa"/>
            <w:tcBorders>
              <w:top w:val="nil"/>
              <w:bottom w:val="nil"/>
            </w:tcBorders>
            <w:vAlign w:val="top"/>
          </w:tcPr>
          <w:p w14:paraId="721EF201">
            <w:pPr>
              <w:rPr>
                <w:rFonts w:ascii="Arial"/>
                <w:sz w:val="21"/>
              </w:rPr>
            </w:pPr>
          </w:p>
        </w:tc>
        <w:tc>
          <w:tcPr>
            <w:tcW w:w="411" w:type="dxa"/>
            <w:vAlign w:val="top"/>
          </w:tcPr>
          <w:p w14:paraId="4760B55B">
            <w:pPr>
              <w:spacing w:before="211"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23" w:type="dxa"/>
            <w:vAlign w:val="top"/>
          </w:tcPr>
          <w:p w14:paraId="5C46124E">
            <w:pPr>
              <w:pStyle w:val="6"/>
              <w:spacing w:before="38" w:line="228" w:lineRule="auto"/>
              <w:ind w:left="142"/>
              <w:rPr>
                <w:sz w:val="20"/>
                <w:szCs w:val="20"/>
              </w:rPr>
            </w:pPr>
            <w:r>
              <w:rPr>
                <w:spacing w:val="7"/>
                <w:sz w:val="20"/>
                <w:szCs w:val="20"/>
              </w:rPr>
              <w:t>配药池搅</w:t>
            </w:r>
          </w:p>
          <w:p w14:paraId="48344D4B">
            <w:pPr>
              <w:pStyle w:val="6"/>
              <w:spacing w:before="26" w:line="209" w:lineRule="auto"/>
              <w:ind w:left="353"/>
              <w:rPr>
                <w:sz w:val="20"/>
                <w:szCs w:val="20"/>
              </w:rPr>
            </w:pPr>
            <w:r>
              <w:rPr>
                <w:spacing w:val="3"/>
                <w:sz w:val="20"/>
                <w:szCs w:val="20"/>
              </w:rPr>
              <w:t>拌机</w:t>
            </w:r>
          </w:p>
        </w:tc>
        <w:tc>
          <w:tcPr>
            <w:tcW w:w="800" w:type="dxa"/>
            <w:vAlign w:val="top"/>
          </w:tcPr>
          <w:p w14:paraId="5D3F7277">
            <w:pPr>
              <w:spacing w:before="21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7" w:type="dxa"/>
            <w:vAlign w:val="top"/>
          </w:tcPr>
          <w:p w14:paraId="693DE6EC">
            <w:pPr>
              <w:spacing w:before="214" w:line="192"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77" w:type="dxa"/>
            <w:vAlign w:val="top"/>
          </w:tcPr>
          <w:p w14:paraId="7475CB14">
            <w:pPr>
              <w:spacing w:before="211"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963" w:type="dxa"/>
            <w:vAlign w:val="top"/>
          </w:tcPr>
          <w:p w14:paraId="5CB7D45E">
            <w:pPr>
              <w:spacing w:before="214" w:line="192" w:lineRule="auto"/>
              <w:ind w:left="43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9" w:type="dxa"/>
            <w:vAlign w:val="top"/>
          </w:tcPr>
          <w:p w14:paraId="3155E237">
            <w:pPr>
              <w:spacing w:before="21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9" w:type="dxa"/>
            <w:vAlign w:val="top"/>
          </w:tcPr>
          <w:p w14:paraId="1CF368C2">
            <w:pPr>
              <w:spacing w:before="21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34" w:type="dxa"/>
            <w:vAlign w:val="top"/>
          </w:tcPr>
          <w:p w14:paraId="155DCBB4">
            <w:pPr>
              <w:spacing w:before="211"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23" w:type="dxa"/>
            <w:tcBorders>
              <w:top w:val="nil"/>
              <w:bottom w:val="nil"/>
              <w:right w:val="single" w:color="000000" w:sz="6" w:space="0"/>
            </w:tcBorders>
            <w:vAlign w:val="top"/>
          </w:tcPr>
          <w:p w14:paraId="02FF72C6">
            <w:pPr>
              <w:rPr>
                <w:rFonts w:ascii="Arial"/>
                <w:sz w:val="21"/>
              </w:rPr>
            </w:pPr>
          </w:p>
        </w:tc>
      </w:tr>
      <w:tr w14:paraId="1F4CD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643158FB">
            <w:pPr>
              <w:rPr>
                <w:rFonts w:ascii="Arial"/>
                <w:sz w:val="21"/>
              </w:rPr>
            </w:pPr>
          </w:p>
        </w:tc>
        <w:tc>
          <w:tcPr>
            <w:tcW w:w="114" w:type="dxa"/>
            <w:tcBorders>
              <w:top w:val="nil"/>
              <w:bottom w:val="nil"/>
            </w:tcBorders>
            <w:vAlign w:val="top"/>
          </w:tcPr>
          <w:p w14:paraId="3145EEE4">
            <w:pPr>
              <w:rPr>
                <w:rFonts w:ascii="Arial"/>
                <w:sz w:val="21"/>
              </w:rPr>
            </w:pPr>
          </w:p>
        </w:tc>
        <w:tc>
          <w:tcPr>
            <w:tcW w:w="411" w:type="dxa"/>
            <w:vAlign w:val="top"/>
          </w:tcPr>
          <w:p w14:paraId="203E491A">
            <w:pPr>
              <w:spacing w:before="12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23" w:type="dxa"/>
            <w:vAlign w:val="top"/>
          </w:tcPr>
          <w:p w14:paraId="4C7F1069">
            <w:pPr>
              <w:pStyle w:val="6"/>
              <w:spacing w:before="87" w:line="227" w:lineRule="auto"/>
              <w:ind w:left="250"/>
              <w:rPr>
                <w:sz w:val="20"/>
                <w:szCs w:val="20"/>
              </w:rPr>
            </w:pPr>
            <w:r>
              <w:rPr>
                <w:spacing w:val="6"/>
                <w:sz w:val="20"/>
                <w:szCs w:val="20"/>
              </w:rPr>
              <w:t>鼓风机</w:t>
            </w:r>
          </w:p>
        </w:tc>
        <w:tc>
          <w:tcPr>
            <w:tcW w:w="800" w:type="dxa"/>
            <w:vAlign w:val="top"/>
          </w:tcPr>
          <w:p w14:paraId="41D34B6F">
            <w:pPr>
              <w:spacing w:before="123"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67" w:type="dxa"/>
            <w:vAlign w:val="top"/>
          </w:tcPr>
          <w:p w14:paraId="3C10295B">
            <w:pPr>
              <w:spacing w:before="123"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7" w:type="dxa"/>
            <w:vAlign w:val="top"/>
          </w:tcPr>
          <w:p w14:paraId="10F8ED17">
            <w:pPr>
              <w:spacing w:before="123"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63" w:type="dxa"/>
            <w:vAlign w:val="top"/>
          </w:tcPr>
          <w:p w14:paraId="4DF175B4">
            <w:pPr>
              <w:spacing w:before="12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9" w:type="dxa"/>
            <w:vAlign w:val="top"/>
          </w:tcPr>
          <w:p w14:paraId="40596804">
            <w:pPr>
              <w:spacing w:before="123"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69" w:type="dxa"/>
            <w:vAlign w:val="top"/>
          </w:tcPr>
          <w:p w14:paraId="02EC20FC">
            <w:pPr>
              <w:spacing w:before="12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34" w:type="dxa"/>
            <w:vAlign w:val="top"/>
          </w:tcPr>
          <w:p w14:paraId="1C995C1F">
            <w:pPr>
              <w:spacing w:before="123"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123" w:type="dxa"/>
            <w:tcBorders>
              <w:top w:val="nil"/>
              <w:bottom w:val="nil"/>
              <w:right w:val="single" w:color="000000" w:sz="6" w:space="0"/>
            </w:tcBorders>
            <w:vAlign w:val="top"/>
          </w:tcPr>
          <w:p w14:paraId="4B8013C8">
            <w:pPr>
              <w:rPr>
                <w:rFonts w:ascii="Arial"/>
                <w:sz w:val="21"/>
              </w:rPr>
            </w:pPr>
          </w:p>
        </w:tc>
      </w:tr>
      <w:tr w14:paraId="4DB4A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8" w:type="dxa"/>
            <w:vMerge w:val="continue"/>
            <w:tcBorders>
              <w:top w:val="nil"/>
              <w:left w:val="single" w:color="000000" w:sz="6" w:space="0"/>
              <w:bottom w:val="nil"/>
            </w:tcBorders>
            <w:vAlign w:val="top"/>
          </w:tcPr>
          <w:p w14:paraId="0C6A4E6E">
            <w:pPr>
              <w:rPr>
                <w:rFonts w:ascii="Arial"/>
                <w:sz w:val="21"/>
              </w:rPr>
            </w:pPr>
          </w:p>
        </w:tc>
        <w:tc>
          <w:tcPr>
            <w:tcW w:w="114" w:type="dxa"/>
            <w:tcBorders>
              <w:top w:val="nil"/>
              <w:bottom w:val="nil"/>
            </w:tcBorders>
            <w:vAlign w:val="top"/>
          </w:tcPr>
          <w:p w14:paraId="3E92E24F">
            <w:pPr>
              <w:rPr>
                <w:rFonts w:ascii="Arial"/>
                <w:sz w:val="21"/>
              </w:rPr>
            </w:pPr>
          </w:p>
        </w:tc>
        <w:tc>
          <w:tcPr>
            <w:tcW w:w="411" w:type="dxa"/>
            <w:vAlign w:val="top"/>
          </w:tcPr>
          <w:p w14:paraId="427A1E21">
            <w:pPr>
              <w:spacing w:before="215" w:line="192"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23" w:type="dxa"/>
            <w:vAlign w:val="top"/>
          </w:tcPr>
          <w:p w14:paraId="77B8A904">
            <w:pPr>
              <w:pStyle w:val="6"/>
              <w:spacing w:before="39" w:line="228" w:lineRule="auto"/>
              <w:ind w:left="143"/>
              <w:rPr>
                <w:sz w:val="20"/>
                <w:szCs w:val="20"/>
              </w:rPr>
            </w:pPr>
            <w:r>
              <w:rPr>
                <w:spacing w:val="7"/>
                <w:sz w:val="20"/>
                <w:szCs w:val="20"/>
              </w:rPr>
              <w:t>反应池搅</w:t>
            </w:r>
          </w:p>
          <w:p w14:paraId="2058FBBF">
            <w:pPr>
              <w:pStyle w:val="6"/>
              <w:spacing w:before="27" w:line="207" w:lineRule="auto"/>
              <w:ind w:left="353"/>
              <w:rPr>
                <w:sz w:val="20"/>
                <w:szCs w:val="20"/>
              </w:rPr>
            </w:pPr>
            <w:r>
              <w:rPr>
                <w:spacing w:val="3"/>
                <w:sz w:val="20"/>
                <w:szCs w:val="20"/>
              </w:rPr>
              <w:t>拌机</w:t>
            </w:r>
          </w:p>
        </w:tc>
        <w:tc>
          <w:tcPr>
            <w:tcW w:w="800" w:type="dxa"/>
            <w:vAlign w:val="top"/>
          </w:tcPr>
          <w:p w14:paraId="63645FDA">
            <w:pPr>
              <w:spacing w:before="21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7" w:type="dxa"/>
            <w:vAlign w:val="top"/>
          </w:tcPr>
          <w:p w14:paraId="4F291DDB">
            <w:pPr>
              <w:spacing w:before="212"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7" w:type="dxa"/>
            <w:vAlign w:val="top"/>
          </w:tcPr>
          <w:p w14:paraId="573502E8">
            <w:pPr>
              <w:spacing w:before="21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63" w:type="dxa"/>
            <w:vAlign w:val="top"/>
          </w:tcPr>
          <w:p w14:paraId="75FB3B42">
            <w:pPr>
              <w:spacing w:before="21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29" w:type="dxa"/>
            <w:vAlign w:val="top"/>
          </w:tcPr>
          <w:p w14:paraId="676833C4">
            <w:pPr>
              <w:spacing w:before="21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9" w:type="dxa"/>
            <w:vAlign w:val="top"/>
          </w:tcPr>
          <w:p w14:paraId="59E50BF2">
            <w:pPr>
              <w:spacing w:before="21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34" w:type="dxa"/>
            <w:vAlign w:val="top"/>
          </w:tcPr>
          <w:p w14:paraId="46B0680E">
            <w:pPr>
              <w:spacing w:before="212"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23" w:type="dxa"/>
            <w:tcBorders>
              <w:top w:val="nil"/>
              <w:bottom w:val="nil"/>
              <w:right w:val="single" w:color="000000" w:sz="6" w:space="0"/>
            </w:tcBorders>
            <w:vAlign w:val="top"/>
          </w:tcPr>
          <w:p w14:paraId="7F82266E">
            <w:pPr>
              <w:rPr>
                <w:rFonts w:ascii="Arial"/>
                <w:sz w:val="21"/>
              </w:rPr>
            </w:pPr>
          </w:p>
        </w:tc>
      </w:tr>
      <w:tr w14:paraId="59C61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8" w:type="dxa"/>
            <w:vMerge w:val="continue"/>
            <w:tcBorders>
              <w:top w:val="nil"/>
              <w:left w:val="single" w:color="000000" w:sz="6" w:space="0"/>
              <w:bottom w:val="nil"/>
            </w:tcBorders>
            <w:vAlign w:val="top"/>
          </w:tcPr>
          <w:p w14:paraId="30655CFC">
            <w:pPr>
              <w:rPr>
                <w:rFonts w:ascii="Arial"/>
                <w:sz w:val="21"/>
              </w:rPr>
            </w:pPr>
          </w:p>
        </w:tc>
        <w:tc>
          <w:tcPr>
            <w:tcW w:w="114" w:type="dxa"/>
            <w:tcBorders>
              <w:top w:val="nil"/>
              <w:bottom w:val="nil"/>
            </w:tcBorders>
            <w:vAlign w:val="top"/>
          </w:tcPr>
          <w:p w14:paraId="4948966B">
            <w:pPr>
              <w:rPr>
                <w:rFonts w:ascii="Arial"/>
                <w:sz w:val="21"/>
              </w:rPr>
            </w:pPr>
          </w:p>
        </w:tc>
        <w:tc>
          <w:tcPr>
            <w:tcW w:w="411" w:type="dxa"/>
            <w:vAlign w:val="top"/>
          </w:tcPr>
          <w:p w14:paraId="277B4AF8">
            <w:pPr>
              <w:spacing w:before="213"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23" w:type="dxa"/>
            <w:vAlign w:val="top"/>
          </w:tcPr>
          <w:p w14:paraId="7062696D">
            <w:pPr>
              <w:pStyle w:val="6"/>
              <w:spacing w:before="41" w:line="227" w:lineRule="auto"/>
              <w:ind w:left="144"/>
              <w:rPr>
                <w:sz w:val="20"/>
                <w:szCs w:val="20"/>
              </w:rPr>
            </w:pPr>
            <w:r>
              <w:rPr>
                <w:spacing w:val="6"/>
                <w:sz w:val="20"/>
                <w:szCs w:val="20"/>
              </w:rPr>
              <w:t>污泥浓缩</w:t>
            </w:r>
          </w:p>
          <w:p w14:paraId="7F1D5716">
            <w:pPr>
              <w:pStyle w:val="6"/>
              <w:spacing w:before="27" w:line="207" w:lineRule="auto"/>
              <w:ind w:left="142"/>
              <w:rPr>
                <w:sz w:val="20"/>
                <w:szCs w:val="20"/>
              </w:rPr>
            </w:pPr>
            <w:r>
              <w:rPr>
                <w:spacing w:val="7"/>
                <w:sz w:val="20"/>
                <w:szCs w:val="20"/>
              </w:rPr>
              <w:t>池搅拌机</w:t>
            </w:r>
          </w:p>
        </w:tc>
        <w:tc>
          <w:tcPr>
            <w:tcW w:w="800" w:type="dxa"/>
            <w:vAlign w:val="top"/>
          </w:tcPr>
          <w:p w14:paraId="02BD5FD9">
            <w:pPr>
              <w:spacing w:before="21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7" w:type="dxa"/>
            <w:vAlign w:val="top"/>
          </w:tcPr>
          <w:p w14:paraId="33E426D2">
            <w:pPr>
              <w:spacing w:before="214"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7" w:type="dxa"/>
            <w:vAlign w:val="top"/>
          </w:tcPr>
          <w:p w14:paraId="75927B27">
            <w:pPr>
              <w:spacing w:before="21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63" w:type="dxa"/>
            <w:vAlign w:val="top"/>
          </w:tcPr>
          <w:p w14:paraId="74E41B16">
            <w:pPr>
              <w:spacing w:before="21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9" w:type="dxa"/>
            <w:vAlign w:val="top"/>
          </w:tcPr>
          <w:p w14:paraId="6F3A5E28">
            <w:pPr>
              <w:spacing w:before="21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9" w:type="dxa"/>
            <w:vAlign w:val="top"/>
          </w:tcPr>
          <w:p w14:paraId="64C25B77">
            <w:pPr>
              <w:spacing w:before="214"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34" w:type="dxa"/>
            <w:vAlign w:val="top"/>
          </w:tcPr>
          <w:p w14:paraId="7E93EDC6">
            <w:pPr>
              <w:spacing w:before="213"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3" w:type="dxa"/>
            <w:tcBorders>
              <w:top w:val="nil"/>
              <w:bottom w:val="nil"/>
              <w:right w:val="single" w:color="000000" w:sz="6" w:space="0"/>
            </w:tcBorders>
            <w:vAlign w:val="top"/>
          </w:tcPr>
          <w:p w14:paraId="62449922">
            <w:pPr>
              <w:rPr>
                <w:rFonts w:ascii="Arial"/>
                <w:sz w:val="21"/>
              </w:rPr>
            </w:pPr>
          </w:p>
        </w:tc>
      </w:tr>
      <w:tr w14:paraId="4107D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8" w:type="dxa"/>
            <w:vMerge w:val="continue"/>
            <w:tcBorders>
              <w:top w:val="nil"/>
              <w:left w:val="single" w:color="000000" w:sz="6" w:space="0"/>
              <w:bottom w:val="nil"/>
            </w:tcBorders>
            <w:vAlign w:val="top"/>
          </w:tcPr>
          <w:p w14:paraId="3967ABAA">
            <w:pPr>
              <w:rPr>
                <w:rFonts w:ascii="Arial"/>
                <w:sz w:val="21"/>
              </w:rPr>
            </w:pPr>
          </w:p>
        </w:tc>
        <w:tc>
          <w:tcPr>
            <w:tcW w:w="114" w:type="dxa"/>
            <w:tcBorders>
              <w:top w:val="nil"/>
              <w:bottom w:val="nil"/>
            </w:tcBorders>
            <w:vAlign w:val="top"/>
          </w:tcPr>
          <w:p w14:paraId="58A1408E">
            <w:pPr>
              <w:rPr>
                <w:rFonts w:ascii="Arial"/>
                <w:sz w:val="21"/>
              </w:rPr>
            </w:pPr>
          </w:p>
        </w:tc>
        <w:tc>
          <w:tcPr>
            <w:tcW w:w="411" w:type="dxa"/>
            <w:vAlign w:val="top"/>
          </w:tcPr>
          <w:p w14:paraId="151E2C17">
            <w:pPr>
              <w:spacing w:before="217" w:line="192"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23" w:type="dxa"/>
            <w:vAlign w:val="top"/>
          </w:tcPr>
          <w:p w14:paraId="6E21B913">
            <w:pPr>
              <w:pStyle w:val="6"/>
              <w:spacing w:before="44" w:line="228" w:lineRule="auto"/>
              <w:ind w:left="142"/>
              <w:rPr>
                <w:sz w:val="20"/>
                <w:szCs w:val="20"/>
              </w:rPr>
            </w:pPr>
            <w:r>
              <w:rPr>
                <w:spacing w:val="7"/>
                <w:sz w:val="20"/>
                <w:szCs w:val="20"/>
              </w:rPr>
              <w:t>沉淀池排</w:t>
            </w:r>
          </w:p>
          <w:p w14:paraId="1335220D">
            <w:pPr>
              <w:pStyle w:val="6"/>
              <w:spacing w:before="23" w:line="207" w:lineRule="auto"/>
              <w:ind w:left="353"/>
              <w:rPr>
                <w:sz w:val="20"/>
                <w:szCs w:val="20"/>
              </w:rPr>
            </w:pPr>
            <w:r>
              <w:rPr>
                <w:spacing w:val="3"/>
                <w:sz w:val="20"/>
                <w:szCs w:val="20"/>
              </w:rPr>
              <w:t>泥泵</w:t>
            </w:r>
          </w:p>
        </w:tc>
        <w:tc>
          <w:tcPr>
            <w:tcW w:w="800" w:type="dxa"/>
            <w:vAlign w:val="top"/>
          </w:tcPr>
          <w:p w14:paraId="02E888D1">
            <w:pPr>
              <w:spacing w:before="21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7" w:type="dxa"/>
            <w:vAlign w:val="top"/>
          </w:tcPr>
          <w:p w14:paraId="3F74809A">
            <w:pPr>
              <w:spacing w:before="214"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7" w:type="dxa"/>
            <w:vAlign w:val="top"/>
          </w:tcPr>
          <w:p w14:paraId="50595867">
            <w:pPr>
              <w:spacing w:before="214"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63" w:type="dxa"/>
            <w:vAlign w:val="top"/>
          </w:tcPr>
          <w:p w14:paraId="6F3FE6C0">
            <w:pPr>
              <w:spacing w:before="21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9" w:type="dxa"/>
            <w:vAlign w:val="top"/>
          </w:tcPr>
          <w:p w14:paraId="720FF1C5">
            <w:pPr>
              <w:spacing w:before="214"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9" w:type="dxa"/>
            <w:vAlign w:val="top"/>
          </w:tcPr>
          <w:p w14:paraId="498E8821">
            <w:pPr>
              <w:spacing w:before="214"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34" w:type="dxa"/>
            <w:vAlign w:val="top"/>
          </w:tcPr>
          <w:p w14:paraId="272C39BA">
            <w:pPr>
              <w:spacing w:before="214" w:line="195"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3" w:type="dxa"/>
            <w:tcBorders>
              <w:top w:val="nil"/>
              <w:bottom w:val="nil"/>
              <w:right w:val="single" w:color="000000" w:sz="6" w:space="0"/>
            </w:tcBorders>
            <w:vAlign w:val="top"/>
          </w:tcPr>
          <w:p w14:paraId="1435C391">
            <w:pPr>
              <w:rPr>
                <w:rFonts w:ascii="Arial"/>
                <w:sz w:val="21"/>
              </w:rPr>
            </w:pPr>
          </w:p>
        </w:tc>
      </w:tr>
      <w:tr w14:paraId="64F47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2DF16B6E">
            <w:pPr>
              <w:rPr>
                <w:rFonts w:ascii="Arial"/>
                <w:sz w:val="21"/>
              </w:rPr>
            </w:pPr>
          </w:p>
        </w:tc>
        <w:tc>
          <w:tcPr>
            <w:tcW w:w="114" w:type="dxa"/>
            <w:tcBorders>
              <w:top w:val="nil"/>
              <w:bottom w:val="nil"/>
            </w:tcBorders>
            <w:vAlign w:val="top"/>
          </w:tcPr>
          <w:p w14:paraId="3DC71AD5">
            <w:pPr>
              <w:rPr>
                <w:rFonts w:ascii="Arial"/>
                <w:sz w:val="21"/>
              </w:rPr>
            </w:pPr>
          </w:p>
        </w:tc>
        <w:tc>
          <w:tcPr>
            <w:tcW w:w="411" w:type="dxa"/>
            <w:vAlign w:val="top"/>
          </w:tcPr>
          <w:p w14:paraId="5DC3ECAA">
            <w:pPr>
              <w:spacing w:before="12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23" w:type="dxa"/>
            <w:vAlign w:val="top"/>
          </w:tcPr>
          <w:p w14:paraId="62C6A8BA">
            <w:pPr>
              <w:pStyle w:val="6"/>
              <w:spacing w:before="92" w:line="227" w:lineRule="auto"/>
              <w:ind w:left="249"/>
              <w:rPr>
                <w:sz w:val="20"/>
                <w:szCs w:val="20"/>
              </w:rPr>
            </w:pPr>
            <w:r>
              <w:rPr>
                <w:spacing w:val="6"/>
                <w:sz w:val="20"/>
                <w:szCs w:val="20"/>
              </w:rPr>
              <w:t>压滤机</w:t>
            </w:r>
          </w:p>
        </w:tc>
        <w:tc>
          <w:tcPr>
            <w:tcW w:w="800" w:type="dxa"/>
            <w:vAlign w:val="top"/>
          </w:tcPr>
          <w:p w14:paraId="5B747403">
            <w:pPr>
              <w:spacing w:before="12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67" w:type="dxa"/>
            <w:vAlign w:val="top"/>
          </w:tcPr>
          <w:p w14:paraId="4D74A6EF">
            <w:pPr>
              <w:spacing w:before="12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7" w:type="dxa"/>
            <w:vAlign w:val="top"/>
          </w:tcPr>
          <w:p w14:paraId="48A75ED7">
            <w:pPr>
              <w:spacing w:before="12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963" w:type="dxa"/>
            <w:vAlign w:val="top"/>
          </w:tcPr>
          <w:p w14:paraId="23D814C2">
            <w:pPr>
              <w:spacing w:before="128"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9" w:type="dxa"/>
            <w:vAlign w:val="top"/>
          </w:tcPr>
          <w:p w14:paraId="21A0128A">
            <w:pPr>
              <w:spacing w:before="12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69" w:type="dxa"/>
            <w:vAlign w:val="top"/>
          </w:tcPr>
          <w:p w14:paraId="03192179">
            <w:pPr>
              <w:spacing w:before="12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34" w:type="dxa"/>
            <w:vAlign w:val="top"/>
          </w:tcPr>
          <w:p w14:paraId="5077F2BC">
            <w:pPr>
              <w:spacing w:before="12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123" w:type="dxa"/>
            <w:tcBorders>
              <w:top w:val="nil"/>
              <w:bottom w:val="nil"/>
              <w:right w:val="single" w:color="000000" w:sz="6" w:space="0"/>
            </w:tcBorders>
            <w:vAlign w:val="top"/>
          </w:tcPr>
          <w:p w14:paraId="00A38200">
            <w:pPr>
              <w:rPr>
                <w:rFonts w:ascii="Arial"/>
                <w:sz w:val="21"/>
              </w:rPr>
            </w:pPr>
          </w:p>
        </w:tc>
      </w:tr>
      <w:tr w14:paraId="0CC3E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8" w:type="dxa"/>
            <w:vMerge w:val="continue"/>
            <w:tcBorders>
              <w:top w:val="nil"/>
              <w:left w:val="single" w:color="000000" w:sz="6" w:space="0"/>
              <w:bottom w:val="nil"/>
            </w:tcBorders>
            <w:vAlign w:val="top"/>
          </w:tcPr>
          <w:p w14:paraId="0F2A2A6B">
            <w:pPr>
              <w:rPr>
                <w:rFonts w:ascii="Arial"/>
                <w:sz w:val="21"/>
              </w:rPr>
            </w:pPr>
          </w:p>
        </w:tc>
        <w:tc>
          <w:tcPr>
            <w:tcW w:w="114" w:type="dxa"/>
            <w:tcBorders>
              <w:top w:val="nil"/>
              <w:bottom w:val="nil"/>
            </w:tcBorders>
            <w:vAlign w:val="top"/>
          </w:tcPr>
          <w:p w14:paraId="683131A2">
            <w:pPr>
              <w:rPr>
                <w:rFonts w:ascii="Arial"/>
                <w:sz w:val="21"/>
              </w:rPr>
            </w:pPr>
          </w:p>
        </w:tc>
        <w:tc>
          <w:tcPr>
            <w:tcW w:w="411" w:type="dxa"/>
            <w:vAlign w:val="top"/>
          </w:tcPr>
          <w:p w14:paraId="0A6717E7">
            <w:pPr>
              <w:spacing w:before="126"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23" w:type="dxa"/>
            <w:vAlign w:val="top"/>
          </w:tcPr>
          <w:p w14:paraId="33E8DDEF">
            <w:pPr>
              <w:pStyle w:val="6"/>
              <w:spacing w:before="90" w:line="227" w:lineRule="auto"/>
              <w:ind w:left="255"/>
              <w:rPr>
                <w:sz w:val="20"/>
                <w:szCs w:val="20"/>
              </w:rPr>
            </w:pPr>
            <w:r>
              <w:rPr>
                <w:spacing w:val="4"/>
                <w:sz w:val="20"/>
                <w:szCs w:val="20"/>
              </w:rPr>
              <w:t>空压机</w:t>
            </w:r>
          </w:p>
        </w:tc>
        <w:tc>
          <w:tcPr>
            <w:tcW w:w="800" w:type="dxa"/>
            <w:vAlign w:val="top"/>
          </w:tcPr>
          <w:p w14:paraId="274949C8">
            <w:pPr>
              <w:spacing w:before="126"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67" w:type="dxa"/>
            <w:vAlign w:val="top"/>
          </w:tcPr>
          <w:p w14:paraId="4FB62249">
            <w:pPr>
              <w:spacing w:before="126"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7" w:type="dxa"/>
            <w:vAlign w:val="top"/>
          </w:tcPr>
          <w:p w14:paraId="355B3058">
            <w:pPr>
              <w:spacing w:before="126"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963" w:type="dxa"/>
            <w:vAlign w:val="top"/>
          </w:tcPr>
          <w:p w14:paraId="44F9A873">
            <w:pPr>
              <w:spacing w:before="12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9" w:type="dxa"/>
            <w:vAlign w:val="top"/>
          </w:tcPr>
          <w:p w14:paraId="3EF74E2D">
            <w:pPr>
              <w:spacing w:before="126"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69" w:type="dxa"/>
            <w:vAlign w:val="top"/>
          </w:tcPr>
          <w:p w14:paraId="402C4800">
            <w:pPr>
              <w:spacing w:before="126"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34" w:type="dxa"/>
            <w:vAlign w:val="top"/>
          </w:tcPr>
          <w:p w14:paraId="666E51D1">
            <w:pPr>
              <w:spacing w:before="126"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176</w:t>
            </w:r>
          </w:p>
        </w:tc>
        <w:tc>
          <w:tcPr>
            <w:tcW w:w="123" w:type="dxa"/>
            <w:tcBorders>
              <w:top w:val="nil"/>
              <w:bottom w:val="nil"/>
              <w:right w:val="single" w:color="000000" w:sz="6" w:space="0"/>
            </w:tcBorders>
            <w:vAlign w:val="top"/>
          </w:tcPr>
          <w:p w14:paraId="5901BF55">
            <w:pPr>
              <w:rPr>
                <w:rFonts w:ascii="Arial"/>
                <w:sz w:val="21"/>
              </w:rPr>
            </w:pPr>
          </w:p>
        </w:tc>
      </w:tr>
      <w:tr w14:paraId="440D3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78" w:type="dxa"/>
            <w:vMerge w:val="continue"/>
            <w:tcBorders>
              <w:top w:val="nil"/>
              <w:left w:val="single" w:color="000000" w:sz="6" w:space="0"/>
              <w:bottom w:val="nil"/>
            </w:tcBorders>
            <w:vAlign w:val="top"/>
          </w:tcPr>
          <w:p w14:paraId="65C5F6FA">
            <w:pPr>
              <w:rPr>
                <w:rFonts w:ascii="Arial"/>
                <w:sz w:val="21"/>
              </w:rPr>
            </w:pPr>
          </w:p>
        </w:tc>
        <w:tc>
          <w:tcPr>
            <w:tcW w:w="114" w:type="dxa"/>
            <w:tcBorders>
              <w:top w:val="nil"/>
              <w:bottom w:val="nil"/>
            </w:tcBorders>
            <w:vAlign w:val="top"/>
          </w:tcPr>
          <w:p w14:paraId="4D0C9C52">
            <w:pPr>
              <w:rPr>
                <w:rFonts w:ascii="Arial"/>
                <w:sz w:val="21"/>
              </w:rPr>
            </w:pPr>
          </w:p>
        </w:tc>
        <w:tc>
          <w:tcPr>
            <w:tcW w:w="411" w:type="dxa"/>
            <w:vAlign w:val="top"/>
          </w:tcPr>
          <w:p w14:paraId="063D5F60">
            <w:pPr>
              <w:spacing w:before="6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21AD8917">
            <w:pPr>
              <w:spacing w:before="55" w:line="177"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23" w:type="dxa"/>
            <w:vAlign w:val="top"/>
          </w:tcPr>
          <w:p w14:paraId="4A90BECA">
            <w:pPr>
              <w:pStyle w:val="6"/>
              <w:spacing w:before="148" w:line="227" w:lineRule="auto"/>
              <w:ind w:left="159"/>
              <w:rPr>
                <w:sz w:val="20"/>
                <w:szCs w:val="20"/>
              </w:rPr>
            </w:pPr>
            <w:r>
              <w:rPr>
                <w:spacing w:val="3"/>
                <w:sz w:val="20"/>
                <w:szCs w:val="20"/>
              </w:rPr>
              <w:t>附属电气</w:t>
            </w:r>
          </w:p>
        </w:tc>
        <w:tc>
          <w:tcPr>
            <w:tcW w:w="800" w:type="dxa"/>
            <w:vAlign w:val="top"/>
          </w:tcPr>
          <w:p w14:paraId="6BD975B1">
            <w:pPr>
              <w:rPr>
                <w:rFonts w:ascii="Arial"/>
                <w:sz w:val="21"/>
              </w:rPr>
            </w:pPr>
          </w:p>
        </w:tc>
        <w:tc>
          <w:tcPr>
            <w:tcW w:w="867" w:type="dxa"/>
            <w:vAlign w:val="top"/>
          </w:tcPr>
          <w:p w14:paraId="669A4BED">
            <w:pPr>
              <w:rPr>
                <w:rFonts w:ascii="Arial"/>
                <w:sz w:val="21"/>
              </w:rPr>
            </w:pPr>
          </w:p>
        </w:tc>
        <w:tc>
          <w:tcPr>
            <w:tcW w:w="1077" w:type="dxa"/>
            <w:vAlign w:val="top"/>
          </w:tcPr>
          <w:p w14:paraId="22CDCB26">
            <w:pPr>
              <w:rPr>
                <w:rFonts w:ascii="Arial"/>
                <w:sz w:val="21"/>
              </w:rPr>
            </w:pPr>
          </w:p>
        </w:tc>
        <w:tc>
          <w:tcPr>
            <w:tcW w:w="963" w:type="dxa"/>
            <w:vAlign w:val="top"/>
          </w:tcPr>
          <w:p w14:paraId="3E26C3D0">
            <w:pPr>
              <w:spacing w:before="18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9" w:type="dxa"/>
            <w:vAlign w:val="top"/>
          </w:tcPr>
          <w:p w14:paraId="5366B170">
            <w:pPr>
              <w:spacing w:before="184"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69" w:type="dxa"/>
            <w:vAlign w:val="top"/>
          </w:tcPr>
          <w:p w14:paraId="68DC8433">
            <w:pPr>
              <w:spacing w:before="185"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34" w:type="dxa"/>
            <w:vAlign w:val="top"/>
          </w:tcPr>
          <w:p w14:paraId="01D62D09">
            <w:pPr>
              <w:spacing w:before="184"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23" w:type="dxa"/>
            <w:tcBorders>
              <w:top w:val="nil"/>
              <w:bottom w:val="nil"/>
              <w:right w:val="single" w:color="000000" w:sz="6" w:space="0"/>
            </w:tcBorders>
            <w:vAlign w:val="top"/>
          </w:tcPr>
          <w:p w14:paraId="55E23A6C">
            <w:pPr>
              <w:rPr>
                <w:rFonts w:ascii="Arial"/>
                <w:sz w:val="21"/>
              </w:rPr>
            </w:pPr>
          </w:p>
        </w:tc>
      </w:tr>
      <w:tr w14:paraId="4EEDB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5987C9B7">
            <w:pPr>
              <w:rPr>
                <w:rFonts w:ascii="Arial"/>
                <w:sz w:val="21"/>
              </w:rPr>
            </w:pPr>
          </w:p>
        </w:tc>
        <w:tc>
          <w:tcPr>
            <w:tcW w:w="114" w:type="dxa"/>
            <w:tcBorders>
              <w:top w:val="nil"/>
              <w:bottom w:val="nil"/>
            </w:tcBorders>
            <w:vAlign w:val="top"/>
          </w:tcPr>
          <w:p w14:paraId="236995C9">
            <w:pPr>
              <w:rPr>
                <w:rFonts w:ascii="Arial"/>
                <w:sz w:val="21"/>
              </w:rPr>
            </w:pPr>
          </w:p>
        </w:tc>
        <w:tc>
          <w:tcPr>
            <w:tcW w:w="7039" w:type="dxa"/>
            <w:gridSpan w:val="8"/>
            <w:vAlign w:val="top"/>
          </w:tcPr>
          <w:p w14:paraId="2E4842EA">
            <w:pPr>
              <w:pStyle w:val="6"/>
              <w:spacing w:before="93" w:line="228" w:lineRule="auto"/>
              <w:ind w:left="3007"/>
              <w:rPr>
                <w:rFonts w:ascii="Times New Roman" w:hAnsi="Times New Roman" w:eastAsia="Times New Roman" w:cs="Times New Roman"/>
                <w:sz w:val="20"/>
                <w:szCs w:val="20"/>
              </w:rPr>
            </w:pPr>
            <w:r>
              <w:rPr>
                <w:spacing w:val="5"/>
                <w:sz w:val="20"/>
                <w:szCs w:val="20"/>
              </w:rPr>
              <w:t>总耗电量</w:t>
            </w:r>
            <w:r>
              <w:rPr>
                <w:spacing w:val="-41"/>
                <w:sz w:val="20"/>
                <w:szCs w:val="20"/>
              </w:rPr>
              <w:t xml:space="preserve"> </w:t>
            </w:r>
            <w:r>
              <w:rPr>
                <w:rFonts w:ascii="Times New Roman" w:hAnsi="Times New Roman" w:eastAsia="Times New Roman" w:cs="Times New Roman"/>
                <w:spacing w:val="5"/>
                <w:sz w:val="20"/>
                <w:szCs w:val="20"/>
              </w:rPr>
              <w:t>A</w:t>
            </w:r>
          </w:p>
        </w:tc>
        <w:tc>
          <w:tcPr>
            <w:tcW w:w="934" w:type="dxa"/>
            <w:vAlign w:val="top"/>
          </w:tcPr>
          <w:p w14:paraId="7DB94D52">
            <w:pPr>
              <w:spacing w:before="129"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645.2</w:t>
            </w:r>
          </w:p>
        </w:tc>
        <w:tc>
          <w:tcPr>
            <w:tcW w:w="123" w:type="dxa"/>
            <w:tcBorders>
              <w:top w:val="nil"/>
              <w:bottom w:val="nil"/>
              <w:right w:val="single" w:color="000000" w:sz="6" w:space="0"/>
            </w:tcBorders>
            <w:vAlign w:val="top"/>
          </w:tcPr>
          <w:p w14:paraId="78CBFB7E">
            <w:pPr>
              <w:rPr>
                <w:rFonts w:ascii="Arial"/>
                <w:sz w:val="21"/>
              </w:rPr>
            </w:pPr>
          </w:p>
        </w:tc>
      </w:tr>
      <w:tr w14:paraId="48FF5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330488A2">
            <w:pPr>
              <w:rPr>
                <w:rFonts w:ascii="Arial"/>
                <w:sz w:val="21"/>
              </w:rPr>
            </w:pPr>
          </w:p>
        </w:tc>
        <w:tc>
          <w:tcPr>
            <w:tcW w:w="114" w:type="dxa"/>
            <w:tcBorders>
              <w:top w:val="nil"/>
              <w:bottom w:val="nil"/>
            </w:tcBorders>
            <w:vAlign w:val="top"/>
          </w:tcPr>
          <w:p w14:paraId="07CC1D3F">
            <w:pPr>
              <w:rPr>
                <w:rFonts w:ascii="Arial"/>
                <w:sz w:val="21"/>
              </w:rPr>
            </w:pPr>
          </w:p>
        </w:tc>
        <w:tc>
          <w:tcPr>
            <w:tcW w:w="7039" w:type="dxa"/>
            <w:gridSpan w:val="8"/>
            <w:vAlign w:val="top"/>
          </w:tcPr>
          <w:p w14:paraId="0963B6C0">
            <w:pPr>
              <w:pStyle w:val="6"/>
              <w:spacing w:before="94" w:line="226" w:lineRule="auto"/>
              <w:ind w:left="2532"/>
              <w:rPr>
                <w:sz w:val="20"/>
                <w:szCs w:val="20"/>
              </w:rPr>
            </w:pPr>
            <w:r>
              <w:rPr>
                <w:spacing w:val="4"/>
                <w:sz w:val="20"/>
                <w:szCs w:val="20"/>
              </w:rPr>
              <w:t>电费单价</w:t>
            </w:r>
            <w:r>
              <w:rPr>
                <w:spacing w:val="-36"/>
                <w:sz w:val="20"/>
                <w:szCs w:val="20"/>
              </w:rPr>
              <w:t xml:space="preserve"> </w:t>
            </w:r>
            <w:r>
              <w:rPr>
                <w:rFonts w:ascii="Times New Roman" w:hAnsi="Times New Roman" w:eastAsia="Times New Roman" w:cs="Times New Roman"/>
                <w:spacing w:val="4"/>
                <w:sz w:val="20"/>
                <w:szCs w:val="20"/>
              </w:rPr>
              <w:t>a</w:t>
            </w:r>
            <w:r>
              <w:rPr>
                <w:spacing w:val="4"/>
                <w:sz w:val="20"/>
                <w:szCs w:val="20"/>
              </w:rPr>
              <w:t>（元</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kwh</w:t>
            </w:r>
            <w:r>
              <w:rPr>
                <w:spacing w:val="4"/>
                <w:sz w:val="20"/>
                <w:szCs w:val="20"/>
              </w:rPr>
              <w:t>）</w:t>
            </w:r>
          </w:p>
        </w:tc>
        <w:tc>
          <w:tcPr>
            <w:tcW w:w="934" w:type="dxa"/>
            <w:vAlign w:val="top"/>
          </w:tcPr>
          <w:p w14:paraId="6670B1FF">
            <w:pPr>
              <w:spacing w:before="129"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23" w:type="dxa"/>
            <w:tcBorders>
              <w:top w:val="nil"/>
              <w:bottom w:val="nil"/>
              <w:right w:val="single" w:color="000000" w:sz="6" w:space="0"/>
            </w:tcBorders>
            <w:vAlign w:val="top"/>
          </w:tcPr>
          <w:p w14:paraId="1F76F215">
            <w:pPr>
              <w:rPr>
                <w:rFonts w:ascii="Arial"/>
                <w:sz w:val="21"/>
              </w:rPr>
            </w:pPr>
          </w:p>
        </w:tc>
      </w:tr>
      <w:tr w14:paraId="21E5F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8" w:type="dxa"/>
            <w:vMerge w:val="continue"/>
            <w:tcBorders>
              <w:top w:val="nil"/>
              <w:left w:val="single" w:color="000000" w:sz="6" w:space="0"/>
              <w:bottom w:val="nil"/>
            </w:tcBorders>
            <w:vAlign w:val="top"/>
          </w:tcPr>
          <w:p w14:paraId="1D9186DB">
            <w:pPr>
              <w:rPr>
                <w:rFonts w:ascii="Arial"/>
                <w:sz w:val="21"/>
              </w:rPr>
            </w:pPr>
          </w:p>
        </w:tc>
        <w:tc>
          <w:tcPr>
            <w:tcW w:w="114" w:type="dxa"/>
            <w:tcBorders>
              <w:top w:val="nil"/>
              <w:bottom w:val="nil"/>
            </w:tcBorders>
            <w:vAlign w:val="top"/>
          </w:tcPr>
          <w:p w14:paraId="1DA1A66D">
            <w:pPr>
              <w:rPr>
                <w:rFonts w:ascii="Arial"/>
                <w:sz w:val="21"/>
              </w:rPr>
            </w:pPr>
          </w:p>
        </w:tc>
        <w:tc>
          <w:tcPr>
            <w:tcW w:w="7039" w:type="dxa"/>
            <w:gridSpan w:val="8"/>
            <w:vAlign w:val="top"/>
          </w:tcPr>
          <w:p w14:paraId="1F71B88D">
            <w:pPr>
              <w:pStyle w:val="6"/>
              <w:spacing w:before="94" w:line="221" w:lineRule="auto"/>
              <w:ind w:left="2778"/>
              <w:rPr>
                <w:rFonts w:ascii="Times New Roman" w:hAnsi="Times New Roman" w:eastAsia="Times New Roman" w:cs="Times New Roman"/>
                <w:sz w:val="20"/>
                <w:szCs w:val="20"/>
              </w:rPr>
            </w:pPr>
            <w:r>
              <w:rPr>
                <w:spacing w:val="6"/>
                <w:sz w:val="20"/>
                <w:szCs w:val="20"/>
              </w:rPr>
              <w:t>每天电费（元</w:t>
            </w:r>
            <w:r>
              <w:rPr>
                <w:rFonts w:ascii="Times New Roman" w:hAnsi="Times New Roman" w:eastAsia="Times New Roman" w:cs="Times New Roman"/>
                <w:spacing w:val="6"/>
                <w:sz w:val="20"/>
                <w:szCs w:val="20"/>
              </w:rPr>
              <w:t>/d)</w:t>
            </w:r>
          </w:p>
        </w:tc>
        <w:tc>
          <w:tcPr>
            <w:tcW w:w="934" w:type="dxa"/>
            <w:vAlign w:val="top"/>
          </w:tcPr>
          <w:p w14:paraId="19E5014A">
            <w:pPr>
              <w:spacing w:before="13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516.16</w:t>
            </w:r>
          </w:p>
        </w:tc>
        <w:tc>
          <w:tcPr>
            <w:tcW w:w="123" w:type="dxa"/>
            <w:tcBorders>
              <w:top w:val="nil"/>
              <w:bottom w:val="nil"/>
              <w:right w:val="single" w:color="000000" w:sz="6" w:space="0"/>
            </w:tcBorders>
            <w:vAlign w:val="top"/>
          </w:tcPr>
          <w:p w14:paraId="73D948AD">
            <w:pPr>
              <w:rPr>
                <w:rFonts w:ascii="Arial"/>
                <w:sz w:val="21"/>
              </w:rPr>
            </w:pPr>
          </w:p>
        </w:tc>
      </w:tr>
      <w:tr w14:paraId="1897B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778" w:type="dxa"/>
            <w:vMerge w:val="continue"/>
            <w:tcBorders>
              <w:top w:val="nil"/>
              <w:left w:val="single" w:color="000000" w:sz="6" w:space="0"/>
              <w:bottom w:val="single" w:color="000000" w:sz="6" w:space="0"/>
            </w:tcBorders>
            <w:vAlign w:val="top"/>
          </w:tcPr>
          <w:p w14:paraId="0A89FC8D">
            <w:pPr>
              <w:rPr>
                <w:rFonts w:ascii="Arial"/>
                <w:sz w:val="21"/>
              </w:rPr>
            </w:pPr>
          </w:p>
        </w:tc>
        <w:tc>
          <w:tcPr>
            <w:tcW w:w="114" w:type="dxa"/>
            <w:tcBorders>
              <w:top w:val="nil"/>
              <w:bottom w:val="single" w:color="000000" w:sz="6" w:space="0"/>
            </w:tcBorders>
            <w:vAlign w:val="top"/>
          </w:tcPr>
          <w:p w14:paraId="734E7BFB">
            <w:pPr>
              <w:rPr>
                <w:rFonts w:ascii="Arial"/>
                <w:sz w:val="21"/>
              </w:rPr>
            </w:pPr>
          </w:p>
        </w:tc>
        <w:tc>
          <w:tcPr>
            <w:tcW w:w="7039" w:type="dxa"/>
            <w:gridSpan w:val="8"/>
            <w:tcBorders>
              <w:bottom w:val="single" w:color="000000" w:sz="6" w:space="0"/>
            </w:tcBorders>
            <w:vAlign w:val="top"/>
          </w:tcPr>
          <w:p w14:paraId="3C3B0CCE">
            <w:pPr>
              <w:pStyle w:val="6"/>
              <w:spacing w:before="94" w:line="221" w:lineRule="auto"/>
              <w:ind w:left="1273"/>
              <w:rPr>
                <w:rFonts w:ascii="Times New Roman" w:hAnsi="Times New Roman" w:eastAsia="Times New Roman" w:cs="Times New Roman"/>
                <w:sz w:val="20"/>
                <w:szCs w:val="20"/>
              </w:rPr>
            </w:pPr>
            <w:r>
              <w:rPr>
                <w:spacing w:val="5"/>
                <w:sz w:val="20"/>
                <w:szCs w:val="20"/>
              </w:rPr>
              <w:t>按照</w:t>
            </w:r>
            <w:r>
              <w:rPr>
                <w:spacing w:val="-39"/>
                <w:sz w:val="20"/>
                <w:szCs w:val="20"/>
              </w:rPr>
              <w:t xml:space="preserve"> </w:t>
            </w:r>
            <w:r>
              <w:rPr>
                <w:rFonts w:ascii="Times New Roman" w:hAnsi="Times New Roman" w:eastAsia="Times New Roman" w:cs="Times New Roman"/>
                <w:spacing w:val="5"/>
                <w:sz w:val="20"/>
                <w:szCs w:val="20"/>
              </w:rPr>
              <w:t>600m3/d</w:t>
            </w:r>
            <w:r>
              <w:rPr>
                <w:rFonts w:ascii="Times New Roman" w:hAnsi="Times New Roman" w:eastAsia="Times New Roman" w:cs="Times New Roman"/>
                <w:spacing w:val="19"/>
                <w:w w:val="101"/>
                <w:sz w:val="20"/>
                <w:szCs w:val="20"/>
              </w:rPr>
              <w:t xml:space="preserve"> </w:t>
            </w:r>
            <w:r>
              <w:rPr>
                <w:spacing w:val="5"/>
                <w:sz w:val="20"/>
                <w:szCs w:val="20"/>
              </w:rPr>
              <w:t>负荷计算，折合吨水电费（元</w:t>
            </w:r>
            <w:r>
              <w:rPr>
                <w:rFonts w:ascii="Times New Roman" w:hAnsi="Times New Roman" w:eastAsia="Times New Roman" w:cs="Times New Roman"/>
                <w:spacing w:val="5"/>
                <w:sz w:val="20"/>
                <w:szCs w:val="20"/>
              </w:rPr>
              <w:t>/</w:t>
            </w:r>
            <w:r>
              <w:rPr>
                <w:spacing w:val="5"/>
                <w:sz w:val="20"/>
                <w:szCs w:val="20"/>
              </w:rPr>
              <w:t>吨水</w:t>
            </w:r>
            <w:r>
              <w:rPr>
                <w:rFonts w:ascii="Times New Roman" w:hAnsi="Times New Roman" w:eastAsia="Times New Roman" w:cs="Times New Roman"/>
                <w:spacing w:val="5"/>
                <w:sz w:val="20"/>
                <w:szCs w:val="20"/>
              </w:rPr>
              <w:t>)</w:t>
            </w:r>
          </w:p>
        </w:tc>
        <w:tc>
          <w:tcPr>
            <w:tcW w:w="934" w:type="dxa"/>
            <w:tcBorders>
              <w:bottom w:val="single" w:color="000000" w:sz="6" w:space="0"/>
            </w:tcBorders>
            <w:vAlign w:val="top"/>
          </w:tcPr>
          <w:p w14:paraId="7135E99B">
            <w:pPr>
              <w:spacing w:before="13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123" w:type="dxa"/>
            <w:tcBorders>
              <w:top w:val="nil"/>
              <w:bottom w:val="single" w:color="000000" w:sz="6" w:space="0"/>
              <w:right w:val="single" w:color="000000" w:sz="6" w:space="0"/>
            </w:tcBorders>
            <w:vAlign w:val="top"/>
          </w:tcPr>
          <w:p w14:paraId="3ACF7D27">
            <w:pPr>
              <w:rPr>
                <w:rFonts w:ascii="Arial"/>
                <w:sz w:val="21"/>
              </w:rPr>
            </w:pPr>
          </w:p>
        </w:tc>
      </w:tr>
    </w:tbl>
    <w:p w14:paraId="04FD70B2">
      <w:pPr>
        <w:rPr>
          <w:rFonts w:ascii="Arial"/>
          <w:sz w:val="21"/>
        </w:rPr>
      </w:pPr>
    </w:p>
    <w:p w14:paraId="373089B7">
      <w:pPr>
        <w:rPr>
          <w:rFonts w:ascii="Arial" w:hAnsi="Arial" w:eastAsia="Arial" w:cs="Arial"/>
          <w:sz w:val="21"/>
          <w:szCs w:val="21"/>
        </w:rPr>
        <w:sectPr>
          <w:footerReference r:id="rId39" w:type="default"/>
          <w:pgSz w:w="11906" w:h="16839"/>
          <w:pgMar w:top="400" w:right="1451" w:bottom="1240" w:left="1451" w:header="0" w:footer="1078" w:gutter="0"/>
          <w:cols w:space="720" w:num="1"/>
        </w:sectPr>
      </w:pPr>
    </w:p>
    <w:p w14:paraId="2A39B770">
      <w:pPr>
        <w:spacing w:before="19"/>
      </w:pPr>
      <w:r>
        <w:drawing>
          <wp:anchor distT="0" distB="0" distL="0" distR="0" simplePos="0" relativeHeight="251666432" behindDoc="0" locked="0" layoutInCell="0" allowOverlap="1">
            <wp:simplePos x="0" y="0"/>
            <wp:positionH relativeFrom="page">
              <wp:posOffset>1488440</wp:posOffset>
            </wp:positionH>
            <wp:positionV relativeFrom="page">
              <wp:posOffset>7752715</wp:posOffset>
            </wp:positionV>
            <wp:extent cx="6350" cy="168783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2"/>
                    <a:stretch>
                      <a:fillRect/>
                    </a:stretch>
                  </pic:blipFill>
                  <pic:spPr>
                    <a:xfrm>
                      <a:off x="0" y="0"/>
                      <a:ext cx="6350" cy="1687576"/>
                    </a:xfrm>
                    <a:prstGeom prst="rect">
                      <a:avLst/>
                    </a:prstGeom>
                  </pic:spPr>
                </pic:pic>
              </a:graphicData>
            </a:graphic>
          </wp:anchor>
        </w:drawing>
      </w:r>
      <w:r>
        <w:pict>
          <v:shape id="_x0000_s1032" o:spid="_x0000_s1032" style="position:absolute;left:0pt;margin-left:118.2pt;margin-top:388.45pt;height:163.3pt;width:0.5pt;mso-position-horizontal-relative:page;mso-position-vertical-relative:page;z-index:251668480;mso-width-relative:page;mso-height-relative:page;" filled="f" stroked="t" coordsize="10,3266" o:allowincell="f" path="m4,0l4,3265e">
            <v:fill on="f" focussize="0,0"/>
            <v:stroke weight="0.48pt" color="#000000" miterlimit="2" joinstyle="bevel"/>
            <v:imagedata o:title=""/>
            <o:lock v:ext="edit"/>
          </v:shape>
        </w:pict>
      </w:r>
      <w:r>
        <w:pict>
          <v:shape id="_x0000_s1033" o:spid="_x0000_s1033" style="position:absolute;left:0pt;margin-left:118.7pt;margin-top:138.75pt;height:190.5pt;width:0.5pt;mso-position-horizontal-relative:page;mso-position-vertical-relative:page;z-index:251667456;mso-width-relative:page;mso-height-relative:page;" filled="f" stroked="t" coordsize="10,3810" o:allowincell="f" path="m4,0l4,3810e">
            <v:fill on="f" focussize="0,0"/>
            <v:stroke weight="0.48pt" color="#000000" miterlimit="2" joinstyle="bevel"/>
            <v:imagedata o:title=""/>
            <o:lock v:ext="edit"/>
          </v:shape>
        </w:pict>
      </w:r>
    </w:p>
    <w:p w14:paraId="18FA414C">
      <w:pPr>
        <w:spacing w:before="19"/>
      </w:pPr>
    </w:p>
    <w:p w14:paraId="0F1F60C3">
      <w:pPr>
        <w:spacing w:before="19"/>
      </w:pPr>
    </w:p>
    <w:p w14:paraId="385C52EA">
      <w:pPr>
        <w:spacing w:before="18"/>
      </w:pPr>
    </w:p>
    <w:p w14:paraId="3E2C3F09">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931"/>
        <w:gridCol w:w="159"/>
        <w:gridCol w:w="1504"/>
        <w:gridCol w:w="504"/>
        <w:gridCol w:w="575"/>
        <w:gridCol w:w="643"/>
        <w:gridCol w:w="197"/>
        <w:gridCol w:w="766"/>
        <w:gridCol w:w="849"/>
        <w:gridCol w:w="133"/>
        <w:gridCol w:w="350"/>
        <w:gridCol w:w="1451"/>
        <w:gridCol w:w="148"/>
      </w:tblGrid>
      <w:tr w14:paraId="05F95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778" w:type="dxa"/>
            <w:vMerge w:val="restart"/>
            <w:tcBorders>
              <w:top w:val="single" w:color="000000" w:sz="6" w:space="0"/>
              <w:left w:val="single" w:color="000000" w:sz="6" w:space="0"/>
              <w:bottom w:val="nil"/>
            </w:tcBorders>
            <w:vAlign w:val="top"/>
          </w:tcPr>
          <w:p w14:paraId="6294CC45">
            <w:pPr>
              <w:rPr>
                <w:rFonts w:ascii="Arial"/>
                <w:sz w:val="21"/>
              </w:rPr>
            </w:pPr>
          </w:p>
        </w:tc>
        <w:tc>
          <w:tcPr>
            <w:tcW w:w="8210" w:type="dxa"/>
            <w:gridSpan w:val="13"/>
            <w:tcBorders>
              <w:top w:val="single" w:color="000000" w:sz="6" w:space="0"/>
              <w:right w:val="single" w:color="000000" w:sz="6" w:space="0"/>
            </w:tcBorders>
            <w:vAlign w:val="top"/>
          </w:tcPr>
          <w:p w14:paraId="5975039B">
            <w:pPr>
              <w:pStyle w:val="6"/>
              <w:spacing w:before="159" w:line="217" w:lineRule="auto"/>
              <w:ind w:left="588"/>
            </w:pPr>
            <w:r>
              <w:rPr>
                <w:spacing w:val="-2"/>
              </w:rPr>
              <w:t>②人工费</w:t>
            </w:r>
          </w:p>
          <w:p w14:paraId="2740CE0D">
            <w:pPr>
              <w:pStyle w:val="6"/>
              <w:spacing w:before="186" w:line="219" w:lineRule="auto"/>
              <w:ind w:left="2508"/>
            </w:pPr>
            <w:r>
              <w:rPr>
                <w:b/>
                <w:bCs/>
                <w:spacing w:val="-3"/>
              </w:rPr>
              <w:t>表</w:t>
            </w:r>
            <w:r>
              <w:rPr>
                <w:spacing w:val="-43"/>
              </w:rPr>
              <w:t xml:space="preserve"> </w:t>
            </w:r>
            <w:r>
              <w:rPr>
                <w:b/>
                <w:bCs/>
                <w:spacing w:val="-3"/>
              </w:rPr>
              <w:t>2-14</w:t>
            </w:r>
            <w:r>
              <w:rPr>
                <w:spacing w:val="-3"/>
              </w:rPr>
              <w:t xml:space="preserve">  </w:t>
            </w:r>
            <w:r>
              <w:rPr>
                <w:b/>
                <w:bCs/>
                <w:spacing w:val="-3"/>
              </w:rPr>
              <w:t>项目废水站人工费用</w:t>
            </w:r>
          </w:p>
        </w:tc>
      </w:tr>
      <w:tr w14:paraId="5160D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2DAECF6B">
            <w:pPr>
              <w:rPr>
                <w:rFonts w:ascii="Arial"/>
                <w:sz w:val="21"/>
              </w:rPr>
            </w:pPr>
          </w:p>
        </w:tc>
        <w:tc>
          <w:tcPr>
            <w:tcW w:w="1090" w:type="dxa"/>
            <w:gridSpan w:val="2"/>
            <w:vAlign w:val="top"/>
          </w:tcPr>
          <w:p w14:paraId="0E8599C3">
            <w:pPr>
              <w:pStyle w:val="6"/>
              <w:spacing w:before="92" w:line="229" w:lineRule="auto"/>
              <w:ind w:left="407"/>
              <w:rPr>
                <w:sz w:val="20"/>
                <w:szCs w:val="20"/>
              </w:rPr>
            </w:pPr>
            <w:r>
              <w:rPr>
                <w:b/>
                <w:bCs/>
                <w:spacing w:val="4"/>
                <w:sz w:val="20"/>
                <w:szCs w:val="20"/>
              </w:rPr>
              <w:t>序号</w:t>
            </w:r>
          </w:p>
        </w:tc>
        <w:tc>
          <w:tcPr>
            <w:tcW w:w="2008" w:type="dxa"/>
            <w:gridSpan w:val="2"/>
            <w:vAlign w:val="top"/>
          </w:tcPr>
          <w:p w14:paraId="4CBE7860">
            <w:pPr>
              <w:pStyle w:val="6"/>
              <w:spacing w:before="92" w:line="228" w:lineRule="auto"/>
              <w:ind w:left="795"/>
              <w:rPr>
                <w:sz w:val="20"/>
                <w:szCs w:val="20"/>
              </w:rPr>
            </w:pPr>
            <w:r>
              <w:rPr>
                <w:b/>
                <w:bCs/>
                <w:spacing w:val="3"/>
                <w:sz w:val="20"/>
                <w:szCs w:val="20"/>
              </w:rPr>
              <w:t>职务</w:t>
            </w:r>
          </w:p>
        </w:tc>
        <w:tc>
          <w:tcPr>
            <w:tcW w:w="1415" w:type="dxa"/>
            <w:gridSpan w:val="3"/>
            <w:vAlign w:val="top"/>
          </w:tcPr>
          <w:p w14:paraId="72C3BD0E">
            <w:pPr>
              <w:pStyle w:val="6"/>
              <w:spacing w:before="92" w:line="228" w:lineRule="auto"/>
              <w:ind w:left="504"/>
              <w:rPr>
                <w:sz w:val="20"/>
                <w:szCs w:val="20"/>
              </w:rPr>
            </w:pPr>
            <w:r>
              <w:rPr>
                <w:b/>
                <w:bCs/>
                <w:spacing w:val="3"/>
                <w:sz w:val="20"/>
                <w:szCs w:val="20"/>
              </w:rPr>
              <w:t>人数</w:t>
            </w:r>
          </w:p>
        </w:tc>
        <w:tc>
          <w:tcPr>
            <w:tcW w:w="1748" w:type="dxa"/>
            <w:gridSpan w:val="3"/>
            <w:vAlign w:val="top"/>
          </w:tcPr>
          <w:p w14:paraId="00DA5A91">
            <w:pPr>
              <w:pStyle w:val="6"/>
              <w:spacing w:before="92" w:line="228" w:lineRule="auto"/>
              <w:ind w:right="10"/>
              <w:jc w:val="right"/>
              <w:rPr>
                <w:sz w:val="20"/>
                <w:szCs w:val="20"/>
              </w:rPr>
            </w:pPr>
            <w:r>
              <w:rPr>
                <w:b/>
                <w:bCs/>
                <w:spacing w:val="-6"/>
                <w:sz w:val="20"/>
                <w:szCs w:val="20"/>
              </w:rPr>
              <w:t>平均工资（元</w:t>
            </w:r>
            <w:r>
              <w:rPr>
                <w:rFonts w:ascii="Times New Roman" w:hAnsi="Times New Roman" w:eastAsia="Times New Roman" w:cs="Times New Roman"/>
                <w:b/>
                <w:bCs/>
                <w:spacing w:val="-6"/>
                <w:sz w:val="20"/>
                <w:szCs w:val="20"/>
              </w:rPr>
              <w:t>/</w:t>
            </w:r>
            <w:r>
              <w:rPr>
                <w:b/>
                <w:bCs/>
                <w:spacing w:val="-6"/>
                <w:sz w:val="20"/>
                <w:szCs w:val="20"/>
              </w:rPr>
              <w:t>年）</w:t>
            </w:r>
          </w:p>
        </w:tc>
        <w:tc>
          <w:tcPr>
            <w:tcW w:w="1801" w:type="dxa"/>
            <w:gridSpan w:val="2"/>
            <w:vAlign w:val="top"/>
          </w:tcPr>
          <w:p w14:paraId="55A95482">
            <w:pPr>
              <w:pStyle w:val="6"/>
              <w:spacing w:before="92" w:line="223" w:lineRule="auto"/>
              <w:ind w:left="285"/>
              <w:rPr>
                <w:rFonts w:ascii="Times New Roman" w:hAnsi="Times New Roman" w:eastAsia="Times New Roman" w:cs="Times New Roman"/>
                <w:sz w:val="20"/>
                <w:szCs w:val="20"/>
              </w:rPr>
            </w:pPr>
            <w:r>
              <w:rPr>
                <w:b/>
                <w:bCs/>
                <w:spacing w:val="4"/>
                <w:sz w:val="20"/>
                <w:szCs w:val="20"/>
              </w:rPr>
              <w:t>总费用</w:t>
            </w:r>
            <w:r>
              <w:rPr>
                <w:rFonts w:ascii="Times New Roman" w:hAnsi="Times New Roman" w:eastAsia="Times New Roman" w:cs="Times New Roman"/>
                <w:b/>
                <w:bCs/>
                <w:spacing w:val="4"/>
                <w:sz w:val="20"/>
                <w:szCs w:val="20"/>
              </w:rPr>
              <w:t>(</w:t>
            </w:r>
            <w:r>
              <w:rPr>
                <w:b/>
                <w:bCs/>
                <w:spacing w:val="4"/>
                <w:sz w:val="20"/>
                <w:szCs w:val="20"/>
              </w:rPr>
              <w:t>元</w:t>
            </w:r>
            <w:r>
              <w:rPr>
                <w:rFonts w:ascii="Times New Roman" w:hAnsi="Times New Roman" w:eastAsia="Times New Roman" w:cs="Times New Roman"/>
                <w:b/>
                <w:bCs/>
                <w:spacing w:val="4"/>
                <w:sz w:val="20"/>
                <w:szCs w:val="20"/>
              </w:rPr>
              <w:t>/</w:t>
            </w:r>
            <w:r>
              <w:rPr>
                <w:b/>
                <w:bCs/>
                <w:spacing w:val="4"/>
                <w:sz w:val="20"/>
                <w:szCs w:val="20"/>
              </w:rPr>
              <w:t>年</w:t>
            </w:r>
            <w:r>
              <w:rPr>
                <w:rFonts w:ascii="Times New Roman" w:hAnsi="Times New Roman" w:eastAsia="Times New Roman" w:cs="Times New Roman"/>
                <w:b/>
                <w:bCs/>
                <w:spacing w:val="4"/>
                <w:sz w:val="20"/>
                <w:szCs w:val="20"/>
              </w:rPr>
              <w:t>)</w:t>
            </w:r>
          </w:p>
        </w:tc>
        <w:tc>
          <w:tcPr>
            <w:tcW w:w="148" w:type="dxa"/>
            <w:vMerge w:val="restart"/>
            <w:tcBorders>
              <w:top w:val="nil"/>
              <w:bottom w:val="nil"/>
              <w:right w:val="single" w:color="000000" w:sz="6" w:space="0"/>
            </w:tcBorders>
            <w:vAlign w:val="top"/>
          </w:tcPr>
          <w:p w14:paraId="488F15CD">
            <w:pPr>
              <w:rPr>
                <w:rFonts w:ascii="Arial"/>
                <w:sz w:val="21"/>
              </w:rPr>
            </w:pPr>
          </w:p>
        </w:tc>
      </w:tr>
      <w:tr w14:paraId="3C5EA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61E8572C">
            <w:pPr>
              <w:rPr>
                <w:rFonts w:ascii="Arial"/>
                <w:sz w:val="21"/>
              </w:rPr>
            </w:pPr>
          </w:p>
        </w:tc>
        <w:tc>
          <w:tcPr>
            <w:tcW w:w="1090" w:type="dxa"/>
            <w:gridSpan w:val="2"/>
            <w:vAlign w:val="top"/>
          </w:tcPr>
          <w:p w14:paraId="7BA2A84D">
            <w:pPr>
              <w:spacing w:before="130"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08" w:type="dxa"/>
            <w:gridSpan w:val="2"/>
            <w:vAlign w:val="top"/>
          </w:tcPr>
          <w:p w14:paraId="38C9FD4B">
            <w:pPr>
              <w:pStyle w:val="6"/>
              <w:spacing w:before="94" w:line="228" w:lineRule="auto"/>
              <w:ind w:left="485"/>
              <w:rPr>
                <w:sz w:val="20"/>
                <w:szCs w:val="20"/>
              </w:rPr>
            </w:pPr>
            <w:r>
              <w:rPr>
                <w:spacing w:val="7"/>
                <w:sz w:val="20"/>
                <w:szCs w:val="20"/>
              </w:rPr>
              <w:t>水处理班组</w:t>
            </w:r>
          </w:p>
        </w:tc>
        <w:tc>
          <w:tcPr>
            <w:tcW w:w="1415" w:type="dxa"/>
            <w:gridSpan w:val="3"/>
            <w:vAlign w:val="top"/>
          </w:tcPr>
          <w:p w14:paraId="66511FE5">
            <w:pPr>
              <w:spacing w:before="130"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48" w:type="dxa"/>
            <w:gridSpan w:val="3"/>
            <w:vAlign w:val="top"/>
          </w:tcPr>
          <w:p w14:paraId="2EFA356B">
            <w:pPr>
              <w:spacing w:before="130"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801" w:type="dxa"/>
            <w:gridSpan w:val="2"/>
            <w:vAlign w:val="top"/>
          </w:tcPr>
          <w:p w14:paraId="398634B6">
            <w:pPr>
              <w:spacing w:before="13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300000</w:t>
            </w:r>
          </w:p>
        </w:tc>
        <w:tc>
          <w:tcPr>
            <w:tcW w:w="148" w:type="dxa"/>
            <w:vMerge w:val="continue"/>
            <w:tcBorders>
              <w:top w:val="nil"/>
              <w:bottom w:val="nil"/>
              <w:right w:val="single" w:color="000000" w:sz="6" w:space="0"/>
            </w:tcBorders>
            <w:vAlign w:val="top"/>
          </w:tcPr>
          <w:p w14:paraId="6C3212DE">
            <w:pPr>
              <w:rPr>
                <w:rFonts w:ascii="Arial"/>
                <w:sz w:val="21"/>
              </w:rPr>
            </w:pPr>
          </w:p>
        </w:tc>
      </w:tr>
      <w:tr w14:paraId="215A1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6BC8D0D5">
            <w:pPr>
              <w:rPr>
                <w:rFonts w:ascii="Arial"/>
                <w:sz w:val="21"/>
              </w:rPr>
            </w:pPr>
          </w:p>
        </w:tc>
        <w:tc>
          <w:tcPr>
            <w:tcW w:w="1090" w:type="dxa"/>
            <w:gridSpan w:val="2"/>
            <w:vAlign w:val="top"/>
          </w:tcPr>
          <w:p w14:paraId="34FE9398">
            <w:pPr>
              <w:spacing w:before="129" w:line="195" w:lineRule="auto"/>
              <w:ind w:left="5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08" w:type="dxa"/>
            <w:gridSpan w:val="2"/>
            <w:vAlign w:val="top"/>
          </w:tcPr>
          <w:p w14:paraId="7F41460E">
            <w:pPr>
              <w:pStyle w:val="6"/>
              <w:spacing w:before="93" w:line="229" w:lineRule="auto"/>
              <w:ind w:left="378"/>
              <w:rPr>
                <w:sz w:val="20"/>
                <w:szCs w:val="20"/>
              </w:rPr>
            </w:pPr>
            <w:r>
              <w:rPr>
                <w:spacing w:val="7"/>
                <w:sz w:val="20"/>
                <w:szCs w:val="20"/>
              </w:rPr>
              <w:t>污泥处理班组</w:t>
            </w:r>
          </w:p>
        </w:tc>
        <w:tc>
          <w:tcPr>
            <w:tcW w:w="1415" w:type="dxa"/>
            <w:gridSpan w:val="3"/>
            <w:vAlign w:val="top"/>
          </w:tcPr>
          <w:p w14:paraId="26A68F18">
            <w:pPr>
              <w:spacing w:before="129"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48" w:type="dxa"/>
            <w:gridSpan w:val="3"/>
            <w:vAlign w:val="top"/>
          </w:tcPr>
          <w:p w14:paraId="7B57FC4E">
            <w:pPr>
              <w:spacing w:before="129"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801" w:type="dxa"/>
            <w:gridSpan w:val="2"/>
            <w:vAlign w:val="top"/>
          </w:tcPr>
          <w:p w14:paraId="3F2F5D39">
            <w:pPr>
              <w:spacing w:before="129"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150000</w:t>
            </w:r>
          </w:p>
        </w:tc>
        <w:tc>
          <w:tcPr>
            <w:tcW w:w="148" w:type="dxa"/>
            <w:vMerge w:val="continue"/>
            <w:tcBorders>
              <w:top w:val="nil"/>
              <w:bottom w:val="nil"/>
              <w:right w:val="single" w:color="000000" w:sz="6" w:space="0"/>
            </w:tcBorders>
            <w:vAlign w:val="top"/>
          </w:tcPr>
          <w:p w14:paraId="547B0474">
            <w:pPr>
              <w:rPr>
                <w:rFonts w:ascii="Arial"/>
                <w:sz w:val="21"/>
              </w:rPr>
            </w:pPr>
          </w:p>
        </w:tc>
      </w:tr>
      <w:tr w14:paraId="57417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61C50754">
            <w:pPr>
              <w:rPr>
                <w:rFonts w:ascii="Arial"/>
                <w:sz w:val="21"/>
              </w:rPr>
            </w:pPr>
          </w:p>
        </w:tc>
        <w:tc>
          <w:tcPr>
            <w:tcW w:w="1090" w:type="dxa"/>
            <w:gridSpan w:val="2"/>
            <w:vAlign w:val="top"/>
          </w:tcPr>
          <w:p w14:paraId="7469474B">
            <w:pPr>
              <w:spacing w:before="130"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08" w:type="dxa"/>
            <w:gridSpan w:val="2"/>
            <w:vAlign w:val="top"/>
          </w:tcPr>
          <w:p w14:paraId="46126413">
            <w:pPr>
              <w:pStyle w:val="6"/>
              <w:spacing w:before="94" w:line="228" w:lineRule="auto"/>
              <w:ind w:left="585"/>
              <w:rPr>
                <w:sz w:val="20"/>
                <w:szCs w:val="20"/>
              </w:rPr>
            </w:pPr>
            <w:r>
              <w:rPr>
                <w:spacing w:val="7"/>
                <w:sz w:val="20"/>
                <w:szCs w:val="20"/>
              </w:rPr>
              <w:t>配药班组</w:t>
            </w:r>
          </w:p>
        </w:tc>
        <w:tc>
          <w:tcPr>
            <w:tcW w:w="1415" w:type="dxa"/>
            <w:gridSpan w:val="3"/>
            <w:vAlign w:val="top"/>
          </w:tcPr>
          <w:p w14:paraId="1805F14A">
            <w:pPr>
              <w:spacing w:before="130"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48" w:type="dxa"/>
            <w:gridSpan w:val="3"/>
            <w:vAlign w:val="top"/>
          </w:tcPr>
          <w:p w14:paraId="107FFD48">
            <w:pPr>
              <w:spacing w:before="130"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801" w:type="dxa"/>
            <w:gridSpan w:val="2"/>
            <w:vAlign w:val="top"/>
          </w:tcPr>
          <w:p w14:paraId="1E8FA2ED">
            <w:pPr>
              <w:spacing w:before="130"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150000</w:t>
            </w:r>
          </w:p>
        </w:tc>
        <w:tc>
          <w:tcPr>
            <w:tcW w:w="148" w:type="dxa"/>
            <w:vMerge w:val="continue"/>
            <w:tcBorders>
              <w:top w:val="nil"/>
              <w:bottom w:val="nil"/>
              <w:right w:val="single" w:color="000000" w:sz="6" w:space="0"/>
            </w:tcBorders>
            <w:vAlign w:val="top"/>
          </w:tcPr>
          <w:p w14:paraId="7131BACB">
            <w:pPr>
              <w:rPr>
                <w:rFonts w:ascii="Arial"/>
                <w:sz w:val="21"/>
              </w:rPr>
            </w:pPr>
          </w:p>
        </w:tc>
      </w:tr>
      <w:tr w14:paraId="2BA91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435052FD">
            <w:pPr>
              <w:rPr>
                <w:rFonts w:ascii="Arial"/>
                <w:sz w:val="21"/>
              </w:rPr>
            </w:pPr>
          </w:p>
        </w:tc>
        <w:tc>
          <w:tcPr>
            <w:tcW w:w="1090" w:type="dxa"/>
            <w:gridSpan w:val="2"/>
            <w:vAlign w:val="top"/>
          </w:tcPr>
          <w:p w14:paraId="1DAA9D8B">
            <w:pPr>
              <w:spacing w:before="132"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08" w:type="dxa"/>
            <w:gridSpan w:val="2"/>
            <w:vAlign w:val="top"/>
          </w:tcPr>
          <w:p w14:paraId="34C7E213">
            <w:pPr>
              <w:pStyle w:val="6"/>
              <w:spacing w:before="96" w:line="229" w:lineRule="auto"/>
              <w:ind w:left="692"/>
              <w:rPr>
                <w:sz w:val="20"/>
                <w:szCs w:val="20"/>
              </w:rPr>
            </w:pPr>
            <w:r>
              <w:rPr>
                <w:sz w:val="20"/>
                <w:szCs w:val="20"/>
              </w:rPr>
              <w:t>化</w:t>
            </w:r>
            <w:r>
              <w:rPr>
                <w:spacing w:val="9"/>
                <w:sz w:val="20"/>
                <w:szCs w:val="20"/>
              </w:rPr>
              <w:t xml:space="preserve">  </w:t>
            </w:r>
            <w:r>
              <w:rPr>
                <w:sz w:val="20"/>
                <w:szCs w:val="20"/>
              </w:rPr>
              <w:t>验</w:t>
            </w:r>
          </w:p>
        </w:tc>
        <w:tc>
          <w:tcPr>
            <w:tcW w:w="1415" w:type="dxa"/>
            <w:gridSpan w:val="3"/>
            <w:vAlign w:val="top"/>
          </w:tcPr>
          <w:p w14:paraId="7A6E3176">
            <w:pPr>
              <w:spacing w:before="132" w:line="195" w:lineRule="auto"/>
              <w:ind w:left="6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8" w:type="dxa"/>
            <w:gridSpan w:val="3"/>
            <w:vAlign w:val="top"/>
          </w:tcPr>
          <w:p w14:paraId="14FC4E09">
            <w:pPr>
              <w:spacing w:before="132"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801" w:type="dxa"/>
            <w:gridSpan w:val="2"/>
            <w:vAlign w:val="top"/>
          </w:tcPr>
          <w:p w14:paraId="5388270A">
            <w:pPr>
              <w:spacing w:before="132"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48" w:type="dxa"/>
            <w:vMerge w:val="continue"/>
            <w:tcBorders>
              <w:top w:val="nil"/>
              <w:bottom w:val="nil"/>
              <w:right w:val="single" w:color="000000" w:sz="6" w:space="0"/>
            </w:tcBorders>
            <w:vAlign w:val="top"/>
          </w:tcPr>
          <w:p w14:paraId="6B1F0CC0">
            <w:pPr>
              <w:rPr>
                <w:rFonts w:ascii="Arial"/>
                <w:sz w:val="21"/>
              </w:rPr>
            </w:pPr>
          </w:p>
        </w:tc>
      </w:tr>
      <w:tr w14:paraId="01A6F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02158F41">
            <w:pPr>
              <w:rPr>
                <w:rFonts w:ascii="Arial"/>
                <w:sz w:val="21"/>
              </w:rPr>
            </w:pPr>
          </w:p>
        </w:tc>
        <w:tc>
          <w:tcPr>
            <w:tcW w:w="1090" w:type="dxa"/>
            <w:gridSpan w:val="2"/>
            <w:vAlign w:val="top"/>
          </w:tcPr>
          <w:p w14:paraId="04799872">
            <w:pPr>
              <w:spacing w:before="134" w:line="192"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08" w:type="dxa"/>
            <w:gridSpan w:val="2"/>
            <w:vAlign w:val="top"/>
          </w:tcPr>
          <w:p w14:paraId="2358E42E">
            <w:pPr>
              <w:pStyle w:val="6"/>
              <w:spacing w:before="95" w:line="227" w:lineRule="auto"/>
              <w:ind w:left="450"/>
              <w:rPr>
                <w:sz w:val="20"/>
                <w:szCs w:val="20"/>
              </w:rPr>
            </w:pPr>
            <w:r>
              <w:rPr>
                <w:spacing w:val="7"/>
                <w:sz w:val="20"/>
                <w:szCs w:val="20"/>
              </w:rPr>
              <w:t>机修工</w:t>
            </w:r>
            <w:r>
              <w:rPr>
                <w:rFonts w:ascii="Times New Roman" w:hAnsi="Times New Roman" w:eastAsia="Times New Roman" w:cs="Times New Roman"/>
                <w:spacing w:val="7"/>
                <w:sz w:val="20"/>
                <w:szCs w:val="20"/>
              </w:rPr>
              <w:t>/</w:t>
            </w:r>
            <w:r>
              <w:rPr>
                <w:spacing w:val="7"/>
                <w:sz w:val="20"/>
                <w:szCs w:val="20"/>
              </w:rPr>
              <w:t>电工</w:t>
            </w:r>
          </w:p>
        </w:tc>
        <w:tc>
          <w:tcPr>
            <w:tcW w:w="1415" w:type="dxa"/>
            <w:gridSpan w:val="3"/>
            <w:vAlign w:val="top"/>
          </w:tcPr>
          <w:p w14:paraId="30B10A03">
            <w:pPr>
              <w:spacing w:before="131" w:line="195" w:lineRule="auto"/>
              <w:ind w:left="6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8" w:type="dxa"/>
            <w:gridSpan w:val="3"/>
            <w:vAlign w:val="top"/>
          </w:tcPr>
          <w:p w14:paraId="5A467D27">
            <w:pPr>
              <w:spacing w:before="131"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801" w:type="dxa"/>
            <w:gridSpan w:val="2"/>
            <w:vAlign w:val="top"/>
          </w:tcPr>
          <w:p w14:paraId="1F25E1C5">
            <w:pPr>
              <w:spacing w:before="131"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48" w:type="dxa"/>
            <w:vMerge w:val="continue"/>
            <w:tcBorders>
              <w:top w:val="nil"/>
              <w:bottom w:val="nil"/>
              <w:right w:val="single" w:color="000000" w:sz="6" w:space="0"/>
            </w:tcBorders>
            <w:vAlign w:val="top"/>
          </w:tcPr>
          <w:p w14:paraId="7FBCFA46">
            <w:pPr>
              <w:rPr>
                <w:rFonts w:ascii="Arial"/>
                <w:sz w:val="21"/>
              </w:rPr>
            </w:pPr>
          </w:p>
        </w:tc>
      </w:tr>
      <w:tr w14:paraId="27D1B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2B429A15">
            <w:pPr>
              <w:rPr>
                <w:rFonts w:ascii="Arial"/>
                <w:sz w:val="21"/>
              </w:rPr>
            </w:pPr>
          </w:p>
        </w:tc>
        <w:tc>
          <w:tcPr>
            <w:tcW w:w="1090" w:type="dxa"/>
            <w:gridSpan w:val="2"/>
            <w:vAlign w:val="top"/>
          </w:tcPr>
          <w:p w14:paraId="14946F4D">
            <w:pPr>
              <w:spacing w:before="133"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08" w:type="dxa"/>
            <w:gridSpan w:val="2"/>
            <w:vAlign w:val="top"/>
          </w:tcPr>
          <w:p w14:paraId="60C9D44B">
            <w:pPr>
              <w:pStyle w:val="6"/>
              <w:spacing w:before="97" w:line="228" w:lineRule="auto"/>
              <w:ind w:left="483"/>
              <w:rPr>
                <w:sz w:val="20"/>
                <w:szCs w:val="20"/>
              </w:rPr>
            </w:pPr>
            <w:r>
              <w:rPr>
                <w:spacing w:val="7"/>
                <w:sz w:val="20"/>
                <w:szCs w:val="20"/>
              </w:rPr>
              <w:t>技术工程师</w:t>
            </w:r>
          </w:p>
        </w:tc>
        <w:tc>
          <w:tcPr>
            <w:tcW w:w="1415" w:type="dxa"/>
            <w:gridSpan w:val="3"/>
            <w:vAlign w:val="top"/>
          </w:tcPr>
          <w:p w14:paraId="6C8B483C">
            <w:pPr>
              <w:spacing w:before="133" w:line="195" w:lineRule="auto"/>
              <w:ind w:left="6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8" w:type="dxa"/>
            <w:gridSpan w:val="3"/>
            <w:vAlign w:val="top"/>
          </w:tcPr>
          <w:p w14:paraId="6769069D">
            <w:pPr>
              <w:spacing w:before="133"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801" w:type="dxa"/>
            <w:gridSpan w:val="2"/>
            <w:vAlign w:val="top"/>
          </w:tcPr>
          <w:p w14:paraId="2281E067">
            <w:pPr>
              <w:spacing w:before="133"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48" w:type="dxa"/>
            <w:vMerge w:val="continue"/>
            <w:tcBorders>
              <w:top w:val="nil"/>
              <w:bottom w:val="nil"/>
              <w:right w:val="single" w:color="000000" w:sz="6" w:space="0"/>
            </w:tcBorders>
            <w:vAlign w:val="top"/>
          </w:tcPr>
          <w:p w14:paraId="6831D613">
            <w:pPr>
              <w:rPr>
                <w:rFonts w:ascii="Arial"/>
                <w:sz w:val="21"/>
              </w:rPr>
            </w:pPr>
          </w:p>
        </w:tc>
      </w:tr>
      <w:tr w14:paraId="07F91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48AB4A6F">
            <w:pPr>
              <w:rPr>
                <w:rFonts w:ascii="Arial"/>
                <w:sz w:val="21"/>
              </w:rPr>
            </w:pPr>
          </w:p>
        </w:tc>
        <w:tc>
          <w:tcPr>
            <w:tcW w:w="1090" w:type="dxa"/>
            <w:gridSpan w:val="2"/>
            <w:vAlign w:val="top"/>
          </w:tcPr>
          <w:p w14:paraId="1025CE64">
            <w:pPr>
              <w:spacing w:before="135" w:line="192" w:lineRule="auto"/>
              <w:ind w:left="56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08" w:type="dxa"/>
            <w:gridSpan w:val="2"/>
            <w:vAlign w:val="top"/>
          </w:tcPr>
          <w:p w14:paraId="3E48FE91">
            <w:pPr>
              <w:pStyle w:val="6"/>
              <w:spacing w:before="96" w:line="229" w:lineRule="auto"/>
              <w:ind w:left="797"/>
              <w:rPr>
                <w:sz w:val="20"/>
                <w:szCs w:val="20"/>
              </w:rPr>
            </w:pPr>
            <w:r>
              <w:rPr>
                <w:spacing w:val="4"/>
                <w:sz w:val="20"/>
                <w:szCs w:val="20"/>
              </w:rPr>
              <w:t>合计</w:t>
            </w:r>
          </w:p>
        </w:tc>
        <w:tc>
          <w:tcPr>
            <w:tcW w:w="1415" w:type="dxa"/>
            <w:gridSpan w:val="3"/>
            <w:vAlign w:val="top"/>
          </w:tcPr>
          <w:p w14:paraId="2753AE3D">
            <w:pPr>
              <w:spacing w:before="132"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748" w:type="dxa"/>
            <w:gridSpan w:val="3"/>
            <w:vAlign w:val="top"/>
          </w:tcPr>
          <w:p w14:paraId="2084C8AB">
            <w:pPr>
              <w:spacing w:before="128" w:line="199"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gridSpan w:val="2"/>
            <w:vAlign w:val="top"/>
          </w:tcPr>
          <w:p w14:paraId="08D7969D">
            <w:pPr>
              <w:spacing w:before="132"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750000</w:t>
            </w:r>
          </w:p>
        </w:tc>
        <w:tc>
          <w:tcPr>
            <w:tcW w:w="148" w:type="dxa"/>
            <w:vMerge w:val="continue"/>
            <w:tcBorders>
              <w:top w:val="nil"/>
              <w:bottom w:val="nil"/>
              <w:right w:val="single" w:color="000000" w:sz="6" w:space="0"/>
            </w:tcBorders>
            <w:vAlign w:val="top"/>
          </w:tcPr>
          <w:p w14:paraId="277879EE">
            <w:pPr>
              <w:rPr>
                <w:rFonts w:ascii="Arial"/>
                <w:sz w:val="21"/>
              </w:rPr>
            </w:pPr>
          </w:p>
        </w:tc>
      </w:tr>
      <w:tr w14:paraId="3EBD0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8" w:type="dxa"/>
            <w:vMerge w:val="continue"/>
            <w:tcBorders>
              <w:top w:val="nil"/>
              <w:left w:val="single" w:color="000000" w:sz="6" w:space="0"/>
              <w:bottom w:val="nil"/>
            </w:tcBorders>
            <w:vAlign w:val="top"/>
          </w:tcPr>
          <w:p w14:paraId="1F7D2B74">
            <w:pPr>
              <w:rPr>
                <w:rFonts w:ascii="Arial"/>
                <w:sz w:val="21"/>
              </w:rPr>
            </w:pPr>
          </w:p>
        </w:tc>
        <w:tc>
          <w:tcPr>
            <w:tcW w:w="1090" w:type="dxa"/>
            <w:gridSpan w:val="2"/>
            <w:vAlign w:val="top"/>
          </w:tcPr>
          <w:p w14:paraId="2D7159AE">
            <w:pPr>
              <w:rPr>
                <w:rFonts w:ascii="Arial"/>
                <w:sz w:val="21"/>
              </w:rPr>
            </w:pPr>
          </w:p>
        </w:tc>
        <w:tc>
          <w:tcPr>
            <w:tcW w:w="2008" w:type="dxa"/>
            <w:gridSpan w:val="2"/>
            <w:vAlign w:val="top"/>
          </w:tcPr>
          <w:p w14:paraId="55388E27">
            <w:pPr>
              <w:pStyle w:val="6"/>
              <w:spacing w:before="34" w:line="228" w:lineRule="auto"/>
              <w:ind w:left="167"/>
              <w:rPr>
                <w:sz w:val="20"/>
                <w:szCs w:val="20"/>
              </w:rPr>
            </w:pPr>
            <w:r>
              <w:rPr>
                <w:spacing w:val="8"/>
                <w:sz w:val="20"/>
                <w:szCs w:val="20"/>
              </w:rPr>
              <w:t>折合吨水人工费用</w:t>
            </w:r>
          </w:p>
          <w:p w14:paraId="6FC0F2CF">
            <w:pPr>
              <w:pStyle w:val="6"/>
              <w:spacing w:before="24" w:line="214"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spacing w:val="5"/>
                <w:sz w:val="20"/>
                <w:szCs w:val="20"/>
              </w:rPr>
              <w:t>元</w:t>
            </w:r>
            <w:r>
              <w:rPr>
                <w:rFonts w:ascii="Times New Roman" w:hAnsi="Times New Roman" w:eastAsia="Times New Roman" w:cs="Times New Roman"/>
                <w:spacing w:val="5"/>
                <w:sz w:val="20"/>
                <w:szCs w:val="20"/>
              </w:rPr>
              <w:t>/</w:t>
            </w:r>
            <w:r>
              <w:rPr>
                <w:spacing w:val="5"/>
                <w:sz w:val="20"/>
                <w:szCs w:val="20"/>
              </w:rPr>
              <w:t>吨水</w:t>
            </w:r>
            <w:r>
              <w:rPr>
                <w:rFonts w:ascii="Times New Roman" w:hAnsi="Times New Roman" w:eastAsia="Times New Roman" w:cs="Times New Roman"/>
                <w:spacing w:val="5"/>
                <w:sz w:val="20"/>
                <w:szCs w:val="20"/>
              </w:rPr>
              <w:t>)</w:t>
            </w:r>
          </w:p>
        </w:tc>
        <w:tc>
          <w:tcPr>
            <w:tcW w:w="1415" w:type="dxa"/>
            <w:gridSpan w:val="3"/>
            <w:vAlign w:val="top"/>
          </w:tcPr>
          <w:p w14:paraId="6E9F72C5">
            <w:pPr>
              <w:spacing w:before="203" w:line="199"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8" w:type="dxa"/>
            <w:gridSpan w:val="3"/>
            <w:vAlign w:val="top"/>
          </w:tcPr>
          <w:p w14:paraId="774CBCE3">
            <w:pPr>
              <w:spacing w:before="203" w:line="199"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gridSpan w:val="2"/>
            <w:vAlign w:val="top"/>
          </w:tcPr>
          <w:p w14:paraId="470F9852">
            <w:pPr>
              <w:spacing w:before="207" w:line="195"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4.17</w:t>
            </w:r>
          </w:p>
        </w:tc>
        <w:tc>
          <w:tcPr>
            <w:tcW w:w="148" w:type="dxa"/>
            <w:vMerge w:val="continue"/>
            <w:tcBorders>
              <w:top w:val="nil"/>
              <w:bottom w:val="nil"/>
              <w:right w:val="single" w:color="000000" w:sz="6" w:space="0"/>
            </w:tcBorders>
            <w:vAlign w:val="top"/>
          </w:tcPr>
          <w:p w14:paraId="3310DD30">
            <w:pPr>
              <w:rPr>
                <w:rFonts w:ascii="Arial"/>
                <w:sz w:val="21"/>
              </w:rPr>
            </w:pPr>
          </w:p>
        </w:tc>
      </w:tr>
      <w:tr w14:paraId="7FD8F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778" w:type="dxa"/>
            <w:vMerge w:val="continue"/>
            <w:tcBorders>
              <w:top w:val="nil"/>
              <w:left w:val="single" w:color="000000" w:sz="6" w:space="0"/>
              <w:bottom w:val="nil"/>
            </w:tcBorders>
            <w:vAlign w:val="top"/>
          </w:tcPr>
          <w:p w14:paraId="5B61B794">
            <w:pPr>
              <w:rPr>
                <w:rFonts w:ascii="Arial"/>
                <w:sz w:val="21"/>
              </w:rPr>
            </w:pPr>
          </w:p>
        </w:tc>
        <w:tc>
          <w:tcPr>
            <w:tcW w:w="8210" w:type="dxa"/>
            <w:gridSpan w:val="13"/>
            <w:tcBorders>
              <w:right w:val="single" w:color="000000" w:sz="6" w:space="0"/>
            </w:tcBorders>
            <w:vAlign w:val="top"/>
          </w:tcPr>
          <w:p w14:paraId="7900592D">
            <w:pPr>
              <w:pStyle w:val="6"/>
              <w:spacing w:before="161" w:line="217" w:lineRule="auto"/>
              <w:ind w:left="588"/>
            </w:pPr>
            <w:r>
              <w:rPr>
                <w:spacing w:val="-2"/>
              </w:rPr>
              <w:t>③药剂费用</w:t>
            </w:r>
          </w:p>
          <w:p w14:paraId="5578E3D1">
            <w:pPr>
              <w:pStyle w:val="6"/>
              <w:spacing w:before="305" w:line="219" w:lineRule="auto"/>
              <w:ind w:left="2508"/>
            </w:pPr>
            <w:r>
              <w:rPr>
                <w:b/>
                <w:bCs/>
                <w:spacing w:val="-3"/>
              </w:rPr>
              <w:t>表</w:t>
            </w:r>
            <w:r>
              <w:rPr>
                <w:spacing w:val="-43"/>
              </w:rPr>
              <w:t xml:space="preserve"> </w:t>
            </w:r>
            <w:r>
              <w:rPr>
                <w:b/>
                <w:bCs/>
                <w:spacing w:val="-3"/>
              </w:rPr>
              <w:t>2-15</w:t>
            </w:r>
            <w:r>
              <w:rPr>
                <w:spacing w:val="-3"/>
              </w:rPr>
              <w:t xml:space="preserve">  </w:t>
            </w:r>
            <w:r>
              <w:rPr>
                <w:b/>
                <w:bCs/>
                <w:spacing w:val="-3"/>
              </w:rPr>
              <w:t>项目废水站药剂费用</w:t>
            </w:r>
          </w:p>
        </w:tc>
      </w:tr>
      <w:tr w14:paraId="3E30D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162EA8C4">
            <w:pPr>
              <w:rPr>
                <w:rFonts w:ascii="Arial"/>
                <w:sz w:val="21"/>
              </w:rPr>
            </w:pPr>
          </w:p>
        </w:tc>
        <w:tc>
          <w:tcPr>
            <w:tcW w:w="931" w:type="dxa"/>
            <w:vAlign w:val="top"/>
          </w:tcPr>
          <w:p w14:paraId="4C7593CD">
            <w:pPr>
              <w:pStyle w:val="6"/>
              <w:spacing w:before="101" w:line="229" w:lineRule="auto"/>
              <w:ind w:left="326"/>
              <w:rPr>
                <w:sz w:val="20"/>
                <w:szCs w:val="20"/>
              </w:rPr>
            </w:pPr>
            <w:r>
              <w:rPr>
                <w:b/>
                <w:bCs/>
                <w:spacing w:val="4"/>
                <w:sz w:val="20"/>
                <w:szCs w:val="20"/>
              </w:rPr>
              <w:t>序号</w:t>
            </w:r>
          </w:p>
        </w:tc>
        <w:tc>
          <w:tcPr>
            <w:tcW w:w="1663" w:type="dxa"/>
            <w:gridSpan w:val="2"/>
            <w:vAlign w:val="top"/>
          </w:tcPr>
          <w:p w14:paraId="400DED46">
            <w:pPr>
              <w:pStyle w:val="6"/>
              <w:spacing w:before="101" w:line="227" w:lineRule="auto"/>
              <w:ind w:left="421"/>
              <w:rPr>
                <w:sz w:val="20"/>
                <w:szCs w:val="20"/>
              </w:rPr>
            </w:pPr>
            <w:r>
              <w:rPr>
                <w:b/>
                <w:bCs/>
                <w:spacing w:val="5"/>
                <w:sz w:val="20"/>
                <w:szCs w:val="20"/>
              </w:rPr>
              <w:t>药剂名称</w:t>
            </w:r>
          </w:p>
        </w:tc>
        <w:tc>
          <w:tcPr>
            <w:tcW w:w="1722" w:type="dxa"/>
            <w:gridSpan w:val="3"/>
            <w:vAlign w:val="top"/>
          </w:tcPr>
          <w:p w14:paraId="128ABDD5">
            <w:pPr>
              <w:pStyle w:val="6"/>
              <w:spacing w:before="101" w:line="221" w:lineRule="auto"/>
              <w:ind w:left="267"/>
              <w:rPr>
                <w:rFonts w:ascii="Times New Roman" w:hAnsi="Times New Roman" w:eastAsia="Times New Roman" w:cs="Times New Roman"/>
                <w:sz w:val="20"/>
                <w:szCs w:val="20"/>
              </w:rPr>
            </w:pPr>
            <w:r>
              <w:rPr>
                <w:b/>
                <w:bCs/>
                <w:spacing w:val="4"/>
                <w:sz w:val="20"/>
                <w:szCs w:val="20"/>
              </w:rPr>
              <w:t>药剂用量</w:t>
            </w:r>
            <w:r>
              <w:rPr>
                <w:rFonts w:ascii="Times New Roman" w:hAnsi="Times New Roman" w:eastAsia="Times New Roman" w:cs="Times New Roman"/>
                <w:b/>
                <w:bCs/>
                <w:spacing w:val="4"/>
                <w:sz w:val="20"/>
                <w:szCs w:val="20"/>
              </w:rPr>
              <w:t>(g/t)</w:t>
            </w:r>
          </w:p>
        </w:tc>
        <w:tc>
          <w:tcPr>
            <w:tcW w:w="1812" w:type="dxa"/>
            <w:gridSpan w:val="3"/>
            <w:vAlign w:val="top"/>
          </w:tcPr>
          <w:p w14:paraId="20FEA199">
            <w:pPr>
              <w:pStyle w:val="6"/>
              <w:spacing w:before="101" w:line="221" w:lineRule="auto"/>
              <w:ind w:left="187"/>
              <w:rPr>
                <w:rFonts w:ascii="Times New Roman" w:hAnsi="Times New Roman" w:eastAsia="Times New Roman" w:cs="Times New Roman"/>
                <w:sz w:val="20"/>
                <w:szCs w:val="20"/>
              </w:rPr>
            </w:pPr>
            <w:r>
              <w:rPr>
                <w:b/>
                <w:bCs/>
                <w:spacing w:val="6"/>
                <w:sz w:val="20"/>
                <w:szCs w:val="20"/>
              </w:rPr>
              <w:t>药剂单价</w:t>
            </w:r>
            <w:r>
              <w:rPr>
                <w:rFonts w:ascii="Times New Roman" w:hAnsi="Times New Roman" w:eastAsia="Times New Roman" w:cs="Times New Roman"/>
                <w:b/>
                <w:bCs/>
                <w:spacing w:val="6"/>
                <w:sz w:val="20"/>
                <w:szCs w:val="20"/>
              </w:rPr>
              <w:t>(</w:t>
            </w:r>
            <w:r>
              <w:rPr>
                <w:b/>
                <w:bCs/>
                <w:spacing w:val="6"/>
                <w:sz w:val="20"/>
                <w:szCs w:val="20"/>
              </w:rPr>
              <w:t>元</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6"/>
                <w:sz w:val="20"/>
                <w:szCs w:val="20"/>
              </w:rPr>
              <w:t>)</w:t>
            </w:r>
          </w:p>
        </w:tc>
        <w:tc>
          <w:tcPr>
            <w:tcW w:w="1934" w:type="dxa"/>
            <w:gridSpan w:val="3"/>
            <w:vAlign w:val="top"/>
          </w:tcPr>
          <w:p w14:paraId="0D3E8259">
            <w:pPr>
              <w:pStyle w:val="6"/>
              <w:spacing w:before="101" w:line="221" w:lineRule="auto"/>
              <w:ind w:right="11"/>
              <w:jc w:val="right"/>
              <w:rPr>
                <w:sz w:val="20"/>
                <w:szCs w:val="20"/>
              </w:rPr>
            </w:pPr>
            <w:r>
              <w:rPr>
                <w:b/>
                <w:bCs/>
                <w:spacing w:val="5"/>
                <w:sz w:val="20"/>
                <w:szCs w:val="20"/>
              </w:rPr>
              <w:t>药剂单价</w:t>
            </w:r>
            <w:r>
              <w:rPr>
                <w:rFonts w:ascii="Times New Roman" w:hAnsi="Times New Roman" w:eastAsia="Times New Roman" w:cs="Times New Roman"/>
                <w:b/>
                <w:bCs/>
                <w:spacing w:val="5"/>
                <w:sz w:val="20"/>
                <w:szCs w:val="20"/>
              </w:rPr>
              <w:t>(</w:t>
            </w:r>
            <w:r>
              <w:rPr>
                <w:b/>
                <w:bCs/>
                <w:spacing w:val="5"/>
                <w:sz w:val="20"/>
                <w:szCs w:val="20"/>
              </w:rPr>
              <w:t>元</w:t>
            </w:r>
            <w:r>
              <w:rPr>
                <w:rFonts w:ascii="Times New Roman" w:hAnsi="Times New Roman" w:eastAsia="Times New Roman" w:cs="Times New Roman"/>
                <w:b/>
                <w:bCs/>
                <w:spacing w:val="5"/>
                <w:sz w:val="20"/>
                <w:szCs w:val="20"/>
              </w:rPr>
              <w:t>/</w:t>
            </w:r>
            <w:r>
              <w:rPr>
                <w:b/>
                <w:bCs/>
                <w:spacing w:val="5"/>
                <w:sz w:val="20"/>
                <w:szCs w:val="20"/>
              </w:rPr>
              <w:t>吨水）</w:t>
            </w:r>
          </w:p>
        </w:tc>
        <w:tc>
          <w:tcPr>
            <w:tcW w:w="148" w:type="dxa"/>
            <w:vMerge w:val="restart"/>
            <w:tcBorders>
              <w:top w:val="nil"/>
              <w:bottom w:val="nil"/>
              <w:right w:val="single" w:color="000000" w:sz="6" w:space="0"/>
            </w:tcBorders>
            <w:vAlign w:val="top"/>
          </w:tcPr>
          <w:p w14:paraId="5D486BC9">
            <w:pPr>
              <w:rPr>
                <w:rFonts w:ascii="Arial"/>
                <w:sz w:val="21"/>
              </w:rPr>
            </w:pPr>
          </w:p>
        </w:tc>
      </w:tr>
      <w:tr w14:paraId="02E20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65B1B543">
            <w:pPr>
              <w:rPr>
                <w:rFonts w:ascii="Arial"/>
                <w:sz w:val="21"/>
              </w:rPr>
            </w:pPr>
          </w:p>
        </w:tc>
        <w:tc>
          <w:tcPr>
            <w:tcW w:w="931" w:type="dxa"/>
            <w:vAlign w:val="top"/>
          </w:tcPr>
          <w:p w14:paraId="0EA9ABAB">
            <w:pPr>
              <w:spacing w:before="137"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63" w:type="dxa"/>
            <w:gridSpan w:val="2"/>
            <w:vAlign w:val="top"/>
          </w:tcPr>
          <w:p w14:paraId="04F70963">
            <w:pPr>
              <w:spacing w:before="136"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PAC</w:t>
            </w:r>
          </w:p>
        </w:tc>
        <w:tc>
          <w:tcPr>
            <w:tcW w:w="1722" w:type="dxa"/>
            <w:gridSpan w:val="3"/>
            <w:vAlign w:val="top"/>
          </w:tcPr>
          <w:p w14:paraId="071DB99D">
            <w:pPr>
              <w:spacing w:before="136"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812" w:type="dxa"/>
            <w:gridSpan w:val="3"/>
            <w:vAlign w:val="top"/>
          </w:tcPr>
          <w:p w14:paraId="77E5BB1B">
            <w:pPr>
              <w:spacing w:before="136"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934" w:type="dxa"/>
            <w:gridSpan w:val="3"/>
            <w:vAlign w:val="top"/>
          </w:tcPr>
          <w:p w14:paraId="7AC97BEF">
            <w:pPr>
              <w:spacing w:before="136"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48" w:type="dxa"/>
            <w:vMerge w:val="continue"/>
            <w:tcBorders>
              <w:top w:val="nil"/>
              <w:bottom w:val="nil"/>
              <w:right w:val="single" w:color="000000" w:sz="6" w:space="0"/>
            </w:tcBorders>
            <w:vAlign w:val="top"/>
          </w:tcPr>
          <w:p w14:paraId="12AF07E5">
            <w:pPr>
              <w:rPr>
                <w:rFonts w:ascii="Arial"/>
                <w:sz w:val="21"/>
              </w:rPr>
            </w:pPr>
          </w:p>
        </w:tc>
      </w:tr>
      <w:tr w14:paraId="2BF6E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0DF0D38B">
            <w:pPr>
              <w:rPr>
                <w:rFonts w:ascii="Arial"/>
                <w:sz w:val="21"/>
              </w:rPr>
            </w:pPr>
          </w:p>
        </w:tc>
        <w:tc>
          <w:tcPr>
            <w:tcW w:w="931" w:type="dxa"/>
            <w:vAlign w:val="top"/>
          </w:tcPr>
          <w:p w14:paraId="5552EE27">
            <w:pPr>
              <w:spacing w:before="139"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63" w:type="dxa"/>
            <w:gridSpan w:val="2"/>
            <w:vAlign w:val="top"/>
          </w:tcPr>
          <w:p w14:paraId="14FCA935">
            <w:pPr>
              <w:spacing w:before="139"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PAM</w:t>
            </w:r>
          </w:p>
        </w:tc>
        <w:tc>
          <w:tcPr>
            <w:tcW w:w="1722" w:type="dxa"/>
            <w:gridSpan w:val="3"/>
            <w:vAlign w:val="top"/>
          </w:tcPr>
          <w:p w14:paraId="64C5F04B">
            <w:pPr>
              <w:spacing w:before="139" w:line="195" w:lineRule="auto"/>
              <w:ind w:left="81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12" w:type="dxa"/>
            <w:gridSpan w:val="3"/>
            <w:vAlign w:val="top"/>
          </w:tcPr>
          <w:p w14:paraId="00A1A4A5">
            <w:pPr>
              <w:spacing w:before="138"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934" w:type="dxa"/>
            <w:gridSpan w:val="3"/>
            <w:vAlign w:val="top"/>
          </w:tcPr>
          <w:p w14:paraId="11156787">
            <w:pPr>
              <w:spacing w:before="138" w:line="195" w:lineRule="auto"/>
              <w:ind w:left="8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48" w:type="dxa"/>
            <w:vMerge w:val="continue"/>
            <w:tcBorders>
              <w:top w:val="nil"/>
              <w:bottom w:val="nil"/>
              <w:right w:val="single" w:color="000000" w:sz="6" w:space="0"/>
            </w:tcBorders>
            <w:vAlign w:val="top"/>
          </w:tcPr>
          <w:p w14:paraId="22C654EB">
            <w:pPr>
              <w:rPr>
                <w:rFonts w:ascii="Arial"/>
                <w:sz w:val="21"/>
              </w:rPr>
            </w:pPr>
          </w:p>
        </w:tc>
      </w:tr>
      <w:tr w14:paraId="73D5E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1DA12D16">
            <w:pPr>
              <w:rPr>
                <w:rFonts w:ascii="Arial"/>
                <w:sz w:val="21"/>
              </w:rPr>
            </w:pPr>
          </w:p>
        </w:tc>
        <w:tc>
          <w:tcPr>
            <w:tcW w:w="931" w:type="dxa"/>
            <w:vAlign w:val="top"/>
          </w:tcPr>
          <w:p w14:paraId="4E77D36F">
            <w:pPr>
              <w:spacing w:before="137"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63" w:type="dxa"/>
            <w:gridSpan w:val="2"/>
            <w:vAlign w:val="top"/>
          </w:tcPr>
          <w:p w14:paraId="1D71ED9C">
            <w:pPr>
              <w:pStyle w:val="6"/>
              <w:spacing w:before="102" w:line="228" w:lineRule="auto"/>
              <w:ind w:left="532"/>
              <w:rPr>
                <w:sz w:val="20"/>
                <w:szCs w:val="20"/>
              </w:rPr>
            </w:pPr>
            <w:r>
              <w:rPr>
                <w:spacing w:val="5"/>
                <w:sz w:val="20"/>
                <w:szCs w:val="20"/>
              </w:rPr>
              <w:t>复合碱</w:t>
            </w:r>
          </w:p>
        </w:tc>
        <w:tc>
          <w:tcPr>
            <w:tcW w:w="1722" w:type="dxa"/>
            <w:gridSpan w:val="3"/>
            <w:vAlign w:val="top"/>
          </w:tcPr>
          <w:p w14:paraId="77963856">
            <w:pPr>
              <w:spacing w:before="137"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812" w:type="dxa"/>
            <w:gridSpan w:val="3"/>
            <w:vAlign w:val="top"/>
          </w:tcPr>
          <w:p w14:paraId="3C3B9CB0">
            <w:pPr>
              <w:spacing w:before="137" w:line="195" w:lineRule="auto"/>
              <w:ind w:left="8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34" w:type="dxa"/>
            <w:gridSpan w:val="3"/>
            <w:vAlign w:val="top"/>
          </w:tcPr>
          <w:p w14:paraId="24AE7397">
            <w:pPr>
              <w:spacing w:before="137"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48" w:type="dxa"/>
            <w:vMerge w:val="continue"/>
            <w:tcBorders>
              <w:top w:val="nil"/>
              <w:bottom w:val="nil"/>
              <w:right w:val="single" w:color="000000" w:sz="6" w:space="0"/>
            </w:tcBorders>
            <w:vAlign w:val="top"/>
          </w:tcPr>
          <w:p w14:paraId="6AC439FD">
            <w:pPr>
              <w:rPr>
                <w:rFonts w:ascii="Arial"/>
                <w:sz w:val="21"/>
              </w:rPr>
            </w:pPr>
          </w:p>
        </w:tc>
      </w:tr>
      <w:tr w14:paraId="42277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7467D642">
            <w:pPr>
              <w:rPr>
                <w:rFonts w:ascii="Arial"/>
                <w:sz w:val="21"/>
              </w:rPr>
            </w:pPr>
          </w:p>
        </w:tc>
        <w:tc>
          <w:tcPr>
            <w:tcW w:w="931" w:type="dxa"/>
            <w:vAlign w:val="top"/>
          </w:tcPr>
          <w:p w14:paraId="00B124BB">
            <w:pPr>
              <w:spacing w:before="139"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63" w:type="dxa"/>
            <w:gridSpan w:val="2"/>
            <w:vAlign w:val="top"/>
          </w:tcPr>
          <w:p w14:paraId="50C296CF">
            <w:pPr>
              <w:pStyle w:val="6"/>
              <w:spacing w:before="103" w:line="229" w:lineRule="auto"/>
              <w:ind w:left="529"/>
              <w:rPr>
                <w:sz w:val="20"/>
                <w:szCs w:val="20"/>
              </w:rPr>
            </w:pPr>
            <w:r>
              <w:rPr>
                <w:spacing w:val="5"/>
                <w:sz w:val="20"/>
                <w:szCs w:val="20"/>
              </w:rPr>
              <w:t>氯化钙</w:t>
            </w:r>
          </w:p>
        </w:tc>
        <w:tc>
          <w:tcPr>
            <w:tcW w:w="1722" w:type="dxa"/>
            <w:gridSpan w:val="3"/>
            <w:vAlign w:val="top"/>
          </w:tcPr>
          <w:p w14:paraId="649BCDAA">
            <w:pPr>
              <w:spacing w:before="139" w:line="195"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812" w:type="dxa"/>
            <w:gridSpan w:val="3"/>
            <w:vAlign w:val="top"/>
          </w:tcPr>
          <w:p w14:paraId="6A95EE88">
            <w:pPr>
              <w:spacing w:before="139" w:line="195"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34" w:type="dxa"/>
            <w:gridSpan w:val="3"/>
            <w:vAlign w:val="top"/>
          </w:tcPr>
          <w:p w14:paraId="51033EB8">
            <w:pPr>
              <w:spacing w:before="139"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8" w:type="dxa"/>
            <w:vMerge w:val="continue"/>
            <w:tcBorders>
              <w:top w:val="nil"/>
              <w:bottom w:val="nil"/>
              <w:right w:val="single" w:color="000000" w:sz="6" w:space="0"/>
            </w:tcBorders>
            <w:vAlign w:val="top"/>
          </w:tcPr>
          <w:p w14:paraId="7BDFFA62">
            <w:pPr>
              <w:rPr>
                <w:rFonts w:ascii="Arial"/>
                <w:sz w:val="21"/>
              </w:rPr>
            </w:pPr>
          </w:p>
        </w:tc>
      </w:tr>
      <w:tr w14:paraId="77A70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776F2635">
            <w:pPr>
              <w:rPr>
                <w:rFonts w:ascii="Arial"/>
                <w:sz w:val="21"/>
              </w:rPr>
            </w:pPr>
          </w:p>
        </w:tc>
        <w:tc>
          <w:tcPr>
            <w:tcW w:w="931" w:type="dxa"/>
            <w:vAlign w:val="top"/>
          </w:tcPr>
          <w:p w14:paraId="36B7B746">
            <w:pPr>
              <w:spacing w:before="141" w:line="192"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63" w:type="dxa"/>
            <w:gridSpan w:val="2"/>
            <w:vAlign w:val="top"/>
          </w:tcPr>
          <w:p w14:paraId="17CEC155">
            <w:pPr>
              <w:pStyle w:val="6"/>
              <w:spacing w:before="102" w:line="228" w:lineRule="auto"/>
              <w:ind w:left="527"/>
              <w:rPr>
                <w:sz w:val="20"/>
                <w:szCs w:val="20"/>
              </w:rPr>
            </w:pPr>
            <w:r>
              <w:rPr>
                <w:spacing w:val="6"/>
                <w:sz w:val="20"/>
                <w:szCs w:val="20"/>
              </w:rPr>
              <w:t>重捕计</w:t>
            </w:r>
          </w:p>
        </w:tc>
        <w:tc>
          <w:tcPr>
            <w:tcW w:w="1722" w:type="dxa"/>
            <w:gridSpan w:val="3"/>
            <w:vAlign w:val="top"/>
          </w:tcPr>
          <w:p w14:paraId="32DA210C">
            <w:pPr>
              <w:spacing w:before="141" w:line="192" w:lineRule="auto"/>
              <w:ind w:left="8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12" w:type="dxa"/>
            <w:gridSpan w:val="3"/>
            <w:vAlign w:val="top"/>
          </w:tcPr>
          <w:p w14:paraId="386BBC41">
            <w:pPr>
              <w:spacing w:before="138" w:line="195"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34" w:type="dxa"/>
            <w:gridSpan w:val="3"/>
            <w:vAlign w:val="top"/>
          </w:tcPr>
          <w:p w14:paraId="5F971CEC">
            <w:pPr>
              <w:spacing w:before="138" w:line="195" w:lineRule="auto"/>
              <w:ind w:left="8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48" w:type="dxa"/>
            <w:vMerge w:val="continue"/>
            <w:tcBorders>
              <w:top w:val="nil"/>
              <w:bottom w:val="nil"/>
              <w:right w:val="single" w:color="000000" w:sz="6" w:space="0"/>
            </w:tcBorders>
            <w:vAlign w:val="top"/>
          </w:tcPr>
          <w:p w14:paraId="4E9A5AE2">
            <w:pPr>
              <w:rPr>
                <w:rFonts w:ascii="Arial"/>
                <w:sz w:val="21"/>
              </w:rPr>
            </w:pPr>
          </w:p>
        </w:tc>
      </w:tr>
      <w:tr w14:paraId="17599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5F0FADBC">
            <w:pPr>
              <w:rPr>
                <w:rFonts w:ascii="Arial"/>
                <w:sz w:val="21"/>
              </w:rPr>
            </w:pPr>
          </w:p>
        </w:tc>
        <w:tc>
          <w:tcPr>
            <w:tcW w:w="931" w:type="dxa"/>
            <w:vAlign w:val="top"/>
          </w:tcPr>
          <w:p w14:paraId="010B3DDA">
            <w:pPr>
              <w:spacing w:before="13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63" w:type="dxa"/>
            <w:gridSpan w:val="2"/>
            <w:vAlign w:val="top"/>
          </w:tcPr>
          <w:p w14:paraId="02974DBB">
            <w:pPr>
              <w:pStyle w:val="6"/>
              <w:spacing w:before="103" w:line="227" w:lineRule="auto"/>
              <w:ind w:left="320"/>
              <w:rPr>
                <w:sz w:val="20"/>
                <w:szCs w:val="20"/>
              </w:rPr>
            </w:pPr>
            <w:r>
              <w:rPr>
                <w:spacing w:val="7"/>
                <w:sz w:val="20"/>
                <w:szCs w:val="20"/>
              </w:rPr>
              <w:t>高效除氟剂</w:t>
            </w:r>
          </w:p>
        </w:tc>
        <w:tc>
          <w:tcPr>
            <w:tcW w:w="1722" w:type="dxa"/>
            <w:gridSpan w:val="3"/>
            <w:vAlign w:val="top"/>
          </w:tcPr>
          <w:p w14:paraId="07B251B2">
            <w:pPr>
              <w:spacing w:before="139"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812" w:type="dxa"/>
            <w:gridSpan w:val="3"/>
            <w:vAlign w:val="top"/>
          </w:tcPr>
          <w:p w14:paraId="09377AFD">
            <w:pPr>
              <w:spacing w:before="142" w:line="192" w:lineRule="auto"/>
              <w:ind w:left="8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34" w:type="dxa"/>
            <w:gridSpan w:val="3"/>
            <w:vAlign w:val="top"/>
          </w:tcPr>
          <w:p w14:paraId="5DCC1319">
            <w:pPr>
              <w:spacing w:before="139" w:line="195" w:lineRule="auto"/>
              <w:ind w:left="8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8" w:type="dxa"/>
            <w:vMerge w:val="continue"/>
            <w:tcBorders>
              <w:top w:val="nil"/>
              <w:bottom w:val="nil"/>
              <w:right w:val="single" w:color="000000" w:sz="6" w:space="0"/>
            </w:tcBorders>
            <w:vAlign w:val="top"/>
          </w:tcPr>
          <w:p w14:paraId="56E26D29">
            <w:pPr>
              <w:rPr>
                <w:rFonts w:ascii="Arial"/>
                <w:sz w:val="21"/>
              </w:rPr>
            </w:pPr>
          </w:p>
        </w:tc>
      </w:tr>
      <w:tr w14:paraId="10AF1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4B50CDA8">
            <w:pPr>
              <w:rPr>
                <w:rFonts w:ascii="Arial"/>
                <w:sz w:val="21"/>
              </w:rPr>
            </w:pPr>
          </w:p>
        </w:tc>
        <w:tc>
          <w:tcPr>
            <w:tcW w:w="6128" w:type="dxa"/>
            <w:gridSpan w:val="9"/>
            <w:vAlign w:val="top"/>
          </w:tcPr>
          <w:p w14:paraId="347D141B">
            <w:pPr>
              <w:pStyle w:val="6"/>
              <w:spacing w:before="105" w:line="227" w:lineRule="auto"/>
              <w:ind w:left="713"/>
              <w:rPr>
                <w:sz w:val="20"/>
                <w:szCs w:val="20"/>
              </w:rPr>
            </w:pPr>
            <w:r>
              <w:rPr>
                <w:spacing w:val="6"/>
                <w:sz w:val="20"/>
                <w:szCs w:val="20"/>
              </w:rPr>
              <w:t>吨水药剂费用（元</w:t>
            </w:r>
            <w:r>
              <w:rPr>
                <w:rFonts w:ascii="Times New Roman" w:hAnsi="Times New Roman" w:eastAsia="Times New Roman" w:cs="Times New Roman"/>
                <w:spacing w:val="6"/>
                <w:sz w:val="20"/>
                <w:szCs w:val="20"/>
              </w:rPr>
              <w:t>/m³</w:t>
            </w:r>
            <w:r>
              <w:rPr>
                <w:spacing w:val="6"/>
                <w:sz w:val="20"/>
                <w:szCs w:val="20"/>
              </w:rPr>
              <w:t>) （按照</w:t>
            </w:r>
            <w:r>
              <w:rPr>
                <w:spacing w:val="-28"/>
                <w:sz w:val="20"/>
                <w:szCs w:val="20"/>
              </w:rPr>
              <w:t xml:space="preserve"> </w:t>
            </w:r>
            <w:r>
              <w:rPr>
                <w:rFonts w:ascii="Times New Roman" w:hAnsi="Times New Roman" w:eastAsia="Times New Roman" w:cs="Times New Roman"/>
                <w:spacing w:val="6"/>
                <w:sz w:val="20"/>
                <w:szCs w:val="20"/>
              </w:rPr>
              <w:t xml:space="preserve">600m³/d </w:t>
            </w:r>
            <w:r>
              <w:rPr>
                <w:spacing w:val="6"/>
                <w:sz w:val="20"/>
                <w:szCs w:val="20"/>
              </w:rPr>
              <w:t>满负荷计算）</w:t>
            </w:r>
          </w:p>
        </w:tc>
        <w:tc>
          <w:tcPr>
            <w:tcW w:w="1934" w:type="dxa"/>
            <w:gridSpan w:val="3"/>
            <w:vAlign w:val="top"/>
          </w:tcPr>
          <w:p w14:paraId="7D2F9498">
            <w:pPr>
              <w:spacing w:before="141" w:line="195" w:lineRule="auto"/>
              <w:ind w:left="8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48" w:type="dxa"/>
            <w:vMerge w:val="continue"/>
            <w:tcBorders>
              <w:top w:val="nil"/>
              <w:bottom w:val="nil"/>
              <w:right w:val="single" w:color="000000" w:sz="6" w:space="0"/>
            </w:tcBorders>
            <w:vAlign w:val="top"/>
          </w:tcPr>
          <w:p w14:paraId="3C8DFD0F">
            <w:pPr>
              <w:rPr>
                <w:rFonts w:ascii="Arial"/>
                <w:sz w:val="21"/>
              </w:rPr>
            </w:pPr>
          </w:p>
        </w:tc>
      </w:tr>
      <w:tr w14:paraId="21711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778" w:type="dxa"/>
            <w:vMerge w:val="continue"/>
            <w:tcBorders>
              <w:top w:val="nil"/>
              <w:left w:val="single" w:color="000000" w:sz="6" w:space="0"/>
              <w:bottom w:val="nil"/>
            </w:tcBorders>
            <w:vAlign w:val="top"/>
          </w:tcPr>
          <w:p w14:paraId="1D7BCA14">
            <w:pPr>
              <w:rPr>
                <w:rFonts w:ascii="Arial"/>
                <w:sz w:val="21"/>
              </w:rPr>
            </w:pPr>
          </w:p>
        </w:tc>
        <w:tc>
          <w:tcPr>
            <w:tcW w:w="8210" w:type="dxa"/>
            <w:gridSpan w:val="13"/>
            <w:tcBorders>
              <w:right w:val="single" w:color="000000" w:sz="6" w:space="0"/>
            </w:tcBorders>
            <w:vAlign w:val="top"/>
          </w:tcPr>
          <w:p w14:paraId="5D996F30">
            <w:pPr>
              <w:pStyle w:val="6"/>
              <w:spacing w:before="166" w:line="217" w:lineRule="auto"/>
              <w:ind w:left="588"/>
            </w:pPr>
            <w:r>
              <w:rPr>
                <w:spacing w:val="-2"/>
              </w:rPr>
              <w:t>④污泥处置费用</w:t>
            </w:r>
          </w:p>
          <w:p w14:paraId="54BAC02E">
            <w:pPr>
              <w:pStyle w:val="6"/>
              <w:spacing w:before="306" w:line="219" w:lineRule="auto"/>
              <w:ind w:left="2268"/>
            </w:pPr>
            <w:r>
              <w:rPr>
                <w:b/>
                <w:bCs/>
                <w:spacing w:val="-3"/>
              </w:rPr>
              <w:t>表</w:t>
            </w:r>
            <w:r>
              <w:rPr>
                <w:spacing w:val="-42"/>
              </w:rPr>
              <w:t xml:space="preserve"> </w:t>
            </w:r>
            <w:r>
              <w:rPr>
                <w:b/>
                <w:bCs/>
                <w:spacing w:val="-3"/>
              </w:rPr>
              <w:t>2-16</w:t>
            </w:r>
            <w:r>
              <w:rPr>
                <w:spacing w:val="-3"/>
              </w:rPr>
              <w:t xml:space="preserve">  </w:t>
            </w:r>
            <w:r>
              <w:rPr>
                <w:b/>
                <w:bCs/>
                <w:spacing w:val="-3"/>
              </w:rPr>
              <w:t>项目废水站污泥处置费用</w:t>
            </w:r>
          </w:p>
        </w:tc>
      </w:tr>
      <w:tr w14:paraId="4C4C3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778" w:type="dxa"/>
            <w:vMerge w:val="continue"/>
            <w:tcBorders>
              <w:top w:val="nil"/>
              <w:left w:val="single" w:color="000000" w:sz="6" w:space="0"/>
              <w:bottom w:val="nil"/>
            </w:tcBorders>
            <w:vAlign w:val="top"/>
          </w:tcPr>
          <w:p w14:paraId="52655176">
            <w:pPr>
              <w:rPr>
                <w:rFonts w:ascii="Arial"/>
                <w:sz w:val="21"/>
              </w:rPr>
            </w:pPr>
          </w:p>
        </w:tc>
        <w:tc>
          <w:tcPr>
            <w:tcW w:w="931" w:type="dxa"/>
            <w:vAlign w:val="top"/>
          </w:tcPr>
          <w:p w14:paraId="62A8F762">
            <w:pPr>
              <w:pStyle w:val="6"/>
              <w:spacing w:before="303" w:line="229" w:lineRule="auto"/>
              <w:ind w:left="307"/>
              <w:rPr>
                <w:sz w:val="20"/>
                <w:szCs w:val="20"/>
              </w:rPr>
            </w:pPr>
            <w:r>
              <w:rPr>
                <w:b/>
                <w:bCs/>
                <w:spacing w:val="4"/>
                <w:sz w:val="20"/>
                <w:szCs w:val="20"/>
              </w:rPr>
              <w:t>序号</w:t>
            </w:r>
          </w:p>
        </w:tc>
        <w:tc>
          <w:tcPr>
            <w:tcW w:w="2742" w:type="dxa"/>
            <w:gridSpan w:val="4"/>
            <w:vAlign w:val="top"/>
          </w:tcPr>
          <w:p w14:paraId="1B8E0196">
            <w:pPr>
              <w:pStyle w:val="6"/>
              <w:spacing w:before="303" w:line="230" w:lineRule="auto"/>
              <w:ind w:left="1153"/>
              <w:rPr>
                <w:sz w:val="20"/>
                <w:szCs w:val="20"/>
              </w:rPr>
            </w:pPr>
            <w:r>
              <w:rPr>
                <w:b/>
                <w:bCs/>
                <w:spacing w:val="2"/>
                <w:sz w:val="20"/>
                <w:szCs w:val="20"/>
              </w:rPr>
              <w:t>名称</w:t>
            </w:r>
          </w:p>
        </w:tc>
        <w:tc>
          <w:tcPr>
            <w:tcW w:w="1606" w:type="dxa"/>
            <w:gridSpan w:val="3"/>
            <w:vAlign w:val="top"/>
          </w:tcPr>
          <w:p w14:paraId="1E2CCC70">
            <w:pPr>
              <w:pStyle w:val="6"/>
              <w:spacing w:before="303" w:line="221" w:lineRule="auto"/>
              <w:ind w:left="172"/>
              <w:rPr>
                <w:rFonts w:ascii="Times New Roman" w:hAnsi="Times New Roman" w:eastAsia="Times New Roman" w:cs="Times New Roman"/>
                <w:sz w:val="20"/>
                <w:szCs w:val="20"/>
              </w:rPr>
            </w:pPr>
            <w:r>
              <w:rPr>
                <w:b/>
                <w:bCs/>
                <w:spacing w:val="5"/>
                <w:sz w:val="20"/>
                <w:szCs w:val="20"/>
              </w:rPr>
              <w:t>产泥量</w:t>
            </w:r>
            <w:r>
              <w:rPr>
                <w:rFonts w:ascii="Times New Roman" w:hAnsi="Times New Roman" w:eastAsia="Times New Roman" w:cs="Times New Roman"/>
                <w:b/>
                <w:bCs/>
                <w:spacing w:val="5"/>
                <w:sz w:val="20"/>
                <w:szCs w:val="20"/>
              </w:rPr>
              <w:t>(</w:t>
            </w:r>
            <w:r>
              <w:rPr>
                <w:b/>
                <w:bCs/>
                <w:spacing w:val="5"/>
                <w:sz w:val="20"/>
                <w:szCs w:val="20"/>
              </w:rPr>
              <w:t>吨</w:t>
            </w:r>
            <w:r>
              <w:rPr>
                <w:rFonts w:ascii="Times New Roman" w:hAnsi="Times New Roman" w:eastAsia="Times New Roman" w:cs="Times New Roman"/>
                <w:b/>
                <w:bCs/>
                <w:spacing w:val="5"/>
                <w:sz w:val="20"/>
                <w:szCs w:val="20"/>
              </w:rPr>
              <w:t>/</w:t>
            </w:r>
            <w:r>
              <w:rPr>
                <w:b/>
                <w:bCs/>
                <w:spacing w:val="5"/>
                <w:sz w:val="20"/>
                <w:szCs w:val="20"/>
              </w:rPr>
              <w:t>天</w:t>
            </w:r>
            <w:r>
              <w:rPr>
                <w:rFonts w:ascii="Times New Roman" w:hAnsi="Times New Roman" w:eastAsia="Times New Roman" w:cs="Times New Roman"/>
                <w:b/>
                <w:bCs/>
                <w:spacing w:val="5"/>
                <w:sz w:val="20"/>
                <w:szCs w:val="20"/>
              </w:rPr>
              <w:t>)</w:t>
            </w:r>
          </w:p>
        </w:tc>
        <w:tc>
          <w:tcPr>
            <w:tcW w:w="1332" w:type="dxa"/>
            <w:gridSpan w:val="3"/>
            <w:vAlign w:val="top"/>
          </w:tcPr>
          <w:p w14:paraId="5DF41EFD">
            <w:pPr>
              <w:pStyle w:val="6"/>
              <w:spacing w:before="303" w:line="221" w:lineRule="auto"/>
              <w:ind w:left="145"/>
              <w:rPr>
                <w:rFonts w:ascii="Times New Roman" w:hAnsi="Times New Roman" w:eastAsia="Times New Roman" w:cs="Times New Roman"/>
                <w:sz w:val="20"/>
                <w:szCs w:val="20"/>
              </w:rPr>
            </w:pPr>
            <w:r>
              <w:rPr>
                <w:b/>
                <w:bCs/>
                <w:spacing w:val="4"/>
                <w:sz w:val="20"/>
                <w:szCs w:val="20"/>
              </w:rPr>
              <w:t>单价</w:t>
            </w:r>
            <w:r>
              <w:rPr>
                <w:rFonts w:ascii="Times New Roman" w:hAnsi="Times New Roman" w:eastAsia="Times New Roman" w:cs="Times New Roman"/>
                <w:b/>
                <w:bCs/>
                <w:spacing w:val="4"/>
                <w:sz w:val="20"/>
                <w:szCs w:val="20"/>
              </w:rPr>
              <w:t>(</w:t>
            </w:r>
            <w:r>
              <w:rPr>
                <w:b/>
                <w:bCs/>
                <w:spacing w:val="4"/>
                <w:sz w:val="20"/>
                <w:szCs w:val="20"/>
              </w:rPr>
              <w:t>元</w:t>
            </w:r>
            <w:r>
              <w:rPr>
                <w:rFonts w:ascii="Times New Roman" w:hAnsi="Times New Roman" w:eastAsia="Times New Roman" w:cs="Times New Roman"/>
                <w:b/>
                <w:bCs/>
                <w:spacing w:val="4"/>
                <w:sz w:val="20"/>
                <w:szCs w:val="20"/>
              </w:rPr>
              <w:t>/</w:t>
            </w:r>
            <w:r>
              <w:rPr>
                <w:b/>
                <w:bCs/>
                <w:spacing w:val="4"/>
                <w:sz w:val="20"/>
                <w:szCs w:val="20"/>
              </w:rPr>
              <w:t>吨</w:t>
            </w:r>
            <w:r>
              <w:rPr>
                <w:rFonts w:ascii="Times New Roman" w:hAnsi="Times New Roman" w:eastAsia="Times New Roman" w:cs="Times New Roman"/>
                <w:b/>
                <w:bCs/>
                <w:spacing w:val="4"/>
                <w:sz w:val="20"/>
                <w:szCs w:val="20"/>
              </w:rPr>
              <w:t>)</w:t>
            </w:r>
          </w:p>
        </w:tc>
        <w:tc>
          <w:tcPr>
            <w:tcW w:w="1451" w:type="dxa"/>
            <w:vAlign w:val="top"/>
          </w:tcPr>
          <w:p w14:paraId="42562A3C">
            <w:pPr>
              <w:pStyle w:val="6"/>
              <w:spacing w:before="303" w:line="221" w:lineRule="auto"/>
              <w:ind w:left="120"/>
              <w:rPr>
                <w:rFonts w:ascii="Times New Roman" w:hAnsi="Times New Roman" w:eastAsia="Times New Roman" w:cs="Times New Roman"/>
                <w:sz w:val="20"/>
                <w:szCs w:val="20"/>
              </w:rPr>
            </w:pPr>
            <w:r>
              <w:rPr>
                <w:b/>
                <w:bCs/>
                <w:spacing w:val="4"/>
                <w:sz w:val="20"/>
                <w:szCs w:val="20"/>
              </w:rPr>
              <w:t>总费用</w:t>
            </w:r>
            <w:r>
              <w:rPr>
                <w:rFonts w:ascii="Times New Roman" w:hAnsi="Times New Roman" w:eastAsia="Times New Roman" w:cs="Times New Roman"/>
                <w:b/>
                <w:bCs/>
                <w:spacing w:val="4"/>
                <w:sz w:val="20"/>
                <w:szCs w:val="20"/>
              </w:rPr>
              <w:t>(</w:t>
            </w:r>
            <w:r>
              <w:rPr>
                <w:b/>
                <w:bCs/>
                <w:spacing w:val="4"/>
                <w:sz w:val="20"/>
                <w:szCs w:val="20"/>
              </w:rPr>
              <w:t>元</w:t>
            </w:r>
            <w:r>
              <w:rPr>
                <w:rFonts w:ascii="Times New Roman" w:hAnsi="Times New Roman" w:eastAsia="Times New Roman" w:cs="Times New Roman"/>
                <w:b/>
                <w:bCs/>
                <w:spacing w:val="4"/>
                <w:sz w:val="20"/>
                <w:szCs w:val="20"/>
              </w:rPr>
              <w:t>/</w:t>
            </w:r>
            <w:r>
              <w:rPr>
                <w:b/>
                <w:bCs/>
                <w:spacing w:val="4"/>
                <w:sz w:val="20"/>
                <w:szCs w:val="20"/>
              </w:rPr>
              <w:t>天</w:t>
            </w:r>
            <w:r>
              <w:rPr>
                <w:rFonts w:ascii="Times New Roman" w:hAnsi="Times New Roman" w:eastAsia="Times New Roman" w:cs="Times New Roman"/>
                <w:b/>
                <w:bCs/>
                <w:spacing w:val="4"/>
                <w:sz w:val="20"/>
                <w:szCs w:val="20"/>
              </w:rPr>
              <w:t>)</w:t>
            </w:r>
          </w:p>
        </w:tc>
        <w:tc>
          <w:tcPr>
            <w:tcW w:w="148" w:type="dxa"/>
            <w:vMerge w:val="restart"/>
            <w:tcBorders>
              <w:top w:val="nil"/>
              <w:bottom w:val="nil"/>
              <w:right w:val="single" w:color="000000" w:sz="6" w:space="0"/>
            </w:tcBorders>
            <w:vAlign w:val="top"/>
          </w:tcPr>
          <w:p w14:paraId="52F701FA">
            <w:pPr>
              <w:rPr>
                <w:rFonts w:ascii="Arial"/>
                <w:sz w:val="21"/>
              </w:rPr>
            </w:pPr>
          </w:p>
        </w:tc>
      </w:tr>
      <w:tr w14:paraId="1A905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78" w:type="dxa"/>
            <w:vMerge w:val="continue"/>
            <w:tcBorders>
              <w:top w:val="nil"/>
              <w:left w:val="single" w:color="000000" w:sz="6" w:space="0"/>
              <w:bottom w:val="nil"/>
            </w:tcBorders>
            <w:vAlign w:val="top"/>
          </w:tcPr>
          <w:p w14:paraId="0A022584">
            <w:pPr>
              <w:rPr>
                <w:rFonts w:ascii="Arial"/>
                <w:sz w:val="21"/>
              </w:rPr>
            </w:pPr>
          </w:p>
        </w:tc>
        <w:tc>
          <w:tcPr>
            <w:tcW w:w="931" w:type="dxa"/>
            <w:vAlign w:val="top"/>
          </w:tcPr>
          <w:p w14:paraId="45213C9F">
            <w:pPr>
              <w:spacing w:before="14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42" w:type="dxa"/>
            <w:gridSpan w:val="4"/>
            <w:vAlign w:val="top"/>
          </w:tcPr>
          <w:p w14:paraId="5089FD53">
            <w:pPr>
              <w:pStyle w:val="6"/>
              <w:spacing w:before="104" w:line="227" w:lineRule="auto"/>
              <w:ind w:left="104"/>
              <w:rPr>
                <w:sz w:val="20"/>
                <w:szCs w:val="20"/>
              </w:rPr>
            </w:pPr>
            <w:r>
              <w:rPr>
                <w:spacing w:val="8"/>
                <w:sz w:val="20"/>
                <w:szCs w:val="20"/>
              </w:rPr>
              <w:t>危险废物（电镀废水污泥）</w:t>
            </w:r>
          </w:p>
        </w:tc>
        <w:tc>
          <w:tcPr>
            <w:tcW w:w="1606" w:type="dxa"/>
            <w:gridSpan w:val="3"/>
            <w:vAlign w:val="top"/>
          </w:tcPr>
          <w:p w14:paraId="623D1B54">
            <w:pPr>
              <w:spacing w:before="140"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3.29</w:t>
            </w:r>
          </w:p>
        </w:tc>
        <w:tc>
          <w:tcPr>
            <w:tcW w:w="1332" w:type="dxa"/>
            <w:gridSpan w:val="3"/>
            <w:vAlign w:val="top"/>
          </w:tcPr>
          <w:p w14:paraId="6277F608">
            <w:pPr>
              <w:spacing w:before="140"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451" w:type="dxa"/>
            <w:vAlign w:val="top"/>
          </w:tcPr>
          <w:p w14:paraId="02B6E877">
            <w:pPr>
              <w:spacing w:before="140"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8225</w:t>
            </w:r>
          </w:p>
        </w:tc>
        <w:tc>
          <w:tcPr>
            <w:tcW w:w="148" w:type="dxa"/>
            <w:vMerge w:val="continue"/>
            <w:tcBorders>
              <w:top w:val="nil"/>
              <w:bottom w:val="nil"/>
              <w:right w:val="single" w:color="000000" w:sz="6" w:space="0"/>
            </w:tcBorders>
            <w:vAlign w:val="top"/>
          </w:tcPr>
          <w:p w14:paraId="0FC0DF6C">
            <w:pPr>
              <w:rPr>
                <w:rFonts w:ascii="Arial"/>
                <w:sz w:val="21"/>
              </w:rPr>
            </w:pPr>
          </w:p>
        </w:tc>
      </w:tr>
      <w:tr w14:paraId="38B35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78" w:type="dxa"/>
            <w:vMerge w:val="continue"/>
            <w:tcBorders>
              <w:top w:val="nil"/>
              <w:left w:val="single" w:color="000000" w:sz="6" w:space="0"/>
              <w:bottom w:val="nil"/>
            </w:tcBorders>
            <w:vAlign w:val="top"/>
          </w:tcPr>
          <w:p w14:paraId="2097C861">
            <w:pPr>
              <w:rPr>
                <w:rFonts w:ascii="Arial"/>
                <w:sz w:val="21"/>
              </w:rPr>
            </w:pPr>
          </w:p>
        </w:tc>
        <w:tc>
          <w:tcPr>
            <w:tcW w:w="931" w:type="dxa"/>
            <w:vAlign w:val="top"/>
          </w:tcPr>
          <w:p w14:paraId="725304CE">
            <w:pPr>
              <w:rPr>
                <w:rFonts w:ascii="Arial"/>
                <w:sz w:val="21"/>
              </w:rPr>
            </w:pPr>
          </w:p>
        </w:tc>
        <w:tc>
          <w:tcPr>
            <w:tcW w:w="2742" w:type="dxa"/>
            <w:gridSpan w:val="4"/>
            <w:vAlign w:val="top"/>
          </w:tcPr>
          <w:p w14:paraId="6953584D">
            <w:pPr>
              <w:pStyle w:val="6"/>
              <w:spacing w:before="107" w:line="228" w:lineRule="auto"/>
              <w:ind w:left="704"/>
              <w:rPr>
                <w:sz w:val="20"/>
                <w:szCs w:val="20"/>
              </w:rPr>
            </w:pPr>
            <w:r>
              <w:rPr>
                <w:spacing w:val="6"/>
                <w:sz w:val="20"/>
                <w:szCs w:val="20"/>
              </w:rPr>
              <w:t>合计（元</w:t>
            </w:r>
            <w:r>
              <w:rPr>
                <w:rFonts w:ascii="Times New Roman" w:hAnsi="Times New Roman" w:eastAsia="Times New Roman" w:cs="Times New Roman"/>
                <w:spacing w:val="6"/>
                <w:sz w:val="20"/>
                <w:szCs w:val="20"/>
              </w:rPr>
              <w:t>/</w:t>
            </w:r>
            <w:r>
              <w:rPr>
                <w:spacing w:val="6"/>
                <w:sz w:val="20"/>
                <w:szCs w:val="20"/>
              </w:rPr>
              <w:t>天）</w:t>
            </w:r>
          </w:p>
        </w:tc>
        <w:tc>
          <w:tcPr>
            <w:tcW w:w="1606" w:type="dxa"/>
            <w:gridSpan w:val="3"/>
            <w:vAlign w:val="top"/>
          </w:tcPr>
          <w:p w14:paraId="78464368">
            <w:pPr>
              <w:spacing w:before="142"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3.29</w:t>
            </w:r>
          </w:p>
        </w:tc>
        <w:tc>
          <w:tcPr>
            <w:tcW w:w="1332" w:type="dxa"/>
            <w:gridSpan w:val="3"/>
            <w:vAlign w:val="top"/>
          </w:tcPr>
          <w:p w14:paraId="72AF49B7">
            <w:pPr>
              <w:spacing w:before="139" w:line="199"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51" w:type="dxa"/>
            <w:vAlign w:val="top"/>
          </w:tcPr>
          <w:p w14:paraId="57FACF19">
            <w:pPr>
              <w:spacing w:before="14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8225</w:t>
            </w:r>
          </w:p>
        </w:tc>
        <w:tc>
          <w:tcPr>
            <w:tcW w:w="148" w:type="dxa"/>
            <w:vMerge w:val="continue"/>
            <w:tcBorders>
              <w:top w:val="nil"/>
              <w:bottom w:val="nil"/>
              <w:right w:val="single" w:color="000000" w:sz="6" w:space="0"/>
            </w:tcBorders>
            <w:vAlign w:val="top"/>
          </w:tcPr>
          <w:p w14:paraId="29E7A18E">
            <w:pPr>
              <w:rPr>
                <w:rFonts w:ascii="Arial"/>
                <w:sz w:val="21"/>
              </w:rPr>
            </w:pPr>
          </w:p>
        </w:tc>
      </w:tr>
      <w:tr w14:paraId="4CB43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778" w:type="dxa"/>
            <w:vMerge w:val="continue"/>
            <w:tcBorders>
              <w:top w:val="nil"/>
              <w:left w:val="single" w:color="000000" w:sz="6" w:space="0"/>
              <w:bottom w:val="single" w:color="000000" w:sz="6" w:space="0"/>
            </w:tcBorders>
            <w:vAlign w:val="top"/>
          </w:tcPr>
          <w:p w14:paraId="0F1FE06C">
            <w:pPr>
              <w:rPr>
                <w:rFonts w:ascii="Arial"/>
                <w:sz w:val="21"/>
              </w:rPr>
            </w:pPr>
          </w:p>
        </w:tc>
        <w:tc>
          <w:tcPr>
            <w:tcW w:w="931" w:type="dxa"/>
            <w:tcBorders>
              <w:bottom w:val="single" w:color="000000" w:sz="6" w:space="0"/>
            </w:tcBorders>
            <w:vAlign w:val="top"/>
          </w:tcPr>
          <w:p w14:paraId="65F46CF0">
            <w:pPr>
              <w:rPr>
                <w:rFonts w:ascii="Arial"/>
                <w:sz w:val="21"/>
              </w:rPr>
            </w:pPr>
          </w:p>
        </w:tc>
        <w:tc>
          <w:tcPr>
            <w:tcW w:w="2742" w:type="dxa"/>
            <w:gridSpan w:val="4"/>
            <w:tcBorders>
              <w:bottom w:val="single" w:color="000000" w:sz="6" w:space="0"/>
            </w:tcBorders>
            <w:vAlign w:val="top"/>
          </w:tcPr>
          <w:p w14:paraId="1C072EF3">
            <w:pPr>
              <w:pStyle w:val="6"/>
              <w:spacing w:before="146" w:line="221" w:lineRule="auto"/>
              <w:ind w:left="144"/>
              <w:rPr>
                <w:sz w:val="20"/>
                <w:szCs w:val="20"/>
              </w:rPr>
            </w:pPr>
            <w:r>
              <w:rPr>
                <w:spacing w:val="8"/>
                <w:sz w:val="20"/>
                <w:szCs w:val="20"/>
              </w:rPr>
              <w:t>折合吨水污泥处理费</w:t>
            </w:r>
            <w:r>
              <w:rPr>
                <w:rFonts w:ascii="Times New Roman" w:hAnsi="Times New Roman" w:eastAsia="Times New Roman" w:cs="Times New Roman"/>
                <w:spacing w:val="8"/>
                <w:sz w:val="20"/>
                <w:szCs w:val="20"/>
              </w:rPr>
              <w:t>(</w:t>
            </w:r>
            <w:r>
              <w:rPr>
                <w:spacing w:val="8"/>
                <w:sz w:val="20"/>
                <w:szCs w:val="20"/>
              </w:rPr>
              <w:t>元</w:t>
            </w:r>
            <w:r>
              <w:rPr>
                <w:rFonts w:ascii="Times New Roman" w:hAnsi="Times New Roman" w:eastAsia="Times New Roman" w:cs="Times New Roman"/>
                <w:spacing w:val="8"/>
                <w:sz w:val="20"/>
                <w:szCs w:val="20"/>
              </w:rPr>
              <w:t>/</w:t>
            </w:r>
            <w:r>
              <w:rPr>
                <w:spacing w:val="8"/>
                <w:sz w:val="20"/>
                <w:szCs w:val="20"/>
              </w:rPr>
              <w:t>吨</w:t>
            </w:r>
          </w:p>
          <w:p w14:paraId="1216AD4D">
            <w:pPr>
              <w:pStyle w:val="6"/>
              <w:spacing w:before="31" w:line="221" w:lineRule="auto"/>
              <w:ind w:left="99"/>
              <w:rPr>
                <w:sz w:val="20"/>
                <w:szCs w:val="20"/>
              </w:rPr>
            </w:pPr>
            <w:r>
              <w:rPr>
                <w:spacing w:val="3"/>
                <w:sz w:val="20"/>
                <w:szCs w:val="20"/>
              </w:rPr>
              <w:t>水</w:t>
            </w:r>
            <w:r>
              <w:rPr>
                <w:rFonts w:ascii="Times New Roman" w:hAnsi="Times New Roman" w:eastAsia="Times New Roman" w:cs="Times New Roman"/>
                <w:spacing w:val="3"/>
                <w:sz w:val="20"/>
                <w:szCs w:val="20"/>
              </w:rPr>
              <w:t>)</w:t>
            </w:r>
            <w:r>
              <w:rPr>
                <w:spacing w:val="3"/>
                <w:sz w:val="20"/>
                <w:szCs w:val="20"/>
              </w:rPr>
              <w:t>（按照</w:t>
            </w:r>
            <w:r>
              <w:rPr>
                <w:spacing w:val="-23"/>
                <w:sz w:val="20"/>
                <w:szCs w:val="20"/>
              </w:rPr>
              <w:t xml:space="preserve"> </w:t>
            </w:r>
            <w:r>
              <w:rPr>
                <w:rFonts w:ascii="Times New Roman" w:hAnsi="Times New Roman" w:eastAsia="Times New Roman" w:cs="Times New Roman"/>
                <w:spacing w:val="3"/>
                <w:sz w:val="20"/>
                <w:szCs w:val="20"/>
              </w:rPr>
              <w:t xml:space="preserve">600m³/d </w:t>
            </w:r>
            <w:r>
              <w:rPr>
                <w:spacing w:val="3"/>
                <w:sz w:val="20"/>
                <w:szCs w:val="20"/>
              </w:rPr>
              <w:t>满负荷计</w:t>
            </w:r>
          </w:p>
          <w:p w14:paraId="159F07C5">
            <w:pPr>
              <w:pStyle w:val="6"/>
              <w:spacing w:before="31" w:line="228" w:lineRule="auto"/>
              <w:ind w:left="1154"/>
              <w:rPr>
                <w:sz w:val="20"/>
                <w:szCs w:val="20"/>
              </w:rPr>
            </w:pPr>
            <w:r>
              <w:rPr>
                <w:spacing w:val="-1"/>
                <w:sz w:val="20"/>
                <w:szCs w:val="20"/>
              </w:rPr>
              <w:t>算）</w:t>
            </w:r>
          </w:p>
        </w:tc>
        <w:tc>
          <w:tcPr>
            <w:tcW w:w="1606" w:type="dxa"/>
            <w:gridSpan w:val="3"/>
            <w:tcBorders>
              <w:bottom w:val="single" w:color="000000" w:sz="6" w:space="0"/>
            </w:tcBorders>
            <w:vAlign w:val="top"/>
          </w:tcPr>
          <w:p w14:paraId="0D2AFF7A">
            <w:pPr>
              <w:spacing w:line="389" w:lineRule="auto"/>
              <w:rPr>
                <w:rFonts w:ascii="Arial"/>
                <w:sz w:val="21"/>
              </w:rPr>
            </w:pPr>
          </w:p>
          <w:p w14:paraId="44D1594D">
            <w:pPr>
              <w:spacing w:before="58" w:line="199"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2" w:type="dxa"/>
            <w:gridSpan w:val="3"/>
            <w:tcBorders>
              <w:bottom w:val="single" w:color="000000" w:sz="6" w:space="0"/>
            </w:tcBorders>
            <w:vAlign w:val="top"/>
          </w:tcPr>
          <w:p w14:paraId="0DE81DDD">
            <w:pPr>
              <w:spacing w:line="389" w:lineRule="auto"/>
              <w:rPr>
                <w:rFonts w:ascii="Arial"/>
                <w:sz w:val="21"/>
              </w:rPr>
            </w:pPr>
          </w:p>
          <w:p w14:paraId="3E4786A4">
            <w:pPr>
              <w:spacing w:before="58" w:line="199"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51" w:type="dxa"/>
            <w:tcBorders>
              <w:bottom w:val="single" w:color="000000" w:sz="6" w:space="0"/>
            </w:tcBorders>
            <w:vAlign w:val="top"/>
          </w:tcPr>
          <w:p w14:paraId="426F49AE">
            <w:pPr>
              <w:spacing w:line="393" w:lineRule="auto"/>
              <w:rPr>
                <w:rFonts w:ascii="Arial"/>
                <w:sz w:val="21"/>
              </w:rPr>
            </w:pPr>
          </w:p>
          <w:p w14:paraId="6340447F">
            <w:pPr>
              <w:spacing w:before="58"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13.71</w:t>
            </w:r>
          </w:p>
        </w:tc>
        <w:tc>
          <w:tcPr>
            <w:tcW w:w="148" w:type="dxa"/>
            <w:vMerge w:val="continue"/>
            <w:tcBorders>
              <w:top w:val="nil"/>
              <w:bottom w:val="single" w:color="000000" w:sz="6" w:space="0"/>
              <w:right w:val="single" w:color="000000" w:sz="6" w:space="0"/>
            </w:tcBorders>
            <w:vAlign w:val="top"/>
          </w:tcPr>
          <w:p w14:paraId="1A0FC95E">
            <w:pPr>
              <w:rPr>
                <w:rFonts w:ascii="Arial"/>
                <w:sz w:val="21"/>
              </w:rPr>
            </w:pPr>
          </w:p>
        </w:tc>
      </w:tr>
    </w:tbl>
    <w:p w14:paraId="25148443">
      <w:pPr>
        <w:rPr>
          <w:rFonts w:ascii="Arial"/>
          <w:sz w:val="21"/>
        </w:rPr>
      </w:pPr>
    </w:p>
    <w:p w14:paraId="406C9D09">
      <w:pPr>
        <w:rPr>
          <w:rFonts w:ascii="Arial" w:hAnsi="Arial" w:eastAsia="Arial" w:cs="Arial"/>
          <w:sz w:val="21"/>
          <w:szCs w:val="21"/>
        </w:rPr>
        <w:sectPr>
          <w:footerReference r:id="rId40" w:type="default"/>
          <w:pgSz w:w="11906" w:h="16839"/>
          <w:pgMar w:top="400" w:right="1451" w:bottom="1240" w:left="1451" w:header="0" w:footer="1078" w:gutter="0"/>
          <w:cols w:space="720" w:num="1"/>
        </w:sectPr>
      </w:pPr>
    </w:p>
    <w:p w14:paraId="1C576B36">
      <w:pPr>
        <w:spacing w:before="19"/>
      </w:pPr>
    </w:p>
    <w:p w14:paraId="6112AD1D">
      <w:pPr>
        <w:spacing w:before="19"/>
      </w:pPr>
    </w:p>
    <w:p w14:paraId="643D6E64">
      <w:pPr>
        <w:spacing w:before="19"/>
      </w:pPr>
    </w:p>
    <w:p w14:paraId="1367F7A9">
      <w:pPr>
        <w:spacing w:before="18"/>
      </w:pPr>
    </w:p>
    <w:p w14:paraId="678DE571">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55180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22" w:hRule="atLeast"/>
        </w:trPr>
        <w:tc>
          <w:tcPr>
            <w:tcW w:w="778" w:type="dxa"/>
            <w:tcBorders>
              <w:right w:val="single" w:color="000000" w:sz="2" w:space="0"/>
            </w:tcBorders>
            <w:vAlign w:val="top"/>
          </w:tcPr>
          <w:p w14:paraId="359BF4FF">
            <w:pPr>
              <w:rPr>
                <w:rFonts w:ascii="Arial"/>
                <w:sz w:val="21"/>
              </w:rPr>
            </w:pPr>
          </w:p>
        </w:tc>
        <w:tc>
          <w:tcPr>
            <w:tcW w:w="8210" w:type="dxa"/>
            <w:tcBorders>
              <w:left w:val="single" w:color="000000" w:sz="2" w:space="0"/>
            </w:tcBorders>
            <w:vAlign w:val="top"/>
          </w:tcPr>
          <w:p w14:paraId="1B810F55">
            <w:pPr>
              <w:pStyle w:val="6"/>
              <w:spacing w:before="159" w:line="217" w:lineRule="auto"/>
              <w:ind w:left="588"/>
            </w:pPr>
            <w:r>
              <w:rPr>
                <w:spacing w:val="-2"/>
              </w:rPr>
              <w:t>⑤日常维护费用</w:t>
            </w:r>
          </w:p>
          <w:p w14:paraId="14023625">
            <w:pPr>
              <w:pStyle w:val="6"/>
              <w:spacing w:before="306" w:line="219" w:lineRule="auto"/>
              <w:ind w:left="2268"/>
            </w:pPr>
            <w:r>
              <w:rPr>
                <w:b/>
                <w:bCs/>
                <w:spacing w:val="-3"/>
              </w:rPr>
              <w:t>表</w:t>
            </w:r>
            <w:r>
              <w:rPr>
                <w:spacing w:val="-42"/>
              </w:rPr>
              <w:t xml:space="preserve"> </w:t>
            </w:r>
            <w:r>
              <w:rPr>
                <w:b/>
                <w:bCs/>
                <w:spacing w:val="-3"/>
              </w:rPr>
              <w:t>2-17</w:t>
            </w:r>
            <w:r>
              <w:rPr>
                <w:spacing w:val="-3"/>
              </w:rPr>
              <w:t xml:space="preserve">  </w:t>
            </w:r>
            <w:r>
              <w:rPr>
                <w:b/>
                <w:bCs/>
                <w:spacing w:val="-3"/>
              </w:rPr>
              <w:t>项目废水站日常维护费用</w:t>
            </w:r>
          </w:p>
          <w:p w14:paraId="0F614166">
            <w:pPr>
              <w:spacing w:line="146" w:lineRule="exact"/>
            </w:pPr>
          </w:p>
          <w:tbl>
            <w:tblPr>
              <w:tblStyle w:val="5"/>
              <w:tblW w:w="7961"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3395"/>
              <w:gridCol w:w="1353"/>
              <w:gridCol w:w="2250"/>
            </w:tblGrid>
            <w:tr w14:paraId="13713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63" w:type="dxa"/>
                  <w:vAlign w:val="top"/>
                </w:tcPr>
                <w:p w14:paraId="49446C00">
                  <w:pPr>
                    <w:pStyle w:val="6"/>
                    <w:spacing w:before="171" w:line="229" w:lineRule="auto"/>
                    <w:ind w:left="276"/>
                    <w:rPr>
                      <w:sz w:val="20"/>
                      <w:szCs w:val="20"/>
                    </w:rPr>
                  </w:pPr>
                  <w:r>
                    <w:rPr>
                      <w:spacing w:val="5"/>
                      <w:sz w:val="20"/>
                      <w:szCs w:val="20"/>
                    </w:rPr>
                    <w:t>序号</w:t>
                  </w:r>
                </w:p>
              </w:tc>
              <w:tc>
                <w:tcPr>
                  <w:tcW w:w="3395" w:type="dxa"/>
                  <w:vAlign w:val="top"/>
                </w:tcPr>
                <w:p w14:paraId="5B6DFD6E">
                  <w:pPr>
                    <w:pStyle w:val="6"/>
                    <w:spacing w:before="33" w:line="228" w:lineRule="auto"/>
                    <w:ind w:left="130"/>
                    <w:rPr>
                      <w:sz w:val="20"/>
                      <w:szCs w:val="20"/>
                    </w:rPr>
                  </w:pPr>
                  <w:r>
                    <w:rPr>
                      <w:spacing w:val="11"/>
                      <w:sz w:val="20"/>
                      <w:szCs w:val="20"/>
                    </w:rPr>
                    <w:t>取费基础（废水厂建设资金</w:t>
                  </w:r>
                  <w:r>
                    <w:rPr>
                      <w:spacing w:val="-3"/>
                      <w:sz w:val="20"/>
                      <w:szCs w:val="20"/>
                    </w:rPr>
                    <w:t>）（</w:t>
                  </w:r>
                  <w:r>
                    <w:rPr>
                      <w:spacing w:val="11"/>
                      <w:sz w:val="20"/>
                      <w:szCs w:val="20"/>
                    </w:rPr>
                    <w:t>万</w:t>
                  </w:r>
                </w:p>
                <w:p w14:paraId="48011E37">
                  <w:pPr>
                    <w:pStyle w:val="6"/>
                    <w:spacing w:before="27" w:line="216" w:lineRule="auto"/>
                    <w:ind w:left="1492"/>
                    <w:rPr>
                      <w:sz w:val="20"/>
                      <w:szCs w:val="20"/>
                    </w:rPr>
                  </w:pPr>
                  <w:r>
                    <w:rPr>
                      <w:spacing w:val="-1"/>
                      <w:sz w:val="20"/>
                      <w:szCs w:val="20"/>
                    </w:rPr>
                    <w:t>元）</w:t>
                  </w:r>
                </w:p>
              </w:tc>
              <w:tc>
                <w:tcPr>
                  <w:tcW w:w="1353" w:type="dxa"/>
                  <w:vAlign w:val="top"/>
                </w:tcPr>
                <w:p w14:paraId="2FC90A20">
                  <w:pPr>
                    <w:pStyle w:val="6"/>
                    <w:spacing w:before="171" w:line="228" w:lineRule="auto"/>
                    <w:ind w:left="265"/>
                    <w:rPr>
                      <w:sz w:val="20"/>
                      <w:szCs w:val="20"/>
                    </w:rPr>
                  </w:pPr>
                  <w:r>
                    <w:rPr>
                      <w:spacing w:val="6"/>
                      <w:sz w:val="20"/>
                      <w:szCs w:val="20"/>
                    </w:rPr>
                    <w:t>取费比例</w:t>
                  </w:r>
                </w:p>
              </w:tc>
              <w:tc>
                <w:tcPr>
                  <w:tcW w:w="2250" w:type="dxa"/>
                  <w:vAlign w:val="top"/>
                </w:tcPr>
                <w:p w14:paraId="3E956EFA">
                  <w:pPr>
                    <w:pStyle w:val="6"/>
                    <w:spacing w:before="171" w:line="221" w:lineRule="auto"/>
                    <w:ind w:left="227"/>
                    <w:rPr>
                      <w:rFonts w:ascii="Times New Roman" w:hAnsi="Times New Roman" w:eastAsia="Times New Roman" w:cs="Times New Roman"/>
                      <w:sz w:val="20"/>
                      <w:szCs w:val="20"/>
                    </w:rPr>
                  </w:pPr>
                  <w:r>
                    <w:rPr>
                      <w:spacing w:val="3"/>
                      <w:sz w:val="20"/>
                      <w:szCs w:val="20"/>
                    </w:rPr>
                    <w:t>日常维护费用</w:t>
                  </w:r>
                  <w:r>
                    <w:rPr>
                      <w:rFonts w:ascii="Times New Roman" w:hAnsi="Times New Roman" w:eastAsia="Times New Roman" w:cs="Times New Roman"/>
                      <w:spacing w:val="3"/>
                      <w:sz w:val="20"/>
                      <w:szCs w:val="20"/>
                    </w:rPr>
                    <w:t>(</w:t>
                  </w:r>
                  <w:r>
                    <w:rPr>
                      <w:spacing w:val="3"/>
                      <w:sz w:val="20"/>
                      <w:szCs w:val="20"/>
                    </w:rPr>
                    <w:t>元</w:t>
                  </w:r>
                  <w:r>
                    <w:rPr>
                      <w:rFonts w:ascii="Times New Roman" w:hAnsi="Times New Roman" w:eastAsia="Times New Roman" w:cs="Times New Roman"/>
                      <w:spacing w:val="3"/>
                      <w:sz w:val="20"/>
                      <w:szCs w:val="20"/>
                    </w:rPr>
                    <w:t>/</w:t>
                  </w:r>
                  <w:r>
                    <w:rPr>
                      <w:spacing w:val="3"/>
                      <w:sz w:val="20"/>
                      <w:szCs w:val="20"/>
                    </w:rPr>
                    <w:t>年</w:t>
                  </w:r>
                  <w:r>
                    <w:rPr>
                      <w:rFonts w:ascii="Times New Roman" w:hAnsi="Times New Roman" w:eastAsia="Times New Roman" w:cs="Times New Roman"/>
                      <w:spacing w:val="3"/>
                      <w:sz w:val="20"/>
                      <w:szCs w:val="20"/>
                    </w:rPr>
                    <w:t>)</w:t>
                  </w:r>
                </w:p>
              </w:tc>
            </w:tr>
            <w:tr w14:paraId="5BA79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63" w:type="dxa"/>
                  <w:vAlign w:val="top"/>
                </w:tcPr>
                <w:p w14:paraId="6A6EC724">
                  <w:pPr>
                    <w:spacing w:before="132" w:line="195" w:lineRule="auto"/>
                    <w:ind w:left="45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95" w:type="dxa"/>
                  <w:vAlign w:val="top"/>
                </w:tcPr>
                <w:p w14:paraId="475A3497">
                  <w:pPr>
                    <w:spacing w:before="132" w:line="195" w:lineRule="auto"/>
                    <w:ind w:left="1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353" w:type="dxa"/>
                  <w:vAlign w:val="top"/>
                </w:tcPr>
                <w:p w14:paraId="4C459B9A">
                  <w:pPr>
                    <w:spacing w:before="132"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2250" w:type="dxa"/>
                  <w:vAlign w:val="top"/>
                </w:tcPr>
                <w:p w14:paraId="69958D39">
                  <w:pPr>
                    <w:spacing w:before="132" w:line="195" w:lineRule="auto"/>
                    <w:ind w:left="831"/>
                    <w:rPr>
                      <w:rFonts w:ascii="Times New Roman" w:hAnsi="Times New Roman" w:eastAsia="Times New Roman" w:cs="Times New Roman"/>
                      <w:sz w:val="20"/>
                      <w:szCs w:val="20"/>
                    </w:rPr>
                  </w:pPr>
                  <w:r>
                    <w:rPr>
                      <w:rFonts w:ascii="Times New Roman" w:hAnsi="Times New Roman" w:eastAsia="Times New Roman" w:cs="Times New Roman"/>
                      <w:sz w:val="20"/>
                      <w:szCs w:val="20"/>
                    </w:rPr>
                    <w:t>120000</w:t>
                  </w:r>
                </w:p>
              </w:tc>
            </w:tr>
            <w:tr w14:paraId="4792B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63" w:type="dxa"/>
                  <w:vAlign w:val="top"/>
                </w:tcPr>
                <w:p w14:paraId="71A4CC39">
                  <w:pPr>
                    <w:rPr>
                      <w:rFonts w:ascii="Arial"/>
                      <w:sz w:val="21"/>
                    </w:rPr>
                  </w:pPr>
                </w:p>
              </w:tc>
              <w:tc>
                <w:tcPr>
                  <w:tcW w:w="3395" w:type="dxa"/>
                  <w:vAlign w:val="top"/>
                </w:tcPr>
                <w:p w14:paraId="57A1A604">
                  <w:pPr>
                    <w:pStyle w:val="6"/>
                    <w:spacing w:before="96" w:line="229" w:lineRule="auto"/>
                    <w:ind w:left="1491"/>
                    <w:rPr>
                      <w:sz w:val="20"/>
                      <w:szCs w:val="20"/>
                    </w:rPr>
                  </w:pPr>
                  <w:r>
                    <w:rPr>
                      <w:spacing w:val="4"/>
                      <w:sz w:val="20"/>
                      <w:szCs w:val="20"/>
                    </w:rPr>
                    <w:t>合计</w:t>
                  </w:r>
                </w:p>
              </w:tc>
              <w:tc>
                <w:tcPr>
                  <w:tcW w:w="1353" w:type="dxa"/>
                  <w:vAlign w:val="top"/>
                </w:tcPr>
                <w:p w14:paraId="2F639276">
                  <w:pPr>
                    <w:spacing w:before="128"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50" w:type="dxa"/>
                  <w:vAlign w:val="top"/>
                </w:tcPr>
                <w:p w14:paraId="2B777731">
                  <w:pPr>
                    <w:spacing w:before="131" w:line="195" w:lineRule="auto"/>
                    <w:ind w:left="831"/>
                    <w:rPr>
                      <w:rFonts w:ascii="Times New Roman" w:hAnsi="Times New Roman" w:eastAsia="Times New Roman" w:cs="Times New Roman"/>
                      <w:sz w:val="20"/>
                      <w:szCs w:val="20"/>
                    </w:rPr>
                  </w:pPr>
                  <w:r>
                    <w:rPr>
                      <w:rFonts w:ascii="Times New Roman" w:hAnsi="Times New Roman" w:eastAsia="Times New Roman" w:cs="Times New Roman"/>
                      <w:sz w:val="20"/>
                      <w:szCs w:val="20"/>
                    </w:rPr>
                    <w:t>120000</w:t>
                  </w:r>
                </w:p>
              </w:tc>
            </w:tr>
            <w:tr w14:paraId="40ABE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63" w:type="dxa"/>
                  <w:vAlign w:val="top"/>
                </w:tcPr>
                <w:p w14:paraId="58FCCC3E">
                  <w:pPr>
                    <w:rPr>
                      <w:rFonts w:ascii="Arial"/>
                      <w:sz w:val="21"/>
                    </w:rPr>
                  </w:pPr>
                </w:p>
              </w:tc>
              <w:tc>
                <w:tcPr>
                  <w:tcW w:w="3395" w:type="dxa"/>
                  <w:vAlign w:val="top"/>
                </w:tcPr>
                <w:p w14:paraId="017E2780">
                  <w:pPr>
                    <w:pStyle w:val="6"/>
                    <w:spacing w:before="88" w:line="221" w:lineRule="auto"/>
                    <w:ind w:left="239"/>
                    <w:rPr>
                      <w:rFonts w:ascii="Times New Roman" w:hAnsi="Times New Roman" w:eastAsia="Times New Roman" w:cs="Times New Roman"/>
                      <w:sz w:val="20"/>
                      <w:szCs w:val="20"/>
                    </w:rPr>
                  </w:pPr>
                  <w:r>
                    <w:rPr>
                      <w:spacing w:val="8"/>
                      <w:sz w:val="20"/>
                      <w:szCs w:val="20"/>
                    </w:rPr>
                    <w:t>折合吨水日常维护费用</w:t>
                  </w:r>
                  <w:r>
                    <w:rPr>
                      <w:rFonts w:ascii="Times New Roman" w:hAnsi="Times New Roman" w:eastAsia="Times New Roman" w:cs="Times New Roman"/>
                      <w:spacing w:val="8"/>
                      <w:sz w:val="20"/>
                      <w:szCs w:val="20"/>
                    </w:rPr>
                    <w:t>(</w:t>
                  </w:r>
                  <w:r>
                    <w:rPr>
                      <w:spacing w:val="8"/>
                      <w:sz w:val="20"/>
                      <w:szCs w:val="20"/>
                    </w:rPr>
                    <w:t>元</w:t>
                  </w:r>
                  <w:r>
                    <w:rPr>
                      <w:rFonts w:ascii="Times New Roman" w:hAnsi="Times New Roman" w:eastAsia="Times New Roman" w:cs="Times New Roman"/>
                      <w:spacing w:val="8"/>
                      <w:sz w:val="20"/>
                      <w:szCs w:val="20"/>
                    </w:rPr>
                    <w:t>/</w:t>
                  </w:r>
                  <w:r>
                    <w:rPr>
                      <w:spacing w:val="8"/>
                      <w:sz w:val="20"/>
                      <w:szCs w:val="20"/>
                    </w:rPr>
                    <w:t>吨水</w:t>
                  </w:r>
                  <w:r>
                    <w:rPr>
                      <w:rFonts w:ascii="Times New Roman" w:hAnsi="Times New Roman" w:eastAsia="Times New Roman" w:cs="Times New Roman"/>
                      <w:spacing w:val="8"/>
                      <w:sz w:val="20"/>
                      <w:szCs w:val="20"/>
                    </w:rPr>
                    <w:t>)</w:t>
                  </w:r>
                </w:p>
                <w:p w14:paraId="3D624C5C">
                  <w:pPr>
                    <w:pStyle w:val="6"/>
                    <w:spacing w:before="31" w:line="228" w:lineRule="auto"/>
                    <w:ind w:left="360"/>
                    <w:rPr>
                      <w:sz w:val="20"/>
                      <w:szCs w:val="20"/>
                    </w:rPr>
                  </w:pPr>
                  <w:r>
                    <w:rPr>
                      <w:spacing w:val="5"/>
                      <w:sz w:val="20"/>
                      <w:szCs w:val="20"/>
                    </w:rPr>
                    <w:t>（按照</w:t>
                  </w:r>
                  <w:r>
                    <w:rPr>
                      <w:spacing w:val="-36"/>
                      <w:sz w:val="20"/>
                      <w:szCs w:val="20"/>
                    </w:rPr>
                    <w:t xml:space="preserve"> </w:t>
                  </w:r>
                  <w:r>
                    <w:rPr>
                      <w:rFonts w:ascii="Times New Roman" w:hAnsi="Times New Roman" w:eastAsia="Times New Roman" w:cs="Times New Roman"/>
                      <w:spacing w:val="5"/>
                      <w:sz w:val="20"/>
                      <w:szCs w:val="20"/>
                    </w:rPr>
                    <w:t xml:space="preserve">600m³/d </w:t>
                  </w:r>
                  <w:r>
                    <w:rPr>
                      <w:spacing w:val="5"/>
                      <w:sz w:val="20"/>
                      <w:szCs w:val="20"/>
                    </w:rPr>
                    <w:t>满负荷计算）</w:t>
                  </w:r>
                </w:p>
              </w:tc>
              <w:tc>
                <w:tcPr>
                  <w:tcW w:w="1353" w:type="dxa"/>
                  <w:vAlign w:val="top"/>
                </w:tcPr>
                <w:p w14:paraId="2538041B">
                  <w:pPr>
                    <w:spacing w:before="254"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50" w:type="dxa"/>
                  <w:vAlign w:val="top"/>
                </w:tcPr>
                <w:p w14:paraId="56E3B7F7">
                  <w:pPr>
                    <w:spacing w:before="258" w:line="195" w:lineRule="auto"/>
                    <w:ind w:left="9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r>
          </w:tbl>
          <w:p w14:paraId="588CFE4F">
            <w:pPr>
              <w:pStyle w:val="6"/>
              <w:spacing w:before="154" w:line="219" w:lineRule="auto"/>
              <w:ind w:left="601"/>
              <w:outlineLvl w:val="1"/>
            </w:pPr>
            <w:r>
              <w:rPr>
                <w:spacing w:val="-2"/>
              </w:rPr>
              <w:t>（</w:t>
            </w:r>
            <w:r>
              <w:rPr>
                <w:rFonts w:ascii="Times New Roman" w:hAnsi="Times New Roman" w:eastAsia="Times New Roman" w:cs="Times New Roman"/>
                <w:spacing w:val="-2"/>
              </w:rPr>
              <w:t>2</w:t>
            </w:r>
            <w:r>
              <w:rPr>
                <w:spacing w:val="-2"/>
              </w:rPr>
              <w:t>）废气处理设施运行成本统计</w:t>
            </w:r>
          </w:p>
          <w:p w14:paraId="0351C14F">
            <w:pPr>
              <w:pStyle w:val="6"/>
              <w:spacing w:before="182" w:line="359" w:lineRule="auto"/>
              <w:ind w:left="113" w:right="102" w:firstLine="480"/>
              <w:jc w:val="both"/>
            </w:pPr>
            <w:r>
              <w:rPr>
                <w:spacing w:val="-4"/>
              </w:rPr>
              <w:t>项目废气处理主要设置有</w:t>
            </w:r>
            <w:r>
              <w:rPr>
                <w:spacing w:val="-42"/>
              </w:rPr>
              <w:t xml:space="preserve"> </w:t>
            </w:r>
            <w:r>
              <w:rPr>
                <w:rFonts w:ascii="Times New Roman" w:hAnsi="Times New Roman" w:eastAsia="Times New Roman" w:cs="Times New Roman"/>
                <w:spacing w:val="-4"/>
              </w:rPr>
              <w:t xml:space="preserve">8 </w:t>
            </w:r>
            <w:r>
              <w:rPr>
                <w:spacing w:val="-4"/>
              </w:rPr>
              <w:t>套酸雾废气喷淋塔、</w:t>
            </w:r>
            <w:r>
              <w:rPr>
                <w:rFonts w:ascii="Times New Roman" w:hAnsi="Times New Roman" w:eastAsia="Times New Roman" w:cs="Times New Roman"/>
                <w:spacing w:val="-4"/>
              </w:rPr>
              <w:t xml:space="preserve">5 </w:t>
            </w:r>
            <w:r>
              <w:rPr>
                <w:spacing w:val="-4"/>
              </w:rPr>
              <w:t>套注胶废气喷淋塔，运</w:t>
            </w:r>
            <w:r>
              <w:t xml:space="preserve"> </w:t>
            </w:r>
            <w:r>
              <w:rPr>
                <w:spacing w:val="-7"/>
              </w:rPr>
              <w:t>行费用包括排风机的费用、碱液的配制、活性炭的更换等，总费用约为</w:t>
            </w:r>
            <w:r>
              <w:rPr>
                <w:spacing w:val="-33"/>
              </w:rPr>
              <w:t xml:space="preserve"> </w:t>
            </w:r>
            <w:r>
              <w:rPr>
                <w:spacing w:val="-8"/>
              </w:rPr>
              <w:t>117.31</w:t>
            </w:r>
            <w:r>
              <w:t xml:space="preserve"> </w:t>
            </w:r>
            <w:r>
              <w:rPr>
                <w:spacing w:val="-1"/>
              </w:rPr>
              <w:t>万元/年。详细计算过程如下：</w:t>
            </w:r>
          </w:p>
          <w:p w14:paraId="37577A24">
            <w:pPr>
              <w:pStyle w:val="6"/>
              <w:spacing w:before="1" w:line="217" w:lineRule="auto"/>
              <w:ind w:left="588"/>
            </w:pPr>
            <w:r>
              <w:rPr>
                <w:spacing w:val="-2"/>
              </w:rPr>
              <w:t>①风机动力费用</w:t>
            </w:r>
          </w:p>
          <w:p w14:paraId="5F8C6074">
            <w:pPr>
              <w:pStyle w:val="6"/>
              <w:spacing w:before="305" w:line="219" w:lineRule="auto"/>
              <w:ind w:left="2301"/>
            </w:pPr>
            <w:r>
              <w:rPr>
                <w:b/>
                <w:bCs/>
                <w:spacing w:val="-2"/>
              </w:rPr>
              <w:t>2-18</w:t>
            </w:r>
            <w:r>
              <w:rPr>
                <w:spacing w:val="-2"/>
              </w:rPr>
              <w:t xml:space="preserve">  </w:t>
            </w:r>
            <w:r>
              <w:rPr>
                <w:b/>
                <w:bCs/>
                <w:spacing w:val="-2"/>
              </w:rPr>
              <w:t>项目废气处理风机动力费用</w:t>
            </w:r>
          </w:p>
          <w:p w14:paraId="3290783C">
            <w:pPr>
              <w:spacing w:line="148" w:lineRule="exact"/>
            </w:pPr>
          </w:p>
          <w:tbl>
            <w:tblPr>
              <w:tblStyle w:val="5"/>
              <w:tblW w:w="798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2378"/>
              <w:gridCol w:w="1448"/>
              <w:gridCol w:w="1500"/>
              <w:gridCol w:w="1950"/>
            </w:tblGrid>
            <w:tr w14:paraId="148E5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05" w:type="dxa"/>
                  <w:vAlign w:val="top"/>
                </w:tcPr>
                <w:p w14:paraId="4F8E3B3F">
                  <w:pPr>
                    <w:pStyle w:val="6"/>
                    <w:spacing w:before="170" w:line="229" w:lineRule="auto"/>
                    <w:ind w:left="146"/>
                    <w:rPr>
                      <w:sz w:val="20"/>
                      <w:szCs w:val="20"/>
                    </w:rPr>
                  </w:pPr>
                  <w:r>
                    <w:rPr>
                      <w:b/>
                      <w:bCs/>
                      <w:spacing w:val="4"/>
                      <w:sz w:val="20"/>
                      <w:szCs w:val="20"/>
                    </w:rPr>
                    <w:t>序号</w:t>
                  </w:r>
                </w:p>
              </w:tc>
              <w:tc>
                <w:tcPr>
                  <w:tcW w:w="2378" w:type="dxa"/>
                  <w:vAlign w:val="top"/>
                </w:tcPr>
                <w:p w14:paraId="42DFC6EF">
                  <w:pPr>
                    <w:pStyle w:val="6"/>
                    <w:spacing w:before="170" w:line="229" w:lineRule="auto"/>
                    <w:ind w:left="775"/>
                    <w:rPr>
                      <w:sz w:val="20"/>
                      <w:szCs w:val="20"/>
                    </w:rPr>
                  </w:pPr>
                  <w:r>
                    <w:rPr>
                      <w:b/>
                      <w:bCs/>
                      <w:spacing w:val="5"/>
                      <w:sz w:val="20"/>
                      <w:szCs w:val="20"/>
                    </w:rPr>
                    <w:t>设备名称</w:t>
                  </w:r>
                </w:p>
              </w:tc>
              <w:tc>
                <w:tcPr>
                  <w:tcW w:w="1448" w:type="dxa"/>
                  <w:vAlign w:val="top"/>
                </w:tcPr>
                <w:p w14:paraId="46487FEC">
                  <w:pPr>
                    <w:pStyle w:val="6"/>
                    <w:spacing w:before="35" w:line="227" w:lineRule="auto"/>
                    <w:ind w:left="310"/>
                    <w:rPr>
                      <w:sz w:val="20"/>
                      <w:szCs w:val="20"/>
                    </w:rPr>
                  </w:pPr>
                  <w:r>
                    <w:rPr>
                      <w:b/>
                      <w:bCs/>
                      <w:spacing w:val="5"/>
                      <w:sz w:val="20"/>
                      <w:szCs w:val="20"/>
                    </w:rPr>
                    <w:t>风机功率</w:t>
                  </w:r>
                </w:p>
                <w:p w14:paraId="47B7C5D0">
                  <w:pPr>
                    <w:pStyle w:val="6"/>
                    <w:spacing w:before="24" w:line="218" w:lineRule="auto"/>
                    <w:ind w:left="394"/>
                    <w:rPr>
                      <w:sz w:val="20"/>
                      <w:szCs w:val="20"/>
                    </w:rPr>
                  </w:pPr>
                  <w:r>
                    <w:rPr>
                      <w:b/>
                      <w:bCs/>
                      <w:spacing w:val="-1"/>
                      <w:sz w:val="20"/>
                      <w:szCs w:val="20"/>
                    </w:rPr>
                    <w:t>（</w:t>
                  </w:r>
                  <w:r>
                    <w:rPr>
                      <w:rFonts w:ascii="Times New Roman" w:hAnsi="Times New Roman" w:eastAsia="Times New Roman" w:cs="Times New Roman"/>
                      <w:b/>
                      <w:bCs/>
                      <w:spacing w:val="-1"/>
                      <w:sz w:val="20"/>
                      <w:szCs w:val="20"/>
                    </w:rPr>
                    <w:t>kw</w:t>
                  </w:r>
                  <w:r>
                    <w:rPr>
                      <w:b/>
                      <w:bCs/>
                      <w:spacing w:val="-1"/>
                      <w:sz w:val="20"/>
                      <w:szCs w:val="20"/>
                    </w:rPr>
                    <w:t>）</w:t>
                  </w:r>
                </w:p>
              </w:tc>
              <w:tc>
                <w:tcPr>
                  <w:tcW w:w="1500" w:type="dxa"/>
                  <w:vAlign w:val="top"/>
                </w:tcPr>
                <w:p w14:paraId="74A00DC1">
                  <w:pPr>
                    <w:pStyle w:val="6"/>
                    <w:spacing w:before="35" w:line="234" w:lineRule="auto"/>
                    <w:ind w:left="204" w:right="116" w:hanging="80"/>
                    <w:rPr>
                      <w:sz w:val="20"/>
                      <w:szCs w:val="20"/>
                    </w:rPr>
                  </w:pPr>
                  <w:r>
                    <w:rPr>
                      <w:b/>
                      <w:bCs/>
                      <w:spacing w:val="6"/>
                      <w:sz w:val="20"/>
                      <w:szCs w:val="20"/>
                    </w:rPr>
                    <w:t>合计年工作小</w:t>
                  </w:r>
                  <w:r>
                    <w:rPr>
                      <w:spacing w:val="3"/>
                      <w:sz w:val="20"/>
                      <w:szCs w:val="20"/>
                    </w:rPr>
                    <w:t xml:space="preserve"> </w:t>
                  </w:r>
                  <w:r>
                    <w:rPr>
                      <w:b/>
                      <w:bCs/>
                      <w:spacing w:val="2"/>
                      <w:sz w:val="20"/>
                      <w:szCs w:val="20"/>
                    </w:rPr>
                    <w:t>时数（</w:t>
                  </w:r>
                  <w:r>
                    <w:rPr>
                      <w:rFonts w:ascii="Times New Roman" w:hAnsi="Times New Roman" w:eastAsia="Times New Roman" w:cs="Times New Roman"/>
                      <w:b/>
                      <w:bCs/>
                      <w:spacing w:val="2"/>
                      <w:sz w:val="20"/>
                      <w:szCs w:val="20"/>
                    </w:rPr>
                    <w:t>h/a</w:t>
                  </w:r>
                  <w:r>
                    <w:rPr>
                      <w:b/>
                      <w:bCs/>
                      <w:spacing w:val="2"/>
                      <w:sz w:val="20"/>
                      <w:szCs w:val="20"/>
                    </w:rPr>
                    <w:t>）</w:t>
                  </w:r>
                </w:p>
              </w:tc>
              <w:tc>
                <w:tcPr>
                  <w:tcW w:w="1950" w:type="dxa"/>
                  <w:vAlign w:val="top"/>
                </w:tcPr>
                <w:p w14:paraId="1778F603">
                  <w:pPr>
                    <w:pStyle w:val="6"/>
                    <w:spacing w:before="170" w:line="228" w:lineRule="auto"/>
                    <w:ind w:left="143"/>
                    <w:rPr>
                      <w:sz w:val="20"/>
                      <w:szCs w:val="20"/>
                    </w:rPr>
                  </w:pPr>
                  <w:r>
                    <w:rPr>
                      <w:b/>
                      <w:bCs/>
                      <w:spacing w:val="7"/>
                      <w:sz w:val="20"/>
                      <w:szCs w:val="20"/>
                    </w:rPr>
                    <w:t>耗电量（</w:t>
                  </w:r>
                  <w:r>
                    <w:rPr>
                      <w:rFonts w:ascii="Times New Roman" w:hAnsi="Times New Roman" w:eastAsia="Times New Roman" w:cs="Times New Roman"/>
                      <w:b/>
                      <w:bCs/>
                      <w:sz w:val="20"/>
                      <w:szCs w:val="20"/>
                    </w:rPr>
                    <w:t>kWh</w:t>
                  </w:r>
                  <w:r>
                    <w:rPr>
                      <w:rFonts w:ascii="Times New Roman" w:hAnsi="Times New Roman" w:eastAsia="Times New Roman" w:cs="Times New Roman"/>
                      <w:b/>
                      <w:bCs/>
                      <w:spacing w:val="7"/>
                      <w:sz w:val="20"/>
                      <w:szCs w:val="20"/>
                    </w:rPr>
                    <w:t>/d</w:t>
                  </w:r>
                  <w:r>
                    <w:rPr>
                      <w:b/>
                      <w:bCs/>
                      <w:spacing w:val="7"/>
                      <w:sz w:val="20"/>
                      <w:szCs w:val="20"/>
                    </w:rPr>
                    <w:t>）</w:t>
                  </w:r>
                </w:p>
              </w:tc>
            </w:tr>
            <w:tr w14:paraId="5508D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05" w:type="dxa"/>
                  <w:vAlign w:val="top"/>
                </w:tcPr>
                <w:p w14:paraId="4A5B3471">
                  <w:pPr>
                    <w:spacing w:before="126"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78" w:type="dxa"/>
                  <w:vAlign w:val="top"/>
                </w:tcPr>
                <w:p w14:paraId="2CA4023C">
                  <w:pPr>
                    <w:pStyle w:val="6"/>
                    <w:spacing w:before="87" w:line="227" w:lineRule="auto"/>
                    <w:ind w:left="537"/>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 xml:space="preserve">001 </w:t>
                  </w:r>
                  <w:r>
                    <w:rPr>
                      <w:spacing w:val="8"/>
                      <w:sz w:val="20"/>
                      <w:szCs w:val="20"/>
                    </w:rPr>
                    <w:t>排风机</w:t>
                  </w:r>
                </w:p>
              </w:tc>
              <w:tc>
                <w:tcPr>
                  <w:tcW w:w="1448" w:type="dxa"/>
                  <w:vAlign w:val="top"/>
                </w:tcPr>
                <w:p w14:paraId="2B5D785A">
                  <w:pPr>
                    <w:spacing w:before="128" w:line="192"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500" w:type="dxa"/>
                  <w:vAlign w:val="top"/>
                </w:tcPr>
                <w:p w14:paraId="549D7597">
                  <w:pPr>
                    <w:spacing w:before="125"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c>
                <w:tcPr>
                  <w:tcW w:w="1950" w:type="dxa"/>
                  <w:vAlign w:val="top"/>
                </w:tcPr>
                <w:p w14:paraId="002198DA">
                  <w:pPr>
                    <w:spacing w:before="125" w:line="195" w:lineRule="auto"/>
                    <w:ind w:left="733"/>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r>
            <w:tr w14:paraId="3FE1B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05" w:type="dxa"/>
                  <w:vAlign w:val="top"/>
                </w:tcPr>
                <w:p w14:paraId="1E87289F">
                  <w:pPr>
                    <w:spacing w:before="12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78" w:type="dxa"/>
                  <w:vAlign w:val="top"/>
                </w:tcPr>
                <w:p w14:paraId="6BB62041">
                  <w:pPr>
                    <w:pStyle w:val="6"/>
                    <w:spacing w:before="88" w:line="227" w:lineRule="auto"/>
                    <w:ind w:left="194"/>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 xml:space="preserve">005 </w:t>
                  </w:r>
                  <w:r>
                    <w:rPr>
                      <w:spacing w:val="8"/>
                      <w:sz w:val="20"/>
                      <w:szCs w:val="20"/>
                    </w:rPr>
                    <w:t>排风机</w:t>
                  </w:r>
                </w:p>
              </w:tc>
              <w:tc>
                <w:tcPr>
                  <w:tcW w:w="1448" w:type="dxa"/>
                  <w:vAlign w:val="top"/>
                </w:tcPr>
                <w:p w14:paraId="088D913B">
                  <w:pPr>
                    <w:spacing w:before="127"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500" w:type="dxa"/>
                  <w:vAlign w:val="top"/>
                </w:tcPr>
                <w:p w14:paraId="5E8CEB98">
                  <w:pPr>
                    <w:spacing w:before="126"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c>
                <w:tcPr>
                  <w:tcW w:w="1950" w:type="dxa"/>
                  <w:vAlign w:val="top"/>
                </w:tcPr>
                <w:p w14:paraId="3DCA7712">
                  <w:pPr>
                    <w:spacing w:before="126"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26400</w:t>
                  </w:r>
                </w:p>
              </w:tc>
            </w:tr>
            <w:tr w14:paraId="1BD47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05" w:type="dxa"/>
                  <w:vAlign w:val="top"/>
                </w:tcPr>
                <w:p w14:paraId="70F7C522">
                  <w:pPr>
                    <w:spacing w:before="126"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78" w:type="dxa"/>
                  <w:vAlign w:val="top"/>
                </w:tcPr>
                <w:p w14:paraId="04C36D61">
                  <w:pPr>
                    <w:pStyle w:val="6"/>
                    <w:spacing w:before="88" w:line="227" w:lineRule="auto"/>
                    <w:ind w:left="194"/>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006-</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 xml:space="preserve">013 </w:t>
                  </w:r>
                  <w:r>
                    <w:rPr>
                      <w:spacing w:val="8"/>
                      <w:sz w:val="20"/>
                      <w:szCs w:val="20"/>
                    </w:rPr>
                    <w:t>排风机</w:t>
                  </w:r>
                </w:p>
              </w:tc>
              <w:tc>
                <w:tcPr>
                  <w:tcW w:w="1448" w:type="dxa"/>
                  <w:vAlign w:val="top"/>
                </w:tcPr>
                <w:p w14:paraId="097BE86F">
                  <w:pPr>
                    <w:spacing w:before="127"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500" w:type="dxa"/>
                  <w:vAlign w:val="top"/>
                </w:tcPr>
                <w:p w14:paraId="001DA2BE">
                  <w:pPr>
                    <w:spacing w:before="126"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950" w:type="dxa"/>
                  <w:vAlign w:val="top"/>
                </w:tcPr>
                <w:p w14:paraId="6C167119">
                  <w:pPr>
                    <w:spacing w:before="12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36960</w:t>
                  </w:r>
                </w:p>
              </w:tc>
            </w:tr>
            <w:tr w14:paraId="6FDE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05" w:type="dxa"/>
                  <w:vAlign w:val="top"/>
                </w:tcPr>
                <w:p w14:paraId="7C9F6055">
                  <w:pPr>
                    <w:rPr>
                      <w:rFonts w:ascii="Arial"/>
                      <w:sz w:val="21"/>
                    </w:rPr>
                  </w:pPr>
                </w:p>
              </w:tc>
              <w:tc>
                <w:tcPr>
                  <w:tcW w:w="2378" w:type="dxa"/>
                  <w:vAlign w:val="top"/>
                </w:tcPr>
                <w:p w14:paraId="392D20AF">
                  <w:pPr>
                    <w:pStyle w:val="6"/>
                    <w:spacing w:before="89" w:line="228" w:lineRule="auto"/>
                    <w:ind w:left="677"/>
                    <w:rPr>
                      <w:rFonts w:ascii="Times New Roman" w:hAnsi="Times New Roman" w:eastAsia="Times New Roman" w:cs="Times New Roman"/>
                      <w:sz w:val="20"/>
                      <w:szCs w:val="20"/>
                    </w:rPr>
                  </w:pPr>
                  <w:r>
                    <w:rPr>
                      <w:spacing w:val="5"/>
                      <w:sz w:val="20"/>
                      <w:szCs w:val="20"/>
                    </w:rPr>
                    <w:t>总耗电量</w:t>
                  </w:r>
                  <w:r>
                    <w:rPr>
                      <w:spacing w:val="-41"/>
                      <w:sz w:val="20"/>
                      <w:szCs w:val="20"/>
                    </w:rPr>
                    <w:t xml:space="preserve"> </w:t>
                  </w:r>
                  <w:r>
                    <w:rPr>
                      <w:rFonts w:ascii="Times New Roman" w:hAnsi="Times New Roman" w:eastAsia="Times New Roman" w:cs="Times New Roman"/>
                      <w:spacing w:val="5"/>
                      <w:sz w:val="20"/>
                      <w:szCs w:val="20"/>
                    </w:rPr>
                    <w:t>A</w:t>
                  </w:r>
                </w:p>
              </w:tc>
              <w:tc>
                <w:tcPr>
                  <w:tcW w:w="1448" w:type="dxa"/>
                  <w:vAlign w:val="top"/>
                </w:tcPr>
                <w:p w14:paraId="0B838760">
                  <w:pPr>
                    <w:spacing w:before="124" w:line="199"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00" w:type="dxa"/>
                  <w:vAlign w:val="top"/>
                </w:tcPr>
                <w:p w14:paraId="05993486">
                  <w:pPr>
                    <w:spacing w:before="124" w:line="199"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0" w:type="dxa"/>
                  <w:vAlign w:val="top"/>
                </w:tcPr>
                <w:p w14:paraId="050A9696">
                  <w:pPr>
                    <w:spacing w:before="127"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81360</w:t>
                  </w:r>
                </w:p>
              </w:tc>
            </w:tr>
            <w:tr w14:paraId="5263A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05" w:type="dxa"/>
                  <w:vAlign w:val="top"/>
                </w:tcPr>
                <w:p w14:paraId="0ECA2DAA">
                  <w:pPr>
                    <w:rPr>
                      <w:rFonts w:ascii="Arial"/>
                      <w:sz w:val="21"/>
                    </w:rPr>
                  </w:pPr>
                </w:p>
              </w:tc>
              <w:tc>
                <w:tcPr>
                  <w:tcW w:w="2378" w:type="dxa"/>
                  <w:vAlign w:val="top"/>
                </w:tcPr>
                <w:p w14:paraId="0F059B45">
                  <w:pPr>
                    <w:pStyle w:val="6"/>
                    <w:spacing w:before="90" w:line="226" w:lineRule="auto"/>
                    <w:ind w:left="199"/>
                    <w:rPr>
                      <w:sz w:val="20"/>
                      <w:szCs w:val="20"/>
                    </w:rPr>
                  </w:pPr>
                  <w:r>
                    <w:rPr>
                      <w:spacing w:val="4"/>
                      <w:sz w:val="20"/>
                      <w:szCs w:val="20"/>
                    </w:rPr>
                    <w:t>电费单价</w:t>
                  </w:r>
                  <w:r>
                    <w:rPr>
                      <w:spacing w:val="-34"/>
                      <w:sz w:val="20"/>
                      <w:szCs w:val="20"/>
                    </w:rPr>
                    <w:t xml:space="preserve"> </w:t>
                  </w:r>
                  <w:r>
                    <w:rPr>
                      <w:rFonts w:ascii="Times New Roman" w:hAnsi="Times New Roman" w:eastAsia="Times New Roman" w:cs="Times New Roman"/>
                      <w:spacing w:val="4"/>
                      <w:sz w:val="20"/>
                      <w:szCs w:val="20"/>
                    </w:rPr>
                    <w:t>a</w:t>
                  </w:r>
                  <w:r>
                    <w:rPr>
                      <w:spacing w:val="4"/>
                      <w:sz w:val="20"/>
                      <w:szCs w:val="20"/>
                    </w:rPr>
                    <w:t>（元</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kwh</w:t>
                  </w:r>
                  <w:r>
                    <w:rPr>
                      <w:spacing w:val="4"/>
                      <w:sz w:val="20"/>
                      <w:szCs w:val="20"/>
                    </w:rPr>
                    <w:t>）</w:t>
                  </w:r>
                </w:p>
              </w:tc>
              <w:tc>
                <w:tcPr>
                  <w:tcW w:w="1448" w:type="dxa"/>
                  <w:vAlign w:val="top"/>
                </w:tcPr>
                <w:p w14:paraId="7A87F72F">
                  <w:pPr>
                    <w:spacing w:before="125" w:line="199"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00" w:type="dxa"/>
                  <w:vAlign w:val="top"/>
                </w:tcPr>
                <w:p w14:paraId="43148883">
                  <w:pPr>
                    <w:spacing w:before="125" w:line="199"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0" w:type="dxa"/>
                  <w:vAlign w:val="top"/>
                </w:tcPr>
                <w:p w14:paraId="7B751A72">
                  <w:pPr>
                    <w:spacing w:before="128"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44B1E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05" w:type="dxa"/>
                  <w:vAlign w:val="top"/>
                </w:tcPr>
                <w:p w14:paraId="5E933973">
                  <w:pPr>
                    <w:rPr>
                      <w:rFonts w:ascii="Arial"/>
                      <w:sz w:val="21"/>
                    </w:rPr>
                  </w:pPr>
                </w:p>
              </w:tc>
              <w:tc>
                <w:tcPr>
                  <w:tcW w:w="2378" w:type="dxa"/>
                  <w:vAlign w:val="top"/>
                </w:tcPr>
                <w:p w14:paraId="2ED1EC61">
                  <w:pPr>
                    <w:pStyle w:val="6"/>
                    <w:spacing w:before="91" w:line="223" w:lineRule="auto"/>
                    <w:ind w:left="448"/>
                    <w:rPr>
                      <w:rFonts w:ascii="Times New Roman" w:hAnsi="Times New Roman" w:eastAsia="Times New Roman" w:cs="Times New Roman"/>
                      <w:sz w:val="20"/>
                      <w:szCs w:val="20"/>
                    </w:rPr>
                  </w:pPr>
                  <w:r>
                    <w:rPr>
                      <w:spacing w:val="4"/>
                      <w:sz w:val="20"/>
                      <w:szCs w:val="20"/>
                    </w:rPr>
                    <w:t>电费总额（万元</w:t>
                  </w:r>
                  <w:r>
                    <w:rPr>
                      <w:rFonts w:ascii="Times New Roman" w:hAnsi="Times New Roman" w:eastAsia="Times New Roman" w:cs="Times New Roman"/>
                      <w:spacing w:val="4"/>
                      <w:sz w:val="20"/>
                      <w:szCs w:val="20"/>
                    </w:rPr>
                    <w:t>)</w:t>
                  </w:r>
                </w:p>
              </w:tc>
              <w:tc>
                <w:tcPr>
                  <w:tcW w:w="1448" w:type="dxa"/>
                  <w:vAlign w:val="top"/>
                </w:tcPr>
                <w:p w14:paraId="2BB45716">
                  <w:pPr>
                    <w:spacing w:before="126" w:line="199"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00" w:type="dxa"/>
                  <w:vAlign w:val="top"/>
                </w:tcPr>
                <w:p w14:paraId="6EB3CE50">
                  <w:pPr>
                    <w:spacing w:before="126" w:line="199"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0" w:type="dxa"/>
                  <w:vAlign w:val="top"/>
                </w:tcPr>
                <w:p w14:paraId="722B69D4">
                  <w:pPr>
                    <w:spacing w:before="129" w:line="195" w:lineRule="auto"/>
                    <w:ind w:left="7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6.51</w:t>
                  </w:r>
                </w:p>
              </w:tc>
            </w:tr>
          </w:tbl>
          <w:p w14:paraId="46BBE0DC">
            <w:pPr>
              <w:pStyle w:val="6"/>
              <w:spacing w:before="156" w:line="217" w:lineRule="auto"/>
              <w:ind w:left="588"/>
            </w:pPr>
            <w:r>
              <w:rPr>
                <w:spacing w:val="-2"/>
              </w:rPr>
              <w:t>②耗材费用</w:t>
            </w:r>
          </w:p>
          <w:p w14:paraId="3E8B46E3">
            <w:pPr>
              <w:pStyle w:val="6"/>
              <w:spacing w:before="304" w:line="220" w:lineRule="auto"/>
              <w:ind w:left="2268"/>
            </w:pPr>
            <w:r>
              <w:rPr>
                <w:b/>
                <w:bCs/>
                <w:spacing w:val="-3"/>
              </w:rPr>
              <w:t>表</w:t>
            </w:r>
            <w:r>
              <w:rPr>
                <w:spacing w:val="-42"/>
              </w:rPr>
              <w:t xml:space="preserve"> </w:t>
            </w:r>
            <w:r>
              <w:rPr>
                <w:b/>
                <w:bCs/>
                <w:spacing w:val="-3"/>
              </w:rPr>
              <w:t>2-19</w:t>
            </w:r>
            <w:r>
              <w:rPr>
                <w:spacing w:val="-3"/>
              </w:rPr>
              <w:t xml:space="preserve">  </w:t>
            </w:r>
            <w:r>
              <w:rPr>
                <w:b/>
                <w:bCs/>
                <w:spacing w:val="-3"/>
              </w:rPr>
              <w:t>项目废气处理活性炭费用</w:t>
            </w:r>
          </w:p>
          <w:p w14:paraId="455144C9">
            <w:pPr>
              <w:spacing w:line="146" w:lineRule="exact"/>
            </w:pPr>
          </w:p>
          <w:tbl>
            <w:tblPr>
              <w:tblStyle w:val="5"/>
              <w:tblW w:w="7942" w:type="dxa"/>
              <w:tblInd w:w="1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1765"/>
              <w:gridCol w:w="1681"/>
              <w:gridCol w:w="1598"/>
              <w:gridCol w:w="1933"/>
            </w:tblGrid>
            <w:tr w14:paraId="03E64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65" w:type="dxa"/>
                  <w:vAlign w:val="top"/>
                </w:tcPr>
                <w:p w14:paraId="53580DFF">
                  <w:pPr>
                    <w:pStyle w:val="6"/>
                    <w:spacing w:before="93" w:line="229" w:lineRule="auto"/>
                    <w:ind w:left="275"/>
                    <w:rPr>
                      <w:sz w:val="20"/>
                      <w:szCs w:val="20"/>
                    </w:rPr>
                  </w:pPr>
                  <w:r>
                    <w:rPr>
                      <w:b/>
                      <w:bCs/>
                      <w:spacing w:val="4"/>
                      <w:sz w:val="20"/>
                      <w:szCs w:val="20"/>
                    </w:rPr>
                    <w:t>序号</w:t>
                  </w:r>
                </w:p>
              </w:tc>
              <w:tc>
                <w:tcPr>
                  <w:tcW w:w="1765" w:type="dxa"/>
                  <w:vAlign w:val="top"/>
                </w:tcPr>
                <w:p w14:paraId="7CB3C262">
                  <w:pPr>
                    <w:pStyle w:val="6"/>
                    <w:spacing w:before="93" w:line="231" w:lineRule="auto"/>
                    <w:ind w:left="691"/>
                    <w:rPr>
                      <w:sz w:val="20"/>
                      <w:szCs w:val="20"/>
                    </w:rPr>
                  </w:pPr>
                  <w:r>
                    <w:rPr>
                      <w:b/>
                      <w:bCs/>
                      <w:spacing w:val="-5"/>
                      <w:sz w:val="20"/>
                      <w:szCs w:val="20"/>
                    </w:rPr>
                    <w:t>品名</w:t>
                  </w:r>
                </w:p>
              </w:tc>
              <w:tc>
                <w:tcPr>
                  <w:tcW w:w="1681" w:type="dxa"/>
                  <w:vAlign w:val="top"/>
                </w:tcPr>
                <w:p w14:paraId="3D079462">
                  <w:pPr>
                    <w:pStyle w:val="6"/>
                    <w:spacing w:before="93" w:line="221" w:lineRule="auto"/>
                    <w:ind w:left="449"/>
                    <w:rPr>
                      <w:rFonts w:ascii="Times New Roman" w:hAnsi="Times New Roman" w:eastAsia="Times New Roman" w:cs="Times New Roman"/>
                      <w:sz w:val="20"/>
                      <w:szCs w:val="20"/>
                    </w:rPr>
                  </w:pPr>
                  <w:r>
                    <w:rPr>
                      <w:b/>
                      <w:bCs/>
                      <w:spacing w:val="3"/>
                      <w:sz w:val="20"/>
                      <w:szCs w:val="20"/>
                    </w:rPr>
                    <w:t>用量</w:t>
                  </w:r>
                  <w:r>
                    <w:rPr>
                      <w:rFonts w:ascii="Times New Roman" w:hAnsi="Times New Roman" w:eastAsia="Times New Roman" w:cs="Times New Roman"/>
                      <w:b/>
                      <w:bCs/>
                      <w:spacing w:val="3"/>
                      <w:sz w:val="20"/>
                      <w:szCs w:val="20"/>
                    </w:rPr>
                    <w:t>(t/a)</w:t>
                  </w:r>
                </w:p>
              </w:tc>
              <w:tc>
                <w:tcPr>
                  <w:tcW w:w="1598" w:type="dxa"/>
                  <w:vAlign w:val="top"/>
                </w:tcPr>
                <w:p w14:paraId="0C58D68E">
                  <w:pPr>
                    <w:pStyle w:val="6"/>
                    <w:spacing w:before="93" w:line="221" w:lineRule="auto"/>
                    <w:ind w:left="175"/>
                    <w:rPr>
                      <w:rFonts w:ascii="Times New Roman" w:hAnsi="Times New Roman" w:eastAsia="Times New Roman" w:cs="Times New Roman"/>
                      <w:sz w:val="20"/>
                      <w:szCs w:val="20"/>
                    </w:rPr>
                  </w:pPr>
                  <w:r>
                    <w:rPr>
                      <w:b/>
                      <w:bCs/>
                      <w:spacing w:val="6"/>
                      <w:sz w:val="20"/>
                      <w:szCs w:val="20"/>
                    </w:rPr>
                    <w:t>单价</w:t>
                  </w:r>
                  <w:r>
                    <w:rPr>
                      <w:rFonts w:ascii="Times New Roman" w:hAnsi="Times New Roman" w:eastAsia="Times New Roman" w:cs="Times New Roman"/>
                      <w:b/>
                      <w:bCs/>
                      <w:spacing w:val="6"/>
                      <w:sz w:val="20"/>
                      <w:szCs w:val="20"/>
                    </w:rPr>
                    <w:t>(</w:t>
                  </w:r>
                  <w:r>
                    <w:rPr>
                      <w:b/>
                      <w:bCs/>
                      <w:spacing w:val="6"/>
                      <w:sz w:val="20"/>
                      <w:szCs w:val="20"/>
                    </w:rPr>
                    <w:t>万元</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6"/>
                      <w:sz w:val="20"/>
                      <w:szCs w:val="20"/>
                    </w:rPr>
                    <w:t>)</w:t>
                  </w:r>
                </w:p>
              </w:tc>
              <w:tc>
                <w:tcPr>
                  <w:tcW w:w="1933" w:type="dxa"/>
                  <w:vAlign w:val="top"/>
                </w:tcPr>
                <w:p w14:paraId="1DADD148">
                  <w:pPr>
                    <w:pStyle w:val="6"/>
                    <w:spacing w:before="93" w:line="221" w:lineRule="auto"/>
                    <w:ind w:left="414"/>
                    <w:rPr>
                      <w:sz w:val="20"/>
                      <w:szCs w:val="20"/>
                    </w:rPr>
                  </w:pPr>
                  <w:r>
                    <w:rPr>
                      <w:b/>
                      <w:bCs/>
                      <w:spacing w:val="3"/>
                      <w:sz w:val="20"/>
                      <w:szCs w:val="20"/>
                    </w:rPr>
                    <w:t>总价</w:t>
                  </w:r>
                  <w:r>
                    <w:rPr>
                      <w:rFonts w:ascii="Times New Roman" w:hAnsi="Times New Roman" w:eastAsia="Times New Roman" w:cs="Times New Roman"/>
                      <w:b/>
                      <w:bCs/>
                      <w:spacing w:val="3"/>
                      <w:sz w:val="20"/>
                      <w:szCs w:val="20"/>
                    </w:rPr>
                    <w:t>(</w:t>
                  </w:r>
                  <w:r>
                    <w:rPr>
                      <w:b/>
                      <w:bCs/>
                      <w:spacing w:val="3"/>
                      <w:sz w:val="20"/>
                      <w:szCs w:val="20"/>
                    </w:rPr>
                    <w:t>万元）</w:t>
                  </w:r>
                </w:p>
              </w:tc>
            </w:tr>
            <w:tr w14:paraId="0DF59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65" w:type="dxa"/>
                  <w:vAlign w:val="top"/>
                </w:tcPr>
                <w:p w14:paraId="21C25582">
                  <w:pPr>
                    <w:spacing w:before="126" w:line="195" w:lineRule="auto"/>
                    <w:ind w:left="45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65" w:type="dxa"/>
                  <w:vAlign w:val="top"/>
                </w:tcPr>
                <w:p w14:paraId="1EBFD4E2">
                  <w:pPr>
                    <w:pStyle w:val="6"/>
                    <w:spacing w:before="90" w:line="228" w:lineRule="auto"/>
                    <w:ind w:left="682"/>
                    <w:rPr>
                      <w:sz w:val="20"/>
                      <w:szCs w:val="20"/>
                    </w:rPr>
                  </w:pPr>
                  <w:r>
                    <w:rPr>
                      <w:spacing w:val="2"/>
                      <w:sz w:val="20"/>
                      <w:szCs w:val="20"/>
                    </w:rPr>
                    <w:t>片碱</w:t>
                  </w:r>
                </w:p>
              </w:tc>
              <w:tc>
                <w:tcPr>
                  <w:tcW w:w="1681" w:type="dxa"/>
                  <w:vAlign w:val="top"/>
                </w:tcPr>
                <w:p w14:paraId="543BB19F">
                  <w:pPr>
                    <w:spacing w:before="126"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598" w:type="dxa"/>
                  <w:vAlign w:val="top"/>
                </w:tcPr>
                <w:p w14:paraId="5235415A">
                  <w:pPr>
                    <w:spacing w:before="126"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933" w:type="dxa"/>
                  <w:vAlign w:val="top"/>
                </w:tcPr>
                <w:p w14:paraId="53F98086">
                  <w:pPr>
                    <w:spacing w:before="126" w:line="195" w:lineRule="auto"/>
                    <w:ind w:left="8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136D4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65" w:type="dxa"/>
                  <w:vAlign w:val="top"/>
                </w:tcPr>
                <w:p w14:paraId="30AEEA31">
                  <w:pPr>
                    <w:spacing w:before="12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65" w:type="dxa"/>
                  <w:vAlign w:val="top"/>
                </w:tcPr>
                <w:p w14:paraId="185BCD10">
                  <w:pPr>
                    <w:pStyle w:val="6"/>
                    <w:spacing w:before="91" w:line="228" w:lineRule="auto"/>
                    <w:ind w:left="574"/>
                    <w:rPr>
                      <w:sz w:val="20"/>
                      <w:szCs w:val="20"/>
                    </w:rPr>
                  </w:pPr>
                  <w:r>
                    <w:rPr>
                      <w:spacing w:val="5"/>
                      <w:sz w:val="20"/>
                      <w:szCs w:val="20"/>
                    </w:rPr>
                    <w:t>活性炭</w:t>
                  </w:r>
                </w:p>
              </w:tc>
              <w:tc>
                <w:tcPr>
                  <w:tcW w:w="1681" w:type="dxa"/>
                  <w:vAlign w:val="top"/>
                </w:tcPr>
                <w:p w14:paraId="734A1129">
                  <w:pPr>
                    <w:spacing w:before="127" w:line="195" w:lineRule="auto"/>
                    <w:ind w:left="742"/>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598" w:type="dxa"/>
                  <w:vAlign w:val="top"/>
                </w:tcPr>
                <w:p w14:paraId="1D52F2FB">
                  <w:pPr>
                    <w:spacing w:before="127"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0.55</w:t>
                  </w:r>
                </w:p>
              </w:tc>
              <w:tc>
                <w:tcPr>
                  <w:tcW w:w="1933" w:type="dxa"/>
                  <w:vAlign w:val="top"/>
                </w:tcPr>
                <w:p w14:paraId="7270DB97">
                  <w:pPr>
                    <w:spacing w:before="127" w:line="195"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30.8</w:t>
                  </w:r>
                </w:p>
              </w:tc>
            </w:tr>
            <w:tr w14:paraId="401FB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65" w:type="dxa"/>
                  <w:vAlign w:val="top"/>
                </w:tcPr>
                <w:p w14:paraId="5098C1F5">
                  <w:pPr>
                    <w:rPr>
                      <w:rFonts w:ascii="Arial"/>
                      <w:sz w:val="21"/>
                    </w:rPr>
                  </w:pPr>
                </w:p>
              </w:tc>
              <w:tc>
                <w:tcPr>
                  <w:tcW w:w="1765" w:type="dxa"/>
                  <w:vAlign w:val="top"/>
                </w:tcPr>
                <w:p w14:paraId="286A411F">
                  <w:pPr>
                    <w:pStyle w:val="6"/>
                    <w:spacing w:before="92" w:line="229" w:lineRule="auto"/>
                    <w:ind w:left="677"/>
                    <w:rPr>
                      <w:sz w:val="20"/>
                      <w:szCs w:val="20"/>
                    </w:rPr>
                  </w:pPr>
                  <w:r>
                    <w:rPr>
                      <w:spacing w:val="4"/>
                      <w:sz w:val="20"/>
                      <w:szCs w:val="20"/>
                    </w:rPr>
                    <w:t>合计</w:t>
                  </w:r>
                </w:p>
              </w:tc>
              <w:tc>
                <w:tcPr>
                  <w:tcW w:w="1681" w:type="dxa"/>
                  <w:vAlign w:val="top"/>
                </w:tcPr>
                <w:p w14:paraId="20E2DA5F">
                  <w:pPr>
                    <w:spacing w:before="124" w:line="199"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98" w:type="dxa"/>
                  <w:vAlign w:val="top"/>
                </w:tcPr>
                <w:p w14:paraId="5FE4EFE8">
                  <w:pPr>
                    <w:spacing w:before="124" w:line="199"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33" w:type="dxa"/>
                  <w:vAlign w:val="top"/>
                </w:tcPr>
                <w:p w14:paraId="1997CF99">
                  <w:pPr>
                    <w:spacing w:before="128"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110.8</w:t>
                  </w:r>
                </w:p>
              </w:tc>
            </w:tr>
          </w:tbl>
          <w:p w14:paraId="45DE8B7B">
            <w:pPr>
              <w:pStyle w:val="6"/>
              <w:spacing w:before="156" w:line="217" w:lineRule="auto"/>
              <w:ind w:left="588"/>
            </w:pPr>
            <w:r>
              <w:rPr>
                <w:spacing w:val="-2"/>
              </w:rPr>
              <w:t>③人工费</w:t>
            </w:r>
          </w:p>
          <w:p w14:paraId="4155DC64">
            <w:pPr>
              <w:pStyle w:val="6"/>
              <w:spacing w:before="185" w:line="219" w:lineRule="auto"/>
              <w:ind w:left="566"/>
            </w:pPr>
            <w:r>
              <w:rPr>
                <w:spacing w:val="-11"/>
              </w:rPr>
              <w:t>本项目废气处理设施自动化程度比较高，不需要设置专职人员，只</w:t>
            </w:r>
            <w:r>
              <w:rPr>
                <w:spacing w:val="-12"/>
              </w:rPr>
              <w:t>需项目废</w:t>
            </w:r>
          </w:p>
        </w:tc>
      </w:tr>
    </w:tbl>
    <w:p w14:paraId="65B6EF7E">
      <w:pPr>
        <w:rPr>
          <w:rFonts w:ascii="Arial"/>
          <w:sz w:val="21"/>
        </w:rPr>
      </w:pPr>
    </w:p>
    <w:p w14:paraId="482D64C2">
      <w:pPr>
        <w:rPr>
          <w:rFonts w:ascii="Arial" w:hAnsi="Arial" w:eastAsia="Arial" w:cs="Arial"/>
          <w:sz w:val="21"/>
          <w:szCs w:val="21"/>
        </w:rPr>
        <w:sectPr>
          <w:footerReference r:id="rId41" w:type="default"/>
          <w:pgSz w:w="11906" w:h="16839"/>
          <w:pgMar w:top="400" w:right="1451" w:bottom="1240" w:left="1451" w:header="0" w:footer="1078" w:gutter="0"/>
          <w:cols w:space="720" w:num="1"/>
        </w:sectPr>
      </w:pPr>
    </w:p>
    <w:p w14:paraId="77D5ED7E">
      <w:pPr>
        <w:spacing w:before="19"/>
      </w:pPr>
    </w:p>
    <w:p w14:paraId="473FFD84">
      <w:pPr>
        <w:spacing w:before="19"/>
      </w:pPr>
    </w:p>
    <w:p w14:paraId="4F081485">
      <w:pPr>
        <w:spacing w:before="19"/>
      </w:pPr>
    </w:p>
    <w:p w14:paraId="02802B9A">
      <w:pPr>
        <w:spacing w:before="18"/>
      </w:pPr>
    </w:p>
    <w:p w14:paraId="28685396">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430A0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778" w:type="dxa"/>
            <w:tcBorders>
              <w:right w:val="single" w:color="000000" w:sz="2" w:space="0"/>
            </w:tcBorders>
            <w:vAlign w:val="top"/>
          </w:tcPr>
          <w:p w14:paraId="597AD9C4">
            <w:pPr>
              <w:rPr>
                <w:rFonts w:ascii="Arial"/>
                <w:sz w:val="21"/>
              </w:rPr>
            </w:pPr>
          </w:p>
        </w:tc>
        <w:tc>
          <w:tcPr>
            <w:tcW w:w="8210" w:type="dxa"/>
            <w:tcBorders>
              <w:left w:val="single" w:color="000000" w:sz="2" w:space="0"/>
            </w:tcBorders>
            <w:vAlign w:val="top"/>
          </w:tcPr>
          <w:p w14:paraId="7DB86618">
            <w:pPr>
              <w:pStyle w:val="6"/>
              <w:spacing w:before="40" w:line="219" w:lineRule="auto"/>
              <w:ind w:left="112"/>
            </w:pPr>
            <w:r>
              <w:rPr>
                <w:spacing w:val="-12"/>
              </w:rPr>
              <w:t>水站工作人员兼职管理即可，不再增加人工费用。</w:t>
            </w:r>
          </w:p>
          <w:p w14:paraId="4B3E9062">
            <w:pPr>
              <w:pStyle w:val="6"/>
              <w:spacing w:before="182" w:line="219" w:lineRule="auto"/>
              <w:ind w:left="592"/>
            </w:pPr>
            <w:r>
              <w:rPr>
                <w:spacing w:val="-1"/>
              </w:rPr>
              <w:t>综上，本项目正常生产期间，环保设施的运行成本约为</w:t>
            </w:r>
            <w:r>
              <w:rPr>
                <w:spacing w:val="-56"/>
              </w:rPr>
              <w:t xml:space="preserve"> </w:t>
            </w:r>
            <w:r>
              <w:rPr>
                <w:rFonts w:ascii="Times New Roman" w:hAnsi="Times New Roman" w:eastAsia="Times New Roman" w:cs="Times New Roman"/>
                <w:spacing w:val="-1"/>
              </w:rPr>
              <w:t>461.93</w:t>
            </w:r>
            <w:r>
              <w:rPr>
                <w:rFonts w:ascii="Times New Roman" w:hAnsi="Times New Roman" w:eastAsia="Times New Roman" w:cs="Times New Roman"/>
                <w:spacing w:val="15"/>
                <w:w w:val="101"/>
              </w:rPr>
              <w:t xml:space="preserve"> </w:t>
            </w:r>
            <w:r>
              <w:rPr>
                <w:spacing w:val="-1"/>
              </w:rPr>
              <w:t>万元</w:t>
            </w:r>
            <w:r>
              <w:rPr>
                <w:rFonts w:ascii="Times New Roman" w:hAnsi="Times New Roman" w:eastAsia="Times New Roman" w:cs="Times New Roman"/>
                <w:spacing w:val="-1"/>
              </w:rPr>
              <w:t>/</w:t>
            </w:r>
            <w:r>
              <w:rPr>
                <w:spacing w:val="-1"/>
              </w:rPr>
              <w:t>年。</w:t>
            </w:r>
          </w:p>
          <w:p w14:paraId="64D7C361">
            <w:pPr>
              <w:pStyle w:val="6"/>
              <w:spacing w:before="181" w:line="219" w:lineRule="auto"/>
              <w:ind w:left="584"/>
            </w:pPr>
            <w:r>
              <w:rPr>
                <w:rFonts w:ascii="Times New Roman" w:hAnsi="Times New Roman" w:eastAsia="Times New Roman" w:cs="Times New Roman"/>
                <w:spacing w:val="-13"/>
              </w:rPr>
              <w:t>11</w:t>
            </w:r>
            <w:r>
              <w:rPr>
                <w:spacing w:val="-13"/>
              </w:rPr>
              <w:t>、项目生产操作防护和安全措施</w:t>
            </w:r>
          </w:p>
          <w:p w14:paraId="41258EC5">
            <w:pPr>
              <w:pStyle w:val="6"/>
              <w:spacing w:before="181" w:line="354" w:lineRule="auto"/>
              <w:ind w:left="108" w:right="90" w:firstLine="457"/>
            </w:pPr>
            <w:r>
              <w:rPr>
                <w:spacing w:val="-6"/>
              </w:rPr>
              <w:t>本项目涉及使用盐酸、氢氟酸、硫酸、硝酸</w:t>
            </w:r>
            <w:r>
              <w:rPr>
                <w:spacing w:val="-7"/>
              </w:rPr>
              <w:t>等属于《危险化学品目录</w:t>
            </w:r>
            <w:r>
              <w:rPr>
                <w:rFonts w:ascii="Times New Roman" w:hAnsi="Times New Roman" w:eastAsia="Times New Roman" w:cs="Times New Roman"/>
                <w:spacing w:val="-7"/>
              </w:rPr>
              <w:t>(2022</w:t>
            </w:r>
            <w:r>
              <w:rPr>
                <w:rFonts w:ascii="Times New Roman" w:hAnsi="Times New Roman" w:eastAsia="Times New Roman" w:cs="Times New Roman"/>
              </w:rPr>
              <w:t xml:space="preserve"> </w:t>
            </w:r>
            <w:r>
              <w:rPr>
                <w:spacing w:val="-13"/>
              </w:rPr>
              <w:t>调整版</w:t>
            </w:r>
            <w:r>
              <w:rPr>
                <w:rFonts w:ascii="Times New Roman" w:hAnsi="Times New Roman" w:eastAsia="Times New Roman" w:cs="Times New Roman"/>
                <w:spacing w:val="-13"/>
              </w:rPr>
              <w:t>)</w:t>
            </w:r>
            <w:r>
              <w:rPr>
                <w:spacing w:val="-13"/>
              </w:rPr>
              <w:t>》中危险化学品，建设单位应严格按《危险</w:t>
            </w:r>
            <w:r>
              <w:rPr>
                <w:spacing w:val="-14"/>
              </w:rPr>
              <w:t>化学品安全管理条例》要求储</w:t>
            </w:r>
            <w:r>
              <w:t xml:space="preserve"> </w:t>
            </w:r>
            <w:r>
              <w:rPr>
                <w:spacing w:val="-12"/>
              </w:rPr>
              <w:t>存、运输和使用危险化学品。本项目生产操作中采取的防护和安全措施如下：</w:t>
            </w:r>
          </w:p>
          <w:p w14:paraId="4528C877">
            <w:pPr>
              <w:pStyle w:val="6"/>
              <w:spacing w:before="23" w:line="219" w:lineRule="auto"/>
              <w:ind w:left="608"/>
            </w:pPr>
            <w:r>
              <w:rPr>
                <w:rFonts w:ascii="Times New Roman" w:hAnsi="Times New Roman" w:eastAsia="Times New Roman" w:cs="Times New Roman"/>
                <w:spacing w:val="-1"/>
              </w:rPr>
              <w:t>1</w:t>
            </w:r>
            <w:r>
              <w:rPr>
                <w:spacing w:val="-1"/>
              </w:rPr>
              <w:t>）泡酸车间工作人员配置防护服、防护手套等必要的防护设备；</w:t>
            </w:r>
          </w:p>
          <w:p w14:paraId="39FC0F85">
            <w:pPr>
              <w:pStyle w:val="6"/>
              <w:spacing w:before="180" w:line="289" w:lineRule="auto"/>
              <w:ind w:left="111" w:right="102" w:firstLine="473"/>
            </w:pPr>
            <w:r>
              <w:rPr>
                <w:rFonts w:ascii="Times New Roman" w:hAnsi="Times New Roman" w:eastAsia="Times New Roman" w:cs="Times New Roman"/>
                <w:spacing w:val="-2"/>
              </w:rPr>
              <w:t>2</w:t>
            </w:r>
            <w:r>
              <w:rPr>
                <w:spacing w:val="-2"/>
              </w:rPr>
              <w:t>）泡酸车间、原辅料仓库配备氟化氢铵药膏、除氟剂等应急药品，配置</w:t>
            </w:r>
            <w:r>
              <w:rPr>
                <w:spacing w:val="14"/>
              </w:rPr>
              <w:t xml:space="preserve"> </w:t>
            </w:r>
            <w:r>
              <w:rPr>
                <w:spacing w:val="-2"/>
              </w:rPr>
              <w:t>淋浴、冲眼器等设施。</w:t>
            </w:r>
          </w:p>
          <w:p w14:paraId="162A13B1">
            <w:pPr>
              <w:pStyle w:val="6"/>
              <w:spacing w:before="182" w:line="219" w:lineRule="auto"/>
              <w:ind w:left="590"/>
            </w:pPr>
            <w:r>
              <w:rPr>
                <w:rFonts w:ascii="Times New Roman" w:hAnsi="Times New Roman" w:eastAsia="Times New Roman" w:cs="Times New Roman"/>
              </w:rPr>
              <w:t>3</w:t>
            </w:r>
            <w:r>
              <w:t>）对泡酸使用的胶桶、管道等设置明显标</w:t>
            </w:r>
            <w:r>
              <w:rPr>
                <w:spacing w:val="-1"/>
              </w:rPr>
              <w:t>志，并定期检查、检测；</w:t>
            </w:r>
          </w:p>
          <w:p w14:paraId="4D1CA6CF">
            <w:pPr>
              <w:pStyle w:val="6"/>
              <w:spacing w:before="184" w:line="331" w:lineRule="auto"/>
              <w:ind w:left="108" w:right="102" w:firstLine="475"/>
            </w:pPr>
            <w:r>
              <w:rPr>
                <w:rFonts w:ascii="Times New Roman" w:hAnsi="Times New Roman" w:eastAsia="Times New Roman" w:cs="Times New Roman"/>
                <w:spacing w:val="-2"/>
              </w:rPr>
              <w:t>4</w:t>
            </w:r>
            <w:r>
              <w:rPr>
                <w:spacing w:val="-2"/>
              </w:rPr>
              <w:t>）根据本项目原辅料的危险特性，在在泡酸车间、原辅料仓库等作业场</w:t>
            </w:r>
            <w:r>
              <w:rPr>
                <w:spacing w:val="15"/>
              </w:rPr>
              <w:t xml:space="preserve"> </w:t>
            </w:r>
            <w:r>
              <w:rPr>
                <w:spacing w:val="2"/>
              </w:rPr>
              <w:t>设置相应的监测、监控、通风、防晒、调温、防火、灭火、防爆、泄压、防</w:t>
            </w:r>
            <w:r>
              <w:rPr>
                <w:spacing w:val="1"/>
              </w:rPr>
              <w:t xml:space="preserve"> </w:t>
            </w:r>
            <w:r>
              <w:rPr>
                <w:spacing w:val="2"/>
              </w:rPr>
              <w:t>毒、中和、防潮、防雷、防静电、防腐、防泄漏以及防护围堤或者隔离操作</w:t>
            </w:r>
            <w:r>
              <w:rPr>
                <w:spacing w:val="1"/>
              </w:rPr>
              <w:t xml:space="preserve"> </w:t>
            </w:r>
            <w:r>
              <w:rPr>
                <w:spacing w:val="2"/>
              </w:rPr>
              <w:t>等安全设施、设备，并按照国家标准、行业标准或者国家有关规定对安全设</w:t>
            </w:r>
            <w:r>
              <w:rPr>
                <w:spacing w:val="1"/>
              </w:rPr>
              <w:t xml:space="preserve"> </w:t>
            </w:r>
            <w:r>
              <w:t>施、设备进行经常性维护、保养，保证安全设</w:t>
            </w:r>
            <w:r>
              <w:rPr>
                <w:spacing w:val="-1"/>
              </w:rPr>
              <w:t>施、设备的正常使用。</w:t>
            </w:r>
          </w:p>
          <w:p w14:paraId="0639C5AB">
            <w:pPr>
              <w:pStyle w:val="6"/>
              <w:spacing w:before="179" w:line="290" w:lineRule="auto"/>
              <w:ind w:left="132" w:right="102" w:firstLine="459"/>
            </w:pPr>
            <w:r>
              <w:rPr>
                <w:rFonts w:ascii="Times New Roman" w:hAnsi="Times New Roman" w:eastAsia="Times New Roman" w:cs="Times New Roman"/>
                <w:spacing w:val="-2"/>
              </w:rPr>
              <w:t>5</w:t>
            </w:r>
            <w:r>
              <w:rPr>
                <w:spacing w:val="-2"/>
              </w:rPr>
              <w:t>）在泡酸车间、原辅料仓库等作业场所和配置的安全设施、设备上设置</w:t>
            </w:r>
            <w:r>
              <w:rPr>
                <w:spacing w:val="8"/>
              </w:rPr>
              <w:t xml:space="preserve"> </w:t>
            </w:r>
            <w:r>
              <w:rPr>
                <w:spacing w:val="-4"/>
              </w:rPr>
              <w:t>明显的安全警示标志。</w:t>
            </w:r>
          </w:p>
          <w:p w14:paraId="2FDBDB20">
            <w:pPr>
              <w:pStyle w:val="6"/>
              <w:spacing w:before="180" w:line="290" w:lineRule="auto"/>
              <w:ind w:left="113" w:right="102" w:firstLine="477"/>
            </w:pPr>
            <w:r>
              <w:rPr>
                <w:rFonts w:ascii="Times New Roman" w:hAnsi="Times New Roman" w:eastAsia="Times New Roman" w:cs="Times New Roman"/>
                <w:spacing w:val="-2"/>
              </w:rPr>
              <w:t>6</w:t>
            </w:r>
            <w:r>
              <w:rPr>
                <w:spacing w:val="-2"/>
              </w:rPr>
              <w:t>）在泡酸车间、原辅料仓库等作业场所设置通信、报警装置，并保证处</w:t>
            </w:r>
            <w:r>
              <w:rPr>
                <w:spacing w:val="9"/>
              </w:rPr>
              <w:t xml:space="preserve"> </w:t>
            </w:r>
            <w:r>
              <w:rPr>
                <w:spacing w:val="-3"/>
              </w:rPr>
              <w:t>于适用状态。</w:t>
            </w:r>
          </w:p>
          <w:p w14:paraId="1C338A1C">
            <w:pPr>
              <w:pStyle w:val="6"/>
              <w:spacing w:before="180" w:line="219" w:lineRule="auto"/>
              <w:ind w:left="589"/>
            </w:pPr>
            <w:r>
              <w:rPr>
                <w:rFonts w:ascii="Times New Roman" w:hAnsi="Times New Roman" w:eastAsia="Times New Roman" w:cs="Times New Roman"/>
                <w:spacing w:val="-1"/>
              </w:rPr>
              <w:t>7</w:t>
            </w:r>
            <w:r>
              <w:rPr>
                <w:spacing w:val="-1"/>
              </w:rPr>
              <w:t>）设置治安保卫机构，配备专职治安保卫人员。</w:t>
            </w:r>
          </w:p>
          <w:p w14:paraId="44DA33F2">
            <w:pPr>
              <w:pStyle w:val="6"/>
              <w:spacing w:before="183" w:line="289" w:lineRule="auto"/>
              <w:ind w:left="111" w:right="102" w:firstLine="483"/>
            </w:pPr>
            <w:r>
              <w:rPr>
                <w:rFonts w:ascii="Times New Roman" w:hAnsi="Times New Roman" w:eastAsia="Times New Roman" w:cs="Times New Roman"/>
                <w:spacing w:val="-2"/>
              </w:rPr>
              <w:t>8</w:t>
            </w:r>
            <w:r>
              <w:rPr>
                <w:spacing w:val="-2"/>
              </w:rPr>
              <w:t>）盐酸、硫酸、硝酸、氢氟酸等危险化学品储存在专用仓库内，并由专</w:t>
            </w:r>
            <w:r>
              <w:rPr>
                <w:spacing w:val="5"/>
              </w:rPr>
              <w:t xml:space="preserve"> </w:t>
            </w:r>
            <w:r>
              <w:rPr>
                <w:spacing w:val="-2"/>
              </w:rPr>
              <w:t>人负责管理。</w:t>
            </w:r>
          </w:p>
          <w:p w14:paraId="027BF7EA">
            <w:pPr>
              <w:pStyle w:val="6"/>
              <w:spacing w:before="183" w:line="219" w:lineRule="auto"/>
              <w:ind w:left="590"/>
            </w:pPr>
            <w:r>
              <w:rPr>
                <w:rFonts w:ascii="Times New Roman" w:hAnsi="Times New Roman" w:eastAsia="Times New Roman" w:cs="Times New Roman"/>
                <w:spacing w:val="-1"/>
              </w:rPr>
              <w:t>9</w:t>
            </w:r>
            <w:r>
              <w:rPr>
                <w:spacing w:val="-1"/>
              </w:rPr>
              <w:t>）建立危险化学品出入库核查、登记制度。</w:t>
            </w:r>
          </w:p>
          <w:p w14:paraId="697D1A73">
            <w:pPr>
              <w:pStyle w:val="6"/>
              <w:spacing w:before="184" w:line="219" w:lineRule="auto"/>
              <w:ind w:left="608"/>
            </w:pPr>
            <w:r>
              <w:rPr>
                <w:rFonts w:ascii="Times New Roman" w:hAnsi="Times New Roman" w:eastAsia="Times New Roman" w:cs="Times New Roman"/>
                <w:spacing w:val="-1"/>
              </w:rPr>
              <w:t>10</w:t>
            </w:r>
            <w:r>
              <w:rPr>
                <w:spacing w:val="-1"/>
              </w:rPr>
              <w:t>）盐酸、氢氟酸、硫酸、硝酸仓库设置明</w:t>
            </w:r>
            <w:r>
              <w:rPr>
                <w:spacing w:val="-2"/>
              </w:rPr>
              <w:t>显的标志。</w:t>
            </w:r>
          </w:p>
          <w:p w14:paraId="4A87468B">
            <w:pPr>
              <w:pStyle w:val="6"/>
              <w:spacing w:before="180" w:line="289" w:lineRule="auto"/>
              <w:ind w:left="113" w:right="142" w:firstLine="494"/>
            </w:pPr>
            <w:r>
              <w:rPr>
                <w:rFonts w:ascii="Times New Roman" w:hAnsi="Times New Roman" w:eastAsia="Times New Roman" w:cs="Times New Roman"/>
              </w:rPr>
              <w:t>11</w:t>
            </w:r>
            <w:r>
              <w:t>）对盐酸、氢氟酸、硫酸、硝酸等危险化学品专用仓库的安全设施、</w:t>
            </w:r>
            <w:r>
              <w:rPr>
                <w:spacing w:val="7"/>
              </w:rPr>
              <w:t xml:space="preserve"> </w:t>
            </w:r>
            <w:r>
              <w:rPr>
                <w:spacing w:val="-2"/>
              </w:rPr>
              <w:t>设备定期进行检测、检验。</w:t>
            </w:r>
          </w:p>
          <w:p w14:paraId="534381FB">
            <w:pPr>
              <w:pStyle w:val="6"/>
              <w:spacing w:before="183" w:line="289" w:lineRule="auto"/>
              <w:ind w:left="112" w:right="102" w:firstLine="495"/>
            </w:pPr>
            <w:r>
              <w:rPr>
                <w:rFonts w:ascii="Times New Roman" w:hAnsi="Times New Roman" w:eastAsia="Times New Roman" w:cs="Times New Roman"/>
                <w:spacing w:val="1"/>
              </w:rPr>
              <w:t>12</w:t>
            </w:r>
            <w:r>
              <w:rPr>
                <w:spacing w:val="1"/>
              </w:rPr>
              <w:t>）建立、健全使用盐酸、氢氟酸、硫酸、硝酸等危险化学品的安全管</w:t>
            </w:r>
            <w:r>
              <w:rPr>
                <w:spacing w:val="15"/>
              </w:rPr>
              <w:t xml:space="preserve"> </w:t>
            </w:r>
            <w:r>
              <w:rPr>
                <w:spacing w:val="-1"/>
              </w:rPr>
              <w:t>理规章制度和安全操作规程，保证危险化学品的安全使用。</w:t>
            </w:r>
          </w:p>
        </w:tc>
      </w:tr>
    </w:tbl>
    <w:p w14:paraId="25E95CEB">
      <w:pPr>
        <w:rPr>
          <w:rFonts w:ascii="Arial"/>
          <w:sz w:val="21"/>
        </w:rPr>
      </w:pPr>
    </w:p>
    <w:p w14:paraId="53762B70">
      <w:pPr>
        <w:rPr>
          <w:rFonts w:ascii="Arial" w:hAnsi="Arial" w:eastAsia="Arial" w:cs="Arial"/>
          <w:sz w:val="21"/>
          <w:szCs w:val="21"/>
        </w:rPr>
        <w:sectPr>
          <w:footerReference r:id="rId42" w:type="default"/>
          <w:pgSz w:w="11906" w:h="16839"/>
          <w:pgMar w:top="400" w:right="1451" w:bottom="1240" w:left="1451" w:header="0" w:footer="1078" w:gutter="0"/>
          <w:cols w:space="720" w:num="1"/>
        </w:sectPr>
      </w:pPr>
    </w:p>
    <w:p w14:paraId="3760B03C">
      <w:pPr>
        <w:spacing w:before="19"/>
      </w:pPr>
    </w:p>
    <w:p w14:paraId="3E2CD879">
      <w:pPr>
        <w:spacing w:before="19"/>
      </w:pPr>
    </w:p>
    <w:p w14:paraId="372C7862">
      <w:pPr>
        <w:spacing w:before="19"/>
      </w:pPr>
    </w:p>
    <w:p w14:paraId="7A977213">
      <w:pPr>
        <w:spacing w:before="18"/>
      </w:pPr>
    </w:p>
    <w:p w14:paraId="4ACD6054">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11D5D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78" w:type="dxa"/>
            <w:tcBorders>
              <w:right w:val="single" w:color="000000" w:sz="2" w:space="0"/>
            </w:tcBorders>
            <w:vAlign w:val="top"/>
          </w:tcPr>
          <w:p w14:paraId="09509CAC">
            <w:pPr>
              <w:spacing w:line="247" w:lineRule="auto"/>
              <w:rPr>
                <w:rFonts w:ascii="Arial"/>
                <w:sz w:val="21"/>
              </w:rPr>
            </w:pPr>
          </w:p>
          <w:p w14:paraId="2BADEE70">
            <w:pPr>
              <w:spacing w:line="247" w:lineRule="auto"/>
              <w:rPr>
                <w:rFonts w:ascii="Arial"/>
                <w:sz w:val="21"/>
              </w:rPr>
            </w:pPr>
          </w:p>
          <w:p w14:paraId="6A243E11">
            <w:pPr>
              <w:spacing w:line="247" w:lineRule="auto"/>
              <w:rPr>
                <w:rFonts w:ascii="Arial"/>
                <w:sz w:val="21"/>
              </w:rPr>
            </w:pPr>
          </w:p>
          <w:p w14:paraId="443BA977">
            <w:pPr>
              <w:spacing w:line="247" w:lineRule="auto"/>
              <w:rPr>
                <w:rFonts w:ascii="Arial"/>
                <w:sz w:val="21"/>
              </w:rPr>
            </w:pPr>
          </w:p>
          <w:p w14:paraId="10E1C0D8">
            <w:pPr>
              <w:spacing w:line="247" w:lineRule="auto"/>
              <w:rPr>
                <w:rFonts w:ascii="Arial"/>
                <w:sz w:val="21"/>
              </w:rPr>
            </w:pPr>
          </w:p>
          <w:p w14:paraId="43AC8D8E">
            <w:pPr>
              <w:spacing w:line="247" w:lineRule="auto"/>
              <w:rPr>
                <w:rFonts w:ascii="Arial"/>
                <w:sz w:val="21"/>
              </w:rPr>
            </w:pPr>
          </w:p>
          <w:p w14:paraId="641CE15B">
            <w:pPr>
              <w:spacing w:line="247" w:lineRule="auto"/>
              <w:rPr>
                <w:rFonts w:ascii="Arial"/>
                <w:sz w:val="21"/>
              </w:rPr>
            </w:pPr>
          </w:p>
          <w:p w14:paraId="53A64F98">
            <w:pPr>
              <w:spacing w:line="247" w:lineRule="auto"/>
              <w:rPr>
                <w:rFonts w:ascii="Arial"/>
                <w:sz w:val="21"/>
              </w:rPr>
            </w:pPr>
          </w:p>
          <w:p w14:paraId="7C4AE7F1">
            <w:pPr>
              <w:spacing w:line="248" w:lineRule="auto"/>
              <w:rPr>
                <w:rFonts w:ascii="Arial"/>
                <w:sz w:val="21"/>
              </w:rPr>
            </w:pPr>
          </w:p>
          <w:p w14:paraId="735CCBA2">
            <w:pPr>
              <w:spacing w:line="248" w:lineRule="auto"/>
              <w:rPr>
                <w:rFonts w:ascii="Arial"/>
                <w:sz w:val="21"/>
              </w:rPr>
            </w:pPr>
          </w:p>
          <w:p w14:paraId="0AD77212">
            <w:pPr>
              <w:spacing w:line="248" w:lineRule="auto"/>
              <w:rPr>
                <w:rFonts w:ascii="Arial"/>
                <w:sz w:val="21"/>
              </w:rPr>
            </w:pPr>
          </w:p>
          <w:p w14:paraId="6B1A2ED1">
            <w:pPr>
              <w:spacing w:line="248" w:lineRule="auto"/>
              <w:rPr>
                <w:rFonts w:ascii="Arial"/>
                <w:sz w:val="21"/>
              </w:rPr>
            </w:pPr>
          </w:p>
          <w:p w14:paraId="69688987">
            <w:pPr>
              <w:spacing w:line="248" w:lineRule="auto"/>
              <w:rPr>
                <w:rFonts w:ascii="Arial"/>
                <w:sz w:val="21"/>
              </w:rPr>
            </w:pPr>
          </w:p>
          <w:p w14:paraId="085D4FBF">
            <w:pPr>
              <w:spacing w:line="248" w:lineRule="auto"/>
              <w:rPr>
                <w:rFonts w:ascii="Arial"/>
                <w:sz w:val="21"/>
              </w:rPr>
            </w:pPr>
          </w:p>
          <w:p w14:paraId="559CBD3F">
            <w:pPr>
              <w:spacing w:line="248" w:lineRule="auto"/>
              <w:rPr>
                <w:rFonts w:ascii="Arial"/>
                <w:sz w:val="21"/>
              </w:rPr>
            </w:pPr>
          </w:p>
          <w:p w14:paraId="7DCEE108">
            <w:pPr>
              <w:spacing w:line="248" w:lineRule="auto"/>
              <w:rPr>
                <w:rFonts w:ascii="Arial"/>
                <w:sz w:val="21"/>
              </w:rPr>
            </w:pPr>
          </w:p>
          <w:p w14:paraId="13F497CD">
            <w:pPr>
              <w:spacing w:line="248" w:lineRule="auto"/>
              <w:rPr>
                <w:rFonts w:ascii="Arial"/>
                <w:sz w:val="21"/>
              </w:rPr>
            </w:pPr>
          </w:p>
          <w:p w14:paraId="3E0E7DC9">
            <w:pPr>
              <w:spacing w:line="248" w:lineRule="auto"/>
              <w:rPr>
                <w:rFonts w:ascii="Arial"/>
                <w:sz w:val="21"/>
              </w:rPr>
            </w:pPr>
          </w:p>
          <w:p w14:paraId="4ABE44FA">
            <w:pPr>
              <w:spacing w:line="248" w:lineRule="auto"/>
              <w:rPr>
                <w:rFonts w:ascii="Arial"/>
                <w:sz w:val="21"/>
              </w:rPr>
            </w:pPr>
          </w:p>
          <w:p w14:paraId="00EE9813">
            <w:pPr>
              <w:spacing w:line="248" w:lineRule="auto"/>
              <w:rPr>
                <w:rFonts w:ascii="Arial"/>
                <w:sz w:val="21"/>
              </w:rPr>
            </w:pPr>
          </w:p>
          <w:p w14:paraId="03E5FF53">
            <w:pPr>
              <w:spacing w:line="248" w:lineRule="auto"/>
              <w:rPr>
                <w:rFonts w:ascii="Arial"/>
                <w:sz w:val="21"/>
              </w:rPr>
            </w:pPr>
          </w:p>
          <w:p w14:paraId="4F03C9F4">
            <w:pPr>
              <w:spacing w:line="248" w:lineRule="auto"/>
              <w:rPr>
                <w:rFonts w:ascii="Arial"/>
                <w:sz w:val="21"/>
              </w:rPr>
            </w:pPr>
          </w:p>
          <w:p w14:paraId="07A61FB4">
            <w:pPr>
              <w:spacing w:line="248" w:lineRule="auto"/>
              <w:rPr>
                <w:rFonts w:ascii="Arial"/>
                <w:sz w:val="21"/>
              </w:rPr>
            </w:pPr>
          </w:p>
          <w:p w14:paraId="4F267890">
            <w:pPr>
              <w:pStyle w:val="6"/>
              <w:spacing w:before="78" w:line="229" w:lineRule="auto"/>
              <w:ind w:left="151"/>
            </w:pPr>
            <w:r>
              <w:rPr>
                <w:spacing w:val="-7"/>
              </w:rPr>
              <w:t>工艺</w:t>
            </w:r>
          </w:p>
          <w:p w14:paraId="05F6C07E">
            <w:pPr>
              <w:pStyle w:val="6"/>
              <w:spacing w:before="11" w:line="220" w:lineRule="auto"/>
              <w:ind w:left="149"/>
            </w:pPr>
            <w:r>
              <w:rPr>
                <w:spacing w:val="-6"/>
              </w:rPr>
              <w:t>流程</w:t>
            </w:r>
          </w:p>
          <w:p w14:paraId="4BEEEB30">
            <w:pPr>
              <w:pStyle w:val="6"/>
              <w:spacing w:before="26" w:line="219" w:lineRule="auto"/>
              <w:ind w:left="149"/>
            </w:pPr>
            <w:r>
              <w:rPr>
                <w:spacing w:val="-6"/>
              </w:rPr>
              <w:t>和产</w:t>
            </w:r>
          </w:p>
          <w:p w14:paraId="7CB6D33B">
            <w:pPr>
              <w:pStyle w:val="6"/>
              <w:spacing w:before="27" w:line="221" w:lineRule="auto"/>
              <w:ind w:left="148"/>
            </w:pPr>
            <w:r>
              <w:rPr>
                <w:spacing w:val="-5"/>
              </w:rPr>
              <w:t>排污</w:t>
            </w:r>
          </w:p>
          <w:p w14:paraId="400B167A">
            <w:pPr>
              <w:pStyle w:val="6"/>
              <w:spacing w:before="24" w:line="220" w:lineRule="auto"/>
              <w:ind w:left="148"/>
            </w:pPr>
            <w:r>
              <w:rPr>
                <w:spacing w:val="-5"/>
              </w:rPr>
              <w:t>环节</w:t>
            </w:r>
          </w:p>
        </w:tc>
        <w:tc>
          <w:tcPr>
            <w:tcW w:w="8210" w:type="dxa"/>
            <w:tcBorders>
              <w:left w:val="single" w:color="000000" w:sz="2" w:space="0"/>
            </w:tcBorders>
            <w:vAlign w:val="top"/>
          </w:tcPr>
          <w:p w14:paraId="094E271D">
            <w:pPr>
              <w:pStyle w:val="6"/>
              <w:spacing w:before="160" w:line="219" w:lineRule="auto"/>
              <w:ind w:left="593"/>
            </w:pPr>
            <w:r>
              <w:rPr>
                <w:spacing w:val="-3"/>
              </w:rPr>
              <w:t>一、注胶加工</w:t>
            </w:r>
          </w:p>
          <w:p w14:paraId="1A877823">
            <w:pPr>
              <w:pStyle w:val="6"/>
              <w:spacing w:before="182" w:line="345" w:lineRule="auto"/>
              <w:ind w:left="108" w:right="105" w:firstLine="483"/>
            </w:pPr>
            <w:r>
              <w:rPr>
                <w:spacing w:val="2"/>
              </w:rPr>
              <w:t>宝石注胶工序主要包括前烘干、配胶、注胶、抽真空、甩胶、后烘干等</w:t>
            </w:r>
            <w:r>
              <w:t xml:space="preserve"> </w:t>
            </w:r>
            <w:r>
              <w:rPr>
                <w:spacing w:val="-1"/>
              </w:rPr>
              <w:t>操作；具体工艺流程如下：</w:t>
            </w:r>
          </w:p>
          <w:p w14:paraId="733BA3F9">
            <w:pPr>
              <w:spacing w:line="1874" w:lineRule="exact"/>
              <w:ind w:firstLine="100"/>
            </w:pPr>
            <w:r>
              <w:rPr>
                <w:position w:val="-37"/>
              </w:rPr>
              <w:drawing>
                <wp:inline distT="0" distB="0" distL="0" distR="0">
                  <wp:extent cx="5115560" cy="11899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93"/>
                          <a:stretch>
                            <a:fillRect/>
                          </a:stretch>
                        </pic:blipFill>
                        <pic:spPr>
                          <a:xfrm>
                            <a:off x="0" y="0"/>
                            <a:ext cx="5116067" cy="1190243"/>
                          </a:xfrm>
                          <a:prstGeom prst="rect">
                            <a:avLst/>
                          </a:prstGeom>
                        </pic:spPr>
                      </pic:pic>
                    </a:graphicData>
                  </a:graphic>
                </wp:inline>
              </w:drawing>
            </w:r>
          </w:p>
          <w:p w14:paraId="746616E4">
            <w:pPr>
              <w:spacing w:line="317" w:lineRule="auto"/>
              <w:rPr>
                <w:rFonts w:ascii="Arial"/>
                <w:sz w:val="21"/>
              </w:rPr>
            </w:pPr>
          </w:p>
          <w:p w14:paraId="1679CC7F">
            <w:pPr>
              <w:pStyle w:val="6"/>
              <w:spacing w:before="78" w:line="219" w:lineRule="auto"/>
              <w:ind w:left="589"/>
            </w:pPr>
            <w:r>
              <w:rPr>
                <w:spacing w:val="-1"/>
              </w:rPr>
              <w:t>注胶工序工艺流程说明：</w:t>
            </w:r>
          </w:p>
          <w:p w14:paraId="0FDC5117">
            <w:pPr>
              <w:pStyle w:val="6"/>
              <w:spacing w:before="184" w:line="312" w:lineRule="auto"/>
              <w:ind w:left="111" w:right="102" w:firstLine="477"/>
            </w:pPr>
            <w:r>
              <w:rPr>
                <w:spacing w:val="2"/>
              </w:rPr>
              <w:t>①前烘干：需要注胶的原料宝石，如果含水分较多，需先烘干，烘干</w:t>
            </w:r>
            <w:r>
              <w:rPr>
                <w:spacing w:val="5"/>
              </w:rPr>
              <w:t xml:space="preserve"> </w:t>
            </w:r>
            <w:r>
              <w:rPr>
                <w:spacing w:val="-1"/>
              </w:rPr>
              <w:t>温度约为</w:t>
            </w:r>
            <w:r>
              <w:rPr>
                <w:spacing w:val="-47"/>
              </w:rPr>
              <w:t xml:space="preserve"> </w:t>
            </w:r>
            <w:r>
              <w:rPr>
                <w:rFonts w:ascii="Times New Roman" w:hAnsi="Times New Roman" w:eastAsia="Times New Roman" w:cs="Times New Roman"/>
                <w:spacing w:val="-1"/>
              </w:rPr>
              <w:t>60-80</w:t>
            </w:r>
            <w:r>
              <w:rPr>
                <w:spacing w:val="-1"/>
              </w:rPr>
              <w:t>℃</w:t>
            </w:r>
            <w:r>
              <w:rPr>
                <w:spacing w:val="-89"/>
              </w:rPr>
              <w:t xml:space="preserve"> </w:t>
            </w:r>
            <w:r>
              <w:rPr>
                <w:spacing w:val="-1"/>
              </w:rPr>
              <w:t>,</w:t>
            </w:r>
            <w:r>
              <w:rPr>
                <w:spacing w:val="71"/>
              </w:rPr>
              <w:t xml:space="preserve"> </w:t>
            </w:r>
            <w:r>
              <w:rPr>
                <w:spacing w:val="-1"/>
              </w:rPr>
              <w:t>持续时间约</w:t>
            </w:r>
            <w:r>
              <w:rPr>
                <w:spacing w:val="-27"/>
              </w:rPr>
              <w:t xml:space="preserve"> </w:t>
            </w:r>
            <w:r>
              <w:rPr>
                <w:rFonts w:ascii="Times New Roman" w:hAnsi="Times New Roman" w:eastAsia="Times New Roman" w:cs="Times New Roman"/>
                <w:spacing w:val="-1"/>
              </w:rPr>
              <w:t>1h</w:t>
            </w:r>
            <w:r>
              <w:rPr>
                <w:spacing w:val="-1"/>
              </w:rPr>
              <w:t>；项目烘干机使用</w:t>
            </w:r>
            <w:r>
              <w:rPr>
                <w:spacing w:val="-2"/>
              </w:rPr>
              <w:t>的是电能，该过程无污</w:t>
            </w:r>
            <w:r>
              <w:t xml:space="preserve"> </w:t>
            </w:r>
            <w:r>
              <w:rPr>
                <w:spacing w:val="-3"/>
              </w:rPr>
              <w:t>染物产生。</w:t>
            </w:r>
          </w:p>
          <w:p w14:paraId="2E7F324B">
            <w:pPr>
              <w:pStyle w:val="6"/>
              <w:spacing w:before="180" w:line="331" w:lineRule="auto"/>
              <w:ind w:left="109" w:right="102" w:firstLine="478"/>
            </w:pPr>
            <w:r>
              <w:rPr>
                <w:spacing w:val="2"/>
              </w:rPr>
              <w:t>②配胶：纯的环氧树脂，在烘干后会吸水再次返潮影响宝石后续加工，</w:t>
            </w:r>
            <w:r>
              <w:rPr>
                <w:spacing w:val="6"/>
              </w:rPr>
              <w:t xml:space="preserve"> </w:t>
            </w:r>
            <w:r>
              <w:rPr>
                <w:spacing w:val="1"/>
              </w:rPr>
              <w:t>因此需在环氧树脂中加入固化剂（三乙醇胺</w:t>
            </w:r>
            <w:r>
              <w:rPr>
                <w:spacing w:val="17"/>
              </w:rPr>
              <w:t>），</w:t>
            </w:r>
            <w:r>
              <w:rPr>
                <w:spacing w:val="1"/>
              </w:rPr>
              <w:t>有时候环氧树脂流动性达不 到要求，需要入少量稀释剂（主要有乙醇、丙酮</w:t>
            </w:r>
            <w:r>
              <w:rPr>
                <w:spacing w:val="17"/>
              </w:rPr>
              <w:t>），</w:t>
            </w:r>
            <w:r>
              <w:rPr>
                <w:spacing w:val="1"/>
              </w:rPr>
              <w:t xml:space="preserve">配制过程中有时需要稍 </w:t>
            </w:r>
            <w:r>
              <w:rPr>
                <w:spacing w:val="-2"/>
              </w:rPr>
              <w:t>微加热（</w:t>
            </w:r>
            <w:r>
              <w:rPr>
                <w:rFonts w:ascii="Times New Roman" w:hAnsi="Times New Roman" w:eastAsia="Times New Roman" w:cs="Times New Roman"/>
                <w:spacing w:val="-2"/>
              </w:rPr>
              <w:t>60-80</w:t>
            </w:r>
            <w:r>
              <w:rPr>
                <w:spacing w:val="-2"/>
              </w:rPr>
              <w:t>℃)</w:t>
            </w:r>
            <w:r>
              <w:rPr>
                <w:spacing w:val="58"/>
              </w:rPr>
              <w:t xml:space="preserve"> </w:t>
            </w:r>
            <w:r>
              <w:rPr>
                <w:spacing w:val="-2"/>
              </w:rPr>
              <w:t>以使树脂有更好的流态，因此配胶过程会有石油气燃烧废</w:t>
            </w:r>
            <w:r>
              <w:t xml:space="preserve"> </w:t>
            </w:r>
            <w:r>
              <w:rPr>
                <w:spacing w:val="1"/>
              </w:rPr>
              <w:t>气和挥发性有机废气（以</w:t>
            </w:r>
            <w:r>
              <w:rPr>
                <w:rFonts w:ascii="Times New Roman" w:hAnsi="Times New Roman" w:eastAsia="Times New Roman" w:cs="Times New Roman"/>
              </w:rPr>
              <w:t>TVOC</w:t>
            </w:r>
            <w:r>
              <w:rPr>
                <w:rFonts w:ascii="Times New Roman" w:hAnsi="Times New Roman" w:eastAsia="Times New Roman" w:cs="Times New Roman"/>
                <w:spacing w:val="1"/>
              </w:rPr>
              <w:t xml:space="preserve"> </w:t>
            </w:r>
            <w:r>
              <w:rPr>
                <w:spacing w:val="1"/>
              </w:rPr>
              <w:t>计）产生，过程持续约</w:t>
            </w:r>
            <w:r>
              <w:rPr>
                <w:spacing w:val="-35"/>
              </w:rPr>
              <w:t xml:space="preserve"> </w:t>
            </w:r>
            <w:r>
              <w:rPr>
                <w:rFonts w:ascii="Times New Roman" w:hAnsi="Times New Roman" w:eastAsia="Times New Roman" w:cs="Times New Roman"/>
                <w:spacing w:val="1"/>
              </w:rPr>
              <w:t>30</w:t>
            </w:r>
            <w:r>
              <w:rPr>
                <w:rFonts w:ascii="Times New Roman" w:hAnsi="Times New Roman" w:eastAsia="Times New Roman" w:cs="Times New Roman"/>
              </w:rPr>
              <w:t>min</w:t>
            </w:r>
            <w:r>
              <w:rPr>
                <w:spacing w:val="1"/>
              </w:rPr>
              <w:t>。</w:t>
            </w:r>
          </w:p>
          <w:p w14:paraId="2BA59443">
            <w:pPr>
              <w:pStyle w:val="6"/>
              <w:spacing w:before="182" w:line="313" w:lineRule="auto"/>
              <w:ind w:left="109" w:right="102" w:firstLine="478"/>
            </w:pPr>
            <w:r>
              <w:rPr>
                <w:spacing w:val="2"/>
              </w:rPr>
              <w:t>③注胶：将配制好的胶泵入真空机中，然后开动抽气泵抽真空，等待环</w:t>
            </w:r>
            <w:r>
              <w:rPr>
                <w:spacing w:val="6"/>
              </w:rPr>
              <w:t xml:space="preserve"> </w:t>
            </w:r>
            <w:r>
              <w:rPr>
                <w:spacing w:val="-1"/>
              </w:rPr>
              <w:t>氧树脂渗入宝石。注胶过程是在密闭的真空机中，过程持续约</w:t>
            </w:r>
            <w:r>
              <w:rPr>
                <w:spacing w:val="-49"/>
              </w:rPr>
              <w:t xml:space="preserve"> </w:t>
            </w:r>
            <w:r>
              <w:rPr>
                <w:rFonts w:ascii="Times New Roman" w:hAnsi="Times New Roman" w:eastAsia="Times New Roman" w:cs="Times New Roman"/>
                <w:spacing w:val="-1"/>
              </w:rPr>
              <w:t>2h</w:t>
            </w:r>
            <w:r>
              <w:rPr>
                <w:rFonts w:ascii="Times New Roman" w:hAnsi="Times New Roman" w:eastAsia="Times New Roman" w:cs="Times New Roman"/>
                <w:spacing w:val="-31"/>
              </w:rPr>
              <w:t xml:space="preserve"> </w:t>
            </w:r>
            <w:r>
              <w:rPr>
                <w:spacing w:val="-1"/>
              </w:rPr>
              <w:t>，没有污染</w:t>
            </w:r>
            <w:r>
              <w:t xml:space="preserve"> </w:t>
            </w:r>
            <w:r>
              <w:rPr>
                <w:spacing w:val="-3"/>
              </w:rPr>
              <w:t>物产生。</w:t>
            </w:r>
          </w:p>
          <w:p w14:paraId="39B09F03">
            <w:pPr>
              <w:pStyle w:val="6"/>
              <w:spacing w:before="181" w:line="324" w:lineRule="auto"/>
              <w:ind w:left="108" w:right="41" w:firstLine="479"/>
            </w:pPr>
            <w:r>
              <w:rPr>
                <w:spacing w:val="2"/>
              </w:rPr>
              <w:t>④抽真空：将盛于铁桶中的宝石置于真空机中，开动空气泵，将真空机</w:t>
            </w:r>
            <w:r>
              <w:rPr>
                <w:spacing w:val="3"/>
              </w:rPr>
              <w:t xml:space="preserve"> </w:t>
            </w:r>
            <w:r>
              <w:rPr>
                <w:spacing w:val="-1"/>
              </w:rPr>
              <w:t>内抽成真空。项目真空机内容积较小，抽气量小，抽真空持续持续约</w:t>
            </w:r>
            <w:r>
              <w:rPr>
                <w:spacing w:val="-31"/>
              </w:rPr>
              <w:t xml:space="preserve"> </w:t>
            </w:r>
            <w:r>
              <w:rPr>
                <w:rFonts w:ascii="Times New Roman" w:hAnsi="Times New Roman" w:eastAsia="Times New Roman" w:cs="Times New Roman"/>
                <w:spacing w:val="-1"/>
              </w:rPr>
              <w:t>1min</w:t>
            </w:r>
            <w:r>
              <w:rPr>
                <w:rFonts w:ascii="Times New Roman" w:hAnsi="Times New Roman" w:eastAsia="Times New Roman" w:cs="Times New Roman"/>
                <w:spacing w:val="-31"/>
              </w:rPr>
              <w:t xml:space="preserve"> </w:t>
            </w:r>
            <w:r>
              <w:rPr>
                <w:spacing w:val="-1"/>
              </w:rPr>
              <w:t>，</w:t>
            </w:r>
            <w:r>
              <w:t xml:space="preserve"> </w:t>
            </w:r>
            <w:r>
              <w:rPr>
                <w:spacing w:val="-3"/>
              </w:rPr>
              <w:t>抽出的气体中会有少量的有机废气（以</w:t>
            </w:r>
            <w:r>
              <w:rPr>
                <w:rFonts w:ascii="Times New Roman" w:hAnsi="Times New Roman" w:eastAsia="Times New Roman" w:cs="Times New Roman"/>
                <w:spacing w:val="-3"/>
              </w:rPr>
              <w:t xml:space="preserve">TVOC </w:t>
            </w:r>
            <w:r>
              <w:rPr>
                <w:spacing w:val="-3"/>
              </w:rPr>
              <w:t>计）产生。然后在真空状态下，</w:t>
            </w:r>
            <w:r>
              <w:rPr>
                <w:spacing w:val="3"/>
              </w:rPr>
              <w:t xml:space="preserve"> </w:t>
            </w:r>
            <w:r>
              <w:rPr>
                <w:spacing w:val="-1"/>
              </w:rPr>
              <w:t>等待环氧树脂渗入宝石。</w:t>
            </w:r>
          </w:p>
          <w:p w14:paraId="591EB30E">
            <w:pPr>
              <w:pStyle w:val="6"/>
              <w:spacing w:before="183" w:line="324" w:lineRule="auto"/>
              <w:ind w:left="108" w:right="102" w:firstLine="479"/>
            </w:pPr>
            <w:r>
              <w:rPr>
                <w:spacing w:val="2"/>
              </w:rPr>
              <w:t>⑤离心甩胶：待真空机中，环氧树脂和宝石原料充分注胶完成后（即注</w:t>
            </w:r>
            <w:r>
              <w:rPr>
                <w:spacing w:val="3"/>
              </w:rPr>
              <w:t xml:space="preserve"> </w:t>
            </w:r>
            <w:r>
              <w:rPr>
                <w:spacing w:val="-3"/>
              </w:rPr>
              <w:t>胶持续</w:t>
            </w:r>
            <w:r>
              <w:rPr>
                <w:spacing w:val="-54"/>
              </w:rPr>
              <w:t xml:space="preserve"> </w:t>
            </w:r>
            <w:r>
              <w:rPr>
                <w:rFonts w:ascii="Times New Roman" w:hAnsi="Times New Roman" w:eastAsia="Times New Roman" w:cs="Times New Roman"/>
                <w:spacing w:val="-3"/>
              </w:rPr>
              <w:t>2h</w:t>
            </w:r>
            <w:r>
              <w:rPr>
                <w:rFonts w:ascii="Times New Roman" w:hAnsi="Times New Roman" w:eastAsia="Times New Roman" w:cs="Times New Roman"/>
                <w:spacing w:val="21"/>
              </w:rPr>
              <w:t xml:space="preserve"> </w:t>
            </w:r>
            <w:r>
              <w:rPr>
                <w:spacing w:val="-3"/>
              </w:rPr>
              <w:t>时后</w:t>
            </w:r>
            <w:r>
              <w:rPr>
                <w:spacing w:val="8"/>
              </w:rPr>
              <w:t>），</w:t>
            </w:r>
            <w:r>
              <w:rPr>
                <w:spacing w:val="-3"/>
              </w:rPr>
              <w:t>将盛于铁通中的宝石连同铁通一并提出，放入离心机中，</w:t>
            </w:r>
            <w:r>
              <w:t xml:space="preserve"> </w:t>
            </w:r>
            <w:r>
              <w:rPr>
                <w:spacing w:val="2"/>
              </w:rPr>
              <w:t>开动离心，将粘附在宝石原料上的多余的环氧树脂甩掉，渗入宝石的环氧树</w:t>
            </w:r>
            <w:r>
              <w:rPr>
                <w:spacing w:val="1"/>
              </w:rPr>
              <w:t xml:space="preserve"> </w:t>
            </w:r>
            <w:r>
              <w:rPr>
                <w:spacing w:val="2"/>
              </w:rPr>
              <w:t>脂得以保留。该过程因在常温下操作，环氧树脂已经凝固，整个过程只有极</w:t>
            </w:r>
          </w:p>
        </w:tc>
      </w:tr>
    </w:tbl>
    <w:p w14:paraId="57748BE8">
      <w:pPr>
        <w:rPr>
          <w:rFonts w:ascii="Arial"/>
          <w:sz w:val="21"/>
        </w:rPr>
      </w:pPr>
    </w:p>
    <w:p w14:paraId="2E974D2E">
      <w:pPr>
        <w:rPr>
          <w:rFonts w:ascii="Arial" w:hAnsi="Arial" w:eastAsia="Arial" w:cs="Arial"/>
          <w:sz w:val="21"/>
          <w:szCs w:val="21"/>
        </w:rPr>
        <w:sectPr>
          <w:footerReference r:id="rId43" w:type="default"/>
          <w:pgSz w:w="11906" w:h="16839"/>
          <w:pgMar w:top="400" w:right="1451" w:bottom="1240" w:left="1451" w:header="0" w:footer="1078" w:gutter="0"/>
          <w:cols w:space="720" w:num="1"/>
        </w:sectPr>
      </w:pPr>
    </w:p>
    <w:p w14:paraId="1228C17D">
      <w:pPr>
        <w:spacing w:before="19"/>
      </w:pPr>
    </w:p>
    <w:p w14:paraId="5A8E8361">
      <w:pPr>
        <w:spacing w:before="19"/>
      </w:pPr>
    </w:p>
    <w:p w14:paraId="50CFE81E">
      <w:pPr>
        <w:spacing w:before="19"/>
      </w:pPr>
    </w:p>
    <w:p w14:paraId="65A6012E">
      <w:pPr>
        <w:spacing w:before="18"/>
      </w:pPr>
    </w:p>
    <w:p w14:paraId="2C299A5A">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08761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0" w:hRule="atLeast"/>
        </w:trPr>
        <w:tc>
          <w:tcPr>
            <w:tcW w:w="778" w:type="dxa"/>
            <w:tcBorders>
              <w:bottom w:val="nil"/>
              <w:right w:val="single" w:color="000000" w:sz="2" w:space="0"/>
            </w:tcBorders>
            <w:vAlign w:val="top"/>
          </w:tcPr>
          <w:p w14:paraId="3A515732">
            <w:pPr>
              <w:rPr>
                <w:rFonts w:ascii="Arial"/>
                <w:sz w:val="21"/>
              </w:rPr>
            </w:pPr>
          </w:p>
        </w:tc>
        <w:tc>
          <w:tcPr>
            <w:tcW w:w="8210" w:type="dxa"/>
            <w:tcBorders>
              <w:left w:val="single" w:color="000000" w:sz="2" w:space="0"/>
              <w:bottom w:val="nil"/>
            </w:tcBorders>
            <w:vAlign w:val="top"/>
          </w:tcPr>
          <w:p w14:paraId="35C98F4C">
            <w:pPr>
              <w:pStyle w:val="6"/>
              <w:spacing w:before="39" w:line="359" w:lineRule="auto"/>
              <w:ind w:left="110" w:right="102"/>
            </w:pPr>
            <w:r>
              <w:rPr>
                <w:spacing w:val="2"/>
              </w:rPr>
              <w:t>少量的有机废气挥发，通过车间通风换气排出；另外有部分多余环氧树脂被</w:t>
            </w:r>
            <w:r>
              <w:t xml:space="preserve"> </w:t>
            </w:r>
            <w:r>
              <w:rPr>
                <w:spacing w:val="-1"/>
              </w:rPr>
              <w:t>甩落，收集后可以继续使用。该过程持续时间约为</w:t>
            </w:r>
            <w:r>
              <w:rPr>
                <w:spacing w:val="-44"/>
              </w:rPr>
              <w:t xml:space="preserve"> </w:t>
            </w:r>
            <w:r>
              <w:rPr>
                <w:rFonts w:ascii="Times New Roman" w:hAnsi="Times New Roman" w:eastAsia="Times New Roman" w:cs="Times New Roman"/>
                <w:spacing w:val="-1"/>
              </w:rPr>
              <w:t>30min</w:t>
            </w:r>
            <w:r>
              <w:rPr>
                <w:spacing w:val="-1"/>
              </w:rPr>
              <w:t>。</w:t>
            </w:r>
          </w:p>
          <w:p w14:paraId="52156586">
            <w:pPr>
              <w:pStyle w:val="6"/>
              <w:spacing w:before="1" w:line="359" w:lineRule="auto"/>
              <w:ind w:left="110" w:right="102" w:firstLine="477"/>
              <w:jc w:val="both"/>
            </w:pPr>
            <w:r>
              <w:rPr>
                <w:spacing w:val="2"/>
              </w:rPr>
              <w:t>⑥后烘干：注好胶的宝石，需要烘干，即得客户所需原料宝石；烘干时</w:t>
            </w:r>
            <w:r>
              <w:rPr>
                <w:spacing w:val="6"/>
              </w:rPr>
              <w:t xml:space="preserve"> </w:t>
            </w:r>
            <w:r>
              <w:rPr>
                <w:spacing w:val="-2"/>
              </w:rPr>
              <w:t>间约为</w:t>
            </w:r>
            <w:r>
              <w:rPr>
                <w:spacing w:val="-56"/>
              </w:rPr>
              <w:t xml:space="preserve"> </w:t>
            </w:r>
            <w:r>
              <w:rPr>
                <w:rFonts w:ascii="Times New Roman" w:hAnsi="Times New Roman" w:eastAsia="Times New Roman" w:cs="Times New Roman"/>
                <w:spacing w:val="-2"/>
              </w:rPr>
              <w:t>4h</w:t>
            </w:r>
            <w:r>
              <w:rPr>
                <w:spacing w:val="-2"/>
              </w:rPr>
              <w:t>。烘干机使用的是电能，因此在烘干过程（</w:t>
            </w:r>
            <w:r>
              <w:rPr>
                <w:rFonts w:ascii="Times New Roman" w:hAnsi="Times New Roman" w:eastAsia="Times New Roman" w:cs="Times New Roman"/>
                <w:spacing w:val="-2"/>
              </w:rPr>
              <w:t>60-80</w:t>
            </w:r>
            <w:r>
              <w:rPr>
                <w:spacing w:val="-2"/>
              </w:rPr>
              <w:t>℃) 会产生</w:t>
            </w:r>
            <w:r>
              <w:rPr>
                <w:spacing w:val="-3"/>
              </w:rPr>
              <w:t>挥发性</w:t>
            </w:r>
            <w:r>
              <w:t xml:space="preserve"> </w:t>
            </w:r>
            <w:r>
              <w:rPr>
                <w:spacing w:val="-2"/>
              </w:rPr>
              <w:t>有机废气（以</w:t>
            </w:r>
            <w:r>
              <w:rPr>
                <w:spacing w:val="-44"/>
              </w:rPr>
              <w:t xml:space="preserve"> </w:t>
            </w:r>
            <w:r>
              <w:rPr>
                <w:rFonts w:ascii="Times New Roman" w:hAnsi="Times New Roman" w:eastAsia="Times New Roman" w:cs="Times New Roman"/>
                <w:spacing w:val="-2"/>
              </w:rPr>
              <w:t xml:space="preserve">TVOC </w:t>
            </w:r>
            <w:r>
              <w:rPr>
                <w:spacing w:val="-2"/>
              </w:rPr>
              <w:t>计）。</w:t>
            </w:r>
          </w:p>
          <w:p w14:paraId="7DC74C5F">
            <w:pPr>
              <w:pStyle w:val="6"/>
              <w:spacing w:before="1" w:line="220" w:lineRule="auto"/>
              <w:ind w:left="593"/>
            </w:pPr>
            <w:r>
              <w:rPr>
                <w:spacing w:val="-2"/>
              </w:rPr>
              <w:t>二、宝石泡酸加工</w:t>
            </w:r>
          </w:p>
          <w:p w14:paraId="59160156">
            <w:pPr>
              <w:pStyle w:val="6"/>
              <w:spacing w:before="181" w:line="219" w:lineRule="auto"/>
              <w:ind w:left="592"/>
            </w:pPr>
            <w:r>
              <w:rPr>
                <w:spacing w:val="-1"/>
              </w:rPr>
              <w:t>宝石加工的泡酸工序，其工艺流程及说明如下：</w:t>
            </w:r>
          </w:p>
        </w:tc>
      </w:tr>
      <w:tr w14:paraId="62E58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69" w:hRule="atLeast"/>
        </w:trPr>
        <w:tc>
          <w:tcPr>
            <w:tcW w:w="778" w:type="dxa"/>
            <w:tcBorders>
              <w:top w:val="nil"/>
              <w:bottom w:val="nil"/>
              <w:right w:val="single" w:color="000000" w:sz="2" w:space="0"/>
            </w:tcBorders>
            <w:vAlign w:val="top"/>
          </w:tcPr>
          <w:p w14:paraId="1C14A6F7">
            <w:pPr>
              <w:rPr>
                <w:rFonts w:ascii="Arial"/>
                <w:sz w:val="21"/>
              </w:rPr>
            </w:pPr>
          </w:p>
        </w:tc>
        <w:tc>
          <w:tcPr>
            <w:tcW w:w="8210" w:type="dxa"/>
            <w:tcBorders>
              <w:top w:val="nil"/>
              <w:left w:val="single" w:color="000000" w:sz="2" w:space="0"/>
              <w:bottom w:val="nil"/>
            </w:tcBorders>
            <w:vAlign w:val="top"/>
          </w:tcPr>
          <w:p w14:paraId="7D96F70A">
            <w:pPr>
              <w:spacing w:before="3" w:line="2456" w:lineRule="exact"/>
              <w:ind w:firstLine="136"/>
            </w:pPr>
            <w:r>
              <w:rPr>
                <w:position w:val="-49"/>
              </w:rPr>
              <w:drawing>
                <wp:inline distT="0" distB="0" distL="0" distR="0">
                  <wp:extent cx="5033645" cy="15589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4"/>
                          <a:stretch>
                            <a:fillRect/>
                          </a:stretch>
                        </pic:blipFill>
                        <pic:spPr>
                          <a:xfrm>
                            <a:off x="0" y="0"/>
                            <a:ext cx="5033771" cy="1559179"/>
                          </a:xfrm>
                          <a:prstGeom prst="rect">
                            <a:avLst/>
                          </a:prstGeom>
                        </pic:spPr>
                      </pic:pic>
                    </a:graphicData>
                  </a:graphic>
                </wp:inline>
              </w:drawing>
            </w:r>
          </w:p>
        </w:tc>
      </w:tr>
      <w:tr w14:paraId="40B4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2" w:hRule="atLeast"/>
        </w:trPr>
        <w:tc>
          <w:tcPr>
            <w:tcW w:w="778" w:type="dxa"/>
            <w:tcBorders>
              <w:top w:val="nil"/>
              <w:right w:val="single" w:color="000000" w:sz="2" w:space="0"/>
            </w:tcBorders>
            <w:vAlign w:val="top"/>
          </w:tcPr>
          <w:p w14:paraId="49334597">
            <w:pPr>
              <w:rPr>
                <w:rFonts w:ascii="Arial"/>
                <w:sz w:val="21"/>
              </w:rPr>
            </w:pPr>
          </w:p>
        </w:tc>
        <w:tc>
          <w:tcPr>
            <w:tcW w:w="8210" w:type="dxa"/>
            <w:tcBorders>
              <w:top w:val="nil"/>
              <w:left w:val="single" w:color="000000" w:sz="2" w:space="0"/>
            </w:tcBorders>
            <w:vAlign w:val="top"/>
          </w:tcPr>
          <w:p w14:paraId="6C48CDF1">
            <w:pPr>
              <w:pStyle w:val="6"/>
              <w:spacing w:before="281" w:line="219" w:lineRule="auto"/>
              <w:ind w:left="591"/>
            </w:pPr>
            <w:r>
              <w:rPr>
                <w:spacing w:val="-2"/>
              </w:rPr>
              <w:t>泡酸工序工艺流程说明：</w:t>
            </w:r>
          </w:p>
          <w:p w14:paraId="172C91A1">
            <w:pPr>
              <w:pStyle w:val="6"/>
              <w:spacing w:before="182" w:line="324" w:lineRule="auto"/>
              <w:ind w:left="109" w:right="102" w:firstLine="479"/>
            </w:pPr>
            <w:r>
              <w:rPr>
                <w:spacing w:val="2"/>
              </w:rPr>
              <w:t>①配酸：在泡酸车间内室温条件下，在胶桶中配制酸液。项目将酸原料</w:t>
            </w:r>
            <w:r>
              <w:rPr>
                <w:spacing w:val="5"/>
              </w:rPr>
              <w:t xml:space="preserve"> </w:t>
            </w:r>
            <w:r>
              <w:rPr>
                <w:spacing w:val="3"/>
              </w:rPr>
              <w:t>倒入胶桶中，用水稀释配制。配酸过程持续时间约</w:t>
            </w:r>
            <w:r>
              <w:rPr>
                <w:rFonts w:ascii="Times New Roman" w:hAnsi="Times New Roman" w:eastAsia="Times New Roman" w:cs="Times New Roman"/>
                <w:spacing w:val="3"/>
              </w:rPr>
              <w:t>20</w:t>
            </w:r>
            <w:r>
              <w:rPr>
                <w:rFonts w:ascii="Times New Roman" w:hAnsi="Times New Roman" w:eastAsia="Times New Roman" w:cs="Times New Roman"/>
              </w:rPr>
              <w:t>min</w:t>
            </w:r>
            <w:r>
              <w:rPr>
                <w:rFonts w:ascii="Times New Roman" w:hAnsi="Times New Roman" w:eastAsia="Times New Roman" w:cs="Times New Roman"/>
                <w:spacing w:val="3"/>
              </w:rPr>
              <w:t>/</w:t>
            </w:r>
            <w:r>
              <w:rPr>
                <w:spacing w:val="3"/>
              </w:rPr>
              <w:t>次，过程中盖子为</w:t>
            </w:r>
            <w:r>
              <w:rPr>
                <w:spacing w:val="7"/>
              </w:rPr>
              <w:t xml:space="preserve"> </w:t>
            </w:r>
            <w:r>
              <w:rPr>
                <w:spacing w:val="2"/>
              </w:rPr>
              <w:t>开启状态。该过程是只是溶液配制，没有化学反应，因酸的挥发，该</w:t>
            </w:r>
            <w:r>
              <w:rPr>
                <w:spacing w:val="1"/>
              </w:rPr>
              <w:t>过程会</w:t>
            </w:r>
            <w:r>
              <w:t xml:space="preserve"> </w:t>
            </w:r>
            <w:r>
              <w:rPr>
                <w:spacing w:val="-1"/>
              </w:rPr>
              <w:t>产生少量的酸雾废气；另外还有酸原料的包装桶（袋）等固废。</w:t>
            </w:r>
          </w:p>
          <w:p w14:paraId="79AED936">
            <w:pPr>
              <w:pStyle w:val="6"/>
              <w:spacing w:before="184" w:line="331" w:lineRule="auto"/>
              <w:ind w:left="108" w:right="102" w:firstLine="479"/>
            </w:pPr>
            <w:r>
              <w:rPr>
                <w:spacing w:val="2"/>
              </w:rPr>
              <w:t>②泡酸：需要泡酸的原料宝石进厂，进入车间，投入已经加配好酸液的</w:t>
            </w:r>
            <w:r>
              <w:rPr>
                <w:spacing w:val="6"/>
              </w:rPr>
              <w:t xml:space="preserve"> </w:t>
            </w:r>
            <w:r>
              <w:rPr>
                <w:spacing w:val="1"/>
              </w:rPr>
              <w:t>胶桶中；在常温常压条件下平均最大浸泡时间</w:t>
            </w:r>
            <w:r>
              <w:rPr>
                <w:spacing w:val="-41"/>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7"/>
              </w:rPr>
              <w:t xml:space="preserve"> </w:t>
            </w:r>
            <w:r>
              <w:rPr>
                <w:spacing w:val="1"/>
              </w:rPr>
              <w:t>天。更换酸液时桶内宝</w:t>
            </w:r>
            <w:r>
              <w:t xml:space="preserve">石不 </w:t>
            </w:r>
            <w:r>
              <w:rPr>
                <w:spacing w:val="2"/>
              </w:rPr>
              <w:t>动，打开桶底的废酸液管阀门，经排酸管排出废酸液。废酸回用量约占酸液</w:t>
            </w:r>
            <w:r>
              <w:rPr>
                <w:spacing w:val="1"/>
              </w:rPr>
              <w:t xml:space="preserve"> </w:t>
            </w:r>
            <w:r>
              <w:rPr>
                <w:spacing w:val="-1"/>
              </w:rPr>
              <w:t>量的</w:t>
            </w:r>
            <w:r>
              <w:rPr>
                <w:spacing w:val="-48"/>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30"/>
              </w:rPr>
              <w:t xml:space="preserve"> </w:t>
            </w:r>
            <w:r>
              <w:rPr>
                <w:spacing w:val="-1"/>
              </w:rPr>
              <w:t>，其余的废酸通过管道收集，进入位于</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8"/>
              </w:rPr>
              <w:t xml:space="preserve"> </w:t>
            </w:r>
            <w:r>
              <w:rPr>
                <w:spacing w:val="-1"/>
              </w:rPr>
              <w:t>号楼</w:t>
            </w:r>
            <w:r>
              <w:rPr>
                <w:spacing w:val="-32"/>
              </w:rPr>
              <w:t xml:space="preserve"> </w:t>
            </w:r>
            <w:r>
              <w:rPr>
                <w:rFonts w:ascii="Times New Roman" w:hAnsi="Times New Roman" w:eastAsia="Times New Roman" w:cs="Times New Roman"/>
                <w:spacing w:val="-2"/>
              </w:rPr>
              <w:t xml:space="preserve">1 </w:t>
            </w:r>
            <w:r>
              <w:rPr>
                <w:spacing w:val="-2"/>
              </w:rPr>
              <w:t>层的危废暂存间，</w:t>
            </w:r>
            <w:r>
              <w:t xml:space="preserve"> </w:t>
            </w:r>
            <w:r>
              <w:rPr>
                <w:spacing w:val="-1"/>
              </w:rPr>
              <w:t>作为危废交有资质单位处理，委托有资质的单位转移和处置。</w:t>
            </w:r>
          </w:p>
          <w:p w14:paraId="6B447A9F">
            <w:pPr>
              <w:pStyle w:val="6"/>
              <w:spacing w:before="182" w:line="324" w:lineRule="auto"/>
              <w:ind w:left="110" w:right="90" w:firstLine="453"/>
            </w:pPr>
            <w:r>
              <w:rPr>
                <w:spacing w:val="-11"/>
              </w:rPr>
              <w:t>③高压冲洗：排废酸后，会使用高压水枪直接</w:t>
            </w:r>
            <w:r>
              <w:rPr>
                <w:spacing w:val="-12"/>
              </w:rPr>
              <w:t>在胶桶中冲洗宝石，以便最大</w:t>
            </w:r>
            <w:r>
              <w:t xml:space="preserve"> </w:t>
            </w:r>
            <w:r>
              <w:rPr>
                <w:spacing w:val="-14"/>
              </w:rPr>
              <w:t>限度的减少宝石表面残留的酸液。冲洗时间平均最大</w:t>
            </w:r>
            <w:r>
              <w:rPr>
                <w:spacing w:val="-72"/>
              </w:rPr>
              <w:t xml:space="preserve"> </w:t>
            </w:r>
            <w:r>
              <w:rPr>
                <w:rFonts w:ascii="Times New Roman" w:hAnsi="Times New Roman" w:eastAsia="Times New Roman" w:cs="Times New Roman"/>
                <w:spacing w:val="-14"/>
              </w:rPr>
              <w:t xml:space="preserve">20 </w:t>
            </w:r>
            <w:r>
              <w:rPr>
                <w:spacing w:val="-14"/>
              </w:rPr>
              <w:t>秒。该部分冲</w:t>
            </w:r>
            <w:r>
              <w:rPr>
                <w:spacing w:val="-15"/>
              </w:rPr>
              <w:t>洗废水，通</w:t>
            </w:r>
            <w:r>
              <w:t xml:space="preserve"> </w:t>
            </w:r>
            <w:r>
              <w:rPr>
                <w:spacing w:val="1"/>
              </w:rPr>
              <w:t>过管道收集，进入位于</w:t>
            </w:r>
            <w:r>
              <w:rPr>
                <w:spacing w:val="-54"/>
              </w:rPr>
              <w:t xml:space="preserve"> </w:t>
            </w:r>
            <w:r>
              <w:rPr>
                <w:rFonts w:ascii="Times New Roman" w:hAnsi="Times New Roman" w:eastAsia="Times New Roman" w:cs="Times New Roman"/>
                <w:spacing w:val="1"/>
              </w:rPr>
              <w:t xml:space="preserve">4 </w:t>
            </w:r>
            <w:r>
              <w:rPr>
                <w:spacing w:val="1"/>
              </w:rPr>
              <w:t>号楼</w:t>
            </w:r>
            <w:r>
              <w:rPr>
                <w:spacing w:val="-29"/>
              </w:rPr>
              <w:t xml:space="preserve"> </w:t>
            </w:r>
            <w:r>
              <w:rPr>
                <w:rFonts w:ascii="Times New Roman" w:hAnsi="Times New Roman" w:eastAsia="Times New Roman" w:cs="Times New Roman"/>
                <w:spacing w:val="1"/>
              </w:rPr>
              <w:t xml:space="preserve">1 </w:t>
            </w:r>
            <w:r>
              <w:rPr>
                <w:spacing w:val="1"/>
              </w:rPr>
              <w:t>层的危废暂存间，作为危废</w:t>
            </w:r>
            <w:r>
              <w:t xml:space="preserve">交有资质单位处 </w:t>
            </w:r>
            <w:r>
              <w:rPr>
                <w:spacing w:val="-1"/>
              </w:rPr>
              <w:t>理，委托有资质的单位转移和处置。</w:t>
            </w:r>
          </w:p>
          <w:p w14:paraId="2C73C064">
            <w:pPr>
              <w:pStyle w:val="6"/>
              <w:spacing w:before="182" w:line="217" w:lineRule="auto"/>
              <w:ind w:left="564"/>
            </w:pPr>
            <w:r>
              <w:rPr>
                <w:spacing w:val="-11"/>
              </w:rPr>
              <w:t>④泡酸后清洗：上述工序完成后，在胶桶中加入清洗水，在常温常压条件下</w:t>
            </w:r>
          </w:p>
        </w:tc>
      </w:tr>
    </w:tbl>
    <w:p w14:paraId="6F061A91">
      <w:pPr>
        <w:rPr>
          <w:rFonts w:ascii="Arial"/>
          <w:sz w:val="21"/>
        </w:rPr>
      </w:pPr>
    </w:p>
    <w:p w14:paraId="7AECECAB">
      <w:pPr>
        <w:rPr>
          <w:rFonts w:ascii="Arial" w:hAnsi="Arial" w:eastAsia="Arial" w:cs="Arial"/>
          <w:sz w:val="21"/>
          <w:szCs w:val="21"/>
        </w:rPr>
        <w:sectPr>
          <w:footerReference r:id="rId44" w:type="default"/>
          <w:pgSz w:w="11906" w:h="16839"/>
          <w:pgMar w:top="400" w:right="1451" w:bottom="1240" w:left="1451" w:header="0" w:footer="1078" w:gutter="0"/>
          <w:cols w:space="720" w:num="1"/>
        </w:sectPr>
      </w:pPr>
    </w:p>
    <w:p w14:paraId="26917F30">
      <w:pPr>
        <w:spacing w:before="19"/>
      </w:pPr>
    </w:p>
    <w:p w14:paraId="6A950A2E">
      <w:pPr>
        <w:spacing w:before="19"/>
      </w:pPr>
    </w:p>
    <w:p w14:paraId="44F7E571">
      <w:pPr>
        <w:spacing w:before="19"/>
      </w:pPr>
    </w:p>
    <w:p w14:paraId="34A3EDFC">
      <w:pPr>
        <w:spacing w:before="18"/>
      </w:pPr>
    </w:p>
    <w:p w14:paraId="205794B8">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9"/>
        <w:gridCol w:w="644"/>
        <w:gridCol w:w="719"/>
        <w:gridCol w:w="799"/>
        <w:gridCol w:w="709"/>
        <w:gridCol w:w="818"/>
        <w:gridCol w:w="709"/>
        <w:gridCol w:w="1777"/>
        <w:gridCol w:w="1748"/>
        <w:gridCol w:w="148"/>
      </w:tblGrid>
      <w:tr w14:paraId="13792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5" w:hRule="atLeast"/>
        </w:trPr>
        <w:tc>
          <w:tcPr>
            <w:tcW w:w="778" w:type="dxa"/>
            <w:vMerge w:val="restart"/>
            <w:tcBorders>
              <w:top w:val="single" w:color="000000" w:sz="6" w:space="0"/>
              <w:left w:val="single" w:color="000000" w:sz="6" w:space="0"/>
              <w:bottom w:val="nil"/>
            </w:tcBorders>
            <w:vAlign w:val="top"/>
          </w:tcPr>
          <w:p w14:paraId="0FA6E022">
            <w:pPr>
              <w:rPr>
                <w:rFonts w:ascii="Arial"/>
                <w:sz w:val="21"/>
              </w:rPr>
            </w:pPr>
          </w:p>
        </w:tc>
        <w:tc>
          <w:tcPr>
            <w:tcW w:w="8210" w:type="dxa"/>
            <w:gridSpan w:val="10"/>
            <w:tcBorders>
              <w:top w:val="single" w:color="000000" w:sz="6" w:space="0"/>
              <w:right w:val="single" w:color="000000" w:sz="6" w:space="0"/>
            </w:tcBorders>
            <w:vAlign w:val="top"/>
          </w:tcPr>
          <w:p w14:paraId="10D7600C">
            <w:pPr>
              <w:pStyle w:val="6"/>
              <w:spacing w:before="41" w:line="359" w:lineRule="auto"/>
              <w:ind w:left="108" w:right="90"/>
              <w:jc w:val="both"/>
            </w:pPr>
            <w:r>
              <w:rPr>
                <w:spacing w:val="-6"/>
              </w:rPr>
              <w:t>进行浸泡清洗，平均最大浸泡清洗时间为</w:t>
            </w:r>
            <w:r>
              <w:rPr>
                <w:spacing w:val="-33"/>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7"/>
              </w:rPr>
              <w:t xml:space="preserve"> </w:t>
            </w:r>
            <w:r>
              <w:rPr>
                <w:spacing w:val="-6"/>
              </w:rPr>
              <w:t>天。清洗水更换：清洗废水由桶底</w:t>
            </w:r>
            <w:r>
              <w:t xml:space="preserve"> </w:t>
            </w:r>
            <w:r>
              <w:rPr>
                <w:spacing w:val="-11"/>
              </w:rPr>
              <w:t>排水管（阀门控制）排出。该过程会产生清</w:t>
            </w:r>
            <w:r>
              <w:rPr>
                <w:spacing w:val="-12"/>
              </w:rPr>
              <w:t>洗废水，该废水经管道进入本项目的</w:t>
            </w:r>
            <w:r>
              <w:t xml:space="preserve"> </w:t>
            </w:r>
            <w:r>
              <w:rPr>
                <w:spacing w:val="-10"/>
              </w:rPr>
              <w:t>废水处理站。</w:t>
            </w:r>
          </w:p>
          <w:p w14:paraId="0D4ECF29">
            <w:pPr>
              <w:pStyle w:val="6"/>
              <w:spacing w:before="1" w:line="324" w:lineRule="auto"/>
              <w:ind w:left="108" w:right="90" w:firstLine="455"/>
            </w:pPr>
            <w:r>
              <w:rPr>
                <w:spacing w:val="-11"/>
              </w:rPr>
              <w:t>⑤泡碱：上述工序完成后，在胶桶中加水后放</w:t>
            </w:r>
            <w:r>
              <w:rPr>
                <w:spacing w:val="-12"/>
              </w:rPr>
              <w:t>入碱性原辅料，放入加热棒使</w:t>
            </w:r>
            <w:r>
              <w:t xml:space="preserve"> </w:t>
            </w:r>
            <w:r>
              <w:rPr>
                <w:spacing w:val="-11"/>
              </w:rPr>
              <w:t>液体加热至沸腾（约</w:t>
            </w:r>
            <w:r>
              <w:rPr>
                <w:spacing w:val="-67"/>
              </w:rPr>
              <w:t xml:space="preserve"> </w:t>
            </w:r>
            <w:r>
              <w:rPr>
                <w:rFonts w:ascii="Times New Roman" w:hAnsi="Times New Roman" w:eastAsia="Times New Roman" w:cs="Times New Roman"/>
                <w:spacing w:val="-11"/>
              </w:rPr>
              <w:t>90</w:t>
            </w:r>
            <w:r>
              <w:rPr>
                <w:spacing w:val="-11"/>
              </w:rPr>
              <w:t>℃)</w:t>
            </w:r>
            <w:r>
              <w:rPr>
                <w:spacing w:val="33"/>
              </w:rPr>
              <w:t xml:space="preserve"> </w:t>
            </w:r>
            <w:r>
              <w:rPr>
                <w:spacing w:val="-11"/>
              </w:rPr>
              <w:t>,</w:t>
            </w:r>
            <w:r>
              <w:rPr>
                <w:spacing w:val="50"/>
              </w:rPr>
              <w:t xml:space="preserve"> </w:t>
            </w:r>
            <w:r>
              <w:rPr>
                <w:spacing w:val="-11"/>
              </w:rPr>
              <w:t>平均最大浸泡时间为</w:t>
            </w:r>
            <w:r>
              <w:rPr>
                <w:spacing w:val="-57"/>
              </w:rPr>
              <w:t xml:space="preserve"> </w:t>
            </w:r>
            <w:r>
              <w:rPr>
                <w:rFonts w:ascii="Times New Roman" w:hAnsi="Times New Roman" w:eastAsia="Times New Roman" w:cs="Times New Roman"/>
                <w:spacing w:val="-11"/>
              </w:rPr>
              <w:t>4</w:t>
            </w:r>
            <w:r>
              <w:rPr>
                <w:rFonts w:ascii="Times New Roman" w:hAnsi="Times New Roman" w:eastAsia="Times New Roman" w:cs="Times New Roman"/>
                <w:spacing w:val="15"/>
              </w:rPr>
              <w:t xml:space="preserve"> </w:t>
            </w:r>
            <w:r>
              <w:rPr>
                <w:spacing w:val="-11"/>
              </w:rPr>
              <w:t>天（浸泡温度约</w:t>
            </w:r>
            <w:r>
              <w:rPr>
                <w:rFonts w:ascii="Times New Roman" w:hAnsi="Times New Roman" w:eastAsia="Times New Roman" w:cs="Times New Roman"/>
                <w:spacing w:val="-12"/>
              </w:rPr>
              <w:t>90</w:t>
            </w:r>
            <w:r>
              <w:rPr>
                <w:spacing w:val="-12"/>
              </w:rPr>
              <w:t>℃)</w:t>
            </w:r>
            <w:r>
              <w:rPr>
                <w:spacing w:val="32"/>
              </w:rPr>
              <w:t xml:space="preserve"> </w:t>
            </w:r>
            <w:r>
              <w:rPr>
                <w:spacing w:val="-12"/>
              </w:rPr>
              <w:t>,</w:t>
            </w:r>
            <w:r>
              <w:t xml:space="preserve">  </w:t>
            </w:r>
            <w:r>
              <w:rPr>
                <w:spacing w:val="-11"/>
              </w:rPr>
              <w:t>泡碱完成后废碱液由桶底排碱管（阀门控制</w:t>
            </w:r>
            <w:r>
              <w:rPr>
                <w:spacing w:val="-12"/>
              </w:rPr>
              <w:t>）排出。废碱液作为废水进入本项目</w:t>
            </w:r>
            <w:r>
              <w:t xml:space="preserve"> </w:t>
            </w:r>
            <w:r>
              <w:rPr>
                <w:spacing w:val="-11"/>
              </w:rPr>
              <w:t>废水处理站处理。</w:t>
            </w:r>
          </w:p>
          <w:p w14:paraId="4E33B749">
            <w:pPr>
              <w:pStyle w:val="6"/>
              <w:spacing w:before="178" w:line="325" w:lineRule="auto"/>
              <w:ind w:left="109" w:right="90" w:firstLine="478"/>
            </w:pPr>
            <w:r>
              <w:rPr>
                <w:spacing w:val="-12"/>
              </w:rPr>
              <w:t>⑥泡碱后清洗：上述工序完成后，在胶桶中清洗水，在常温常压条</w:t>
            </w:r>
            <w:r>
              <w:rPr>
                <w:spacing w:val="-13"/>
              </w:rPr>
              <w:t>件下进行</w:t>
            </w:r>
            <w:r>
              <w:t xml:space="preserve"> </w:t>
            </w:r>
            <w:r>
              <w:rPr>
                <w:spacing w:val="-6"/>
              </w:rPr>
              <w:t>浸泡清洗，平均最大浸泡清洗时间为</w:t>
            </w:r>
            <w:r>
              <w:rPr>
                <w:spacing w:val="-37"/>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19"/>
              </w:rPr>
              <w:t xml:space="preserve"> </w:t>
            </w:r>
            <w:r>
              <w:rPr>
                <w:spacing w:val="-6"/>
              </w:rPr>
              <w:t>天。清洗水更换：清洗废水由桶底排水</w:t>
            </w:r>
            <w:r>
              <w:t xml:space="preserve"> </w:t>
            </w:r>
            <w:r>
              <w:rPr>
                <w:spacing w:val="-12"/>
              </w:rPr>
              <w:t>管（阀门控制）排出。该过程会产生清洗废水，该废水经管道进入本项目的废水</w:t>
            </w:r>
            <w:r>
              <w:rPr>
                <w:spacing w:val="18"/>
              </w:rPr>
              <w:t xml:space="preserve"> </w:t>
            </w:r>
            <w:r>
              <w:rPr>
                <w:spacing w:val="-9"/>
              </w:rPr>
              <w:t>处理站。</w:t>
            </w:r>
          </w:p>
          <w:p w14:paraId="0C3D43AB">
            <w:pPr>
              <w:pStyle w:val="6"/>
              <w:spacing w:before="179" w:line="359" w:lineRule="auto"/>
              <w:ind w:left="124" w:right="105" w:firstLine="465"/>
            </w:pPr>
            <w:r>
              <w:rPr>
                <w:spacing w:val="2"/>
              </w:rPr>
              <w:t>清洗干净后即得客户所需的经泡酸加工后的原料宝石，不用烘干，装桶</w:t>
            </w:r>
            <w:r>
              <w:rPr>
                <w:spacing w:val="1"/>
              </w:rPr>
              <w:t xml:space="preserve"> </w:t>
            </w:r>
            <w:r>
              <w:rPr>
                <w:spacing w:val="-4"/>
              </w:rPr>
              <w:t>既可送给客户。</w:t>
            </w:r>
          </w:p>
          <w:p w14:paraId="20243F78">
            <w:pPr>
              <w:pStyle w:val="6"/>
              <w:spacing w:line="219" w:lineRule="auto"/>
              <w:ind w:left="589"/>
            </w:pPr>
            <w:r>
              <w:t>根据项目工程分析，项目生产过程的产污环节</w:t>
            </w:r>
            <w:r>
              <w:rPr>
                <w:spacing w:val="-1"/>
              </w:rPr>
              <w:t>和污染物情况汇总如下：</w:t>
            </w:r>
          </w:p>
          <w:p w14:paraId="192EF5E9">
            <w:pPr>
              <w:pStyle w:val="6"/>
              <w:spacing w:before="303" w:line="219" w:lineRule="auto"/>
              <w:ind w:left="1448"/>
            </w:pPr>
            <w:r>
              <w:rPr>
                <w:b/>
                <w:bCs/>
                <w:spacing w:val="-2"/>
              </w:rPr>
              <w:t>表</w:t>
            </w:r>
            <w:r>
              <w:rPr>
                <w:spacing w:val="-48"/>
              </w:rPr>
              <w:t xml:space="preserve"> </w:t>
            </w:r>
            <w:r>
              <w:rPr>
                <w:rFonts w:ascii="Times New Roman" w:hAnsi="Times New Roman" w:eastAsia="Times New Roman" w:cs="Times New Roman"/>
                <w:b/>
                <w:bCs/>
                <w:spacing w:val="-2"/>
              </w:rPr>
              <w:t xml:space="preserve">2-20    </w:t>
            </w:r>
            <w:r>
              <w:rPr>
                <w:b/>
                <w:bCs/>
                <w:spacing w:val="-2"/>
              </w:rPr>
              <w:t>项目生产过程产排污环节、污染物汇总表</w:t>
            </w:r>
          </w:p>
        </w:tc>
      </w:tr>
      <w:tr w14:paraId="579A3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778" w:type="dxa"/>
            <w:vMerge w:val="continue"/>
            <w:tcBorders>
              <w:top w:val="nil"/>
              <w:left w:val="single" w:color="000000" w:sz="6" w:space="0"/>
              <w:bottom w:val="nil"/>
            </w:tcBorders>
            <w:vAlign w:val="top"/>
          </w:tcPr>
          <w:p w14:paraId="125CD7D6">
            <w:pPr>
              <w:rPr>
                <w:rFonts w:ascii="Arial"/>
                <w:sz w:val="21"/>
              </w:rPr>
            </w:pPr>
          </w:p>
        </w:tc>
        <w:tc>
          <w:tcPr>
            <w:tcW w:w="139" w:type="dxa"/>
            <w:tcBorders>
              <w:top w:val="nil"/>
              <w:bottom w:val="nil"/>
            </w:tcBorders>
            <w:vAlign w:val="top"/>
          </w:tcPr>
          <w:p w14:paraId="6FEA3973">
            <w:pPr>
              <w:rPr>
                <w:rFonts w:ascii="Arial"/>
                <w:sz w:val="21"/>
              </w:rPr>
            </w:pPr>
          </w:p>
        </w:tc>
        <w:tc>
          <w:tcPr>
            <w:tcW w:w="644" w:type="dxa"/>
            <w:vAlign w:val="top"/>
          </w:tcPr>
          <w:p w14:paraId="25A48A7F">
            <w:pPr>
              <w:pStyle w:val="6"/>
              <w:spacing w:before="100" w:line="228" w:lineRule="auto"/>
              <w:ind w:left="113"/>
              <w:rPr>
                <w:sz w:val="20"/>
                <w:szCs w:val="20"/>
              </w:rPr>
            </w:pPr>
            <w:r>
              <w:rPr>
                <w:b/>
                <w:bCs/>
                <w:spacing w:val="3"/>
                <w:sz w:val="20"/>
                <w:szCs w:val="20"/>
              </w:rPr>
              <w:t>污染</w:t>
            </w:r>
          </w:p>
          <w:p w14:paraId="4118184A">
            <w:pPr>
              <w:pStyle w:val="6"/>
              <w:spacing w:before="23" w:line="228" w:lineRule="auto"/>
              <w:ind w:left="111"/>
              <w:rPr>
                <w:sz w:val="20"/>
                <w:szCs w:val="20"/>
              </w:rPr>
            </w:pPr>
            <w:r>
              <w:rPr>
                <w:b/>
                <w:bCs/>
                <w:spacing w:val="3"/>
                <w:sz w:val="20"/>
                <w:szCs w:val="20"/>
              </w:rPr>
              <w:t>类型</w:t>
            </w:r>
          </w:p>
        </w:tc>
        <w:tc>
          <w:tcPr>
            <w:tcW w:w="719" w:type="dxa"/>
            <w:vAlign w:val="top"/>
          </w:tcPr>
          <w:p w14:paraId="168EF713">
            <w:pPr>
              <w:pStyle w:val="6"/>
              <w:spacing w:before="99" w:line="228" w:lineRule="auto"/>
              <w:ind w:left="148"/>
              <w:rPr>
                <w:sz w:val="20"/>
                <w:szCs w:val="20"/>
              </w:rPr>
            </w:pPr>
            <w:r>
              <w:rPr>
                <w:b/>
                <w:bCs/>
                <w:spacing w:val="3"/>
                <w:sz w:val="20"/>
                <w:szCs w:val="20"/>
              </w:rPr>
              <w:t>产品</w:t>
            </w:r>
          </w:p>
          <w:p w14:paraId="5815CD21">
            <w:pPr>
              <w:pStyle w:val="6"/>
              <w:spacing w:before="24" w:line="228" w:lineRule="auto"/>
              <w:ind w:left="148"/>
              <w:rPr>
                <w:sz w:val="20"/>
                <w:szCs w:val="20"/>
              </w:rPr>
            </w:pPr>
            <w:r>
              <w:rPr>
                <w:b/>
                <w:bCs/>
                <w:spacing w:val="3"/>
                <w:sz w:val="20"/>
                <w:szCs w:val="20"/>
              </w:rPr>
              <w:t>类型</w:t>
            </w:r>
          </w:p>
        </w:tc>
        <w:tc>
          <w:tcPr>
            <w:tcW w:w="799" w:type="dxa"/>
            <w:vAlign w:val="top"/>
          </w:tcPr>
          <w:p w14:paraId="21966434">
            <w:pPr>
              <w:pStyle w:val="6"/>
              <w:spacing w:before="99" w:line="228" w:lineRule="auto"/>
              <w:ind w:left="192"/>
              <w:rPr>
                <w:sz w:val="20"/>
                <w:szCs w:val="20"/>
              </w:rPr>
            </w:pPr>
            <w:r>
              <w:rPr>
                <w:b/>
                <w:bCs/>
                <w:spacing w:val="3"/>
                <w:sz w:val="20"/>
                <w:szCs w:val="20"/>
              </w:rPr>
              <w:t>生产</w:t>
            </w:r>
          </w:p>
          <w:p w14:paraId="358BD173">
            <w:pPr>
              <w:pStyle w:val="6"/>
              <w:spacing w:before="24" w:line="228" w:lineRule="auto"/>
              <w:ind w:left="192"/>
              <w:rPr>
                <w:sz w:val="20"/>
                <w:szCs w:val="20"/>
              </w:rPr>
            </w:pPr>
            <w:r>
              <w:rPr>
                <w:b/>
                <w:bCs/>
                <w:spacing w:val="3"/>
                <w:sz w:val="20"/>
                <w:szCs w:val="20"/>
              </w:rPr>
              <w:t>单元</w:t>
            </w:r>
          </w:p>
        </w:tc>
        <w:tc>
          <w:tcPr>
            <w:tcW w:w="709" w:type="dxa"/>
            <w:vAlign w:val="top"/>
          </w:tcPr>
          <w:p w14:paraId="30552BDF">
            <w:pPr>
              <w:pStyle w:val="6"/>
              <w:spacing w:before="99" w:line="231" w:lineRule="auto"/>
              <w:ind w:left="149"/>
              <w:rPr>
                <w:sz w:val="20"/>
                <w:szCs w:val="20"/>
              </w:rPr>
            </w:pPr>
            <w:r>
              <w:rPr>
                <w:b/>
                <w:bCs/>
                <w:spacing w:val="3"/>
                <w:sz w:val="20"/>
                <w:szCs w:val="20"/>
              </w:rPr>
              <w:t>主要</w:t>
            </w:r>
          </w:p>
          <w:p w14:paraId="4F4FB888">
            <w:pPr>
              <w:pStyle w:val="6"/>
              <w:spacing w:before="21" w:line="229" w:lineRule="auto"/>
              <w:ind w:left="150"/>
              <w:rPr>
                <w:sz w:val="20"/>
                <w:szCs w:val="20"/>
              </w:rPr>
            </w:pPr>
            <w:r>
              <w:rPr>
                <w:b/>
                <w:bCs/>
                <w:spacing w:val="2"/>
                <w:sz w:val="20"/>
                <w:szCs w:val="20"/>
              </w:rPr>
              <w:t>工序</w:t>
            </w:r>
          </w:p>
        </w:tc>
        <w:tc>
          <w:tcPr>
            <w:tcW w:w="818" w:type="dxa"/>
            <w:vAlign w:val="top"/>
          </w:tcPr>
          <w:p w14:paraId="62A44A84">
            <w:pPr>
              <w:pStyle w:val="6"/>
              <w:spacing w:before="99" w:line="231" w:lineRule="auto"/>
              <w:ind w:left="100"/>
              <w:rPr>
                <w:sz w:val="20"/>
                <w:szCs w:val="20"/>
              </w:rPr>
            </w:pPr>
            <w:r>
              <w:rPr>
                <w:b/>
                <w:bCs/>
                <w:spacing w:val="5"/>
                <w:sz w:val="20"/>
                <w:szCs w:val="20"/>
              </w:rPr>
              <w:t>主要生</w:t>
            </w:r>
          </w:p>
          <w:p w14:paraId="69D1ED6B">
            <w:pPr>
              <w:pStyle w:val="6"/>
              <w:spacing w:before="21" w:line="228" w:lineRule="auto"/>
              <w:ind w:left="98"/>
              <w:rPr>
                <w:sz w:val="20"/>
                <w:szCs w:val="20"/>
              </w:rPr>
            </w:pPr>
            <w:r>
              <w:rPr>
                <w:b/>
                <w:bCs/>
                <w:spacing w:val="5"/>
                <w:sz w:val="20"/>
                <w:szCs w:val="20"/>
              </w:rPr>
              <w:t>产设施</w:t>
            </w:r>
          </w:p>
        </w:tc>
        <w:tc>
          <w:tcPr>
            <w:tcW w:w="709" w:type="dxa"/>
            <w:vAlign w:val="top"/>
          </w:tcPr>
          <w:p w14:paraId="2ED206C8">
            <w:pPr>
              <w:pStyle w:val="6"/>
              <w:spacing w:before="99" w:line="228" w:lineRule="auto"/>
              <w:ind w:left="149"/>
              <w:rPr>
                <w:sz w:val="20"/>
                <w:szCs w:val="20"/>
              </w:rPr>
            </w:pPr>
            <w:r>
              <w:rPr>
                <w:b/>
                <w:bCs/>
                <w:spacing w:val="3"/>
                <w:sz w:val="20"/>
                <w:szCs w:val="20"/>
              </w:rPr>
              <w:t>产污</w:t>
            </w:r>
          </w:p>
          <w:p w14:paraId="6F67EFC4">
            <w:pPr>
              <w:pStyle w:val="6"/>
              <w:spacing w:before="24" w:line="228" w:lineRule="auto"/>
              <w:ind w:left="149"/>
              <w:rPr>
                <w:sz w:val="20"/>
                <w:szCs w:val="20"/>
              </w:rPr>
            </w:pPr>
            <w:r>
              <w:rPr>
                <w:b/>
                <w:bCs/>
                <w:spacing w:val="3"/>
                <w:sz w:val="20"/>
                <w:szCs w:val="20"/>
              </w:rPr>
              <w:t>环节</w:t>
            </w:r>
          </w:p>
        </w:tc>
        <w:tc>
          <w:tcPr>
            <w:tcW w:w="1777" w:type="dxa"/>
            <w:vAlign w:val="top"/>
          </w:tcPr>
          <w:p w14:paraId="67742DA7">
            <w:pPr>
              <w:pStyle w:val="6"/>
              <w:spacing w:before="237" w:line="228" w:lineRule="auto"/>
              <w:ind w:left="371"/>
              <w:rPr>
                <w:sz w:val="20"/>
                <w:szCs w:val="20"/>
              </w:rPr>
            </w:pPr>
            <w:r>
              <w:rPr>
                <w:b/>
                <w:bCs/>
                <w:spacing w:val="6"/>
                <w:sz w:val="20"/>
                <w:szCs w:val="20"/>
              </w:rPr>
              <w:t>污染物项目</w:t>
            </w:r>
          </w:p>
        </w:tc>
        <w:tc>
          <w:tcPr>
            <w:tcW w:w="1748" w:type="dxa"/>
            <w:vAlign w:val="top"/>
          </w:tcPr>
          <w:p w14:paraId="5729735E">
            <w:pPr>
              <w:pStyle w:val="6"/>
              <w:spacing w:before="100" w:line="229" w:lineRule="auto"/>
              <w:ind w:left="466"/>
              <w:rPr>
                <w:sz w:val="20"/>
                <w:szCs w:val="20"/>
              </w:rPr>
            </w:pPr>
            <w:r>
              <w:rPr>
                <w:b/>
                <w:bCs/>
                <w:spacing w:val="6"/>
                <w:sz w:val="20"/>
                <w:szCs w:val="20"/>
              </w:rPr>
              <w:t>主要排放</w:t>
            </w:r>
          </w:p>
          <w:p w14:paraId="682AF439">
            <w:pPr>
              <w:pStyle w:val="6"/>
              <w:spacing w:before="23" w:line="229" w:lineRule="auto"/>
              <w:ind w:left="675"/>
              <w:rPr>
                <w:sz w:val="20"/>
                <w:szCs w:val="20"/>
              </w:rPr>
            </w:pPr>
            <w:r>
              <w:rPr>
                <w:b/>
                <w:bCs/>
                <w:spacing w:val="2"/>
                <w:sz w:val="20"/>
                <w:szCs w:val="20"/>
              </w:rPr>
              <w:t>形式</w:t>
            </w:r>
          </w:p>
        </w:tc>
        <w:tc>
          <w:tcPr>
            <w:tcW w:w="148" w:type="dxa"/>
            <w:tcBorders>
              <w:top w:val="nil"/>
              <w:bottom w:val="nil"/>
              <w:right w:val="single" w:color="000000" w:sz="6" w:space="0"/>
            </w:tcBorders>
            <w:vAlign w:val="top"/>
          </w:tcPr>
          <w:p w14:paraId="38BE4307">
            <w:pPr>
              <w:rPr>
                <w:rFonts w:ascii="Arial"/>
                <w:sz w:val="21"/>
              </w:rPr>
            </w:pPr>
          </w:p>
        </w:tc>
      </w:tr>
      <w:tr w14:paraId="645B9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778" w:type="dxa"/>
            <w:vMerge w:val="continue"/>
            <w:tcBorders>
              <w:top w:val="nil"/>
              <w:left w:val="single" w:color="000000" w:sz="6" w:space="0"/>
              <w:bottom w:val="nil"/>
            </w:tcBorders>
            <w:vAlign w:val="top"/>
          </w:tcPr>
          <w:p w14:paraId="2D4290FA">
            <w:pPr>
              <w:rPr>
                <w:rFonts w:ascii="Arial"/>
                <w:sz w:val="21"/>
              </w:rPr>
            </w:pPr>
          </w:p>
        </w:tc>
        <w:tc>
          <w:tcPr>
            <w:tcW w:w="139" w:type="dxa"/>
            <w:tcBorders>
              <w:top w:val="nil"/>
              <w:bottom w:val="nil"/>
            </w:tcBorders>
            <w:vAlign w:val="top"/>
          </w:tcPr>
          <w:p w14:paraId="456C53DE">
            <w:pPr>
              <w:rPr>
                <w:rFonts w:ascii="Arial"/>
                <w:sz w:val="21"/>
              </w:rPr>
            </w:pPr>
          </w:p>
        </w:tc>
        <w:tc>
          <w:tcPr>
            <w:tcW w:w="644" w:type="dxa"/>
            <w:vMerge w:val="restart"/>
            <w:tcBorders>
              <w:bottom w:val="nil"/>
            </w:tcBorders>
            <w:vAlign w:val="top"/>
          </w:tcPr>
          <w:p w14:paraId="6D3F2950">
            <w:pPr>
              <w:spacing w:line="259" w:lineRule="auto"/>
              <w:rPr>
                <w:rFonts w:ascii="Arial"/>
                <w:sz w:val="21"/>
              </w:rPr>
            </w:pPr>
          </w:p>
          <w:p w14:paraId="5D82844D">
            <w:pPr>
              <w:spacing w:line="259" w:lineRule="auto"/>
              <w:rPr>
                <w:rFonts w:ascii="Arial"/>
                <w:sz w:val="21"/>
              </w:rPr>
            </w:pPr>
          </w:p>
          <w:p w14:paraId="7500331B">
            <w:pPr>
              <w:spacing w:line="259" w:lineRule="auto"/>
              <w:rPr>
                <w:rFonts w:ascii="Arial"/>
                <w:sz w:val="21"/>
              </w:rPr>
            </w:pPr>
          </w:p>
          <w:p w14:paraId="4BD15639">
            <w:pPr>
              <w:spacing w:line="260" w:lineRule="auto"/>
              <w:rPr>
                <w:rFonts w:ascii="Arial"/>
                <w:sz w:val="21"/>
              </w:rPr>
            </w:pPr>
          </w:p>
          <w:p w14:paraId="29175D10">
            <w:pPr>
              <w:spacing w:line="260" w:lineRule="auto"/>
              <w:rPr>
                <w:rFonts w:ascii="Arial"/>
                <w:sz w:val="21"/>
              </w:rPr>
            </w:pPr>
          </w:p>
          <w:p w14:paraId="2AAA2084">
            <w:pPr>
              <w:spacing w:line="260" w:lineRule="auto"/>
              <w:rPr>
                <w:rFonts w:ascii="Arial"/>
                <w:sz w:val="21"/>
              </w:rPr>
            </w:pPr>
          </w:p>
          <w:p w14:paraId="0479C6E4">
            <w:pPr>
              <w:pStyle w:val="6"/>
              <w:spacing w:before="65" w:line="228" w:lineRule="auto"/>
              <w:ind w:left="113"/>
              <w:rPr>
                <w:sz w:val="20"/>
                <w:szCs w:val="20"/>
              </w:rPr>
            </w:pPr>
            <w:r>
              <w:rPr>
                <w:spacing w:val="3"/>
                <w:sz w:val="20"/>
                <w:szCs w:val="20"/>
              </w:rPr>
              <w:t>大气</w:t>
            </w:r>
          </w:p>
          <w:p w14:paraId="2B811216">
            <w:pPr>
              <w:pStyle w:val="6"/>
              <w:spacing w:before="23" w:line="255" w:lineRule="auto"/>
              <w:ind w:left="216" w:right="118" w:hanging="103"/>
              <w:rPr>
                <w:sz w:val="20"/>
                <w:szCs w:val="20"/>
              </w:rPr>
            </w:pPr>
            <w:r>
              <w:rPr>
                <w:spacing w:val="3"/>
                <w:sz w:val="20"/>
                <w:szCs w:val="20"/>
              </w:rPr>
              <w:t>污染</w:t>
            </w:r>
            <w:r>
              <w:rPr>
                <w:sz w:val="20"/>
                <w:szCs w:val="20"/>
              </w:rPr>
              <w:t xml:space="preserve"> 物</w:t>
            </w:r>
          </w:p>
        </w:tc>
        <w:tc>
          <w:tcPr>
            <w:tcW w:w="719" w:type="dxa"/>
            <w:vAlign w:val="top"/>
          </w:tcPr>
          <w:p w14:paraId="04DA8F6B">
            <w:pPr>
              <w:spacing w:line="322" w:lineRule="auto"/>
              <w:rPr>
                <w:rFonts w:ascii="Arial"/>
                <w:sz w:val="21"/>
              </w:rPr>
            </w:pPr>
          </w:p>
          <w:p w14:paraId="051A6A01">
            <w:pPr>
              <w:pStyle w:val="6"/>
              <w:spacing w:before="65" w:line="255" w:lineRule="auto"/>
              <w:ind w:left="255" w:right="47" w:hanging="207"/>
              <w:rPr>
                <w:sz w:val="20"/>
                <w:szCs w:val="20"/>
              </w:rPr>
            </w:pPr>
            <w:r>
              <w:rPr>
                <w:spacing w:val="6"/>
                <w:sz w:val="20"/>
                <w:szCs w:val="20"/>
              </w:rPr>
              <w:t>宝石泡</w:t>
            </w:r>
            <w:r>
              <w:rPr>
                <w:sz w:val="20"/>
                <w:szCs w:val="20"/>
              </w:rPr>
              <w:t xml:space="preserve"> 酸</w:t>
            </w:r>
          </w:p>
        </w:tc>
        <w:tc>
          <w:tcPr>
            <w:tcW w:w="799" w:type="dxa"/>
            <w:vAlign w:val="top"/>
          </w:tcPr>
          <w:p w14:paraId="501CE3C1">
            <w:pPr>
              <w:spacing w:line="459" w:lineRule="auto"/>
              <w:rPr>
                <w:rFonts w:ascii="Arial"/>
                <w:sz w:val="21"/>
              </w:rPr>
            </w:pPr>
          </w:p>
          <w:p w14:paraId="722D1DA0">
            <w:pPr>
              <w:pStyle w:val="6"/>
              <w:spacing w:before="65" w:line="229" w:lineRule="auto"/>
              <w:ind w:left="192"/>
              <w:rPr>
                <w:sz w:val="20"/>
                <w:szCs w:val="20"/>
              </w:rPr>
            </w:pPr>
            <w:r>
              <w:rPr>
                <w:spacing w:val="3"/>
                <w:sz w:val="20"/>
                <w:szCs w:val="20"/>
              </w:rPr>
              <w:t>泡酸</w:t>
            </w:r>
          </w:p>
        </w:tc>
        <w:tc>
          <w:tcPr>
            <w:tcW w:w="709" w:type="dxa"/>
            <w:vAlign w:val="top"/>
          </w:tcPr>
          <w:p w14:paraId="01DD6465">
            <w:pPr>
              <w:spacing w:line="459" w:lineRule="auto"/>
              <w:rPr>
                <w:rFonts w:ascii="Arial"/>
                <w:sz w:val="21"/>
              </w:rPr>
            </w:pPr>
          </w:p>
          <w:p w14:paraId="294E7564">
            <w:pPr>
              <w:pStyle w:val="6"/>
              <w:spacing w:before="65" w:line="229" w:lineRule="auto"/>
              <w:ind w:left="149"/>
              <w:rPr>
                <w:sz w:val="20"/>
                <w:szCs w:val="20"/>
              </w:rPr>
            </w:pPr>
            <w:r>
              <w:rPr>
                <w:spacing w:val="3"/>
                <w:sz w:val="20"/>
                <w:szCs w:val="20"/>
              </w:rPr>
              <w:t>泡酸</w:t>
            </w:r>
          </w:p>
        </w:tc>
        <w:tc>
          <w:tcPr>
            <w:tcW w:w="818" w:type="dxa"/>
            <w:vAlign w:val="top"/>
          </w:tcPr>
          <w:p w14:paraId="6A848D65">
            <w:pPr>
              <w:spacing w:line="459" w:lineRule="auto"/>
              <w:rPr>
                <w:rFonts w:ascii="Arial"/>
                <w:sz w:val="21"/>
              </w:rPr>
            </w:pPr>
          </w:p>
          <w:p w14:paraId="611FF0D9">
            <w:pPr>
              <w:pStyle w:val="6"/>
              <w:spacing w:before="65" w:line="228" w:lineRule="auto"/>
              <w:ind w:left="203"/>
              <w:rPr>
                <w:sz w:val="20"/>
                <w:szCs w:val="20"/>
              </w:rPr>
            </w:pPr>
            <w:r>
              <w:rPr>
                <w:spacing w:val="5"/>
                <w:sz w:val="20"/>
                <w:szCs w:val="20"/>
              </w:rPr>
              <w:t>胶桶</w:t>
            </w:r>
          </w:p>
        </w:tc>
        <w:tc>
          <w:tcPr>
            <w:tcW w:w="709" w:type="dxa"/>
            <w:vAlign w:val="top"/>
          </w:tcPr>
          <w:p w14:paraId="3E971B42">
            <w:pPr>
              <w:spacing w:line="323" w:lineRule="auto"/>
              <w:rPr>
                <w:rFonts w:ascii="Arial"/>
                <w:sz w:val="21"/>
              </w:rPr>
            </w:pPr>
          </w:p>
          <w:p w14:paraId="22425CC1">
            <w:pPr>
              <w:pStyle w:val="6"/>
              <w:spacing w:before="65" w:line="229" w:lineRule="auto"/>
              <w:ind w:left="151"/>
              <w:rPr>
                <w:sz w:val="20"/>
                <w:szCs w:val="20"/>
              </w:rPr>
            </w:pPr>
            <w:r>
              <w:rPr>
                <w:spacing w:val="3"/>
                <w:sz w:val="20"/>
                <w:szCs w:val="20"/>
              </w:rPr>
              <w:t>泡酸</w:t>
            </w:r>
          </w:p>
          <w:p w14:paraId="3400192F">
            <w:pPr>
              <w:pStyle w:val="6"/>
              <w:spacing w:before="25" w:line="228" w:lineRule="auto"/>
              <w:ind w:left="148"/>
              <w:rPr>
                <w:sz w:val="20"/>
                <w:szCs w:val="20"/>
              </w:rPr>
            </w:pPr>
            <w:r>
              <w:rPr>
                <w:spacing w:val="5"/>
                <w:sz w:val="20"/>
                <w:szCs w:val="20"/>
              </w:rPr>
              <w:t>废气</w:t>
            </w:r>
          </w:p>
        </w:tc>
        <w:tc>
          <w:tcPr>
            <w:tcW w:w="1777" w:type="dxa"/>
            <w:vAlign w:val="top"/>
          </w:tcPr>
          <w:p w14:paraId="449E4A88">
            <w:pPr>
              <w:pStyle w:val="6"/>
              <w:spacing w:before="118" w:line="228" w:lineRule="auto"/>
              <w:jc w:val="right"/>
              <w:rPr>
                <w:sz w:val="20"/>
                <w:szCs w:val="20"/>
              </w:rPr>
            </w:pPr>
            <w:r>
              <w:rPr>
                <w:spacing w:val="-5"/>
                <w:sz w:val="20"/>
                <w:szCs w:val="20"/>
              </w:rPr>
              <w:t>氯化氢、氟化氢（以</w:t>
            </w:r>
          </w:p>
          <w:p w14:paraId="73DDF1BB">
            <w:pPr>
              <w:pStyle w:val="6"/>
              <w:spacing w:before="24" w:line="228" w:lineRule="auto"/>
              <w:ind w:left="58"/>
              <w:rPr>
                <w:sz w:val="20"/>
                <w:szCs w:val="20"/>
              </w:rPr>
            </w:pPr>
            <w:r>
              <w:rPr>
                <w:spacing w:val="8"/>
                <w:sz w:val="20"/>
                <w:szCs w:val="20"/>
              </w:rPr>
              <w:t>氟化物计）、硫酸</w:t>
            </w:r>
          </w:p>
          <w:p w14:paraId="6F3AC12A">
            <w:pPr>
              <w:pStyle w:val="6"/>
              <w:spacing w:before="24" w:line="227" w:lineRule="auto"/>
              <w:ind w:left="59"/>
              <w:rPr>
                <w:sz w:val="20"/>
                <w:szCs w:val="20"/>
              </w:rPr>
            </w:pPr>
            <w:r>
              <w:rPr>
                <w:spacing w:val="8"/>
                <w:sz w:val="20"/>
                <w:szCs w:val="20"/>
              </w:rPr>
              <w:t>雾和硝酸雾（以氮</w:t>
            </w:r>
          </w:p>
          <w:p w14:paraId="0BD3E030">
            <w:pPr>
              <w:pStyle w:val="6"/>
              <w:spacing w:before="27" w:line="227" w:lineRule="auto"/>
              <w:ind w:left="372"/>
              <w:rPr>
                <w:sz w:val="20"/>
                <w:szCs w:val="20"/>
              </w:rPr>
            </w:pPr>
            <w:r>
              <w:rPr>
                <w:spacing w:val="5"/>
                <w:sz w:val="20"/>
                <w:szCs w:val="20"/>
              </w:rPr>
              <w:t>氧化物计）</w:t>
            </w:r>
          </w:p>
        </w:tc>
        <w:tc>
          <w:tcPr>
            <w:tcW w:w="1748" w:type="dxa"/>
            <w:vAlign w:val="top"/>
          </w:tcPr>
          <w:p w14:paraId="4EF95D45">
            <w:pPr>
              <w:spacing w:line="459" w:lineRule="auto"/>
              <w:rPr>
                <w:rFonts w:ascii="Arial"/>
                <w:sz w:val="21"/>
              </w:rPr>
            </w:pPr>
          </w:p>
          <w:p w14:paraId="667F7B77">
            <w:pPr>
              <w:pStyle w:val="6"/>
              <w:spacing w:before="65" w:line="228" w:lineRule="auto"/>
              <w:ind w:left="570"/>
              <w:rPr>
                <w:sz w:val="20"/>
                <w:szCs w:val="20"/>
              </w:rPr>
            </w:pPr>
            <w:r>
              <w:rPr>
                <w:spacing w:val="6"/>
                <w:sz w:val="20"/>
                <w:szCs w:val="20"/>
              </w:rPr>
              <w:t>有组织</w:t>
            </w:r>
          </w:p>
        </w:tc>
        <w:tc>
          <w:tcPr>
            <w:tcW w:w="148" w:type="dxa"/>
            <w:tcBorders>
              <w:top w:val="nil"/>
              <w:bottom w:val="nil"/>
              <w:right w:val="single" w:color="000000" w:sz="6" w:space="0"/>
            </w:tcBorders>
            <w:vAlign w:val="top"/>
          </w:tcPr>
          <w:p w14:paraId="64DD359A">
            <w:pPr>
              <w:rPr>
                <w:rFonts w:ascii="Arial"/>
                <w:sz w:val="21"/>
              </w:rPr>
            </w:pPr>
          </w:p>
        </w:tc>
      </w:tr>
      <w:tr w14:paraId="37DA6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78" w:type="dxa"/>
            <w:vMerge w:val="continue"/>
            <w:tcBorders>
              <w:top w:val="nil"/>
              <w:left w:val="single" w:color="000000" w:sz="6" w:space="0"/>
              <w:bottom w:val="nil"/>
            </w:tcBorders>
            <w:vAlign w:val="top"/>
          </w:tcPr>
          <w:p w14:paraId="7F8593F3">
            <w:pPr>
              <w:rPr>
                <w:rFonts w:ascii="Arial"/>
                <w:sz w:val="21"/>
              </w:rPr>
            </w:pPr>
          </w:p>
        </w:tc>
        <w:tc>
          <w:tcPr>
            <w:tcW w:w="139" w:type="dxa"/>
            <w:tcBorders>
              <w:top w:val="nil"/>
              <w:bottom w:val="nil"/>
            </w:tcBorders>
            <w:vAlign w:val="top"/>
          </w:tcPr>
          <w:p w14:paraId="350C2241">
            <w:pPr>
              <w:rPr>
                <w:rFonts w:ascii="Arial"/>
                <w:sz w:val="21"/>
              </w:rPr>
            </w:pPr>
          </w:p>
        </w:tc>
        <w:tc>
          <w:tcPr>
            <w:tcW w:w="644" w:type="dxa"/>
            <w:vMerge w:val="continue"/>
            <w:tcBorders>
              <w:top w:val="nil"/>
              <w:bottom w:val="nil"/>
            </w:tcBorders>
            <w:vAlign w:val="top"/>
          </w:tcPr>
          <w:p w14:paraId="0892B315">
            <w:pPr>
              <w:rPr>
                <w:rFonts w:ascii="Arial"/>
                <w:sz w:val="21"/>
              </w:rPr>
            </w:pPr>
          </w:p>
        </w:tc>
        <w:tc>
          <w:tcPr>
            <w:tcW w:w="719" w:type="dxa"/>
            <w:vMerge w:val="restart"/>
            <w:tcBorders>
              <w:bottom w:val="nil"/>
            </w:tcBorders>
            <w:vAlign w:val="top"/>
          </w:tcPr>
          <w:p w14:paraId="77127490">
            <w:pPr>
              <w:spacing w:line="268" w:lineRule="auto"/>
              <w:rPr>
                <w:rFonts w:ascii="Arial"/>
                <w:sz w:val="21"/>
              </w:rPr>
            </w:pPr>
          </w:p>
          <w:p w14:paraId="313AE367">
            <w:pPr>
              <w:spacing w:line="269" w:lineRule="auto"/>
              <w:rPr>
                <w:rFonts w:ascii="Arial"/>
                <w:sz w:val="21"/>
              </w:rPr>
            </w:pPr>
          </w:p>
          <w:p w14:paraId="66ABEFFB">
            <w:pPr>
              <w:spacing w:line="269" w:lineRule="auto"/>
              <w:rPr>
                <w:rFonts w:ascii="Arial"/>
                <w:sz w:val="21"/>
              </w:rPr>
            </w:pPr>
          </w:p>
          <w:p w14:paraId="1130CC95">
            <w:pPr>
              <w:spacing w:line="269" w:lineRule="auto"/>
              <w:rPr>
                <w:rFonts w:ascii="Arial"/>
                <w:sz w:val="21"/>
              </w:rPr>
            </w:pPr>
          </w:p>
          <w:p w14:paraId="013690F4">
            <w:pPr>
              <w:pStyle w:val="6"/>
              <w:spacing w:before="65" w:line="228" w:lineRule="auto"/>
              <w:ind w:left="151"/>
              <w:rPr>
                <w:sz w:val="20"/>
                <w:szCs w:val="20"/>
              </w:rPr>
            </w:pPr>
            <w:r>
              <w:rPr>
                <w:spacing w:val="4"/>
                <w:sz w:val="20"/>
                <w:szCs w:val="20"/>
              </w:rPr>
              <w:t>注胶</w:t>
            </w:r>
          </w:p>
          <w:p w14:paraId="70F6912A">
            <w:pPr>
              <w:pStyle w:val="6"/>
              <w:spacing w:before="24" w:line="229" w:lineRule="auto"/>
              <w:ind w:left="153"/>
              <w:rPr>
                <w:sz w:val="20"/>
                <w:szCs w:val="20"/>
              </w:rPr>
            </w:pPr>
            <w:r>
              <w:rPr>
                <w:spacing w:val="3"/>
                <w:sz w:val="20"/>
                <w:szCs w:val="20"/>
              </w:rPr>
              <w:t>工序</w:t>
            </w:r>
          </w:p>
        </w:tc>
        <w:tc>
          <w:tcPr>
            <w:tcW w:w="799" w:type="dxa"/>
            <w:vAlign w:val="top"/>
          </w:tcPr>
          <w:p w14:paraId="75D32476">
            <w:pPr>
              <w:pStyle w:val="6"/>
              <w:spacing w:before="182" w:line="228" w:lineRule="auto"/>
              <w:ind w:left="190"/>
              <w:rPr>
                <w:sz w:val="20"/>
                <w:szCs w:val="20"/>
              </w:rPr>
            </w:pPr>
            <w:r>
              <w:rPr>
                <w:spacing w:val="4"/>
                <w:sz w:val="20"/>
                <w:szCs w:val="20"/>
              </w:rPr>
              <w:t>配胶</w:t>
            </w:r>
          </w:p>
        </w:tc>
        <w:tc>
          <w:tcPr>
            <w:tcW w:w="709" w:type="dxa"/>
            <w:vAlign w:val="top"/>
          </w:tcPr>
          <w:p w14:paraId="3ED9439C">
            <w:pPr>
              <w:pStyle w:val="6"/>
              <w:spacing w:before="183" w:line="231" w:lineRule="auto"/>
              <w:ind w:left="147"/>
              <w:rPr>
                <w:sz w:val="20"/>
                <w:szCs w:val="20"/>
              </w:rPr>
            </w:pPr>
            <w:r>
              <w:rPr>
                <w:spacing w:val="4"/>
                <w:sz w:val="20"/>
                <w:szCs w:val="20"/>
              </w:rPr>
              <w:t>加热</w:t>
            </w:r>
          </w:p>
        </w:tc>
        <w:tc>
          <w:tcPr>
            <w:tcW w:w="818" w:type="dxa"/>
            <w:vAlign w:val="top"/>
          </w:tcPr>
          <w:p w14:paraId="37951136">
            <w:pPr>
              <w:pStyle w:val="6"/>
              <w:spacing w:before="48" w:line="231" w:lineRule="auto"/>
              <w:ind w:left="205"/>
              <w:rPr>
                <w:sz w:val="20"/>
                <w:szCs w:val="20"/>
              </w:rPr>
            </w:pPr>
            <w:r>
              <w:rPr>
                <w:spacing w:val="4"/>
                <w:sz w:val="20"/>
                <w:szCs w:val="20"/>
              </w:rPr>
              <w:t>石油</w:t>
            </w:r>
          </w:p>
          <w:p w14:paraId="728A495A">
            <w:pPr>
              <w:pStyle w:val="6"/>
              <w:spacing w:before="21" w:line="204" w:lineRule="auto"/>
              <w:ind w:left="205"/>
              <w:rPr>
                <w:sz w:val="20"/>
                <w:szCs w:val="20"/>
              </w:rPr>
            </w:pPr>
            <w:r>
              <w:rPr>
                <w:spacing w:val="4"/>
                <w:sz w:val="20"/>
                <w:szCs w:val="20"/>
              </w:rPr>
              <w:t>气炉</w:t>
            </w:r>
          </w:p>
        </w:tc>
        <w:tc>
          <w:tcPr>
            <w:tcW w:w="709" w:type="dxa"/>
            <w:vAlign w:val="top"/>
          </w:tcPr>
          <w:p w14:paraId="6784646A">
            <w:pPr>
              <w:pStyle w:val="6"/>
              <w:spacing w:before="48" w:line="227" w:lineRule="auto"/>
              <w:ind w:left="150"/>
              <w:rPr>
                <w:sz w:val="20"/>
                <w:szCs w:val="20"/>
              </w:rPr>
            </w:pPr>
            <w:r>
              <w:rPr>
                <w:spacing w:val="4"/>
                <w:sz w:val="20"/>
                <w:szCs w:val="20"/>
              </w:rPr>
              <w:t>燃烧</w:t>
            </w:r>
          </w:p>
          <w:p w14:paraId="083D35DA">
            <w:pPr>
              <w:pStyle w:val="6"/>
              <w:spacing w:before="25" w:line="204" w:lineRule="auto"/>
              <w:ind w:left="148"/>
              <w:rPr>
                <w:sz w:val="20"/>
                <w:szCs w:val="20"/>
              </w:rPr>
            </w:pPr>
            <w:r>
              <w:rPr>
                <w:spacing w:val="5"/>
                <w:sz w:val="20"/>
                <w:szCs w:val="20"/>
              </w:rPr>
              <w:t>废气</w:t>
            </w:r>
          </w:p>
        </w:tc>
        <w:tc>
          <w:tcPr>
            <w:tcW w:w="1777" w:type="dxa"/>
            <w:vAlign w:val="top"/>
          </w:tcPr>
          <w:p w14:paraId="4EB60E27">
            <w:pPr>
              <w:pStyle w:val="6"/>
              <w:spacing w:before="49" w:line="227" w:lineRule="auto"/>
              <w:ind w:left="203" w:right="90" w:hanging="85"/>
              <w:rPr>
                <w:sz w:val="20"/>
                <w:szCs w:val="20"/>
              </w:rPr>
            </w:pPr>
            <w:r>
              <w:rPr>
                <w:spacing w:val="-5"/>
                <w:sz w:val="20"/>
                <w:szCs w:val="20"/>
              </w:rPr>
              <w:t>二氧化硫、氮氧化</w:t>
            </w:r>
            <w:r>
              <w:rPr>
                <w:spacing w:val="2"/>
                <w:sz w:val="20"/>
                <w:szCs w:val="20"/>
              </w:rPr>
              <w:t xml:space="preserve"> </w:t>
            </w:r>
            <w:r>
              <w:rPr>
                <w:spacing w:val="-2"/>
                <w:sz w:val="20"/>
                <w:szCs w:val="20"/>
              </w:rPr>
              <w:t>物、非甲烷总烃</w:t>
            </w:r>
          </w:p>
        </w:tc>
        <w:tc>
          <w:tcPr>
            <w:tcW w:w="1748" w:type="dxa"/>
            <w:vAlign w:val="top"/>
          </w:tcPr>
          <w:p w14:paraId="4A318372">
            <w:pPr>
              <w:pStyle w:val="6"/>
              <w:spacing w:before="183" w:line="228" w:lineRule="auto"/>
              <w:ind w:left="570"/>
              <w:rPr>
                <w:sz w:val="20"/>
                <w:szCs w:val="20"/>
              </w:rPr>
            </w:pPr>
            <w:r>
              <w:rPr>
                <w:spacing w:val="6"/>
                <w:sz w:val="20"/>
                <w:szCs w:val="20"/>
              </w:rPr>
              <w:t>有组织</w:t>
            </w:r>
          </w:p>
        </w:tc>
        <w:tc>
          <w:tcPr>
            <w:tcW w:w="148" w:type="dxa"/>
            <w:tcBorders>
              <w:top w:val="nil"/>
              <w:bottom w:val="nil"/>
              <w:right w:val="single" w:color="000000" w:sz="6" w:space="0"/>
            </w:tcBorders>
            <w:vAlign w:val="top"/>
          </w:tcPr>
          <w:p w14:paraId="198C33BB">
            <w:pPr>
              <w:rPr>
                <w:rFonts w:ascii="Arial"/>
                <w:sz w:val="21"/>
              </w:rPr>
            </w:pPr>
          </w:p>
        </w:tc>
      </w:tr>
      <w:tr w14:paraId="58FE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78" w:type="dxa"/>
            <w:vMerge w:val="continue"/>
            <w:tcBorders>
              <w:top w:val="nil"/>
              <w:left w:val="single" w:color="000000" w:sz="6" w:space="0"/>
              <w:bottom w:val="nil"/>
            </w:tcBorders>
            <w:vAlign w:val="top"/>
          </w:tcPr>
          <w:p w14:paraId="43356606">
            <w:pPr>
              <w:rPr>
                <w:rFonts w:ascii="Arial"/>
                <w:sz w:val="21"/>
              </w:rPr>
            </w:pPr>
          </w:p>
        </w:tc>
        <w:tc>
          <w:tcPr>
            <w:tcW w:w="139" w:type="dxa"/>
            <w:tcBorders>
              <w:top w:val="nil"/>
              <w:bottom w:val="nil"/>
            </w:tcBorders>
            <w:vAlign w:val="top"/>
          </w:tcPr>
          <w:p w14:paraId="73311427">
            <w:pPr>
              <w:rPr>
                <w:rFonts w:ascii="Arial"/>
                <w:sz w:val="21"/>
              </w:rPr>
            </w:pPr>
          </w:p>
        </w:tc>
        <w:tc>
          <w:tcPr>
            <w:tcW w:w="644" w:type="dxa"/>
            <w:vMerge w:val="continue"/>
            <w:tcBorders>
              <w:top w:val="nil"/>
              <w:bottom w:val="nil"/>
            </w:tcBorders>
            <w:vAlign w:val="top"/>
          </w:tcPr>
          <w:p w14:paraId="56DBD0DB">
            <w:pPr>
              <w:rPr>
                <w:rFonts w:ascii="Arial"/>
                <w:sz w:val="21"/>
              </w:rPr>
            </w:pPr>
          </w:p>
        </w:tc>
        <w:tc>
          <w:tcPr>
            <w:tcW w:w="719" w:type="dxa"/>
            <w:vMerge w:val="continue"/>
            <w:tcBorders>
              <w:top w:val="nil"/>
              <w:bottom w:val="nil"/>
            </w:tcBorders>
            <w:vAlign w:val="top"/>
          </w:tcPr>
          <w:p w14:paraId="7E550428">
            <w:pPr>
              <w:rPr>
                <w:rFonts w:ascii="Arial"/>
                <w:sz w:val="21"/>
              </w:rPr>
            </w:pPr>
          </w:p>
        </w:tc>
        <w:tc>
          <w:tcPr>
            <w:tcW w:w="799" w:type="dxa"/>
            <w:vAlign w:val="top"/>
          </w:tcPr>
          <w:p w14:paraId="1294DAEB">
            <w:pPr>
              <w:spacing w:line="251" w:lineRule="auto"/>
              <w:rPr>
                <w:rFonts w:ascii="Arial"/>
                <w:sz w:val="21"/>
              </w:rPr>
            </w:pPr>
          </w:p>
          <w:p w14:paraId="46186CC9">
            <w:pPr>
              <w:pStyle w:val="6"/>
              <w:spacing w:before="65" w:line="256" w:lineRule="auto"/>
              <w:ind w:left="301" w:right="193" w:hanging="112"/>
              <w:rPr>
                <w:sz w:val="20"/>
                <w:szCs w:val="20"/>
              </w:rPr>
            </w:pPr>
            <w:r>
              <w:rPr>
                <w:spacing w:val="5"/>
                <w:sz w:val="20"/>
                <w:szCs w:val="20"/>
              </w:rPr>
              <w:t>抽真</w:t>
            </w:r>
            <w:r>
              <w:rPr>
                <w:sz w:val="20"/>
                <w:szCs w:val="20"/>
              </w:rPr>
              <w:t xml:space="preserve"> 空</w:t>
            </w:r>
          </w:p>
        </w:tc>
        <w:tc>
          <w:tcPr>
            <w:tcW w:w="709" w:type="dxa"/>
            <w:vAlign w:val="top"/>
          </w:tcPr>
          <w:p w14:paraId="6548F93B">
            <w:pPr>
              <w:spacing w:line="251" w:lineRule="auto"/>
              <w:rPr>
                <w:rFonts w:ascii="Arial"/>
                <w:sz w:val="21"/>
              </w:rPr>
            </w:pPr>
          </w:p>
          <w:p w14:paraId="2F4D27E9">
            <w:pPr>
              <w:pStyle w:val="6"/>
              <w:spacing w:before="65" w:line="256" w:lineRule="auto"/>
              <w:ind w:left="258" w:right="146" w:hanging="112"/>
              <w:rPr>
                <w:sz w:val="20"/>
                <w:szCs w:val="20"/>
              </w:rPr>
            </w:pPr>
            <w:r>
              <w:rPr>
                <w:spacing w:val="5"/>
                <w:sz w:val="20"/>
                <w:szCs w:val="20"/>
              </w:rPr>
              <w:t>抽真</w:t>
            </w:r>
            <w:r>
              <w:rPr>
                <w:sz w:val="20"/>
                <w:szCs w:val="20"/>
              </w:rPr>
              <w:t xml:space="preserve"> 空</w:t>
            </w:r>
          </w:p>
        </w:tc>
        <w:tc>
          <w:tcPr>
            <w:tcW w:w="818" w:type="dxa"/>
            <w:vAlign w:val="top"/>
          </w:tcPr>
          <w:p w14:paraId="00D41C93">
            <w:pPr>
              <w:spacing w:line="252" w:lineRule="auto"/>
              <w:rPr>
                <w:rFonts w:ascii="Arial"/>
                <w:sz w:val="21"/>
              </w:rPr>
            </w:pPr>
          </w:p>
          <w:p w14:paraId="575DC015">
            <w:pPr>
              <w:pStyle w:val="6"/>
              <w:spacing w:before="65" w:line="251" w:lineRule="auto"/>
              <w:ind w:left="305" w:right="199" w:hanging="99"/>
              <w:rPr>
                <w:sz w:val="20"/>
                <w:szCs w:val="20"/>
              </w:rPr>
            </w:pPr>
            <w:r>
              <w:rPr>
                <w:spacing w:val="3"/>
                <w:sz w:val="20"/>
                <w:szCs w:val="20"/>
              </w:rPr>
              <w:t>真空</w:t>
            </w:r>
            <w:r>
              <w:rPr>
                <w:sz w:val="20"/>
                <w:szCs w:val="20"/>
              </w:rPr>
              <w:t xml:space="preserve"> </w:t>
            </w:r>
            <w:r>
              <w:rPr>
                <w:spacing w:val="1"/>
                <w:sz w:val="20"/>
                <w:szCs w:val="20"/>
              </w:rPr>
              <w:t>机</w:t>
            </w:r>
          </w:p>
        </w:tc>
        <w:tc>
          <w:tcPr>
            <w:tcW w:w="709" w:type="dxa"/>
            <w:vAlign w:val="top"/>
          </w:tcPr>
          <w:p w14:paraId="7488C344">
            <w:pPr>
              <w:pStyle w:val="6"/>
              <w:spacing w:before="47" w:line="228" w:lineRule="auto"/>
              <w:ind w:left="148"/>
              <w:rPr>
                <w:sz w:val="20"/>
                <w:szCs w:val="20"/>
              </w:rPr>
            </w:pPr>
            <w:r>
              <w:rPr>
                <w:spacing w:val="5"/>
                <w:sz w:val="20"/>
                <w:szCs w:val="20"/>
              </w:rPr>
              <w:t>挥发</w:t>
            </w:r>
          </w:p>
          <w:p w14:paraId="27EAF32D">
            <w:pPr>
              <w:pStyle w:val="6"/>
              <w:spacing w:before="24" w:line="228" w:lineRule="auto"/>
              <w:ind w:left="152"/>
              <w:rPr>
                <w:sz w:val="20"/>
                <w:szCs w:val="20"/>
              </w:rPr>
            </w:pPr>
            <w:r>
              <w:rPr>
                <w:spacing w:val="3"/>
                <w:sz w:val="20"/>
                <w:szCs w:val="20"/>
              </w:rPr>
              <w:t>性有</w:t>
            </w:r>
          </w:p>
          <w:p w14:paraId="78F7049B">
            <w:pPr>
              <w:pStyle w:val="6"/>
              <w:spacing w:before="23" w:line="224" w:lineRule="auto"/>
              <w:ind w:left="255" w:right="144" w:hanging="107"/>
              <w:rPr>
                <w:sz w:val="20"/>
                <w:szCs w:val="20"/>
              </w:rPr>
            </w:pPr>
            <w:r>
              <w:rPr>
                <w:spacing w:val="5"/>
                <w:sz w:val="20"/>
                <w:szCs w:val="20"/>
              </w:rPr>
              <w:t>机废</w:t>
            </w:r>
            <w:r>
              <w:rPr>
                <w:sz w:val="20"/>
                <w:szCs w:val="20"/>
              </w:rPr>
              <w:t xml:space="preserve"> 气</w:t>
            </w:r>
          </w:p>
        </w:tc>
        <w:tc>
          <w:tcPr>
            <w:tcW w:w="1777" w:type="dxa"/>
            <w:vAlign w:val="top"/>
          </w:tcPr>
          <w:p w14:paraId="6D84F9E2">
            <w:pPr>
              <w:spacing w:line="388" w:lineRule="auto"/>
              <w:rPr>
                <w:rFonts w:ascii="Arial"/>
                <w:sz w:val="21"/>
              </w:rPr>
            </w:pPr>
          </w:p>
          <w:p w14:paraId="7E1242A0">
            <w:pPr>
              <w:pStyle w:val="6"/>
              <w:spacing w:before="65" w:line="228" w:lineRule="auto"/>
              <w:ind w:left="375"/>
              <w:rPr>
                <w:sz w:val="20"/>
                <w:szCs w:val="20"/>
              </w:rPr>
            </w:pPr>
            <w:r>
              <w:rPr>
                <w:spacing w:val="7"/>
                <w:sz w:val="20"/>
                <w:szCs w:val="20"/>
              </w:rPr>
              <w:t>非甲烷总烃</w:t>
            </w:r>
          </w:p>
        </w:tc>
        <w:tc>
          <w:tcPr>
            <w:tcW w:w="1748" w:type="dxa"/>
            <w:vAlign w:val="top"/>
          </w:tcPr>
          <w:p w14:paraId="5131AE3D">
            <w:pPr>
              <w:spacing w:line="388" w:lineRule="auto"/>
              <w:rPr>
                <w:rFonts w:ascii="Arial"/>
                <w:sz w:val="21"/>
              </w:rPr>
            </w:pPr>
          </w:p>
          <w:p w14:paraId="6C37A5D8">
            <w:pPr>
              <w:pStyle w:val="6"/>
              <w:spacing w:before="65" w:line="228" w:lineRule="auto"/>
              <w:ind w:left="570"/>
              <w:rPr>
                <w:sz w:val="20"/>
                <w:szCs w:val="20"/>
              </w:rPr>
            </w:pPr>
            <w:r>
              <w:rPr>
                <w:spacing w:val="6"/>
                <w:sz w:val="20"/>
                <w:szCs w:val="20"/>
              </w:rPr>
              <w:t>有组织</w:t>
            </w:r>
          </w:p>
        </w:tc>
        <w:tc>
          <w:tcPr>
            <w:tcW w:w="148" w:type="dxa"/>
            <w:tcBorders>
              <w:top w:val="nil"/>
              <w:bottom w:val="nil"/>
              <w:right w:val="single" w:color="000000" w:sz="6" w:space="0"/>
            </w:tcBorders>
            <w:vAlign w:val="top"/>
          </w:tcPr>
          <w:p w14:paraId="30650757">
            <w:pPr>
              <w:rPr>
                <w:rFonts w:ascii="Arial"/>
                <w:sz w:val="21"/>
              </w:rPr>
            </w:pPr>
          </w:p>
        </w:tc>
      </w:tr>
      <w:tr w14:paraId="1A929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778" w:type="dxa"/>
            <w:vMerge w:val="continue"/>
            <w:tcBorders>
              <w:top w:val="nil"/>
              <w:left w:val="single" w:color="000000" w:sz="6" w:space="0"/>
              <w:bottom w:val="nil"/>
            </w:tcBorders>
            <w:vAlign w:val="top"/>
          </w:tcPr>
          <w:p w14:paraId="15207845">
            <w:pPr>
              <w:rPr>
                <w:rFonts w:ascii="Arial"/>
                <w:sz w:val="21"/>
              </w:rPr>
            </w:pPr>
          </w:p>
        </w:tc>
        <w:tc>
          <w:tcPr>
            <w:tcW w:w="139" w:type="dxa"/>
            <w:tcBorders>
              <w:top w:val="nil"/>
              <w:bottom w:val="nil"/>
            </w:tcBorders>
            <w:vAlign w:val="top"/>
          </w:tcPr>
          <w:p w14:paraId="1CF9A3BD">
            <w:pPr>
              <w:rPr>
                <w:rFonts w:ascii="Arial"/>
                <w:sz w:val="21"/>
              </w:rPr>
            </w:pPr>
          </w:p>
        </w:tc>
        <w:tc>
          <w:tcPr>
            <w:tcW w:w="644" w:type="dxa"/>
            <w:vMerge w:val="continue"/>
            <w:tcBorders>
              <w:top w:val="nil"/>
            </w:tcBorders>
            <w:vAlign w:val="top"/>
          </w:tcPr>
          <w:p w14:paraId="40B74E2F">
            <w:pPr>
              <w:rPr>
                <w:rFonts w:ascii="Arial"/>
                <w:sz w:val="21"/>
              </w:rPr>
            </w:pPr>
          </w:p>
        </w:tc>
        <w:tc>
          <w:tcPr>
            <w:tcW w:w="719" w:type="dxa"/>
            <w:vMerge w:val="continue"/>
            <w:tcBorders>
              <w:top w:val="nil"/>
            </w:tcBorders>
            <w:vAlign w:val="top"/>
          </w:tcPr>
          <w:p w14:paraId="5BA12A5F">
            <w:pPr>
              <w:rPr>
                <w:rFonts w:ascii="Arial"/>
                <w:sz w:val="21"/>
              </w:rPr>
            </w:pPr>
          </w:p>
        </w:tc>
        <w:tc>
          <w:tcPr>
            <w:tcW w:w="799" w:type="dxa"/>
            <w:vAlign w:val="top"/>
          </w:tcPr>
          <w:p w14:paraId="6F2EF8E8">
            <w:pPr>
              <w:spacing w:line="397" w:lineRule="auto"/>
              <w:rPr>
                <w:rFonts w:ascii="Arial"/>
                <w:sz w:val="21"/>
              </w:rPr>
            </w:pPr>
          </w:p>
          <w:p w14:paraId="7B8A92D9">
            <w:pPr>
              <w:pStyle w:val="6"/>
              <w:spacing w:before="65" w:line="227" w:lineRule="auto"/>
              <w:ind w:left="190"/>
              <w:rPr>
                <w:sz w:val="20"/>
                <w:szCs w:val="20"/>
              </w:rPr>
            </w:pPr>
            <w:r>
              <w:rPr>
                <w:spacing w:val="4"/>
                <w:sz w:val="20"/>
                <w:szCs w:val="20"/>
              </w:rPr>
              <w:t>烘干</w:t>
            </w:r>
          </w:p>
        </w:tc>
        <w:tc>
          <w:tcPr>
            <w:tcW w:w="709" w:type="dxa"/>
            <w:vAlign w:val="top"/>
          </w:tcPr>
          <w:p w14:paraId="6B367ECD">
            <w:pPr>
              <w:spacing w:line="397" w:lineRule="auto"/>
              <w:rPr>
                <w:rFonts w:ascii="Arial"/>
                <w:sz w:val="21"/>
              </w:rPr>
            </w:pPr>
          </w:p>
          <w:p w14:paraId="21E2392A">
            <w:pPr>
              <w:pStyle w:val="6"/>
              <w:spacing w:before="65" w:line="227" w:lineRule="auto"/>
              <w:ind w:left="147"/>
              <w:rPr>
                <w:sz w:val="20"/>
                <w:szCs w:val="20"/>
              </w:rPr>
            </w:pPr>
            <w:r>
              <w:rPr>
                <w:spacing w:val="4"/>
                <w:sz w:val="20"/>
                <w:szCs w:val="20"/>
              </w:rPr>
              <w:t>烘干</w:t>
            </w:r>
          </w:p>
        </w:tc>
        <w:tc>
          <w:tcPr>
            <w:tcW w:w="818" w:type="dxa"/>
            <w:vAlign w:val="top"/>
          </w:tcPr>
          <w:p w14:paraId="51F39E34">
            <w:pPr>
              <w:spacing w:line="260" w:lineRule="auto"/>
              <w:rPr>
                <w:rFonts w:ascii="Arial"/>
                <w:sz w:val="21"/>
              </w:rPr>
            </w:pPr>
          </w:p>
          <w:p w14:paraId="2E806147">
            <w:pPr>
              <w:pStyle w:val="6"/>
              <w:spacing w:before="65" w:line="254" w:lineRule="auto"/>
              <w:ind w:left="306" w:right="199" w:hanging="102"/>
              <w:rPr>
                <w:sz w:val="20"/>
                <w:szCs w:val="20"/>
              </w:rPr>
            </w:pPr>
            <w:r>
              <w:rPr>
                <w:spacing w:val="4"/>
                <w:sz w:val="20"/>
                <w:szCs w:val="20"/>
              </w:rPr>
              <w:t>烘干</w:t>
            </w:r>
            <w:r>
              <w:rPr>
                <w:sz w:val="20"/>
                <w:szCs w:val="20"/>
              </w:rPr>
              <w:t xml:space="preserve"> </w:t>
            </w:r>
            <w:r>
              <w:rPr>
                <w:spacing w:val="1"/>
                <w:sz w:val="20"/>
                <w:szCs w:val="20"/>
              </w:rPr>
              <w:t>机</w:t>
            </w:r>
          </w:p>
        </w:tc>
        <w:tc>
          <w:tcPr>
            <w:tcW w:w="709" w:type="dxa"/>
            <w:vAlign w:val="top"/>
          </w:tcPr>
          <w:p w14:paraId="0B362D38">
            <w:pPr>
              <w:pStyle w:val="6"/>
              <w:spacing w:before="57" w:line="228" w:lineRule="auto"/>
              <w:ind w:left="148"/>
              <w:rPr>
                <w:sz w:val="20"/>
                <w:szCs w:val="20"/>
              </w:rPr>
            </w:pPr>
            <w:r>
              <w:rPr>
                <w:spacing w:val="5"/>
                <w:sz w:val="20"/>
                <w:szCs w:val="20"/>
              </w:rPr>
              <w:t>挥发</w:t>
            </w:r>
          </w:p>
          <w:p w14:paraId="0376A2D7">
            <w:pPr>
              <w:pStyle w:val="6"/>
              <w:spacing w:before="24" w:line="228" w:lineRule="auto"/>
              <w:ind w:left="152"/>
              <w:rPr>
                <w:sz w:val="20"/>
                <w:szCs w:val="20"/>
              </w:rPr>
            </w:pPr>
            <w:r>
              <w:rPr>
                <w:spacing w:val="3"/>
                <w:sz w:val="20"/>
                <w:szCs w:val="20"/>
              </w:rPr>
              <w:t>性有</w:t>
            </w:r>
          </w:p>
          <w:p w14:paraId="2B1CCDDE">
            <w:pPr>
              <w:pStyle w:val="6"/>
              <w:spacing w:before="27" w:line="228" w:lineRule="auto"/>
              <w:ind w:left="255" w:right="144" w:hanging="107"/>
              <w:rPr>
                <w:sz w:val="20"/>
                <w:szCs w:val="20"/>
              </w:rPr>
            </w:pPr>
            <w:r>
              <w:rPr>
                <w:spacing w:val="5"/>
                <w:sz w:val="20"/>
                <w:szCs w:val="20"/>
              </w:rPr>
              <w:t>机废</w:t>
            </w:r>
            <w:r>
              <w:rPr>
                <w:sz w:val="20"/>
                <w:szCs w:val="20"/>
              </w:rPr>
              <w:t xml:space="preserve"> 气</w:t>
            </w:r>
          </w:p>
        </w:tc>
        <w:tc>
          <w:tcPr>
            <w:tcW w:w="1777" w:type="dxa"/>
            <w:vAlign w:val="top"/>
          </w:tcPr>
          <w:p w14:paraId="46387F6F">
            <w:pPr>
              <w:spacing w:line="398" w:lineRule="auto"/>
              <w:rPr>
                <w:rFonts w:ascii="Arial"/>
                <w:sz w:val="21"/>
              </w:rPr>
            </w:pPr>
          </w:p>
          <w:p w14:paraId="581038CE">
            <w:pPr>
              <w:pStyle w:val="6"/>
              <w:spacing w:before="65" w:line="228" w:lineRule="auto"/>
              <w:ind w:left="375"/>
              <w:rPr>
                <w:sz w:val="20"/>
                <w:szCs w:val="20"/>
              </w:rPr>
            </w:pPr>
            <w:r>
              <w:rPr>
                <w:spacing w:val="7"/>
                <w:sz w:val="20"/>
                <w:szCs w:val="20"/>
              </w:rPr>
              <w:t>非甲烷总烃</w:t>
            </w:r>
          </w:p>
        </w:tc>
        <w:tc>
          <w:tcPr>
            <w:tcW w:w="1748" w:type="dxa"/>
            <w:vAlign w:val="top"/>
          </w:tcPr>
          <w:p w14:paraId="2AF30F5E">
            <w:pPr>
              <w:spacing w:line="398" w:lineRule="auto"/>
              <w:rPr>
                <w:rFonts w:ascii="Arial"/>
                <w:sz w:val="21"/>
              </w:rPr>
            </w:pPr>
          </w:p>
          <w:p w14:paraId="1290A7FD">
            <w:pPr>
              <w:pStyle w:val="6"/>
              <w:spacing w:before="65" w:line="228" w:lineRule="auto"/>
              <w:ind w:left="570"/>
              <w:rPr>
                <w:sz w:val="20"/>
                <w:szCs w:val="20"/>
              </w:rPr>
            </w:pPr>
            <w:r>
              <w:rPr>
                <w:spacing w:val="6"/>
                <w:sz w:val="20"/>
                <w:szCs w:val="20"/>
              </w:rPr>
              <w:t>有组织</w:t>
            </w:r>
          </w:p>
        </w:tc>
        <w:tc>
          <w:tcPr>
            <w:tcW w:w="148" w:type="dxa"/>
            <w:tcBorders>
              <w:top w:val="nil"/>
              <w:bottom w:val="nil"/>
              <w:right w:val="single" w:color="000000" w:sz="6" w:space="0"/>
            </w:tcBorders>
            <w:vAlign w:val="top"/>
          </w:tcPr>
          <w:p w14:paraId="4FF69923">
            <w:pPr>
              <w:rPr>
                <w:rFonts w:ascii="Arial"/>
                <w:sz w:val="21"/>
              </w:rPr>
            </w:pPr>
          </w:p>
        </w:tc>
      </w:tr>
      <w:tr w14:paraId="68B94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778" w:type="dxa"/>
            <w:vMerge w:val="continue"/>
            <w:tcBorders>
              <w:top w:val="nil"/>
              <w:left w:val="single" w:color="000000" w:sz="6" w:space="0"/>
              <w:bottom w:val="single" w:color="000000" w:sz="6" w:space="0"/>
            </w:tcBorders>
            <w:vAlign w:val="top"/>
          </w:tcPr>
          <w:p w14:paraId="4A246F4A">
            <w:pPr>
              <w:rPr>
                <w:rFonts w:ascii="Arial"/>
                <w:sz w:val="21"/>
              </w:rPr>
            </w:pPr>
          </w:p>
        </w:tc>
        <w:tc>
          <w:tcPr>
            <w:tcW w:w="139" w:type="dxa"/>
            <w:tcBorders>
              <w:top w:val="nil"/>
              <w:bottom w:val="single" w:color="000000" w:sz="6" w:space="0"/>
            </w:tcBorders>
            <w:vAlign w:val="top"/>
          </w:tcPr>
          <w:p w14:paraId="2C02E6B3">
            <w:pPr>
              <w:rPr>
                <w:rFonts w:ascii="Arial"/>
                <w:sz w:val="21"/>
              </w:rPr>
            </w:pPr>
          </w:p>
        </w:tc>
        <w:tc>
          <w:tcPr>
            <w:tcW w:w="644" w:type="dxa"/>
            <w:tcBorders>
              <w:bottom w:val="single" w:color="000000" w:sz="6" w:space="0"/>
            </w:tcBorders>
            <w:vAlign w:val="top"/>
          </w:tcPr>
          <w:p w14:paraId="2FE680D7">
            <w:pPr>
              <w:spacing w:line="425" w:lineRule="auto"/>
              <w:rPr>
                <w:rFonts w:ascii="Arial"/>
                <w:sz w:val="21"/>
              </w:rPr>
            </w:pPr>
          </w:p>
          <w:p w14:paraId="2815058D">
            <w:pPr>
              <w:pStyle w:val="6"/>
              <w:spacing w:before="65" w:line="228" w:lineRule="auto"/>
              <w:ind w:left="113"/>
              <w:rPr>
                <w:sz w:val="20"/>
                <w:szCs w:val="20"/>
              </w:rPr>
            </w:pPr>
            <w:r>
              <w:rPr>
                <w:spacing w:val="3"/>
                <w:sz w:val="20"/>
                <w:szCs w:val="20"/>
              </w:rPr>
              <w:t>水污</w:t>
            </w:r>
          </w:p>
          <w:p w14:paraId="170AEAFC">
            <w:pPr>
              <w:pStyle w:val="6"/>
              <w:spacing w:before="24" w:line="228" w:lineRule="auto"/>
              <w:ind w:left="114"/>
              <w:rPr>
                <w:sz w:val="20"/>
                <w:szCs w:val="20"/>
              </w:rPr>
            </w:pPr>
            <w:r>
              <w:rPr>
                <w:spacing w:val="3"/>
                <w:sz w:val="20"/>
                <w:szCs w:val="20"/>
              </w:rPr>
              <w:t>染物</w:t>
            </w:r>
          </w:p>
        </w:tc>
        <w:tc>
          <w:tcPr>
            <w:tcW w:w="719" w:type="dxa"/>
            <w:tcBorders>
              <w:bottom w:val="single" w:color="000000" w:sz="6" w:space="0"/>
            </w:tcBorders>
            <w:vAlign w:val="top"/>
          </w:tcPr>
          <w:p w14:paraId="048DD2E1">
            <w:pPr>
              <w:spacing w:line="425" w:lineRule="auto"/>
              <w:rPr>
                <w:rFonts w:ascii="Arial"/>
                <w:sz w:val="21"/>
              </w:rPr>
            </w:pPr>
          </w:p>
          <w:p w14:paraId="79084D8A">
            <w:pPr>
              <w:pStyle w:val="6"/>
              <w:spacing w:before="65" w:line="228" w:lineRule="auto"/>
              <w:ind w:left="153"/>
              <w:rPr>
                <w:sz w:val="20"/>
                <w:szCs w:val="20"/>
              </w:rPr>
            </w:pPr>
            <w:r>
              <w:rPr>
                <w:spacing w:val="3"/>
                <w:sz w:val="20"/>
                <w:szCs w:val="20"/>
              </w:rPr>
              <w:t>生产</w:t>
            </w:r>
          </w:p>
          <w:p w14:paraId="0AAF2B12">
            <w:pPr>
              <w:pStyle w:val="6"/>
              <w:spacing w:before="24" w:line="228" w:lineRule="auto"/>
              <w:ind w:left="150"/>
              <w:rPr>
                <w:sz w:val="20"/>
                <w:szCs w:val="20"/>
              </w:rPr>
            </w:pPr>
            <w:r>
              <w:rPr>
                <w:spacing w:val="5"/>
                <w:sz w:val="20"/>
                <w:szCs w:val="20"/>
              </w:rPr>
              <w:t>废水</w:t>
            </w:r>
          </w:p>
        </w:tc>
        <w:tc>
          <w:tcPr>
            <w:tcW w:w="799" w:type="dxa"/>
            <w:tcBorders>
              <w:bottom w:val="single" w:color="000000" w:sz="6" w:space="0"/>
            </w:tcBorders>
            <w:vAlign w:val="top"/>
          </w:tcPr>
          <w:p w14:paraId="61CF1D40">
            <w:pPr>
              <w:spacing w:line="426" w:lineRule="auto"/>
              <w:rPr>
                <w:rFonts w:ascii="Arial"/>
                <w:sz w:val="21"/>
              </w:rPr>
            </w:pPr>
          </w:p>
          <w:p w14:paraId="4321FA1E">
            <w:pPr>
              <w:pStyle w:val="6"/>
              <w:spacing w:before="65" w:line="228" w:lineRule="auto"/>
              <w:ind w:left="5"/>
              <w:rPr>
                <w:sz w:val="20"/>
                <w:szCs w:val="20"/>
              </w:rPr>
            </w:pPr>
            <w:r>
              <w:rPr>
                <w:spacing w:val="-4"/>
                <w:sz w:val="20"/>
                <w:szCs w:val="20"/>
              </w:rPr>
              <w:t>泡碱、清</w:t>
            </w:r>
          </w:p>
          <w:p w14:paraId="7A1FF093">
            <w:pPr>
              <w:pStyle w:val="6"/>
              <w:spacing w:before="23" w:line="229" w:lineRule="auto"/>
              <w:ind w:left="295"/>
              <w:rPr>
                <w:sz w:val="20"/>
                <w:szCs w:val="20"/>
              </w:rPr>
            </w:pPr>
            <w:r>
              <w:rPr>
                <w:spacing w:val="1"/>
                <w:sz w:val="20"/>
                <w:szCs w:val="20"/>
              </w:rPr>
              <w:t>洗</w:t>
            </w:r>
          </w:p>
        </w:tc>
        <w:tc>
          <w:tcPr>
            <w:tcW w:w="709" w:type="dxa"/>
            <w:tcBorders>
              <w:bottom w:val="single" w:color="000000" w:sz="6" w:space="0"/>
            </w:tcBorders>
            <w:vAlign w:val="top"/>
          </w:tcPr>
          <w:p w14:paraId="3B37DA03">
            <w:pPr>
              <w:spacing w:line="425" w:lineRule="auto"/>
              <w:rPr>
                <w:rFonts w:ascii="Arial"/>
                <w:sz w:val="21"/>
              </w:rPr>
            </w:pPr>
          </w:p>
          <w:p w14:paraId="776463A5">
            <w:pPr>
              <w:pStyle w:val="6"/>
              <w:spacing w:before="65" w:line="252" w:lineRule="auto"/>
              <w:ind w:left="146" w:right="75" w:hanging="103"/>
              <w:rPr>
                <w:sz w:val="20"/>
                <w:szCs w:val="20"/>
              </w:rPr>
            </w:pPr>
            <w:r>
              <w:rPr>
                <w:spacing w:val="-6"/>
                <w:sz w:val="20"/>
                <w:szCs w:val="20"/>
              </w:rPr>
              <w:t>泡碱、</w:t>
            </w:r>
            <w:r>
              <w:rPr>
                <w:spacing w:val="1"/>
                <w:sz w:val="20"/>
                <w:szCs w:val="20"/>
              </w:rPr>
              <w:t xml:space="preserve"> </w:t>
            </w:r>
            <w:r>
              <w:rPr>
                <w:spacing w:val="4"/>
                <w:sz w:val="20"/>
                <w:szCs w:val="20"/>
              </w:rPr>
              <w:t>清洗</w:t>
            </w:r>
          </w:p>
        </w:tc>
        <w:tc>
          <w:tcPr>
            <w:tcW w:w="818" w:type="dxa"/>
            <w:tcBorders>
              <w:bottom w:val="single" w:color="000000" w:sz="6" w:space="0"/>
            </w:tcBorders>
            <w:vAlign w:val="top"/>
          </w:tcPr>
          <w:p w14:paraId="3ED822CA">
            <w:pPr>
              <w:spacing w:line="279" w:lineRule="auto"/>
              <w:rPr>
                <w:rFonts w:ascii="Arial"/>
                <w:sz w:val="21"/>
              </w:rPr>
            </w:pPr>
          </w:p>
          <w:p w14:paraId="62AAC62E">
            <w:pPr>
              <w:spacing w:line="279" w:lineRule="auto"/>
              <w:rPr>
                <w:rFonts w:ascii="Arial"/>
                <w:sz w:val="21"/>
              </w:rPr>
            </w:pPr>
          </w:p>
          <w:p w14:paraId="276C88ED">
            <w:pPr>
              <w:pStyle w:val="6"/>
              <w:spacing w:before="65" w:line="228" w:lineRule="auto"/>
              <w:ind w:left="203"/>
              <w:rPr>
                <w:sz w:val="20"/>
                <w:szCs w:val="20"/>
              </w:rPr>
            </w:pPr>
            <w:r>
              <w:rPr>
                <w:spacing w:val="5"/>
                <w:sz w:val="20"/>
                <w:szCs w:val="20"/>
              </w:rPr>
              <w:t>胶桶</w:t>
            </w:r>
          </w:p>
        </w:tc>
        <w:tc>
          <w:tcPr>
            <w:tcW w:w="709" w:type="dxa"/>
            <w:tcBorders>
              <w:bottom w:val="single" w:color="000000" w:sz="6" w:space="0"/>
            </w:tcBorders>
            <w:vAlign w:val="top"/>
          </w:tcPr>
          <w:p w14:paraId="75E7B442">
            <w:pPr>
              <w:spacing w:line="425" w:lineRule="auto"/>
              <w:rPr>
                <w:rFonts w:ascii="Arial"/>
                <w:sz w:val="21"/>
              </w:rPr>
            </w:pPr>
          </w:p>
          <w:p w14:paraId="6221F0D6">
            <w:pPr>
              <w:pStyle w:val="6"/>
              <w:spacing w:before="65" w:line="228" w:lineRule="auto"/>
              <w:ind w:left="151"/>
              <w:rPr>
                <w:sz w:val="20"/>
                <w:szCs w:val="20"/>
              </w:rPr>
            </w:pPr>
            <w:r>
              <w:rPr>
                <w:spacing w:val="3"/>
                <w:sz w:val="20"/>
                <w:szCs w:val="20"/>
              </w:rPr>
              <w:t>生产</w:t>
            </w:r>
          </w:p>
          <w:p w14:paraId="3EFDC96D">
            <w:pPr>
              <w:pStyle w:val="6"/>
              <w:spacing w:before="24" w:line="228" w:lineRule="auto"/>
              <w:ind w:left="148"/>
              <w:rPr>
                <w:sz w:val="20"/>
                <w:szCs w:val="20"/>
              </w:rPr>
            </w:pPr>
            <w:r>
              <w:rPr>
                <w:spacing w:val="5"/>
                <w:sz w:val="20"/>
                <w:szCs w:val="20"/>
              </w:rPr>
              <w:t>废水</w:t>
            </w:r>
          </w:p>
        </w:tc>
        <w:tc>
          <w:tcPr>
            <w:tcW w:w="1777" w:type="dxa"/>
            <w:tcBorders>
              <w:bottom w:val="single" w:color="000000" w:sz="6" w:space="0"/>
            </w:tcBorders>
            <w:vAlign w:val="top"/>
          </w:tcPr>
          <w:p w14:paraId="22CE7957">
            <w:pPr>
              <w:pStyle w:val="6"/>
              <w:spacing w:before="118" w:line="188" w:lineRule="auto"/>
              <w:ind w:left="39"/>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30"/>
                <w:sz w:val="20"/>
                <w:szCs w:val="20"/>
              </w:rPr>
              <w:t xml:space="preserve"> </w:t>
            </w:r>
            <w:r>
              <w:rPr>
                <w:spacing w:val="8"/>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8"/>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8"/>
                <w:sz w:val="20"/>
                <w:szCs w:val="20"/>
              </w:rPr>
              <w:t>、</w:t>
            </w:r>
          </w:p>
          <w:p w14:paraId="472A448A">
            <w:pPr>
              <w:pStyle w:val="6"/>
              <w:spacing w:before="33" w:line="228" w:lineRule="auto"/>
              <w:ind w:left="58"/>
              <w:rPr>
                <w:sz w:val="20"/>
                <w:szCs w:val="20"/>
              </w:rPr>
            </w:pPr>
            <w:r>
              <w:rPr>
                <w:spacing w:val="7"/>
                <w:sz w:val="20"/>
                <w:szCs w:val="20"/>
              </w:rPr>
              <w:t>氟化物、氯化物、</w:t>
            </w:r>
          </w:p>
          <w:p w14:paraId="2E008E2C">
            <w:pPr>
              <w:pStyle w:val="6"/>
              <w:spacing w:before="24" w:line="227" w:lineRule="auto"/>
              <w:jc w:val="right"/>
              <w:rPr>
                <w:sz w:val="20"/>
                <w:szCs w:val="20"/>
              </w:rPr>
            </w:pPr>
            <w:r>
              <w:rPr>
                <w:spacing w:val="-5"/>
                <w:sz w:val="20"/>
                <w:szCs w:val="20"/>
              </w:rPr>
              <w:t>氨氮、总氮、总磷、</w:t>
            </w:r>
          </w:p>
          <w:p w14:paraId="73E8BF41">
            <w:pPr>
              <w:pStyle w:val="6"/>
              <w:spacing w:before="28" w:line="228" w:lineRule="auto"/>
              <w:ind w:left="62"/>
              <w:rPr>
                <w:sz w:val="20"/>
                <w:szCs w:val="20"/>
              </w:rPr>
            </w:pPr>
            <w:r>
              <w:rPr>
                <w:spacing w:val="7"/>
                <w:sz w:val="20"/>
                <w:szCs w:val="20"/>
              </w:rPr>
              <w:t>总汞、总铬、总铍</w:t>
            </w:r>
          </w:p>
          <w:p w14:paraId="052B2493">
            <w:pPr>
              <w:pStyle w:val="6"/>
              <w:spacing w:before="23" w:line="228" w:lineRule="auto"/>
              <w:ind w:left="687"/>
              <w:rPr>
                <w:sz w:val="20"/>
                <w:szCs w:val="20"/>
              </w:rPr>
            </w:pPr>
            <w:r>
              <w:rPr>
                <w:spacing w:val="-1"/>
                <w:sz w:val="20"/>
                <w:szCs w:val="20"/>
              </w:rPr>
              <w:t>等。</w:t>
            </w:r>
          </w:p>
        </w:tc>
        <w:tc>
          <w:tcPr>
            <w:tcW w:w="1748" w:type="dxa"/>
            <w:tcBorders>
              <w:bottom w:val="single" w:color="000000" w:sz="6" w:space="0"/>
            </w:tcBorders>
            <w:vAlign w:val="top"/>
          </w:tcPr>
          <w:p w14:paraId="0AA59BD4">
            <w:pPr>
              <w:pStyle w:val="6"/>
              <w:spacing w:before="82" w:line="252" w:lineRule="auto"/>
              <w:ind w:left="149" w:right="132"/>
              <w:jc w:val="both"/>
              <w:rPr>
                <w:sz w:val="20"/>
                <w:szCs w:val="20"/>
              </w:rPr>
            </w:pPr>
            <w:r>
              <w:rPr>
                <w:spacing w:val="8"/>
                <w:sz w:val="20"/>
                <w:szCs w:val="20"/>
              </w:rPr>
              <w:t>配套建设生产废</w:t>
            </w:r>
            <w:r>
              <w:rPr>
                <w:spacing w:val="3"/>
                <w:sz w:val="20"/>
                <w:szCs w:val="20"/>
              </w:rPr>
              <w:t xml:space="preserve"> </w:t>
            </w:r>
            <w:r>
              <w:rPr>
                <w:spacing w:val="8"/>
                <w:sz w:val="20"/>
                <w:szCs w:val="20"/>
              </w:rPr>
              <w:t>水处理站，经处</w:t>
            </w:r>
            <w:r>
              <w:rPr>
                <w:spacing w:val="2"/>
                <w:sz w:val="20"/>
                <w:szCs w:val="20"/>
              </w:rPr>
              <w:t xml:space="preserve"> </w:t>
            </w:r>
            <w:r>
              <w:rPr>
                <w:spacing w:val="8"/>
                <w:sz w:val="20"/>
                <w:szCs w:val="20"/>
              </w:rPr>
              <w:t>理后排入污水管</w:t>
            </w:r>
            <w:r>
              <w:rPr>
                <w:spacing w:val="2"/>
                <w:sz w:val="20"/>
                <w:szCs w:val="20"/>
              </w:rPr>
              <w:t xml:space="preserve"> </w:t>
            </w:r>
            <w:r>
              <w:rPr>
                <w:spacing w:val="8"/>
                <w:sz w:val="20"/>
                <w:szCs w:val="20"/>
              </w:rPr>
              <w:t>网，最后汇入可</w:t>
            </w:r>
            <w:r>
              <w:rPr>
                <w:spacing w:val="2"/>
                <w:sz w:val="20"/>
                <w:szCs w:val="20"/>
              </w:rPr>
              <w:t xml:space="preserve"> </w:t>
            </w:r>
            <w:r>
              <w:rPr>
                <w:spacing w:val="8"/>
                <w:sz w:val="20"/>
                <w:szCs w:val="20"/>
              </w:rPr>
              <w:t>塘镇污水处理厂</w:t>
            </w:r>
          </w:p>
        </w:tc>
        <w:tc>
          <w:tcPr>
            <w:tcW w:w="148" w:type="dxa"/>
            <w:tcBorders>
              <w:top w:val="nil"/>
              <w:bottom w:val="single" w:color="000000" w:sz="6" w:space="0"/>
              <w:right w:val="single" w:color="000000" w:sz="6" w:space="0"/>
            </w:tcBorders>
            <w:vAlign w:val="top"/>
          </w:tcPr>
          <w:p w14:paraId="38F73B24">
            <w:pPr>
              <w:rPr>
                <w:rFonts w:ascii="Arial"/>
                <w:sz w:val="21"/>
              </w:rPr>
            </w:pPr>
          </w:p>
        </w:tc>
      </w:tr>
    </w:tbl>
    <w:p w14:paraId="4E6E860B">
      <w:pPr>
        <w:rPr>
          <w:rFonts w:ascii="Arial"/>
          <w:sz w:val="21"/>
        </w:rPr>
      </w:pPr>
    </w:p>
    <w:p w14:paraId="4FE8FA15">
      <w:pPr>
        <w:rPr>
          <w:rFonts w:ascii="Arial" w:hAnsi="Arial" w:eastAsia="Arial" w:cs="Arial"/>
          <w:sz w:val="21"/>
          <w:szCs w:val="21"/>
        </w:rPr>
        <w:sectPr>
          <w:footerReference r:id="rId45" w:type="default"/>
          <w:pgSz w:w="11906" w:h="16839"/>
          <w:pgMar w:top="400" w:right="1451" w:bottom="1240" w:left="1451" w:header="0" w:footer="1078" w:gutter="0"/>
          <w:cols w:space="720" w:num="1"/>
        </w:sectPr>
      </w:pPr>
    </w:p>
    <w:p w14:paraId="40E32465">
      <w:pPr>
        <w:spacing w:before="19"/>
      </w:pPr>
    </w:p>
    <w:p w14:paraId="773557A9">
      <w:pPr>
        <w:spacing w:before="19"/>
      </w:pPr>
    </w:p>
    <w:p w14:paraId="142CABE8">
      <w:pPr>
        <w:spacing w:before="19"/>
      </w:pPr>
    </w:p>
    <w:p w14:paraId="5DE81BE5">
      <w:pPr>
        <w:spacing w:before="18"/>
      </w:pPr>
    </w:p>
    <w:p w14:paraId="085494B0">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9"/>
        <w:gridCol w:w="644"/>
        <w:gridCol w:w="719"/>
        <w:gridCol w:w="799"/>
        <w:gridCol w:w="709"/>
        <w:gridCol w:w="818"/>
        <w:gridCol w:w="709"/>
        <w:gridCol w:w="1777"/>
        <w:gridCol w:w="1748"/>
        <w:gridCol w:w="148"/>
      </w:tblGrid>
      <w:tr w14:paraId="6CFCE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4" w:hRule="atLeast"/>
        </w:trPr>
        <w:tc>
          <w:tcPr>
            <w:tcW w:w="778" w:type="dxa"/>
            <w:vMerge w:val="restart"/>
            <w:tcBorders>
              <w:top w:val="single" w:color="000000" w:sz="6" w:space="0"/>
              <w:left w:val="single" w:color="000000" w:sz="6" w:space="0"/>
              <w:bottom w:val="nil"/>
            </w:tcBorders>
            <w:vAlign w:val="top"/>
          </w:tcPr>
          <w:p w14:paraId="581CD283">
            <w:pPr>
              <w:rPr>
                <w:rFonts w:ascii="Arial"/>
                <w:sz w:val="21"/>
              </w:rPr>
            </w:pPr>
          </w:p>
        </w:tc>
        <w:tc>
          <w:tcPr>
            <w:tcW w:w="139" w:type="dxa"/>
            <w:vMerge w:val="restart"/>
            <w:tcBorders>
              <w:top w:val="single" w:color="000000" w:sz="6" w:space="0"/>
              <w:bottom w:val="nil"/>
            </w:tcBorders>
            <w:vAlign w:val="top"/>
          </w:tcPr>
          <w:p w14:paraId="758D76C0">
            <w:pPr>
              <w:rPr>
                <w:rFonts w:ascii="Arial"/>
                <w:sz w:val="21"/>
              </w:rPr>
            </w:pPr>
          </w:p>
        </w:tc>
        <w:tc>
          <w:tcPr>
            <w:tcW w:w="644" w:type="dxa"/>
            <w:tcBorders>
              <w:top w:val="single" w:color="000000" w:sz="6" w:space="0"/>
            </w:tcBorders>
            <w:vAlign w:val="top"/>
          </w:tcPr>
          <w:p w14:paraId="5D92C40B">
            <w:pPr>
              <w:rPr>
                <w:rFonts w:ascii="Arial"/>
                <w:sz w:val="21"/>
              </w:rPr>
            </w:pPr>
          </w:p>
        </w:tc>
        <w:tc>
          <w:tcPr>
            <w:tcW w:w="719" w:type="dxa"/>
            <w:tcBorders>
              <w:top w:val="single" w:color="000000" w:sz="6" w:space="0"/>
            </w:tcBorders>
            <w:vAlign w:val="top"/>
          </w:tcPr>
          <w:p w14:paraId="5A5DB30A">
            <w:pPr>
              <w:spacing w:line="269" w:lineRule="auto"/>
              <w:rPr>
                <w:rFonts w:ascii="Arial"/>
                <w:sz w:val="21"/>
              </w:rPr>
            </w:pPr>
          </w:p>
          <w:p w14:paraId="2B38AC6E">
            <w:pPr>
              <w:spacing w:line="269" w:lineRule="auto"/>
              <w:rPr>
                <w:rFonts w:ascii="Arial"/>
                <w:sz w:val="21"/>
              </w:rPr>
            </w:pPr>
          </w:p>
          <w:p w14:paraId="21B92D04">
            <w:pPr>
              <w:pStyle w:val="6"/>
              <w:spacing w:before="65" w:line="228" w:lineRule="auto"/>
              <w:ind w:left="151"/>
              <w:rPr>
                <w:sz w:val="20"/>
                <w:szCs w:val="20"/>
              </w:rPr>
            </w:pPr>
            <w:r>
              <w:rPr>
                <w:spacing w:val="4"/>
                <w:sz w:val="20"/>
                <w:szCs w:val="20"/>
              </w:rPr>
              <w:t>所有</w:t>
            </w:r>
          </w:p>
        </w:tc>
        <w:tc>
          <w:tcPr>
            <w:tcW w:w="799" w:type="dxa"/>
            <w:tcBorders>
              <w:top w:val="single" w:color="000000" w:sz="6" w:space="0"/>
            </w:tcBorders>
            <w:vAlign w:val="top"/>
          </w:tcPr>
          <w:p w14:paraId="2F674C6C">
            <w:pPr>
              <w:spacing w:line="269" w:lineRule="auto"/>
              <w:rPr>
                <w:rFonts w:ascii="Arial"/>
                <w:sz w:val="21"/>
              </w:rPr>
            </w:pPr>
          </w:p>
          <w:p w14:paraId="24E0072B">
            <w:pPr>
              <w:spacing w:line="269" w:lineRule="auto"/>
              <w:rPr>
                <w:rFonts w:ascii="Arial"/>
                <w:sz w:val="21"/>
              </w:rPr>
            </w:pPr>
          </w:p>
          <w:p w14:paraId="1DC89F5F">
            <w:pPr>
              <w:pStyle w:val="6"/>
              <w:spacing w:before="65" w:line="229" w:lineRule="auto"/>
              <w:ind w:left="198"/>
              <w:rPr>
                <w:sz w:val="20"/>
                <w:szCs w:val="20"/>
              </w:rPr>
            </w:pPr>
            <w:r>
              <w:rPr>
                <w:sz w:val="20"/>
                <w:szCs w:val="20"/>
              </w:rPr>
              <w:t>员工</w:t>
            </w:r>
          </w:p>
        </w:tc>
        <w:tc>
          <w:tcPr>
            <w:tcW w:w="709" w:type="dxa"/>
            <w:tcBorders>
              <w:top w:val="single" w:color="000000" w:sz="6" w:space="0"/>
            </w:tcBorders>
            <w:vAlign w:val="top"/>
          </w:tcPr>
          <w:p w14:paraId="127221F2">
            <w:pPr>
              <w:spacing w:line="404" w:lineRule="auto"/>
              <w:rPr>
                <w:rFonts w:ascii="Arial"/>
                <w:sz w:val="21"/>
              </w:rPr>
            </w:pPr>
          </w:p>
          <w:p w14:paraId="16881275">
            <w:pPr>
              <w:pStyle w:val="6"/>
              <w:spacing w:before="65" w:line="229" w:lineRule="auto"/>
              <w:ind w:left="50"/>
              <w:rPr>
                <w:sz w:val="20"/>
                <w:szCs w:val="20"/>
              </w:rPr>
            </w:pPr>
            <w:r>
              <w:rPr>
                <w:spacing w:val="4"/>
                <w:sz w:val="20"/>
                <w:szCs w:val="20"/>
              </w:rPr>
              <w:t>员工日</w:t>
            </w:r>
          </w:p>
          <w:p w14:paraId="6CF61ECC">
            <w:pPr>
              <w:pStyle w:val="6"/>
              <w:spacing w:before="22" w:line="228" w:lineRule="auto"/>
              <w:ind w:left="47"/>
              <w:rPr>
                <w:sz w:val="20"/>
                <w:szCs w:val="20"/>
              </w:rPr>
            </w:pPr>
            <w:r>
              <w:rPr>
                <w:spacing w:val="5"/>
                <w:sz w:val="20"/>
                <w:szCs w:val="20"/>
              </w:rPr>
              <w:t>常用水</w:t>
            </w:r>
          </w:p>
        </w:tc>
        <w:tc>
          <w:tcPr>
            <w:tcW w:w="818" w:type="dxa"/>
            <w:tcBorders>
              <w:top w:val="single" w:color="000000" w:sz="6" w:space="0"/>
            </w:tcBorders>
            <w:vAlign w:val="top"/>
          </w:tcPr>
          <w:p w14:paraId="1B81F963">
            <w:pPr>
              <w:spacing w:line="268" w:lineRule="auto"/>
              <w:rPr>
                <w:rFonts w:ascii="Arial"/>
                <w:sz w:val="21"/>
              </w:rPr>
            </w:pPr>
          </w:p>
          <w:p w14:paraId="7E700F4A">
            <w:pPr>
              <w:spacing w:line="269" w:lineRule="auto"/>
              <w:rPr>
                <w:rFonts w:ascii="Arial"/>
                <w:sz w:val="21"/>
              </w:rPr>
            </w:pPr>
          </w:p>
          <w:p w14:paraId="65EF2337">
            <w:pPr>
              <w:pStyle w:val="6"/>
              <w:spacing w:before="65" w:line="228" w:lineRule="auto"/>
              <w:ind w:left="99"/>
              <w:rPr>
                <w:sz w:val="20"/>
                <w:szCs w:val="20"/>
              </w:rPr>
            </w:pPr>
            <w:r>
              <w:rPr>
                <w:spacing w:val="6"/>
                <w:sz w:val="20"/>
                <w:szCs w:val="20"/>
              </w:rPr>
              <w:t>化粪池</w:t>
            </w:r>
          </w:p>
        </w:tc>
        <w:tc>
          <w:tcPr>
            <w:tcW w:w="709" w:type="dxa"/>
            <w:tcBorders>
              <w:top w:val="single" w:color="000000" w:sz="6" w:space="0"/>
            </w:tcBorders>
            <w:vAlign w:val="top"/>
          </w:tcPr>
          <w:p w14:paraId="7908F7DC">
            <w:pPr>
              <w:spacing w:line="289" w:lineRule="auto"/>
              <w:rPr>
                <w:rFonts w:ascii="Arial"/>
                <w:sz w:val="21"/>
              </w:rPr>
            </w:pPr>
          </w:p>
          <w:p w14:paraId="614BBA4A">
            <w:pPr>
              <w:spacing w:line="290" w:lineRule="auto"/>
              <w:rPr>
                <w:rFonts w:ascii="Arial"/>
                <w:sz w:val="21"/>
              </w:rPr>
            </w:pPr>
          </w:p>
          <w:p w14:paraId="0B48ADF9">
            <w:pPr>
              <w:spacing w:before="58" w:line="199"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77" w:type="dxa"/>
            <w:tcBorders>
              <w:top w:val="single" w:color="000000" w:sz="6" w:space="0"/>
            </w:tcBorders>
            <w:vAlign w:val="top"/>
          </w:tcPr>
          <w:p w14:paraId="3FCCB789">
            <w:pPr>
              <w:spacing w:line="454" w:lineRule="auto"/>
              <w:rPr>
                <w:rFonts w:ascii="Arial"/>
                <w:sz w:val="21"/>
              </w:rPr>
            </w:pPr>
          </w:p>
          <w:p w14:paraId="3A39056C">
            <w:pPr>
              <w:pStyle w:val="6"/>
              <w:spacing w:before="65" w:line="195" w:lineRule="auto"/>
              <w:jc w:val="right"/>
              <w:rPr>
                <w:sz w:val="20"/>
                <w:szCs w:val="20"/>
              </w:rPr>
            </w:pPr>
            <w:r>
              <w:rPr>
                <w:rFonts w:ascii="Times New Roman" w:hAnsi="Times New Roman" w:eastAsia="Times New Roman" w:cs="Times New Roman"/>
                <w:spacing w:val="-6"/>
                <w:sz w:val="20"/>
                <w:szCs w:val="20"/>
              </w:rPr>
              <w:t>COD</w:t>
            </w:r>
            <w:r>
              <w:rPr>
                <w:rFonts w:ascii="Times New Roman" w:hAnsi="Times New Roman" w:eastAsia="Times New Roman" w:cs="Times New Roman"/>
                <w:spacing w:val="-6"/>
                <w:position w:val="-1"/>
                <w:sz w:val="13"/>
                <w:szCs w:val="13"/>
              </w:rPr>
              <w:t>Cr</w:t>
            </w:r>
            <w:r>
              <w:rPr>
                <w:spacing w:val="-6"/>
                <w:sz w:val="20"/>
                <w:szCs w:val="20"/>
              </w:rPr>
              <w:t>、</w:t>
            </w:r>
            <w:r>
              <w:rPr>
                <w:rFonts w:ascii="Times New Roman" w:hAnsi="Times New Roman" w:eastAsia="Times New Roman" w:cs="Times New Roman"/>
                <w:spacing w:val="-6"/>
                <w:sz w:val="20"/>
                <w:szCs w:val="20"/>
              </w:rPr>
              <w:t>BOD</w:t>
            </w:r>
            <w:r>
              <w:rPr>
                <w:rFonts w:ascii="Times New Roman" w:hAnsi="Times New Roman" w:eastAsia="Times New Roman" w:cs="Times New Roman"/>
                <w:spacing w:val="-6"/>
                <w:position w:val="-1"/>
                <w:sz w:val="13"/>
                <w:szCs w:val="13"/>
              </w:rPr>
              <w:t>5</w:t>
            </w:r>
            <w:r>
              <w:rPr>
                <w:spacing w:val="-6"/>
                <w:sz w:val="20"/>
                <w:szCs w:val="20"/>
              </w:rPr>
              <w:t>、</w:t>
            </w:r>
            <w:r>
              <w:rPr>
                <w:rFonts w:ascii="Times New Roman" w:hAnsi="Times New Roman" w:eastAsia="Times New Roman" w:cs="Times New Roman"/>
                <w:spacing w:val="-6"/>
                <w:sz w:val="20"/>
                <w:szCs w:val="20"/>
              </w:rPr>
              <w:t>SS</w:t>
            </w:r>
            <w:r>
              <w:rPr>
                <w:spacing w:val="-22"/>
                <w:sz w:val="20"/>
                <w:szCs w:val="20"/>
              </w:rPr>
              <w:t>、</w:t>
            </w:r>
          </w:p>
          <w:p w14:paraId="39F5A2BF">
            <w:pPr>
              <w:spacing w:before="51" w:line="209"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748" w:type="dxa"/>
            <w:tcBorders>
              <w:top w:val="single" w:color="000000" w:sz="6" w:space="0"/>
            </w:tcBorders>
            <w:vAlign w:val="top"/>
          </w:tcPr>
          <w:p w14:paraId="323ECB55">
            <w:pPr>
              <w:pStyle w:val="6"/>
              <w:spacing w:before="63" w:line="228" w:lineRule="auto"/>
              <w:ind w:left="151"/>
              <w:rPr>
                <w:sz w:val="20"/>
                <w:szCs w:val="20"/>
              </w:rPr>
            </w:pPr>
            <w:r>
              <w:rPr>
                <w:spacing w:val="8"/>
                <w:sz w:val="20"/>
                <w:szCs w:val="20"/>
              </w:rPr>
              <w:t>生活污水经预处</w:t>
            </w:r>
          </w:p>
          <w:p w14:paraId="1BFBD264">
            <w:pPr>
              <w:pStyle w:val="6"/>
              <w:spacing w:before="24" w:line="228" w:lineRule="auto"/>
              <w:ind w:left="152"/>
              <w:rPr>
                <w:sz w:val="20"/>
                <w:szCs w:val="20"/>
              </w:rPr>
            </w:pPr>
            <w:r>
              <w:rPr>
                <w:spacing w:val="8"/>
                <w:sz w:val="20"/>
                <w:szCs w:val="20"/>
              </w:rPr>
              <w:t>理后排入污水管</w:t>
            </w:r>
          </w:p>
          <w:p w14:paraId="135B6B94">
            <w:pPr>
              <w:pStyle w:val="6"/>
              <w:spacing w:before="24" w:line="228" w:lineRule="auto"/>
              <w:ind w:left="166"/>
              <w:rPr>
                <w:sz w:val="20"/>
                <w:szCs w:val="20"/>
              </w:rPr>
            </w:pPr>
            <w:r>
              <w:rPr>
                <w:spacing w:val="6"/>
                <w:sz w:val="20"/>
                <w:szCs w:val="20"/>
              </w:rPr>
              <w:t>网，最后汇入可</w:t>
            </w:r>
          </w:p>
          <w:p w14:paraId="3D6BC372">
            <w:pPr>
              <w:pStyle w:val="6"/>
              <w:spacing w:before="26" w:line="228" w:lineRule="auto"/>
              <w:ind w:left="256"/>
              <w:rPr>
                <w:sz w:val="20"/>
                <w:szCs w:val="20"/>
              </w:rPr>
            </w:pPr>
            <w:r>
              <w:rPr>
                <w:spacing w:val="8"/>
                <w:sz w:val="20"/>
                <w:szCs w:val="20"/>
              </w:rPr>
              <w:t>塘镇污水处理</w:t>
            </w:r>
          </w:p>
          <w:p w14:paraId="71044C6A">
            <w:pPr>
              <w:pStyle w:val="6"/>
              <w:spacing w:before="27" w:line="228" w:lineRule="auto"/>
              <w:ind w:left="678"/>
              <w:rPr>
                <w:sz w:val="20"/>
                <w:szCs w:val="20"/>
              </w:rPr>
            </w:pPr>
            <w:r>
              <w:rPr>
                <w:spacing w:val="-1"/>
                <w:sz w:val="20"/>
                <w:szCs w:val="20"/>
              </w:rPr>
              <w:t>厂。</w:t>
            </w:r>
          </w:p>
        </w:tc>
        <w:tc>
          <w:tcPr>
            <w:tcW w:w="148" w:type="dxa"/>
            <w:tcBorders>
              <w:top w:val="single" w:color="000000" w:sz="6" w:space="0"/>
              <w:bottom w:val="nil"/>
              <w:right w:val="single" w:color="000000" w:sz="6" w:space="0"/>
            </w:tcBorders>
            <w:vAlign w:val="top"/>
          </w:tcPr>
          <w:p w14:paraId="3C18893C">
            <w:pPr>
              <w:rPr>
                <w:rFonts w:ascii="Arial"/>
                <w:sz w:val="21"/>
              </w:rPr>
            </w:pPr>
          </w:p>
        </w:tc>
      </w:tr>
      <w:tr w14:paraId="74EEE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78" w:type="dxa"/>
            <w:vMerge w:val="continue"/>
            <w:tcBorders>
              <w:top w:val="nil"/>
              <w:left w:val="single" w:color="000000" w:sz="6" w:space="0"/>
              <w:bottom w:val="nil"/>
            </w:tcBorders>
            <w:vAlign w:val="top"/>
          </w:tcPr>
          <w:p w14:paraId="3F945061">
            <w:pPr>
              <w:rPr>
                <w:rFonts w:ascii="Arial"/>
                <w:sz w:val="21"/>
              </w:rPr>
            </w:pPr>
          </w:p>
        </w:tc>
        <w:tc>
          <w:tcPr>
            <w:tcW w:w="139" w:type="dxa"/>
            <w:vMerge w:val="continue"/>
            <w:tcBorders>
              <w:top w:val="nil"/>
              <w:bottom w:val="nil"/>
            </w:tcBorders>
            <w:vAlign w:val="top"/>
          </w:tcPr>
          <w:p w14:paraId="4ADBAC37">
            <w:pPr>
              <w:rPr>
                <w:rFonts w:ascii="Arial"/>
                <w:sz w:val="21"/>
              </w:rPr>
            </w:pPr>
          </w:p>
        </w:tc>
        <w:tc>
          <w:tcPr>
            <w:tcW w:w="644" w:type="dxa"/>
            <w:vAlign w:val="top"/>
          </w:tcPr>
          <w:p w14:paraId="4EC296CE">
            <w:pPr>
              <w:pStyle w:val="6"/>
              <w:spacing w:before="73" w:line="228" w:lineRule="auto"/>
              <w:ind w:left="111"/>
              <w:rPr>
                <w:sz w:val="20"/>
                <w:szCs w:val="20"/>
              </w:rPr>
            </w:pPr>
            <w:r>
              <w:rPr>
                <w:spacing w:val="4"/>
                <w:sz w:val="20"/>
                <w:szCs w:val="20"/>
              </w:rPr>
              <w:t>环境</w:t>
            </w:r>
          </w:p>
          <w:p w14:paraId="19531909">
            <w:pPr>
              <w:pStyle w:val="6"/>
              <w:spacing w:before="24" w:line="228" w:lineRule="auto"/>
              <w:ind w:left="121"/>
              <w:rPr>
                <w:sz w:val="20"/>
                <w:szCs w:val="20"/>
              </w:rPr>
            </w:pPr>
            <w:r>
              <w:rPr>
                <w:spacing w:val="-1"/>
                <w:sz w:val="20"/>
                <w:szCs w:val="20"/>
              </w:rPr>
              <w:t>噪声</w:t>
            </w:r>
          </w:p>
        </w:tc>
        <w:tc>
          <w:tcPr>
            <w:tcW w:w="719" w:type="dxa"/>
            <w:vAlign w:val="top"/>
          </w:tcPr>
          <w:p w14:paraId="680BA373">
            <w:pPr>
              <w:pStyle w:val="6"/>
              <w:spacing w:before="207" w:line="228" w:lineRule="auto"/>
              <w:ind w:left="151"/>
              <w:rPr>
                <w:sz w:val="20"/>
                <w:szCs w:val="20"/>
              </w:rPr>
            </w:pPr>
            <w:r>
              <w:rPr>
                <w:spacing w:val="4"/>
                <w:sz w:val="20"/>
                <w:szCs w:val="20"/>
              </w:rPr>
              <w:t>所有</w:t>
            </w:r>
          </w:p>
        </w:tc>
        <w:tc>
          <w:tcPr>
            <w:tcW w:w="799" w:type="dxa"/>
            <w:vAlign w:val="top"/>
          </w:tcPr>
          <w:p w14:paraId="16EE6908">
            <w:pPr>
              <w:pStyle w:val="6"/>
              <w:spacing w:before="72" w:line="228" w:lineRule="auto"/>
              <w:ind w:left="192"/>
              <w:rPr>
                <w:sz w:val="20"/>
                <w:szCs w:val="20"/>
              </w:rPr>
            </w:pPr>
            <w:r>
              <w:rPr>
                <w:spacing w:val="3"/>
                <w:sz w:val="20"/>
                <w:szCs w:val="20"/>
              </w:rPr>
              <w:t>生产</w:t>
            </w:r>
          </w:p>
          <w:p w14:paraId="1BED72BA">
            <w:pPr>
              <w:pStyle w:val="6"/>
              <w:spacing w:before="24" w:line="228" w:lineRule="auto"/>
              <w:ind w:left="190"/>
              <w:rPr>
                <w:sz w:val="20"/>
                <w:szCs w:val="20"/>
              </w:rPr>
            </w:pPr>
            <w:r>
              <w:rPr>
                <w:spacing w:val="4"/>
                <w:sz w:val="20"/>
                <w:szCs w:val="20"/>
              </w:rPr>
              <w:t>装置</w:t>
            </w:r>
          </w:p>
        </w:tc>
        <w:tc>
          <w:tcPr>
            <w:tcW w:w="709" w:type="dxa"/>
            <w:vAlign w:val="top"/>
          </w:tcPr>
          <w:p w14:paraId="3A23AD39">
            <w:pPr>
              <w:pStyle w:val="6"/>
              <w:spacing w:before="72" w:line="228" w:lineRule="auto"/>
              <w:ind w:left="161"/>
              <w:rPr>
                <w:sz w:val="20"/>
                <w:szCs w:val="20"/>
              </w:rPr>
            </w:pPr>
            <w:r>
              <w:rPr>
                <w:spacing w:val="-1"/>
                <w:sz w:val="20"/>
                <w:szCs w:val="20"/>
              </w:rPr>
              <w:t>生产</w:t>
            </w:r>
          </w:p>
          <w:p w14:paraId="77C0B44E">
            <w:pPr>
              <w:pStyle w:val="6"/>
              <w:spacing w:before="24" w:line="228" w:lineRule="auto"/>
              <w:ind w:left="163"/>
              <w:rPr>
                <w:sz w:val="20"/>
                <w:szCs w:val="20"/>
              </w:rPr>
            </w:pPr>
            <w:r>
              <w:rPr>
                <w:spacing w:val="-2"/>
                <w:sz w:val="20"/>
                <w:szCs w:val="20"/>
              </w:rPr>
              <w:t>活动</w:t>
            </w:r>
          </w:p>
        </w:tc>
        <w:tc>
          <w:tcPr>
            <w:tcW w:w="818" w:type="dxa"/>
            <w:vAlign w:val="top"/>
          </w:tcPr>
          <w:p w14:paraId="24D2A5E3">
            <w:pPr>
              <w:pStyle w:val="6"/>
              <w:spacing w:before="72" w:line="228" w:lineRule="auto"/>
              <w:ind w:left="206"/>
              <w:rPr>
                <w:sz w:val="20"/>
                <w:szCs w:val="20"/>
              </w:rPr>
            </w:pPr>
            <w:r>
              <w:rPr>
                <w:spacing w:val="3"/>
                <w:sz w:val="20"/>
                <w:szCs w:val="20"/>
              </w:rPr>
              <w:t>生产</w:t>
            </w:r>
          </w:p>
          <w:p w14:paraId="65296E20">
            <w:pPr>
              <w:pStyle w:val="6"/>
              <w:spacing w:before="24" w:line="228" w:lineRule="auto"/>
              <w:ind w:left="204"/>
              <w:rPr>
                <w:sz w:val="20"/>
                <w:szCs w:val="20"/>
              </w:rPr>
            </w:pPr>
            <w:r>
              <w:rPr>
                <w:spacing w:val="4"/>
                <w:sz w:val="20"/>
                <w:szCs w:val="20"/>
              </w:rPr>
              <w:t>装置</w:t>
            </w:r>
          </w:p>
        </w:tc>
        <w:tc>
          <w:tcPr>
            <w:tcW w:w="709" w:type="dxa"/>
            <w:vAlign w:val="top"/>
          </w:tcPr>
          <w:p w14:paraId="4A9DC594">
            <w:pPr>
              <w:pStyle w:val="6"/>
              <w:spacing w:before="72" w:line="229" w:lineRule="auto"/>
              <w:ind w:left="49"/>
              <w:rPr>
                <w:sz w:val="20"/>
                <w:szCs w:val="20"/>
              </w:rPr>
            </w:pPr>
            <w:r>
              <w:rPr>
                <w:spacing w:val="5"/>
                <w:sz w:val="20"/>
                <w:szCs w:val="20"/>
              </w:rPr>
              <w:t>设备运</w:t>
            </w:r>
          </w:p>
          <w:p w14:paraId="39990F1A">
            <w:pPr>
              <w:pStyle w:val="6"/>
              <w:spacing w:before="23" w:line="228" w:lineRule="auto"/>
              <w:ind w:left="49"/>
              <w:rPr>
                <w:sz w:val="20"/>
                <w:szCs w:val="20"/>
              </w:rPr>
            </w:pPr>
            <w:r>
              <w:rPr>
                <w:spacing w:val="5"/>
                <w:sz w:val="20"/>
                <w:szCs w:val="20"/>
              </w:rPr>
              <w:t>行过程</w:t>
            </w:r>
          </w:p>
        </w:tc>
        <w:tc>
          <w:tcPr>
            <w:tcW w:w="1777" w:type="dxa"/>
            <w:vAlign w:val="top"/>
          </w:tcPr>
          <w:p w14:paraId="3BD4FEE6">
            <w:pPr>
              <w:pStyle w:val="6"/>
              <w:spacing w:before="207" w:line="228" w:lineRule="auto"/>
              <w:ind w:left="695"/>
              <w:rPr>
                <w:sz w:val="20"/>
                <w:szCs w:val="20"/>
              </w:rPr>
            </w:pPr>
            <w:r>
              <w:rPr>
                <w:spacing w:val="-1"/>
                <w:sz w:val="20"/>
                <w:szCs w:val="20"/>
              </w:rPr>
              <w:t>噪声</w:t>
            </w:r>
          </w:p>
        </w:tc>
        <w:tc>
          <w:tcPr>
            <w:tcW w:w="1748" w:type="dxa"/>
            <w:vAlign w:val="top"/>
          </w:tcPr>
          <w:p w14:paraId="58B354A1">
            <w:pPr>
              <w:pStyle w:val="6"/>
              <w:spacing w:before="72" w:line="252" w:lineRule="auto"/>
              <w:ind w:left="360" w:right="30" w:hanging="242"/>
              <w:rPr>
                <w:sz w:val="20"/>
                <w:szCs w:val="20"/>
              </w:rPr>
            </w:pPr>
            <w:r>
              <w:rPr>
                <w:spacing w:val="-1"/>
                <w:sz w:val="20"/>
                <w:szCs w:val="20"/>
              </w:rPr>
              <w:t>基础减震、消声、</w:t>
            </w:r>
            <w:r>
              <w:rPr>
                <w:spacing w:val="1"/>
                <w:sz w:val="20"/>
                <w:szCs w:val="20"/>
              </w:rPr>
              <w:t xml:space="preserve"> </w:t>
            </w:r>
            <w:r>
              <w:rPr>
                <w:spacing w:val="7"/>
                <w:sz w:val="20"/>
                <w:szCs w:val="20"/>
              </w:rPr>
              <w:t>厂房隔声等</w:t>
            </w:r>
          </w:p>
        </w:tc>
        <w:tc>
          <w:tcPr>
            <w:tcW w:w="148" w:type="dxa"/>
            <w:tcBorders>
              <w:top w:val="nil"/>
              <w:bottom w:val="nil"/>
              <w:right w:val="single" w:color="000000" w:sz="6" w:space="0"/>
            </w:tcBorders>
            <w:vAlign w:val="top"/>
          </w:tcPr>
          <w:p w14:paraId="1060AA7C">
            <w:pPr>
              <w:rPr>
                <w:rFonts w:ascii="Arial"/>
                <w:sz w:val="21"/>
              </w:rPr>
            </w:pPr>
          </w:p>
        </w:tc>
      </w:tr>
      <w:tr w14:paraId="52F04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3B1E0C96">
            <w:pPr>
              <w:rPr>
                <w:rFonts w:ascii="Arial"/>
                <w:sz w:val="21"/>
              </w:rPr>
            </w:pPr>
          </w:p>
        </w:tc>
        <w:tc>
          <w:tcPr>
            <w:tcW w:w="139" w:type="dxa"/>
            <w:vMerge w:val="continue"/>
            <w:tcBorders>
              <w:top w:val="nil"/>
              <w:bottom w:val="nil"/>
            </w:tcBorders>
            <w:vAlign w:val="top"/>
          </w:tcPr>
          <w:p w14:paraId="7844B509">
            <w:pPr>
              <w:rPr>
                <w:rFonts w:ascii="Arial"/>
                <w:sz w:val="21"/>
              </w:rPr>
            </w:pPr>
          </w:p>
        </w:tc>
        <w:tc>
          <w:tcPr>
            <w:tcW w:w="644" w:type="dxa"/>
            <w:vMerge w:val="restart"/>
            <w:tcBorders>
              <w:bottom w:val="nil"/>
            </w:tcBorders>
            <w:vAlign w:val="top"/>
          </w:tcPr>
          <w:p w14:paraId="029343CB">
            <w:pPr>
              <w:spacing w:line="279" w:lineRule="auto"/>
              <w:rPr>
                <w:rFonts w:ascii="Arial"/>
                <w:sz w:val="21"/>
              </w:rPr>
            </w:pPr>
          </w:p>
          <w:p w14:paraId="3C0723F4">
            <w:pPr>
              <w:spacing w:line="280" w:lineRule="auto"/>
              <w:rPr>
                <w:rFonts w:ascii="Arial"/>
                <w:sz w:val="21"/>
              </w:rPr>
            </w:pPr>
          </w:p>
          <w:p w14:paraId="68C88009">
            <w:pPr>
              <w:spacing w:line="280" w:lineRule="auto"/>
              <w:rPr>
                <w:rFonts w:ascii="Arial"/>
                <w:sz w:val="21"/>
              </w:rPr>
            </w:pPr>
          </w:p>
          <w:p w14:paraId="45E3FDDA">
            <w:pPr>
              <w:spacing w:line="280" w:lineRule="auto"/>
              <w:rPr>
                <w:rFonts w:ascii="Arial"/>
                <w:sz w:val="21"/>
              </w:rPr>
            </w:pPr>
          </w:p>
          <w:p w14:paraId="0CDAC66C">
            <w:pPr>
              <w:spacing w:line="280" w:lineRule="auto"/>
              <w:rPr>
                <w:rFonts w:ascii="Arial"/>
                <w:sz w:val="21"/>
              </w:rPr>
            </w:pPr>
          </w:p>
          <w:p w14:paraId="49387889">
            <w:pPr>
              <w:spacing w:line="280" w:lineRule="auto"/>
              <w:rPr>
                <w:rFonts w:ascii="Arial"/>
                <w:sz w:val="21"/>
              </w:rPr>
            </w:pPr>
          </w:p>
          <w:p w14:paraId="1D568592">
            <w:pPr>
              <w:pStyle w:val="6"/>
              <w:spacing w:before="65" w:line="228" w:lineRule="auto"/>
              <w:ind w:left="129"/>
              <w:rPr>
                <w:sz w:val="20"/>
                <w:szCs w:val="20"/>
              </w:rPr>
            </w:pPr>
            <w:r>
              <w:rPr>
                <w:spacing w:val="-5"/>
                <w:sz w:val="20"/>
                <w:szCs w:val="20"/>
              </w:rPr>
              <w:t>固体</w:t>
            </w:r>
          </w:p>
          <w:p w14:paraId="5C115996">
            <w:pPr>
              <w:pStyle w:val="6"/>
              <w:spacing w:before="24" w:line="228" w:lineRule="auto"/>
              <w:ind w:left="110"/>
              <w:rPr>
                <w:sz w:val="20"/>
                <w:szCs w:val="20"/>
              </w:rPr>
            </w:pPr>
            <w:r>
              <w:rPr>
                <w:spacing w:val="5"/>
                <w:sz w:val="20"/>
                <w:szCs w:val="20"/>
              </w:rPr>
              <w:t>废物</w:t>
            </w:r>
          </w:p>
        </w:tc>
        <w:tc>
          <w:tcPr>
            <w:tcW w:w="719" w:type="dxa"/>
            <w:vAlign w:val="top"/>
          </w:tcPr>
          <w:p w14:paraId="0074A92B">
            <w:pPr>
              <w:pStyle w:val="6"/>
              <w:spacing w:before="71" w:line="231" w:lineRule="auto"/>
              <w:ind w:left="153"/>
              <w:rPr>
                <w:sz w:val="20"/>
                <w:szCs w:val="20"/>
              </w:rPr>
            </w:pPr>
            <w:r>
              <w:rPr>
                <w:spacing w:val="3"/>
                <w:sz w:val="20"/>
                <w:szCs w:val="20"/>
              </w:rPr>
              <w:t>宝石</w:t>
            </w:r>
          </w:p>
          <w:p w14:paraId="48500CF5">
            <w:pPr>
              <w:pStyle w:val="6"/>
              <w:spacing w:before="21" w:line="229" w:lineRule="auto"/>
              <w:ind w:left="153"/>
              <w:rPr>
                <w:sz w:val="20"/>
                <w:szCs w:val="20"/>
              </w:rPr>
            </w:pPr>
            <w:r>
              <w:rPr>
                <w:spacing w:val="3"/>
                <w:sz w:val="20"/>
                <w:szCs w:val="20"/>
              </w:rPr>
              <w:t>泡酸</w:t>
            </w:r>
          </w:p>
        </w:tc>
        <w:tc>
          <w:tcPr>
            <w:tcW w:w="799" w:type="dxa"/>
            <w:vAlign w:val="top"/>
          </w:tcPr>
          <w:p w14:paraId="4E3D25DF">
            <w:pPr>
              <w:pStyle w:val="6"/>
              <w:spacing w:before="209" w:line="229" w:lineRule="auto"/>
              <w:ind w:left="190"/>
              <w:rPr>
                <w:sz w:val="20"/>
                <w:szCs w:val="20"/>
              </w:rPr>
            </w:pPr>
            <w:r>
              <w:rPr>
                <w:spacing w:val="4"/>
                <w:sz w:val="20"/>
                <w:szCs w:val="20"/>
              </w:rPr>
              <w:t>配酸</w:t>
            </w:r>
          </w:p>
        </w:tc>
        <w:tc>
          <w:tcPr>
            <w:tcW w:w="709" w:type="dxa"/>
            <w:vAlign w:val="top"/>
          </w:tcPr>
          <w:p w14:paraId="543E45D3">
            <w:pPr>
              <w:pStyle w:val="6"/>
              <w:spacing w:before="209" w:line="229" w:lineRule="auto"/>
              <w:ind w:left="147"/>
              <w:rPr>
                <w:sz w:val="20"/>
                <w:szCs w:val="20"/>
              </w:rPr>
            </w:pPr>
            <w:r>
              <w:rPr>
                <w:spacing w:val="4"/>
                <w:sz w:val="20"/>
                <w:szCs w:val="20"/>
              </w:rPr>
              <w:t>配酸</w:t>
            </w:r>
          </w:p>
        </w:tc>
        <w:tc>
          <w:tcPr>
            <w:tcW w:w="818" w:type="dxa"/>
            <w:vAlign w:val="top"/>
          </w:tcPr>
          <w:p w14:paraId="4B20ACC4">
            <w:pPr>
              <w:pStyle w:val="6"/>
              <w:spacing w:before="208" w:line="228" w:lineRule="auto"/>
              <w:ind w:left="203"/>
              <w:rPr>
                <w:sz w:val="20"/>
                <w:szCs w:val="20"/>
              </w:rPr>
            </w:pPr>
            <w:r>
              <w:rPr>
                <w:spacing w:val="5"/>
                <w:sz w:val="20"/>
                <w:szCs w:val="20"/>
              </w:rPr>
              <w:t>胶桶</w:t>
            </w:r>
          </w:p>
        </w:tc>
        <w:tc>
          <w:tcPr>
            <w:tcW w:w="709" w:type="dxa"/>
            <w:vAlign w:val="top"/>
          </w:tcPr>
          <w:p w14:paraId="35D5575C">
            <w:pPr>
              <w:pStyle w:val="6"/>
              <w:spacing w:before="209" w:line="228" w:lineRule="auto"/>
              <w:ind w:left="150"/>
              <w:rPr>
                <w:sz w:val="20"/>
                <w:szCs w:val="20"/>
              </w:rPr>
            </w:pPr>
            <w:r>
              <w:rPr>
                <w:spacing w:val="4"/>
                <w:sz w:val="20"/>
                <w:szCs w:val="20"/>
              </w:rPr>
              <w:t>酸液</w:t>
            </w:r>
          </w:p>
        </w:tc>
        <w:tc>
          <w:tcPr>
            <w:tcW w:w="1777" w:type="dxa"/>
            <w:vAlign w:val="top"/>
          </w:tcPr>
          <w:p w14:paraId="437D07F1">
            <w:pPr>
              <w:pStyle w:val="6"/>
              <w:spacing w:before="209" w:line="228" w:lineRule="auto"/>
              <w:ind w:left="579"/>
              <w:rPr>
                <w:sz w:val="20"/>
                <w:szCs w:val="20"/>
              </w:rPr>
            </w:pPr>
            <w:r>
              <w:rPr>
                <w:spacing w:val="7"/>
                <w:sz w:val="20"/>
                <w:szCs w:val="20"/>
              </w:rPr>
              <w:t>废酸液</w:t>
            </w:r>
          </w:p>
        </w:tc>
        <w:tc>
          <w:tcPr>
            <w:tcW w:w="1748" w:type="dxa"/>
            <w:vAlign w:val="top"/>
          </w:tcPr>
          <w:p w14:paraId="4DF9545A">
            <w:pPr>
              <w:pStyle w:val="6"/>
              <w:spacing w:before="72" w:line="252" w:lineRule="auto"/>
              <w:ind w:left="679" w:right="132" w:hanging="530"/>
              <w:rPr>
                <w:sz w:val="20"/>
                <w:szCs w:val="20"/>
              </w:rPr>
            </w:pPr>
            <w:r>
              <w:rPr>
                <w:spacing w:val="8"/>
                <w:sz w:val="20"/>
                <w:szCs w:val="20"/>
              </w:rPr>
              <w:t>委托供应商回收</w:t>
            </w:r>
            <w:r>
              <w:rPr>
                <w:spacing w:val="4"/>
                <w:sz w:val="20"/>
                <w:szCs w:val="20"/>
              </w:rPr>
              <w:t xml:space="preserve"> </w:t>
            </w:r>
            <w:r>
              <w:rPr>
                <w:spacing w:val="2"/>
                <w:sz w:val="20"/>
                <w:szCs w:val="20"/>
              </w:rPr>
              <w:t>处置</w:t>
            </w:r>
          </w:p>
        </w:tc>
        <w:tc>
          <w:tcPr>
            <w:tcW w:w="148" w:type="dxa"/>
            <w:tcBorders>
              <w:top w:val="nil"/>
              <w:bottom w:val="nil"/>
              <w:right w:val="single" w:color="000000" w:sz="6" w:space="0"/>
            </w:tcBorders>
            <w:vAlign w:val="top"/>
          </w:tcPr>
          <w:p w14:paraId="1D0C81EB">
            <w:pPr>
              <w:rPr>
                <w:rFonts w:ascii="Arial"/>
                <w:sz w:val="21"/>
              </w:rPr>
            </w:pPr>
          </w:p>
        </w:tc>
      </w:tr>
      <w:tr w14:paraId="2F325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683C0961">
            <w:pPr>
              <w:rPr>
                <w:rFonts w:ascii="Arial"/>
                <w:sz w:val="21"/>
              </w:rPr>
            </w:pPr>
          </w:p>
        </w:tc>
        <w:tc>
          <w:tcPr>
            <w:tcW w:w="139" w:type="dxa"/>
            <w:vMerge w:val="continue"/>
            <w:tcBorders>
              <w:top w:val="nil"/>
              <w:bottom w:val="nil"/>
            </w:tcBorders>
            <w:vAlign w:val="top"/>
          </w:tcPr>
          <w:p w14:paraId="0D0E1592">
            <w:pPr>
              <w:rPr>
                <w:rFonts w:ascii="Arial"/>
                <w:sz w:val="21"/>
              </w:rPr>
            </w:pPr>
          </w:p>
        </w:tc>
        <w:tc>
          <w:tcPr>
            <w:tcW w:w="644" w:type="dxa"/>
            <w:vMerge w:val="continue"/>
            <w:tcBorders>
              <w:top w:val="nil"/>
              <w:bottom w:val="nil"/>
            </w:tcBorders>
            <w:vAlign w:val="top"/>
          </w:tcPr>
          <w:p w14:paraId="326AD688">
            <w:pPr>
              <w:rPr>
                <w:rFonts w:ascii="Arial"/>
                <w:sz w:val="21"/>
              </w:rPr>
            </w:pPr>
          </w:p>
        </w:tc>
        <w:tc>
          <w:tcPr>
            <w:tcW w:w="719" w:type="dxa"/>
            <w:vAlign w:val="top"/>
          </w:tcPr>
          <w:p w14:paraId="61586704">
            <w:pPr>
              <w:pStyle w:val="6"/>
              <w:spacing w:before="72" w:line="231" w:lineRule="auto"/>
              <w:ind w:left="153"/>
              <w:rPr>
                <w:sz w:val="20"/>
                <w:szCs w:val="20"/>
              </w:rPr>
            </w:pPr>
            <w:r>
              <w:rPr>
                <w:spacing w:val="3"/>
                <w:sz w:val="20"/>
                <w:szCs w:val="20"/>
              </w:rPr>
              <w:t>宝石</w:t>
            </w:r>
          </w:p>
          <w:p w14:paraId="7ADFB6C5">
            <w:pPr>
              <w:pStyle w:val="6"/>
              <w:spacing w:before="21" w:line="229" w:lineRule="auto"/>
              <w:ind w:left="153"/>
              <w:rPr>
                <w:sz w:val="20"/>
                <w:szCs w:val="20"/>
              </w:rPr>
            </w:pPr>
            <w:r>
              <w:rPr>
                <w:spacing w:val="3"/>
                <w:sz w:val="20"/>
                <w:szCs w:val="20"/>
              </w:rPr>
              <w:t>泡酸</w:t>
            </w:r>
          </w:p>
        </w:tc>
        <w:tc>
          <w:tcPr>
            <w:tcW w:w="799" w:type="dxa"/>
            <w:vAlign w:val="top"/>
          </w:tcPr>
          <w:p w14:paraId="5D0CCD80">
            <w:pPr>
              <w:pStyle w:val="6"/>
              <w:spacing w:before="209" w:line="229" w:lineRule="auto"/>
              <w:ind w:left="190"/>
              <w:rPr>
                <w:sz w:val="20"/>
                <w:szCs w:val="20"/>
              </w:rPr>
            </w:pPr>
            <w:r>
              <w:rPr>
                <w:spacing w:val="4"/>
                <w:sz w:val="20"/>
                <w:szCs w:val="20"/>
              </w:rPr>
              <w:t>配酸</w:t>
            </w:r>
          </w:p>
        </w:tc>
        <w:tc>
          <w:tcPr>
            <w:tcW w:w="709" w:type="dxa"/>
            <w:vAlign w:val="top"/>
          </w:tcPr>
          <w:p w14:paraId="63B047F8">
            <w:pPr>
              <w:pStyle w:val="6"/>
              <w:spacing w:before="209" w:line="229" w:lineRule="auto"/>
              <w:ind w:left="147"/>
              <w:rPr>
                <w:sz w:val="20"/>
                <w:szCs w:val="20"/>
              </w:rPr>
            </w:pPr>
            <w:r>
              <w:rPr>
                <w:spacing w:val="4"/>
                <w:sz w:val="20"/>
                <w:szCs w:val="20"/>
              </w:rPr>
              <w:t>配酸</w:t>
            </w:r>
          </w:p>
        </w:tc>
        <w:tc>
          <w:tcPr>
            <w:tcW w:w="818" w:type="dxa"/>
            <w:vAlign w:val="top"/>
          </w:tcPr>
          <w:p w14:paraId="777BE5E7">
            <w:pPr>
              <w:pStyle w:val="6"/>
              <w:spacing w:before="209" w:line="229" w:lineRule="auto"/>
              <w:ind w:left="204"/>
              <w:rPr>
                <w:sz w:val="20"/>
                <w:szCs w:val="20"/>
              </w:rPr>
            </w:pPr>
            <w:r>
              <w:rPr>
                <w:spacing w:val="4"/>
                <w:sz w:val="20"/>
                <w:szCs w:val="20"/>
              </w:rPr>
              <w:t>配酸</w:t>
            </w:r>
          </w:p>
        </w:tc>
        <w:tc>
          <w:tcPr>
            <w:tcW w:w="709" w:type="dxa"/>
            <w:vAlign w:val="top"/>
          </w:tcPr>
          <w:p w14:paraId="20CCFC04">
            <w:pPr>
              <w:pStyle w:val="6"/>
              <w:spacing w:before="73" w:line="229" w:lineRule="auto"/>
              <w:ind w:left="150"/>
              <w:rPr>
                <w:sz w:val="20"/>
                <w:szCs w:val="20"/>
              </w:rPr>
            </w:pPr>
            <w:r>
              <w:rPr>
                <w:spacing w:val="4"/>
                <w:sz w:val="20"/>
                <w:szCs w:val="20"/>
              </w:rPr>
              <w:t>酸碱</w:t>
            </w:r>
          </w:p>
          <w:p w14:paraId="6FEE86AE">
            <w:pPr>
              <w:pStyle w:val="6"/>
              <w:spacing w:before="22" w:line="228" w:lineRule="auto"/>
              <w:ind w:left="150"/>
              <w:rPr>
                <w:sz w:val="20"/>
                <w:szCs w:val="20"/>
              </w:rPr>
            </w:pPr>
            <w:r>
              <w:rPr>
                <w:spacing w:val="4"/>
                <w:sz w:val="20"/>
                <w:szCs w:val="20"/>
              </w:rPr>
              <w:t>使用</w:t>
            </w:r>
          </w:p>
        </w:tc>
        <w:tc>
          <w:tcPr>
            <w:tcW w:w="1777" w:type="dxa"/>
            <w:vAlign w:val="top"/>
          </w:tcPr>
          <w:p w14:paraId="4CEB86EF">
            <w:pPr>
              <w:pStyle w:val="6"/>
              <w:spacing w:before="210" w:line="228" w:lineRule="auto"/>
              <w:ind w:left="477"/>
              <w:rPr>
                <w:sz w:val="20"/>
                <w:szCs w:val="20"/>
              </w:rPr>
            </w:pPr>
            <w:r>
              <w:rPr>
                <w:spacing w:val="7"/>
                <w:sz w:val="20"/>
                <w:szCs w:val="20"/>
              </w:rPr>
              <w:t>包装废物</w:t>
            </w:r>
          </w:p>
        </w:tc>
        <w:tc>
          <w:tcPr>
            <w:tcW w:w="1748" w:type="dxa"/>
            <w:vAlign w:val="top"/>
          </w:tcPr>
          <w:p w14:paraId="40C1E934">
            <w:pPr>
              <w:pStyle w:val="6"/>
              <w:spacing w:before="209" w:line="227" w:lineRule="auto"/>
              <w:ind w:left="154"/>
              <w:rPr>
                <w:sz w:val="20"/>
                <w:szCs w:val="20"/>
              </w:rPr>
            </w:pPr>
            <w:r>
              <w:rPr>
                <w:spacing w:val="8"/>
                <w:sz w:val="20"/>
                <w:szCs w:val="20"/>
              </w:rPr>
              <w:t>交由供应商回收</w:t>
            </w:r>
          </w:p>
        </w:tc>
        <w:tc>
          <w:tcPr>
            <w:tcW w:w="148" w:type="dxa"/>
            <w:tcBorders>
              <w:top w:val="nil"/>
              <w:bottom w:val="nil"/>
              <w:right w:val="single" w:color="000000" w:sz="6" w:space="0"/>
            </w:tcBorders>
            <w:vAlign w:val="top"/>
          </w:tcPr>
          <w:p w14:paraId="630E65A6">
            <w:pPr>
              <w:rPr>
                <w:rFonts w:ascii="Arial"/>
                <w:sz w:val="21"/>
              </w:rPr>
            </w:pPr>
          </w:p>
        </w:tc>
      </w:tr>
      <w:tr w14:paraId="2CE13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7B26D851">
            <w:pPr>
              <w:rPr>
                <w:rFonts w:ascii="Arial"/>
                <w:sz w:val="21"/>
              </w:rPr>
            </w:pPr>
          </w:p>
        </w:tc>
        <w:tc>
          <w:tcPr>
            <w:tcW w:w="139" w:type="dxa"/>
            <w:vMerge w:val="continue"/>
            <w:tcBorders>
              <w:top w:val="nil"/>
              <w:bottom w:val="nil"/>
            </w:tcBorders>
            <w:vAlign w:val="top"/>
          </w:tcPr>
          <w:p w14:paraId="4B267717">
            <w:pPr>
              <w:rPr>
                <w:rFonts w:ascii="Arial"/>
                <w:sz w:val="21"/>
              </w:rPr>
            </w:pPr>
          </w:p>
        </w:tc>
        <w:tc>
          <w:tcPr>
            <w:tcW w:w="644" w:type="dxa"/>
            <w:vMerge w:val="continue"/>
            <w:tcBorders>
              <w:top w:val="nil"/>
              <w:bottom w:val="nil"/>
            </w:tcBorders>
            <w:vAlign w:val="top"/>
          </w:tcPr>
          <w:p w14:paraId="02ED08DB">
            <w:pPr>
              <w:rPr>
                <w:rFonts w:ascii="Arial"/>
                <w:sz w:val="21"/>
              </w:rPr>
            </w:pPr>
          </w:p>
        </w:tc>
        <w:tc>
          <w:tcPr>
            <w:tcW w:w="719" w:type="dxa"/>
            <w:vMerge w:val="restart"/>
            <w:tcBorders>
              <w:bottom w:val="nil"/>
            </w:tcBorders>
            <w:vAlign w:val="top"/>
          </w:tcPr>
          <w:p w14:paraId="5833ED0F">
            <w:pPr>
              <w:spacing w:line="421" w:lineRule="auto"/>
              <w:rPr>
                <w:rFonts w:ascii="Arial"/>
                <w:sz w:val="21"/>
              </w:rPr>
            </w:pPr>
          </w:p>
          <w:p w14:paraId="7B0C8207">
            <w:pPr>
              <w:pStyle w:val="6"/>
              <w:spacing w:before="65" w:line="228" w:lineRule="auto"/>
              <w:ind w:left="151"/>
              <w:rPr>
                <w:sz w:val="20"/>
                <w:szCs w:val="20"/>
              </w:rPr>
            </w:pPr>
            <w:r>
              <w:rPr>
                <w:spacing w:val="4"/>
                <w:sz w:val="20"/>
                <w:szCs w:val="20"/>
              </w:rPr>
              <w:t>环保</w:t>
            </w:r>
          </w:p>
          <w:p w14:paraId="5F5743A8">
            <w:pPr>
              <w:pStyle w:val="6"/>
              <w:spacing w:before="24" w:line="228" w:lineRule="auto"/>
              <w:ind w:left="153"/>
              <w:rPr>
                <w:sz w:val="20"/>
                <w:szCs w:val="20"/>
              </w:rPr>
            </w:pPr>
            <w:r>
              <w:rPr>
                <w:spacing w:val="3"/>
                <w:sz w:val="20"/>
                <w:szCs w:val="20"/>
              </w:rPr>
              <w:t>工程</w:t>
            </w:r>
          </w:p>
        </w:tc>
        <w:tc>
          <w:tcPr>
            <w:tcW w:w="799" w:type="dxa"/>
            <w:vAlign w:val="top"/>
          </w:tcPr>
          <w:p w14:paraId="04321537">
            <w:pPr>
              <w:pStyle w:val="6"/>
              <w:spacing w:before="74" w:line="251" w:lineRule="auto"/>
              <w:ind w:left="190" w:right="120" w:hanging="101"/>
              <w:rPr>
                <w:sz w:val="20"/>
                <w:szCs w:val="20"/>
              </w:rPr>
            </w:pPr>
            <w:r>
              <w:rPr>
                <w:spacing w:val="-6"/>
                <w:sz w:val="20"/>
                <w:szCs w:val="20"/>
              </w:rPr>
              <w:t>泡碱、</w:t>
            </w:r>
            <w:r>
              <w:rPr>
                <w:spacing w:val="1"/>
                <w:sz w:val="20"/>
                <w:szCs w:val="20"/>
              </w:rPr>
              <w:t xml:space="preserve"> </w:t>
            </w:r>
            <w:r>
              <w:rPr>
                <w:spacing w:val="4"/>
                <w:sz w:val="20"/>
                <w:szCs w:val="20"/>
              </w:rPr>
              <w:t>清洗</w:t>
            </w:r>
          </w:p>
        </w:tc>
        <w:tc>
          <w:tcPr>
            <w:tcW w:w="709" w:type="dxa"/>
            <w:vAlign w:val="top"/>
          </w:tcPr>
          <w:p w14:paraId="3C7E52E8">
            <w:pPr>
              <w:pStyle w:val="6"/>
              <w:spacing w:before="74" w:line="251" w:lineRule="auto"/>
              <w:ind w:left="146" w:right="75" w:hanging="103"/>
              <w:rPr>
                <w:sz w:val="20"/>
                <w:szCs w:val="20"/>
              </w:rPr>
            </w:pPr>
            <w:r>
              <w:rPr>
                <w:spacing w:val="-6"/>
                <w:sz w:val="20"/>
                <w:szCs w:val="20"/>
              </w:rPr>
              <w:t>泡碱、</w:t>
            </w:r>
            <w:r>
              <w:rPr>
                <w:spacing w:val="1"/>
                <w:sz w:val="20"/>
                <w:szCs w:val="20"/>
              </w:rPr>
              <w:t xml:space="preserve"> </w:t>
            </w:r>
            <w:r>
              <w:rPr>
                <w:spacing w:val="4"/>
                <w:sz w:val="20"/>
                <w:szCs w:val="20"/>
              </w:rPr>
              <w:t>清洗</w:t>
            </w:r>
          </w:p>
        </w:tc>
        <w:tc>
          <w:tcPr>
            <w:tcW w:w="818" w:type="dxa"/>
            <w:vAlign w:val="top"/>
          </w:tcPr>
          <w:p w14:paraId="736CE6C9">
            <w:pPr>
              <w:pStyle w:val="6"/>
              <w:spacing w:before="74" w:line="251" w:lineRule="auto"/>
              <w:ind w:left="205" w:right="93" w:hanging="108"/>
              <w:rPr>
                <w:sz w:val="20"/>
                <w:szCs w:val="20"/>
              </w:rPr>
            </w:pPr>
            <w:r>
              <w:rPr>
                <w:spacing w:val="7"/>
                <w:sz w:val="20"/>
                <w:szCs w:val="20"/>
              </w:rPr>
              <w:t>废水处</w:t>
            </w:r>
            <w:r>
              <w:rPr>
                <w:sz w:val="20"/>
                <w:szCs w:val="20"/>
              </w:rPr>
              <w:t xml:space="preserve"> </w:t>
            </w:r>
            <w:r>
              <w:rPr>
                <w:spacing w:val="3"/>
                <w:sz w:val="20"/>
                <w:szCs w:val="20"/>
              </w:rPr>
              <w:t>理站</w:t>
            </w:r>
          </w:p>
        </w:tc>
        <w:tc>
          <w:tcPr>
            <w:tcW w:w="709" w:type="dxa"/>
            <w:vAlign w:val="top"/>
          </w:tcPr>
          <w:p w14:paraId="23C60CE5">
            <w:pPr>
              <w:pStyle w:val="6"/>
              <w:spacing w:before="73" w:line="228" w:lineRule="auto"/>
              <w:ind w:left="148"/>
              <w:rPr>
                <w:sz w:val="20"/>
                <w:szCs w:val="20"/>
              </w:rPr>
            </w:pPr>
            <w:r>
              <w:rPr>
                <w:spacing w:val="5"/>
                <w:sz w:val="20"/>
                <w:szCs w:val="20"/>
              </w:rPr>
              <w:t>废水</w:t>
            </w:r>
          </w:p>
          <w:p w14:paraId="07C326B8">
            <w:pPr>
              <w:pStyle w:val="6"/>
              <w:spacing w:before="26" w:line="232" w:lineRule="auto"/>
              <w:ind w:left="153"/>
              <w:rPr>
                <w:sz w:val="20"/>
                <w:szCs w:val="20"/>
              </w:rPr>
            </w:pPr>
            <w:r>
              <w:rPr>
                <w:spacing w:val="2"/>
                <w:sz w:val="20"/>
                <w:szCs w:val="20"/>
              </w:rPr>
              <w:t>处理</w:t>
            </w:r>
          </w:p>
        </w:tc>
        <w:tc>
          <w:tcPr>
            <w:tcW w:w="1777" w:type="dxa"/>
            <w:vAlign w:val="top"/>
          </w:tcPr>
          <w:p w14:paraId="1D258B9F">
            <w:pPr>
              <w:pStyle w:val="6"/>
              <w:spacing w:before="210" w:line="228" w:lineRule="auto"/>
              <w:ind w:left="477"/>
              <w:rPr>
                <w:sz w:val="20"/>
                <w:szCs w:val="20"/>
              </w:rPr>
            </w:pPr>
            <w:r>
              <w:rPr>
                <w:spacing w:val="7"/>
                <w:sz w:val="20"/>
                <w:szCs w:val="20"/>
              </w:rPr>
              <w:t>沉淀污泥</w:t>
            </w:r>
          </w:p>
        </w:tc>
        <w:tc>
          <w:tcPr>
            <w:tcW w:w="1748" w:type="dxa"/>
            <w:vAlign w:val="top"/>
          </w:tcPr>
          <w:p w14:paraId="4BD0DA5E">
            <w:pPr>
              <w:pStyle w:val="6"/>
              <w:spacing w:before="74" w:line="251" w:lineRule="auto"/>
              <w:ind w:left="679" w:right="132" w:hanging="530"/>
              <w:rPr>
                <w:sz w:val="20"/>
                <w:szCs w:val="20"/>
              </w:rPr>
            </w:pPr>
            <w:r>
              <w:rPr>
                <w:spacing w:val="8"/>
                <w:sz w:val="20"/>
                <w:szCs w:val="20"/>
              </w:rPr>
              <w:t>委托有资质单位</w:t>
            </w:r>
            <w:r>
              <w:rPr>
                <w:spacing w:val="4"/>
                <w:sz w:val="20"/>
                <w:szCs w:val="20"/>
              </w:rPr>
              <w:t xml:space="preserve"> </w:t>
            </w:r>
            <w:r>
              <w:rPr>
                <w:spacing w:val="2"/>
                <w:sz w:val="20"/>
                <w:szCs w:val="20"/>
              </w:rPr>
              <w:t>处置</w:t>
            </w:r>
          </w:p>
        </w:tc>
        <w:tc>
          <w:tcPr>
            <w:tcW w:w="148" w:type="dxa"/>
            <w:tcBorders>
              <w:top w:val="nil"/>
              <w:bottom w:val="nil"/>
              <w:right w:val="single" w:color="000000" w:sz="6" w:space="0"/>
            </w:tcBorders>
            <w:vAlign w:val="top"/>
          </w:tcPr>
          <w:p w14:paraId="4B4831A1">
            <w:pPr>
              <w:rPr>
                <w:rFonts w:ascii="Arial"/>
                <w:sz w:val="21"/>
              </w:rPr>
            </w:pPr>
          </w:p>
        </w:tc>
      </w:tr>
      <w:tr w14:paraId="2E5FC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78" w:type="dxa"/>
            <w:vMerge w:val="continue"/>
            <w:tcBorders>
              <w:top w:val="nil"/>
              <w:left w:val="single" w:color="000000" w:sz="6" w:space="0"/>
              <w:bottom w:val="nil"/>
            </w:tcBorders>
            <w:vAlign w:val="top"/>
          </w:tcPr>
          <w:p w14:paraId="6FFC4775">
            <w:pPr>
              <w:rPr>
                <w:rFonts w:ascii="Arial"/>
                <w:sz w:val="21"/>
              </w:rPr>
            </w:pPr>
          </w:p>
        </w:tc>
        <w:tc>
          <w:tcPr>
            <w:tcW w:w="139" w:type="dxa"/>
            <w:vMerge w:val="continue"/>
            <w:tcBorders>
              <w:top w:val="nil"/>
              <w:bottom w:val="nil"/>
            </w:tcBorders>
            <w:vAlign w:val="top"/>
          </w:tcPr>
          <w:p w14:paraId="021364E6">
            <w:pPr>
              <w:rPr>
                <w:rFonts w:ascii="Arial"/>
                <w:sz w:val="21"/>
              </w:rPr>
            </w:pPr>
          </w:p>
        </w:tc>
        <w:tc>
          <w:tcPr>
            <w:tcW w:w="644" w:type="dxa"/>
            <w:vMerge w:val="continue"/>
            <w:tcBorders>
              <w:top w:val="nil"/>
              <w:bottom w:val="nil"/>
            </w:tcBorders>
            <w:vAlign w:val="top"/>
          </w:tcPr>
          <w:p w14:paraId="42338F3F">
            <w:pPr>
              <w:rPr>
                <w:rFonts w:ascii="Arial"/>
                <w:sz w:val="21"/>
              </w:rPr>
            </w:pPr>
          </w:p>
        </w:tc>
        <w:tc>
          <w:tcPr>
            <w:tcW w:w="719" w:type="dxa"/>
            <w:vMerge w:val="continue"/>
            <w:tcBorders>
              <w:top w:val="nil"/>
            </w:tcBorders>
            <w:vAlign w:val="top"/>
          </w:tcPr>
          <w:p w14:paraId="5DE7D179">
            <w:pPr>
              <w:rPr>
                <w:rFonts w:ascii="Arial"/>
                <w:sz w:val="21"/>
              </w:rPr>
            </w:pPr>
          </w:p>
        </w:tc>
        <w:tc>
          <w:tcPr>
            <w:tcW w:w="799" w:type="dxa"/>
            <w:vAlign w:val="top"/>
          </w:tcPr>
          <w:p w14:paraId="7116116F">
            <w:pPr>
              <w:spacing w:line="242" w:lineRule="auto"/>
              <w:rPr>
                <w:rFonts w:ascii="Arial"/>
                <w:sz w:val="21"/>
              </w:rPr>
            </w:pPr>
          </w:p>
          <w:p w14:paraId="47F9F79E">
            <w:pPr>
              <w:pStyle w:val="6"/>
              <w:spacing w:before="65" w:line="228" w:lineRule="auto"/>
              <w:ind w:left="190"/>
              <w:rPr>
                <w:sz w:val="20"/>
                <w:szCs w:val="20"/>
              </w:rPr>
            </w:pPr>
            <w:r>
              <w:rPr>
                <w:spacing w:val="4"/>
                <w:sz w:val="20"/>
                <w:szCs w:val="20"/>
              </w:rPr>
              <w:t>注胶</w:t>
            </w:r>
          </w:p>
        </w:tc>
        <w:tc>
          <w:tcPr>
            <w:tcW w:w="709" w:type="dxa"/>
            <w:vAlign w:val="top"/>
          </w:tcPr>
          <w:p w14:paraId="68BBEDFD">
            <w:pPr>
              <w:pStyle w:val="6"/>
              <w:spacing w:before="173" w:line="251" w:lineRule="auto"/>
              <w:ind w:left="147" w:right="75" w:hanging="105"/>
              <w:rPr>
                <w:sz w:val="20"/>
                <w:szCs w:val="20"/>
              </w:rPr>
            </w:pPr>
            <w:r>
              <w:rPr>
                <w:spacing w:val="-5"/>
                <w:sz w:val="20"/>
                <w:szCs w:val="20"/>
              </w:rPr>
              <w:t>注胶、</w:t>
            </w:r>
            <w:r>
              <w:rPr>
                <w:sz w:val="20"/>
                <w:szCs w:val="20"/>
              </w:rPr>
              <w:t xml:space="preserve"> </w:t>
            </w:r>
            <w:r>
              <w:rPr>
                <w:spacing w:val="4"/>
                <w:sz w:val="20"/>
                <w:szCs w:val="20"/>
              </w:rPr>
              <w:t>烘干</w:t>
            </w:r>
          </w:p>
        </w:tc>
        <w:tc>
          <w:tcPr>
            <w:tcW w:w="818" w:type="dxa"/>
            <w:vAlign w:val="top"/>
          </w:tcPr>
          <w:p w14:paraId="008E1E2C">
            <w:pPr>
              <w:pStyle w:val="6"/>
              <w:spacing w:before="36" w:line="228" w:lineRule="auto"/>
              <w:ind w:left="207"/>
              <w:rPr>
                <w:sz w:val="20"/>
                <w:szCs w:val="20"/>
              </w:rPr>
            </w:pPr>
            <w:r>
              <w:rPr>
                <w:spacing w:val="3"/>
                <w:sz w:val="20"/>
                <w:szCs w:val="20"/>
              </w:rPr>
              <w:t>活性</w:t>
            </w:r>
          </w:p>
          <w:p w14:paraId="1E348035">
            <w:pPr>
              <w:pStyle w:val="6"/>
              <w:spacing w:before="26" w:line="228" w:lineRule="auto"/>
              <w:ind w:left="207"/>
              <w:rPr>
                <w:sz w:val="20"/>
                <w:szCs w:val="20"/>
              </w:rPr>
            </w:pPr>
            <w:r>
              <w:rPr>
                <w:spacing w:val="3"/>
                <w:sz w:val="20"/>
                <w:szCs w:val="20"/>
              </w:rPr>
              <w:t>炭吸</w:t>
            </w:r>
          </w:p>
          <w:p w14:paraId="69FB81D8">
            <w:pPr>
              <w:pStyle w:val="6"/>
              <w:spacing w:before="23" w:line="213" w:lineRule="auto"/>
              <w:ind w:left="220"/>
              <w:rPr>
                <w:sz w:val="20"/>
                <w:szCs w:val="20"/>
              </w:rPr>
            </w:pPr>
            <w:r>
              <w:rPr>
                <w:spacing w:val="-4"/>
                <w:sz w:val="20"/>
                <w:szCs w:val="20"/>
              </w:rPr>
              <w:t>附塔</w:t>
            </w:r>
          </w:p>
        </w:tc>
        <w:tc>
          <w:tcPr>
            <w:tcW w:w="709" w:type="dxa"/>
            <w:vAlign w:val="top"/>
          </w:tcPr>
          <w:p w14:paraId="252549BC">
            <w:pPr>
              <w:pStyle w:val="6"/>
              <w:spacing w:before="173" w:line="228" w:lineRule="auto"/>
              <w:ind w:left="148"/>
              <w:rPr>
                <w:sz w:val="20"/>
                <w:szCs w:val="20"/>
              </w:rPr>
            </w:pPr>
            <w:r>
              <w:rPr>
                <w:spacing w:val="5"/>
                <w:sz w:val="20"/>
                <w:szCs w:val="20"/>
              </w:rPr>
              <w:t>废气</w:t>
            </w:r>
          </w:p>
          <w:p w14:paraId="3297E01F">
            <w:pPr>
              <w:pStyle w:val="6"/>
              <w:spacing w:before="23" w:line="232" w:lineRule="auto"/>
              <w:ind w:left="153"/>
              <w:rPr>
                <w:sz w:val="20"/>
                <w:szCs w:val="20"/>
              </w:rPr>
            </w:pPr>
            <w:r>
              <w:rPr>
                <w:spacing w:val="2"/>
                <w:sz w:val="20"/>
                <w:szCs w:val="20"/>
              </w:rPr>
              <w:t>处理</w:t>
            </w:r>
          </w:p>
        </w:tc>
        <w:tc>
          <w:tcPr>
            <w:tcW w:w="1777" w:type="dxa"/>
            <w:vAlign w:val="top"/>
          </w:tcPr>
          <w:p w14:paraId="183BEF47">
            <w:pPr>
              <w:spacing w:line="243" w:lineRule="auto"/>
              <w:rPr>
                <w:rFonts w:ascii="Arial"/>
                <w:sz w:val="21"/>
              </w:rPr>
            </w:pPr>
          </w:p>
          <w:p w14:paraId="41312BD1">
            <w:pPr>
              <w:pStyle w:val="6"/>
              <w:spacing w:before="65" w:line="228" w:lineRule="auto"/>
              <w:ind w:left="476"/>
              <w:rPr>
                <w:sz w:val="20"/>
                <w:szCs w:val="20"/>
              </w:rPr>
            </w:pPr>
            <w:r>
              <w:rPr>
                <w:spacing w:val="7"/>
                <w:sz w:val="20"/>
                <w:szCs w:val="20"/>
              </w:rPr>
              <w:t>废活性炭</w:t>
            </w:r>
          </w:p>
        </w:tc>
        <w:tc>
          <w:tcPr>
            <w:tcW w:w="1748" w:type="dxa"/>
            <w:vAlign w:val="top"/>
          </w:tcPr>
          <w:p w14:paraId="1566A198">
            <w:pPr>
              <w:pStyle w:val="6"/>
              <w:spacing w:before="172" w:line="254" w:lineRule="auto"/>
              <w:ind w:left="679" w:right="132" w:hanging="530"/>
              <w:rPr>
                <w:sz w:val="20"/>
                <w:szCs w:val="20"/>
              </w:rPr>
            </w:pPr>
            <w:r>
              <w:rPr>
                <w:spacing w:val="8"/>
                <w:sz w:val="20"/>
                <w:szCs w:val="20"/>
              </w:rPr>
              <w:t>委托有资质单位</w:t>
            </w:r>
            <w:r>
              <w:rPr>
                <w:spacing w:val="4"/>
                <w:sz w:val="20"/>
                <w:szCs w:val="20"/>
              </w:rPr>
              <w:t xml:space="preserve"> </w:t>
            </w:r>
            <w:r>
              <w:rPr>
                <w:spacing w:val="2"/>
                <w:sz w:val="20"/>
                <w:szCs w:val="20"/>
              </w:rPr>
              <w:t>处置</w:t>
            </w:r>
          </w:p>
        </w:tc>
        <w:tc>
          <w:tcPr>
            <w:tcW w:w="148" w:type="dxa"/>
            <w:tcBorders>
              <w:top w:val="nil"/>
              <w:bottom w:val="nil"/>
              <w:right w:val="single" w:color="000000" w:sz="6" w:space="0"/>
            </w:tcBorders>
            <w:vAlign w:val="top"/>
          </w:tcPr>
          <w:p w14:paraId="00C93863">
            <w:pPr>
              <w:rPr>
                <w:rFonts w:ascii="Arial"/>
                <w:sz w:val="21"/>
              </w:rPr>
            </w:pPr>
          </w:p>
        </w:tc>
      </w:tr>
      <w:tr w14:paraId="0FF0D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8" w:type="dxa"/>
            <w:vMerge w:val="continue"/>
            <w:tcBorders>
              <w:top w:val="nil"/>
              <w:left w:val="single" w:color="000000" w:sz="6" w:space="0"/>
              <w:bottom w:val="nil"/>
            </w:tcBorders>
            <w:vAlign w:val="top"/>
          </w:tcPr>
          <w:p w14:paraId="15CECB5C">
            <w:pPr>
              <w:rPr>
                <w:rFonts w:ascii="Arial"/>
                <w:sz w:val="21"/>
              </w:rPr>
            </w:pPr>
          </w:p>
        </w:tc>
        <w:tc>
          <w:tcPr>
            <w:tcW w:w="139" w:type="dxa"/>
            <w:vMerge w:val="continue"/>
            <w:tcBorders>
              <w:top w:val="nil"/>
              <w:bottom w:val="nil"/>
            </w:tcBorders>
            <w:vAlign w:val="top"/>
          </w:tcPr>
          <w:p w14:paraId="4B43169F">
            <w:pPr>
              <w:rPr>
                <w:rFonts w:ascii="Arial"/>
                <w:sz w:val="21"/>
              </w:rPr>
            </w:pPr>
          </w:p>
        </w:tc>
        <w:tc>
          <w:tcPr>
            <w:tcW w:w="644" w:type="dxa"/>
            <w:vMerge w:val="continue"/>
            <w:tcBorders>
              <w:top w:val="nil"/>
              <w:bottom w:val="nil"/>
            </w:tcBorders>
            <w:vAlign w:val="top"/>
          </w:tcPr>
          <w:p w14:paraId="73BAAB93">
            <w:pPr>
              <w:rPr>
                <w:rFonts w:ascii="Arial"/>
                <w:sz w:val="21"/>
              </w:rPr>
            </w:pPr>
          </w:p>
        </w:tc>
        <w:tc>
          <w:tcPr>
            <w:tcW w:w="719" w:type="dxa"/>
            <w:vMerge w:val="restart"/>
            <w:tcBorders>
              <w:bottom w:val="nil"/>
            </w:tcBorders>
            <w:vAlign w:val="top"/>
          </w:tcPr>
          <w:p w14:paraId="7D0EB3E0">
            <w:pPr>
              <w:spacing w:line="462" w:lineRule="auto"/>
              <w:rPr>
                <w:rFonts w:ascii="Arial"/>
                <w:sz w:val="21"/>
              </w:rPr>
            </w:pPr>
          </w:p>
          <w:p w14:paraId="77026C19">
            <w:pPr>
              <w:pStyle w:val="6"/>
              <w:spacing w:before="65" w:line="228" w:lineRule="auto"/>
              <w:ind w:left="151"/>
              <w:rPr>
                <w:sz w:val="20"/>
                <w:szCs w:val="20"/>
              </w:rPr>
            </w:pPr>
            <w:r>
              <w:rPr>
                <w:spacing w:val="4"/>
                <w:sz w:val="20"/>
                <w:szCs w:val="20"/>
              </w:rPr>
              <w:t>所有</w:t>
            </w:r>
          </w:p>
        </w:tc>
        <w:tc>
          <w:tcPr>
            <w:tcW w:w="799" w:type="dxa"/>
            <w:vMerge w:val="restart"/>
            <w:tcBorders>
              <w:bottom w:val="nil"/>
            </w:tcBorders>
            <w:vAlign w:val="top"/>
          </w:tcPr>
          <w:p w14:paraId="50B62BC9">
            <w:pPr>
              <w:spacing w:line="462" w:lineRule="auto"/>
              <w:rPr>
                <w:rFonts w:ascii="Arial"/>
                <w:sz w:val="21"/>
              </w:rPr>
            </w:pPr>
          </w:p>
          <w:p w14:paraId="1FD50BF5">
            <w:pPr>
              <w:pStyle w:val="6"/>
              <w:spacing w:before="65" w:line="229" w:lineRule="auto"/>
              <w:ind w:left="198"/>
              <w:rPr>
                <w:sz w:val="20"/>
                <w:szCs w:val="20"/>
              </w:rPr>
            </w:pPr>
            <w:r>
              <w:rPr>
                <w:sz w:val="20"/>
                <w:szCs w:val="20"/>
              </w:rPr>
              <w:t>员工</w:t>
            </w:r>
          </w:p>
        </w:tc>
        <w:tc>
          <w:tcPr>
            <w:tcW w:w="709" w:type="dxa"/>
            <w:vAlign w:val="top"/>
          </w:tcPr>
          <w:p w14:paraId="36B0D250">
            <w:pPr>
              <w:pStyle w:val="6"/>
              <w:spacing w:before="213" w:line="228" w:lineRule="auto"/>
              <w:ind w:left="41"/>
              <w:rPr>
                <w:sz w:val="20"/>
                <w:szCs w:val="20"/>
              </w:rPr>
            </w:pPr>
            <w:r>
              <w:rPr>
                <w:spacing w:val="7"/>
                <w:sz w:val="20"/>
                <w:szCs w:val="20"/>
              </w:rPr>
              <w:t>废手套</w:t>
            </w:r>
          </w:p>
        </w:tc>
        <w:tc>
          <w:tcPr>
            <w:tcW w:w="818" w:type="dxa"/>
            <w:vAlign w:val="top"/>
          </w:tcPr>
          <w:p w14:paraId="258999ED">
            <w:pPr>
              <w:pStyle w:val="6"/>
              <w:spacing w:before="76" w:line="250" w:lineRule="auto"/>
              <w:ind w:left="307" w:right="93" w:hanging="207"/>
              <w:rPr>
                <w:sz w:val="20"/>
                <w:szCs w:val="20"/>
              </w:rPr>
            </w:pPr>
            <w:r>
              <w:rPr>
                <w:spacing w:val="6"/>
                <w:sz w:val="20"/>
                <w:szCs w:val="20"/>
              </w:rPr>
              <w:t>人员防</w:t>
            </w:r>
            <w:r>
              <w:rPr>
                <w:sz w:val="20"/>
                <w:szCs w:val="20"/>
              </w:rPr>
              <w:t xml:space="preserve"> 护</w:t>
            </w:r>
          </w:p>
        </w:tc>
        <w:tc>
          <w:tcPr>
            <w:tcW w:w="709" w:type="dxa"/>
            <w:vAlign w:val="top"/>
          </w:tcPr>
          <w:p w14:paraId="71DB73ED">
            <w:pPr>
              <w:pStyle w:val="6"/>
              <w:spacing w:before="76" w:line="250" w:lineRule="auto"/>
              <w:ind w:left="255" w:right="36" w:hanging="207"/>
              <w:rPr>
                <w:sz w:val="20"/>
                <w:szCs w:val="20"/>
              </w:rPr>
            </w:pPr>
            <w:r>
              <w:rPr>
                <w:spacing w:val="6"/>
                <w:sz w:val="20"/>
                <w:szCs w:val="20"/>
              </w:rPr>
              <w:t>人员防</w:t>
            </w:r>
            <w:r>
              <w:rPr>
                <w:sz w:val="20"/>
                <w:szCs w:val="20"/>
              </w:rPr>
              <w:t xml:space="preserve"> 护</w:t>
            </w:r>
          </w:p>
        </w:tc>
        <w:tc>
          <w:tcPr>
            <w:tcW w:w="1777" w:type="dxa"/>
            <w:vAlign w:val="top"/>
          </w:tcPr>
          <w:p w14:paraId="49C95015">
            <w:pPr>
              <w:pStyle w:val="6"/>
              <w:spacing w:before="213" w:line="228" w:lineRule="auto"/>
              <w:ind w:left="579"/>
              <w:rPr>
                <w:sz w:val="20"/>
                <w:szCs w:val="20"/>
              </w:rPr>
            </w:pPr>
            <w:r>
              <w:rPr>
                <w:spacing w:val="7"/>
                <w:sz w:val="20"/>
                <w:szCs w:val="20"/>
              </w:rPr>
              <w:t>废手套</w:t>
            </w:r>
          </w:p>
        </w:tc>
        <w:tc>
          <w:tcPr>
            <w:tcW w:w="1748" w:type="dxa"/>
            <w:vAlign w:val="top"/>
          </w:tcPr>
          <w:p w14:paraId="4A1BB184">
            <w:pPr>
              <w:pStyle w:val="6"/>
              <w:spacing w:before="76" w:line="250" w:lineRule="auto"/>
              <w:ind w:left="679" w:right="132" w:hanging="530"/>
              <w:rPr>
                <w:sz w:val="20"/>
                <w:szCs w:val="20"/>
              </w:rPr>
            </w:pPr>
            <w:r>
              <w:rPr>
                <w:spacing w:val="8"/>
                <w:sz w:val="20"/>
                <w:szCs w:val="20"/>
              </w:rPr>
              <w:t>委托有资质单位</w:t>
            </w:r>
            <w:r>
              <w:rPr>
                <w:spacing w:val="4"/>
                <w:sz w:val="20"/>
                <w:szCs w:val="20"/>
              </w:rPr>
              <w:t xml:space="preserve"> </w:t>
            </w:r>
            <w:r>
              <w:rPr>
                <w:spacing w:val="2"/>
                <w:sz w:val="20"/>
                <w:szCs w:val="20"/>
              </w:rPr>
              <w:t>处置</w:t>
            </w:r>
          </w:p>
        </w:tc>
        <w:tc>
          <w:tcPr>
            <w:tcW w:w="148" w:type="dxa"/>
            <w:tcBorders>
              <w:top w:val="nil"/>
              <w:bottom w:val="nil"/>
              <w:right w:val="single" w:color="000000" w:sz="6" w:space="0"/>
            </w:tcBorders>
            <w:vAlign w:val="top"/>
          </w:tcPr>
          <w:p w14:paraId="1D99AC40">
            <w:pPr>
              <w:rPr>
                <w:rFonts w:ascii="Arial"/>
                <w:sz w:val="21"/>
              </w:rPr>
            </w:pPr>
          </w:p>
        </w:tc>
      </w:tr>
      <w:tr w14:paraId="45A23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78" w:type="dxa"/>
            <w:vMerge w:val="continue"/>
            <w:tcBorders>
              <w:top w:val="nil"/>
              <w:left w:val="single" w:color="000000" w:sz="6" w:space="0"/>
              <w:bottom w:val="nil"/>
            </w:tcBorders>
            <w:vAlign w:val="top"/>
          </w:tcPr>
          <w:p w14:paraId="3B227675">
            <w:pPr>
              <w:rPr>
                <w:rFonts w:ascii="Arial"/>
                <w:sz w:val="21"/>
              </w:rPr>
            </w:pPr>
          </w:p>
        </w:tc>
        <w:tc>
          <w:tcPr>
            <w:tcW w:w="139" w:type="dxa"/>
            <w:vMerge w:val="continue"/>
            <w:tcBorders>
              <w:top w:val="nil"/>
              <w:bottom w:val="nil"/>
            </w:tcBorders>
            <w:vAlign w:val="top"/>
          </w:tcPr>
          <w:p w14:paraId="20C52A87">
            <w:pPr>
              <w:rPr>
                <w:rFonts w:ascii="Arial"/>
                <w:sz w:val="21"/>
              </w:rPr>
            </w:pPr>
          </w:p>
        </w:tc>
        <w:tc>
          <w:tcPr>
            <w:tcW w:w="644" w:type="dxa"/>
            <w:vMerge w:val="continue"/>
            <w:tcBorders>
              <w:top w:val="nil"/>
            </w:tcBorders>
            <w:vAlign w:val="top"/>
          </w:tcPr>
          <w:p w14:paraId="41652D1B">
            <w:pPr>
              <w:rPr>
                <w:rFonts w:ascii="Arial"/>
                <w:sz w:val="21"/>
              </w:rPr>
            </w:pPr>
          </w:p>
        </w:tc>
        <w:tc>
          <w:tcPr>
            <w:tcW w:w="719" w:type="dxa"/>
            <w:vMerge w:val="continue"/>
            <w:tcBorders>
              <w:top w:val="nil"/>
            </w:tcBorders>
            <w:vAlign w:val="top"/>
          </w:tcPr>
          <w:p w14:paraId="42974661">
            <w:pPr>
              <w:rPr>
                <w:rFonts w:ascii="Arial"/>
                <w:sz w:val="21"/>
              </w:rPr>
            </w:pPr>
          </w:p>
        </w:tc>
        <w:tc>
          <w:tcPr>
            <w:tcW w:w="799" w:type="dxa"/>
            <w:vMerge w:val="continue"/>
            <w:tcBorders>
              <w:top w:val="nil"/>
            </w:tcBorders>
            <w:vAlign w:val="top"/>
          </w:tcPr>
          <w:p w14:paraId="12F845AE">
            <w:pPr>
              <w:rPr>
                <w:rFonts w:ascii="Arial"/>
                <w:sz w:val="21"/>
              </w:rPr>
            </w:pPr>
          </w:p>
        </w:tc>
        <w:tc>
          <w:tcPr>
            <w:tcW w:w="709" w:type="dxa"/>
            <w:vAlign w:val="top"/>
          </w:tcPr>
          <w:p w14:paraId="4A595039">
            <w:pPr>
              <w:pStyle w:val="6"/>
              <w:spacing w:before="77" w:line="228" w:lineRule="auto"/>
              <w:ind w:left="149"/>
              <w:rPr>
                <w:sz w:val="20"/>
                <w:szCs w:val="20"/>
              </w:rPr>
            </w:pPr>
            <w:r>
              <w:rPr>
                <w:spacing w:val="3"/>
                <w:sz w:val="20"/>
                <w:szCs w:val="20"/>
              </w:rPr>
              <w:t>生活</w:t>
            </w:r>
          </w:p>
          <w:p w14:paraId="336A48C0">
            <w:pPr>
              <w:pStyle w:val="6"/>
              <w:spacing w:before="26" w:line="228" w:lineRule="auto"/>
              <w:ind w:left="149"/>
              <w:rPr>
                <w:sz w:val="20"/>
                <w:szCs w:val="20"/>
              </w:rPr>
            </w:pPr>
            <w:r>
              <w:rPr>
                <w:spacing w:val="3"/>
                <w:sz w:val="20"/>
                <w:szCs w:val="20"/>
              </w:rPr>
              <w:t>垃圾</w:t>
            </w:r>
          </w:p>
        </w:tc>
        <w:tc>
          <w:tcPr>
            <w:tcW w:w="818" w:type="dxa"/>
            <w:vAlign w:val="top"/>
          </w:tcPr>
          <w:p w14:paraId="158C0C85">
            <w:pPr>
              <w:pStyle w:val="6"/>
              <w:spacing w:before="213" w:line="228" w:lineRule="auto"/>
              <w:ind w:left="100"/>
              <w:rPr>
                <w:sz w:val="20"/>
                <w:szCs w:val="20"/>
              </w:rPr>
            </w:pPr>
            <w:r>
              <w:rPr>
                <w:spacing w:val="6"/>
                <w:sz w:val="20"/>
                <w:szCs w:val="20"/>
              </w:rPr>
              <w:t>垃圾桶</w:t>
            </w:r>
          </w:p>
        </w:tc>
        <w:tc>
          <w:tcPr>
            <w:tcW w:w="709" w:type="dxa"/>
            <w:vAlign w:val="top"/>
          </w:tcPr>
          <w:p w14:paraId="2C71F7AF">
            <w:pPr>
              <w:spacing w:before="245" w:line="199"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77" w:type="dxa"/>
            <w:vAlign w:val="top"/>
          </w:tcPr>
          <w:p w14:paraId="08FF5382">
            <w:pPr>
              <w:pStyle w:val="6"/>
              <w:spacing w:before="214" w:line="228" w:lineRule="auto"/>
              <w:ind w:left="479"/>
              <w:rPr>
                <w:sz w:val="20"/>
                <w:szCs w:val="20"/>
              </w:rPr>
            </w:pPr>
            <w:r>
              <w:rPr>
                <w:spacing w:val="6"/>
                <w:sz w:val="20"/>
                <w:szCs w:val="20"/>
              </w:rPr>
              <w:t>生活垃圾</w:t>
            </w:r>
          </w:p>
        </w:tc>
        <w:tc>
          <w:tcPr>
            <w:tcW w:w="1748" w:type="dxa"/>
            <w:vAlign w:val="top"/>
          </w:tcPr>
          <w:p w14:paraId="4A5D946A">
            <w:pPr>
              <w:pStyle w:val="6"/>
              <w:spacing w:before="77" w:line="250" w:lineRule="auto"/>
              <w:ind w:left="776" w:right="132" w:hanging="627"/>
              <w:rPr>
                <w:sz w:val="20"/>
                <w:szCs w:val="20"/>
              </w:rPr>
            </w:pPr>
            <w:r>
              <w:rPr>
                <w:spacing w:val="8"/>
                <w:sz w:val="20"/>
                <w:szCs w:val="20"/>
              </w:rPr>
              <w:t>委托环卫部门处</w:t>
            </w:r>
            <w:r>
              <w:rPr>
                <w:spacing w:val="4"/>
                <w:sz w:val="20"/>
                <w:szCs w:val="20"/>
              </w:rPr>
              <w:t xml:space="preserve"> </w:t>
            </w:r>
            <w:r>
              <w:rPr>
                <w:spacing w:val="2"/>
                <w:sz w:val="20"/>
                <w:szCs w:val="20"/>
              </w:rPr>
              <w:t>置</w:t>
            </w:r>
          </w:p>
        </w:tc>
        <w:tc>
          <w:tcPr>
            <w:tcW w:w="148" w:type="dxa"/>
            <w:tcBorders>
              <w:top w:val="nil"/>
              <w:bottom w:val="nil"/>
              <w:right w:val="single" w:color="000000" w:sz="6" w:space="0"/>
            </w:tcBorders>
            <w:vAlign w:val="top"/>
          </w:tcPr>
          <w:p w14:paraId="0404A672">
            <w:pPr>
              <w:rPr>
                <w:rFonts w:ascii="Arial"/>
                <w:sz w:val="21"/>
              </w:rPr>
            </w:pPr>
          </w:p>
        </w:tc>
      </w:tr>
      <w:tr w14:paraId="1D791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778" w:type="dxa"/>
            <w:vMerge w:val="continue"/>
            <w:tcBorders>
              <w:top w:val="nil"/>
              <w:left w:val="single" w:color="000000" w:sz="6" w:space="0"/>
            </w:tcBorders>
            <w:vAlign w:val="top"/>
          </w:tcPr>
          <w:p w14:paraId="05CD5EDE">
            <w:pPr>
              <w:rPr>
                <w:rFonts w:ascii="Arial"/>
                <w:sz w:val="21"/>
              </w:rPr>
            </w:pPr>
          </w:p>
        </w:tc>
        <w:tc>
          <w:tcPr>
            <w:tcW w:w="8210" w:type="dxa"/>
            <w:gridSpan w:val="10"/>
            <w:tcBorders>
              <w:right w:val="single" w:color="000000" w:sz="6" w:space="0"/>
            </w:tcBorders>
            <w:vAlign w:val="top"/>
          </w:tcPr>
          <w:p w14:paraId="47B15B76">
            <w:pPr>
              <w:rPr>
                <w:rFonts w:ascii="Arial"/>
                <w:sz w:val="21"/>
              </w:rPr>
            </w:pPr>
          </w:p>
        </w:tc>
      </w:tr>
      <w:tr w14:paraId="40505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0" w:hRule="atLeast"/>
        </w:trPr>
        <w:tc>
          <w:tcPr>
            <w:tcW w:w="778" w:type="dxa"/>
            <w:tcBorders>
              <w:left w:val="single" w:color="000000" w:sz="6" w:space="0"/>
              <w:bottom w:val="single" w:color="000000" w:sz="6" w:space="0"/>
            </w:tcBorders>
            <w:vAlign w:val="top"/>
          </w:tcPr>
          <w:p w14:paraId="589FAAA3">
            <w:pPr>
              <w:spacing w:line="244" w:lineRule="auto"/>
              <w:rPr>
                <w:rFonts w:ascii="Arial"/>
                <w:sz w:val="21"/>
              </w:rPr>
            </w:pPr>
          </w:p>
          <w:p w14:paraId="752BA7F6">
            <w:pPr>
              <w:spacing w:line="244" w:lineRule="auto"/>
              <w:rPr>
                <w:rFonts w:ascii="Arial"/>
                <w:sz w:val="21"/>
              </w:rPr>
            </w:pPr>
          </w:p>
          <w:p w14:paraId="016EF08F">
            <w:pPr>
              <w:spacing w:line="245" w:lineRule="auto"/>
              <w:rPr>
                <w:rFonts w:ascii="Arial"/>
                <w:sz w:val="21"/>
              </w:rPr>
            </w:pPr>
          </w:p>
          <w:p w14:paraId="0C1A753A">
            <w:pPr>
              <w:spacing w:line="245" w:lineRule="auto"/>
              <w:rPr>
                <w:rFonts w:ascii="Arial"/>
                <w:sz w:val="21"/>
              </w:rPr>
            </w:pPr>
          </w:p>
          <w:p w14:paraId="51878CF6">
            <w:pPr>
              <w:spacing w:line="245" w:lineRule="auto"/>
              <w:rPr>
                <w:rFonts w:ascii="Arial"/>
                <w:sz w:val="21"/>
              </w:rPr>
            </w:pPr>
          </w:p>
          <w:p w14:paraId="77E41D46">
            <w:pPr>
              <w:spacing w:line="245" w:lineRule="auto"/>
              <w:rPr>
                <w:rFonts w:ascii="Arial"/>
                <w:sz w:val="21"/>
              </w:rPr>
            </w:pPr>
          </w:p>
          <w:p w14:paraId="3EFE1FC9">
            <w:pPr>
              <w:spacing w:line="245" w:lineRule="auto"/>
              <w:rPr>
                <w:rFonts w:ascii="Arial"/>
                <w:sz w:val="21"/>
              </w:rPr>
            </w:pPr>
          </w:p>
          <w:p w14:paraId="6FB7A60C">
            <w:pPr>
              <w:spacing w:line="245" w:lineRule="auto"/>
              <w:rPr>
                <w:rFonts w:ascii="Arial"/>
                <w:sz w:val="21"/>
              </w:rPr>
            </w:pPr>
          </w:p>
          <w:p w14:paraId="30ABEEA4">
            <w:pPr>
              <w:pStyle w:val="6"/>
              <w:spacing w:before="78" w:line="220" w:lineRule="auto"/>
              <w:ind w:left="153"/>
            </w:pPr>
            <w:r>
              <w:rPr>
                <w:spacing w:val="-8"/>
              </w:rPr>
              <w:t>与项</w:t>
            </w:r>
          </w:p>
          <w:p w14:paraId="6A2130C3">
            <w:pPr>
              <w:pStyle w:val="6"/>
              <w:spacing w:before="25" w:line="220" w:lineRule="auto"/>
              <w:ind w:left="194"/>
            </w:pPr>
            <w:r>
              <w:rPr>
                <w:spacing w:val="-28"/>
              </w:rPr>
              <w:t>目有</w:t>
            </w:r>
          </w:p>
          <w:p w14:paraId="0617C3A5">
            <w:pPr>
              <w:pStyle w:val="6"/>
              <w:spacing w:before="23" w:line="220" w:lineRule="auto"/>
              <w:ind w:left="152"/>
            </w:pPr>
            <w:r>
              <w:rPr>
                <w:spacing w:val="-7"/>
              </w:rPr>
              <w:t>关的</w:t>
            </w:r>
          </w:p>
          <w:p w14:paraId="2383994F">
            <w:pPr>
              <w:pStyle w:val="6"/>
              <w:spacing w:before="25" w:line="220" w:lineRule="auto"/>
              <w:ind w:left="154"/>
            </w:pPr>
            <w:r>
              <w:rPr>
                <w:spacing w:val="-8"/>
              </w:rPr>
              <w:t>原有</w:t>
            </w:r>
          </w:p>
          <w:p w14:paraId="4E84EBCF">
            <w:pPr>
              <w:pStyle w:val="6"/>
              <w:spacing w:before="26" w:line="220" w:lineRule="auto"/>
              <w:ind w:left="148"/>
            </w:pPr>
            <w:r>
              <w:rPr>
                <w:spacing w:val="-5"/>
              </w:rPr>
              <w:t>环境</w:t>
            </w:r>
          </w:p>
          <w:p w14:paraId="0B28680E">
            <w:pPr>
              <w:pStyle w:val="6"/>
              <w:spacing w:before="26" w:line="220" w:lineRule="auto"/>
              <w:ind w:left="150"/>
            </w:pPr>
            <w:r>
              <w:rPr>
                <w:spacing w:val="-6"/>
              </w:rPr>
              <w:t>污染</w:t>
            </w:r>
          </w:p>
          <w:p w14:paraId="3F4638D4">
            <w:pPr>
              <w:pStyle w:val="6"/>
              <w:spacing w:before="24" w:line="221" w:lineRule="auto"/>
              <w:ind w:left="175"/>
            </w:pPr>
            <w:r>
              <w:rPr>
                <w:spacing w:val="-19"/>
              </w:rPr>
              <w:t>问题</w:t>
            </w:r>
          </w:p>
        </w:tc>
        <w:tc>
          <w:tcPr>
            <w:tcW w:w="8210" w:type="dxa"/>
            <w:gridSpan w:val="10"/>
            <w:tcBorders>
              <w:bottom w:val="single" w:color="000000" w:sz="6" w:space="0"/>
              <w:right w:val="single" w:color="000000" w:sz="6" w:space="0"/>
            </w:tcBorders>
            <w:vAlign w:val="top"/>
          </w:tcPr>
          <w:p w14:paraId="14180644">
            <w:pPr>
              <w:pStyle w:val="6"/>
              <w:spacing w:before="163" w:line="359" w:lineRule="auto"/>
              <w:ind w:left="115" w:right="102" w:firstLine="473"/>
              <w:jc w:val="both"/>
            </w:pPr>
            <w:r>
              <w:rPr>
                <w:spacing w:val="2"/>
              </w:rPr>
              <w:t xml:space="preserve">海丰县金盛宝石首饰有限公司宝石加工改扩建项目位于海丰县可塘镇圆 </w:t>
            </w:r>
            <w:r>
              <w:rPr>
                <w:spacing w:val="-1"/>
              </w:rPr>
              <w:t>山岭开发区（地理坐标为</w:t>
            </w:r>
            <w:r>
              <w:rPr>
                <w:spacing w:val="-51"/>
              </w:rPr>
              <w:t xml:space="preserve"> </w:t>
            </w:r>
            <w:r>
              <w:rPr>
                <w:rFonts w:ascii="Times New Roman" w:hAnsi="Times New Roman" w:eastAsia="Times New Roman" w:cs="Times New Roman"/>
                <w:spacing w:val="-1"/>
              </w:rPr>
              <w:t>E115°25′51.152″</w:t>
            </w:r>
            <w:r>
              <w:rPr>
                <w:rFonts w:ascii="Times New Roman" w:hAnsi="Times New Roman" w:eastAsia="Times New Roman" w:cs="Times New Roman"/>
                <w:spacing w:val="-30"/>
              </w:rPr>
              <w:t xml:space="preserve"> </w:t>
            </w:r>
            <w:r>
              <w:rPr>
                <w:spacing w:val="-1"/>
              </w:rPr>
              <w:t>，</w:t>
            </w:r>
            <w:r>
              <w:rPr>
                <w:rFonts w:ascii="Times New Roman" w:hAnsi="Times New Roman" w:eastAsia="Times New Roman" w:cs="Times New Roman"/>
                <w:spacing w:val="-1"/>
              </w:rPr>
              <w:t>N22°58′4.978″</w:t>
            </w:r>
            <w:r>
              <w:rPr>
                <w:rFonts w:ascii="Times New Roman" w:hAnsi="Times New Roman" w:eastAsia="Times New Roman" w:cs="Times New Roman"/>
                <w:spacing w:val="-28"/>
              </w:rPr>
              <w:t xml:space="preserve"> </w:t>
            </w:r>
            <w:r>
              <w:rPr>
                <w:spacing w:val="-1"/>
              </w:rPr>
              <w:t>，系建设单位宗地</w:t>
            </w:r>
            <w:r>
              <w:t xml:space="preserve"> </w:t>
            </w:r>
            <w:r>
              <w:rPr>
                <w:spacing w:val="-2"/>
              </w:rPr>
              <w:t>红线中心坐标）。</w:t>
            </w:r>
          </w:p>
          <w:p w14:paraId="0AF6F619">
            <w:pPr>
              <w:pStyle w:val="6"/>
              <w:spacing w:line="219" w:lineRule="auto"/>
              <w:ind w:left="591"/>
            </w:pPr>
            <w:r>
              <w:rPr>
                <w:spacing w:val="-2"/>
              </w:rPr>
              <w:t>现有工程概况：</w:t>
            </w:r>
          </w:p>
          <w:p w14:paraId="0C1E78D4">
            <w:pPr>
              <w:pStyle w:val="6"/>
              <w:spacing w:before="182" w:line="220" w:lineRule="auto"/>
              <w:ind w:left="601"/>
            </w:pPr>
            <w:r>
              <w:rPr>
                <w:spacing w:val="-2"/>
              </w:rPr>
              <w:t>（</w:t>
            </w:r>
            <w:r>
              <w:rPr>
                <w:rFonts w:ascii="Times New Roman" w:hAnsi="Times New Roman" w:eastAsia="Times New Roman" w:cs="Times New Roman"/>
                <w:spacing w:val="-2"/>
              </w:rPr>
              <w:t>1</w:t>
            </w:r>
            <w:r>
              <w:rPr>
                <w:spacing w:val="-2"/>
              </w:rPr>
              <w:t>）现有工程已履行的环保手续</w:t>
            </w:r>
          </w:p>
          <w:p w14:paraId="43893B78">
            <w:pPr>
              <w:pStyle w:val="6"/>
              <w:spacing w:before="179" w:line="359" w:lineRule="auto"/>
              <w:ind w:left="108" w:right="41" w:firstLine="480"/>
            </w:pPr>
            <w:r>
              <w:rPr>
                <w:spacing w:val="10"/>
              </w:rPr>
              <w:t>海丰县金盛宝石首饰有限公司宝石泡酸和注胶工序加工项目（现有工</w:t>
            </w:r>
            <w:r>
              <w:rPr>
                <w:spacing w:val="7"/>
              </w:rPr>
              <w:t xml:space="preserve"> </w:t>
            </w:r>
            <w:r>
              <w:rPr>
                <w:spacing w:val="1"/>
              </w:rPr>
              <w:t>程</w:t>
            </w:r>
            <w:r>
              <w:rPr>
                <w:spacing w:val="18"/>
              </w:rPr>
              <w:t>），</w:t>
            </w:r>
            <w:r>
              <w:rPr>
                <w:spacing w:val="1"/>
              </w:rPr>
              <w:t>主要从事宝石的泡酸加工和注胶加工，稀释剂（乙醇和丙酮）的使用</w:t>
            </w:r>
            <w:r>
              <w:t xml:space="preserve"> </w:t>
            </w:r>
            <w:r>
              <w:rPr>
                <w:spacing w:val="-4"/>
              </w:rPr>
              <w:t>总量约为</w:t>
            </w:r>
            <w:r>
              <w:rPr>
                <w:spacing w:val="-45"/>
              </w:rPr>
              <w:t xml:space="preserve"> </w:t>
            </w:r>
            <w:r>
              <w:rPr>
                <w:rFonts w:ascii="Times New Roman" w:hAnsi="Times New Roman" w:eastAsia="Times New Roman" w:cs="Times New Roman"/>
                <w:spacing w:val="-4"/>
              </w:rPr>
              <w:t>2t/a</w:t>
            </w:r>
            <w:r>
              <w:rPr>
                <w:rFonts w:ascii="Times New Roman" w:hAnsi="Times New Roman" w:eastAsia="Times New Roman" w:cs="Times New Roman"/>
                <w:spacing w:val="-31"/>
              </w:rPr>
              <w:t xml:space="preserve"> </w:t>
            </w:r>
            <w:r>
              <w:rPr>
                <w:spacing w:val="-4"/>
              </w:rPr>
              <w:t>。对照《建设项目环境影响评价分类管理名录（</w:t>
            </w:r>
            <w:r>
              <w:rPr>
                <w:rFonts w:ascii="Times New Roman" w:hAnsi="Times New Roman" w:eastAsia="Times New Roman" w:cs="Times New Roman"/>
                <w:spacing w:val="-4"/>
              </w:rPr>
              <w:t xml:space="preserve">2021 </w:t>
            </w:r>
            <w:r>
              <w:rPr>
                <w:spacing w:val="-4"/>
              </w:rPr>
              <w:t>年版）》，</w:t>
            </w:r>
            <w:r>
              <w:t xml:space="preserve"> </w:t>
            </w:r>
            <w:r>
              <w:rPr>
                <w:spacing w:val="-1"/>
              </w:rPr>
              <w:t>现有工程已经编制了环境影响评价报告表。</w:t>
            </w:r>
          </w:p>
          <w:p w14:paraId="5CE486A0">
            <w:pPr>
              <w:pStyle w:val="6"/>
              <w:spacing w:before="5" w:line="354" w:lineRule="auto"/>
              <w:ind w:left="109" w:right="102" w:firstLine="482"/>
              <w:jc w:val="both"/>
            </w:pPr>
            <w:r>
              <w:rPr>
                <w:spacing w:val="-2"/>
              </w:rPr>
              <w:t>建设单位汕海丰县金盛宝石首饰有限公司于</w:t>
            </w:r>
            <w:r>
              <w:rPr>
                <w:spacing w:val="-47"/>
              </w:rPr>
              <w:t xml:space="preserve"> </w:t>
            </w:r>
            <w:r>
              <w:rPr>
                <w:rFonts w:ascii="Times New Roman" w:hAnsi="Times New Roman" w:eastAsia="Times New Roman" w:cs="Times New Roman"/>
                <w:spacing w:val="-2"/>
              </w:rPr>
              <w:t xml:space="preserve">2021 </w:t>
            </w:r>
            <w:r>
              <w:rPr>
                <w:spacing w:val="-2"/>
              </w:rPr>
              <w:t>年</w:t>
            </w:r>
            <w:r>
              <w:rPr>
                <w:spacing w:val="-60"/>
              </w:rPr>
              <w:t xml:space="preserve"> </w:t>
            </w:r>
            <w:r>
              <w:rPr>
                <w:rFonts w:ascii="Times New Roman" w:hAnsi="Times New Roman" w:eastAsia="Times New Roman" w:cs="Times New Roman"/>
                <w:spacing w:val="-2"/>
              </w:rPr>
              <w:t xml:space="preserve">3 </w:t>
            </w:r>
            <w:r>
              <w:rPr>
                <w:spacing w:val="-2"/>
              </w:rPr>
              <w:t>月委托广东绿美环</w:t>
            </w:r>
            <w:r>
              <w:t xml:space="preserve"> </w:t>
            </w:r>
            <w:r>
              <w:rPr>
                <w:spacing w:val="2"/>
              </w:rPr>
              <w:t>境科技有限公司编制了《海丰县金盛宝石首饰有限公司宝石泡酸和注</w:t>
            </w:r>
            <w:r>
              <w:rPr>
                <w:spacing w:val="1"/>
              </w:rPr>
              <w:t>胶工序</w:t>
            </w:r>
            <w:r>
              <w:t xml:space="preserve"> </w:t>
            </w:r>
            <w:r>
              <w:rPr>
                <w:spacing w:val="-2"/>
              </w:rPr>
              <w:t>加工项目环境影响报告表》，并于</w:t>
            </w:r>
            <w:r>
              <w:rPr>
                <w:spacing w:val="-55"/>
              </w:rPr>
              <w:t xml:space="preserve"> </w:t>
            </w:r>
            <w:r>
              <w:rPr>
                <w:rFonts w:ascii="Times New Roman" w:hAnsi="Times New Roman" w:eastAsia="Times New Roman" w:cs="Times New Roman"/>
                <w:spacing w:val="-2"/>
              </w:rPr>
              <w:t xml:space="preserve">2021 </w:t>
            </w:r>
            <w:r>
              <w:rPr>
                <w:spacing w:val="-2"/>
              </w:rPr>
              <w:t>年</w:t>
            </w:r>
            <w:r>
              <w:rPr>
                <w:spacing w:val="-48"/>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15"/>
              </w:rPr>
              <w:t xml:space="preserve"> </w:t>
            </w:r>
            <w:r>
              <w:rPr>
                <w:spacing w:val="-3"/>
              </w:rPr>
              <w:t>月取得了汕尾市生态环境局关于</w:t>
            </w:r>
            <w:r>
              <w:t xml:space="preserve"> </w:t>
            </w:r>
            <w:r>
              <w:rPr>
                <w:spacing w:val="2"/>
              </w:rPr>
              <w:t>《汕尾市建设项目环境影响评价文件告知承诺制审批表》，编号为汕环海丰</w:t>
            </w:r>
          </w:p>
        </w:tc>
      </w:tr>
    </w:tbl>
    <w:p w14:paraId="549C9264">
      <w:pPr>
        <w:rPr>
          <w:rFonts w:ascii="Arial"/>
          <w:sz w:val="21"/>
        </w:rPr>
      </w:pPr>
    </w:p>
    <w:p w14:paraId="621FF60F">
      <w:pPr>
        <w:rPr>
          <w:rFonts w:ascii="Arial" w:hAnsi="Arial" w:eastAsia="Arial" w:cs="Arial"/>
          <w:sz w:val="21"/>
          <w:szCs w:val="21"/>
        </w:rPr>
        <w:sectPr>
          <w:footerReference r:id="rId46" w:type="default"/>
          <w:pgSz w:w="11906" w:h="16839"/>
          <w:pgMar w:top="400" w:right="1451" w:bottom="1240" w:left="1451" w:header="0" w:footer="1078" w:gutter="0"/>
          <w:cols w:space="720" w:num="1"/>
        </w:sectPr>
      </w:pPr>
    </w:p>
    <w:p w14:paraId="68A19331">
      <w:pPr>
        <w:spacing w:before="19"/>
      </w:pPr>
    </w:p>
    <w:p w14:paraId="158B02A4">
      <w:pPr>
        <w:spacing w:before="19"/>
      </w:pPr>
    </w:p>
    <w:p w14:paraId="67FC5C67">
      <w:pPr>
        <w:spacing w:before="19"/>
      </w:pPr>
    </w:p>
    <w:p w14:paraId="3BFBACBD">
      <w:pPr>
        <w:spacing w:before="18"/>
      </w:pPr>
    </w:p>
    <w:p w14:paraId="29DA87D9">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20B77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5" w:hRule="atLeast"/>
        </w:trPr>
        <w:tc>
          <w:tcPr>
            <w:tcW w:w="778" w:type="dxa"/>
            <w:tcBorders>
              <w:right w:val="single" w:color="000000" w:sz="2" w:space="0"/>
            </w:tcBorders>
            <w:vAlign w:val="top"/>
          </w:tcPr>
          <w:p w14:paraId="4F543334">
            <w:pPr>
              <w:rPr>
                <w:rFonts w:ascii="Arial"/>
                <w:sz w:val="21"/>
              </w:rPr>
            </w:pPr>
          </w:p>
        </w:tc>
        <w:tc>
          <w:tcPr>
            <w:tcW w:w="8210" w:type="dxa"/>
            <w:tcBorders>
              <w:left w:val="single" w:color="000000" w:sz="2" w:space="0"/>
            </w:tcBorders>
            <w:vAlign w:val="top"/>
          </w:tcPr>
          <w:p w14:paraId="0DF3E926">
            <w:pPr>
              <w:pStyle w:val="6"/>
              <w:spacing w:before="30" w:line="358" w:lineRule="auto"/>
              <w:ind w:left="109" w:right="41" w:firstLine="3"/>
              <w:jc w:val="both"/>
            </w:pPr>
            <w:r>
              <w:t>建告</w:t>
            </w:r>
            <w:r>
              <w:rPr>
                <w:rFonts w:ascii="Times New Roman" w:hAnsi="Times New Roman" w:eastAsia="Times New Roman" w:cs="Times New Roman"/>
              </w:rPr>
              <w:t>(2021)2</w:t>
            </w:r>
            <w:r>
              <w:rPr>
                <w:rFonts w:ascii="Times New Roman" w:hAnsi="Times New Roman" w:eastAsia="Times New Roman" w:cs="Times New Roman"/>
                <w:spacing w:val="18"/>
              </w:rPr>
              <w:t xml:space="preserve"> </w:t>
            </w:r>
            <w:r>
              <w:t>号（详见附件）。对照《固</w:t>
            </w:r>
            <w:r>
              <w:rPr>
                <w:spacing w:val="-1"/>
              </w:rPr>
              <w:t>定污染源排污许可分类管理名录》</w:t>
            </w:r>
            <w:r>
              <w:rPr>
                <w:rFonts w:ascii="Times New Roman" w:hAnsi="Times New Roman" w:eastAsia="Times New Roman" w:cs="Times New Roman"/>
                <w:spacing w:val="-1"/>
              </w:rPr>
              <w:t>(2</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019 </w:t>
            </w:r>
            <w:r>
              <w:rPr>
                <w:spacing w:val="1"/>
              </w:rPr>
              <w:t>年版</w:t>
            </w:r>
            <w:r>
              <w:rPr>
                <w:rFonts w:ascii="Times New Roman" w:hAnsi="Times New Roman" w:eastAsia="Times New Roman" w:cs="Times New Roman"/>
                <w:spacing w:val="1"/>
              </w:rPr>
              <w:t>)</w:t>
            </w:r>
            <w:r>
              <w:rPr>
                <w:spacing w:val="1"/>
              </w:rPr>
              <w:t>的规定，现有工程已经进行了固定污染源排污登记，登记回执编号</w:t>
            </w:r>
            <w:r>
              <w:rPr>
                <w:spacing w:val="11"/>
              </w:rPr>
              <w:t xml:space="preserve"> </w:t>
            </w:r>
            <w:r>
              <w:rPr>
                <w:spacing w:val="-2"/>
              </w:rPr>
              <w:t>为</w:t>
            </w:r>
            <w:r>
              <w:rPr>
                <w:spacing w:val="-38"/>
              </w:rPr>
              <w:t xml:space="preserve"> </w:t>
            </w:r>
            <w:r>
              <w:rPr>
                <w:rFonts w:ascii="Times New Roman" w:hAnsi="Times New Roman" w:eastAsia="Times New Roman" w:cs="Times New Roman"/>
                <w:spacing w:val="-2"/>
              </w:rPr>
              <w:t>9144152171484634XT001Y</w:t>
            </w:r>
            <w:r>
              <w:rPr>
                <w:rFonts w:ascii="Times New Roman" w:hAnsi="Times New Roman" w:eastAsia="Times New Roman" w:cs="Times New Roman"/>
                <w:spacing w:val="-26"/>
              </w:rPr>
              <w:t xml:space="preserve"> </w:t>
            </w:r>
            <w:r>
              <w:rPr>
                <w:spacing w:val="-2"/>
              </w:rPr>
              <w:t>。现有工程已经投产运行，并于</w:t>
            </w:r>
            <w:r>
              <w:rPr>
                <w:spacing w:val="-55"/>
              </w:rPr>
              <w:t xml:space="preserve"> </w:t>
            </w:r>
            <w:r>
              <w:rPr>
                <w:rFonts w:ascii="Times New Roman" w:hAnsi="Times New Roman" w:eastAsia="Times New Roman" w:cs="Times New Roman"/>
                <w:spacing w:val="-2"/>
              </w:rPr>
              <w:t xml:space="preserve">2021 </w:t>
            </w:r>
            <w:r>
              <w:rPr>
                <w:spacing w:val="-2"/>
              </w:rPr>
              <w:t>年</w:t>
            </w:r>
            <w:r>
              <w:rPr>
                <w:spacing w:val="-51"/>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15"/>
                <w:w w:val="101"/>
              </w:rPr>
              <w:t xml:space="preserve"> </w:t>
            </w:r>
            <w:r>
              <w:rPr>
                <w:spacing w:val="-2"/>
              </w:rPr>
              <w:t>月完</w:t>
            </w:r>
            <w:r>
              <w:t xml:space="preserve"> </w:t>
            </w:r>
            <w:r>
              <w:rPr>
                <w:spacing w:val="-4"/>
              </w:rPr>
              <w:t>成了建设项目的竣工环境保护验收。因原项目的</w:t>
            </w:r>
            <w:r>
              <w:rPr>
                <w:spacing w:val="-48"/>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5"/>
                <w:w w:val="101"/>
              </w:rPr>
              <w:t xml:space="preserve"> </w:t>
            </w:r>
            <w:r>
              <w:rPr>
                <w:spacing w:val="-4"/>
              </w:rPr>
              <w:t>号楼（注胶车间）未</w:t>
            </w:r>
            <w:r>
              <w:rPr>
                <w:spacing w:val="-5"/>
              </w:rPr>
              <w:t>建成，</w:t>
            </w:r>
            <w:r>
              <w:t xml:space="preserve"> </w:t>
            </w:r>
            <w:r>
              <w:rPr>
                <w:spacing w:val="-1"/>
              </w:rPr>
              <w:t>现有工程的竣工环境保护验收内容中不包含宝石的注胶加工。</w:t>
            </w:r>
          </w:p>
          <w:p w14:paraId="3FC16460">
            <w:pPr>
              <w:pStyle w:val="6"/>
              <w:spacing w:before="8" w:line="219" w:lineRule="auto"/>
              <w:ind w:left="601"/>
            </w:pPr>
            <w:r>
              <w:rPr>
                <w:spacing w:val="-2"/>
              </w:rPr>
              <w:t>（</w:t>
            </w:r>
            <w:r>
              <w:rPr>
                <w:rFonts w:ascii="Times New Roman" w:hAnsi="Times New Roman" w:eastAsia="Times New Roman" w:cs="Times New Roman"/>
                <w:spacing w:val="-2"/>
              </w:rPr>
              <w:t>2</w:t>
            </w:r>
            <w:r>
              <w:rPr>
                <w:spacing w:val="-2"/>
              </w:rPr>
              <w:t>）现有工程工程概况</w:t>
            </w:r>
          </w:p>
          <w:p w14:paraId="5D240213">
            <w:pPr>
              <w:pStyle w:val="6"/>
              <w:spacing w:before="180" w:line="359" w:lineRule="auto"/>
              <w:ind w:left="111" w:right="22" w:firstLine="479"/>
            </w:pPr>
            <w:r>
              <w:rPr>
                <w:spacing w:val="-6"/>
              </w:rPr>
              <w:t>现有工程占地面积总占地面积约</w:t>
            </w:r>
            <w:r>
              <w:rPr>
                <w:spacing w:val="-42"/>
              </w:rPr>
              <w:t xml:space="preserve"> </w:t>
            </w:r>
            <w:r>
              <w:rPr>
                <w:rFonts w:ascii="Times New Roman" w:hAnsi="Times New Roman" w:eastAsia="Times New Roman" w:cs="Times New Roman"/>
                <w:spacing w:val="-6"/>
              </w:rPr>
              <w:t xml:space="preserve">12625 </w:t>
            </w:r>
            <w:r>
              <w:rPr>
                <w:spacing w:val="-6"/>
              </w:rPr>
              <w:t>平方米，总建筑面积</w:t>
            </w:r>
            <w:r>
              <w:rPr>
                <w:spacing w:val="-60"/>
              </w:rPr>
              <w:t xml:space="preserve"> </w:t>
            </w:r>
            <w:r>
              <w:rPr>
                <w:rFonts w:ascii="Times New Roman" w:hAnsi="Times New Roman" w:eastAsia="Times New Roman" w:cs="Times New Roman"/>
                <w:spacing w:val="-6"/>
              </w:rPr>
              <w:t>929</w:t>
            </w:r>
            <w:r>
              <w:rPr>
                <w:rFonts w:ascii="Times New Roman" w:hAnsi="Times New Roman" w:eastAsia="Times New Roman" w:cs="Times New Roman"/>
                <w:spacing w:val="-7"/>
              </w:rPr>
              <w:t xml:space="preserve">0 </w:t>
            </w:r>
            <w:r>
              <w:rPr>
                <w:spacing w:val="-7"/>
              </w:rPr>
              <w:t>平方米。</w:t>
            </w:r>
            <w:r>
              <w:t xml:space="preserve"> </w:t>
            </w:r>
            <w:r>
              <w:rPr>
                <w:spacing w:val="-3"/>
              </w:rPr>
              <w:t>厂区东面为艺恒宝石厂；南面为便利店；西面为巷道；北面为恒福源宝石厂。</w:t>
            </w:r>
            <w:r>
              <w:rPr>
                <w:spacing w:val="6"/>
              </w:rPr>
              <w:t xml:space="preserve"> </w:t>
            </w:r>
            <w:r>
              <w:rPr>
                <w:spacing w:val="2"/>
              </w:rPr>
              <w:t>现有工程从事宝石的泡酸和注胶加工，生产泡酸后的原料宝石，年生产</w:t>
            </w:r>
            <w:r>
              <w:rPr>
                <w:spacing w:val="1"/>
              </w:rPr>
              <w:t>泡酸</w:t>
            </w:r>
            <w:r>
              <w:t xml:space="preserve"> </w:t>
            </w:r>
            <w:r>
              <w:rPr>
                <w:spacing w:val="-4"/>
              </w:rPr>
              <w:t>后的原料宝石</w:t>
            </w:r>
            <w:r>
              <w:rPr>
                <w:spacing w:val="-45"/>
              </w:rPr>
              <w:t xml:space="preserve"> </w:t>
            </w:r>
            <w:r>
              <w:rPr>
                <w:rFonts w:ascii="Times New Roman" w:hAnsi="Times New Roman" w:eastAsia="Times New Roman" w:cs="Times New Roman"/>
                <w:spacing w:val="-4"/>
              </w:rPr>
              <w:t>5000</w:t>
            </w:r>
            <w:r>
              <w:rPr>
                <w:rFonts w:ascii="Times New Roman" w:hAnsi="Times New Roman" w:eastAsia="Times New Roman" w:cs="Times New Roman"/>
                <w:spacing w:val="20"/>
                <w:w w:val="101"/>
              </w:rPr>
              <w:t xml:space="preserve"> </w:t>
            </w:r>
            <w:r>
              <w:rPr>
                <w:spacing w:val="-4"/>
              </w:rPr>
              <w:t>吨。</w:t>
            </w:r>
          </w:p>
          <w:p w14:paraId="0D73B966">
            <w:pPr>
              <w:pStyle w:val="6"/>
              <w:spacing w:before="1" w:line="359" w:lineRule="auto"/>
              <w:ind w:left="109" w:right="41" w:firstLine="481"/>
              <w:jc w:val="both"/>
            </w:pPr>
            <w:r>
              <w:t>现有工程使用已建成的车间（其中宝石泡酸加工车间共</w:t>
            </w:r>
            <w:r>
              <w:rPr>
                <w:spacing w:val="-27"/>
              </w:rPr>
              <w:t xml:space="preserve"> </w:t>
            </w:r>
            <w:r>
              <w:rPr>
                <w:rFonts w:ascii="Times New Roman" w:hAnsi="Times New Roman" w:eastAsia="Times New Roman" w:cs="Times New Roman"/>
              </w:rPr>
              <w:t>148</w:t>
            </w:r>
            <w:r>
              <w:rPr>
                <w:rFonts w:ascii="Times New Roman" w:hAnsi="Times New Roman" w:eastAsia="Times New Roman" w:cs="Times New Roman"/>
                <w:spacing w:val="33"/>
              </w:rPr>
              <w:t xml:space="preserve"> </w:t>
            </w:r>
            <w:r>
              <w:t>间，每</w:t>
            </w:r>
            <w:r>
              <w:rPr>
                <w:spacing w:val="-1"/>
              </w:rPr>
              <w:t>间面</w:t>
            </w:r>
            <w:r>
              <w:t xml:space="preserve"> </w:t>
            </w:r>
            <w:r>
              <w:rPr>
                <w:spacing w:val="-4"/>
              </w:rPr>
              <w:t>积约</w:t>
            </w:r>
            <w:r>
              <w:rPr>
                <w:spacing w:val="-31"/>
              </w:rPr>
              <w:t xml:space="preserve"> </w:t>
            </w:r>
            <w:r>
              <w:rPr>
                <w:rFonts w:ascii="Times New Roman" w:hAnsi="Times New Roman" w:eastAsia="Times New Roman" w:cs="Times New Roman"/>
                <w:spacing w:val="-4"/>
              </w:rPr>
              <w:t xml:space="preserve">10 </w:t>
            </w:r>
            <w:r>
              <w:rPr>
                <w:spacing w:val="-4"/>
              </w:rPr>
              <w:t>平方</w:t>
            </w:r>
            <w:r>
              <w:rPr>
                <w:spacing w:val="19"/>
              </w:rPr>
              <w:t>），</w:t>
            </w:r>
            <w:r>
              <w:rPr>
                <w:spacing w:val="-4"/>
              </w:rPr>
              <w:t>以及新建</w:t>
            </w:r>
            <w:r>
              <w:rPr>
                <w:spacing w:val="-32"/>
              </w:rPr>
              <w:t xml:space="preserve"> </w:t>
            </w:r>
            <w:r>
              <w:rPr>
                <w:rFonts w:ascii="Times New Roman" w:hAnsi="Times New Roman" w:eastAsia="Times New Roman" w:cs="Times New Roman"/>
                <w:spacing w:val="-4"/>
              </w:rPr>
              <w:t xml:space="preserve">1 </w:t>
            </w:r>
            <w:r>
              <w:rPr>
                <w:spacing w:val="-4"/>
              </w:rPr>
              <w:t>栋</w:t>
            </w:r>
            <w:r>
              <w:rPr>
                <w:spacing w:val="-32"/>
              </w:rPr>
              <w:t xml:space="preserve"> </w:t>
            </w:r>
            <w:r>
              <w:rPr>
                <w:rFonts w:ascii="Times New Roman" w:hAnsi="Times New Roman" w:eastAsia="Times New Roman" w:cs="Times New Roman"/>
                <w:spacing w:val="-4"/>
              </w:rPr>
              <w:t xml:space="preserve">1 </w:t>
            </w:r>
            <w:r>
              <w:rPr>
                <w:spacing w:val="-4"/>
              </w:rPr>
              <w:t>层的彩钢瓦建筑为宝石泡酸加工</w:t>
            </w:r>
            <w:r>
              <w:rPr>
                <w:spacing w:val="-5"/>
              </w:rPr>
              <w:t>车间（共</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rPr>
              <w:t xml:space="preserve">  </w:t>
            </w:r>
            <w:r>
              <w:rPr>
                <w:rFonts w:ascii="Times New Roman" w:hAnsi="Times New Roman" w:eastAsia="Times New Roman" w:cs="Times New Roman"/>
                <w:spacing w:val="-5"/>
              </w:rPr>
              <w:t>55</w:t>
            </w:r>
            <w:r>
              <w:rPr>
                <w:rFonts w:ascii="Times New Roman" w:hAnsi="Times New Roman" w:eastAsia="Times New Roman" w:cs="Times New Roman"/>
                <w:spacing w:val="29"/>
              </w:rPr>
              <w:t xml:space="preserve"> </w:t>
            </w:r>
            <w:r>
              <w:rPr>
                <w:spacing w:val="-5"/>
              </w:rPr>
              <w:t>间，每间面积约</w:t>
            </w:r>
            <w:r>
              <w:rPr>
                <w:spacing w:val="-32"/>
              </w:rPr>
              <w:t xml:space="preserve"> </w:t>
            </w:r>
            <w:r>
              <w:rPr>
                <w:rFonts w:ascii="Times New Roman" w:hAnsi="Times New Roman" w:eastAsia="Times New Roman" w:cs="Times New Roman"/>
                <w:spacing w:val="-5"/>
              </w:rPr>
              <w:t xml:space="preserve">10 </w:t>
            </w:r>
            <w:r>
              <w:rPr>
                <w:spacing w:val="-5"/>
              </w:rPr>
              <w:t>平方</w:t>
            </w:r>
            <w:r>
              <w:rPr>
                <w:spacing w:val="-17"/>
              </w:rPr>
              <w:t>），</w:t>
            </w:r>
            <w:r>
              <w:rPr>
                <w:spacing w:val="-5"/>
              </w:rPr>
              <w:t>宝石泡酸加工车间合计</w:t>
            </w:r>
            <w:r>
              <w:rPr>
                <w:spacing w:val="-50"/>
              </w:rPr>
              <w:t xml:space="preserve"> </w:t>
            </w:r>
            <w:r>
              <w:rPr>
                <w:rFonts w:ascii="Times New Roman" w:hAnsi="Times New Roman" w:eastAsia="Times New Roman" w:cs="Times New Roman"/>
                <w:spacing w:val="-5"/>
              </w:rPr>
              <w:t>303</w:t>
            </w:r>
            <w:r>
              <w:rPr>
                <w:rFonts w:ascii="Times New Roman" w:hAnsi="Times New Roman" w:eastAsia="Times New Roman" w:cs="Times New Roman"/>
                <w:spacing w:val="28"/>
              </w:rPr>
              <w:t xml:space="preserve"> </w:t>
            </w:r>
            <w:r>
              <w:rPr>
                <w:spacing w:val="-5"/>
              </w:rPr>
              <w:t>间，设有危险化学</w:t>
            </w:r>
            <w:r>
              <w:t xml:space="preserve"> 品仓库及危废暂存间、废水、废气、噪声等环保设施。</w:t>
            </w:r>
            <w:r>
              <w:rPr>
                <w:spacing w:val="-54"/>
              </w:rPr>
              <w:t xml:space="preserve"> </w:t>
            </w:r>
            <w:r>
              <w:t xml:space="preserve">目前只建成宝石泡酸 </w:t>
            </w:r>
            <w:r>
              <w:rPr>
                <w:spacing w:val="-4"/>
              </w:rPr>
              <w:t>工序，宝石注胶工序加工未建成，宝石泡酸工序加工项目总投资约</w:t>
            </w:r>
            <w:r>
              <w:rPr>
                <w:spacing w:val="-48"/>
              </w:rPr>
              <w:t xml:space="preserve"> </w:t>
            </w:r>
            <w:r>
              <w:rPr>
                <w:rFonts w:ascii="Times New Roman" w:hAnsi="Times New Roman" w:eastAsia="Times New Roman" w:cs="Times New Roman"/>
                <w:spacing w:val="-4"/>
              </w:rPr>
              <w:t>600</w:t>
            </w:r>
            <w:r>
              <w:rPr>
                <w:rFonts w:ascii="Times New Roman" w:hAnsi="Times New Roman" w:eastAsia="Times New Roman" w:cs="Times New Roman"/>
                <w:spacing w:val="15"/>
                <w:w w:val="101"/>
              </w:rPr>
              <w:t xml:space="preserve"> </w:t>
            </w:r>
            <w:r>
              <w:rPr>
                <w:spacing w:val="-4"/>
              </w:rPr>
              <w:t>万元，</w:t>
            </w:r>
            <w:r>
              <w:t xml:space="preserve"> </w:t>
            </w:r>
            <w:r>
              <w:rPr>
                <w:spacing w:val="-2"/>
              </w:rPr>
              <w:t>其中环保投资约</w:t>
            </w:r>
            <w:r>
              <w:rPr>
                <w:spacing w:val="-50"/>
              </w:rPr>
              <w:t xml:space="preserve"> </w:t>
            </w:r>
            <w:r>
              <w:rPr>
                <w:rFonts w:ascii="Times New Roman" w:hAnsi="Times New Roman" w:eastAsia="Times New Roman" w:cs="Times New Roman"/>
                <w:spacing w:val="-2"/>
              </w:rPr>
              <w:t>60</w:t>
            </w:r>
            <w:r>
              <w:rPr>
                <w:rFonts w:ascii="Times New Roman" w:hAnsi="Times New Roman" w:eastAsia="Times New Roman" w:cs="Times New Roman"/>
                <w:spacing w:val="15"/>
                <w:w w:val="101"/>
              </w:rPr>
              <w:t xml:space="preserve"> </w:t>
            </w:r>
            <w:r>
              <w:rPr>
                <w:spacing w:val="-2"/>
              </w:rPr>
              <w:t>万元。员工总人数</w:t>
            </w:r>
            <w:r>
              <w:rPr>
                <w:spacing w:val="-32"/>
              </w:rPr>
              <w:t xml:space="preserve"> </w:t>
            </w:r>
            <w:r>
              <w:rPr>
                <w:rFonts w:ascii="Times New Roman" w:hAnsi="Times New Roman" w:eastAsia="Times New Roman" w:cs="Times New Roman"/>
                <w:spacing w:val="-2"/>
              </w:rPr>
              <w:t xml:space="preserve">120 </w:t>
            </w:r>
            <w:r>
              <w:rPr>
                <w:spacing w:val="-2"/>
              </w:rPr>
              <w:t>人，均不在厂区食</w:t>
            </w:r>
            <w:r>
              <w:rPr>
                <w:spacing w:val="-3"/>
              </w:rPr>
              <w:t>宿，每天工作</w:t>
            </w:r>
            <w:r>
              <w:rPr>
                <w:spacing w:val="-45"/>
              </w:rPr>
              <w:t xml:space="preserve"> </w:t>
            </w:r>
            <w:r>
              <w:rPr>
                <w:rFonts w:ascii="Times New Roman" w:hAnsi="Times New Roman" w:eastAsia="Times New Roman" w:cs="Times New Roman"/>
                <w:spacing w:val="-3"/>
              </w:rPr>
              <w:t>8</w:t>
            </w:r>
            <w:r>
              <w:rPr>
                <w:rFonts w:ascii="Times New Roman" w:hAnsi="Times New Roman" w:eastAsia="Times New Roman" w:cs="Times New Roman"/>
              </w:rPr>
              <w:t xml:space="preserve">  </w:t>
            </w:r>
            <w:r>
              <w:rPr>
                <w:spacing w:val="-2"/>
              </w:rPr>
              <w:t>小时，全年工作约</w:t>
            </w:r>
            <w:r>
              <w:rPr>
                <w:spacing w:val="-43"/>
              </w:rPr>
              <w:t xml:space="preserve"> </w:t>
            </w:r>
            <w:r>
              <w:rPr>
                <w:rFonts w:ascii="Times New Roman" w:hAnsi="Times New Roman" w:eastAsia="Times New Roman" w:cs="Times New Roman"/>
                <w:spacing w:val="-2"/>
              </w:rPr>
              <w:t xml:space="preserve">300 </w:t>
            </w:r>
            <w:r>
              <w:rPr>
                <w:spacing w:val="-2"/>
              </w:rPr>
              <w:t>天。</w:t>
            </w:r>
          </w:p>
          <w:p w14:paraId="5DB26051">
            <w:pPr>
              <w:pStyle w:val="6"/>
              <w:spacing w:line="219" w:lineRule="auto"/>
              <w:ind w:left="601"/>
            </w:pPr>
            <w:r>
              <w:rPr>
                <w:spacing w:val="-2"/>
              </w:rPr>
              <w:t>（3）现有工程工艺流程及产排污节点</w:t>
            </w:r>
          </w:p>
          <w:p w14:paraId="272D05D6">
            <w:pPr>
              <w:pStyle w:val="6"/>
              <w:spacing w:before="183" w:line="345" w:lineRule="auto"/>
              <w:ind w:left="111" w:right="102" w:firstLine="479"/>
            </w:pPr>
            <w:r>
              <w:rPr>
                <w:spacing w:val="2"/>
              </w:rPr>
              <w:t xml:space="preserve">现有工程宝石注胶工序加工未建成，宝石泡酸加工的主要工艺流程及产 </w:t>
            </w:r>
            <w:r>
              <w:rPr>
                <w:spacing w:val="-3"/>
              </w:rPr>
              <w:t>污环节：</w:t>
            </w:r>
          </w:p>
          <w:p w14:paraId="195A4EB0">
            <w:pPr>
              <w:spacing w:line="2308" w:lineRule="exact"/>
              <w:ind w:firstLine="957"/>
            </w:pPr>
            <w:r>
              <w:rPr>
                <w:position w:val="-46"/>
              </w:rPr>
              <w:drawing>
                <wp:inline distT="0" distB="0" distL="0" distR="0">
                  <wp:extent cx="3989705" cy="146558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5"/>
                          <a:stretch>
                            <a:fillRect/>
                          </a:stretch>
                        </pic:blipFill>
                        <pic:spPr>
                          <a:xfrm>
                            <a:off x="0" y="0"/>
                            <a:ext cx="3989832" cy="1466088"/>
                          </a:xfrm>
                          <a:prstGeom prst="rect">
                            <a:avLst/>
                          </a:prstGeom>
                        </pic:spPr>
                      </pic:pic>
                    </a:graphicData>
                  </a:graphic>
                </wp:inline>
              </w:drawing>
            </w:r>
          </w:p>
          <w:p w14:paraId="490C5809">
            <w:pPr>
              <w:pStyle w:val="6"/>
              <w:spacing w:before="309" w:line="219" w:lineRule="auto"/>
              <w:ind w:left="592"/>
            </w:pPr>
            <w:r>
              <w:rPr>
                <w:spacing w:val="-2"/>
              </w:rPr>
              <w:t>工艺流程说明：</w:t>
            </w:r>
          </w:p>
          <w:p w14:paraId="76FD7419">
            <w:pPr>
              <w:pStyle w:val="6"/>
              <w:spacing w:before="182" w:line="350" w:lineRule="auto"/>
              <w:ind w:left="110" w:right="102" w:firstLine="478"/>
            </w:pPr>
            <w:r>
              <w:rPr>
                <w:spacing w:val="2"/>
              </w:rPr>
              <w:t>①根据原料宝石的材质，配制不同种类和浓度的酸液，主要使用的是盐</w:t>
            </w:r>
            <w:r>
              <w:rPr>
                <w:spacing w:val="5"/>
              </w:rPr>
              <w:t xml:space="preserve"> </w:t>
            </w:r>
            <w:r>
              <w:rPr>
                <w:spacing w:val="2"/>
              </w:rPr>
              <w:t>酸和氢氟酸，因酸的溶解挥发，该过程会产生少量的酸雾废气，主要是氯化</w:t>
            </w:r>
          </w:p>
        </w:tc>
      </w:tr>
    </w:tbl>
    <w:p w14:paraId="14735C6F">
      <w:pPr>
        <w:rPr>
          <w:rFonts w:ascii="Arial"/>
          <w:sz w:val="21"/>
        </w:rPr>
      </w:pPr>
    </w:p>
    <w:p w14:paraId="10C1EC3E">
      <w:pPr>
        <w:rPr>
          <w:rFonts w:ascii="Arial" w:hAnsi="Arial" w:eastAsia="Arial" w:cs="Arial"/>
          <w:sz w:val="21"/>
          <w:szCs w:val="21"/>
        </w:rPr>
        <w:sectPr>
          <w:footerReference r:id="rId47" w:type="default"/>
          <w:pgSz w:w="11906" w:h="16839"/>
          <w:pgMar w:top="400" w:right="1451" w:bottom="1240" w:left="1451" w:header="0" w:footer="1078" w:gutter="0"/>
          <w:cols w:space="720" w:num="1"/>
        </w:sectPr>
      </w:pPr>
    </w:p>
    <w:p w14:paraId="52C41357">
      <w:pPr>
        <w:spacing w:before="19"/>
      </w:pPr>
    </w:p>
    <w:p w14:paraId="27F1B47D">
      <w:pPr>
        <w:spacing w:before="19"/>
      </w:pPr>
    </w:p>
    <w:p w14:paraId="07954116">
      <w:pPr>
        <w:spacing w:before="19"/>
      </w:pPr>
    </w:p>
    <w:p w14:paraId="15BBF74E">
      <w:pPr>
        <w:spacing w:before="18"/>
      </w:pPr>
    </w:p>
    <w:p w14:paraId="55E9F266">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0910E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068" w:hRule="atLeast"/>
        </w:trPr>
        <w:tc>
          <w:tcPr>
            <w:tcW w:w="778" w:type="dxa"/>
            <w:tcBorders>
              <w:right w:val="single" w:color="000000" w:sz="2" w:space="0"/>
            </w:tcBorders>
            <w:vAlign w:val="top"/>
          </w:tcPr>
          <w:p w14:paraId="349E372D">
            <w:pPr>
              <w:rPr>
                <w:rFonts w:ascii="Arial"/>
                <w:sz w:val="21"/>
              </w:rPr>
            </w:pPr>
          </w:p>
        </w:tc>
        <w:tc>
          <w:tcPr>
            <w:tcW w:w="8210" w:type="dxa"/>
            <w:tcBorders>
              <w:left w:val="single" w:color="000000" w:sz="2" w:space="0"/>
            </w:tcBorders>
            <w:vAlign w:val="top"/>
          </w:tcPr>
          <w:p w14:paraId="5F380152">
            <w:pPr>
              <w:pStyle w:val="6"/>
              <w:spacing w:before="30" w:line="219" w:lineRule="auto"/>
              <w:ind w:left="109"/>
            </w:pPr>
            <w:r>
              <w:rPr>
                <w:spacing w:val="-1"/>
              </w:rPr>
              <w:t>氢、硫酸雾和氢氟酸；</w:t>
            </w:r>
          </w:p>
          <w:p w14:paraId="28B5AF71">
            <w:pPr>
              <w:pStyle w:val="6"/>
              <w:spacing w:before="180" w:line="217" w:lineRule="auto"/>
              <w:ind w:left="588"/>
            </w:pPr>
            <w:r>
              <w:rPr>
                <w:spacing w:val="-1"/>
              </w:rPr>
              <w:t>②需要泡酸的原料宝石进厂，进入车间，投入胶桶；</w:t>
            </w:r>
          </w:p>
          <w:p w14:paraId="085CF7F6">
            <w:pPr>
              <w:pStyle w:val="6"/>
              <w:spacing w:before="185" w:line="217" w:lineRule="auto"/>
              <w:ind w:left="588"/>
            </w:pPr>
            <w:r>
              <w:rPr>
                <w:spacing w:val="-3"/>
              </w:rPr>
              <w:t>③酸桶加盖浸泡，一般是</w:t>
            </w:r>
            <w:r>
              <w:rPr>
                <w:spacing w:val="-19"/>
              </w:rPr>
              <w:t xml:space="preserve"> </w:t>
            </w:r>
            <w:r>
              <w:rPr>
                <w:rFonts w:ascii="Times New Roman" w:hAnsi="Times New Roman" w:eastAsia="Times New Roman" w:cs="Times New Roman"/>
                <w:spacing w:val="-3"/>
              </w:rPr>
              <w:t xml:space="preserve">1-2 </w:t>
            </w:r>
            <w:r>
              <w:rPr>
                <w:spacing w:val="-3"/>
              </w:rPr>
              <w:t>天；</w:t>
            </w:r>
          </w:p>
          <w:p w14:paraId="3330A9BD">
            <w:pPr>
              <w:pStyle w:val="6"/>
              <w:spacing w:before="187" w:line="312" w:lineRule="auto"/>
              <w:ind w:left="109" w:right="102" w:firstLine="478"/>
            </w:pPr>
            <w:r>
              <w:rPr>
                <w:spacing w:val="2"/>
              </w:rPr>
              <w:t>④将废酸液放出装入包装桶内，待酸液供货单位回收运走；在胶桶中投</w:t>
            </w:r>
            <w:r>
              <w:rPr>
                <w:spacing w:val="6"/>
              </w:rPr>
              <w:t xml:space="preserve"> </w:t>
            </w:r>
            <w:r>
              <w:rPr>
                <w:spacing w:val="2"/>
              </w:rPr>
              <w:t>加少量中和粉（碳酸钠）或是片碱，加水浸泡，该过程主要中和宝石表面残</w:t>
            </w:r>
            <w:r>
              <w:t xml:space="preserve"> </w:t>
            </w:r>
            <w:r>
              <w:rPr>
                <w:spacing w:val="-2"/>
              </w:rPr>
              <w:t>留的酸液，浸泡时间一般为</w:t>
            </w:r>
            <w:r>
              <w:rPr>
                <w:spacing w:val="-55"/>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6"/>
                <w:w w:val="101"/>
              </w:rPr>
              <w:t xml:space="preserve"> </w:t>
            </w:r>
            <w:r>
              <w:rPr>
                <w:spacing w:val="-2"/>
              </w:rPr>
              <w:t>小时；</w:t>
            </w:r>
          </w:p>
          <w:p w14:paraId="01670669">
            <w:pPr>
              <w:pStyle w:val="6"/>
              <w:spacing w:before="180" w:line="290" w:lineRule="auto"/>
              <w:ind w:left="155" w:right="102" w:firstLine="432"/>
            </w:pPr>
            <w:r>
              <w:rPr>
                <w:spacing w:val="2"/>
              </w:rPr>
              <w:t>⑤将中和后的废水放出，加入清水清洗，中和废水和清洗废水进入本项</w:t>
            </w:r>
            <w:r>
              <w:rPr>
                <w:spacing w:val="6"/>
              </w:rPr>
              <w:t xml:space="preserve"> </w:t>
            </w:r>
            <w:r>
              <w:rPr>
                <w:spacing w:val="-7"/>
              </w:rPr>
              <w:t>目的废水处理站；</w:t>
            </w:r>
          </w:p>
          <w:p w14:paraId="3E7FF0C3">
            <w:pPr>
              <w:pStyle w:val="6"/>
              <w:spacing w:before="183" w:line="217" w:lineRule="auto"/>
              <w:ind w:left="588"/>
            </w:pPr>
            <w:r>
              <w:rPr>
                <w:spacing w:val="-1"/>
              </w:rPr>
              <w:t>⑥清洗干净后即得客户所需的原料宝石。</w:t>
            </w:r>
          </w:p>
          <w:p w14:paraId="6EEBB683">
            <w:pPr>
              <w:pStyle w:val="6"/>
              <w:spacing w:before="183" w:line="220" w:lineRule="auto"/>
              <w:ind w:left="601"/>
            </w:pPr>
            <w:r>
              <w:rPr>
                <w:spacing w:val="-2"/>
              </w:rPr>
              <w:t>（</w:t>
            </w:r>
            <w:r>
              <w:rPr>
                <w:rFonts w:ascii="Times New Roman" w:hAnsi="Times New Roman" w:eastAsia="Times New Roman" w:cs="Times New Roman"/>
                <w:spacing w:val="-2"/>
              </w:rPr>
              <w:t>4</w:t>
            </w:r>
            <w:r>
              <w:rPr>
                <w:spacing w:val="-2"/>
              </w:rPr>
              <w:t>）现有工程污染物排放情况</w:t>
            </w:r>
          </w:p>
          <w:p w14:paraId="521B1665">
            <w:pPr>
              <w:pStyle w:val="6"/>
              <w:spacing w:before="180" w:line="217" w:lineRule="auto"/>
              <w:ind w:left="588"/>
            </w:pPr>
            <w:r>
              <w:rPr>
                <w:spacing w:val="-3"/>
              </w:rPr>
              <w:t>①废水</w:t>
            </w:r>
          </w:p>
          <w:p w14:paraId="4F7C6D34">
            <w:pPr>
              <w:pStyle w:val="6"/>
              <w:spacing w:before="186" w:line="219" w:lineRule="auto"/>
              <w:ind w:left="591"/>
            </w:pPr>
            <w:r>
              <w:rPr>
                <w:spacing w:val="-2"/>
              </w:rPr>
              <w:t>现有工程废水站处理设施设计能力为</w:t>
            </w:r>
            <w:r>
              <w:rPr>
                <w:spacing w:val="-40"/>
              </w:rPr>
              <w:t xml:space="preserve"> </w:t>
            </w:r>
            <w:r>
              <w:rPr>
                <w:rFonts w:ascii="Times New Roman" w:hAnsi="Times New Roman" w:eastAsia="Times New Roman" w:cs="Times New Roman"/>
                <w:spacing w:val="-2"/>
              </w:rPr>
              <w:t>30t/d</w:t>
            </w:r>
            <w:r>
              <w:rPr>
                <w:rFonts w:ascii="Times New Roman" w:hAnsi="Times New Roman" w:eastAsia="Times New Roman" w:cs="Times New Roman"/>
                <w:spacing w:val="-28"/>
              </w:rPr>
              <w:t xml:space="preserve"> </w:t>
            </w:r>
            <w:r>
              <w:rPr>
                <w:spacing w:val="-2"/>
              </w:rPr>
              <w:t>。废水站处理流程如下：</w:t>
            </w:r>
          </w:p>
          <w:p w14:paraId="5688944A">
            <w:pPr>
              <w:spacing w:before="185" w:line="2460" w:lineRule="exact"/>
              <w:ind w:firstLine="1370"/>
            </w:pPr>
            <w:r>
              <w:rPr>
                <w:position w:val="-49"/>
              </w:rPr>
              <w:drawing>
                <wp:inline distT="0" distB="0" distL="0" distR="0">
                  <wp:extent cx="3451860" cy="15614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96"/>
                          <a:stretch>
                            <a:fillRect/>
                          </a:stretch>
                        </pic:blipFill>
                        <pic:spPr>
                          <a:xfrm>
                            <a:off x="0" y="0"/>
                            <a:ext cx="3452346" cy="1562004"/>
                          </a:xfrm>
                          <a:prstGeom prst="rect">
                            <a:avLst/>
                          </a:prstGeom>
                        </pic:spPr>
                      </pic:pic>
                    </a:graphicData>
                  </a:graphic>
                </wp:inline>
              </w:drawing>
            </w:r>
          </w:p>
          <w:p w14:paraId="28549CB4">
            <w:pPr>
              <w:pStyle w:val="6"/>
              <w:spacing w:before="318" w:line="359" w:lineRule="auto"/>
              <w:ind w:left="108" w:right="102" w:firstLine="482"/>
            </w:pPr>
            <w:r>
              <w:rPr>
                <w:spacing w:val="2"/>
              </w:rPr>
              <w:t xml:space="preserve">现有工程的废水采用物化絮凝沉淀处理工艺，废水经排污管渠进入调节 </w:t>
            </w:r>
            <w:r>
              <w:rPr>
                <w:spacing w:val="1"/>
              </w:rPr>
              <w:t>池，用泵提升至反应池，反应池分</w:t>
            </w:r>
            <w:r>
              <w:rPr>
                <w:spacing w:val="-42"/>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6"/>
              </w:rPr>
              <w:t xml:space="preserve"> </w:t>
            </w:r>
            <w:r>
              <w:rPr>
                <w:spacing w:val="1"/>
              </w:rPr>
              <w:t>级，分别投加碱、氯化钙、混凝剂、絮</w:t>
            </w:r>
            <w:r>
              <w:t xml:space="preserve"> </w:t>
            </w:r>
            <w:r>
              <w:rPr>
                <w:spacing w:val="2"/>
              </w:rPr>
              <w:t>凝剂等药剂，经充分反应后，破坏了悬浮粒体的稳定性，从而形成大颗粒絮</w:t>
            </w:r>
            <w:r>
              <w:rPr>
                <w:spacing w:val="1"/>
              </w:rPr>
              <w:t xml:space="preserve"> </w:t>
            </w:r>
            <w:r>
              <w:rPr>
                <w:spacing w:val="2"/>
              </w:rPr>
              <w:t>体，增强其沉降性。泥水进入沉淀池进行泥水分离，上清液即可达标排放。</w:t>
            </w:r>
            <w:r>
              <w:rPr>
                <w:spacing w:val="1"/>
              </w:rPr>
              <w:t xml:space="preserve"> </w:t>
            </w:r>
            <w:r>
              <w:rPr>
                <w:spacing w:val="2"/>
              </w:rPr>
              <w:t>污泥排至厂内打磨废水处理站的污泥干化场进行自然干化，干化后的污泥外</w:t>
            </w:r>
            <w:r>
              <w:rPr>
                <w:spacing w:val="1"/>
              </w:rPr>
              <w:t xml:space="preserve"> </w:t>
            </w:r>
            <w:r>
              <w:rPr>
                <w:spacing w:val="-3"/>
              </w:rPr>
              <w:t>运处置。</w:t>
            </w:r>
          </w:p>
          <w:p w14:paraId="40028F9A">
            <w:pPr>
              <w:pStyle w:val="6"/>
              <w:spacing w:before="3" w:line="354" w:lineRule="auto"/>
              <w:ind w:left="112" w:right="102" w:firstLine="477"/>
              <w:jc w:val="both"/>
            </w:pPr>
            <w:r>
              <w:rPr>
                <w:spacing w:val="-1"/>
              </w:rPr>
              <w:t>根据《海丰县金盛宝石首饰有限公司宝石泡酸和注胶工序加工项目</w:t>
            </w:r>
            <w:r>
              <w:rPr>
                <w:rFonts w:ascii="Times New Roman" w:hAnsi="Times New Roman" w:eastAsia="Times New Roman" w:cs="Times New Roman"/>
                <w:spacing w:val="-1"/>
              </w:rPr>
              <w:t>(</w:t>
            </w:r>
            <w:r>
              <w:rPr>
                <w:spacing w:val="-1"/>
              </w:rPr>
              <w:t>泡酸</w:t>
            </w:r>
            <w:r>
              <w:rPr>
                <w:spacing w:val="18"/>
              </w:rPr>
              <w:t xml:space="preserve"> </w:t>
            </w:r>
            <w:r>
              <w:rPr>
                <w:spacing w:val="-1"/>
              </w:rPr>
              <w:t>工序</w:t>
            </w:r>
            <w:r>
              <w:rPr>
                <w:rFonts w:ascii="Times New Roman" w:hAnsi="Times New Roman" w:eastAsia="Times New Roman" w:cs="Times New Roman"/>
                <w:spacing w:val="-1"/>
              </w:rPr>
              <w:t>)</w:t>
            </w:r>
            <w:r>
              <w:rPr>
                <w:spacing w:val="-1"/>
              </w:rPr>
              <w:t>竣工环境保护验收监测报告表》，现有工程生产废水经废水处理设施处</w:t>
            </w:r>
            <w:r>
              <w:rPr>
                <w:spacing w:val="17"/>
              </w:rPr>
              <w:t xml:space="preserve"> </w:t>
            </w:r>
            <w:r>
              <w:rPr>
                <w:spacing w:val="2"/>
              </w:rPr>
              <w:t>理，出水均符合广东省地方标准《水污染物排放限值》（</w:t>
            </w:r>
            <w:r>
              <w:rPr>
                <w:rFonts w:ascii="Times New Roman" w:hAnsi="Times New Roman" w:eastAsia="Times New Roman" w:cs="Times New Roman"/>
              </w:rPr>
              <w:t>DB</w:t>
            </w:r>
            <w:r>
              <w:rPr>
                <w:rFonts w:ascii="Times New Roman" w:hAnsi="Times New Roman" w:eastAsia="Times New Roman" w:cs="Times New Roman"/>
                <w:spacing w:val="2"/>
              </w:rPr>
              <w:t>4</w:t>
            </w:r>
            <w:r>
              <w:rPr>
                <w:rFonts w:ascii="Times New Roman" w:hAnsi="Times New Roman" w:eastAsia="Times New Roman" w:cs="Times New Roman"/>
                <w:spacing w:val="1"/>
              </w:rPr>
              <w:t>4/26-2001</w:t>
            </w:r>
            <w:r>
              <w:rPr>
                <w:spacing w:val="1"/>
              </w:rPr>
              <w:t>）第</w:t>
            </w:r>
            <w:r>
              <w:t xml:space="preserve"> </w:t>
            </w:r>
            <w:r>
              <w:rPr>
                <w:spacing w:val="2"/>
              </w:rPr>
              <w:t>二时段三级标准及可塘镇污水处理厂设计进水标准较严值后，排入市</w:t>
            </w:r>
            <w:r>
              <w:rPr>
                <w:spacing w:val="1"/>
              </w:rPr>
              <w:t>政污水</w:t>
            </w:r>
          </w:p>
        </w:tc>
      </w:tr>
    </w:tbl>
    <w:p w14:paraId="0C80B839">
      <w:pPr>
        <w:rPr>
          <w:rFonts w:ascii="Arial"/>
          <w:sz w:val="21"/>
        </w:rPr>
      </w:pPr>
    </w:p>
    <w:p w14:paraId="78D44A61">
      <w:pPr>
        <w:rPr>
          <w:rFonts w:ascii="Arial" w:hAnsi="Arial" w:eastAsia="Arial" w:cs="Arial"/>
          <w:sz w:val="21"/>
          <w:szCs w:val="21"/>
        </w:rPr>
        <w:sectPr>
          <w:footerReference r:id="rId48" w:type="default"/>
          <w:pgSz w:w="11906" w:h="16839"/>
          <w:pgMar w:top="400" w:right="1451" w:bottom="1240" w:left="1451" w:header="0" w:footer="1078" w:gutter="0"/>
          <w:cols w:space="720" w:num="1"/>
        </w:sectPr>
      </w:pPr>
    </w:p>
    <w:p w14:paraId="42AF171F">
      <w:pPr>
        <w:spacing w:before="19"/>
      </w:pPr>
    </w:p>
    <w:p w14:paraId="34DAA12A">
      <w:pPr>
        <w:spacing w:before="19"/>
      </w:pPr>
    </w:p>
    <w:p w14:paraId="61C990D8">
      <w:pPr>
        <w:spacing w:before="19"/>
      </w:pPr>
    </w:p>
    <w:p w14:paraId="0CFF00DC">
      <w:pPr>
        <w:spacing w:before="18"/>
      </w:pPr>
    </w:p>
    <w:p w14:paraId="2BB32344">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8"/>
        <w:gridCol w:w="8210"/>
      </w:tblGrid>
      <w:tr w14:paraId="29200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13" w:hRule="atLeast"/>
        </w:trPr>
        <w:tc>
          <w:tcPr>
            <w:tcW w:w="778" w:type="dxa"/>
            <w:tcBorders>
              <w:right w:val="single" w:color="000000" w:sz="2" w:space="0"/>
            </w:tcBorders>
            <w:vAlign w:val="top"/>
          </w:tcPr>
          <w:p w14:paraId="2D57BEEA">
            <w:pPr>
              <w:rPr>
                <w:rFonts w:ascii="Arial"/>
                <w:sz w:val="21"/>
              </w:rPr>
            </w:pPr>
          </w:p>
        </w:tc>
        <w:tc>
          <w:tcPr>
            <w:tcW w:w="8210" w:type="dxa"/>
            <w:tcBorders>
              <w:left w:val="single" w:color="000000" w:sz="2" w:space="0"/>
            </w:tcBorders>
            <w:vAlign w:val="top"/>
          </w:tcPr>
          <w:p w14:paraId="6D25A1BE">
            <w:pPr>
              <w:pStyle w:val="6"/>
              <w:spacing w:before="30" w:line="354" w:lineRule="auto"/>
              <w:ind w:left="105" w:right="105" w:firstLine="10"/>
            </w:pPr>
            <w:r>
              <w:rPr>
                <w:spacing w:val="-1"/>
              </w:rPr>
              <w:t>管网，外排的生产废水的量为</w:t>
            </w:r>
            <w:r>
              <w:rPr>
                <w:spacing w:val="-52"/>
              </w:rPr>
              <w:t xml:space="preserve"> </w:t>
            </w:r>
            <w:r>
              <w:rPr>
                <w:rFonts w:ascii="Times New Roman" w:hAnsi="Times New Roman" w:eastAsia="Times New Roman" w:cs="Times New Roman"/>
                <w:spacing w:val="-1"/>
              </w:rPr>
              <w:t>7200t/a</w:t>
            </w:r>
            <w:r>
              <w:rPr>
                <w:rFonts w:ascii="Times New Roman" w:hAnsi="Times New Roman" w:eastAsia="Times New Roman" w:cs="Times New Roman"/>
                <w:spacing w:val="-29"/>
              </w:rPr>
              <w:t xml:space="preserve"> </w:t>
            </w:r>
            <w:r>
              <w:rPr>
                <w:spacing w:val="-1"/>
              </w:rPr>
              <w:t>，主要污染物氟化</w:t>
            </w:r>
            <w:r>
              <w:rPr>
                <w:spacing w:val="-2"/>
              </w:rPr>
              <w:t>物的排放总量为</w:t>
            </w:r>
            <w:r>
              <w:rPr>
                <w:spacing w:val="-51"/>
              </w:rPr>
              <w:t xml:space="preserve"> </w:t>
            </w:r>
            <w:r>
              <w:rPr>
                <w:rFonts w:ascii="Times New Roman" w:hAnsi="Times New Roman" w:eastAsia="Times New Roman" w:cs="Times New Roman"/>
                <w:spacing w:val="-2"/>
              </w:rPr>
              <w:t>0.00</w:t>
            </w:r>
            <w:r>
              <w:rPr>
                <w:rFonts w:ascii="Times New Roman" w:hAnsi="Times New Roman" w:eastAsia="Times New Roman" w:cs="Times New Roman"/>
              </w:rPr>
              <w:t xml:space="preserve"> </w:t>
            </w:r>
            <w:r>
              <w:rPr>
                <w:rFonts w:ascii="Times New Roman" w:hAnsi="Times New Roman" w:eastAsia="Times New Roman" w:cs="Times New Roman"/>
                <w:spacing w:val="-1"/>
              </w:rPr>
              <w:t>252t/a</w:t>
            </w:r>
            <w:r>
              <w:rPr>
                <w:spacing w:val="-1"/>
              </w:rPr>
              <w:t>。</w:t>
            </w:r>
          </w:p>
          <w:p w14:paraId="789B7383">
            <w:pPr>
              <w:pStyle w:val="6"/>
              <w:spacing w:before="12" w:line="359" w:lineRule="auto"/>
              <w:ind w:left="115" w:right="41" w:firstLine="475"/>
            </w:pPr>
            <w:r>
              <w:rPr>
                <w:spacing w:val="-4"/>
              </w:rPr>
              <w:t>本项目废水处理站建成后，现有工程的废水全部接入新建的废水处理站，</w:t>
            </w:r>
            <w:r>
              <w:rPr>
                <w:spacing w:val="14"/>
              </w:rPr>
              <w:t xml:space="preserve"> </w:t>
            </w:r>
            <w:r>
              <w:rPr>
                <w:spacing w:val="-2"/>
              </w:rPr>
              <w:t>原有废水处理站拆除不再使用。</w:t>
            </w:r>
          </w:p>
          <w:p w14:paraId="37D333A8">
            <w:pPr>
              <w:pStyle w:val="6"/>
              <w:spacing w:line="217" w:lineRule="auto"/>
              <w:ind w:left="588"/>
            </w:pPr>
            <w:r>
              <w:rPr>
                <w:spacing w:val="-3"/>
              </w:rPr>
              <w:t>②废气</w:t>
            </w:r>
          </w:p>
          <w:p w14:paraId="40A6EEF1">
            <w:pPr>
              <w:pStyle w:val="6"/>
              <w:spacing w:before="187" w:line="359" w:lineRule="auto"/>
              <w:ind w:left="108" w:firstLine="482"/>
            </w:pPr>
            <w:r>
              <w:rPr>
                <w:spacing w:val="2"/>
              </w:rPr>
              <w:t>现有工程宝石注胶工序加工未建成，无有机废气产生；泡酸工序产生酸</w:t>
            </w:r>
            <w:r>
              <w:t xml:space="preserve">  </w:t>
            </w:r>
            <w:r>
              <w:rPr>
                <w:spacing w:val="2"/>
              </w:rPr>
              <w:t>性废气。泡酸在车间内进行，每个车间设有进、排风系统，每个车间内</w:t>
            </w:r>
            <w:r>
              <w:rPr>
                <w:spacing w:val="1"/>
              </w:rPr>
              <w:t>酸性</w:t>
            </w:r>
            <w:r>
              <w:t xml:space="preserve">  </w:t>
            </w:r>
            <w:r>
              <w:rPr>
                <w:spacing w:val="2"/>
              </w:rPr>
              <w:t>废气抽至废气总管，再集中进入酸性废气处理设施，使车间内保持轻微</w:t>
            </w:r>
            <w:r>
              <w:rPr>
                <w:spacing w:val="1"/>
              </w:rPr>
              <w:t>负压</w:t>
            </w:r>
            <w:r>
              <w:t xml:space="preserve">  </w:t>
            </w:r>
            <w:r>
              <w:rPr>
                <w:spacing w:val="2"/>
              </w:rPr>
              <w:t>状态。酸雾废气处理采用碱喷淋中和处理后引至楼顶排放。根据《海丰</w:t>
            </w:r>
            <w:r>
              <w:rPr>
                <w:spacing w:val="1"/>
              </w:rPr>
              <w:t>县金</w:t>
            </w:r>
            <w:r>
              <w:t xml:space="preserve">  </w:t>
            </w:r>
            <w:r>
              <w:rPr>
                <w:spacing w:val="4"/>
              </w:rPr>
              <w:t>盛宝石首饰有限公司宝石泡酸和注胶工序加工项目</w:t>
            </w:r>
            <w:r>
              <w:rPr>
                <w:rFonts w:ascii="Times New Roman" w:hAnsi="Times New Roman" w:eastAsia="Times New Roman" w:cs="Times New Roman"/>
                <w:spacing w:val="4"/>
              </w:rPr>
              <w:t>(</w:t>
            </w:r>
            <w:r>
              <w:rPr>
                <w:spacing w:val="4"/>
              </w:rPr>
              <w:t>泡酸工序</w:t>
            </w:r>
            <w:r>
              <w:rPr>
                <w:rFonts w:ascii="Times New Roman" w:hAnsi="Times New Roman" w:eastAsia="Times New Roman" w:cs="Times New Roman"/>
                <w:spacing w:val="4"/>
              </w:rPr>
              <w:t>)</w:t>
            </w:r>
            <w:r>
              <w:rPr>
                <w:spacing w:val="4"/>
              </w:rPr>
              <w:t xml:space="preserve">竣工环境保护  </w:t>
            </w:r>
            <w:r>
              <w:rPr>
                <w:spacing w:val="-2"/>
              </w:rPr>
              <w:t>验收监测报告表》，处理后废气满足广东省地方标准《大气污染物排放</w:t>
            </w:r>
            <w:r>
              <w:rPr>
                <w:spacing w:val="-3"/>
              </w:rPr>
              <w:t>限值》</w:t>
            </w:r>
            <w:r>
              <w:t xml:space="preserve"> </w:t>
            </w:r>
            <w:r>
              <w:rPr>
                <w:spacing w:val="1"/>
              </w:rPr>
              <w:t>（</w:t>
            </w:r>
            <w:r>
              <w:rPr>
                <w:rFonts w:ascii="Times New Roman" w:hAnsi="Times New Roman" w:eastAsia="Times New Roman" w:cs="Times New Roman"/>
              </w:rPr>
              <w:t>DB</w:t>
            </w:r>
            <w:r>
              <w:rPr>
                <w:rFonts w:ascii="Times New Roman" w:hAnsi="Times New Roman" w:eastAsia="Times New Roman" w:cs="Times New Roman"/>
                <w:spacing w:val="1"/>
              </w:rPr>
              <w:t>44/27-2001</w:t>
            </w:r>
            <w:r>
              <w:rPr>
                <w:spacing w:val="1"/>
              </w:rPr>
              <w:t>）第二时段二级标准。现有工程共设有</w:t>
            </w:r>
            <w:r>
              <w:rPr>
                <w:spacing w:val="-34"/>
              </w:rPr>
              <w:t xml:space="preserve"> </w:t>
            </w:r>
            <w:r>
              <w:rPr>
                <w:rFonts w:ascii="Times New Roman" w:hAnsi="Times New Roman" w:eastAsia="Times New Roman" w:cs="Times New Roman"/>
                <w:spacing w:val="1"/>
              </w:rPr>
              <w:t xml:space="preserve">6 </w:t>
            </w:r>
            <w:r>
              <w:rPr>
                <w:spacing w:val="1"/>
              </w:rPr>
              <w:t>套酸性废气处理设</w:t>
            </w:r>
            <w:r>
              <w:t xml:space="preserve">  </w:t>
            </w:r>
            <w:r>
              <w:rPr>
                <w:spacing w:val="-4"/>
              </w:rPr>
              <w:t>施，处理能力均为</w:t>
            </w:r>
            <w:r>
              <w:rPr>
                <w:spacing w:val="-37"/>
              </w:rPr>
              <w:t xml:space="preserve"> </w:t>
            </w:r>
            <w:r>
              <w:rPr>
                <w:rFonts w:ascii="Times New Roman" w:hAnsi="Times New Roman" w:eastAsia="Times New Roman" w:cs="Times New Roman"/>
                <w:spacing w:val="-4"/>
              </w:rPr>
              <w:t>3000m</w:t>
            </w:r>
            <w:r>
              <w:rPr>
                <w:spacing w:val="-4"/>
              </w:rPr>
              <w:t>³</w:t>
            </w:r>
            <w:r>
              <w:rPr>
                <w:rFonts w:ascii="Times New Roman" w:hAnsi="Times New Roman" w:eastAsia="Times New Roman" w:cs="Times New Roman"/>
                <w:spacing w:val="-4"/>
              </w:rPr>
              <w:t>/h</w:t>
            </w:r>
            <w:r>
              <w:rPr>
                <w:spacing w:val="-4"/>
              </w:rPr>
              <w:t>•套。外排的主要污染物氯化氢、氟化氢（以氟化</w:t>
            </w:r>
            <w:r>
              <w:t xml:space="preserve">  </w:t>
            </w:r>
            <w:r>
              <w:rPr>
                <w:spacing w:val="-2"/>
              </w:rPr>
              <w:t>物计）、硫酸雾的量分别为</w:t>
            </w:r>
            <w:r>
              <w:rPr>
                <w:spacing w:val="-47"/>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135t/a</w:t>
            </w:r>
            <w:r>
              <w:rPr>
                <w:spacing w:val="-2"/>
              </w:rPr>
              <w:t>、</w:t>
            </w:r>
            <w:r>
              <w:rPr>
                <w:rFonts w:ascii="Times New Roman" w:hAnsi="Times New Roman" w:eastAsia="Times New Roman" w:cs="Times New Roman"/>
                <w:spacing w:val="-2"/>
              </w:rPr>
              <w:t>0.045t/a</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0.0009t/a</w:t>
            </w:r>
            <w:r>
              <w:rPr>
                <w:spacing w:val="-2"/>
              </w:rPr>
              <w:t>。</w:t>
            </w:r>
          </w:p>
          <w:p w14:paraId="43B77185">
            <w:pPr>
              <w:pStyle w:val="6"/>
              <w:spacing w:line="217" w:lineRule="auto"/>
              <w:ind w:left="588"/>
            </w:pPr>
            <w:r>
              <w:rPr>
                <w:spacing w:val="-3"/>
              </w:rPr>
              <w:t>③噪声</w:t>
            </w:r>
          </w:p>
          <w:p w14:paraId="4001857F">
            <w:pPr>
              <w:pStyle w:val="6"/>
              <w:spacing w:before="184" w:line="359" w:lineRule="auto"/>
              <w:ind w:left="108" w:right="102" w:firstLine="482"/>
            </w:pPr>
            <w:r>
              <w:rPr>
                <w:spacing w:val="2"/>
              </w:rPr>
              <w:t xml:space="preserve">现有工程基础减震、厂房隔声等措施减少噪声排放。厂界噪声符合《工 </w:t>
            </w:r>
            <w:r>
              <w:t>业企业厂界环境噪声排放标准》（</w:t>
            </w:r>
            <w:r>
              <w:rPr>
                <w:rFonts w:ascii="Times New Roman" w:hAnsi="Times New Roman" w:eastAsia="Times New Roman" w:cs="Times New Roman"/>
              </w:rPr>
              <w:t>GB1234</w:t>
            </w:r>
            <w:r>
              <w:rPr>
                <w:rFonts w:ascii="Times New Roman" w:hAnsi="Times New Roman" w:eastAsia="Times New Roman" w:cs="Times New Roman"/>
                <w:spacing w:val="-1"/>
              </w:rPr>
              <w:t>8-2008</w:t>
            </w:r>
            <w:r>
              <w:rPr>
                <w:spacing w:val="-1"/>
              </w:rPr>
              <w:t>）中的</w:t>
            </w:r>
            <w:r>
              <w:rPr>
                <w:spacing w:val="-55"/>
              </w:rPr>
              <w:t xml:space="preserve"> </w:t>
            </w:r>
            <w:r>
              <w:rPr>
                <w:rFonts w:ascii="Times New Roman" w:hAnsi="Times New Roman" w:eastAsia="Times New Roman" w:cs="Times New Roman"/>
                <w:spacing w:val="-1"/>
              </w:rPr>
              <w:t xml:space="preserve">2 </w:t>
            </w:r>
            <w:r>
              <w:rPr>
                <w:spacing w:val="-1"/>
              </w:rPr>
              <w:t>类标准。</w:t>
            </w:r>
          </w:p>
          <w:p w14:paraId="5413493F">
            <w:pPr>
              <w:pStyle w:val="6"/>
              <w:spacing w:line="217" w:lineRule="auto"/>
              <w:ind w:left="588"/>
            </w:pPr>
            <w:r>
              <w:rPr>
                <w:spacing w:val="-3"/>
              </w:rPr>
              <w:t>④固废</w:t>
            </w:r>
          </w:p>
          <w:p w14:paraId="45812CCA">
            <w:pPr>
              <w:pStyle w:val="6"/>
              <w:spacing w:before="185" w:line="354" w:lineRule="auto"/>
              <w:ind w:left="108" w:right="22" w:firstLine="480"/>
            </w:pPr>
            <w:r>
              <w:rPr>
                <w:spacing w:val="-1"/>
              </w:rPr>
              <w:t>根据《海丰县金盛宝石首饰有限公司宝石泡酸和注胶工序加工项目</w:t>
            </w:r>
            <w:r>
              <w:rPr>
                <w:rFonts w:ascii="Times New Roman" w:hAnsi="Times New Roman" w:eastAsia="Times New Roman" w:cs="Times New Roman"/>
                <w:spacing w:val="-1"/>
              </w:rPr>
              <w:t>(</w:t>
            </w:r>
            <w:r>
              <w:rPr>
                <w:spacing w:val="-1"/>
              </w:rPr>
              <w:t>泡酸</w:t>
            </w:r>
            <w:r>
              <w:rPr>
                <w:spacing w:val="18"/>
              </w:rPr>
              <w:t xml:space="preserve"> </w:t>
            </w:r>
            <w:r>
              <w:rPr>
                <w:spacing w:val="-5"/>
              </w:rPr>
              <w:t>工序</w:t>
            </w:r>
            <w:r>
              <w:rPr>
                <w:rFonts w:ascii="Times New Roman" w:hAnsi="Times New Roman" w:eastAsia="Times New Roman" w:cs="Times New Roman"/>
                <w:spacing w:val="-5"/>
              </w:rPr>
              <w:t>)</w:t>
            </w:r>
            <w:r>
              <w:rPr>
                <w:spacing w:val="-5"/>
              </w:rPr>
              <w:t>竣工环境保护验收监测报告表》，原项目废酸液、包装废物、沉淀污泥、</w:t>
            </w:r>
            <w:r>
              <w:rPr>
                <w:spacing w:val="2"/>
              </w:rPr>
              <w:t xml:space="preserve"> </w:t>
            </w:r>
            <w:r>
              <w:rPr>
                <w:spacing w:val="-2"/>
              </w:rPr>
              <w:t>废手套、生活垃圾产生量分别为</w:t>
            </w:r>
            <w:r>
              <w:rPr>
                <w:spacing w:val="-39"/>
              </w:rPr>
              <w:t xml:space="preserve"> </w:t>
            </w:r>
            <w:r>
              <w:rPr>
                <w:rFonts w:ascii="Times New Roman" w:hAnsi="Times New Roman" w:eastAsia="Times New Roman" w:cs="Times New Roman"/>
                <w:spacing w:val="-2"/>
              </w:rPr>
              <w:t>2660t/a</w:t>
            </w:r>
            <w:r>
              <w:rPr>
                <w:spacing w:val="-2"/>
              </w:rPr>
              <w:t>、</w:t>
            </w:r>
            <w:r>
              <w:rPr>
                <w:rFonts w:ascii="Times New Roman" w:hAnsi="Times New Roman" w:eastAsia="Times New Roman" w:cs="Times New Roman"/>
                <w:spacing w:val="-2"/>
              </w:rPr>
              <w:t>0.31t/a</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4.536t/a</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0.036t/a</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18t/a</w:t>
            </w:r>
            <w:r>
              <w:rPr>
                <w:spacing w:val="-2"/>
              </w:rPr>
              <w:t>。</w:t>
            </w:r>
          </w:p>
          <w:p w14:paraId="76C3C030">
            <w:pPr>
              <w:pStyle w:val="6"/>
              <w:spacing w:before="21" w:line="360" w:lineRule="auto"/>
              <w:ind w:left="108" w:right="102" w:firstLine="483"/>
            </w:pPr>
            <w:r>
              <w:rPr>
                <w:spacing w:val="2"/>
              </w:rPr>
              <w:t xml:space="preserve">现有工程的废酸收集后交由揭阳市斯瑞尔环境科技有限公司回收；空桶 收集后循环使用，根据省生态厅关于空桶能否交给供应商回用于原始用途的 回复意见，用于其原始用途，可不作固体废物管理；沉淀污泥交有关单位处 </w:t>
            </w:r>
            <w:r>
              <w:rPr>
                <w:spacing w:val="-1"/>
              </w:rPr>
              <w:t>置，生活垃圾收集后交由环卫部门处置。</w:t>
            </w:r>
          </w:p>
        </w:tc>
      </w:tr>
    </w:tbl>
    <w:p w14:paraId="79600D2A">
      <w:pPr>
        <w:rPr>
          <w:rFonts w:ascii="Arial"/>
          <w:sz w:val="21"/>
        </w:rPr>
      </w:pPr>
    </w:p>
    <w:p w14:paraId="03219CE6">
      <w:pPr>
        <w:rPr>
          <w:rFonts w:ascii="Arial" w:hAnsi="Arial" w:eastAsia="Arial" w:cs="Arial"/>
          <w:sz w:val="21"/>
          <w:szCs w:val="21"/>
        </w:rPr>
        <w:sectPr>
          <w:footerReference r:id="rId49" w:type="default"/>
          <w:pgSz w:w="11906" w:h="16839"/>
          <w:pgMar w:top="400" w:right="1451" w:bottom="1240" w:left="1451" w:header="0" w:footer="1078" w:gutter="0"/>
          <w:cols w:space="720" w:num="1"/>
        </w:sectPr>
      </w:pPr>
    </w:p>
    <w:p w14:paraId="1B1ACA2B">
      <w:pPr>
        <w:spacing w:line="272" w:lineRule="auto"/>
        <w:rPr>
          <w:rFonts w:ascii="Arial"/>
          <w:sz w:val="21"/>
        </w:rPr>
      </w:pPr>
    </w:p>
    <w:p w14:paraId="13C56B65">
      <w:pPr>
        <w:spacing w:line="272" w:lineRule="auto"/>
        <w:rPr>
          <w:rFonts w:ascii="Arial"/>
          <w:sz w:val="21"/>
        </w:rPr>
      </w:pPr>
    </w:p>
    <w:p w14:paraId="4AFEDF2E">
      <w:pPr>
        <w:spacing w:line="272" w:lineRule="auto"/>
        <w:rPr>
          <w:rFonts w:ascii="Arial"/>
          <w:sz w:val="21"/>
        </w:rPr>
      </w:pPr>
    </w:p>
    <w:p w14:paraId="431DBC1C">
      <w:pPr>
        <w:spacing w:line="272" w:lineRule="auto"/>
        <w:rPr>
          <w:rFonts w:ascii="Arial"/>
          <w:sz w:val="21"/>
        </w:rPr>
      </w:pPr>
    </w:p>
    <w:p w14:paraId="243D264C">
      <w:pPr>
        <w:spacing w:line="273" w:lineRule="auto"/>
        <w:rPr>
          <w:rFonts w:ascii="Arial"/>
          <w:sz w:val="21"/>
        </w:rPr>
      </w:pPr>
    </w:p>
    <w:p w14:paraId="43631DB8">
      <w:pPr>
        <w:spacing w:before="97" w:line="218" w:lineRule="auto"/>
        <w:ind w:left="1215"/>
        <w:outlineLvl w:val="0"/>
        <w:rPr>
          <w:rFonts w:ascii="宋体" w:hAnsi="宋体" w:eastAsia="宋体" w:cs="宋体"/>
          <w:sz w:val="30"/>
          <w:szCs w:val="30"/>
        </w:rPr>
      </w:pPr>
      <w:r>
        <w:drawing>
          <wp:anchor distT="0" distB="0" distL="0" distR="0" simplePos="0" relativeHeight="251669504" behindDoc="0" locked="0" layoutInCell="1" allowOverlap="1">
            <wp:simplePos x="0" y="0"/>
            <wp:positionH relativeFrom="column">
              <wp:posOffset>622935</wp:posOffset>
            </wp:positionH>
            <wp:positionV relativeFrom="paragraph">
              <wp:posOffset>7182485</wp:posOffset>
            </wp:positionV>
            <wp:extent cx="6350" cy="111442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7"/>
                    <a:stretch>
                      <a:fillRect/>
                    </a:stretch>
                  </pic:blipFill>
                  <pic:spPr>
                    <a:xfrm>
                      <a:off x="0" y="0"/>
                      <a:ext cx="6350" cy="1114171"/>
                    </a:xfrm>
                    <a:prstGeom prst="rect">
                      <a:avLst/>
                    </a:prstGeom>
                  </pic:spPr>
                </pic:pic>
              </a:graphicData>
            </a:graphic>
          </wp:anchor>
        </w:drawing>
      </w:r>
      <w:bookmarkStart w:id="2" w:name="bookmark3"/>
      <w:bookmarkEnd w:id="2"/>
      <w:r>
        <w:rPr>
          <w:rFonts w:ascii="宋体" w:hAnsi="宋体" w:eastAsia="宋体" w:cs="宋体"/>
          <w:spacing w:val="-1"/>
          <w:sz w:val="30"/>
          <w:szCs w:val="30"/>
        </w:rPr>
        <w:t>三、区域环境质量现状、环境保护目标及评价标准</w:t>
      </w:r>
    </w:p>
    <w:p w14:paraId="7BB18AC1">
      <w:pPr>
        <w:spacing w:line="179" w:lineRule="exact"/>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18"/>
        <w:gridCol w:w="783"/>
        <w:gridCol w:w="794"/>
        <w:gridCol w:w="1917"/>
        <w:gridCol w:w="1333"/>
        <w:gridCol w:w="1081"/>
        <w:gridCol w:w="973"/>
        <w:gridCol w:w="187"/>
      </w:tblGrid>
      <w:tr w14:paraId="05250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7" w:hRule="atLeast"/>
        </w:trPr>
        <w:tc>
          <w:tcPr>
            <w:tcW w:w="808" w:type="dxa"/>
            <w:vMerge w:val="restart"/>
            <w:tcBorders>
              <w:top w:val="single" w:color="000000" w:sz="6" w:space="0"/>
              <w:left w:val="single" w:color="000000" w:sz="6" w:space="0"/>
              <w:bottom w:val="nil"/>
            </w:tcBorders>
            <w:vAlign w:val="top"/>
          </w:tcPr>
          <w:p w14:paraId="61BB39F4">
            <w:pPr>
              <w:spacing w:line="250" w:lineRule="auto"/>
              <w:rPr>
                <w:rFonts w:ascii="Arial"/>
                <w:sz w:val="21"/>
              </w:rPr>
            </w:pPr>
          </w:p>
          <w:p w14:paraId="32BF8D01">
            <w:pPr>
              <w:spacing w:line="250" w:lineRule="auto"/>
              <w:rPr>
                <w:rFonts w:ascii="Arial"/>
                <w:sz w:val="21"/>
              </w:rPr>
            </w:pPr>
          </w:p>
          <w:p w14:paraId="64F0F4D6">
            <w:pPr>
              <w:spacing w:line="250" w:lineRule="auto"/>
              <w:rPr>
                <w:rFonts w:ascii="Arial"/>
                <w:sz w:val="21"/>
              </w:rPr>
            </w:pPr>
          </w:p>
          <w:p w14:paraId="5B9AF16D">
            <w:pPr>
              <w:spacing w:line="250" w:lineRule="auto"/>
              <w:rPr>
                <w:rFonts w:ascii="Arial"/>
                <w:sz w:val="21"/>
              </w:rPr>
            </w:pPr>
          </w:p>
          <w:p w14:paraId="0F7ED8C7">
            <w:pPr>
              <w:spacing w:line="250" w:lineRule="auto"/>
              <w:rPr>
                <w:rFonts w:ascii="Arial"/>
                <w:sz w:val="21"/>
              </w:rPr>
            </w:pPr>
          </w:p>
          <w:p w14:paraId="43A2571F">
            <w:pPr>
              <w:spacing w:line="250" w:lineRule="auto"/>
              <w:rPr>
                <w:rFonts w:ascii="Arial"/>
                <w:sz w:val="21"/>
              </w:rPr>
            </w:pPr>
          </w:p>
          <w:p w14:paraId="609BF665">
            <w:pPr>
              <w:spacing w:line="250" w:lineRule="auto"/>
              <w:rPr>
                <w:rFonts w:ascii="Arial"/>
                <w:sz w:val="21"/>
              </w:rPr>
            </w:pPr>
          </w:p>
          <w:p w14:paraId="4128F205">
            <w:pPr>
              <w:spacing w:line="250" w:lineRule="auto"/>
              <w:rPr>
                <w:rFonts w:ascii="Arial"/>
                <w:sz w:val="21"/>
              </w:rPr>
            </w:pPr>
          </w:p>
          <w:p w14:paraId="28991CC9">
            <w:pPr>
              <w:spacing w:line="250" w:lineRule="auto"/>
              <w:rPr>
                <w:rFonts w:ascii="Arial"/>
                <w:sz w:val="21"/>
              </w:rPr>
            </w:pPr>
          </w:p>
          <w:p w14:paraId="5210F36B">
            <w:pPr>
              <w:spacing w:line="251" w:lineRule="auto"/>
              <w:rPr>
                <w:rFonts w:ascii="Arial"/>
                <w:sz w:val="21"/>
              </w:rPr>
            </w:pPr>
          </w:p>
          <w:p w14:paraId="75A77FCC">
            <w:pPr>
              <w:spacing w:line="251" w:lineRule="auto"/>
              <w:rPr>
                <w:rFonts w:ascii="Arial"/>
                <w:sz w:val="21"/>
              </w:rPr>
            </w:pPr>
          </w:p>
          <w:p w14:paraId="2308606F">
            <w:pPr>
              <w:spacing w:line="251" w:lineRule="auto"/>
              <w:rPr>
                <w:rFonts w:ascii="Arial"/>
                <w:sz w:val="21"/>
              </w:rPr>
            </w:pPr>
          </w:p>
          <w:p w14:paraId="66F5E3FC">
            <w:pPr>
              <w:spacing w:line="251" w:lineRule="auto"/>
              <w:rPr>
                <w:rFonts w:ascii="Arial"/>
                <w:sz w:val="21"/>
              </w:rPr>
            </w:pPr>
          </w:p>
          <w:p w14:paraId="6DEFD06B">
            <w:pPr>
              <w:spacing w:line="251" w:lineRule="auto"/>
              <w:rPr>
                <w:rFonts w:ascii="Arial"/>
                <w:sz w:val="21"/>
              </w:rPr>
            </w:pPr>
          </w:p>
          <w:p w14:paraId="15D8D764">
            <w:pPr>
              <w:spacing w:line="251" w:lineRule="auto"/>
              <w:rPr>
                <w:rFonts w:ascii="Arial"/>
                <w:sz w:val="21"/>
              </w:rPr>
            </w:pPr>
          </w:p>
          <w:p w14:paraId="7BF515A5">
            <w:pPr>
              <w:spacing w:line="251" w:lineRule="auto"/>
              <w:rPr>
                <w:rFonts w:ascii="Arial"/>
                <w:sz w:val="21"/>
              </w:rPr>
            </w:pPr>
          </w:p>
          <w:p w14:paraId="0071107E">
            <w:pPr>
              <w:spacing w:line="251" w:lineRule="auto"/>
              <w:rPr>
                <w:rFonts w:ascii="Arial"/>
                <w:sz w:val="21"/>
              </w:rPr>
            </w:pPr>
          </w:p>
          <w:p w14:paraId="169DEB9C">
            <w:pPr>
              <w:spacing w:line="251" w:lineRule="auto"/>
              <w:rPr>
                <w:rFonts w:ascii="Arial"/>
                <w:sz w:val="21"/>
              </w:rPr>
            </w:pPr>
          </w:p>
          <w:p w14:paraId="10327166">
            <w:pPr>
              <w:spacing w:line="251" w:lineRule="auto"/>
              <w:rPr>
                <w:rFonts w:ascii="Arial"/>
                <w:sz w:val="21"/>
              </w:rPr>
            </w:pPr>
          </w:p>
          <w:p w14:paraId="45B3A8B9">
            <w:pPr>
              <w:spacing w:line="251" w:lineRule="auto"/>
              <w:rPr>
                <w:rFonts w:ascii="Arial"/>
                <w:sz w:val="21"/>
              </w:rPr>
            </w:pPr>
          </w:p>
          <w:p w14:paraId="0B787CF4">
            <w:pPr>
              <w:spacing w:line="251" w:lineRule="auto"/>
              <w:rPr>
                <w:rFonts w:ascii="Arial"/>
                <w:sz w:val="21"/>
              </w:rPr>
            </w:pPr>
          </w:p>
          <w:p w14:paraId="260655CE">
            <w:pPr>
              <w:spacing w:line="251" w:lineRule="auto"/>
              <w:rPr>
                <w:rFonts w:ascii="Arial"/>
                <w:sz w:val="21"/>
              </w:rPr>
            </w:pPr>
          </w:p>
          <w:p w14:paraId="7AB54D77">
            <w:pPr>
              <w:pStyle w:val="6"/>
              <w:spacing w:before="78" w:line="220" w:lineRule="auto"/>
              <w:ind w:left="181"/>
            </w:pPr>
            <w:r>
              <w:rPr>
                <w:spacing w:val="-14"/>
              </w:rPr>
              <w:t>区域</w:t>
            </w:r>
          </w:p>
          <w:p w14:paraId="46403CBD">
            <w:pPr>
              <w:pStyle w:val="6"/>
              <w:spacing w:before="23" w:line="220" w:lineRule="auto"/>
              <w:ind w:left="163"/>
            </w:pPr>
            <w:r>
              <w:rPr>
                <w:spacing w:val="-5"/>
              </w:rPr>
              <w:t>环境</w:t>
            </w:r>
          </w:p>
          <w:p w14:paraId="2B6E9F2E">
            <w:pPr>
              <w:pStyle w:val="6"/>
              <w:spacing w:before="26" w:line="220" w:lineRule="auto"/>
              <w:ind w:left="164"/>
            </w:pPr>
            <w:r>
              <w:rPr>
                <w:spacing w:val="-6"/>
              </w:rPr>
              <w:t>质量</w:t>
            </w:r>
          </w:p>
          <w:p w14:paraId="3BD8C6E5">
            <w:pPr>
              <w:pStyle w:val="6"/>
              <w:spacing w:before="26" w:line="219" w:lineRule="auto"/>
              <w:ind w:left="165"/>
            </w:pPr>
            <w:r>
              <w:rPr>
                <w:spacing w:val="-6"/>
              </w:rPr>
              <w:t>现状</w:t>
            </w:r>
          </w:p>
        </w:tc>
        <w:tc>
          <w:tcPr>
            <w:tcW w:w="8186" w:type="dxa"/>
            <w:gridSpan w:val="8"/>
            <w:tcBorders>
              <w:top w:val="single" w:color="000000" w:sz="6" w:space="0"/>
              <w:right w:val="single" w:color="000000" w:sz="6" w:space="0"/>
            </w:tcBorders>
            <w:vAlign w:val="top"/>
          </w:tcPr>
          <w:p w14:paraId="712B4703">
            <w:pPr>
              <w:pStyle w:val="6"/>
              <w:spacing w:before="160" w:line="219" w:lineRule="auto"/>
              <w:ind w:left="595"/>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、环境空气质量现状：</w:t>
            </w:r>
          </w:p>
          <w:p w14:paraId="068A2C5E">
            <w:pPr>
              <w:pStyle w:val="6"/>
              <w:spacing w:before="149" w:line="219" w:lineRule="auto"/>
              <w:ind w:left="555"/>
            </w:pPr>
            <w:r>
              <w:rPr>
                <w:spacing w:val="-20"/>
              </w:rPr>
              <w:t>（</w:t>
            </w:r>
            <w:r>
              <w:rPr>
                <w:rFonts w:ascii="Times New Roman" w:hAnsi="Times New Roman" w:eastAsia="Times New Roman" w:cs="Times New Roman"/>
                <w:spacing w:val="-20"/>
              </w:rPr>
              <w:t>1</w:t>
            </w:r>
            <w:r>
              <w:rPr>
                <w:spacing w:val="-20"/>
              </w:rPr>
              <w:t>）常规污染物环境质量现状</w:t>
            </w:r>
          </w:p>
          <w:p w14:paraId="2FA681AF">
            <w:pPr>
              <w:pStyle w:val="6"/>
              <w:spacing w:before="149" w:line="334" w:lineRule="auto"/>
              <w:ind w:left="109" w:right="91" w:firstLine="456"/>
            </w:pPr>
            <w:r>
              <w:rPr>
                <w:spacing w:val="-8"/>
              </w:rPr>
              <w:t>根据海丰县城</w:t>
            </w:r>
            <w:r>
              <w:rPr>
                <w:spacing w:val="-62"/>
              </w:rPr>
              <w:t xml:space="preserve"> </w:t>
            </w:r>
            <w:r>
              <w:rPr>
                <w:rFonts w:ascii="Times New Roman" w:hAnsi="Times New Roman" w:eastAsia="Times New Roman" w:cs="Times New Roman"/>
                <w:spacing w:val="-8"/>
              </w:rPr>
              <w:t xml:space="preserve">2024 </w:t>
            </w:r>
            <w:r>
              <w:rPr>
                <w:spacing w:val="-8"/>
              </w:rPr>
              <w:t>年第一季度至第四季度（全年）的环境空气质量季报统</w:t>
            </w:r>
            <w:r>
              <w:t xml:space="preserve"> </w:t>
            </w:r>
            <w:r>
              <w:rPr>
                <w:spacing w:val="-6"/>
              </w:rPr>
              <w:t>计（</w:t>
            </w:r>
            <w:r>
              <w:fldChar w:fldCharType="begin"/>
            </w:r>
            <w:r>
              <w:instrText xml:space="preserve"> HYPERLINK "http://www.gdhf.gov.cn/gdhf/zdlyxxgk/hjbhxx/content/post_1025718.html" </w:instrText>
            </w:r>
            <w:r>
              <w:fldChar w:fldCharType="separate"/>
            </w:r>
            <w:r>
              <w:rPr>
                <w:rFonts w:ascii="Times New Roman" w:hAnsi="Times New Roman" w:eastAsia="Times New Roman" w:cs="Times New Roman"/>
                <w:spacing w:val="-6"/>
              </w:rPr>
              <w:t>http://www.gdhf.gov.cn/gdhf/zdlyxxgk/hjbhxx/content/post_1025718.html</w:t>
            </w:r>
            <w:r>
              <w:rPr>
                <w:rFonts w:ascii="Times New Roman" w:hAnsi="Times New Roman" w:eastAsia="Times New Roman" w:cs="Times New Roman"/>
                <w:spacing w:val="-6"/>
              </w:rPr>
              <w:fldChar w:fldCharType="end"/>
            </w:r>
            <w:r>
              <w:rPr>
                <w:spacing w:val="-6"/>
              </w:rPr>
              <w:t>）的平</w:t>
            </w:r>
            <w:r>
              <w:rPr>
                <w:spacing w:val="18"/>
              </w:rPr>
              <w:t xml:space="preserve"> </w:t>
            </w:r>
            <w:r>
              <w:rPr>
                <w:spacing w:val="-12"/>
              </w:rPr>
              <w:t>均值，</w:t>
            </w:r>
            <w:r>
              <w:rPr>
                <w:rFonts w:ascii="Times New Roman" w:hAnsi="Times New Roman" w:eastAsia="Times New Roman" w:cs="Times New Roman"/>
                <w:spacing w:val="-12"/>
              </w:rPr>
              <w:t xml:space="preserve">2024 </w:t>
            </w:r>
            <w:r>
              <w:rPr>
                <w:spacing w:val="-12"/>
              </w:rPr>
              <w:t>年海丰县空气质量</w:t>
            </w:r>
            <w:r>
              <w:rPr>
                <w:spacing w:val="-64"/>
              </w:rPr>
              <w:t xml:space="preserve"> </w:t>
            </w:r>
            <w:r>
              <w:rPr>
                <w:rFonts w:ascii="Times New Roman" w:hAnsi="Times New Roman" w:eastAsia="Times New Roman" w:cs="Times New Roman"/>
                <w:spacing w:val="-12"/>
              </w:rPr>
              <w:t xml:space="preserve">6 </w:t>
            </w:r>
            <w:r>
              <w:rPr>
                <w:spacing w:val="-12"/>
              </w:rPr>
              <w:t>项污染物年平均</w:t>
            </w:r>
            <w:r>
              <w:rPr>
                <w:spacing w:val="-13"/>
              </w:rPr>
              <w:t>浓度达到国家二级标准，由此说</w:t>
            </w:r>
            <w:r>
              <w:t xml:space="preserve"> </w:t>
            </w:r>
            <w:r>
              <w:rPr>
                <w:spacing w:val="-12"/>
              </w:rPr>
              <w:t>明本项目所在地海丰县的环境空气质量现状良好，所在区域属于达标区。</w:t>
            </w:r>
          </w:p>
          <w:p w14:paraId="0754C651">
            <w:pPr>
              <w:pStyle w:val="6"/>
              <w:spacing w:before="128" w:line="219" w:lineRule="auto"/>
              <w:ind w:left="1438"/>
            </w:pPr>
            <w:r>
              <w:rPr>
                <w:b/>
                <w:bCs/>
                <w:spacing w:val="-2"/>
              </w:rPr>
              <w:t>表</w:t>
            </w:r>
            <w:r>
              <w:rPr>
                <w:spacing w:val="-49"/>
              </w:rPr>
              <w:t xml:space="preserve"> </w:t>
            </w:r>
            <w:r>
              <w:rPr>
                <w:rFonts w:ascii="Times New Roman" w:hAnsi="Times New Roman" w:eastAsia="Times New Roman" w:cs="Times New Roman"/>
                <w:b/>
                <w:bCs/>
                <w:spacing w:val="-2"/>
              </w:rPr>
              <w:t xml:space="preserve">3-1    </w:t>
            </w:r>
            <w:r>
              <w:rPr>
                <w:b/>
                <w:bCs/>
                <w:spacing w:val="-2"/>
              </w:rPr>
              <w:t>海丰县城</w:t>
            </w:r>
            <w:r>
              <w:rPr>
                <w:spacing w:val="-52"/>
              </w:rPr>
              <w:t xml:space="preserve"> </w:t>
            </w:r>
            <w:r>
              <w:rPr>
                <w:rFonts w:ascii="Times New Roman" w:hAnsi="Times New Roman" w:eastAsia="Times New Roman" w:cs="Times New Roman"/>
                <w:b/>
                <w:bCs/>
                <w:spacing w:val="-2"/>
              </w:rPr>
              <w:t xml:space="preserve">2024 </w:t>
            </w:r>
            <w:r>
              <w:rPr>
                <w:b/>
                <w:bCs/>
                <w:spacing w:val="-2"/>
              </w:rPr>
              <w:t>年环境空气质量数据统计表</w:t>
            </w:r>
          </w:p>
          <w:p w14:paraId="4D90DB03">
            <w:pPr>
              <w:spacing w:line="115" w:lineRule="exact"/>
            </w:pPr>
          </w:p>
          <w:tbl>
            <w:tblPr>
              <w:tblStyle w:val="5"/>
              <w:tblW w:w="7982"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876"/>
              <w:gridCol w:w="876"/>
              <w:gridCol w:w="877"/>
              <w:gridCol w:w="878"/>
              <w:gridCol w:w="1649"/>
              <w:gridCol w:w="1655"/>
            </w:tblGrid>
            <w:tr w14:paraId="0453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171" w:type="dxa"/>
                  <w:vMerge w:val="restart"/>
                  <w:tcBorders>
                    <w:bottom w:val="nil"/>
                  </w:tcBorders>
                  <w:vAlign w:val="top"/>
                </w:tcPr>
                <w:p w14:paraId="5AF63D75">
                  <w:pPr>
                    <w:spacing w:line="241" w:lineRule="auto"/>
                    <w:rPr>
                      <w:rFonts w:ascii="Arial"/>
                      <w:sz w:val="21"/>
                    </w:rPr>
                  </w:pPr>
                </w:p>
                <w:p w14:paraId="45909394">
                  <w:pPr>
                    <w:pStyle w:val="6"/>
                    <w:spacing w:before="65" w:line="228" w:lineRule="auto"/>
                    <w:ind w:left="380"/>
                    <w:rPr>
                      <w:sz w:val="20"/>
                      <w:szCs w:val="20"/>
                    </w:rPr>
                  </w:pPr>
                  <w:r>
                    <w:rPr>
                      <w:b/>
                      <w:bCs/>
                      <w:spacing w:val="3"/>
                      <w:sz w:val="20"/>
                      <w:szCs w:val="20"/>
                    </w:rPr>
                    <w:t>季度</w:t>
                  </w:r>
                </w:p>
              </w:tc>
              <w:tc>
                <w:tcPr>
                  <w:tcW w:w="3507" w:type="dxa"/>
                  <w:gridSpan w:val="4"/>
                  <w:vAlign w:val="top"/>
                </w:tcPr>
                <w:p w14:paraId="1F371C6A">
                  <w:pPr>
                    <w:pStyle w:val="6"/>
                    <w:spacing w:before="80" w:line="221" w:lineRule="auto"/>
                    <w:ind w:left="864"/>
                    <w:rPr>
                      <w:sz w:val="20"/>
                      <w:szCs w:val="20"/>
                    </w:rPr>
                  </w:pPr>
                  <w:r>
                    <w:rPr>
                      <w:b/>
                      <w:bCs/>
                      <w:spacing w:val="4"/>
                      <w:sz w:val="20"/>
                      <w:szCs w:val="20"/>
                    </w:rPr>
                    <w:t>平均浓度</w:t>
                  </w:r>
                  <w:r>
                    <w:rPr>
                      <w:spacing w:val="4"/>
                      <w:sz w:val="20"/>
                      <w:szCs w:val="20"/>
                    </w:rPr>
                    <w:t xml:space="preserve"> </w:t>
                  </w:r>
                  <w:r>
                    <w:rPr>
                      <w:b/>
                      <w:bCs/>
                      <w:spacing w:val="4"/>
                      <w:sz w:val="20"/>
                      <w:szCs w:val="20"/>
                    </w:rPr>
                    <w:t>(</w:t>
                  </w:r>
                  <w:r>
                    <w:rPr>
                      <w:rFonts w:ascii="Times New Roman" w:hAnsi="Times New Roman" w:eastAsia="Times New Roman" w:cs="Times New Roman"/>
                      <w:b/>
                      <w:bCs/>
                      <w:spacing w:val="4"/>
                      <w:sz w:val="20"/>
                      <w:szCs w:val="20"/>
                    </w:rPr>
                    <w:t>μg/m</w:t>
                  </w:r>
                  <w:r>
                    <w:rPr>
                      <w:rFonts w:ascii="Times New Roman" w:hAnsi="Times New Roman" w:eastAsia="Times New Roman" w:cs="Times New Roman"/>
                      <w:b/>
                      <w:bCs/>
                      <w:spacing w:val="4"/>
                      <w:position w:val="6"/>
                      <w:sz w:val="13"/>
                      <w:szCs w:val="13"/>
                    </w:rPr>
                    <w:t>3</w:t>
                  </w:r>
                  <w:r>
                    <w:rPr>
                      <w:b/>
                      <w:bCs/>
                      <w:spacing w:val="4"/>
                      <w:sz w:val="20"/>
                      <w:szCs w:val="20"/>
                    </w:rPr>
                    <w:t>）</w:t>
                  </w:r>
                </w:p>
              </w:tc>
              <w:tc>
                <w:tcPr>
                  <w:tcW w:w="1649" w:type="dxa"/>
                  <w:vMerge w:val="restart"/>
                  <w:tcBorders>
                    <w:bottom w:val="nil"/>
                  </w:tcBorders>
                  <w:vAlign w:val="top"/>
                </w:tcPr>
                <w:p w14:paraId="5C2181D6">
                  <w:pPr>
                    <w:pStyle w:val="6"/>
                    <w:spacing w:before="36" w:line="228" w:lineRule="auto"/>
                    <w:ind w:left="173"/>
                    <w:rPr>
                      <w:sz w:val="20"/>
                      <w:szCs w:val="20"/>
                    </w:rPr>
                  </w:pPr>
                  <w:r>
                    <w:rPr>
                      <w:rFonts w:ascii="Times New Roman" w:hAnsi="Times New Roman" w:eastAsia="Times New Roman" w:cs="Times New Roman"/>
                      <w:b/>
                      <w:bCs/>
                      <w:sz w:val="20"/>
                      <w:szCs w:val="20"/>
                    </w:rPr>
                    <w:t>CO</w:t>
                  </w:r>
                  <w:r>
                    <w:rPr>
                      <w:rFonts w:ascii="Times New Roman" w:hAnsi="Times New Roman" w:eastAsia="Times New Roman" w:cs="Times New Roman"/>
                      <w:b/>
                      <w:bCs/>
                      <w:spacing w:val="13"/>
                      <w:w w:val="101"/>
                      <w:sz w:val="20"/>
                      <w:szCs w:val="20"/>
                    </w:rPr>
                    <w:t xml:space="preserve"> </w:t>
                  </w:r>
                  <w:r>
                    <w:rPr>
                      <w:b/>
                      <w:bCs/>
                      <w:spacing w:val="1"/>
                      <w:sz w:val="20"/>
                      <w:szCs w:val="20"/>
                    </w:rPr>
                    <w:t>第</w:t>
                  </w:r>
                  <w:r>
                    <w:rPr>
                      <w:spacing w:val="-39"/>
                      <w:sz w:val="20"/>
                      <w:szCs w:val="20"/>
                    </w:rPr>
                    <w:t xml:space="preserve"> </w:t>
                  </w:r>
                  <w:r>
                    <w:rPr>
                      <w:rFonts w:ascii="Times New Roman" w:hAnsi="Times New Roman" w:eastAsia="Times New Roman" w:cs="Times New Roman"/>
                      <w:b/>
                      <w:bCs/>
                      <w:spacing w:val="1"/>
                      <w:sz w:val="20"/>
                      <w:szCs w:val="20"/>
                    </w:rPr>
                    <w:t>95</w:t>
                  </w:r>
                  <w:r>
                    <w:rPr>
                      <w:rFonts w:ascii="Times New Roman" w:hAnsi="Times New Roman" w:eastAsia="Times New Roman" w:cs="Times New Roman"/>
                      <w:b/>
                      <w:bCs/>
                      <w:spacing w:val="17"/>
                      <w:w w:val="101"/>
                      <w:sz w:val="20"/>
                      <w:szCs w:val="20"/>
                    </w:rPr>
                    <w:t xml:space="preserve"> </w:t>
                  </w:r>
                  <w:r>
                    <w:rPr>
                      <w:b/>
                      <w:bCs/>
                      <w:spacing w:val="1"/>
                      <w:sz w:val="20"/>
                      <w:szCs w:val="20"/>
                    </w:rPr>
                    <w:t>百分</w:t>
                  </w:r>
                </w:p>
                <w:p w14:paraId="732723A2">
                  <w:pPr>
                    <w:pStyle w:val="6"/>
                    <w:spacing w:before="24" w:line="228" w:lineRule="auto"/>
                    <w:ind w:left="410"/>
                    <w:rPr>
                      <w:sz w:val="20"/>
                      <w:szCs w:val="20"/>
                    </w:rPr>
                  </w:pPr>
                  <w:r>
                    <w:rPr>
                      <w:b/>
                      <w:bCs/>
                      <w:spacing w:val="5"/>
                      <w:sz w:val="20"/>
                      <w:szCs w:val="20"/>
                    </w:rPr>
                    <w:t>位数浓度</w:t>
                  </w:r>
                </w:p>
                <w:p w14:paraId="3DE13CFB">
                  <w:pPr>
                    <w:pStyle w:val="6"/>
                    <w:spacing w:before="24" w:line="219" w:lineRule="auto"/>
                    <w:ind w:left="339"/>
                    <w:rPr>
                      <w:sz w:val="20"/>
                      <w:szCs w:val="20"/>
                    </w:rPr>
                  </w:pPr>
                  <w:r>
                    <w:rPr>
                      <w:b/>
                      <w:bCs/>
                      <w:spacing w:val="3"/>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r>
                    <w:rPr>
                      <w:b/>
                      <w:bCs/>
                      <w:spacing w:val="3"/>
                      <w:sz w:val="20"/>
                      <w:szCs w:val="20"/>
                    </w:rPr>
                    <w:t>）</w:t>
                  </w:r>
                </w:p>
              </w:tc>
              <w:tc>
                <w:tcPr>
                  <w:tcW w:w="1655" w:type="dxa"/>
                  <w:vMerge w:val="restart"/>
                  <w:tcBorders>
                    <w:bottom w:val="nil"/>
                  </w:tcBorders>
                  <w:vAlign w:val="top"/>
                </w:tcPr>
                <w:p w14:paraId="37DBAD8C">
                  <w:pPr>
                    <w:pStyle w:val="6"/>
                    <w:spacing w:before="36" w:line="221" w:lineRule="auto"/>
                    <w:ind w:left="160"/>
                    <w:rPr>
                      <w:sz w:val="20"/>
                      <w:szCs w:val="20"/>
                    </w:rPr>
                  </w:pPr>
                  <w:r>
                    <w:rPr>
                      <w:rFonts w:ascii="Times New Roman" w:hAnsi="Times New Roman" w:eastAsia="Times New Roman" w:cs="Times New Roman"/>
                      <w:b/>
                      <w:bCs/>
                      <w:spacing w:val="2"/>
                      <w:sz w:val="20"/>
                      <w:szCs w:val="20"/>
                    </w:rPr>
                    <w:t>O</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sz w:val="20"/>
                      <w:szCs w:val="20"/>
                    </w:rPr>
                    <w:t xml:space="preserve">_8h </w:t>
                  </w:r>
                  <w:r>
                    <w:rPr>
                      <w:b/>
                      <w:bCs/>
                      <w:spacing w:val="2"/>
                      <w:sz w:val="20"/>
                      <w:szCs w:val="20"/>
                    </w:rPr>
                    <w:t>第</w:t>
                  </w:r>
                  <w:r>
                    <w:rPr>
                      <w:spacing w:val="-34"/>
                      <w:sz w:val="20"/>
                      <w:szCs w:val="20"/>
                    </w:rPr>
                    <w:t xml:space="preserve"> </w:t>
                  </w:r>
                  <w:r>
                    <w:rPr>
                      <w:rFonts w:ascii="Times New Roman" w:hAnsi="Times New Roman" w:eastAsia="Times New Roman" w:cs="Times New Roman"/>
                      <w:b/>
                      <w:bCs/>
                      <w:spacing w:val="2"/>
                      <w:sz w:val="20"/>
                      <w:szCs w:val="20"/>
                    </w:rPr>
                    <w:t>90</w:t>
                  </w:r>
                  <w:r>
                    <w:rPr>
                      <w:rFonts w:ascii="Times New Roman" w:hAnsi="Times New Roman" w:eastAsia="Times New Roman" w:cs="Times New Roman"/>
                      <w:b/>
                      <w:bCs/>
                      <w:spacing w:val="19"/>
                      <w:sz w:val="20"/>
                      <w:szCs w:val="20"/>
                    </w:rPr>
                    <w:t xml:space="preserve"> </w:t>
                  </w:r>
                  <w:r>
                    <w:rPr>
                      <w:b/>
                      <w:bCs/>
                      <w:spacing w:val="2"/>
                      <w:sz w:val="20"/>
                      <w:szCs w:val="20"/>
                    </w:rPr>
                    <w:t>百</w:t>
                  </w:r>
                </w:p>
                <w:p w14:paraId="515A78EA">
                  <w:pPr>
                    <w:pStyle w:val="6"/>
                    <w:spacing w:before="31" w:line="228" w:lineRule="auto"/>
                    <w:ind w:left="307"/>
                    <w:rPr>
                      <w:sz w:val="20"/>
                      <w:szCs w:val="20"/>
                    </w:rPr>
                  </w:pPr>
                  <w:r>
                    <w:rPr>
                      <w:b/>
                      <w:bCs/>
                      <w:spacing w:val="6"/>
                      <w:sz w:val="20"/>
                      <w:szCs w:val="20"/>
                    </w:rPr>
                    <w:t>分位数浓度</w:t>
                  </w:r>
                </w:p>
                <w:p w14:paraId="724E0A19">
                  <w:pPr>
                    <w:pStyle w:val="6"/>
                    <w:spacing w:before="24" w:line="219" w:lineRule="auto"/>
                    <w:ind w:left="470"/>
                    <w:rPr>
                      <w:sz w:val="20"/>
                      <w:szCs w:val="20"/>
                    </w:rPr>
                  </w:pPr>
                  <w:r>
                    <w:rPr>
                      <w:b/>
                      <w:bCs/>
                      <w:spacing w:val="1"/>
                      <w:sz w:val="20"/>
                      <w:szCs w:val="20"/>
                    </w:rPr>
                    <w:t>(</w:t>
                  </w:r>
                  <w:r>
                    <w:rPr>
                      <w:rFonts w:ascii="Times New Roman" w:hAnsi="Times New Roman" w:eastAsia="Times New Roman" w:cs="Times New Roman"/>
                      <w:b/>
                      <w:bCs/>
                      <w:spacing w:val="1"/>
                      <w:sz w:val="20"/>
                      <w:szCs w:val="20"/>
                    </w:rPr>
                    <w:t>μg/m</w:t>
                  </w:r>
                  <w:r>
                    <w:rPr>
                      <w:rFonts w:ascii="Times New Roman" w:hAnsi="Times New Roman" w:eastAsia="Times New Roman" w:cs="Times New Roman"/>
                      <w:b/>
                      <w:bCs/>
                      <w:spacing w:val="1"/>
                      <w:position w:val="6"/>
                      <w:sz w:val="13"/>
                      <w:szCs w:val="13"/>
                    </w:rPr>
                    <w:t>3</w:t>
                  </w:r>
                  <w:r>
                    <w:rPr>
                      <w:b/>
                      <w:bCs/>
                      <w:spacing w:val="1"/>
                      <w:sz w:val="20"/>
                      <w:szCs w:val="20"/>
                    </w:rPr>
                    <w:t>）</w:t>
                  </w:r>
                </w:p>
              </w:tc>
            </w:tr>
            <w:tr w14:paraId="2AEDC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171" w:type="dxa"/>
                  <w:vMerge w:val="continue"/>
                  <w:tcBorders>
                    <w:top w:val="nil"/>
                  </w:tcBorders>
                  <w:vAlign w:val="top"/>
                </w:tcPr>
                <w:p w14:paraId="40267E22">
                  <w:pPr>
                    <w:rPr>
                      <w:rFonts w:ascii="Arial"/>
                      <w:sz w:val="21"/>
                    </w:rPr>
                  </w:pPr>
                </w:p>
              </w:tc>
              <w:tc>
                <w:tcPr>
                  <w:tcW w:w="876" w:type="dxa"/>
                  <w:vAlign w:val="top"/>
                </w:tcPr>
                <w:p w14:paraId="1D886CBD">
                  <w:pPr>
                    <w:spacing w:before="158" w:line="199" w:lineRule="auto"/>
                    <w:ind w:left="206"/>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9"/>
                      <w:position w:val="-1"/>
                      <w:sz w:val="13"/>
                      <w:szCs w:val="13"/>
                    </w:rPr>
                    <w:t>10</w:t>
                  </w:r>
                </w:p>
              </w:tc>
              <w:tc>
                <w:tcPr>
                  <w:tcW w:w="876" w:type="dxa"/>
                  <w:vAlign w:val="top"/>
                </w:tcPr>
                <w:p w14:paraId="08C7CAA1">
                  <w:pPr>
                    <w:spacing w:before="158" w:line="199" w:lineRule="auto"/>
                    <w:ind w:left="19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5"/>
                      <w:position w:val="-1"/>
                      <w:sz w:val="13"/>
                      <w:szCs w:val="13"/>
                    </w:rPr>
                    <w:t>2.5</w:t>
                  </w:r>
                </w:p>
              </w:tc>
              <w:tc>
                <w:tcPr>
                  <w:tcW w:w="877" w:type="dxa"/>
                  <w:vAlign w:val="top"/>
                </w:tcPr>
                <w:p w14:paraId="5F657713">
                  <w:pPr>
                    <w:spacing w:before="155" w:line="202" w:lineRule="auto"/>
                    <w:ind w:left="27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6"/>
                      <w:position w:val="-1"/>
                      <w:sz w:val="13"/>
                      <w:szCs w:val="13"/>
                    </w:rPr>
                    <w:t>2</w:t>
                  </w:r>
                </w:p>
              </w:tc>
              <w:tc>
                <w:tcPr>
                  <w:tcW w:w="878" w:type="dxa"/>
                  <w:vAlign w:val="top"/>
                </w:tcPr>
                <w:p w14:paraId="5DDE3A94">
                  <w:pPr>
                    <w:spacing w:before="155" w:line="202" w:lineRule="auto"/>
                    <w:ind w:left="249"/>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NO</w:t>
                  </w:r>
                  <w:r>
                    <w:rPr>
                      <w:rFonts w:ascii="Times New Roman" w:hAnsi="Times New Roman" w:eastAsia="Times New Roman" w:cs="Times New Roman"/>
                      <w:b/>
                      <w:bCs/>
                      <w:spacing w:val="14"/>
                      <w:position w:val="-1"/>
                      <w:sz w:val="13"/>
                      <w:szCs w:val="13"/>
                    </w:rPr>
                    <w:t>2</w:t>
                  </w:r>
                </w:p>
              </w:tc>
              <w:tc>
                <w:tcPr>
                  <w:tcW w:w="1649" w:type="dxa"/>
                  <w:vMerge w:val="continue"/>
                  <w:tcBorders>
                    <w:top w:val="nil"/>
                  </w:tcBorders>
                  <w:vAlign w:val="top"/>
                </w:tcPr>
                <w:p w14:paraId="5889B050">
                  <w:pPr>
                    <w:rPr>
                      <w:rFonts w:ascii="Arial"/>
                      <w:sz w:val="21"/>
                    </w:rPr>
                  </w:pPr>
                </w:p>
              </w:tc>
              <w:tc>
                <w:tcPr>
                  <w:tcW w:w="1655" w:type="dxa"/>
                  <w:vMerge w:val="continue"/>
                  <w:tcBorders>
                    <w:top w:val="nil"/>
                  </w:tcBorders>
                  <w:vAlign w:val="top"/>
                </w:tcPr>
                <w:p w14:paraId="1396FD66">
                  <w:pPr>
                    <w:rPr>
                      <w:rFonts w:ascii="Arial"/>
                      <w:sz w:val="21"/>
                    </w:rPr>
                  </w:pPr>
                </w:p>
              </w:tc>
            </w:tr>
            <w:tr w14:paraId="21832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7EDC568F">
                  <w:pPr>
                    <w:pStyle w:val="6"/>
                    <w:spacing w:before="43"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2AF731D9">
                  <w:pPr>
                    <w:pStyle w:val="6"/>
                    <w:spacing w:before="24" w:line="228" w:lineRule="auto"/>
                    <w:ind w:left="171"/>
                    <w:rPr>
                      <w:sz w:val="20"/>
                      <w:szCs w:val="20"/>
                    </w:rPr>
                  </w:pPr>
                  <w:r>
                    <w:rPr>
                      <w:spacing w:val="7"/>
                      <w:sz w:val="20"/>
                      <w:szCs w:val="20"/>
                    </w:rPr>
                    <w:t>第一季度</w:t>
                  </w:r>
                </w:p>
              </w:tc>
              <w:tc>
                <w:tcPr>
                  <w:tcW w:w="876" w:type="dxa"/>
                  <w:vAlign w:val="top"/>
                </w:tcPr>
                <w:p w14:paraId="0F0E8A03">
                  <w:pPr>
                    <w:spacing w:before="216" w:line="195"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876" w:type="dxa"/>
                  <w:vAlign w:val="top"/>
                </w:tcPr>
                <w:p w14:paraId="5791169A">
                  <w:pPr>
                    <w:spacing w:before="216"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77" w:type="dxa"/>
                  <w:vAlign w:val="top"/>
                </w:tcPr>
                <w:p w14:paraId="6E3AEFBF">
                  <w:pPr>
                    <w:spacing w:before="21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78" w:type="dxa"/>
                  <w:vAlign w:val="top"/>
                </w:tcPr>
                <w:p w14:paraId="2E3B5638">
                  <w:pPr>
                    <w:spacing w:before="216"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649" w:type="dxa"/>
                  <w:vAlign w:val="top"/>
                </w:tcPr>
                <w:p w14:paraId="1A7F26F5">
                  <w:pPr>
                    <w:spacing w:before="216"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655" w:type="dxa"/>
                  <w:vAlign w:val="top"/>
                </w:tcPr>
                <w:p w14:paraId="6E72F92D">
                  <w:pPr>
                    <w:spacing w:before="216"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r>
            <w:tr w14:paraId="2B7CD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6517FB8E">
                  <w:pPr>
                    <w:pStyle w:val="6"/>
                    <w:spacing w:before="44"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3A41F782">
                  <w:pPr>
                    <w:pStyle w:val="6"/>
                    <w:spacing w:before="24" w:line="227" w:lineRule="auto"/>
                    <w:ind w:left="171"/>
                    <w:rPr>
                      <w:sz w:val="20"/>
                      <w:szCs w:val="20"/>
                    </w:rPr>
                  </w:pPr>
                  <w:r>
                    <w:rPr>
                      <w:spacing w:val="7"/>
                      <w:sz w:val="20"/>
                      <w:szCs w:val="20"/>
                    </w:rPr>
                    <w:t>第二季度</w:t>
                  </w:r>
                </w:p>
              </w:tc>
              <w:tc>
                <w:tcPr>
                  <w:tcW w:w="876" w:type="dxa"/>
                  <w:vAlign w:val="top"/>
                </w:tcPr>
                <w:p w14:paraId="335C55D2">
                  <w:pPr>
                    <w:spacing w:before="217"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76" w:type="dxa"/>
                  <w:vAlign w:val="top"/>
                </w:tcPr>
                <w:p w14:paraId="29A13C3F">
                  <w:pPr>
                    <w:spacing w:before="217"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77" w:type="dxa"/>
                  <w:vAlign w:val="top"/>
                </w:tcPr>
                <w:p w14:paraId="34CD7AA1">
                  <w:pPr>
                    <w:spacing w:before="217"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78" w:type="dxa"/>
                  <w:vAlign w:val="top"/>
                </w:tcPr>
                <w:p w14:paraId="2DEE8484">
                  <w:pPr>
                    <w:spacing w:before="21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49" w:type="dxa"/>
                  <w:vAlign w:val="top"/>
                </w:tcPr>
                <w:p w14:paraId="6271F391">
                  <w:pPr>
                    <w:spacing w:before="217"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655" w:type="dxa"/>
                  <w:vAlign w:val="top"/>
                </w:tcPr>
                <w:p w14:paraId="09F551E6">
                  <w:pPr>
                    <w:spacing w:before="217"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110</w:t>
                  </w:r>
                </w:p>
              </w:tc>
            </w:tr>
            <w:tr w14:paraId="52E6E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0BAEA059">
                  <w:pPr>
                    <w:pStyle w:val="6"/>
                    <w:spacing w:before="45"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397D8D0C">
                  <w:pPr>
                    <w:pStyle w:val="6"/>
                    <w:spacing w:before="24" w:line="226" w:lineRule="auto"/>
                    <w:ind w:left="171"/>
                    <w:rPr>
                      <w:sz w:val="20"/>
                      <w:szCs w:val="20"/>
                    </w:rPr>
                  </w:pPr>
                  <w:r>
                    <w:rPr>
                      <w:spacing w:val="7"/>
                      <w:sz w:val="20"/>
                      <w:szCs w:val="20"/>
                    </w:rPr>
                    <w:t>第三季度</w:t>
                  </w:r>
                </w:p>
              </w:tc>
              <w:tc>
                <w:tcPr>
                  <w:tcW w:w="876" w:type="dxa"/>
                  <w:vAlign w:val="top"/>
                </w:tcPr>
                <w:p w14:paraId="7DDCCD4F">
                  <w:pPr>
                    <w:spacing w:before="21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76" w:type="dxa"/>
                  <w:vAlign w:val="top"/>
                </w:tcPr>
                <w:p w14:paraId="19BD92F5">
                  <w:pPr>
                    <w:spacing w:before="219"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77" w:type="dxa"/>
                  <w:vAlign w:val="top"/>
                </w:tcPr>
                <w:p w14:paraId="174304E9">
                  <w:pPr>
                    <w:spacing w:before="221" w:line="192"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78" w:type="dxa"/>
                  <w:vAlign w:val="top"/>
                </w:tcPr>
                <w:p w14:paraId="52045D38">
                  <w:pPr>
                    <w:spacing w:before="218"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49" w:type="dxa"/>
                  <w:vAlign w:val="top"/>
                </w:tcPr>
                <w:p w14:paraId="1C995069">
                  <w:pPr>
                    <w:spacing w:before="218"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655" w:type="dxa"/>
                  <w:vAlign w:val="top"/>
                </w:tcPr>
                <w:p w14:paraId="7940DB11">
                  <w:pPr>
                    <w:spacing w:before="218"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r>
            <w:tr w14:paraId="7B4FF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4FB88D71">
                  <w:pPr>
                    <w:pStyle w:val="6"/>
                    <w:spacing w:before="44"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3B65EA88">
                  <w:pPr>
                    <w:pStyle w:val="6"/>
                    <w:spacing w:before="27" w:line="224" w:lineRule="auto"/>
                    <w:ind w:left="171"/>
                    <w:rPr>
                      <w:sz w:val="20"/>
                      <w:szCs w:val="20"/>
                    </w:rPr>
                  </w:pPr>
                  <w:r>
                    <w:rPr>
                      <w:spacing w:val="7"/>
                      <w:sz w:val="20"/>
                      <w:szCs w:val="20"/>
                    </w:rPr>
                    <w:t>第四季度</w:t>
                  </w:r>
                </w:p>
              </w:tc>
              <w:tc>
                <w:tcPr>
                  <w:tcW w:w="876" w:type="dxa"/>
                  <w:vAlign w:val="top"/>
                </w:tcPr>
                <w:p w14:paraId="63FA1E51">
                  <w:pPr>
                    <w:spacing w:before="220"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876" w:type="dxa"/>
                  <w:vAlign w:val="top"/>
                </w:tcPr>
                <w:p w14:paraId="435746C9">
                  <w:pPr>
                    <w:spacing w:before="220"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77" w:type="dxa"/>
                  <w:vAlign w:val="top"/>
                </w:tcPr>
                <w:p w14:paraId="6365B212">
                  <w:pPr>
                    <w:spacing w:before="223" w:line="192"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78" w:type="dxa"/>
                  <w:vAlign w:val="top"/>
                </w:tcPr>
                <w:p w14:paraId="27627968">
                  <w:pPr>
                    <w:spacing w:before="220"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649" w:type="dxa"/>
                  <w:vAlign w:val="top"/>
                </w:tcPr>
                <w:p w14:paraId="534E8C09">
                  <w:pPr>
                    <w:spacing w:before="220"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1655" w:type="dxa"/>
                  <w:vAlign w:val="top"/>
                </w:tcPr>
                <w:p w14:paraId="25A5A05A">
                  <w:pPr>
                    <w:spacing w:before="220"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115</w:t>
                  </w:r>
                </w:p>
              </w:tc>
            </w:tr>
            <w:tr w14:paraId="4E98A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171" w:type="dxa"/>
                  <w:vAlign w:val="top"/>
                </w:tcPr>
                <w:p w14:paraId="536453C6">
                  <w:pPr>
                    <w:pStyle w:val="6"/>
                    <w:spacing w:before="142" w:line="228" w:lineRule="auto"/>
                    <w:ind w:left="277"/>
                    <w:rPr>
                      <w:sz w:val="20"/>
                      <w:szCs w:val="20"/>
                    </w:rPr>
                  </w:pPr>
                  <w:r>
                    <w:rPr>
                      <w:spacing w:val="6"/>
                      <w:sz w:val="20"/>
                      <w:szCs w:val="20"/>
                    </w:rPr>
                    <w:t>标准值</w:t>
                  </w:r>
                </w:p>
              </w:tc>
              <w:tc>
                <w:tcPr>
                  <w:tcW w:w="876" w:type="dxa"/>
                  <w:vAlign w:val="top"/>
                </w:tcPr>
                <w:p w14:paraId="4ED466CC">
                  <w:pPr>
                    <w:spacing w:before="17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76" w:type="dxa"/>
                  <w:vAlign w:val="top"/>
                </w:tcPr>
                <w:p w14:paraId="4C151251">
                  <w:pPr>
                    <w:spacing w:before="17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77" w:type="dxa"/>
                  <w:vAlign w:val="top"/>
                </w:tcPr>
                <w:p w14:paraId="26D5B21B">
                  <w:pPr>
                    <w:spacing w:before="178"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78" w:type="dxa"/>
                  <w:vAlign w:val="top"/>
                </w:tcPr>
                <w:p w14:paraId="20668C9A">
                  <w:pPr>
                    <w:spacing w:before="17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49" w:type="dxa"/>
                  <w:vAlign w:val="top"/>
                </w:tcPr>
                <w:p w14:paraId="32E0B730">
                  <w:pPr>
                    <w:spacing w:before="178"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655" w:type="dxa"/>
                  <w:vAlign w:val="top"/>
                </w:tcPr>
                <w:p w14:paraId="1A464015">
                  <w:pPr>
                    <w:spacing w:before="178"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w:t>
                  </w:r>
                </w:p>
              </w:tc>
            </w:tr>
          </w:tbl>
          <w:p w14:paraId="53243318">
            <w:pPr>
              <w:pStyle w:val="6"/>
              <w:spacing w:before="157" w:line="335" w:lineRule="auto"/>
              <w:ind w:left="110" w:right="103" w:firstLine="508"/>
              <w:jc w:val="both"/>
            </w:pPr>
            <w:r>
              <w:t>由上表可知，评价区域内各监测点的监测因子达到了《环境空气质量标</w:t>
            </w:r>
            <w:r>
              <w:rPr>
                <w:spacing w:val="13"/>
              </w:rPr>
              <w:t xml:space="preserve"> </w:t>
            </w:r>
            <w:r>
              <w:t>准》（</w:t>
            </w:r>
            <w:r>
              <w:rPr>
                <w:rFonts w:ascii="Times New Roman" w:hAnsi="Times New Roman" w:eastAsia="Times New Roman" w:cs="Times New Roman"/>
              </w:rPr>
              <w:t>GB3095-2012</w:t>
            </w:r>
            <w:r>
              <w:t>）及其</w:t>
            </w:r>
            <w:r>
              <w:rPr>
                <w:spacing w:val="-55"/>
              </w:rPr>
              <w:t xml:space="preserve"> </w:t>
            </w:r>
            <w:r>
              <w:rPr>
                <w:rFonts w:ascii="Times New Roman" w:hAnsi="Times New Roman" w:eastAsia="Times New Roman" w:cs="Times New Roman"/>
              </w:rPr>
              <w:t xml:space="preserve">2018 </w:t>
            </w:r>
            <w:r>
              <w:t>修改</w:t>
            </w:r>
            <w:r>
              <w:rPr>
                <w:spacing w:val="-1"/>
              </w:rPr>
              <w:t>单中的二级标准限值，项目所在区域环</w:t>
            </w:r>
            <w:r>
              <w:t xml:space="preserve"> </w:t>
            </w:r>
            <w:r>
              <w:rPr>
                <w:spacing w:val="-2"/>
              </w:rPr>
              <w:t>境空气质量为达标区。</w:t>
            </w:r>
          </w:p>
          <w:p w14:paraId="35C0A50E">
            <w:pPr>
              <w:pStyle w:val="6"/>
              <w:spacing w:line="219" w:lineRule="auto"/>
              <w:ind w:left="591"/>
            </w:pPr>
            <w:r>
              <w:rPr>
                <w:spacing w:val="-2"/>
              </w:rPr>
              <w:t>（</w:t>
            </w:r>
            <w:r>
              <w:rPr>
                <w:rFonts w:ascii="Times New Roman" w:hAnsi="Times New Roman" w:eastAsia="Times New Roman" w:cs="Times New Roman"/>
                <w:spacing w:val="-2"/>
              </w:rPr>
              <w:t>2</w:t>
            </w:r>
            <w:r>
              <w:rPr>
                <w:spacing w:val="-2"/>
              </w:rPr>
              <w:t>）特征污染物环境质量现状</w:t>
            </w:r>
          </w:p>
          <w:p w14:paraId="630F7964">
            <w:pPr>
              <w:pStyle w:val="6"/>
              <w:spacing w:before="151" w:line="336" w:lineRule="auto"/>
              <w:ind w:left="109" w:right="103" w:firstLine="482"/>
            </w:pPr>
            <w:r>
              <w:rPr>
                <w:spacing w:val="1"/>
              </w:rPr>
              <w:t>为了解本项目评价范围内的环境空气质量现状，本次评价委托广东惠利</w:t>
            </w:r>
            <w:r>
              <w:rPr>
                <w:spacing w:val="8"/>
              </w:rPr>
              <w:t xml:space="preserve"> </w:t>
            </w:r>
            <w:r>
              <w:rPr>
                <w:spacing w:val="1"/>
              </w:rPr>
              <w:t>通环境科技有限公司于</w:t>
            </w:r>
            <w:r>
              <w:rPr>
                <w:rFonts w:ascii="Times New Roman" w:hAnsi="Times New Roman" w:eastAsia="Times New Roman" w:cs="Times New Roman"/>
                <w:spacing w:val="1"/>
              </w:rPr>
              <w:t>2025</w:t>
            </w:r>
            <w:r>
              <w:rPr>
                <w:spacing w:val="1"/>
              </w:rPr>
              <w:t>年</w:t>
            </w:r>
            <w:r>
              <w:rPr>
                <w:rFonts w:ascii="Times New Roman" w:hAnsi="Times New Roman" w:eastAsia="Times New Roman" w:cs="Times New Roman"/>
                <w:spacing w:val="1"/>
              </w:rPr>
              <w:t>3</w:t>
            </w:r>
            <w:r>
              <w:rPr>
                <w:spacing w:val="1"/>
              </w:rPr>
              <w:t>月</w:t>
            </w:r>
            <w:r>
              <w:rPr>
                <w:rFonts w:ascii="Times New Roman" w:hAnsi="Times New Roman" w:eastAsia="Times New Roman" w:cs="Times New Roman"/>
                <w:spacing w:val="1"/>
              </w:rPr>
              <w:t>29</w:t>
            </w:r>
            <w:r>
              <w:rPr>
                <w:spacing w:val="1"/>
              </w:rPr>
              <w:t>日至</w:t>
            </w:r>
            <w:r>
              <w:rPr>
                <w:rFonts w:ascii="Times New Roman" w:hAnsi="Times New Roman" w:eastAsia="Times New Roman" w:cs="Times New Roman"/>
                <w:spacing w:val="1"/>
              </w:rPr>
              <w:t>3</w:t>
            </w:r>
            <w:r>
              <w:rPr>
                <w:spacing w:val="1"/>
              </w:rPr>
              <w:t>月</w:t>
            </w:r>
            <w:r>
              <w:rPr>
                <w:rFonts w:ascii="Times New Roman" w:hAnsi="Times New Roman" w:eastAsia="Times New Roman" w:cs="Times New Roman"/>
                <w:spacing w:val="1"/>
              </w:rPr>
              <w:t>31</w:t>
            </w:r>
            <w:r>
              <w:rPr>
                <w:spacing w:val="1"/>
              </w:rPr>
              <w:t>日对位于场址内的空气质量进</w:t>
            </w:r>
            <w:r>
              <w:rPr>
                <w:spacing w:val="4"/>
              </w:rPr>
              <w:t xml:space="preserve"> </w:t>
            </w:r>
            <w:r>
              <w:rPr>
                <w:spacing w:val="-1"/>
              </w:rPr>
              <w:t>行监测，监测结果如下表：</w:t>
            </w:r>
          </w:p>
          <w:p w14:paraId="2A661B5D">
            <w:pPr>
              <w:pStyle w:val="6"/>
              <w:spacing w:before="115" w:line="219" w:lineRule="auto"/>
              <w:ind w:left="2460"/>
            </w:pPr>
            <w:r>
              <w:rPr>
                <w:b/>
                <w:bCs/>
                <w:spacing w:val="-2"/>
              </w:rPr>
              <w:t>表</w:t>
            </w:r>
            <w:r>
              <w:rPr>
                <w:spacing w:val="-53"/>
              </w:rPr>
              <w:t xml:space="preserve"> </w:t>
            </w:r>
            <w:r>
              <w:rPr>
                <w:rFonts w:ascii="Times New Roman" w:hAnsi="Times New Roman" w:eastAsia="Times New Roman" w:cs="Times New Roman"/>
                <w:b/>
                <w:bCs/>
                <w:spacing w:val="-2"/>
              </w:rPr>
              <w:t xml:space="preserve">3-2    </w:t>
            </w:r>
            <w:r>
              <w:rPr>
                <w:b/>
                <w:bCs/>
                <w:spacing w:val="-2"/>
              </w:rPr>
              <w:t>补充监测点位基本信息</w:t>
            </w:r>
          </w:p>
        </w:tc>
      </w:tr>
      <w:tr w14:paraId="20D83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08" w:type="dxa"/>
            <w:vMerge w:val="continue"/>
            <w:tcBorders>
              <w:top w:val="nil"/>
              <w:left w:val="single" w:color="000000" w:sz="6" w:space="0"/>
              <w:bottom w:val="nil"/>
            </w:tcBorders>
            <w:vAlign w:val="top"/>
          </w:tcPr>
          <w:p w14:paraId="78481921">
            <w:pPr>
              <w:rPr>
                <w:rFonts w:ascii="Arial"/>
                <w:sz w:val="21"/>
              </w:rPr>
            </w:pPr>
          </w:p>
        </w:tc>
        <w:tc>
          <w:tcPr>
            <w:tcW w:w="1118" w:type="dxa"/>
            <w:vMerge w:val="restart"/>
            <w:tcBorders>
              <w:bottom w:val="nil"/>
            </w:tcBorders>
            <w:vAlign w:val="top"/>
          </w:tcPr>
          <w:p w14:paraId="6625475F">
            <w:pPr>
              <w:pStyle w:val="6"/>
              <w:spacing w:before="89" w:line="249" w:lineRule="auto"/>
              <w:ind w:left="344" w:right="158" w:firstLine="93"/>
              <w:rPr>
                <w:sz w:val="20"/>
                <w:szCs w:val="20"/>
              </w:rPr>
            </w:pPr>
            <w:r>
              <w:rPr>
                <w:spacing w:val="4"/>
                <w:sz w:val="20"/>
                <w:szCs w:val="20"/>
              </w:rPr>
              <w:t>监测</w:t>
            </w:r>
            <w:r>
              <w:rPr>
                <w:sz w:val="20"/>
                <w:szCs w:val="20"/>
              </w:rPr>
              <w:t xml:space="preserve">  </w:t>
            </w:r>
            <w:r>
              <w:rPr>
                <w:spacing w:val="3"/>
                <w:sz w:val="20"/>
                <w:szCs w:val="20"/>
              </w:rPr>
              <w:t>点名称</w:t>
            </w:r>
          </w:p>
        </w:tc>
        <w:tc>
          <w:tcPr>
            <w:tcW w:w="1577" w:type="dxa"/>
            <w:gridSpan w:val="2"/>
            <w:vAlign w:val="top"/>
          </w:tcPr>
          <w:p w14:paraId="7BFF4E6C">
            <w:pPr>
              <w:pStyle w:val="6"/>
              <w:spacing w:before="92" w:line="228" w:lineRule="auto"/>
              <w:ind w:left="154"/>
              <w:rPr>
                <w:rFonts w:ascii="Times New Roman" w:hAnsi="Times New Roman" w:eastAsia="Times New Roman" w:cs="Times New Roman"/>
                <w:sz w:val="20"/>
                <w:szCs w:val="20"/>
              </w:rPr>
            </w:pPr>
            <w:r>
              <w:rPr>
                <w:spacing w:val="7"/>
                <w:sz w:val="20"/>
                <w:szCs w:val="20"/>
              </w:rPr>
              <w:t>监测点坐标</w:t>
            </w:r>
            <w:r>
              <w:rPr>
                <w:rFonts w:ascii="Times New Roman" w:hAnsi="Times New Roman" w:eastAsia="Times New Roman" w:cs="Times New Roman"/>
                <w:spacing w:val="7"/>
                <w:sz w:val="20"/>
                <w:szCs w:val="20"/>
              </w:rPr>
              <w:t>/m</w:t>
            </w:r>
          </w:p>
        </w:tc>
        <w:tc>
          <w:tcPr>
            <w:tcW w:w="1917" w:type="dxa"/>
            <w:vMerge w:val="restart"/>
            <w:tcBorders>
              <w:bottom w:val="nil"/>
            </w:tcBorders>
            <w:vAlign w:val="top"/>
          </w:tcPr>
          <w:p w14:paraId="3C57AD1C">
            <w:pPr>
              <w:pStyle w:val="6"/>
              <w:spacing w:before="224" w:line="228" w:lineRule="auto"/>
              <w:ind w:left="543"/>
              <w:rPr>
                <w:sz w:val="20"/>
                <w:szCs w:val="20"/>
              </w:rPr>
            </w:pPr>
            <w:r>
              <w:rPr>
                <w:spacing w:val="7"/>
                <w:sz w:val="20"/>
                <w:szCs w:val="20"/>
              </w:rPr>
              <w:t>监测因子</w:t>
            </w:r>
          </w:p>
        </w:tc>
        <w:tc>
          <w:tcPr>
            <w:tcW w:w="1333" w:type="dxa"/>
            <w:vMerge w:val="restart"/>
            <w:tcBorders>
              <w:bottom w:val="nil"/>
            </w:tcBorders>
            <w:vAlign w:val="top"/>
          </w:tcPr>
          <w:p w14:paraId="07B50AF9">
            <w:pPr>
              <w:pStyle w:val="6"/>
              <w:spacing w:before="224" w:line="229" w:lineRule="auto"/>
              <w:ind w:left="253"/>
              <w:rPr>
                <w:sz w:val="20"/>
                <w:szCs w:val="20"/>
              </w:rPr>
            </w:pPr>
            <w:r>
              <w:rPr>
                <w:spacing w:val="7"/>
                <w:sz w:val="20"/>
                <w:szCs w:val="20"/>
              </w:rPr>
              <w:t>监测时段</w:t>
            </w:r>
          </w:p>
        </w:tc>
        <w:tc>
          <w:tcPr>
            <w:tcW w:w="1081" w:type="dxa"/>
            <w:vMerge w:val="restart"/>
            <w:tcBorders>
              <w:bottom w:val="nil"/>
            </w:tcBorders>
            <w:vAlign w:val="top"/>
          </w:tcPr>
          <w:p w14:paraId="47AED48B">
            <w:pPr>
              <w:pStyle w:val="6"/>
              <w:spacing w:before="90" w:line="228" w:lineRule="auto"/>
              <w:ind w:left="129"/>
              <w:rPr>
                <w:sz w:val="20"/>
                <w:szCs w:val="20"/>
              </w:rPr>
            </w:pPr>
            <w:r>
              <w:rPr>
                <w:spacing w:val="7"/>
                <w:sz w:val="20"/>
                <w:szCs w:val="20"/>
              </w:rPr>
              <w:t>相对厂址</w:t>
            </w:r>
          </w:p>
          <w:p w14:paraId="4E5D93E0">
            <w:pPr>
              <w:pStyle w:val="6"/>
              <w:spacing w:before="23" w:line="229" w:lineRule="auto"/>
              <w:ind w:left="341"/>
              <w:rPr>
                <w:sz w:val="20"/>
                <w:szCs w:val="20"/>
              </w:rPr>
            </w:pPr>
            <w:r>
              <w:rPr>
                <w:spacing w:val="4"/>
                <w:sz w:val="20"/>
                <w:szCs w:val="20"/>
              </w:rPr>
              <w:t>方位</w:t>
            </w:r>
          </w:p>
        </w:tc>
        <w:tc>
          <w:tcPr>
            <w:tcW w:w="973" w:type="dxa"/>
            <w:vMerge w:val="restart"/>
            <w:tcBorders>
              <w:bottom w:val="nil"/>
            </w:tcBorders>
            <w:vAlign w:val="top"/>
          </w:tcPr>
          <w:p w14:paraId="4920B0F0">
            <w:pPr>
              <w:pStyle w:val="6"/>
              <w:spacing w:before="90" w:line="228" w:lineRule="auto"/>
              <w:ind w:left="183"/>
              <w:rPr>
                <w:sz w:val="20"/>
                <w:szCs w:val="20"/>
              </w:rPr>
            </w:pPr>
            <w:r>
              <w:rPr>
                <w:spacing w:val="6"/>
                <w:sz w:val="20"/>
                <w:szCs w:val="20"/>
              </w:rPr>
              <w:t>相对厂</w:t>
            </w:r>
          </w:p>
          <w:p w14:paraId="120EF886">
            <w:pPr>
              <w:pStyle w:val="6"/>
              <w:spacing w:before="24" w:line="228" w:lineRule="auto"/>
              <w:ind w:left="188"/>
              <w:rPr>
                <w:sz w:val="20"/>
                <w:szCs w:val="20"/>
              </w:rPr>
            </w:pPr>
            <w:r>
              <w:rPr>
                <w:spacing w:val="5"/>
                <w:sz w:val="20"/>
                <w:szCs w:val="20"/>
              </w:rPr>
              <w:t>界距离</w:t>
            </w:r>
          </w:p>
        </w:tc>
        <w:tc>
          <w:tcPr>
            <w:tcW w:w="187" w:type="dxa"/>
            <w:vMerge w:val="restart"/>
            <w:tcBorders>
              <w:top w:val="nil"/>
              <w:bottom w:val="nil"/>
              <w:right w:val="single" w:color="000000" w:sz="6" w:space="0"/>
            </w:tcBorders>
            <w:vAlign w:val="top"/>
          </w:tcPr>
          <w:p w14:paraId="69B82D55">
            <w:pPr>
              <w:rPr>
                <w:rFonts w:ascii="Arial"/>
                <w:sz w:val="21"/>
              </w:rPr>
            </w:pPr>
          </w:p>
        </w:tc>
      </w:tr>
      <w:tr w14:paraId="4ED15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808" w:type="dxa"/>
            <w:vMerge w:val="continue"/>
            <w:tcBorders>
              <w:top w:val="nil"/>
              <w:left w:val="single" w:color="000000" w:sz="6" w:space="0"/>
              <w:bottom w:val="nil"/>
            </w:tcBorders>
            <w:vAlign w:val="top"/>
          </w:tcPr>
          <w:p w14:paraId="3C6F8766">
            <w:pPr>
              <w:rPr>
                <w:rFonts w:ascii="Arial"/>
                <w:sz w:val="21"/>
              </w:rPr>
            </w:pPr>
          </w:p>
        </w:tc>
        <w:tc>
          <w:tcPr>
            <w:tcW w:w="1118" w:type="dxa"/>
            <w:vMerge w:val="continue"/>
            <w:tcBorders>
              <w:top w:val="nil"/>
            </w:tcBorders>
            <w:vAlign w:val="top"/>
          </w:tcPr>
          <w:p w14:paraId="4F4A4358">
            <w:pPr>
              <w:rPr>
                <w:rFonts w:ascii="Arial"/>
                <w:sz w:val="21"/>
              </w:rPr>
            </w:pPr>
          </w:p>
        </w:tc>
        <w:tc>
          <w:tcPr>
            <w:tcW w:w="783" w:type="dxa"/>
            <w:vAlign w:val="top"/>
          </w:tcPr>
          <w:p w14:paraId="043B0BED">
            <w:pPr>
              <w:spacing w:before="76" w:line="181"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94" w:type="dxa"/>
            <w:vAlign w:val="top"/>
          </w:tcPr>
          <w:p w14:paraId="113DFBD5">
            <w:pPr>
              <w:spacing w:before="76" w:line="181"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917" w:type="dxa"/>
            <w:vMerge w:val="continue"/>
            <w:tcBorders>
              <w:top w:val="nil"/>
            </w:tcBorders>
            <w:vAlign w:val="top"/>
          </w:tcPr>
          <w:p w14:paraId="1C141A28">
            <w:pPr>
              <w:rPr>
                <w:rFonts w:ascii="Arial"/>
                <w:sz w:val="21"/>
              </w:rPr>
            </w:pPr>
          </w:p>
        </w:tc>
        <w:tc>
          <w:tcPr>
            <w:tcW w:w="1333" w:type="dxa"/>
            <w:vMerge w:val="continue"/>
            <w:tcBorders>
              <w:top w:val="nil"/>
            </w:tcBorders>
            <w:vAlign w:val="top"/>
          </w:tcPr>
          <w:p w14:paraId="1EAF0F95">
            <w:pPr>
              <w:rPr>
                <w:rFonts w:ascii="Arial"/>
                <w:sz w:val="21"/>
              </w:rPr>
            </w:pPr>
          </w:p>
        </w:tc>
        <w:tc>
          <w:tcPr>
            <w:tcW w:w="1081" w:type="dxa"/>
            <w:vMerge w:val="continue"/>
            <w:tcBorders>
              <w:top w:val="nil"/>
            </w:tcBorders>
            <w:vAlign w:val="top"/>
          </w:tcPr>
          <w:p w14:paraId="3B802295">
            <w:pPr>
              <w:rPr>
                <w:rFonts w:ascii="Arial"/>
                <w:sz w:val="21"/>
              </w:rPr>
            </w:pPr>
          </w:p>
        </w:tc>
        <w:tc>
          <w:tcPr>
            <w:tcW w:w="973" w:type="dxa"/>
            <w:vMerge w:val="continue"/>
            <w:tcBorders>
              <w:top w:val="nil"/>
            </w:tcBorders>
            <w:vAlign w:val="top"/>
          </w:tcPr>
          <w:p w14:paraId="418D1606">
            <w:pPr>
              <w:rPr>
                <w:rFonts w:ascii="Arial"/>
                <w:sz w:val="21"/>
              </w:rPr>
            </w:pPr>
          </w:p>
        </w:tc>
        <w:tc>
          <w:tcPr>
            <w:tcW w:w="187" w:type="dxa"/>
            <w:vMerge w:val="continue"/>
            <w:tcBorders>
              <w:top w:val="nil"/>
              <w:bottom w:val="nil"/>
              <w:right w:val="single" w:color="000000" w:sz="6" w:space="0"/>
            </w:tcBorders>
            <w:vAlign w:val="top"/>
          </w:tcPr>
          <w:p w14:paraId="67ECD144">
            <w:pPr>
              <w:rPr>
                <w:rFonts w:ascii="Arial"/>
                <w:sz w:val="21"/>
              </w:rPr>
            </w:pPr>
          </w:p>
        </w:tc>
      </w:tr>
      <w:tr w14:paraId="33BD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808" w:type="dxa"/>
            <w:vMerge w:val="continue"/>
            <w:tcBorders>
              <w:top w:val="nil"/>
              <w:left w:val="single" w:color="000000" w:sz="6" w:space="0"/>
              <w:bottom w:val="single" w:color="000000" w:sz="6" w:space="0"/>
            </w:tcBorders>
            <w:vAlign w:val="top"/>
          </w:tcPr>
          <w:p w14:paraId="09C70386">
            <w:pPr>
              <w:rPr>
                <w:rFonts w:ascii="Arial"/>
                <w:sz w:val="21"/>
              </w:rPr>
            </w:pPr>
          </w:p>
        </w:tc>
        <w:tc>
          <w:tcPr>
            <w:tcW w:w="1118" w:type="dxa"/>
            <w:tcBorders>
              <w:bottom w:val="single" w:color="000000" w:sz="6" w:space="0"/>
            </w:tcBorders>
            <w:vAlign w:val="top"/>
          </w:tcPr>
          <w:p w14:paraId="1632F6A7">
            <w:pPr>
              <w:spacing w:line="386" w:lineRule="auto"/>
              <w:rPr>
                <w:rFonts w:ascii="Arial"/>
                <w:sz w:val="21"/>
              </w:rPr>
            </w:pPr>
          </w:p>
          <w:p w14:paraId="09729FD8">
            <w:pPr>
              <w:pStyle w:val="6"/>
              <w:spacing w:before="65" w:line="228" w:lineRule="auto"/>
              <w:ind w:left="332"/>
              <w:rPr>
                <w:sz w:val="20"/>
                <w:szCs w:val="20"/>
              </w:rPr>
            </w:pPr>
            <w:r>
              <w:rPr>
                <w:spacing w:val="7"/>
                <w:sz w:val="20"/>
                <w:szCs w:val="20"/>
              </w:rPr>
              <w:t>场址内</w:t>
            </w:r>
          </w:p>
        </w:tc>
        <w:tc>
          <w:tcPr>
            <w:tcW w:w="783" w:type="dxa"/>
            <w:vAlign w:val="top"/>
          </w:tcPr>
          <w:p w14:paraId="3DB50BD1">
            <w:pPr>
              <w:spacing w:line="429" w:lineRule="auto"/>
              <w:rPr>
                <w:rFonts w:ascii="Arial"/>
                <w:sz w:val="21"/>
              </w:rPr>
            </w:pPr>
          </w:p>
          <w:p w14:paraId="37AC7614">
            <w:pPr>
              <w:spacing w:before="58"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4" w:type="dxa"/>
            <w:vAlign w:val="top"/>
          </w:tcPr>
          <w:p w14:paraId="70A46655">
            <w:pPr>
              <w:spacing w:line="429" w:lineRule="auto"/>
              <w:rPr>
                <w:rFonts w:ascii="Arial"/>
                <w:sz w:val="21"/>
              </w:rPr>
            </w:pPr>
          </w:p>
          <w:p w14:paraId="25448245">
            <w:pPr>
              <w:spacing w:before="5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17" w:type="dxa"/>
            <w:vAlign w:val="top"/>
          </w:tcPr>
          <w:p w14:paraId="39B0E53E">
            <w:pPr>
              <w:pStyle w:val="6"/>
              <w:spacing w:before="45" w:line="228" w:lineRule="auto"/>
              <w:ind w:left="126"/>
              <w:rPr>
                <w:sz w:val="20"/>
                <w:szCs w:val="20"/>
              </w:rPr>
            </w:pPr>
            <w:r>
              <w:rPr>
                <w:spacing w:val="8"/>
                <w:sz w:val="20"/>
                <w:szCs w:val="20"/>
              </w:rPr>
              <w:t>氯化氢、氟化氢 (</w:t>
            </w:r>
          </w:p>
          <w:p w14:paraId="3FE98255">
            <w:pPr>
              <w:pStyle w:val="6"/>
              <w:spacing w:before="24" w:line="228" w:lineRule="auto"/>
              <w:ind w:left="146"/>
              <w:rPr>
                <w:sz w:val="20"/>
                <w:szCs w:val="20"/>
              </w:rPr>
            </w:pPr>
            <w:r>
              <w:rPr>
                <w:spacing w:val="5"/>
                <w:sz w:val="20"/>
                <w:szCs w:val="20"/>
              </w:rPr>
              <w:t>以氟化物计）、硫</w:t>
            </w:r>
          </w:p>
          <w:p w14:paraId="392FC6FF">
            <w:pPr>
              <w:pStyle w:val="6"/>
              <w:spacing w:before="24" w:line="229" w:lineRule="auto"/>
              <w:ind w:left="123"/>
              <w:rPr>
                <w:sz w:val="20"/>
                <w:szCs w:val="20"/>
              </w:rPr>
            </w:pPr>
            <w:r>
              <w:rPr>
                <w:spacing w:val="8"/>
                <w:sz w:val="20"/>
                <w:szCs w:val="20"/>
              </w:rPr>
              <w:t>酸雾和硝酸雾（以</w:t>
            </w:r>
          </w:p>
          <w:p w14:paraId="740B0F5F">
            <w:pPr>
              <w:pStyle w:val="6"/>
              <w:spacing w:before="25" w:line="226" w:lineRule="auto"/>
              <w:ind w:left="332"/>
              <w:rPr>
                <w:sz w:val="20"/>
                <w:szCs w:val="20"/>
              </w:rPr>
            </w:pPr>
            <w:r>
              <w:rPr>
                <w:spacing w:val="7"/>
                <w:sz w:val="20"/>
                <w:szCs w:val="20"/>
              </w:rPr>
              <w:t>氮氧化物计）</w:t>
            </w:r>
          </w:p>
        </w:tc>
        <w:tc>
          <w:tcPr>
            <w:tcW w:w="1333" w:type="dxa"/>
            <w:vAlign w:val="top"/>
          </w:tcPr>
          <w:p w14:paraId="51671895">
            <w:pPr>
              <w:spacing w:line="310" w:lineRule="auto"/>
              <w:rPr>
                <w:rFonts w:ascii="Arial"/>
                <w:sz w:val="21"/>
              </w:rPr>
            </w:pPr>
          </w:p>
          <w:p w14:paraId="1543D1E1">
            <w:pPr>
              <w:spacing w:before="57"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2025.3.29~2</w:t>
            </w:r>
          </w:p>
          <w:p w14:paraId="65B3145B">
            <w:pPr>
              <w:spacing w:before="5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025.3.31</w:t>
            </w:r>
          </w:p>
        </w:tc>
        <w:tc>
          <w:tcPr>
            <w:tcW w:w="1081" w:type="dxa"/>
            <w:vAlign w:val="top"/>
          </w:tcPr>
          <w:p w14:paraId="269579C8">
            <w:pPr>
              <w:spacing w:line="250" w:lineRule="auto"/>
              <w:rPr>
                <w:rFonts w:ascii="Arial"/>
                <w:sz w:val="21"/>
              </w:rPr>
            </w:pPr>
          </w:p>
          <w:p w14:paraId="5DD437A3">
            <w:pPr>
              <w:pStyle w:val="6"/>
              <w:spacing w:before="65" w:line="228" w:lineRule="auto"/>
              <w:ind w:left="132"/>
              <w:rPr>
                <w:sz w:val="20"/>
                <w:szCs w:val="20"/>
              </w:rPr>
            </w:pPr>
            <w:r>
              <w:rPr>
                <w:spacing w:val="7"/>
                <w:sz w:val="20"/>
                <w:szCs w:val="20"/>
              </w:rPr>
              <w:t>项目区内</w:t>
            </w:r>
          </w:p>
          <w:p w14:paraId="16DFB745">
            <w:pPr>
              <w:pStyle w:val="6"/>
              <w:spacing w:before="24" w:line="228" w:lineRule="auto"/>
              <w:ind w:left="446"/>
              <w:rPr>
                <w:sz w:val="20"/>
                <w:szCs w:val="20"/>
              </w:rPr>
            </w:pPr>
            <w:r>
              <w:rPr>
                <w:sz w:val="20"/>
                <w:szCs w:val="20"/>
              </w:rPr>
              <w:t>部</w:t>
            </w:r>
          </w:p>
        </w:tc>
        <w:tc>
          <w:tcPr>
            <w:tcW w:w="973" w:type="dxa"/>
            <w:vAlign w:val="top"/>
          </w:tcPr>
          <w:p w14:paraId="41F31744">
            <w:pPr>
              <w:spacing w:line="386" w:lineRule="auto"/>
              <w:rPr>
                <w:rFonts w:ascii="Arial"/>
                <w:sz w:val="21"/>
              </w:rPr>
            </w:pPr>
          </w:p>
          <w:p w14:paraId="63DB8F9A">
            <w:pPr>
              <w:pStyle w:val="6"/>
              <w:spacing w:before="65" w:line="233" w:lineRule="auto"/>
              <w:ind w:left="212"/>
              <w:rPr>
                <w:rFonts w:ascii="Times New Roman" w:hAnsi="Times New Roman" w:eastAsia="Times New Roman" w:cs="Times New Roman"/>
                <w:sz w:val="20"/>
                <w:szCs w:val="20"/>
              </w:rPr>
            </w:pPr>
            <w:r>
              <w:rPr>
                <w:spacing w:val="3"/>
                <w:sz w:val="20"/>
                <w:szCs w:val="20"/>
              </w:rPr>
              <w:t>约</w:t>
            </w:r>
            <w:r>
              <w:rPr>
                <w:rFonts w:ascii="Times New Roman" w:hAnsi="Times New Roman" w:eastAsia="Times New Roman" w:cs="Times New Roman"/>
                <w:spacing w:val="3"/>
                <w:sz w:val="20"/>
                <w:szCs w:val="20"/>
              </w:rPr>
              <w:t>40m</w:t>
            </w:r>
          </w:p>
        </w:tc>
        <w:tc>
          <w:tcPr>
            <w:tcW w:w="187" w:type="dxa"/>
            <w:vMerge w:val="continue"/>
            <w:tcBorders>
              <w:top w:val="nil"/>
              <w:bottom w:val="single" w:color="000000" w:sz="6" w:space="0"/>
              <w:right w:val="single" w:color="000000" w:sz="6" w:space="0"/>
            </w:tcBorders>
            <w:vAlign w:val="top"/>
          </w:tcPr>
          <w:p w14:paraId="0E60CF92">
            <w:pPr>
              <w:rPr>
                <w:rFonts w:ascii="Arial"/>
                <w:sz w:val="21"/>
              </w:rPr>
            </w:pPr>
          </w:p>
        </w:tc>
      </w:tr>
    </w:tbl>
    <w:p w14:paraId="1E4E216C">
      <w:pPr>
        <w:rPr>
          <w:rFonts w:ascii="Arial"/>
          <w:sz w:val="21"/>
        </w:rPr>
      </w:pPr>
    </w:p>
    <w:p w14:paraId="71F16733">
      <w:pPr>
        <w:rPr>
          <w:rFonts w:ascii="Arial" w:hAnsi="Arial" w:eastAsia="Arial" w:cs="Arial"/>
          <w:sz w:val="21"/>
          <w:szCs w:val="21"/>
        </w:rPr>
        <w:sectPr>
          <w:footerReference r:id="rId50" w:type="default"/>
          <w:pgSz w:w="11907" w:h="16840"/>
          <w:pgMar w:top="400" w:right="1449" w:bottom="1240" w:left="1448" w:header="0" w:footer="1077" w:gutter="0"/>
          <w:cols w:space="720" w:num="1"/>
        </w:sectPr>
      </w:pPr>
    </w:p>
    <w:p w14:paraId="0D6E22F7">
      <w:pPr>
        <w:spacing w:before="19"/>
      </w:pPr>
    </w:p>
    <w:p w14:paraId="272AA644">
      <w:pPr>
        <w:spacing w:before="19"/>
      </w:pPr>
    </w:p>
    <w:p w14:paraId="5C4722DC">
      <w:pPr>
        <w:spacing w:before="19"/>
      </w:pPr>
    </w:p>
    <w:p w14:paraId="3D7A2041">
      <w:pPr>
        <w:spacing w:before="18"/>
      </w:pPr>
    </w:p>
    <w:p w14:paraId="3A3913EF">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0852E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28" w:hRule="atLeast"/>
        </w:trPr>
        <w:tc>
          <w:tcPr>
            <w:tcW w:w="808" w:type="dxa"/>
            <w:vMerge w:val="restart"/>
            <w:tcBorders>
              <w:bottom w:val="nil"/>
              <w:right w:val="single" w:color="000000" w:sz="2" w:space="0"/>
            </w:tcBorders>
            <w:vAlign w:val="top"/>
          </w:tcPr>
          <w:p w14:paraId="414BC790">
            <w:pPr>
              <w:rPr>
                <w:rFonts w:ascii="Arial"/>
                <w:sz w:val="21"/>
              </w:rPr>
            </w:pPr>
          </w:p>
        </w:tc>
        <w:tc>
          <w:tcPr>
            <w:tcW w:w="8186" w:type="dxa"/>
            <w:tcBorders>
              <w:left w:val="single" w:color="000000" w:sz="2" w:space="0"/>
              <w:bottom w:val="nil"/>
            </w:tcBorders>
            <w:vAlign w:val="top"/>
          </w:tcPr>
          <w:p w14:paraId="0FB706F6">
            <w:pPr>
              <w:spacing w:line="386" w:lineRule="auto"/>
              <w:rPr>
                <w:rFonts w:ascii="Arial"/>
                <w:sz w:val="21"/>
              </w:rPr>
            </w:pPr>
            <w:r>
              <w:drawing>
                <wp:anchor distT="0" distB="0" distL="0" distR="0" simplePos="0" relativeHeight="251670528" behindDoc="1" locked="0" layoutInCell="1" allowOverlap="1">
                  <wp:simplePos x="0" y="0"/>
                  <wp:positionH relativeFrom="rightMargin">
                    <wp:posOffset>-4977130</wp:posOffset>
                  </wp:positionH>
                  <wp:positionV relativeFrom="topMargin">
                    <wp:posOffset>233045</wp:posOffset>
                  </wp:positionV>
                  <wp:extent cx="4759325" cy="707453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98"/>
                          <a:stretch>
                            <a:fillRect/>
                          </a:stretch>
                        </pic:blipFill>
                        <pic:spPr>
                          <a:xfrm>
                            <a:off x="0" y="0"/>
                            <a:ext cx="4759452" cy="7074407"/>
                          </a:xfrm>
                          <a:prstGeom prst="rect">
                            <a:avLst/>
                          </a:prstGeom>
                        </pic:spPr>
                      </pic:pic>
                    </a:graphicData>
                  </a:graphic>
                </wp:anchor>
              </w:drawing>
            </w:r>
          </w:p>
          <w:p w14:paraId="0B32C90A">
            <w:pPr>
              <w:spacing w:line="1356" w:lineRule="exact"/>
              <w:ind w:firstLine="6985"/>
            </w:pPr>
            <w:r>
              <w:rPr>
                <w:position w:val="-27"/>
              </w:rPr>
              <w:drawing>
                <wp:inline distT="0" distB="0" distL="0" distR="0">
                  <wp:extent cx="531495" cy="8604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9"/>
                          <a:stretch>
                            <a:fillRect/>
                          </a:stretch>
                        </pic:blipFill>
                        <pic:spPr>
                          <a:xfrm>
                            <a:off x="0" y="0"/>
                            <a:ext cx="531876" cy="861059"/>
                          </a:xfrm>
                          <a:prstGeom prst="rect">
                            <a:avLst/>
                          </a:prstGeom>
                        </pic:spPr>
                      </pic:pic>
                    </a:graphicData>
                  </a:graphic>
                </wp:inline>
              </w:drawing>
            </w:r>
          </w:p>
          <w:p w14:paraId="490E554F">
            <w:pPr>
              <w:spacing w:line="255" w:lineRule="auto"/>
              <w:rPr>
                <w:rFonts w:ascii="Arial"/>
                <w:sz w:val="21"/>
              </w:rPr>
            </w:pPr>
          </w:p>
          <w:p w14:paraId="459F3B47">
            <w:pPr>
              <w:spacing w:line="255" w:lineRule="auto"/>
              <w:rPr>
                <w:rFonts w:ascii="Arial"/>
                <w:sz w:val="21"/>
              </w:rPr>
            </w:pPr>
          </w:p>
          <w:p w14:paraId="3961B9AB">
            <w:pPr>
              <w:spacing w:line="255" w:lineRule="auto"/>
              <w:rPr>
                <w:rFonts w:ascii="Arial"/>
                <w:sz w:val="21"/>
              </w:rPr>
            </w:pPr>
          </w:p>
          <w:p w14:paraId="25C21D41">
            <w:pPr>
              <w:spacing w:line="255" w:lineRule="auto"/>
              <w:rPr>
                <w:rFonts w:ascii="Arial"/>
                <w:sz w:val="21"/>
              </w:rPr>
            </w:pPr>
          </w:p>
          <w:p w14:paraId="66DFE813">
            <w:pPr>
              <w:spacing w:line="255" w:lineRule="auto"/>
              <w:rPr>
                <w:rFonts w:ascii="Arial"/>
                <w:sz w:val="21"/>
              </w:rPr>
            </w:pPr>
          </w:p>
          <w:p w14:paraId="43D939C7">
            <w:pPr>
              <w:spacing w:line="255" w:lineRule="auto"/>
              <w:rPr>
                <w:rFonts w:ascii="Arial"/>
                <w:sz w:val="21"/>
              </w:rPr>
            </w:pPr>
          </w:p>
          <w:p w14:paraId="0C25FAC0">
            <w:pPr>
              <w:spacing w:line="255" w:lineRule="auto"/>
              <w:rPr>
                <w:rFonts w:ascii="Arial"/>
                <w:sz w:val="21"/>
              </w:rPr>
            </w:pPr>
          </w:p>
          <w:p w14:paraId="34EC08AB">
            <w:pPr>
              <w:spacing w:line="256" w:lineRule="auto"/>
              <w:rPr>
                <w:rFonts w:ascii="Arial"/>
                <w:sz w:val="21"/>
              </w:rPr>
            </w:pPr>
          </w:p>
          <w:p w14:paraId="4DC13C97">
            <w:pPr>
              <w:spacing w:line="256" w:lineRule="auto"/>
              <w:rPr>
                <w:rFonts w:ascii="Arial"/>
                <w:sz w:val="21"/>
              </w:rPr>
            </w:pPr>
          </w:p>
          <w:p w14:paraId="489610F2">
            <w:pPr>
              <w:spacing w:line="256" w:lineRule="auto"/>
              <w:rPr>
                <w:rFonts w:ascii="Arial"/>
                <w:sz w:val="21"/>
              </w:rPr>
            </w:pPr>
          </w:p>
          <w:p w14:paraId="336B2403">
            <w:pPr>
              <w:spacing w:line="256" w:lineRule="auto"/>
              <w:rPr>
                <w:rFonts w:ascii="Arial"/>
                <w:sz w:val="21"/>
              </w:rPr>
            </w:pPr>
          </w:p>
          <w:p w14:paraId="73993070">
            <w:pPr>
              <w:pStyle w:val="6"/>
              <w:spacing w:line="3656" w:lineRule="exact"/>
              <w:ind w:firstLine="2810"/>
            </w:pPr>
            <w:r>
              <w:rPr>
                <w:position w:val="-73"/>
              </w:rPr>
              <w:pict>
                <v:group id="_x0000_s1034" o:spid="_x0000_s1034" o:spt="203" style="height:182.85pt;width:165.6pt;" coordsize="3312,3657">
                  <o:lock v:ext="edit"/>
                  <v:shape id="_x0000_s1035" o:spid="_x0000_s1035" o:spt="75" type="#_x0000_t75" style="position:absolute;left:0;top:0;height:3657;width:3312;" filled="f" stroked="f" coordsize="21600,21600">
                    <v:path/>
                    <v:fill on="f" focussize="0,0"/>
                    <v:stroke on="f"/>
                    <v:imagedata r:id="rId200" o:title=""/>
                    <o:lock v:ext="edit" aspectratio="t"/>
                  </v:shape>
                  <v:shape id="_x0000_s1036" o:spid="_x0000_s1036" o:spt="202" type="#_x0000_t202" style="position:absolute;left:-20;top:-20;height:3697;width:3352;" filled="f" stroked="f" coordsize="21600,21600">
                    <v:path/>
                    <v:fill on="f" focussize="0,0"/>
                    <v:stroke on="f"/>
                    <v:imagedata o:title=""/>
                    <o:lock v:ext="edit" aspectratio="f"/>
                    <v:textbox inset="0mm,0mm,0mm,0mm">
                      <w:txbxContent>
                        <w:p w14:paraId="0C34251E">
                          <w:pPr>
                            <w:spacing w:line="282" w:lineRule="auto"/>
                            <w:rPr>
                              <w:rFonts w:ascii="Arial"/>
                              <w:sz w:val="21"/>
                            </w:rPr>
                          </w:pPr>
                        </w:p>
                        <w:p w14:paraId="00778E43">
                          <w:pPr>
                            <w:spacing w:before="52" w:line="239" w:lineRule="auto"/>
                            <w:ind w:left="2337"/>
                            <w:rPr>
                              <w:rFonts w:ascii="宋体" w:hAnsi="宋体" w:eastAsia="宋体" w:cs="宋体"/>
                              <w:sz w:val="16"/>
                              <w:szCs w:val="16"/>
                            </w:rPr>
                          </w:pPr>
                          <w:r>
                            <w:rPr>
                              <w:rFonts w:ascii="宋体" w:hAnsi="宋体" w:eastAsia="宋体" w:cs="宋体"/>
                              <w:b/>
                              <w:bCs/>
                              <w:color w:val="FF0000"/>
                              <w:spacing w:val="-5"/>
                              <w:sz w:val="16"/>
                              <w:szCs w:val="16"/>
                            </w:rPr>
                            <w:t>▲2#</w:t>
                          </w:r>
                        </w:p>
                        <w:p w14:paraId="4FAC42B0">
                          <w:pPr>
                            <w:spacing w:line="339" w:lineRule="auto"/>
                            <w:rPr>
                              <w:rFonts w:ascii="Arial"/>
                              <w:sz w:val="21"/>
                            </w:rPr>
                          </w:pPr>
                        </w:p>
                        <w:p w14:paraId="2DAB0D0E">
                          <w:pPr>
                            <w:spacing w:line="340" w:lineRule="auto"/>
                            <w:rPr>
                              <w:rFonts w:ascii="Arial"/>
                              <w:sz w:val="21"/>
                            </w:rPr>
                          </w:pPr>
                        </w:p>
                        <w:p w14:paraId="221DDC6E">
                          <w:pPr>
                            <w:spacing w:before="52" w:line="239" w:lineRule="auto"/>
                            <w:ind w:left="391"/>
                            <w:rPr>
                              <w:rFonts w:ascii="宋体" w:hAnsi="宋体" w:eastAsia="宋体" w:cs="宋体"/>
                              <w:sz w:val="16"/>
                              <w:szCs w:val="16"/>
                            </w:rPr>
                          </w:pPr>
                          <w:r>
                            <w:rPr>
                              <w:rFonts w:ascii="宋体" w:hAnsi="宋体" w:eastAsia="宋体" w:cs="宋体"/>
                              <w:b/>
                              <w:bCs/>
                              <w:color w:val="FF0000"/>
                              <w:spacing w:val="-5"/>
                              <w:sz w:val="16"/>
                              <w:szCs w:val="16"/>
                            </w:rPr>
                            <w:t>▲1#</w:t>
                          </w:r>
                        </w:p>
                        <w:p w14:paraId="77CDAAAC">
                          <w:pPr>
                            <w:spacing w:line="324" w:lineRule="auto"/>
                            <w:rPr>
                              <w:rFonts w:ascii="Arial"/>
                              <w:sz w:val="21"/>
                            </w:rPr>
                          </w:pPr>
                        </w:p>
                        <w:p w14:paraId="50A3667C">
                          <w:pPr>
                            <w:spacing w:line="325" w:lineRule="auto"/>
                            <w:rPr>
                              <w:rFonts w:ascii="Arial"/>
                              <w:sz w:val="21"/>
                            </w:rPr>
                          </w:pPr>
                        </w:p>
                        <w:p w14:paraId="1B359525">
                          <w:pPr>
                            <w:spacing w:before="52" w:line="210" w:lineRule="exact"/>
                            <w:ind w:left="1692"/>
                            <w:rPr>
                              <w:rFonts w:ascii="宋体" w:hAnsi="宋体" w:eastAsia="宋体" w:cs="宋体"/>
                              <w:sz w:val="16"/>
                              <w:szCs w:val="16"/>
                            </w:rPr>
                          </w:pPr>
                          <w:r>
                            <w:rPr>
                              <w:rFonts w:ascii="宋体" w:hAnsi="宋体" w:eastAsia="宋体" w:cs="宋体"/>
                              <w:b/>
                              <w:bCs/>
                              <w:color w:val="FF0000"/>
                              <w:spacing w:val="-7"/>
                              <w:sz w:val="16"/>
                              <w:szCs w:val="16"/>
                            </w:rPr>
                            <w:t>○1#</w:t>
                          </w:r>
                          <w:r>
                            <w:rPr>
                              <w:rFonts w:ascii="宋体" w:hAnsi="宋体" w:eastAsia="宋体" w:cs="宋体"/>
                              <w:color w:val="FF0000"/>
                              <w:spacing w:val="6"/>
                              <w:sz w:val="16"/>
                              <w:szCs w:val="16"/>
                            </w:rPr>
                            <w:t xml:space="preserve">           </w:t>
                          </w:r>
                          <w:r>
                            <w:rPr>
                              <w:rFonts w:ascii="宋体" w:hAnsi="宋体" w:eastAsia="宋体" w:cs="宋体"/>
                              <w:b/>
                              <w:bCs/>
                              <w:color w:val="FF0000"/>
                              <w:spacing w:val="-7"/>
                              <w:sz w:val="16"/>
                              <w:szCs w:val="16"/>
                            </w:rPr>
                            <w:t>▲3#</w:t>
                          </w:r>
                        </w:p>
                        <w:p w14:paraId="4F3B73B1">
                          <w:pPr>
                            <w:spacing w:line="242" w:lineRule="auto"/>
                            <w:rPr>
                              <w:rFonts w:ascii="Arial"/>
                              <w:sz w:val="21"/>
                            </w:rPr>
                          </w:pPr>
                        </w:p>
                        <w:p w14:paraId="6336F889">
                          <w:pPr>
                            <w:spacing w:line="243" w:lineRule="auto"/>
                            <w:rPr>
                              <w:rFonts w:ascii="Arial"/>
                              <w:sz w:val="21"/>
                            </w:rPr>
                          </w:pPr>
                        </w:p>
                        <w:p w14:paraId="4C3459B2">
                          <w:pPr>
                            <w:spacing w:line="243" w:lineRule="auto"/>
                            <w:rPr>
                              <w:rFonts w:ascii="Arial"/>
                              <w:sz w:val="21"/>
                            </w:rPr>
                          </w:pPr>
                        </w:p>
                        <w:p w14:paraId="5D2E5C78">
                          <w:pPr>
                            <w:spacing w:before="52" w:line="239" w:lineRule="auto"/>
                            <w:ind w:left="777"/>
                            <w:rPr>
                              <w:rFonts w:ascii="宋体" w:hAnsi="宋体" w:eastAsia="宋体" w:cs="宋体"/>
                              <w:sz w:val="16"/>
                              <w:szCs w:val="16"/>
                            </w:rPr>
                          </w:pPr>
                          <w:r>
                            <w:rPr>
                              <w:rFonts w:ascii="宋体" w:hAnsi="宋体" w:eastAsia="宋体" w:cs="宋体"/>
                              <w:b/>
                              <w:bCs/>
                              <w:color w:val="FF0000"/>
                              <w:spacing w:val="-6"/>
                              <w:sz w:val="16"/>
                              <w:szCs w:val="16"/>
                            </w:rPr>
                            <w:t>▲4#</w:t>
                          </w:r>
                        </w:p>
                      </w:txbxContent>
                    </v:textbox>
                  </v:shape>
                  <w10:wrap type="none"/>
                  <w10:anchorlock/>
                </v:group>
              </w:pict>
            </w:r>
          </w:p>
          <w:p w14:paraId="7E4BDCA8">
            <w:pPr>
              <w:spacing w:line="250" w:lineRule="auto"/>
              <w:rPr>
                <w:rFonts w:ascii="Arial"/>
                <w:sz w:val="21"/>
              </w:rPr>
            </w:pPr>
          </w:p>
          <w:p w14:paraId="1646DFB0">
            <w:pPr>
              <w:spacing w:line="250" w:lineRule="auto"/>
              <w:rPr>
                <w:rFonts w:ascii="Arial"/>
                <w:sz w:val="21"/>
              </w:rPr>
            </w:pPr>
          </w:p>
          <w:p w14:paraId="085E0BEF">
            <w:pPr>
              <w:spacing w:line="250" w:lineRule="auto"/>
              <w:rPr>
                <w:rFonts w:ascii="Arial"/>
                <w:sz w:val="21"/>
              </w:rPr>
            </w:pPr>
          </w:p>
          <w:p w14:paraId="6C726292">
            <w:pPr>
              <w:spacing w:line="250" w:lineRule="auto"/>
              <w:rPr>
                <w:rFonts w:ascii="Arial"/>
                <w:sz w:val="21"/>
              </w:rPr>
            </w:pPr>
          </w:p>
          <w:p w14:paraId="2B29EF07">
            <w:pPr>
              <w:spacing w:line="250" w:lineRule="auto"/>
              <w:rPr>
                <w:rFonts w:ascii="Arial"/>
                <w:sz w:val="21"/>
              </w:rPr>
            </w:pPr>
          </w:p>
          <w:p w14:paraId="660B3DE1">
            <w:pPr>
              <w:spacing w:line="250" w:lineRule="auto"/>
              <w:rPr>
                <w:rFonts w:ascii="Arial"/>
                <w:sz w:val="21"/>
              </w:rPr>
            </w:pPr>
          </w:p>
          <w:p w14:paraId="36DACD3A">
            <w:pPr>
              <w:spacing w:line="250" w:lineRule="auto"/>
              <w:rPr>
                <w:rFonts w:ascii="Arial"/>
                <w:sz w:val="21"/>
              </w:rPr>
            </w:pPr>
          </w:p>
          <w:p w14:paraId="1CF4EFF3">
            <w:pPr>
              <w:spacing w:line="251" w:lineRule="auto"/>
              <w:rPr>
                <w:rFonts w:ascii="Arial"/>
                <w:sz w:val="21"/>
              </w:rPr>
            </w:pPr>
          </w:p>
          <w:p w14:paraId="53B8A6D7">
            <w:pPr>
              <w:pStyle w:val="6"/>
              <w:spacing w:line="1284" w:lineRule="exact"/>
              <w:ind w:firstLine="321"/>
            </w:pPr>
            <w:r>
              <w:rPr>
                <w:position w:val="-25"/>
              </w:rPr>
              <w:pict>
                <v:group id="_x0000_s1037" o:spid="_x0000_s1037" o:spt="203" style="height:64.25pt;width:132pt;" coordsize="2640,1285">
                  <o:lock v:ext="edit"/>
                  <v:shape id="_x0000_s1038" o:spid="_x0000_s1038" o:spt="202" type="#_x0000_t202" style="position:absolute;left:-20;top:-20;height:1325;width:2680;" filled="f" stroked="f" coordsize="21600,21600">
                    <v:path/>
                    <v:fill on="f" focussize="0,0"/>
                    <v:stroke on="f"/>
                    <v:imagedata o:title=""/>
                    <o:lock v:ext="edit" aspectratio="f"/>
                    <v:textbox inset="0mm,0mm,0mm,0mm">
                      <w:txbxContent>
                        <w:p w14:paraId="23CC67F6">
                          <w:pPr>
                            <w:spacing w:line="20" w:lineRule="exact"/>
                          </w:pPr>
                        </w:p>
                        <w:tbl>
                          <w:tblPr>
                            <w:tblStyle w:val="5"/>
                            <w:tblW w:w="2629" w:type="dxa"/>
                            <w:tblInd w:w="25" w:type="dxa"/>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Layout w:type="fixed"/>
                            <w:tblCellMar>
                              <w:top w:w="0" w:type="dxa"/>
                              <w:left w:w="0" w:type="dxa"/>
                              <w:bottom w:w="0" w:type="dxa"/>
                              <w:right w:w="0" w:type="dxa"/>
                            </w:tblCellMar>
                          </w:tblPr>
                          <w:tblGrid>
                            <w:gridCol w:w="2629"/>
                          </w:tblGrid>
                          <w:tr w14:paraId="37CC3F4B">
                            <w:tblPrEx>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CellMar>
                                <w:top w:w="0" w:type="dxa"/>
                                <w:left w:w="0" w:type="dxa"/>
                                <w:bottom w:w="0" w:type="dxa"/>
                                <w:right w:w="0" w:type="dxa"/>
                              </w:tblCellMar>
                            </w:tblPrEx>
                            <w:trPr>
                              <w:trHeight w:val="1264" w:hRule="atLeast"/>
                            </w:trPr>
                            <w:tc>
                              <w:tcPr>
                                <w:tcW w:w="2629" w:type="dxa"/>
                                <w:shd w:val="clear" w:color="auto" w:fill="F7F5F9"/>
                                <w:vAlign w:val="top"/>
                              </w:tcPr>
                              <w:p w14:paraId="0A30989C">
                                <w:pPr>
                                  <w:spacing w:before="108" w:line="229" w:lineRule="auto"/>
                                  <w:ind w:left="179"/>
                                  <w:rPr>
                                    <w:rFonts w:ascii="宋体" w:hAnsi="宋体" w:eastAsia="宋体" w:cs="宋体"/>
                                    <w:sz w:val="20"/>
                                    <w:szCs w:val="20"/>
                                  </w:rPr>
                                </w:pPr>
                                <w:r>
                                  <w:rPr>
                                    <w:rFonts w:ascii="宋体" w:hAnsi="宋体" w:eastAsia="宋体" w:cs="宋体"/>
                                    <w:color w:val="FF0000"/>
                                    <w:spacing w:val="-6"/>
                                    <w:sz w:val="20"/>
                                    <w:szCs w:val="20"/>
                                  </w:rPr>
                                  <w:t>图例</w:t>
                                </w:r>
                              </w:p>
                              <w:p w14:paraId="0F5D6162">
                                <w:pPr>
                                  <w:spacing w:before="25" w:line="228" w:lineRule="auto"/>
                                  <w:ind w:left="302"/>
                                  <w:rPr>
                                    <w:rFonts w:ascii="宋体" w:hAnsi="宋体" w:eastAsia="宋体" w:cs="宋体"/>
                                    <w:sz w:val="20"/>
                                    <w:szCs w:val="20"/>
                                  </w:rPr>
                                </w:pPr>
                                <w:r>
                                  <w:rPr>
                                    <w:rFonts w:ascii="宋体" w:hAnsi="宋体" w:eastAsia="宋体" w:cs="宋体"/>
                                    <w:color w:val="FF0000"/>
                                    <w:position w:val="3"/>
                                    <w:sz w:val="20"/>
                                    <w:szCs w:val="20"/>
                                  </w:rPr>
                                  <w:drawing>
                                    <wp:inline distT="0" distB="0" distL="0" distR="0">
                                      <wp:extent cx="264795" cy="158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01"/>
                                              <a:stretch>
                                                <a:fillRect/>
                                              </a:stretch>
                                            </pic:blipFill>
                                            <pic:spPr>
                                              <a:xfrm>
                                                <a:off x="0" y="0"/>
                                                <a:ext cx="265429" cy="15875"/>
                                              </a:xfrm>
                                              <a:prstGeom prst="rect">
                                                <a:avLst/>
                                              </a:prstGeom>
                                            </pic:spPr>
                                          </pic:pic>
                                        </a:graphicData>
                                      </a:graphic>
                                    </wp:inline>
                                  </w:drawing>
                                </w:r>
                                <w:r>
                                  <w:rPr>
                                    <w:rFonts w:ascii="宋体" w:hAnsi="宋体" w:eastAsia="宋体" w:cs="宋体"/>
                                    <w:color w:val="FF0000"/>
                                    <w:spacing w:val="-77"/>
                                    <w:sz w:val="20"/>
                                    <w:szCs w:val="20"/>
                                  </w:rPr>
                                  <w:t xml:space="preserve"> </w:t>
                                </w:r>
                                <w:r>
                                  <w:rPr>
                                    <w:rFonts w:ascii="宋体" w:hAnsi="宋体" w:eastAsia="宋体" w:cs="宋体"/>
                                    <w:color w:val="FF0000"/>
                                    <w:spacing w:val="8"/>
                                    <w:sz w:val="20"/>
                                    <w:szCs w:val="20"/>
                                  </w:rPr>
                                  <w:t>建设单位用地红线</w:t>
                                </w:r>
                              </w:p>
                              <w:p w14:paraId="754751A4">
                                <w:pPr>
                                  <w:spacing w:before="24" w:line="228" w:lineRule="auto"/>
                                  <w:ind w:left="1109"/>
                                  <w:rPr>
                                    <w:rFonts w:ascii="宋体" w:hAnsi="宋体" w:eastAsia="宋体" w:cs="宋体"/>
                                    <w:sz w:val="20"/>
                                    <w:szCs w:val="20"/>
                                  </w:rPr>
                                </w:pPr>
                                <w:r>
                                  <w:rPr>
                                    <w:rFonts w:ascii="Times New Roman" w:hAnsi="Times New Roman" w:eastAsia="Times New Roman" w:cs="Times New Roman"/>
                                    <w:color w:val="FF0000"/>
                                    <w:spacing w:val="5"/>
                                    <w:sz w:val="20"/>
                                    <w:szCs w:val="20"/>
                                  </w:rPr>
                                  <w:t>#</w:t>
                                </w:r>
                                <w:r>
                                  <w:rPr>
                                    <w:rFonts w:ascii="Times New Roman" w:hAnsi="Times New Roman" w:eastAsia="Times New Roman" w:cs="Times New Roman"/>
                                    <w:color w:val="FF0000"/>
                                    <w:spacing w:val="7"/>
                                    <w:sz w:val="20"/>
                                    <w:szCs w:val="20"/>
                                  </w:rPr>
                                  <w:t xml:space="preserve">    </w:t>
                                </w:r>
                                <w:r>
                                  <w:rPr>
                                    <w:rFonts w:ascii="宋体" w:hAnsi="宋体" w:eastAsia="宋体" w:cs="宋体"/>
                                    <w:color w:val="FF0000"/>
                                    <w:spacing w:val="5"/>
                                    <w:sz w:val="20"/>
                                    <w:szCs w:val="20"/>
                                  </w:rPr>
                                  <w:t>噪声监测点</w:t>
                                </w:r>
                              </w:p>
                              <w:p w14:paraId="4E88680D">
                                <w:pPr>
                                  <w:spacing w:before="26" w:line="228" w:lineRule="auto"/>
                                  <w:ind w:left="966"/>
                                  <w:rPr>
                                    <w:rFonts w:ascii="宋体" w:hAnsi="宋体" w:eastAsia="宋体" w:cs="宋体"/>
                                    <w:sz w:val="20"/>
                                    <w:szCs w:val="20"/>
                                  </w:rPr>
                                </w:pPr>
                                <w:r>
                                  <w:rPr>
                                    <w:rFonts w:ascii="宋体" w:hAnsi="宋体" w:eastAsia="宋体" w:cs="宋体"/>
                                    <w:color w:val="FF0000"/>
                                    <w:spacing w:val="5"/>
                                    <w:sz w:val="20"/>
                                    <w:szCs w:val="20"/>
                                  </w:rPr>
                                  <w:t>○大气监测点</w:t>
                                </w:r>
                              </w:p>
                            </w:tc>
                          </w:tr>
                        </w:tbl>
                        <w:p w14:paraId="33289122">
                          <w:pPr>
                            <w:rPr>
                              <w:rFonts w:ascii="Arial"/>
                              <w:sz w:val="21"/>
                            </w:rPr>
                          </w:pPr>
                        </w:p>
                      </w:txbxContent>
                    </v:textbox>
                  </v:shape>
                  <w10:wrap type="none"/>
                  <w10:anchorlock/>
                </v:group>
              </w:pict>
            </w:r>
          </w:p>
        </w:tc>
      </w:tr>
      <w:tr w14:paraId="69B0C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91" w:hRule="atLeast"/>
        </w:trPr>
        <w:tc>
          <w:tcPr>
            <w:tcW w:w="808" w:type="dxa"/>
            <w:vMerge w:val="continue"/>
            <w:tcBorders>
              <w:top w:val="nil"/>
              <w:right w:val="single" w:color="000000" w:sz="2" w:space="0"/>
            </w:tcBorders>
            <w:vAlign w:val="top"/>
          </w:tcPr>
          <w:p w14:paraId="04BE4DD6">
            <w:pPr>
              <w:rPr>
                <w:rFonts w:ascii="Arial"/>
                <w:sz w:val="21"/>
              </w:rPr>
            </w:pPr>
          </w:p>
        </w:tc>
        <w:tc>
          <w:tcPr>
            <w:tcW w:w="8186" w:type="dxa"/>
            <w:tcBorders>
              <w:top w:val="nil"/>
              <w:left w:val="single" w:color="000000" w:sz="2" w:space="0"/>
            </w:tcBorders>
            <w:vAlign w:val="top"/>
          </w:tcPr>
          <w:p w14:paraId="01DB90BD">
            <w:pPr>
              <w:pStyle w:val="6"/>
              <w:spacing w:before="230" w:line="220" w:lineRule="auto"/>
              <w:ind w:left="2604"/>
            </w:pPr>
            <w:r>
              <w:rPr>
                <w:b/>
                <w:bCs/>
                <w:spacing w:val="-4"/>
              </w:rPr>
              <w:t>图</w:t>
            </w:r>
            <w:r>
              <w:rPr>
                <w:spacing w:val="-45"/>
              </w:rPr>
              <w:t xml:space="preserve"> </w:t>
            </w:r>
            <w:r>
              <w:rPr>
                <w:rFonts w:ascii="Times New Roman" w:hAnsi="Times New Roman" w:eastAsia="Times New Roman" w:cs="Times New Roman"/>
                <w:b/>
                <w:bCs/>
                <w:spacing w:val="-4"/>
              </w:rPr>
              <w:t xml:space="preserve">3-1    </w:t>
            </w:r>
            <w:r>
              <w:rPr>
                <w:b/>
                <w:bCs/>
                <w:spacing w:val="-4"/>
              </w:rPr>
              <w:t>项目补充监测点位图</w:t>
            </w:r>
          </w:p>
        </w:tc>
      </w:tr>
    </w:tbl>
    <w:p w14:paraId="339E91C4">
      <w:pPr>
        <w:rPr>
          <w:rFonts w:ascii="Arial"/>
          <w:sz w:val="21"/>
        </w:rPr>
      </w:pPr>
    </w:p>
    <w:p w14:paraId="26DCFA71">
      <w:pPr>
        <w:rPr>
          <w:rFonts w:ascii="Arial" w:hAnsi="Arial" w:eastAsia="Arial" w:cs="Arial"/>
          <w:sz w:val="21"/>
          <w:szCs w:val="21"/>
        </w:rPr>
        <w:sectPr>
          <w:footerReference r:id="rId51" w:type="default"/>
          <w:pgSz w:w="11907" w:h="16840"/>
          <w:pgMar w:top="400" w:right="1449" w:bottom="1240" w:left="1448" w:header="0" w:footer="1077" w:gutter="0"/>
          <w:cols w:space="720" w:num="1"/>
        </w:sectPr>
      </w:pPr>
    </w:p>
    <w:p w14:paraId="0507CE01">
      <w:pPr>
        <w:spacing w:before="19"/>
      </w:pPr>
    </w:p>
    <w:p w14:paraId="12AD70A5">
      <w:pPr>
        <w:spacing w:before="19"/>
      </w:pPr>
    </w:p>
    <w:p w14:paraId="48F0C911">
      <w:pPr>
        <w:spacing w:before="19"/>
      </w:pPr>
    </w:p>
    <w:p w14:paraId="1A004C51">
      <w:pPr>
        <w:spacing w:before="18"/>
      </w:pPr>
    </w:p>
    <w:p w14:paraId="4B7967A8">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0FEB0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2" w:hRule="atLeast"/>
        </w:trPr>
        <w:tc>
          <w:tcPr>
            <w:tcW w:w="808" w:type="dxa"/>
            <w:tcBorders>
              <w:right w:val="single" w:color="000000" w:sz="2" w:space="0"/>
            </w:tcBorders>
            <w:vAlign w:val="top"/>
          </w:tcPr>
          <w:p w14:paraId="381BA607">
            <w:pPr>
              <w:rPr>
                <w:rFonts w:ascii="Arial"/>
                <w:sz w:val="21"/>
              </w:rPr>
            </w:pPr>
          </w:p>
        </w:tc>
        <w:tc>
          <w:tcPr>
            <w:tcW w:w="8186" w:type="dxa"/>
            <w:tcBorders>
              <w:left w:val="single" w:color="000000" w:sz="2" w:space="0"/>
            </w:tcBorders>
            <w:vAlign w:val="top"/>
          </w:tcPr>
          <w:p w14:paraId="768A7BC6">
            <w:pPr>
              <w:spacing w:line="320" w:lineRule="auto"/>
              <w:rPr>
                <w:rFonts w:ascii="Arial"/>
                <w:sz w:val="21"/>
              </w:rPr>
            </w:pPr>
          </w:p>
          <w:p w14:paraId="1149D757">
            <w:pPr>
              <w:pStyle w:val="6"/>
              <w:spacing w:before="78" w:line="219" w:lineRule="auto"/>
              <w:ind w:left="2218"/>
            </w:pPr>
            <w:r>
              <w:rPr>
                <w:b/>
                <w:bCs/>
                <w:spacing w:val="-2"/>
              </w:rPr>
              <w:t>表</w:t>
            </w:r>
            <w:r>
              <w:rPr>
                <w:spacing w:val="-51"/>
              </w:rPr>
              <w:t xml:space="preserve"> </w:t>
            </w:r>
            <w:r>
              <w:rPr>
                <w:rFonts w:ascii="Times New Roman" w:hAnsi="Times New Roman" w:eastAsia="Times New Roman" w:cs="Times New Roman"/>
                <w:b/>
                <w:bCs/>
                <w:spacing w:val="-2"/>
              </w:rPr>
              <w:t xml:space="preserve">3-3    </w:t>
            </w:r>
            <w:r>
              <w:rPr>
                <w:b/>
                <w:bCs/>
                <w:spacing w:val="-2"/>
              </w:rPr>
              <w:t>环境空气质量现状监测结果</w:t>
            </w:r>
          </w:p>
          <w:p w14:paraId="026722AC">
            <w:pPr>
              <w:spacing w:line="147" w:lineRule="exact"/>
            </w:pPr>
          </w:p>
          <w:tbl>
            <w:tblPr>
              <w:tblStyle w:val="5"/>
              <w:tblW w:w="7782" w:type="dxa"/>
              <w:tblInd w:w="1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7"/>
              <w:gridCol w:w="894"/>
              <w:gridCol w:w="907"/>
              <w:gridCol w:w="1230"/>
              <w:gridCol w:w="1410"/>
              <w:gridCol w:w="1199"/>
              <w:gridCol w:w="1045"/>
            </w:tblGrid>
            <w:tr w14:paraId="47C59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097" w:type="dxa"/>
                  <w:vMerge w:val="restart"/>
                  <w:tcBorders>
                    <w:bottom w:val="nil"/>
                  </w:tcBorders>
                  <w:vAlign w:val="top"/>
                </w:tcPr>
                <w:p w14:paraId="4E32C7B5">
                  <w:pPr>
                    <w:pStyle w:val="6"/>
                    <w:spacing w:before="177" w:line="229" w:lineRule="auto"/>
                    <w:ind w:left="134"/>
                    <w:rPr>
                      <w:sz w:val="20"/>
                      <w:szCs w:val="20"/>
                    </w:rPr>
                  </w:pPr>
                  <w:r>
                    <w:rPr>
                      <w:spacing w:val="7"/>
                      <w:sz w:val="20"/>
                      <w:szCs w:val="20"/>
                    </w:rPr>
                    <w:t>监测点位</w:t>
                  </w:r>
                </w:p>
              </w:tc>
              <w:tc>
                <w:tcPr>
                  <w:tcW w:w="1801" w:type="dxa"/>
                  <w:gridSpan w:val="2"/>
                  <w:vAlign w:val="top"/>
                </w:tcPr>
                <w:p w14:paraId="5D4497FA">
                  <w:pPr>
                    <w:pStyle w:val="6"/>
                    <w:spacing w:before="35" w:line="218" w:lineRule="auto"/>
                    <w:ind w:left="117"/>
                    <w:rPr>
                      <w:sz w:val="20"/>
                      <w:szCs w:val="20"/>
                    </w:rPr>
                  </w:pPr>
                  <w:r>
                    <w:rPr>
                      <w:spacing w:val="6"/>
                      <w:sz w:val="20"/>
                      <w:szCs w:val="20"/>
                    </w:rPr>
                    <w:t>监测点坐标（m）</w:t>
                  </w:r>
                </w:p>
              </w:tc>
              <w:tc>
                <w:tcPr>
                  <w:tcW w:w="1230" w:type="dxa"/>
                  <w:vMerge w:val="restart"/>
                  <w:tcBorders>
                    <w:bottom w:val="nil"/>
                  </w:tcBorders>
                  <w:vAlign w:val="top"/>
                </w:tcPr>
                <w:p w14:paraId="4CB63B48">
                  <w:pPr>
                    <w:pStyle w:val="6"/>
                    <w:spacing w:before="177" w:line="228" w:lineRule="auto"/>
                    <w:ind w:left="306"/>
                    <w:rPr>
                      <w:sz w:val="20"/>
                      <w:szCs w:val="20"/>
                    </w:rPr>
                  </w:pPr>
                  <w:r>
                    <w:rPr>
                      <w:spacing w:val="6"/>
                      <w:sz w:val="20"/>
                      <w:szCs w:val="20"/>
                    </w:rPr>
                    <w:t>污染物</w:t>
                  </w:r>
                </w:p>
              </w:tc>
              <w:tc>
                <w:tcPr>
                  <w:tcW w:w="1410" w:type="dxa"/>
                  <w:vMerge w:val="restart"/>
                  <w:tcBorders>
                    <w:bottom w:val="nil"/>
                  </w:tcBorders>
                  <w:vAlign w:val="top"/>
                </w:tcPr>
                <w:p w14:paraId="5A535E03">
                  <w:pPr>
                    <w:pStyle w:val="6"/>
                    <w:spacing w:before="177" w:line="229" w:lineRule="auto"/>
                    <w:ind w:left="292"/>
                    <w:rPr>
                      <w:sz w:val="20"/>
                      <w:szCs w:val="20"/>
                    </w:rPr>
                  </w:pPr>
                  <w:r>
                    <w:rPr>
                      <w:spacing w:val="7"/>
                      <w:sz w:val="20"/>
                      <w:szCs w:val="20"/>
                    </w:rPr>
                    <w:t>监测时间</w:t>
                  </w:r>
                </w:p>
              </w:tc>
              <w:tc>
                <w:tcPr>
                  <w:tcW w:w="1199" w:type="dxa"/>
                  <w:vMerge w:val="restart"/>
                  <w:tcBorders>
                    <w:bottom w:val="nil"/>
                  </w:tcBorders>
                  <w:vAlign w:val="top"/>
                </w:tcPr>
                <w:p w14:paraId="25FB896B">
                  <w:pPr>
                    <w:pStyle w:val="6"/>
                    <w:spacing w:before="40" w:line="228" w:lineRule="auto"/>
                    <w:ind w:left="188"/>
                    <w:rPr>
                      <w:sz w:val="20"/>
                      <w:szCs w:val="20"/>
                    </w:rPr>
                  </w:pPr>
                  <w:r>
                    <w:rPr>
                      <w:spacing w:val="7"/>
                      <w:sz w:val="20"/>
                      <w:szCs w:val="20"/>
                    </w:rPr>
                    <w:t>监测浓度</w:t>
                  </w:r>
                </w:p>
                <w:p w14:paraId="71DA1C73">
                  <w:pPr>
                    <w:pStyle w:val="6"/>
                    <w:spacing w:before="23" w:line="222" w:lineRule="auto"/>
                    <w:ind w:left="144"/>
                    <w:rPr>
                      <w:sz w:val="20"/>
                      <w:szCs w:val="20"/>
                    </w:rPr>
                  </w:pPr>
                  <w:r>
                    <w:rPr>
                      <w:spacing w:val="3"/>
                      <w:sz w:val="20"/>
                      <w:szCs w:val="20"/>
                    </w:rPr>
                    <w:t>（</w:t>
                  </w:r>
                  <w:r>
                    <w:rPr>
                      <w:sz w:val="20"/>
                      <w:szCs w:val="20"/>
                    </w:rPr>
                    <w:t>mg</w:t>
                  </w:r>
                  <w:r>
                    <w:rPr>
                      <w:spacing w:val="3"/>
                      <w:sz w:val="20"/>
                      <w:szCs w:val="20"/>
                    </w:rPr>
                    <w:t>/m³</w:t>
                  </w:r>
                  <w:r>
                    <w:rPr>
                      <w:spacing w:val="-69"/>
                      <w:sz w:val="20"/>
                      <w:szCs w:val="20"/>
                    </w:rPr>
                    <w:t xml:space="preserve"> </w:t>
                  </w:r>
                  <w:r>
                    <w:rPr>
                      <w:spacing w:val="3"/>
                      <w:sz w:val="20"/>
                      <w:szCs w:val="20"/>
                    </w:rPr>
                    <w:t>)</w:t>
                  </w:r>
                </w:p>
              </w:tc>
              <w:tc>
                <w:tcPr>
                  <w:tcW w:w="1045" w:type="dxa"/>
                  <w:vAlign w:val="top"/>
                </w:tcPr>
                <w:p w14:paraId="619A215D">
                  <w:pPr>
                    <w:pStyle w:val="6"/>
                    <w:spacing w:before="35" w:line="218" w:lineRule="auto"/>
                    <w:ind w:left="213"/>
                    <w:rPr>
                      <w:sz w:val="20"/>
                      <w:szCs w:val="20"/>
                    </w:rPr>
                  </w:pPr>
                  <w:r>
                    <w:rPr>
                      <w:spacing w:val="6"/>
                      <w:sz w:val="20"/>
                      <w:szCs w:val="20"/>
                    </w:rPr>
                    <w:t>标准值</w:t>
                  </w:r>
                </w:p>
              </w:tc>
            </w:tr>
            <w:tr w14:paraId="2AA7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97" w:type="dxa"/>
                  <w:vMerge w:val="continue"/>
                  <w:tcBorders>
                    <w:top w:val="nil"/>
                  </w:tcBorders>
                  <w:vAlign w:val="top"/>
                </w:tcPr>
                <w:p w14:paraId="31232EC1">
                  <w:pPr>
                    <w:rPr>
                      <w:rFonts w:ascii="Arial"/>
                      <w:sz w:val="21"/>
                    </w:rPr>
                  </w:pPr>
                </w:p>
              </w:tc>
              <w:tc>
                <w:tcPr>
                  <w:tcW w:w="894" w:type="dxa"/>
                  <w:vAlign w:val="top"/>
                </w:tcPr>
                <w:p w14:paraId="149F1321">
                  <w:pPr>
                    <w:spacing w:before="70" w:line="192"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907" w:type="dxa"/>
                  <w:vAlign w:val="top"/>
                </w:tcPr>
                <w:p w14:paraId="02039FFC">
                  <w:pPr>
                    <w:spacing w:before="70" w:line="192"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30" w:type="dxa"/>
                  <w:vMerge w:val="continue"/>
                  <w:tcBorders>
                    <w:top w:val="nil"/>
                  </w:tcBorders>
                  <w:vAlign w:val="top"/>
                </w:tcPr>
                <w:p w14:paraId="3CD98537">
                  <w:pPr>
                    <w:rPr>
                      <w:rFonts w:ascii="Arial"/>
                      <w:sz w:val="21"/>
                    </w:rPr>
                  </w:pPr>
                </w:p>
              </w:tc>
              <w:tc>
                <w:tcPr>
                  <w:tcW w:w="1410" w:type="dxa"/>
                  <w:vMerge w:val="continue"/>
                  <w:tcBorders>
                    <w:top w:val="nil"/>
                  </w:tcBorders>
                  <w:vAlign w:val="top"/>
                </w:tcPr>
                <w:p w14:paraId="0313BDFE">
                  <w:pPr>
                    <w:rPr>
                      <w:rFonts w:ascii="Arial"/>
                      <w:sz w:val="21"/>
                    </w:rPr>
                  </w:pPr>
                </w:p>
              </w:tc>
              <w:tc>
                <w:tcPr>
                  <w:tcW w:w="1199" w:type="dxa"/>
                  <w:vMerge w:val="continue"/>
                  <w:tcBorders>
                    <w:top w:val="nil"/>
                  </w:tcBorders>
                  <w:vAlign w:val="top"/>
                </w:tcPr>
                <w:p w14:paraId="6C1F2DA4">
                  <w:pPr>
                    <w:rPr>
                      <w:rFonts w:ascii="Arial"/>
                      <w:sz w:val="21"/>
                    </w:rPr>
                  </w:pPr>
                </w:p>
              </w:tc>
              <w:tc>
                <w:tcPr>
                  <w:tcW w:w="1045" w:type="dxa"/>
                  <w:vAlign w:val="top"/>
                </w:tcPr>
                <w:p w14:paraId="0C1419E5">
                  <w:pPr>
                    <w:pStyle w:val="6"/>
                    <w:spacing w:before="31" w:line="217" w:lineRule="auto"/>
                    <w:ind w:left="66"/>
                    <w:rPr>
                      <w:sz w:val="20"/>
                      <w:szCs w:val="20"/>
                    </w:rPr>
                  </w:pPr>
                  <w:r>
                    <w:rPr>
                      <w:spacing w:val="2"/>
                      <w:sz w:val="20"/>
                      <w:szCs w:val="20"/>
                    </w:rPr>
                    <w:t>（</w:t>
                  </w:r>
                  <w:r>
                    <w:rPr>
                      <w:sz w:val="20"/>
                      <w:szCs w:val="20"/>
                    </w:rPr>
                    <w:t>mg</w:t>
                  </w:r>
                  <w:r>
                    <w:rPr>
                      <w:spacing w:val="2"/>
                      <w:sz w:val="20"/>
                      <w:szCs w:val="20"/>
                    </w:rPr>
                    <w:t>/m³</w:t>
                  </w:r>
                  <w:r>
                    <w:rPr>
                      <w:spacing w:val="-65"/>
                      <w:sz w:val="20"/>
                      <w:szCs w:val="20"/>
                    </w:rPr>
                    <w:t xml:space="preserve"> </w:t>
                  </w:r>
                  <w:r>
                    <w:rPr>
                      <w:spacing w:val="2"/>
                      <w:sz w:val="20"/>
                      <w:szCs w:val="20"/>
                    </w:rPr>
                    <w:t>)</w:t>
                  </w:r>
                </w:p>
              </w:tc>
            </w:tr>
            <w:tr w14:paraId="33548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6CA80E07">
                  <w:pPr>
                    <w:spacing w:before="112"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4FA00DB5">
                  <w:pPr>
                    <w:spacing w:before="112"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6FD01C64">
                  <w:pPr>
                    <w:spacing w:before="11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7D035791">
                  <w:pPr>
                    <w:pStyle w:val="6"/>
                    <w:spacing w:before="306" w:line="247" w:lineRule="auto"/>
                    <w:ind w:left="263" w:right="90" w:hanging="164"/>
                    <w:rPr>
                      <w:rFonts w:ascii="Times New Roman" w:hAnsi="Times New Roman" w:eastAsia="Times New Roman" w:cs="Times New Roman"/>
                      <w:sz w:val="20"/>
                      <w:szCs w:val="20"/>
                    </w:rPr>
                  </w:pPr>
                  <w:r>
                    <w:rPr>
                      <w:spacing w:val="7"/>
                      <w:sz w:val="20"/>
                      <w:szCs w:val="20"/>
                    </w:rPr>
                    <w:t>总悬浮颗粒</w:t>
                  </w:r>
                  <w:r>
                    <w:rPr>
                      <w:sz w:val="20"/>
                      <w:szCs w:val="20"/>
                    </w:rPr>
                    <w:t xml:space="preserve"> </w:t>
                  </w:r>
                  <w:r>
                    <w:rPr>
                      <w:spacing w:val="7"/>
                      <w:sz w:val="20"/>
                      <w:szCs w:val="20"/>
                    </w:rPr>
                    <w:t>物</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TSP</w:t>
                  </w:r>
                  <w:r>
                    <w:rPr>
                      <w:rFonts w:ascii="Times New Roman" w:hAnsi="Times New Roman" w:eastAsia="Times New Roman" w:cs="Times New Roman"/>
                      <w:spacing w:val="7"/>
                      <w:sz w:val="20"/>
                      <w:szCs w:val="20"/>
                    </w:rPr>
                    <w:t>)</w:t>
                  </w:r>
                </w:p>
              </w:tc>
              <w:tc>
                <w:tcPr>
                  <w:tcW w:w="1410" w:type="dxa"/>
                  <w:vAlign w:val="top"/>
                </w:tcPr>
                <w:p w14:paraId="720B027A">
                  <w:pPr>
                    <w:pStyle w:val="6"/>
                    <w:spacing w:before="73"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54D8BEA1">
                  <w:pPr>
                    <w:spacing w:before="112"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0.163</w:t>
                  </w:r>
                </w:p>
              </w:tc>
              <w:tc>
                <w:tcPr>
                  <w:tcW w:w="1045" w:type="dxa"/>
                  <w:vMerge w:val="restart"/>
                  <w:tcBorders>
                    <w:bottom w:val="nil"/>
                  </w:tcBorders>
                  <w:vAlign w:val="top"/>
                </w:tcPr>
                <w:p w14:paraId="6EFC5753">
                  <w:pPr>
                    <w:spacing w:line="283" w:lineRule="auto"/>
                    <w:rPr>
                      <w:rFonts w:ascii="Arial"/>
                      <w:sz w:val="21"/>
                    </w:rPr>
                  </w:pPr>
                </w:p>
                <w:p w14:paraId="327C9CF5">
                  <w:pPr>
                    <w:spacing w:before="57"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w:t>
                  </w:r>
                </w:p>
                <w:p w14:paraId="4805923A">
                  <w:pPr>
                    <w:pStyle w:val="6"/>
                    <w:spacing w:before="33" w:line="228" w:lineRule="auto"/>
                    <w:jc w:val="right"/>
                    <w:rPr>
                      <w:sz w:val="20"/>
                      <w:szCs w:val="20"/>
                    </w:rPr>
                  </w:pPr>
                  <w:r>
                    <w:rPr>
                      <w:spacing w:val="2"/>
                      <w:sz w:val="20"/>
                      <w:szCs w:val="20"/>
                    </w:rPr>
                    <w:t>（日均值）</w:t>
                  </w:r>
                </w:p>
              </w:tc>
            </w:tr>
            <w:tr w14:paraId="70336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6D56D282">
                  <w:pPr>
                    <w:spacing w:before="111"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7EF1073B">
                  <w:pPr>
                    <w:spacing w:before="11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7BF430D8">
                  <w:pPr>
                    <w:spacing w:before="11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227CEA9A">
                  <w:pPr>
                    <w:rPr>
                      <w:rFonts w:ascii="Arial"/>
                      <w:sz w:val="21"/>
                    </w:rPr>
                  </w:pPr>
                </w:p>
              </w:tc>
              <w:tc>
                <w:tcPr>
                  <w:tcW w:w="1410" w:type="dxa"/>
                  <w:vAlign w:val="top"/>
                </w:tcPr>
                <w:p w14:paraId="1611EB22">
                  <w:pPr>
                    <w:pStyle w:val="6"/>
                    <w:spacing w:before="75"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007555DA">
                  <w:pPr>
                    <w:spacing w:before="11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0.192</w:t>
                  </w:r>
                </w:p>
              </w:tc>
              <w:tc>
                <w:tcPr>
                  <w:tcW w:w="1045" w:type="dxa"/>
                  <w:vMerge w:val="continue"/>
                  <w:tcBorders>
                    <w:top w:val="nil"/>
                    <w:bottom w:val="nil"/>
                  </w:tcBorders>
                  <w:vAlign w:val="top"/>
                </w:tcPr>
                <w:p w14:paraId="2D08978B">
                  <w:pPr>
                    <w:rPr>
                      <w:rFonts w:ascii="Arial"/>
                      <w:sz w:val="21"/>
                    </w:rPr>
                  </w:pPr>
                </w:p>
              </w:tc>
            </w:tr>
            <w:tr w14:paraId="6233E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37CCF394">
                  <w:pPr>
                    <w:spacing w:before="11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646562F8">
                  <w:pPr>
                    <w:spacing w:before="11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27A5D355">
                  <w:pPr>
                    <w:spacing w:before="11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1A35CFC2">
                  <w:pPr>
                    <w:rPr>
                      <w:rFonts w:ascii="Arial"/>
                      <w:sz w:val="21"/>
                    </w:rPr>
                  </w:pPr>
                </w:p>
              </w:tc>
              <w:tc>
                <w:tcPr>
                  <w:tcW w:w="1410" w:type="dxa"/>
                  <w:vAlign w:val="top"/>
                </w:tcPr>
                <w:p w14:paraId="0C2E4E44">
                  <w:pPr>
                    <w:pStyle w:val="6"/>
                    <w:spacing w:before="74"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6A817A09">
                  <w:pPr>
                    <w:spacing w:before="110"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0.186</w:t>
                  </w:r>
                </w:p>
              </w:tc>
              <w:tc>
                <w:tcPr>
                  <w:tcW w:w="1045" w:type="dxa"/>
                  <w:vMerge w:val="continue"/>
                  <w:tcBorders>
                    <w:top w:val="nil"/>
                  </w:tcBorders>
                  <w:vAlign w:val="top"/>
                </w:tcPr>
                <w:p w14:paraId="25439311">
                  <w:pPr>
                    <w:rPr>
                      <w:rFonts w:ascii="Arial"/>
                      <w:sz w:val="21"/>
                    </w:rPr>
                  </w:pPr>
                </w:p>
              </w:tc>
            </w:tr>
            <w:tr w14:paraId="708FE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6843F594">
                  <w:pPr>
                    <w:spacing w:before="112"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3FF29562">
                  <w:pPr>
                    <w:spacing w:before="112"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4ACCEC6D">
                  <w:pPr>
                    <w:spacing w:before="11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6C423910">
                  <w:pPr>
                    <w:spacing w:line="376" w:lineRule="auto"/>
                    <w:rPr>
                      <w:rFonts w:ascii="Arial"/>
                      <w:sz w:val="21"/>
                    </w:rPr>
                  </w:pPr>
                </w:p>
                <w:p w14:paraId="7BE06682">
                  <w:pPr>
                    <w:pStyle w:val="6"/>
                    <w:spacing w:before="65" w:line="229" w:lineRule="auto"/>
                    <w:ind w:left="308"/>
                    <w:rPr>
                      <w:sz w:val="20"/>
                      <w:szCs w:val="20"/>
                    </w:rPr>
                  </w:pPr>
                  <w:r>
                    <w:rPr>
                      <w:spacing w:val="5"/>
                      <w:sz w:val="20"/>
                      <w:szCs w:val="20"/>
                    </w:rPr>
                    <w:t>氯化氢</w:t>
                  </w:r>
                </w:p>
              </w:tc>
              <w:tc>
                <w:tcPr>
                  <w:tcW w:w="1410" w:type="dxa"/>
                  <w:vAlign w:val="top"/>
                </w:tcPr>
                <w:p w14:paraId="3483D781">
                  <w:pPr>
                    <w:pStyle w:val="6"/>
                    <w:spacing w:before="73"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2F8BD436">
                  <w:pPr>
                    <w:spacing w:before="11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0.02L</w:t>
                  </w:r>
                </w:p>
              </w:tc>
              <w:tc>
                <w:tcPr>
                  <w:tcW w:w="1045" w:type="dxa"/>
                  <w:vMerge w:val="restart"/>
                  <w:tcBorders>
                    <w:bottom w:val="nil"/>
                  </w:tcBorders>
                  <w:vAlign w:val="top"/>
                </w:tcPr>
                <w:p w14:paraId="695AD95D">
                  <w:pPr>
                    <w:spacing w:line="283" w:lineRule="auto"/>
                    <w:rPr>
                      <w:rFonts w:ascii="Arial"/>
                      <w:sz w:val="21"/>
                    </w:rPr>
                  </w:pPr>
                </w:p>
                <w:p w14:paraId="2E5EB812">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p w14:paraId="6FDE959A">
                  <w:pPr>
                    <w:pStyle w:val="6"/>
                    <w:spacing w:before="33" w:line="228" w:lineRule="auto"/>
                    <w:jc w:val="right"/>
                    <w:rPr>
                      <w:sz w:val="20"/>
                      <w:szCs w:val="20"/>
                    </w:rPr>
                  </w:pPr>
                  <w:r>
                    <w:rPr>
                      <w:spacing w:val="2"/>
                      <w:sz w:val="20"/>
                      <w:szCs w:val="20"/>
                    </w:rPr>
                    <w:t>（日均值）</w:t>
                  </w:r>
                </w:p>
              </w:tc>
            </w:tr>
            <w:tr w14:paraId="23442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32F5E97F">
                  <w:pPr>
                    <w:spacing w:before="111"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7ABACDD0">
                  <w:pPr>
                    <w:spacing w:before="11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4A9408BB">
                  <w:pPr>
                    <w:spacing w:before="11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146FA8E7">
                  <w:pPr>
                    <w:rPr>
                      <w:rFonts w:ascii="Arial"/>
                      <w:sz w:val="21"/>
                    </w:rPr>
                  </w:pPr>
                </w:p>
              </w:tc>
              <w:tc>
                <w:tcPr>
                  <w:tcW w:w="1410" w:type="dxa"/>
                  <w:vAlign w:val="top"/>
                </w:tcPr>
                <w:p w14:paraId="6CB874BD">
                  <w:pPr>
                    <w:pStyle w:val="6"/>
                    <w:spacing w:before="75"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36319E23">
                  <w:pPr>
                    <w:spacing w:before="11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0.02L</w:t>
                  </w:r>
                </w:p>
              </w:tc>
              <w:tc>
                <w:tcPr>
                  <w:tcW w:w="1045" w:type="dxa"/>
                  <w:vMerge w:val="continue"/>
                  <w:tcBorders>
                    <w:top w:val="nil"/>
                    <w:bottom w:val="nil"/>
                  </w:tcBorders>
                  <w:vAlign w:val="top"/>
                </w:tcPr>
                <w:p w14:paraId="73F529D6">
                  <w:pPr>
                    <w:rPr>
                      <w:rFonts w:ascii="Arial"/>
                      <w:sz w:val="21"/>
                    </w:rPr>
                  </w:pPr>
                </w:p>
              </w:tc>
            </w:tr>
            <w:tr w14:paraId="1E369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1EB10C52">
                  <w:pPr>
                    <w:spacing w:before="11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5F86E0D7">
                  <w:pPr>
                    <w:spacing w:before="11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54DB9488">
                  <w:pPr>
                    <w:spacing w:before="11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6ACA0F37">
                  <w:pPr>
                    <w:rPr>
                      <w:rFonts w:ascii="Arial"/>
                      <w:sz w:val="21"/>
                    </w:rPr>
                  </w:pPr>
                </w:p>
              </w:tc>
              <w:tc>
                <w:tcPr>
                  <w:tcW w:w="1410" w:type="dxa"/>
                  <w:vAlign w:val="top"/>
                </w:tcPr>
                <w:p w14:paraId="759D52AD">
                  <w:pPr>
                    <w:pStyle w:val="6"/>
                    <w:spacing w:before="74"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07B5872E">
                  <w:pPr>
                    <w:spacing w:before="110"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0.02L</w:t>
                  </w:r>
                </w:p>
              </w:tc>
              <w:tc>
                <w:tcPr>
                  <w:tcW w:w="1045" w:type="dxa"/>
                  <w:vMerge w:val="continue"/>
                  <w:tcBorders>
                    <w:top w:val="nil"/>
                  </w:tcBorders>
                  <w:vAlign w:val="top"/>
                </w:tcPr>
                <w:p w14:paraId="5C082E25">
                  <w:pPr>
                    <w:rPr>
                      <w:rFonts w:ascii="Arial"/>
                      <w:sz w:val="21"/>
                    </w:rPr>
                  </w:pPr>
                </w:p>
              </w:tc>
            </w:tr>
            <w:tr w14:paraId="3D81A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3A398222">
                  <w:pPr>
                    <w:spacing w:before="112"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6371D8CD">
                  <w:pPr>
                    <w:spacing w:before="112"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3EED06DD">
                  <w:pPr>
                    <w:spacing w:before="11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7D9DABEE">
                  <w:pPr>
                    <w:spacing w:line="381" w:lineRule="auto"/>
                    <w:rPr>
                      <w:rFonts w:ascii="Arial"/>
                      <w:sz w:val="21"/>
                    </w:rPr>
                  </w:pPr>
                </w:p>
                <w:p w14:paraId="2187A231">
                  <w:pPr>
                    <w:pStyle w:val="6"/>
                    <w:spacing w:before="65" w:line="229" w:lineRule="auto"/>
                    <w:ind w:left="304"/>
                    <w:rPr>
                      <w:sz w:val="20"/>
                      <w:szCs w:val="20"/>
                    </w:rPr>
                  </w:pPr>
                  <w:r>
                    <w:rPr>
                      <w:spacing w:val="7"/>
                      <w:sz w:val="20"/>
                      <w:szCs w:val="20"/>
                    </w:rPr>
                    <w:t>硫酸雾</w:t>
                  </w:r>
                </w:p>
              </w:tc>
              <w:tc>
                <w:tcPr>
                  <w:tcW w:w="1410" w:type="dxa"/>
                  <w:vAlign w:val="top"/>
                </w:tcPr>
                <w:p w14:paraId="68E58E50">
                  <w:pPr>
                    <w:pStyle w:val="6"/>
                    <w:spacing w:before="73"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6D7B8DF5">
                  <w:pPr>
                    <w:spacing w:before="11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0.005L</w:t>
                  </w:r>
                </w:p>
              </w:tc>
              <w:tc>
                <w:tcPr>
                  <w:tcW w:w="1045" w:type="dxa"/>
                  <w:vMerge w:val="restart"/>
                  <w:tcBorders>
                    <w:bottom w:val="nil"/>
                  </w:tcBorders>
                  <w:vAlign w:val="top"/>
                </w:tcPr>
                <w:p w14:paraId="65360624">
                  <w:pPr>
                    <w:spacing w:line="288" w:lineRule="auto"/>
                    <w:rPr>
                      <w:rFonts w:ascii="Arial"/>
                      <w:sz w:val="21"/>
                    </w:rPr>
                  </w:pPr>
                </w:p>
                <w:p w14:paraId="58B50B1F">
                  <w:pPr>
                    <w:spacing w:before="5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p w14:paraId="6E706909">
                  <w:pPr>
                    <w:pStyle w:val="6"/>
                    <w:spacing w:before="33" w:line="228" w:lineRule="auto"/>
                    <w:jc w:val="right"/>
                    <w:rPr>
                      <w:sz w:val="20"/>
                      <w:szCs w:val="20"/>
                    </w:rPr>
                  </w:pPr>
                  <w:r>
                    <w:rPr>
                      <w:spacing w:val="2"/>
                      <w:sz w:val="20"/>
                      <w:szCs w:val="20"/>
                    </w:rPr>
                    <w:t>（日均值）</w:t>
                  </w:r>
                </w:p>
              </w:tc>
            </w:tr>
            <w:tr w14:paraId="236BF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97" w:type="dxa"/>
                  <w:vAlign w:val="top"/>
                </w:tcPr>
                <w:p w14:paraId="1B3ED9FF">
                  <w:pPr>
                    <w:spacing w:before="111"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177966A1">
                  <w:pPr>
                    <w:spacing w:before="11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58661477">
                  <w:pPr>
                    <w:spacing w:before="11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5996C9DC">
                  <w:pPr>
                    <w:rPr>
                      <w:rFonts w:ascii="Arial"/>
                      <w:sz w:val="21"/>
                    </w:rPr>
                  </w:pPr>
                </w:p>
              </w:tc>
              <w:tc>
                <w:tcPr>
                  <w:tcW w:w="1410" w:type="dxa"/>
                  <w:vAlign w:val="top"/>
                </w:tcPr>
                <w:p w14:paraId="0CAF9CB3">
                  <w:pPr>
                    <w:pStyle w:val="6"/>
                    <w:spacing w:before="75"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0B84DDE8">
                  <w:pPr>
                    <w:spacing w:before="11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0.005L</w:t>
                  </w:r>
                </w:p>
              </w:tc>
              <w:tc>
                <w:tcPr>
                  <w:tcW w:w="1045" w:type="dxa"/>
                  <w:vMerge w:val="continue"/>
                  <w:tcBorders>
                    <w:top w:val="nil"/>
                    <w:bottom w:val="nil"/>
                  </w:tcBorders>
                  <w:vAlign w:val="top"/>
                </w:tcPr>
                <w:p w14:paraId="6154AB03">
                  <w:pPr>
                    <w:rPr>
                      <w:rFonts w:ascii="Arial"/>
                      <w:sz w:val="21"/>
                    </w:rPr>
                  </w:pPr>
                </w:p>
              </w:tc>
            </w:tr>
            <w:tr w14:paraId="4FD15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3946CF4B">
                  <w:pPr>
                    <w:spacing w:before="115"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2DF97501">
                  <w:pPr>
                    <w:spacing w:before="115"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50B604B6">
                  <w:pPr>
                    <w:spacing w:before="115"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493E74D6">
                  <w:pPr>
                    <w:rPr>
                      <w:rFonts w:ascii="Arial"/>
                      <w:sz w:val="21"/>
                    </w:rPr>
                  </w:pPr>
                </w:p>
              </w:tc>
              <w:tc>
                <w:tcPr>
                  <w:tcW w:w="1410" w:type="dxa"/>
                  <w:vAlign w:val="top"/>
                </w:tcPr>
                <w:p w14:paraId="11631CFE">
                  <w:pPr>
                    <w:pStyle w:val="6"/>
                    <w:spacing w:before="79"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31BAD88B">
                  <w:pPr>
                    <w:spacing w:before="11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0.005L</w:t>
                  </w:r>
                </w:p>
              </w:tc>
              <w:tc>
                <w:tcPr>
                  <w:tcW w:w="1045" w:type="dxa"/>
                  <w:vMerge w:val="continue"/>
                  <w:tcBorders>
                    <w:top w:val="nil"/>
                  </w:tcBorders>
                  <w:vAlign w:val="top"/>
                </w:tcPr>
                <w:p w14:paraId="0F32DB97">
                  <w:pPr>
                    <w:rPr>
                      <w:rFonts w:ascii="Arial"/>
                      <w:sz w:val="21"/>
                    </w:rPr>
                  </w:pPr>
                </w:p>
              </w:tc>
            </w:tr>
            <w:tr w14:paraId="37E6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097" w:type="dxa"/>
                  <w:vAlign w:val="top"/>
                </w:tcPr>
                <w:p w14:paraId="0876DB11">
                  <w:pPr>
                    <w:spacing w:before="116"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1BAB8B3A">
                  <w:pPr>
                    <w:spacing w:before="116"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2EC06FF1">
                  <w:pPr>
                    <w:spacing w:before="116"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53F15741">
                  <w:pPr>
                    <w:spacing w:line="436" w:lineRule="auto"/>
                    <w:rPr>
                      <w:rFonts w:ascii="Arial"/>
                      <w:sz w:val="21"/>
                    </w:rPr>
                  </w:pPr>
                </w:p>
                <w:p w14:paraId="289A15AD">
                  <w:pPr>
                    <w:spacing w:before="57" w:line="199" w:lineRule="auto"/>
                    <w:ind w:left="424"/>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1410" w:type="dxa"/>
                  <w:vAlign w:val="top"/>
                </w:tcPr>
                <w:p w14:paraId="20F7B79D">
                  <w:pPr>
                    <w:pStyle w:val="6"/>
                    <w:spacing w:before="77"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3B077468">
                  <w:pPr>
                    <w:spacing w:before="116"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1045" w:type="dxa"/>
                  <w:vMerge w:val="restart"/>
                  <w:tcBorders>
                    <w:bottom w:val="nil"/>
                  </w:tcBorders>
                  <w:vAlign w:val="top"/>
                </w:tcPr>
                <w:p w14:paraId="7DB9E441">
                  <w:pPr>
                    <w:spacing w:before="222"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p w14:paraId="3B8B0D76">
                  <w:pPr>
                    <w:pStyle w:val="6"/>
                    <w:spacing w:before="31" w:line="254" w:lineRule="auto"/>
                    <w:ind w:left="318" w:right="77" w:hanging="225"/>
                    <w:rPr>
                      <w:sz w:val="20"/>
                      <w:szCs w:val="20"/>
                    </w:rPr>
                  </w:pPr>
                  <w:r>
                    <w:rPr>
                      <w:spacing w:val="2"/>
                      <w:sz w:val="20"/>
                      <w:szCs w:val="20"/>
                    </w:rPr>
                    <w:t>（</w:t>
                  </w:r>
                  <w:r>
                    <w:rPr>
                      <w:rFonts w:ascii="Times New Roman" w:hAnsi="Times New Roman" w:eastAsia="Times New Roman" w:cs="Times New Roman"/>
                      <w:spacing w:val="2"/>
                      <w:sz w:val="20"/>
                      <w:szCs w:val="20"/>
                    </w:rPr>
                    <w:t>1h</w:t>
                  </w:r>
                  <w:r>
                    <w:rPr>
                      <w:rFonts w:ascii="Times New Roman" w:hAnsi="Times New Roman" w:eastAsia="Times New Roman" w:cs="Times New Roman"/>
                      <w:spacing w:val="8"/>
                      <w:sz w:val="20"/>
                      <w:szCs w:val="20"/>
                    </w:rPr>
                    <w:t xml:space="preserve"> </w:t>
                  </w:r>
                  <w:r>
                    <w:rPr>
                      <w:spacing w:val="2"/>
                      <w:sz w:val="20"/>
                      <w:szCs w:val="20"/>
                    </w:rPr>
                    <w:t>平均</w:t>
                  </w:r>
                  <w:r>
                    <w:rPr>
                      <w:sz w:val="20"/>
                      <w:szCs w:val="20"/>
                    </w:rPr>
                    <w:t xml:space="preserve"> 值）</w:t>
                  </w:r>
                </w:p>
              </w:tc>
            </w:tr>
            <w:tr w14:paraId="6C3E2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212DFA55">
                  <w:pPr>
                    <w:spacing w:before="116"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5EE18721">
                  <w:pPr>
                    <w:spacing w:before="116"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2F1D56D9">
                  <w:pPr>
                    <w:spacing w:before="116"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23603593">
                  <w:pPr>
                    <w:rPr>
                      <w:rFonts w:ascii="Arial"/>
                      <w:sz w:val="21"/>
                    </w:rPr>
                  </w:pPr>
                </w:p>
              </w:tc>
              <w:tc>
                <w:tcPr>
                  <w:tcW w:w="1410" w:type="dxa"/>
                  <w:vAlign w:val="top"/>
                </w:tcPr>
                <w:p w14:paraId="7ACE0D1F">
                  <w:pPr>
                    <w:pStyle w:val="6"/>
                    <w:spacing w:before="80"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5D864347">
                  <w:pPr>
                    <w:spacing w:before="116"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1045" w:type="dxa"/>
                  <w:vMerge w:val="continue"/>
                  <w:tcBorders>
                    <w:top w:val="nil"/>
                    <w:bottom w:val="nil"/>
                  </w:tcBorders>
                  <w:vAlign w:val="top"/>
                </w:tcPr>
                <w:p w14:paraId="68AD158F">
                  <w:pPr>
                    <w:rPr>
                      <w:rFonts w:ascii="Arial"/>
                      <w:sz w:val="21"/>
                    </w:rPr>
                  </w:pPr>
                </w:p>
              </w:tc>
            </w:tr>
            <w:tr w14:paraId="38D9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097" w:type="dxa"/>
                  <w:vAlign w:val="top"/>
                </w:tcPr>
                <w:p w14:paraId="3B76EA2D">
                  <w:pPr>
                    <w:spacing w:before="117"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04B82ED8">
                  <w:pPr>
                    <w:spacing w:before="11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3F4C6D99">
                  <w:pPr>
                    <w:spacing w:before="117"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0F84255F">
                  <w:pPr>
                    <w:rPr>
                      <w:rFonts w:ascii="Arial"/>
                      <w:sz w:val="21"/>
                    </w:rPr>
                  </w:pPr>
                </w:p>
              </w:tc>
              <w:tc>
                <w:tcPr>
                  <w:tcW w:w="1410" w:type="dxa"/>
                  <w:vAlign w:val="top"/>
                </w:tcPr>
                <w:p w14:paraId="0A960092">
                  <w:pPr>
                    <w:pStyle w:val="6"/>
                    <w:spacing w:before="78"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6D65BCF0">
                  <w:pPr>
                    <w:spacing w:before="11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1045" w:type="dxa"/>
                  <w:vMerge w:val="continue"/>
                  <w:tcBorders>
                    <w:top w:val="nil"/>
                  </w:tcBorders>
                  <w:vAlign w:val="top"/>
                </w:tcPr>
                <w:p w14:paraId="7F3E8A08">
                  <w:pPr>
                    <w:rPr>
                      <w:rFonts w:ascii="Arial"/>
                      <w:sz w:val="21"/>
                    </w:rPr>
                  </w:pPr>
                </w:p>
              </w:tc>
            </w:tr>
            <w:tr w14:paraId="70016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097" w:type="dxa"/>
                  <w:vAlign w:val="top"/>
                </w:tcPr>
                <w:p w14:paraId="634BDE7D">
                  <w:pPr>
                    <w:spacing w:before="117"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5EBCF324">
                  <w:pPr>
                    <w:spacing w:before="11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1698023D">
                  <w:pPr>
                    <w:spacing w:before="117"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3A61D9CA">
                  <w:pPr>
                    <w:pStyle w:val="6"/>
                    <w:spacing w:before="187" w:line="229" w:lineRule="auto"/>
                    <w:ind w:left="306"/>
                    <w:rPr>
                      <w:sz w:val="20"/>
                      <w:szCs w:val="20"/>
                    </w:rPr>
                  </w:pPr>
                  <w:r>
                    <w:rPr>
                      <w:spacing w:val="6"/>
                      <w:sz w:val="20"/>
                      <w:szCs w:val="20"/>
                    </w:rPr>
                    <w:t>硝酸雾</w:t>
                  </w:r>
                </w:p>
                <w:p w14:paraId="0A57EE87">
                  <w:pPr>
                    <w:pStyle w:val="6"/>
                    <w:spacing w:before="22" w:line="255" w:lineRule="auto"/>
                    <w:ind w:left="305" w:right="90" w:hanging="201"/>
                    <w:rPr>
                      <w:sz w:val="20"/>
                      <w:szCs w:val="20"/>
                    </w:rPr>
                  </w:pPr>
                  <w:r>
                    <w:rPr>
                      <w:spacing w:val="6"/>
                      <w:sz w:val="20"/>
                      <w:szCs w:val="20"/>
                    </w:rPr>
                    <w:t>（以氮氧化</w:t>
                  </w:r>
                  <w:r>
                    <w:rPr>
                      <w:sz w:val="20"/>
                      <w:szCs w:val="20"/>
                    </w:rPr>
                    <w:t xml:space="preserve"> </w:t>
                  </w:r>
                  <w:r>
                    <w:rPr>
                      <w:spacing w:val="3"/>
                      <w:sz w:val="20"/>
                      <w:szCs w:val="20"/>
                    </w:rPr>
                    <w:t>物计）</w:t>
                  </w:r>
                </w:p>
              </w:tc>
              <w:tc>
                <w:tcPr>
                  <w:tcW w:w="1410" w:type="dxa"/>
                  <w:vAlign w:val="top"/>
                </w:tcPr>
                <w:p w14:paraId="1175081D">
                  <w:pPr>
                    <w:pStyle w:val="6"/>
                    <w:spacing w:before="81"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1978B3BE">
                  <w:pPr>
                    <w:spacing w:before="117"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1045" w:type="dxa"/>
                  <w:vMerge w:val="restart"/>
                  <w:tcBorders>
                    <w:bottom w:val="nil"/>
                  </w:tcBorders>
                  <w:vAlign w:val="top"/>
                </w:tcPr>
                <w:p w14:paraId="656B9C26">
                  <w:pPr>
                    <w:spacing w:line="300" w:lineRule="auto"/>
                    <w:rPr>
                      <w:rFonts w:ascii="Arial"/>
                      <w:sz w:val="21"/>
                    </w:rPr>
                  </w:pPr>
                </w:p>
                <w:p w14:paraId="38968E31">
                  <w:pPr>
                    <w:spacing w:before="5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p w14:paraId="0F154F3C">
                  <w:pPr>
                    <w:pStyle w:val="6"/>
                    <w:spacing w:before="33" w:line="228" w:lineRule="auto"/>
                    <w:jc w:val="right"/>
                    <w:rPr>
                      <w:sz w:val="20"/>
                      <w:szCs w:val="20"/>
                    </w:rPr>
                  </w:pPr>
                  <w:r>
                    <w:rPr>
                      <w:spacing w:val="2"/>
                      <w:sz w:val="20"/>
                      <w:szCs w:val="20"/>
                    </w:rPr>
                    <w:t>（日均值）</w:t>
                  </w:r>
                </w:p>
              </w:tc>
            </w:tr>
            <w:tr w14:paraId="0C8D5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6B8F72E1">
                  <w:pPr>
                    <w:spacing w:before="119"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3AF38D2D">
                  <w:pPr>
                    <w:spacing w:before="11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5764F0AC">
                  <w:pPr>
                    <w:spacing w:before="11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2CAB6CF9">
                  <w:pPr>
                    <w:rPr>
                      <w:rFonts w:ascii="Arial"/>
                      <w:sz w:val="21"/>
                    </w:rPr>
                  </w:pPr>
                </w:p>
              </w:tc>
              <w:tc>
                <w:tcPr>
                  <w:tcW w:w="1410" w:type="dxa"/>
                  <w:vAlign w:val="top"/>
                </w:tcPr>
                <w:p w14:paraId="5B0820AA">
                  <w:pPr>
                    <w:pStyle w:val="6"/>
                    <w:spacing w:before="80"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3EBB8D86">
                  <w:pPr>
                    <w:spacing w:before="119"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w:t>
                  </w:r>
                </w:p>
              </w:tc>
              <w:tc>
                <w:tcPr>
                  <w:tcW w:w="1045" w:type="dxa"/>
                  <w:vMerge w:val="continue"/>
                  <w:tcBorders>
                    <w:top w:val="nil"/>
                    <w:bottom w:val="nil"/>
                  </w:tcBorders>
                  <w:vAlign w:val="top"/>
                </w:tcPr>
                <w:p w14:paraId="4097C030">
                  <w:pPr>
                    <w:rPr>
                      <w:rFonts w:ascii="Arial"/>
                      <w:sz w:val="21"/>
                    </w:rPr>
                  </w:pPr>
                </w:p>
              </w:tc>
            </w:tr>
            <w:tr w14:paraId="2A4A1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3BD9D8A2">
                  <w:pPr>
                    <w:spacing w:before="118"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7B6325E9">
                  <w:pPr>
                    <w:spacing w:before="11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052D0372">
                  <w:pPr>
                    <w:spacing w:before="11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1AC1138B">
                  <w:pPr>
                    <w:rPr>
                      <w:rFonts w:ascii="Arial"/>
                      <w:sz w:val="21"/>
                    </w:rPr>
                  </w:pPr>
                </w:p>
              </w:tc>
              <w:tc>
                <w:tcPr>
                  <w:tcW w:w="1410" w:type="dxa"/>
                  <w:vAlign w:val="top"/>
                </w:tcPr>
                <w:p w14:paraId="5D08AF26">
                  <w:pPr>
                    <w:pStyle w:val="6"/>
                    <w:spacing w:before="82"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2D477FAA">
                  <w:pPr>
                    <w:spacing w:before="118"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w:t>
                  </w:r>
                </w:p>
              </w:tc>
              <w:tc>
                <w:tcPr>
                  <w:tcW w:w="1045" w:type="dxa"/>
                  <w:vMerge w:val="continue"/>
                  <w:tcBorders>
                    <w:top w:val="nil"/>
                  </w:tcBorders>
                  <w:vAlign w:val="top"/>
                </w:tcPr>
                <w:p w14:paraId="055FAF9D">
                  <w:pPr>
                    <w:rPr>
                      <w:rFonts w:ascii="Arial"/>
                      <w:sz w:val="21"/>
                    </w:rPr>
                  </w:pPr>
                </w:p>
              </w:tc>
            </w:tr>
            <w:tr w14:paraId="45E7E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50FF3110">
                  <w:pPr>
                    <w:spacing w:before="119"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1BB0D3B2">
                  <w:pPr>
                    <w:spacing w:before="11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25DD5ADE">
                  <w:pPr>
                    <w:spacing w:before="11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70C05F07">
                  <w:pPr>
                    <w:pStyle w:val="6"/>
                    <w:spacing w:before="188" w:line="228" w:lineRule="auto"/>
                    <w:ind w:left="305"/>
                    <w:rPr>
                      <w:sz w:val="20"/>
                      <w:szCs w:val="20"/>
                    </w:rPr>
                  </w:pPr>
                  <w:r>
                    <w:rPr>
                      <w:spacing w:val="6"/>
                      <w:sz w:val="20"/>
                      <w:szCs w:val="20"/>
                    </w:rPr>
                    <w:t>氟化氢</w:t>
                  </w:r>
                </w:p>
                <w:p w14:paraId="2C7F83CC">
                  <w:pPr>
                    <w:pStyle w:val="6"/>
                    <w:spacing w:before="25" w:line="252" w:lineRule="auto"/>
                    <w:ind w:left="410" w:right="90" w:hanging="306"/>
                    <w:rPr>
                      <w:sz w:val="20"/>
                      <w:szCs w:val="20"/>
                    </w:rPr>
                  </w:pPr>
                  <w:r>
                    <w:rPr>
                      <w:spacing w:val="6"/>
                      <w:sz w:val="20"/>
                      <w:szCs w:val="20"/>
                    </w:rPr>
                    <w:t>（以氟化物</w:t>
                  </w:r>
                  <w:r>
                    <w:rPr>
                      <w:sz w:val="20"/>
                      <w:szCs w:val="20"/>
                    </w:rPr>
                    <w:t xml:space="preserve"> 计）</w:t>
                  </w:r>
                </w:p>
              </w:tc>
              <w:tc>
                <w:tcPr>
                  <w:tcW w:w="1410" w:type="dxa"/>
                  <w:vAlign w:val="top"/>
                </w:tcPr>
                <w:p w14:paraId="0461356D">
                  <w:pPr>
                    <w:pStyle w:val="6"/>
                    <w:spacing w:before="80"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214B3FD6">
                  <w:pPr>
                    <w:spacing w:before="11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045" w:type="dxa"/>
                  <w:vMerge w:val="restart"/>
                  <w:tcBorders>
                    <w:bottom w:val="nil"/>
                  </w:tcBorders>
                  <w:vAlign w:val="top"/>
                </w:tcPr>
                <w:p w14:paraId="340738D6">
                  <w:pPr>
                    <w:spacing w:line="295" w:lineRule="auto"/>
                    <w:rPr>
                      <w:rFonts w:ascii="Arial"/>
                      <w:sz w:val="21"/>
                    </w:rPr>
                  </w:pPr>
                </w:p>
                <w:p w14:paraId="6B73EFA4">
                  <w:pPr>
                    <w:pStyle w:val="6"/>
                    <w:spacing w:before="65" w:line="18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17"/>
                      <w:sz w:val="20"/>
                      <w:szCs w:val="20"/>
                    </w:rPr>
                    <w:t>7</w:t>
                  </w:r>
                  <w:r>
                    <w:rPr>
                      <w:rFonts w:ascii="Times New Roman" w:hAnsi="Times New Roman" w:eastAsia="Times New Roman" w:cs="Times New Roman"/>
                      <w:spacing w:val="11"/>
                      <w:sz w:val="20"/>
                      <w:szCs w:val="20"/>
                    </w:rPr>
                    <w:t xml:space="preserve"> </w:t>
                  </w:r>
                  <w:r>
                    <w:rPr>
                      <w:spacing w:val="-17"/>
                      <w:sz w:val="20"/>
                      <w:szCs w:val="20"/>
                    </w:rPr>
                    <w:t>μ</w:t>
                  </w:r>
                  <w:r>
                    <w:rPr>
                      <w:rFonts w:ascii="Times New Roman" w:hAnsi="Times New Roman" w:eastAsia="Times New Roman" w:cs="Times New Roman"/>
                      <w:spacing w:val="-17"/>
                      <w:sz w:val="20"/>
                      <w:szCs w:val="20"/>
                    </w:rPr>
                    <w:t>g</w:t>
                  </w:r>
                </w:p>
                <w:p w14:paraId="1EF6BF18">
                  <w:pPr>
                    <w:pStyle w:val="6"/>
                    <w:spacing w:before="33" w:line="228" w:lineRule="auto"/>
                    <w:jc w:val="right"/>
                    <w:rPr>
                      <w:sz w:val="20"/>
                      <w:szCs w:val="20"/>
                    </w:rPr>
                  </w:pPr>
                  <w:r>
                    <w:rPr>
                      <w:spacing w:val="2"/>
                      <w:sz w:val="20"/>
                      <w:szCs w:val="20"/>
                    </w:rPr>
                    <w:t>（日均值）</w:t>
                  </w:r>
                </w:p>
              </w:tc>
            </w:tr>
            <w:tr w14:paraId="7532D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2055F5A8">
                  <w:pPr>
                    <w:spacing w:before="118"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5E87D3E5">
                  <w:pPr>
                    <w:spacing w:before="11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349B1E74">
                  <w:pPr>
                    <w:spacing w:before="11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416EC361">
                  <w:pPr>
                    <w:rPr>
                      <w:rFonts w:ascii="Arial"/>
                      <w:sz w:val="21"/>
                    </w:rPr>
                  </w:pPr>
                </w:p>
              </w:tc>
              <w:tc>
                <w:tcPr>
                  <w:tcW w:w="1410" w:type="dxa"/>
                  <w:vAlign w:val="top"/>
                </w:tcPr>
                <w:p w14:paraId="049DE5EE">
                  <w:pPr>
                    <w:pStyle w:val="6"/>
                    <w:spacing w:before="82"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15587786">
                  <w:pPr>
                    <w:spacing w:before="118"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045" w:type="dxa"/>
                  <w:vMerge w:val="continue"/>
                  <w:tcBorders>
                    <w:top w:val="nil"/>
                    <w:bottom w:val="nil"/>
                  </w:tcBorders>
                  <w:vAlign w:val="top"/>
                </w:tcPr>
                <w:p w14:paraId="7F2329E0">
                  <w:pPr>
                    <w:rPr>
                      <w:rFonts w:ascii="Arial"/>
                      <w:sz w:val="21"/>
                    </w:rPr>
                  </w:pPr>
                </w:p>
              </w:tc>
            </w:tr>
            <w:tr w14:paraId="00392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7723A39A">
                  <w:pPr>
                    <w:spacing w:before="119"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0FBE74BD">
                  <w:pPr>
                    <w:spacing w:before="11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69E6FD1E">
                  <w:pPr>
                    <w:spacing w:before="11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3A28A047">
                  <w:pPr>
                    <w:rPr>
                      <w:rFonts w:ascii="Arial"/>
                      <w:sz w:val="21"/>
                    </w:rPr>
                  </w:pPr>
                </w:p>
              </w:tc>
              <w:tc>
                <w:tcPr>
                  <w:tcW w:w="1410" w:type="dxa"/>
                  <w:vAlign w:val="top"/>
                </w:tcPr>
                <w:p w14:paraId="20DFD516">
                  <w:pPr>
                    <w:pStyle w:val="6"/>
                    <w:spacing w:before="80"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7861470D">
                  <w:pPr>
                    <w:spacing w:before="11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045" w:type="dxa"/>
                  <w:vMerge w:val="continue"/>
                  <w:tcBorders>
                    <w:top w:val="nil"/>
                  </w:tcBorders>
                  <w:vAlign w:val="top"/>
                </w:tcPr>
                <w:p w14:paraId="1D2983F3">
                  <w:pPr>
                    <w:rPr>
                      <w:rFonts w:ascii="Arial"/>
                      <w:sz w:val="21"/>
                    </w:rPr>
                  </w:pPr>
                </w:p>
              </w:tc>
            </w:tr>
            <w:tr w14:paraId="58C19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33855945">
                  <w:pPr>
                    <w:spacing w:before="118"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46034D27">
                  <w:pPr>
                    <w:spacing w:before="11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7EA419DA">
                  <w:pPr>
                    <w:spacing w:before="11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4C2BC27D">
                  <w:pPr>
                    <w:spacing w:line="437" w:lineRule="auto"/>
                    <w:rPr>
                      <w:rFonts w:ascii="Arial"/>
                      <w:sz w:val="21"/>
                    </w:rPr>
                  </w:pPr>
                </w:p>
                <w:p w14:paraId="551EF653">
                  <w:pPr>
                    <w:spacing w:before="5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410" w:type="dxa"/>
                  <w:vAlign w:val="top"/>
                </w:tcPr>
                <w:p w14:paraId="58305F4B">
                  <w:pPr>
                    <w:pStyle w:val="6"/>
                    <w:spacing w:before="82"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447555D1">
                  <w:pPr>
                    <w:spacing w:before="118"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30.2</w:t>
                  </w:r>
                </w:p>
              </w:tc>
              <w:tc>
                <w:tcPr>
                  <w:tcW w:w="1045" w:type="dxa"/>
                  <w:vMerge w:val="restart"/>
                  <w:tcBorders>
                    <w:bottom w:val="nil"/>
                  </w:tcBorders>
                  <w:vAlign w:val="top"/>
                </w:tcPr>
                <w:p w14:paraId="10DE04D0">
                  <w:pPr>
                    <w:pStyle w:val="6"/>
                    <w:spacing w:before="223" w:line="188"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600</w:t>
                  </w:r>
                  <w:r>
                    <w:rPr>
                      <w:rFonts w:ascii="Times New Roman" w:hAnsi="Times New Roman" w:eastAsia="Times New Roman" w:cs="Times New Roman"/>
                      <w:spacing w:val="10"/>
                      <w:sz w:val="20"/>
                      <w:szCs w:val="20"/>
                    </w:rPr>
                    <w:t xml:space="preserve"> </w:t>
                  </w:r>
                  <w:r>
                    <w:rPr>
                      <w:spacing w:val="-8"/>
                      <w:sz w:val="20"/>
                      <w:szCs w:val="20"/>
                    </w:rPr>
                    <w:t>μ</w:t>
                  </w:r>
                  <w:r>
                    <w:rPr>
                      <w:rFonts w:ascii="Times New Roman" w:hAnsi="Times New Roman" w:eastAsia="Times New Roman" w:cs="Times New Roman"/>
                      <w:spacing w:val="-8"/>
                      <w:sz w:val="20"/>
                      <w:szCs w:val="20"/>
                    </w:rPr>
                    <w:t>g</w:t>
                  </w:r>
                </w:p>
                <w:p w14:paraId="73B9968D">
                  <w:pPr>
                    <w:pStyle w:val="6"/>
                    <w:spacing w:before="31" w:line="254" w:lineRule="auto"/>
                    <w:ind w:left="318" w:right="77" w:hanging="225"/>
                    <w:rPr>
                      <w:sz w:val="20"/>
                      <w:szCs w:val="20"/>
                    </w:rPr>
                  </w:pPr>
                  <w:r>
                    <w:rPr>
                      <w:spacing w:val="2"/>
                      <w:sz w:val="20"/>
                      <w:szCs w:val="20"/>
                    </w:rPr>
                    <w:t>（</w:t>
                  </w:r>
                  <w:r>
                    <w:rPr>
                      <w:rFonts w:ascii="Times New Roman" w:hAnsi="Times New Roman" w:eastAsia="Times New Roman" w:cs="Times New Roman"/>
                      <w:spacing w:val="2"/>
                      <w:sz w:val="20"/>
                      <w:szCs w:val="20"/>
                    </w:rPr>
                    <w:t>8h</w:t>
                  </w:r>
                  <w:r>
                    <w:rPr>
                      <w:rFonts w:ascii="Times New Roman" w:hAnsi="Times New Roman" w:eastAsia="Times New Roman" w:cs="Times New Roman"/>
                      <w:spacing w:val="8"/>
                      <w:sz w:val="20"/>
                      <w:szCs w:val="20"/>
                    </w:rPr>
                    <w:t xml:space="preserve"> </w:t>
                  </w:r>
                  <w:r>
                    <w:rPr>
                      <w:spacing w:val="2"/>
                      <w:sz w:val="20"/>
                      <w:szCs w:val="20"/>
                    </w:rPr>
                    <w:t>平均</w:t>
                  </w:r>
                  <w:r>
                    <w:rPr>
                      <w:sz w:val="20"/>
                      <w:szCs w:val="20"/>
                    </w:rPr>
                    <w:t xml:space="preserve"> 值）</w:t>
                  </w:r>
                </w:p>
              </w:tc>
            </w:tr>
            <w:tr w14:paraId="726F7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169002B0">
                  <w:pPr>
                    <w:spacing w:before="119"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584EE567">
                  <w:pPr>
                    <w:spacing w:before="11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5E4641E4">
                  <w:pPr>
                    <w:spacing w:before="11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6EFA4A0A">
                  <w:pPr>
                    <w:rPr>
                      <w:rFonts w:ascii="Arial"/>
                      <w:sz w:val="21"/>
                    </w:rPr>
                  </w:pPr>
                </w:p>
              </w:tc>
              <w:tc>
                <w:tcPr>
                  <w:tcW w:w="1410" w:type="dxa"/>
                  <w:vAlign w:val="top"/>
                </w:tcPr>
                <w:p w14:paraId="5FB8ECF7">
                  <w:pPr>
                    <w:pStyle w:val="6"/>
                    <w:spacing w:before="80"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677411A5">
                  <w:pPr>
                    <w:spacing w:before="119"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27.2</w:t>
                  </w:r>
                </w:p>
              </w:tc>
              <w:tc>
                <w:tcPr>
                  <w:tcW w:w="1045" w:type="dxa"/>
                  <w:vMerge w:val="continue"/>
                  <w:tcBorders>
                    <w:top w:val="nil"/>
                    <w:bottom w:val="nil"/>
                  </w:tcBorders>
                  <w:vAlign w:val="top"/>
                </w:tcPr>
                <w:p w14:paraId="51C42F45">
                  <w:pPr>
                    <w:rPr>
                      <w:rFonts w:ascii="Arial"/>
                      <w:sz w:val="21"/>
                    </w:rPr>
                  </w:pPr>
                </w:p>
              </w:tc>
            </w:tr>
            <w:tr w14:paraId="20046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4C49E6C9">
                  <w:pPr>
                    <w:spacing w:before="118"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7DF11A29">
                  <w:pPr>
                    <w:spacing w:before="11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206B93D5">
                  <w:pPr>
                    <w:spacing w:before="11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394AF501">
                  <w:pPr>
                    <w:rPr>
                      <w:rFonts w:ascii="Arial"/>
                      <w:sz w:val="21"/>
                    </w:rPr>
                  </w:pPr>
                </w:p>
              </w:tc>
              <w:tc>
                <w:tcPr>
                  <w:tcW w:w="1410" w:type="dxa"/>
                  <w:vAlign w:val="top"/>
                </w:tcPr>
                <w:p w14:paraId="263AA5D8">
                  <w:pPr>
                    <w:pStyle w:val="6"/>
                    <w:spacing w:before="82"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404CCA41">
                  <w:pPr>
                    <w:spacing w:before="11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045" w:type="dxa"/>
                  <w:vMerge w:val="continue"/>
                  <w:tcBorders>
                    <w:top w:val="nil"/>
                  </w:tcBorders>
                  <w:vAlign w:val="top"/>
                </w:tcPr>
                <w:p w14:paraId="319ED0C0">
                  <w:pPr>
                    <w:rPr>
                      <w:rFonts w:ascii="Arial"/>
                      <w:sz w:val="21"/>
                    </w:rPr>
                  </w:pPr>
                </w:p>
              </w:tc>
            </w:tr>
            <w:tr w14:paraId="5100F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097" w:type="dxa"/>
                  <w:vAlign w:val="top"/>
                </w:tcPr>
                <w:p w14:paraId="7807CEFD">
                  <w:pPr>
                    <w:spacing w:before="119"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1DC2E705">
                  <w:pPr>
                    <w:spacing w:before="11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253CA67D">
                  <w:pPr>
                    <w:spacing w:before="11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restart"/>
                  <w:tcBorders>
                    <w:bottom w:val="nil"/>
                  </w:tcBorders>
                  <w:vAlign w:val="top"/>
                </w:tcPr>
                <w:p w14:paraId="0BB4FEF0">
                  <w:pPr>
                    <w:spacing w:line="393" w:lineRule="auto"/>
                    <w:rPr>
                      <w:rFonts w:ascii="Arial"/>
                      <w:sz w:val="21"/>
                    </w:rPr>
                  </w:pPr>
                </w:p>
                <w:p w14:paraId="12F4B5CB">
                  <w:pPr>
                    <w:pStyle w:val="6"/>
                    <w:spacing w:before="65" w:line="228" w:lineRule="auto"/>
                    <w:ind w:left="97"/>
                    <w:rPr>
                      <w:sz w:val="20"/>
                      <w:szCs w:val="20"/>
                    </w:rPr>
                  </w:pPr>
                  <w:r>
                    <w:rPr>
                      <w:spacing w:val="7"/>
                      <w:sz w:val="20"/>
                      <w:szCs w:val="20"/>
                    </w:rPr>
                    <w:t>非甲烷总烃</w:t>
                  </w:r>
                </w:p>
              </w:tc>
              <w:tc>
                <w:tcPr>
                  <w:tcW w:w="1410" w:type="dxa"/>
                  <w:vAlign w:val="top"/>
                </w:tcPr>
                <w:p w14:paraId="66DD4A9D">
                  <w:pPr>
                    <w:pStyle w:val="6"/>
                    <w:spacing w:before="80" w:line="228" w:lineRule="auto"/>
                    <w:ind w:left="265"/>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6"/>
                      <w:sz w:val="20"/>
                      <w:szCs w:val="20"/>
                    </w:rPr>
                    <w:t xml:space="preserve"> </w:t>
                  </w:r>
                  <w:r>
                    <w:rPr>
                      <w:spacing w:val="-1"/>
                      <w:sz w:val="20"/>
                      <w:szCs w:val="20"/>
                    </w:rPr>
                    <w:t>月</w:t>
                  </w:r>
                  <w:r>
                    <w:rPr>
                      <w:spacing w:val="-41"/>
                      <w:sz w:val="20"/>
                      <w:szCs w:val="20"/>
                    </w:rPr>
                    <w:t xml:space="preserve"> </w:t>
                  </w:r>
                  <w:r>
                    <w:rPr>
                      <w:rFonts w:ascii="Times New Roman" w:hAnsi="Times New Roman" w:eastAsia="Times New Roman" w:cs="Times New Roman"/>
                      <w:spacing w:val="-1"/>
                      <w:sz w:val="20"/>
                      <w:szCs w:val="20"/>
                    </w:rPr>
                    <w:t>29</w:t>
                  </w:r>
                  <w:r>
                    <w:rPr>
                      <w:rFonts w:ascii="Times New Roman" w:hAnsi="Times New Roman" w:eastAsia="Times New Roman" w:cs="Times New Roman"/>
                      <w:spacing w:val="46"/>
                      <w:sz w:val="20"/>
                      <w:szCs w:val="20"/>
                    </w:rPr>
                    <w:t xml:space="preserve"> </w:t>
                  </w:r>
                  <w:r>
                    <w:rPr>
                      <w:spacing w:val="-1"/>
                      <w:sz w:val="20"/>
                      <w:szCs w:val="20"/>
                    </w:rPr>
                    <w:t>日</w:t>
                  </w:r>
                </w:p>
              </w:tc>
              <w:tc>
                <w:tcPr>
                  <w:tcW w:w="1199" w:type="dxa"/>
                  <w:vAlign w:val="top"/>
                </w:tcPr>
                <w:p w14:paraId="37E64937">
                  <w:pPr>
                    <w:spacing w:before="11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1045" w:type="dxa"/>
                  <w:vMerge w:val="restart"/>
                  <w:tcBorders>
                    <w:bottom w:val="nil"/>
                  </w:tcBorders>
                  <w:vAlign w:val="top"/>
                </w:tcPr>
                <w:p w14:paraId="0FEE7069">
                  <w:pPr>
                    <w:spacing w:before="225" w:line="195" w:lineRule="auto"/>
                    <w:ind w:left="4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3B85D4EA">
                  <w:pPr>
                    <w:pStyle w:val="6"/>
                    <w:spacing w:before="31" w:line="254" w:lineRule="auto"/>
                    <w:ind w:left="318" w:right="77" w:hanging="225"/>
                    <w:rPr>
                      <w:sz w:val="20"/>
                      <w:szCs w:val="20"/>
                    </w:rPr>
                  </w:pPr>
                  <w:r>
                    <w:rPr>
                      <w:spacing w:val="2"/>
                      <w:sz w:val="20"/>
                      <w:szCs w:val="20"/>
                    </w:rPr>
                    <w:t>（</w:t>
                  </w:r>
                  <w:r>
                    <w:rPr>
                      <w:rFonts w:ascii="Times New Roman" w:hAnsi="Times New Roman" w:eastAsia="Times New Roman" w:cs="Times New Roman"/>
                      <w:spacing w:val="2"/>
                      <w:sz w:val="20"/>
                      <w:szCs w:val="20"/>
                    </w:rPr>
                    <w:t>1h</w:t>
                  </w:r>
                  <w:r>
                    <w:rPr>
                      <w:rFonts w:ascii="Times New Roman" w:hAnsi="Times New Roman" w:eastAsia="Times New Roman" w:cs="Times New Roman"/>
                      <w:spacing w:val="8"/>
                      <w:sz w:val="20"/>
                      <w:szCs w:val="20"/>
                    </w:rPr>
                    <w:t xml:space="preserve"> </w:t>
                  </w:r>
                  <w:r>
                    <w:rPr>
                      <w:spacing w:val="2"/>
                      <w:sz w:val="20"/>
                      <w:szCs w:val="20"/>
                    </w:rPr>
                    <w:t>平均</w:t>
                  </w:r>
                  <w:r>
                    <w:rPr>
                      <w:sz w:val="20"/>
                      <w:szCs w:val="20"/>
                    </w:rPr>
                    <w:t xml:space="preserve"> 值）</w:t>
                  </w:r>
                </w:p>
              </w:tc>
            </w:tr>
            <w:tr w14:paraId="4F4B7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97" w:type="dxa"/>
                  <w:vAlign w:val="top"/>
                </w:tcPr>
                <w:p w14:paraId="058AA014">
                  <w:pPr>
                    <w:spacing w:before="119"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004D06E5">
                  <w:pPr>
                    <w:spacing w:before="11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01DB3B36">
                  <w:pPr>
                    <w:spacing w:before="11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bottom w:val="nil"/>
                  </w:tcBorders>
                  <w:vAlign w:val="top"/>
                </w:tcPr>
                <w:p w14:paraId="3A2FB817">
                  <w:pPr>
                    <w:rPr>
                      <w:rFonts w:ascii="Arial"/>
                      <w:sz w:val="21"/>
                    </w:rPr>
                  </w:pPr>
                </w:p>
              </w:tc>
              <w:tc>
                <w:tcPr>
                  <w:tcW w:w="1410" w:type="dxa"/>
                  <w:vAlign w:val="top"/>
                </w:tcPr>
                <w:p w14:paraId="2FBA12EE">
                  <w:pPr>
                    <w:pStyle w:val="6"/>
                    <w:spacing w:before="83"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1664BFF9">
                  <w:pPr>
                    <w:spacing w:before="11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1.21</w:t>
                  </w:r>
                </w:p>
              </w:tc>
              <w:tc>
                <w:tcPr>
                  <w:tcW w:w="1045" w:type="dxa"/>
                  <w:vMerge w:val="continue"/>
                  <w:tcBorders>
                    <w:top w:val="nil"/>
                    <w:bottom w:val="nil"/>
                  </w:tcBorders>
                  <w:vAlign w:val="top"/>
                </w:tcPr>
                <w:p w14:paraId="1ECF69B7">
                  <w:pPr>
                    <w:rPr>
                      <w:rFonts w:ascii="Arial"/>
                      <w:sz w:val="21"/>
                    </w:rPr>
                  </w:pPr>
                </w:p>
              </w:tc>
            </w:tr>
            <w:tr w14:paraId="52FBA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097" w:type="dxa"/>
                  <w:vAlign w:val="top"/>
                </w:tcPr>
                <w:p w14:paraId="4B4724B0">
                  <w:pPr>
                    <w:spacing w:before="12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894" w:type="dxa"/>
                  <w:vAlign w:val="top"/>
                </w:tcPr>
                <w:p w14:paraId="30434953">
                  <w:pPr>
                    <w:spacing w:before="12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7" w:type="dxa"/>
                  <w:vAlign w:val="top"/>
                </w:tcPr>
                <w:p w14:paraId="0F910D5C">
                  <w:pPr>
                    <w:spacing w:before="12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30" w:type="dxa"/>
                  <w:vMerge w:val="continue"/>
                  <w:tcBorders>
                    <w:top w:val="nil"/>
                  </w:tcBorders>
                  <w:vAlign w:val="top"/>
                </w:tcPr>
                <w:p w14:paraId="68CB8C69">
                  <w:pPr>
                    <w:rPr>
                      <w:rFonts w:ascii="Arial"/>
                      <w:sz w:val="21"/>
                    </w:rPr>
                  </w:pPr>
                </w:p>
              </w:tc>
              <w:tc>
                <w:tcPr>
                  <w:tcW w:w="1410" w:type="dxa"/>
                  <w:vAlign w:val="top"/>
                </w:tcPr>
                <w:p w14:paraId="0873DF94">
                  <w:pPr>
                    <w:pStyle w:val="6"/>
                    <w:spacing w:before="81" w:line="228" w:lineRule="auto"/>
                    <w:ind w:left="26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6"/>
                      <w:w w:val="101"/>
                      <w:sz w:val="20"/>
                      <w:szCs w:val="20"/>
                    </w:rPr>
                    <w:t xml:space="preserve"> </w:t>
                  </w:r>
                  <w:r>
                    <w:rPr>
                      <w:spacing w:val="-2"/>
                      <w:sz w:val="20"/>
                      <w:szCs w:val="20"/>
                    </w:rPr>
                    <w:t>月</w:t>
                  </w:r>
                  <w:r>
                    <w:rPr>
                      <w:spacing w:val="-36"/>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45"/>
                      <w:w w:val="101"/>
                      <w:sz w:val="20"/>
                      <w:szCs w:val="20"/>
                    </w:rPr>
                    <w:t xml:space="preserve"> </w:t>
                  </w:r>
                  <w:r>
                    <w:rPr>
                      <w:spacing w:val="-2"/>
                      <w:sz w:val="20"/>
                      <w:szCs w:val="20"/>
                    </w:rPr>
                    <w:t>日</w:t>
                  </w:r>
                </w:p>
              </w:tc>
              <w:tc>
                <w:tcPr>
                  <w:tcW w:w="1199" w:type="dxa"/>
                  <w:vAlign w:val="top"/>
                </w:tcPr>
                <w:p w14:paraId="2C341051">
                  <w:pPr>
                    <w:spacing w:before="120"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45" w:type="dxa"/>
                  <w:vMerge w:val="continue"/>
                  <w:tcBorders>
                    <w:top w:val="nil"/>
                  </w:tcBorders>
                  <w:vAlign w:val="top"/>
                </w:tcPr>
                <w:p w14:paraId="1D11F27B">
                  <w:pPr>
                    <w:rPr>
                      <w:rFonts w:ascii="Arial"/>
                      <w:sz w:val="21"/>
                    </w:rPr>
                  </w:pPr>
                </w:p>
              </w:tc>
            </w:tr>
          </w:tbl>
          <w:p w14:paraId="01537685">
            <w:pPr>
              <w:pStyle w:val="6"/>
              <w:spacing w:before="152" w:line="354" w:lineRule="auto"/>
              <w:ind w:left="108" w:right="4" w:firstLine="510"/>
              <w:jc w:val="both"/>
            </w:pPr>
            <w:r>
              <w:rPr>
                <w:spacing w:val="-4"/>
              </w:rPr>
              <w:t>由上表监测统计结果可知，补充监测点颗粒物和硝酸雾（以氮氧化物计）</w:t>
            </w:r>
            <w:r>
              <w:t xml:space="preserve"> </w:t>
            </w:r>
            <w:r>
              <w:rPr>
                <w:spacing w:val="-3"/>
              </w:rPr>
              <w:t>满足《环境空气质量标准》（</w:t>
            </w:r>
            <w:r>
              <w:rPr>
                <w:rFonts w:ascii="Times New Roman" w:hAnsi="Times New Roman" w:eastAsia="Times New Roman" w:cs="Times New Roman"/>
                <w:spacing w:val="-3"/>
              </w:rPr>
              <w:t>GB3095-2012</w:t>
            </w:r>
            <w:r>
              <w:rPr>
                <w:spacing w:val="-3"/>
              </w:rPr>
              <w:t>）及</w:t>
            </w:r>
            <w:r>
              <w:rPr>
                <w:spacing w:val="-4"/>
              </w:rPr>
              <w:t>其修改清单中的二级标准；氯</w:t>
            </w:r>
            <w:r>
              <w:t xml:space="preserve"> </w:t>
            </w:r>
            <w:r>
              <w:rPr>
                <w:spacing w:val="15"/>
              </w:rPr>
              <w:t>化氢、硫酸雾、氨气和</w:t>
            </w:r>
            <w:r>
              <w:rPr>
                <w:rFonts w:ascii="Times New Roman" w:hAnsi="Times New Roman" w:eastAsia="Times New Roman" w:cs="Times New Roman"/>
              </w:rPr>
              <w:t>TVOC</w:t>
            </w:r>
            <w:r>
              <w:rPr>
                <w:spacing w:val="15"/>
              </w:rPr>
              <w:t>满足《环境影响评价技术导</w:t>
            </w:r>
            <w:r>
              <w:rPr>
                <w:spacing w:val="14"/>
              </w:rPr>
              <w:t>则</w:t>
            </w:r>
            <w:r>
              <w:rPr>
                <w:spacing w:val="46"/>
              </w:rPr>
              <w:t xml:space="preserve"> </w:t>
            </w:r>
            <w:r>
              <w:rPr>
                <w:spacing w:val="14"/>
              </w:rPr>
              <w:t>大气环境》</w:t>
            </w:r>
            <w:r>
              <w:t xml:space="preserve">  </w:t>
            </w:r>
            <w:r>
              <w:rPr>
                <w:spacing w:val="-8"/>
              </w:rPr>
              <w:t>（</w:t>
            </w:r>
            <w:r>
              <w:rPr>
                <w:rFonts w:ascii="Times New Roman" w:hAnsi="Times New Roman" w:eastAsia="Times New Roman" w:cs="Times New Roman"/>
                <w:spacing w:val="-8"/>
              </w:rPr>
              <w:t>HJ2.2-2018</w:t>
            </w:r>
            <w:r>
              <w:rPr>
                <w:spacing w:val="-8"/>
              </w:rPr>
              <w:t>）附录</w:t>
            </w:r>
            <w:r>
              <w:rPr>
                <w:rFonts w:ascii="Times New Roman" w:hAnsi="Times New Roman" w:eastAsia="Times New Roman" w:cs="Times New Roman"/>
                <w:spacing w:val="-8"/>
              </w:rPr>
              <w:t>D</w:t>
            </w:r>
            <w:r>
              <w:rPr>
                <w:spacing w:val="-8"/>
              </w:rPr>
              <w:t>限值；氟化氢满足《环境空气质量标准》（</w:t>
            </w:r>
            <w:r>
              <w:rPr>
                <w:rFonts w:ascii="Times New Roman" w:hAnsi="Times New Roman" w:eastAsia="Times New Roman" w:cs="Times New Roman"/>
                <w:spacing w:val="-8"/>
              </w:rPr>
              <w:t>GB3095-20</w:t>
            </w:r>
            <w:r>
              <w:rPr>
                <w:rFonts w:ascii="Times New Roman" w:hAnsi="Times New Roman" w:eastAsia="Times New Roman" w:cs="Times New Roman"/>
                <w:spacing w:val="-9"/>
              </w:rPr>
              <w:t>12</w:t>
            </w:r>
            <w:r>
              <w:rPr>
                <w:spacing w:val="-9"/>
              </w:rPr>
              <w:t>）</w:t>
            </w:r>
            <w:r>
              <w:t xml:space="preserve"> </w:t>
            </w:r>
            <w:r>
              <w:rPr>
                <w:spacing w:val="-4"/>
              </w:rPr>
              <w:t>及其修改清单中的附录</w:t>
            </w:r>
            <w:r>
              <w:rPr>
                <w:rFonts w:ascii="Times New Roman" w:hAnsi="Times New Roman" w:eastAsia="Times New Roman" w:cs="Times New Roman"/>
                <w:spacing w:val="-4"/>
              </w:rPr>
              <w:t>A</w:t>
            </w:r>
            <w:r>
              <w:rPr>
                <w:spacing w:val="-4"/>
              </w:rPr>
              <w:t>浓度限值要求；非甲烷总烃满足《大气污染物综合排</w:t>
            </w:r>
            <w:r>
              <w:rPr>
                <w:spacing w:val="6"/>
              </w:rPr>
              <w:t xml:space="preserve"> </w:t>
            </w:r>
            <w:r>
              <w:rPr>
                <w:spacing w:val="-1"/>
              </w:rPr>
              <w:t>放标准详解》二级取值要求（具体第</w:t>
            </w:r>
            <w:r>
              <w:rPr>
                <w:rFonts w:ascii="Times New Roman" w:hAnsi="Times New Roman" w:eastAsia="Times New Roman" w:cs="Times New Roman"/>
                <w:spacing w:val="-1"/>
              </w:rPr>
              <w:t>244</w:t>
            </w:r>
            <w:r>
              <w:rPr>
                <w:spacing w:val="-1"/>
              </w:rPr>
              <w:t>页）。</w:t>
            </w:r>
          </w:p>
        </w:tc>
      </w:tr>
    </w:tbl>
    <w:p w14:paraId="32398A87">
      <w:pPr>
        <w:rPr>
          <w:rFonts w:ascii="Arial"/>
          <w:sz w:val="21"/>
        </w:rPr>
      </w:pPr>
    </w:p>
    <w:p w14:paraId="57CC2EF9">
      <w:pPr>
        <w:rPr>
          <w:rFonts w:ascii="Arial" w:hAnsi="Arial" w:eastAsia="Arial" w:cs="Arial"/>
          <w:sz w:val="21"/>
          <w:szCs w:val="21"/>
        </w:rPr>
        <w:sectPr>
          <w:footerReference r:id="rId52" w:type="default"/>
          <w:pgSz w:w="11907" w:h="16840"/>
          <w:pgMar w:top="400" w:right="1449" w:bottom="1240" w:left="1448" w:header="0" w:footer="1077" w:gutter="0"/>
          <w:cols w:space="720" w:num="1"/>
        </w:sectPr>
      </w:pPr>
    </w:p>
    <w:p w14:paraId="1DC74320">
      <w:pPr>
        <w:spacing w:before="19"/>
      </w:pPr>
    </w:p>
    <w:p w14:paraId="64616B9B">
      <w:pPr>
        <w:spacing w:before="19"/>
      </w:pPr>
    </w:p>
    <w:p w14:paraId="01EC766D">
      <w:pPr>
        <w:spacing w:before="19"/>
      </w:pPr>
    </w:p>
    <w:p w14:paraId="00ED0709">
      <w:pPr>
        <w:spacing w:before="18"/>
      </w:pPr>
    </w:p>
    <w:p w14:paraId="79CFD416">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723DC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89" w:hRule="atLeast"/>
        </w:trPr>
        <w:tc>
          <w:tcPr>
            <w:tcW w:w="808" w:type="dxa"/>
            <w:tcBorders>
              <w:right w:val="single" w:color="000000" w:sz="2" w:space="0"/>
            </w:tcBorders>
            <w:vAlign w:val="top"/>
          </w:tcPr>
          <w:p w14:paraId="18D0EA6F">
            <w:pPr>
              <w:rPr>
                <w:rFonts w:ascii="Arial"/>
                <w:sz w:val="21"/>
              </w:rPr>
            </w:pPr>
          </w:p>
        </w:tc>
        <w:tc>
          <w:tcPr>
            <w:tcW w:w="8186" w:type="dxa"/>
            <w:tcBorders>
              <w:left w:val="single" w:color="000000" w:sz="2" w:space="0"/>
            </w:tcBorders>
            <w:vAlign w:val="top"/>
          </w:tcPr>
          <w:p w14:paraId="73D723C3">
            <w:pPr>
              <w:pStyle w:val="6"/>
              <w:spacing w:before="40" w:line="219" w:lineRule="auto"/>
              <w:ind w:left="600"/>
            </w:pPr>
            <w:r>
              <w:rPr>
                <w:rFonts w:ascii="Times New Roman" w:hAnsi="Times New Roman" w:eastAsia="Times New Roman" w:cs="Times New Roman"/>
                <w:b/>
                <w:bCs/>
              </w:rPr>
              <w:t>2</w:t>
            </w:r>
            <w:r>
              <w:rPr>
                <w:rFonts w:ascii="Times New Roman" w:hAnsi="Times New Roman" w:eastAsia="Times New Roman" w:cs="Times New Roman"/>
                <w:b/>
                <w:bCs/>
                <w:spacing w:val="-23"/>
              </w:rPr>
              <w:t xml:space="preserve"> </w:t>
            </w:r>
            <w:r>
              <w:rPr>
                <w:b/>
                <w:bCs/>
              </w:rPr>
              <w:t>、水环境质量现状：</w:t>
            </w:r>
          </w:p>
          <w:p w14:paraId="054A4CEC">
            <w:pPr>
              <w:pStyle w:val="6"/>
              <w:spacing w:before="184" w:line="359" w:lineRule="auto"/>
              <w:ind w:left="109" w:right="100" w:firstLine="483"/>
            </w:pPr>
            <w:r>
              <w:rPr>
                <w:spacing w:val="1"/>
              </w:rPr>
              <w:t>项目配套建设生产废水处理站、生活污水预处理设施，项目生产废水、</w:t>
            </w:r>
            <w:r>
              <w:rPr>
                <w:spacing w:val="9"/>
              </w:rPr>
              <w:t xml:space="preserve"> </w:t>
            </w:r>
            <w:r>
              <w:rPr>
                <w:spacing w:val="1"/>
              </w:rPr>
              <w:t>生活污水经处理达标后排入污水管网，最后汇入可塘镇污水处理厂。可塘镇</w:t>
            </w:r>
            <w:r>
              <w:rPr>
                <w:spacing w:val="9"/>
              </w:rPr>
              <w:t xml:space="preserve"> </w:t>
            </w:r>
            <w:r>
              <w:t>污水处理厂尾水排入东溪。根据《海丰县环境保护</w:t>
            </w:r>
            <w:r>
              <w:rPr>
                <w:spacing w:val="-1"/>
              </w:rPr>
              <w:t>规划</w:t>
            </w:r>
            <w:r>
              <w:rPr>
                <w:rFonts w:ascii="Times New Roman" w:hAnsi="Times New Roman" w:eastAsia="Times New Roman" w:cs="Times New Roman"/>
                <w:spacing w:val="-1"/>
              </w:rPr>
              <w:t xml:space="preserve">(2008-2020 </w:t>
            </w:r>
            <w:r>
              <w:rPr>
                <w:spacing w:val="-1"/>
              </w:rPr>
              <w:t>年</w:t>
            </w:r>
            <w:r>
              <w:rPr>
                <w:rFonts w:ascii="Times New Roman" w:hAnsi="Times New Roman" w:eastAsia="Times New Roman" w:cs="Times New Roman"/>
                <w:spacing w:val="-1"/>
              </w:rPr>
              <w:t>)</w:t>
            </w:r>
            <w:r>
              <w:rPr>
                <w:spacing w:val="-1"/>
              </w:rPr>
              <w:t>》，东</w:t>
            </w:r>
            <w:r>
              <w:t xml:space="preserve"> </w:t>
            </w:r>
            <w:r>
              <w:rPr>
                <w:spacing w:val="-3"/>
              </w:rPr>
              <w:t>溪水质功能区划为《地表水环境质量标准》（</w:t>
            </w:r>
            <w:r>
              <w:rPr>
                <w:rFonts w:ascii="Times New Roman" w:hAnsi="Times New Roman" w:eastAsia="Times New Roman" w:cs="Times New Roman"/>
                <w:spacing w:val="-3"/>
              </w:rPr>
              <w:t>GB3838-2002</w:t>
            </w:r>
            <w:r>
              <w:rPr>
                <w:spacing w:val="-3"/>
              </w:rPr>
              <w:t>）</w:t>
            </w:r>
            <w:r>
              <w:rPr>
                <w:rFonts w:ascii="Times New Roman" w:hAnsi="Times New Roman" w:eastAsia="Times New Roman" w:cs="Times New Roman"/>
                <w:spacing w:val="-3"/>
              </w:rPr>
              <w:t>Ⅲ</w:t>
            </w:r>
            <w:r>
              <w:rPr>
                <w:spacing w:val="-3"/>
              </w:rPr>
              <w:t>类</w:t>
            </w:r>
            <w:r>
              <w:rPr>
                <w:spacing w:val="-4"/>
              </w:rPr>
              <w:t>标准。东溪</w:t>
            </w:r>
            <w:r>
              <w:t xml:space="preserve"> </w:t>
            </w:r>
            <w:r>
              <w:rPr>
                <w:spacing w:val="-2"/>
              </w:rPr>
              <w:t>为黄江向东出海的一条支流，从中闸起至大湖角村上，全长</w:t>
            </w:r>
            <w:r>
              <w:rPr>
                <w:spacing w:val="-43"/>
              </w:rPr>
              <w:t xml:space="preserve"> </w:t>
            </w:r>
            <w:r>
              <w:rPr>
                <w:rFonts w:ascii="Times New Roman" w:hAnsi="Times New Roman" w:eastAsia="Times New Roman" w:cs="Times New Roman"/>
                <w:spacing w:val="-2"/>
              </w:rPr>
              <w:t>40.5km</w:t>
            </w:r>
            <w:r>
              <w:rPr>
                <w:rFonts w:ascii="Times New Roman" w:hAnsi="Times New Roman" w:eastAsia="Times New Roman" w:cs="Times New Roman"/>
                <w:spacing w:val="-30"/>
              </w:rPr>
              <w:t xml:space="preserve"> </w:t>
            </w:r>
            <w:r>
              <w:rPr>
                <w:spacing w:val="-2"/>
              </w:rPr>
              <w:t>，流域面</w:t>
            </w:r>
            <w:r>
              <w:t xml:space="preserve"> </w:t>
            </w:r>
            <w:r>
              <w:rPr>
                <w:spacing w:val="-5"/>
              </w:rPr>
              <w:t>积</w:t>
            </w:r>
            <w:r>
              <w:rPr>
                <w:spacing w:val="-54"/>
              </w:rPr>
              <w:t xml:space="preserve"> </w:t>
            </w:r>
            <w:r>
              <w:rPr>
                <w:rFonts w:ascii="Times New Roman" w:hAnsi="Times New Roman" w:eastAsia="Times New Roman" w:cs="Times New Roman"/>
                <w:spacing w:val="-5"/>
              </w:rPr>
              <w:t>480k</w:t>
            </w:r>
            <w:r>
              <w:rPr>
                <w:rFonts w:ascii="Times New Roman" w:hAnsi="Times New Roman" w:eastAsia="Times New Roman" w:cs="Times New Roman"/>
                <w:spacing w:val="18"/>
                <w:w w:val="101"/>
              </w:rPr>
              <w:t xml:space="preserve"> </w:t>
            </w:r>
            <w:r>
              <w:rPr>
                <w:spacing w:val="-5"/>
              </w:rPr>
              <w:t>㎡</w:t>
            </w:r>
            <w:r>
              <w:rPr>
                <w:spacing w:val="-69"/>
              </w:rPr>
              <w:t xml:space="preserve"> </w:t>
            </w:r>
            <w:r>
              <w:rPr>
                <w:spacing w:val="-5"/>
              </w:rPr>
              <w:t>，海丰占</w:t>
            </w:r>
            <w:r>
              <w:rPr>
                <w:spacing w:val="-53"/>
              </w:rPr>
              <w:t xml:space="preserve"> </w:t>
            </w:r>
            <w:r>
              <w:rPr>
                <w:rFonts w:ascii="Times New Roman" w:hAnsi="Times New Roman" w:eastAsia="Times New Roman" w:cs="Times New Roman"/>
                <w:spacing w:val="-5"/>
              </w:rPr>
              <w:t>284.5k</w:t>
            </w:r>
            <w:r>
              <w:rPr>
                <w:rFonts w:ascii="Times New Roman" w:hAnsi="Times New Roman" w:eastAsia="Times New Roman" w:cs="Times New Roman"/>
                <w:spacing w:val="18"/>
                <w:w w:val="101"/>
              </w:rPr>
              <w:t xml:space="preserve"> </w:t>
            </w:r>
            <w:r>
              <w:rPr>
                <w:spacing w:val="-5"/>
              </w:rPr>
              <w:t>㎡</w:t>
            </w:r>
            <w:r>
              <w:rPr>
                <w:spacing w:val="-69"/>
              </w:rPr>
              <w:t xml:space="preserve"> </w:t>
            </w:r>
            <w:r>
              <w:rPr>
                <w:spacing w:val="-5"/>
              </w:rPr>
              <w:t>，陆丰占</w:t>
            </w:r>
            <w:r>
              <w:rPr>
                <w:spacing w:val="-30"/>
              </w:rPr>
              <w:t xml:space="preserve"> </w:t>
            </w:r>
            <w:r>
              <w:rPr>
                <w:rFonts w:ascii="Times New Roman" w:hAnsi="Times New Roman" w:eastAsia="Times New Roman" w:cs="Times New Roman"/>
                <w:spacing w:val="-5"/>
              </w:rPr>
              <w:t>195.5</w:t>
            </w:r>
            <w:r>
              <w:rPr>
                <w:rFonts w:ascii="Times New Roman" w:hAnsi="Times New Roman" w:eastAsia="Times New Roman" w:cs="Times New Roman"/>
                <w:spacing w:val="-6"/>
              </w:rPr>
              <w:t>k</w:t>
            </w:r>
            <w:r>
              <w:rPr>
                <w:rFonts w:ascii="Times New Roman" w:hAnsi="Times New Roman" w:eastAsia="Times New Roman" w:cs="Times New Roman"/>
                <w:spacing w:val="21"/>
              </w:rPr>
              <w:t xml:space="preserve"> </w:t>
            </w:r>
            <w:r>
              <w:rPr>
                <w:spacing w:val="-6"/>
              </w:rPr>
              <w:t>㎡</w:t>
            </w:r>
            <w:r>
              <w:rPr>
                <w:spacing w:val="-65"/>
              </w:rPr>
              <w:t xml:space="preserve"> </w:t>
            </w:r>
            <w:r>
              <w:rPr>
                <w:spacing w:val="-6"/>
              </w:rPr>
              <w:t>。最终从海丰大湖和陆丰上</w:t>
            </w:r>
            <w:r>
              <w:t xml:space="preserve"> </w:t>
            </w:r>
            <w:r>
              <w:rPr>
                <w:spacing w:val="-1"/>
              </w:rPr>
              <w:t>英的界河排出烟港海域。东溪水体主要功能为灌溉和排洪。</w:t>
            </w:r>
          </w:p>
          <w:p w14:paraId="739B55E2">
            <w:pPr>
              <w:pStyle w:val="6"/>
              <w:spacing w:before="1" w:line="353" w:lineRule="auto"/>
              <w:ind w:left="111" w:right="103" w:firstLine="478"/>
            </w:pPr>
            <w:r>
              <w:rPr>
                <w:spacing w:val="2"/>
              </w:rPr>
              <w:t>根据广东省生态环境厅</w:t>
            </w:r>
            <w:r>
              <w:rPr>
                <w:rFonts w:ascii="Times New Roman" w:hAnsi="Times New Roman" w:eastAsia="Times New Roman" w:cs="Times New Roman"/>
                <w:spacing w:val="2"/>
              </w:rPr>
              <w:t>[</w:t>
            </w:r>
            <w:r>
              <w:rPr>
                <w:spacing w:val="2"/>
              </w:rPr>
              <w:t>公众网</w:t>
            </w:r>
            <w:r>
              <w:rPr>
                <w:rFonts w:ascii="Times New Roman" w:hAnsi="Times New Roman" w:eastAsia="Times New Roman" w:cs="Times New Roman"/>
                <w:spacing w:val="2"/>
              </w:rPr>
              <w:t>]</w:t>
            </w:r>
            <w:r>
              <w:rPr>
                <w:spacing w:val="2"/>
              </w:rPr>
              <w:t>中</w:t>
            </w:r>
            <w:r>
              <w:rPr>
                <w:rFonts w:ascii="Times New Roman" w:hAnsi="Times New Roman" w:eastAsia="Times New Roman" w:cs="Times New Roman"/>
                <w:spacing w:val="2"/>
              </w:rPr>
              <w:t>2024</w:t>
            </w:r>
            <w:r>
              <w:rPr>
                <w:rFonts w:ascii="Times New Roman" w:hAnsi="Times New Roman" w:eastAsia="Times New Roman" w:cs="Times New Roman"/>
                <w:spacing w:val="1"/>
              </w:rPr>
              <w:t xml:space="preserve"> </w:t>
            </w:r>
            <w:r>
              <w:rPr>
                <w:spacing w:val="1"/>
              </w:rPr>
              <w:t>年</w:t>
            </w:r>
            <w:r>
              <w:rPr>
                <w:spacing w:val="-54"/>
              </w:rPr>
              <w:t xml:space="preserve"> </w:t>
            </w:r>
            <w:r>
              <w:rPr>
                <w:rFonts w:ascii="Times New Roman" w:hAnsi="Times New Roman" w:eastAsia="Times New Roman" w:cs="Times New Roman"/>
                <w:spacing w:val="1"/>
              </w:rPr>
              <w:t xml:space="preserve">4 </w:t>
            </w:r>
            <w:r>
              <w:rPr>
                <w:spacing w:val="1"/>
              </w:rPr>
              <w:t>月对东溪水闸断面进行水质</w:t>
            </w:r>
            <w:r>
              <w:t xml:space="preserve"> </w:t>
            </w:r>
            <w:r>
              <w:rPr>
                <w:spacing w:val="-1"/>
              </w:rPr>
              <w:t>现状监测数据资料，项目所在地水域环境质量情况如下表所示：</w:t>
            </w:r>
          </w:p>
          <w:p w14:paraId="35742E09">
            <w:pPr>
              <w:pStyle w:val="6"/>
              <w:spacing w:before="132" w:line="219" w:lineRule="auto"/>
              <w:ind w:left="2460"/>
            </w:pPr>
            <w:r>
              <w:rPr>
                <w:b/>
                <w:bCs/>
                <w:spacing w:val="-2"/>
              </w:rPr>
              <w:t>表</w:t>
            </w:r>
            <w:r>
              <w:rPr>
                <w:spacing w:val="-53"/>
              </w:rPr>
              <w:t xml:space="preserve"> </w:t>
            </w:r>
            <w:r>
              <w:rPr>
                <w:rFonts w:ascii="Times New Roman" w:hAnsi="Times New Roman" w:eastAsia="Times New Roman" w:cs="Times New Roman"/>
                <w:b/>
                <w:bCs/>
                <w:spacing w:val="-2"/>
              </w:rPr>
              <w:t xml:space="preserve">3-4    </w:t>
            </w:r>
            <w:r>
              <w:rPr>
                <w:b/>
                <w:bCs/>
                <w:spacing w:val="-2"/>
              </w:rPr>
              <w:t>东溪河水质现状一览表</w:t>
            </w:r>
          </w:p>
          <w:p w14:paraId="4A0B661C">
            <w:pPr>
              <w:spacing w:line="148" w:lineRule="exact"/>
            </w:pPr>
          </w:p>
          <w:tbl>
            <w:tblPr>
              <w:tblStyle w:val="5"/>
              <w:tblW w:w="7965"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797"/>
              <w:gridCol w:w="888"/>
              <w:gridCol w:w="980"/>
              <w:gridCol w:w="848"/>
              <w:gridCol w:w="945"/>
              <w:gridCol w:w="991"/>
              <w:gridCol w:w="910"/>
              <w:gridCol w:w="855"/>
            </w:tblGrid>
            <w:tr w14:paraId="7D431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965" w:type="dxa"/>
                  <w:gridSpan w:val="9"/>
                  <w:vAlign w:val="top"/>
                </w:tcPr>
                <w:p w14:paraId="479D5808">
                  <w:pPr>
                    <w:pStyle w:val="6"/>
                    <w:spacing w:before="90" w:line="228" w:lineRule="auto"/>
                    <w:ind w:left="3569"/>
                    <w:rPr>
                      <w:sz w:val="20"/>
                      <w:szCs w:val="20"/>
                    </w:rPr>
                  </w:pPr>
                  <w:r>
                    <w:rPr>
                      <w:spacing w:val="7"/>
                      <w:sz w:val="20"/>
                      <w:szCs w:val="20"/>
                    </w:rPr>
                    <w:t>监测指标</w:t>
                  </w:r>
                </w:p>
              </w:tc>
            </w:tr>
            <w:tr w14:paraId="6FA32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1" w:type="dxa"/>
                  <w:vAlign w:val="top"/>
                </w:tcPr>
                <w:p w14:paraId="1973DCB0">
                  <w:pPr>
                    <w:pStyle w:val="6"/>
                    <w:spacing w:before="30" w:line="234" w:lineRule="auto"/>
                    <w:ind w:left="276" w:right="166" w:hanging="82"/>
                    <w:rPr>
                      <w:sz w:val="20"/>
                      <w:szCs w:val="20"/>
                    </w:rPr>
                  </w:pPr>
                  <w:r>
                    <w:rPr>
                      <w:spacing w:val="-8"/>
                      <w:sz w:val="20"/>
                      <w:szCs w:val="20"/>
                    </w:rPr>
                    <w:t>电导</w:t>
                  </w:r>
                  <w:r>
                    <w:rPr>
                      <w:sz w:val="20"/>
                      <w:szCs w:val="20"/>
                    </w:rPr>
                    <w:t xml:space="preserve"> 率</w:t>
                  </w:r>
                </w:p>
              </w:tc>
              <w:tc>
                <w:tcPr>
                  <w:tcW w:w="797" w:type="dxa"/>
                  <w:vAlign w:val="top"/>
                </w:tcPr>
                <w:p w14:paraId="31FC369D">
                  <w:pPr>
                    <w:spacing w:before="205" w:line="194"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888" w:type="dxa"/>
                  <w:vAlign w:val="top"/>
                </w:tcPr>
                <w:p w14:paraId="5F9F972E">
                  <w:pPr>
                    <w:pStyle w:val="6"/>
                    <w:spacing w:before="166" w:line="227" w:lineRule="auto"/>
                    <w:ind w:left="134"/>
                    <w:rPr>
                      <w:sz w:val="20"/>
                      <w:szCs w:val="20"/>
                    </w:rPr>
                  </w:pPr>
                  <w:r>
                    <w:rPr>
                      <w:spacing w:val="6"/>
                      <w:sz w:val="20"/>
                      <w:szCs w:val="20"/>
                    </w:rPr>
                    <w:t>溶解氧</w:t>
                  </w:r>
                </w:p>
              </w:tc>
              <w:tc>
                <w:tcPr>
                  <w:tcW w:w="980" w:type="dxa"/>
                  <w:vAlign w:val="top"/>
                </w:tcPr>
                <w:p w14:paraId="6127F952">
                  <w:pPr>
                    <w:pStyle w:val="6"/>
                    <w:spacing w:before="29" w:line="228" w:lineRule="auto"/>
                    <w:ind w:left="185"/>
                    <w:rPr>
                      <w:sz w:val="20"/>
                      <w:szCs w:val="20"/>
                    </w:rPr>
                  </w:pPr>
                  <w:r>
                    <w:rPr>
                      <w:spacing w:val="5"/>
                      <w:sz w:val="20"/>
                      <w:szCs w:val="20"/>
                    </w:rPr>
                    <w:t>高锰酸</w:t>
                  </w:r>
                </w:p>
                <w:p w14:paraId="00B528D6">
                  <w:pPr>
                    <w:pStyle w:val="6"/>
                    <w:spacing w:before="27" w:line="216" w:lineRule="auto"/>
                    <w:ind w:left="181"/>
                    <w:rPr>
                      <w:sz w:val="20"/>
                      <w:szCs w:val="20"/>
                    </w:rPr>
                  </w:pPr>
                  <w:r>
                    <w:rPr>
                      <w:spacing w:val="6"/>
                      <w:sz w:val="20"/>
                      <w:szCs w:val="20"/>
                    </w:rPr>
                    <w:t>盐指数</w:t>
                  </w:r>
                </w:p>
              </w:tc>
              <w:tc>
                <w:tcPr>
                  <w:tcW w:w="848" w:type="dxa"/>
                  <w:vAlign w:val="top"/>
                </w:tcPr>
                <w:p w14:paraId="4852233E">
                  <w:pPr>
                    <w:pStyle w:val="6"/>
                    <w:spacing w:before="30" w:line="234" w:lineRule="auto"/>
                    <w:ind w:left="220" w:right="107" w:hanging="105"/>
                    <w:rPr>
                      <w:sz w:val="20"/>
                      <w:szCs w:val="20"/>
                    </w:rPr>
                  </w:pPr>
                  <w:r>
                    <w:rPr>
                      <w:spacing w:val="6"/>
                      <w:sz w:val="20"/>
                      <w:szCs w:val="20"/>
                    </w:rPr>
                    <w:t>化学需</w:t>
                  </w:r>
                  <w:r>
                    <w:rPr>
                      <w:sz w:val="20"/>
                      <w:szCs w:val="20"/>
                    </w:rPr>
                    <w:t xml:space="preserve"> </w:t>
                  </w:r>
                  <w:r>
                    <w:rPr>
                      <w:spacing w:val="4"/>
                      <w:sz w:val="20"/>
                      <w:szCs w:val="20"/>
                    </w:rPr>
                    <w:t>氧量</w:t>
                  </w:r>
                </w:p>
              </w:tc>
              <w:tc>
                <w:tcPr>
                  <w:tcW w:w="945" w:type="dxa"/>
                  <w:vAlign w:val="top"/>
                </w:tcPr>
                <w:p w14:paraId="46A27078">
                  <w:pPr>
                    <w:pStyle w:val="6"/>
                    <w:spacing w:before="30" w:line="234" w:lineRule="auto"/>
                    <w:ind w:left="267" w:right="155" w:hanging="102"/>
                    <w:rPr>
                      <w:sz w:val="20"/>
                      <w:szCs w:val="20"/>
                    </w:rPr>
                  </w:pPr>
                  <w:r>
                    <w:rPr>
                      <w:spacing w:val="6"/>
                      <w:sz w:val="20"/>
                      <w:szCs w:val="20"/>
                    </w:rPr>
                    <w:t>生化需</w:t>
                  </w:r>
                  <w:r>
                    <w:rPr>
                      <w:sz w:val="20"/>
                      <w:szCs w:val="20"/>
                    </w:rPr>
                    <w:t xml:space="preserve"> </w:t>
                  </w:r>
                  <w:r>
                    <w:rPr>
                      <w:spacing w:val="4"/>
                      <w:sz w:val="20"/>
                      <w:szCs w:val="20"/>
                    </w:rPr>
                    <w:t>氧量</w:t>
                  </w:r>
                </w:p>
              </w:tc>
              <w:tc>
                <w:tcPr>
                  <w:tcW w:w="991" w:type="dxa"/>
                  <w:vAlign w:val="top"/>
                </w:tcPr>
                <w:p w14:paraId="664CB362">
                  <w:pPr>
                    <w:pStyle w:val="6"/>
                    <w:spacing w:before="166" w:line="227" w:lineRule="auto"/>
                    <w:ind w:left="291"/>
                    <w:rPr>
                      <w:sz w:val="20"/>
                      <w:szCs w:val="20"/>
                    </w:rPr>
                  </w:pPr>
                  <w:r>
                    <w:rPr>
                      <w:spacing w:val="4"/>
                      <w:sz w:val="20"/>
                      <w:szCs w:val="20"/>
                    </w:rPr>
                    <w:t>氨氮</w:t>
                  </w:r>
                </w:p>
              </w:tc>
              <w:tc>
                <w:tcPr>
                  <w:tcW w:w="910" w:type="dxa"/>
                  <w:vAlign w:val="top"/>
                </w:tcPr>
                <w:p w14:paraId="787B42AF">
                  <w:pPr>
                    <w:pStyle w:val="6"/>
                    <w:spacing w:before="166" w:line="228" w:lineRule="auto"/>
                    <w:ind w:left="256"/>
                    <w:rPr>
                      <w:sz w:val="20"/>
                      <w:szCs w:val="20"/>
                    </w:rPr>
                  </w:pPr>
                  <w:r>
                    <w:rPr>
                      <w:spacing w:val="2"/>
                      <w:sz w:val="20"/>
                      <w:szCs w:val="20"/>
                    </w:rPr>
                    <w:t>总磷</w:t>
                  </w:r>
                </w:p>
              </w:tc>
              <w:tc>
                <w:tcPr>
                  <w:tcW w:w="855" w:type="dxa"/>
                  <w:vAlign w:val="top"/>
                </w:tcPr>
                <w:p w14:paraId="0AF44241">
                  <w:pPr>
                    <w:pStyle w:val="6"/>
                    <w:spacing w:before="166" w:line="227" w:lineRule="auto"/>
                    <w:ind w:left="227"/>
                    <w:rPr>
                      <w:sz w:val="20"/>
                      <w:szCs w:val="20"/>
                    </w:rPr>
                  </w:pPr>
                  <w:r>
                    <w:rPr>
                      <w:spacing w:val="2"/>
                      <w:sz w:val="20"/>
                      <w:szCs w:val="20"/>
                    </w:rPr>
                    <w:t>总氮</w:t>
                  </w:r>
                </w:p>
              </w:tc>
            </w:tr>
            <w:tr w14:paraId="4D50E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1" w:type="dxa"/>
                  <w:vAlign w:val="top"/>
                </w:tcPr>
                <w:p w14:paraId="7F28F29F">
                  <w:pPr>
                    <w:spacing w:before="16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896</w:t>
                  </w:r>
                </w:p>
              </w:tc>
              <w:tc>
                <w:tcPr>
                  <w:tcW w:w="797" w:type="dxa"/>
                  <w:vAlign w:val="top"/>
                </w:tcPr>
                <w:p w14:paraId="3F97203F">
                  <w:pPr>
                    <w:spacing w:before="164" w:line="192"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88" w:type="dxa"/>
                  <w:vAlign w:val="top"/>
                </w:tcPr>
                <w:p w14:paraId="2384E366">
                  <w:pPr>
                    <w:spacing w:before="161"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c>
                <w:tcPr>
                  <w:tcW w:w="980" w:type="dxa"/>
                  <w:vAlign w:val="top"/>
                </w:tcPr>
                <w:p w14:paraId="1FC83A41">
                  <w:pPr>
                    <w:spacing w:before="16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848" w:type="dxa"/>
                  <w:vAlign w:val="top"/>
                </w:tcPr>
                <w:p w14:paraId="661E89AC">
                  <w:pPr>
                    <w:spacing w:before="16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c>
                <w:tcPr>
                  <w:tcW w:w="945" w:type="dxa"/>
                  <w:vAlign w:val="top"/>
                </w:tcPr>
                <w:p w14:paraId="51E696CA">
                  <w:pPr>
                    <w:spacing w:before="161"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91" w:type="dxa"/>
                  <w:vAlign w:val="top"/>
                </w:tcPr>
                <w:p w14:paraId="1975ABC6">
                  <w:pPr>
                    <w:spacing w:before="161"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910" w:type="dxa"/>
                  <w:vAlign w:val="top"/>
                </w:tcPr>
                <w:p w14:paraId="725D7156">
                  <w:pPr>
                    <w:spacing w:before="16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w:t>
                  </w:r>
                </w:p>
              </w:tc>
              <w:tc>
                <w:tcPr>
                  <w:tcW w:w="855" w:type="dxa"/>
                  <w:vAlign w:val="top"/>
                </w:tcPr>
                <w:p w14:paraId="0B3E1FBC">
                  <w:pPr>
                    <w:spacing w:before="16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r>
            <w:tr w14:paraId="79D92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1" w:type="dxa"/>
                  <w:vAlign w:val="top"/>
                </w:tcPr>
                <w:p w14:paraId="3C677F37">
                  <w:pPr>
                    <w:pStyle w:val="6"/>
                    <w:spacing w:before="125" w:line="229" w:lineRule="auto"/>
                    <w:ind w:left="275"/>
                    <w:rPr>
                      <w:sz w:val="20"/>
                      <w:szCs w:val="20"/>
                    </w:rPr>
                  </w:pPr>
                  <w:r>
                    <w:rPr>
                      <w:sz w:val="20"/>
                      <w:szCs w:val="20"/>
                    </w:rPr>
                    <w:t>铜</w:t>
                  </w:r>
                </w:p>
              </w:tc>
              <w:tc>
                <w:tcPr>
                  <w:tcW w:w="797" w:type="dxa"/>
                  <w:vAlign w:val="top"/>
                </w:tcPr>
                <w:p w14:paraId="6010641A">
                  <w:pPr>
                    <w:pStyle w:val="6"/>
                    <w:spacing w:before="125" w:line="228" w:lineRule="auto"/>
                    <w:ind w:left="296"/>
                    <w:rPr>
                      <w:sz w:val="20"/>
                      <w:szCs w:val="20"/>
                    </w:rPr>
                  </w:pPr>
                  <w:r>
                    <w:rPr>
                      <w:spacing w:val="1"/>
                      <w:sz w:val="20"/>
                      <w:szCs w:val="20"/>
                    </w:rPr>
                    <w:t>锌</w:t>
                  </w:r>
                </w:p>
              </w:tc>
              <w:tc>
                <w:tcPr>
                  <w:tcW w:w="888" w:type="dxa"/>
                  <w:vAlign w:val="top"/>
                </w:tcPr>
                <w:p w14:paraId="527DD92D">
                  <w:pPr>
                    <w:pStyle w:val="6"/>
                    <w:spacing w:before="125" w:line="228" w:lineRule="auto"/>
                    <w:ind w:left="132"/>
                    <w:rPr>
                      <w:sz w:val="20"/>
                      <w:szCs w:val="20"/>
                    </w:rPr>
                  </w:pPr>
                  <w:r>
                    <w:rPr>
                      <w:spacing w:val="6"/>
                      <w:sz w:val="20"/>
                      <w:szCs w:val="20"/>
                    </w:rPr>
                    <w:t>氟化物</w:t>
                  </w:r>
                </w:p>
              </w:tc>
              <w:tc>
                <w:tcPr>
                  <w:tcW w:w="980" w:type="dxa"/>
                  <w:vAlign w:val="top"/>
                </w:tcPr>
                <w:p w14:paraId="2E13CD26">
                  <w:pPr>
                    <w:pStyle w:val="6"/>
                    <w:spacing w:before="124" w:line="231" w:lineRule="auto"/>
                    <w:ind w:left="387"/>
                    <w:rPr>
                      <w:sz w:val="20"/>
                      <w:szCs w:val="20"/>
                    </w:rPr>
                  </w:pPr>
                  <w:r>
                    <w:rPr>
                      <w:spacing w:val="2"/>
                      <w:sz w:val="20"/>
                      <w:szCs w:val="20"/>
                    </w:rPr>
                    <w:t>硒</w:t>
                  </w:r>
                </w:p>
              </w:tc>
              <w:tc>
                <w:tcPr>
                  <w:tcW w:w="848" w:type="dxa"/>
                  <w:vAlign w:val="top"/>
                </w:tcPr>
                <w:p w14:paraId="39C81279">
                  <w:pPr>
                    <w:pStyle w:val="6"/>
                    <w:spacing w:before="125" w:line="228" w:lineRule="auto"/>
                    <w:ind w:left="322"/>
                    <w:rPr>
                      <w:sz w:val="20"/>
                      <w:szCs w:val="20"/>
                    </w:rPr>
                  </w:pPr>
                  <w:r>
                    <w:rPr>
                      <w:spacing w:val="1"/>
                      <w:sz w:val="20"/>
                      <w:szCs w:val="20"/>
                    </w:rPr>
                    <w:t>砷</w:t>
                  </w:r>
                </w:p>
              </w:tc>
              <w:tc>
                <w:tcPr>
                  <w:tcW w:w="945" w:type="dxa"/>
                  <w:vAlign w:val="top"/>
                </w:tcPr>
                <w:p w14:paraId="2684E608">
                  <w:pPr>
                    <w:pStyle w:val="6"/>
                    <w:spacing w:before="125" w:line="228" w:lineRule="auto"/>
                    <w:ind w:left="373"/>
                    <w:rPr>
                      <w:sz w:val="20"/>
                      <w:szCs w:val="20"/>
                    </w:rPr>
                  </w:pPr>
                  <w:r>
                    <w:rPr>
                      <w:sz w:val="20"/>
                      <w:szCs w:val="20"/>
                    </w:rPr>
                    <w:t>汞</w:t>
                  </w:r>
                </w:p>
              </w:tc>
              <w:tc>
                <w:tcPr>
                  <w:tcW w:w="991" w:type="dxa"/>
                  <w:vAlign w:val="top"/>
                </w:tcPr>
                <w:p w14:paraId="5E54B85F">
                  <w:pPr>
                    <w:pStyle w:val="6"/>
                    <w:spacing w:before="124" w:line="231" w:lineRule="auto"/>
                    <w:ind w:left="395"/>
                    <w:rPr>
                      <w:sz w:val="20"/>
                      <w:szCs w:val="20"/>
                    </w:rPr>
                  </w:pPr>
                  <w:r>
                    <w:rPr>
                      <w:spacing w:val="2"/>
                      <w:sz w:val="20"/>
                      <w:szCs w:val="20"/>
                    </w:rPr>
                    <w:t>镉</w:t>
                  </w:r>
                </w:p>
              </w:tc>
              <w:tc>
                <w:tcPr>
                  <w:tcW w:w="910" w:type="dxa"/>
                  <w:vAlign w:val="top"/>
                </w:tcPr>
                <w:p w14:paraId="1A4D4666">
                  <w:pPr>
                    <w:pStyle w:val="6"/>
                    <w:spacing w:before="125" w:line="226" w:lineRule="auto"/>
                    <w:ind w:left="149"/>
                    <w:rPr>
                      <w:sz w:val="20"/>
                      <w:szCs w:val="20"/>
                    </w:rPr>
                  </w:pPr>
                  <w:r>
                    <w:rPr>
                      <w:spacing w:val="6"/>
                      <w:sz w:val="20"/>
                      <w:szCs w:val="20"/>
                    </w:rPr>
                    <w:t>六价铬</w:t>
                  </w:r>
                </w:p>
              </w:tc>
              <w:tc>
                <w:tcPr>
                  <w:tcW w:w="855" w:type="dxa"/>
                  <w:vAlign w:val="top"/>
                </w:tcPr>
                <w:p w14:paraId="37BFA022">
                  <w:pPr>
                    <w:pStyle w:val="6"/>
                    <w:spacing w:before="125" w:line="232" w:lineRule="auto"/>
                    <w:ind w:left="327"/>
                    <w:rPr>
                      <w:sz w:val="20"/>
                      <w:szCs w:val="20"/>
                    </w:rPr>
                  </w:pPr>
                  <w:r>
                    <w:rPr>
                      <w:sz w:val="20"/>
                      <w:szCs w:val="20"/>
                    </w:rPr>
                    <w:t>铅</w:t>
                  </w:r>
                </w:p>
              </w:tc>
            </w:tr>
            <w:tr w14:paraId="4DA43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51" w:type="dxa"/>
                  <w:vAlign w:val="top"/>
                </w:tcPr>
                <w:p w14:paraId="5900FFF2">
                  <w:pPr>
                    <w:spacing w:before="16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797" w:type="dxa"/>
                  <w:vAlign w:val="top"/>
                </w:tcPr>
                <w:p w14:paraId="418E3954">
                  <w:pPr>
                    <w:spacing w:before="16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88" w:type="dxa"/>
                  <w:vAlign w:val="top"/>
                </w:tcPr>
                <w:p w14:paraId="0DF13CF3">
                  <w:pPr>
                    <w:spacing w:before="16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0.94</w:t>
                  </w:r>
                </w:p>
              </w:tc>
              <w:tc>
                <w:tcPr>
                  <w:tcW w:w="980" w:type="dxa"/>
                  <w:vAlign w:val="top"/>
                </w:tcPr>
                <w:p w14:paraId="1FE8E925">
                  <w:pPr>
                    <w:spacing w:before="161"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848" w:type="dxa"/>
                  <w:vAlign w:val="top"/>
                </w:tcPr>
                <w:p w14:paraId="1BED541E">
                  <w:pPr>
                    <w:spacing w:before="161"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945" w:type="dxa"/>
                  <w:vAlign w:val="top"/>
                </w:tcPr>
                <w:p w14:paraId="2926F458">
                  <w:pPr>
                    <w:spacing w:before="1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91" w:type="dxa"/>
                  <w:vAlign w:val="top"/>
                </w:tcPr>
                <w:p w14:paraId="587C7F0B">
                  <w:pPr>
                    <w:spacing w:before="161"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10" w:type="dxa"/>
                  <w:vAlign w:val="top"/>
                </w:tcPr>
                <w:p w14:paraId="7FA570B0">
                  <w:pPr>
                    <w:spacing w:before="16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55" w:type="dxa"/>
                  <w:vAlign w:val="top"/>
                </w:tcPr>
                <w:p w14:paraId="68DF4200">
                  <w:pPr>
                    <w:spacing w:before="161"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r>
            <w:tr w14:paraId="2C563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751" w:type="dxa"/>
                  <w:vAlign w:val="top"/>
                </w:tcPr>
                <w:p w14:paraId="233F8E62">
                  <w:pPr>
                    <w:pStyle w:val="6"/>
                    <w:spacing w:before="214" w:line="252" w:lineRule="auto"/>
                    <w:ind w:left="275" w:right="166" w:hanging="106"/>
                    <w:rPr>
                      <w:sz w:val="20"/>
                      <w:szCs w:val="20"/>
                    </w:rPr>
                  </w:pPr>
                  <w:r>
                    <w:rPr>
                      <w:spacing w:val="5"/>
                      <w:sz w:val="20"/>
                      <w:szCs w:val="20"/>
                    </w:rPr>
                    <w:t>氰化</w:t>
                  </w:r>
                  <w:r>
                    <w:rPr>
                      <w:sz w:val="20"/>
                      <w:szCs w:val="20"/>
                    </w:rPr>
                    <w:t xml:space="preserve"> 物</w:t>
                  </w:r>
                </w:p>
              </w:tc>
              <w:tc>
                <w:tcPr>
                  <w:tcW w:w="797" w:type="dxa"/>
                  <w:vAlign w:val="top"/>
                </w:tcPr>
                <w:p w14:paraId="3E61AE54">
                  <w:pPr>
                    <w:pStyle w:val="6"/>
                    <w:spacing w:before="213" w:line="253" w:lineRule="auto"/>
                    <w:ind w:left="297" w:right="190" w:hanging="106"/>
                    <w:rPr>
                      <w:sz w:val="20"/>
                      <w:szCs w:val="20"/>
                    </w:rPr>
                  </w:pPr>
                  <w:r>
                    <w:rPr>
                      <w:spacing w:val="5"/>
                      <w:sz w:val="20"/>
                      <w:szCs w:val="20"/>
                    </w:rPr>
                    <w:t>挥发</w:t>
                  </w:r>
                  <w:r>
                    <w:rPr>
                      <w:sz w:val="20"/>
                      <w:szCs w:val="20"/>
                    </w:rPr>
                    <w:t xml:space="preserve"> 酚</w:t>
                  </w:r>
                </w:p>
              </w:tc>
              <w:tc>
                <w:tcPr>
                  <w:tcW w:w="888" w:type="dxa"/>
                  <w:vAlign w:val="top"/>
                </w:tcPr>
                <w:p w14:paraId="0721EBC7">
                  <w:pPr>
                    <w:spacing w:line="283" w:lineRule="auto"/>
                    <w:rPr>
                      <w:rFonts w:ascii="Arial"/>
                      <w:sz w:val="21"/>
                    </w:rPr>
                  </w:pPr>
                </w:p>
                <w:p w14:paraId="01A7DDDB">
                  <w:pPr>
                    <w:pStyle w:val="6"/>
                    <w:spacing w:before="65" w:line="228" w:lineRule="auto"/>
                    <w:ind w:left="132"/>
                    <w:rPr>
                      <w:sz w:val="20"/>
                      <w:szCs w:val="20"/>
                    </w:rPr>
                  </w:pPr>
                  <w:r>
                    <w:rPr>
                      <w:spacing w:val="6"/>
                      <w:sz w:val="20"/>
                      <w:szCs w:val="20"/>
                    </w:rPr>
                    <w:t>石油类</w:t>
                  </w:r>
                </w:p>
              </w:tc>
              <w:tc>
                <w:tcPr>
                  <w:tcW w:w="980" w:type="dxa"/>
                  <w:vAlign w:val="top"/>
                </w:tcPr>
                <w:p w14:paraId="152D24F9">
                  <w:pPr>
                    <w:pStyle w:val="6"/>
                    <w:spacing w:before="77" w:line="228" w:lineRule="auto"/>
                    <w:ind w:left="196"/>
                    <w:rPr>
                      <w:sz w:val="20"/>
                      <w:szCs w:val="20"/>
                    </w:rPr>
                  </w:pPr>
                  <w:r>
                    <w:rPr>
                      <w:spacing w:val="1"/>
                      <w:sz w:val="20"/>
                      <w:szCs w:val="20"/>
                    </w:rPr>
                    <w:t>阴离子</w:t>
                  </w:r>
                </w:p>
                <w:p w14:paraId="62EC5849">
                  <w:pPr>
                    <w:pStyle w:val="6"/>
                    <w:spacing w:before="26" w:line="251" w:lineRule="auto"/>
                    <w:ind w:left="285" w:right="174" w:hanging="106"/>
                    <w:rPr>
                      <w:sz w:val="20"/>
                      <w:szCs w:val="20"/>
                    </w:rPr>
                  </w:pPr>
                  <w:r>
                    <w:rPr>
                      <w:spacing w:val="7"/>
                      <w:sz w:val="20"/>
                      <w:szCs w:val="20"/>
                    </w:rPr>
                    <w:t>表面活</w:t>
                  </w:r>
                  <w:r>
                    <w:rPr>
                      <w:sz w:val="20"/>
                      <w:szCs w:val="20"/>
                    </w:rPr>
                    <w:t xml:space="preserve"> </w:t>
                  </w:r>
                  <w:r>
                    <w:rPr>
                      <w:spacing w:val="3"/>
                      <w:sz w:val="20"/>
                      <w:szCs w:val="20"/>
                    </w:rPr>
                    <w:t>性剂</w:t>
                  </w:r>
                </w:p>
              </w:tc>
              <w:tc>
                <w:tcPr>
                  <w:tcW w:w="848" w:type="dxa"/>
                  <w:vAlign w:val="top"/>
                </w:tcPr>
                <w:p w14:paraId="238E766F">
                  <w:pPr>
                    <w:spacing w:line="283" w:lineRule="auto"/>
                    <w:rPr>
                      <w:rFonts w:ascii="Arial"/>
                      <w:sz w:val="21"/>
                    </w:rPr>
                  </w:pPr>
                </w:p>
                <w:p w14:paraId="663517D9">
                  <w:pPr>
                    <w:pStyle w:val="6"/>
                    <w:spacing w:before="65" w:line="229" w:lineRule="auto"/>
                    <w:ind w:left="113"/>
                    <w:rPr>
                      <w:sz w:val="20"/>
                      <w:szCs w:val="20"/>
                    </w:rPr>
                  </w:pPr>
                  <w:r>
                    <w:rPr>
                      <w:spacing w:val="7"/>
                      <w:sz w:val="20"/>
                      <w:szCs w:val="20"/>
                    </w:rPr>
                    <w:t>硫化物</w:t>
                  </w:r>
                </w:p>
              </w:tc>
              <w:tc>
                <w:tcPr>
                  <w:tcW w:w="945" w:type="dxa"/>
                  <w:vAlign w:val="top"/>
                </w:tcPr>
                <w:p w14:paraId="3CAB3B3E">
                  <w:pPr>
                    <w:spacing w:line="283" w:lineRule="auto"/>
                    <w:rPr>
                      <w:rFonts w:ascii="Arial"/>
                      <w:sz w:val="21"/>
                    </w:rPr>
                  </w:pPr>
                </w:p>
                <w:p w14:paraId="45E067B0">
                  <w:pPr>
                    <w:pStyle w:val="6"/>
                    <w:spacing w:before="65" w:line="229" w:lineRule="auto"/>
                    <w:ind w:left="165"/>
                    <w:rPr>
                      <w:sz w:val="20"/>
                      <w:szCs w:val="20"/>
                    </w:rPr>
                  </w:pPr>
                  <w:r>
                    <w:rPr>
                      <w:spacing w:val="6"/>
                      <w:sz w:val="20"/>
                      <w:szCs w:val="20"/>
                    </w:rPr>
                    <w:t>硝酸盐</w:t>
                  </w:r>
                </w:p>
              </w:tc>
              <w:tc>
                <w:tcPr>
                  <w:tcW w:w="991" w:type="dxa"/>
                  <w:vAlign w:val="top"/>
                </w:tcPr>
                <w:p w14:paraId="5430DB8C">
                  <w:pPr>
                    <w:pStyle w:val="6"/>
                    <w:spacing w:before="213" w:line="231" w:lineRule="auto"/>
                    <w:ind w:left="293"/>
                    <w:rPr>
                      <w:sz w:val="20"/>
                      <w:szCs w:val="20"/>
                    </w:rPr>
                  </w:pPr>
                  <w:r>
                    <w:rPr>
                      <w:spacing w:val="3"/>
                      <w:sz w:val="20"/>
                      <w:szCs w:val="20"/>
                    </w:rPr>
                    <w:t>亚硝</w:t>
                  </w:r>
                </w:p>
                <w:p w14:paraId="568F8F81">
                  <w:pPr>
                    <w:pStyle w:val="6"/>
                    <w:spacing w:before="20" w:line="229" w:lineRule="auto"/>
                    <w:ind w:left="292"/>
                    <w:rPr>
                      <w:sz w:val="20"/>
                      <w:szCs w:val="20"/>
                    </w:rPr>
                  </w:pPr>
                  <w:r>
                    <w:rPr>
                      <w:spacing w:val="4"/>
                      <w:sz w:val="20"/>
                      <w:szCs w:val="20"/>
                    </w:rPr>
                    <w:t>酸盐</w:t>
                  </w:r>
                </w:p>
              </w:tc>
              <w:tc>
                <w:tcPr>
                  <w:tcW w:w="910" w:type="dxa"/>
                  <w:vAlign w:val="top"/>
                </w:tcPr>
                <w:p w14:paraId="684DADA9">
                  <w:pPr>
                    <w:spacing w:line="284" w:lineRule="auto"/>
                    <w:rPr>
                      <w:rFonts w:ascii="Arial"/>
                      <w:sz w:val="21"/>
                    </w:rPr>
                  </w:pPr>
                </w:p>
                <w:p w14:paraId="3101652D">
                  <w:pPr>
                    <w:pStyle w:val="6"/>
                    <w:spacing w:before="65" w:line="228" w:lineRule="auto"/>
                    <w:ind w:left="252"/>
                    <w:rPr>
                      <w:sz w:val="20"/>
                      <w:szCs w:val="20"/>
                    </w:rPr>
                  </w:pPr>
                  <w:r>
                    <w:rPr>
                      <w:spacing w:val="3"/>
                      <w:sz w:val="20"/>
                      <w:szCs w:val="20"/>
                    </w:rPr>
                    <w:t>盐度</w:t>
                  </w:r>
                </w:p>
              </w:tc>
              <w:tc>
                <w:tcPr>
                  <w:tcW w:w="855" w:type="dxa"/>
                  <w:vAlign w:val="top"/>
                </w:tcPr>
                <w:p w14:paraId="69576FA3">
                  <w:pPr>
                    <w:rPr>
                      <w:rFonts w:ascii="Arial"/>
                      <w:sz w:val="21"/>
                    </w:rPr>
                  </w:pPr>
                </w:p>
              </w:tc>
            </w:tr>
            <w:tr w14:paraId="37FC1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51" w:type="dxa"/>
                  <w:vAlign w:val="top"/>
                </w:tcPr>
                <w:p w14:paraId="0D536035">
                  <w:pPr>
                    <w:spacing w:before="164"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797" w:type="dxa"/>
                  <w:vAlign w:val="top"/>
                </w:tcPr>
                <w:p w14:paraId="7EE07580">
                  <w:pPr>
                    <w:spacing w:before="164"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888" w:type="dxa"/>
                  <w:vAlign w:val="top"/>
                </w:tcPr>
                <w:p w14:paraId="40B76015">
                  <w:pPr>
                    <w:spacing w:before="164"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980" w:type="dxa"/>
                  <w:vAlign w:val="top"/>
                </w:tcPr>
                <w:p w14:paraId="1BE88520">
                  <w:pPr>
                    <w:spacing w:before="164"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48" w:type="dxa"/>
                  <w:vAlign w:val="top"/>
                </w:tcPr>
                <w:p w14:paraId="5BEDEBFA">
                  <w:pPr>
                    <w:spacing w:before="164"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945" w:type="dxa"/>
                  <w:vAlign w:val="top"/>
                </w:tcPr>
                <w:p w14:paraId="55773427">
                  <w:pPr>
                    <w:spacing w:before="16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991" w:type="dxa"/>
                  <w:vAlign w:val="top"/>
                </w:tcPr>
                <w:p w14:paraId="1D57E204">
                  <w:pPr>
                    <w:spacing w:before="164"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910" w:type="dxa"/>
                  <w:vAlign w:val="top"/>
                </w:tcPr>
                <w:p w14:paraId="6551DDE4">
                  <w:pPr>
                    <w:spacing w:before="164"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855" w:type="dxa"/>
                  <w:vAlign w:val="top"/>
                </w:tcPr>
                <w:p w14:paraId="1E1A7BE9">
                  <w:pPr>
                    <w:rPr>
                      <w:rFonts w:ascii="Arial"/>
                      <w:sz w:val="21"/>
                    </w:rPr>
                  </w:pPr>
                </w:p>
              </w:tc>
            </w:tr>
            <w:tr w14:paraId="0F4E1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965" w:type="dxa"/>
                  <w:gridSpan w:val="9"/>
                  <w:vAlign w:val="top"/>
                </w:tcPr>
                <w:p w14:paraId="34E16BEB">
                  <w:pPr>
                    <w:pStyle w:val="6"/>
                    <w:spacing w:before="127" w:line="228" w:lineRule="auto"/>
                    <w:ind w:left="117"/>
                    <w:rPr>
                      <w:sz w:val="20"/>
                      <w:szCs w:val="20"/>
                    </w:rPr>
                  </w:pPr>
                  <w:r>
                    <w:rPr>
                      <w:spacing w:val="8"/>
                      <w:sz w:val="20"/>
                      <w:szCs w:val="20"/>
                    </w:rPr>
                    <w:t>综合水质类别：Ⅲ类</w:t>
                  </w:r>
                </w:p>
              </w:tc>
            </w:tr>
            <w:tr w14:paraId="33E64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965" w:type="dxa"/>
                  <w:gridSpan w:val="9"/>
                  <w:vAlign w:val="top"/>
                </w:tcPr>
                <w:p w14:paraId="57AFBC13">
                  <w:pPr>
                    <w:pStyle w:val="6"/>
                    <w:spacing w:before="127" w:line="228" w:lineRule="auto"/>
                    <w:ind w:left="116"/>
                    <w:rPr>
                      <w:sz w:val="20"/>
                      <w:szCs w:val="20"/>
                    </w:rPr>
                  </w:pPr>
                  <w:r>
                    <w:rPr>
                      <w:spacing w:val="8"/>
                      <w:sz w:val="20"/>
                      <w:szCs w:val="20"/>
                    </w:rPr>
                    <w:t>主要超标项目：/</w:t>
                  </w:r>
                </w:p>
              </w:tc>
            </w:tr>
            <w:tr w14:paraId="534AA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965" w:type="dxa"/>
                  <w:gridSpan w:val="9"/>
                  <w:vAlign w:val="top"/>
                </w:tcPr>
                <w:p w14:paraId="348262BE">
                  <w:pPr>
                    <w:pStyle w:val="6"/>
                    <w:spacing w:before="125" w:line="222" w:lineRule="auto"/>
                    <w:ind w:left="117"/>
                    <w:rPr>
                      <w:sz w:val="20"/>
                      <w:szCs w:val="20"/>
                    </w:rPr>
                  </w:pPr>
                  <w:r>
                    <w:rPr>
                      <w:spacing w:val="5"/>
                      <w:sz w:val="20"/>
                      <w:szCs w:val="20"/>
                    </w:rPr>
                    <w:t>备注：</w:t>
                  </w:r>
                  <w:r>
                    <w:rPr>
                      <w:spacing w:val="-57"/>
                      <w:sz w:val="20"/>
                      <w:szCs w:val="20"/>
                    </w:rPr>
                    <w:t xml:space="preserve"> </w:t>
                  </w:r>
                  <w:r>
                    <w:rPr>
                      <w:spacing w:val="5"/>
                      <w:sz w:val="20"/>
                      <w:szCs w:val="20"/>
                    </w:rPr>
                    <w:t>电导率单位为</w:t>
                  </w:r>
                  <w:r>
                    <w:rPr>
                      <w:spacing w:val="-38"/>
                      <w:sz w:val="20"/>
                      <w:szCs w:val="20"/>
                    </w:rPr>
                    <w:t xml:space="preserve"> </w:t>
                  </w:r>
                  <w:r>
                    <w:rPr>
                      <w:spacing w:val="5"/>
                      <w:sz w:val="20"/>
                      <w:szCs w:val="20"/>
                    </w:rPr>
                    <w:t>μS/</w:t>
                  </w:r>
                  <w:r>
                    <w:rPr>
                      <w:sz w:val="20"/>
                      <w:szCs w:val="20"/>
                    </w:rPr>
                    <w:t>cm</w:t>
                  </w:r>
                  <w:r>
                    <w:rPr>
                      <w:spacing w:val="5"/>
                      <w:sz w:val="20"/>
                      <w:szCs w:val="20"/>
                    </w:rPr>
                    <w:t>，盐度单位为‰</w:t>
                  </w:r>
                  <w:r>
                    <w:rPr>
                      <w:spacing w:val="-72"/>
                      <w:sz w:val="20"/>
                      <w:szCs w:val="20"/>
                    </w:rPr>
                    <w:t xml:space="preserve"> </w:t>
                  </w:r>
                  <w:r>
                    <w:rPr>
                      <w:spacing w:val="5"/>
                      <w:sz w:val="20"/>
                      <w:szCs w:val="20"/>
                    </w:rPr>
                    <w:t>，</w:t>
                  </w:r>
                  <w:r>
                    <w:rPr>
                      <w:sz w:val="20"/>
                      <w:szCs w:val="20"/>
                    </w:rPr>
                    <w:t>pH</w:t>
                  </w:r>
                  <w:r>
                    <w:rPr>
                      <w:spacing w:val="-39"/>
                      <w:sz w:val="20"/>
                      <w:szCs w:val="20"/>
                    </w:rPr>
                    <w:t xml:space="preserve"> </w:t>
                  </w:r>
                  <w:r>
                    <w:rPr>
                      <w:spacing w:val="5"/>
                      <w:sz w:val="20"/>
                      <w:szCs w:val="20"/>
                    </w:rPr>
                    <w:t>无量纲</w:t>
                  </w:r>
                  <w:r>
                    <w:rPr>
                      <w:spacing w:val="4"/>
                      <w:sz w:val="20"/>
                      <w:szCs w:val="20"/>
                    </w:rPr>
                    <w:t>，其它为</w:t>
                  </w:r>
                  <w:r>
                    <w:rPr>
                      <w:spacing w:val="-42"/>
                      <w:sz w:val="20"/>
                      <w:szCs w:val="20"/>
                    </w:rPr>
                    <w:t xml:space="preserve"> </w:t>
                  </w:r>
                  <w:r>
                    <w:rPr>
                      <w:sz w:val="20"/>
                      <w:szCs w:val="20"/>
                    </w:rPr>
                    <w:t>mg</w:t>
                  </w:r>
                  <w:r>
                    <w:rPr>
                      <w:spacing w:val="4"/>
                      <w:sz w:val="20"/>
                      <w:szCs w:val="20"/>
                    </w:rPr>
                    <w:t>/L。</w:t>
                  </w:r>
                </w:p>
              </w:tc>
            </w:tr>
          </w:tbl>
          <w:p w14:paraId="4C58152C">
            <w:pPr>
              <w:pStyle w:val="6"/>
              <w:spacing w:before="27" w:line="212" w:lineRule="auto"/>
              <w:ind w:left="572"/>
              <w:rPr>
                <w:rFonts w:ascii="Times New Roman" w:hAnsi="Times New Roman" w:eastAsia="Times New Roman" w:cs="Times New Roman"/>
                <w:sz w:val="18"/>
                <w:szCs w:val="18"/>
              </w:rPr>
            </w:pPr>
            <w:r>
              <w:rPr>
                <w:b/>
                <w:bCs/>
                <w:sz w:val="18"/>
                <w:szCs w:val="18"/>
              </w:rPr>
              <w:t>注：公示链接为：</w:t>
            </w:r>
            <w:r>
              <w:fldChar w:fldCharType="begin"/>
            </w:r>
            <w:r>
              <w:instrText xml:space="preserve"> HYPERLINK "https://gdee.gd.gov.cn/jhszl/content/post_4519072.html" </w:instrText>
            </w:r>
            <w:r>
              <w:fldChar w:fldCharType="separate"/>
            </w:r>
            <w:r>
              <w:rPr>
                <w:rFonts w:ascii="Times New Roman" w:hAnsi="Times New Roman" w:eastAsia="Times New Roman" w:cs="Times New Roman"/>
                <w:b/>
                <w:bCs/>
                <w:sz w:val="18"/>
                <w:szCs w:val="18"/>
              </w:rPr>
              <w:t>https://gdee.gd.gov.cn/</w:t>
            </w:r>
            <w:r>
              <w:rPr>
                <w:rFonts w:ascii="Times New Roman" w:hAnsi="Times New Roman" w:eastAsia="Times New Roman" w:cs="Times New Roman"/>
                <w:b/>
                <w:bCs/>
                <w:spacing w:val="-1"/>
                <w:sz w:val="18"/>
                <w:szCs w:val="18"/>
              </w:rPr>
              <w:t>jhszl/content/post_4519072.html</w:t>
            </w:r>
            <w:r>
              <w:rPr>
                <w:rFonts w:ascii="Times New Roman" w:hAnsi="Times New Roman" w:eastAsia="Times New Roman" w:cs="Times New Roman"/>
                <w:b/>
                <w:bCs/>
                <w:spacing w:val="-1"/>
                <w:sz w:val="18"/>
                <w:szCs w:val="18"/>
              </w:rPr>
              <w:fldChar w:fldCharType="end"/>
            </w:r>
          </w:p>
          <w:p w14:paraId="57D7676A">
            <w:pPr>
              <w:pStyle w:val="6"/>
              <w:spacing w:before="275" w:line="219" w:lineRule="auto"/>
              <w:ind w:left="583"/>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、声环境质量现状</w:t>
            </w:r>
          </w:p>
          <w:p w14:paraId="0267E5E4">
            <w:pPr>
              <w:pStyle w:val="6"/>
              <w:spacing w:before="181" w:line="351" w:lineRule="auto"/>
              <w:ind w:left="110" w:right="103" w:firstLine="479"/>
              <w:jc w:val="both"/>
            </w:pPr>
            <w:r>
              <w:rPr>
                <w:spacing w:val="-1"/>
              </w:rPr>
              <w:t>根据《汕尾市生态环境局关于印发</w:t>
            </w:r>
            <w:r>
              <w:rPr>
                <w:rFonts w:ascii="Times New Roman" w:hAnsi="Times New Roman" w:eastAsia="Times New Roman" w:cs="Times New Roman"/>
                <w:spacing w:val="-1"/>
              </w:rPr>
              <w:t>&lt;</w:t>
            </w:r>
            <w:r>
              <w:rPr>
                <w:spacing w:val="-1"/>
              </w:rPr>
              <w:t>汕尾市声环境功能区区划方案</w:t>
            </w:r>
            <w:r>
              <w:rPr>
                <w:rFonts w:ascii="Times New Roman" w:hAnsi="Times New Roman" w:eastAsia="Times New Roman" w:cs="Times New Roman"/>
                <w:spacing w:val="-1"/>
              </w:rPr>
              <w:t>&gt;</w:t>
            </w:r>
            <w:r>
              <w:rPr>
                <w:rFonts w:ascii="Times New Roman" w:hAnsi="Times New Roman" w:eastAsia="Times New Roman" w:cs="Times New Roman"/>
                <w:spacing w:val="-19"/>
              </w:rPr>
              <w:t xml:space="preserve"> </w:t>
            </w:r>
            <w:r>
              <w:rPr>
                <w:spacing w:val="-1"/>
              </w:rPr>
              <w:t>的通</w:t>
            </w:r>
            <w:r>
              <w:t xml:space="preserve"> </w:t>
            </w:r>
            <w:r>
              <w:rPr>
                <w:spacing w:val="1"/>
              </w:rPr>
              <w:t>知》（汕环〔</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109</w:t>
            </w:r>
            <w:r>
              <w:rPr>
                <w:spacing w:val="1"/>
              </w:rPr>
              <w:t>号</w:t>
            </w:r>
            <w:r>
              <w:rPr>
                <w:spacing w:val="9"/>
              </w:rPr>
              <w:t>），</w:t>
            </w:r>
            <w:r>
              <w:rPr>
                <w:spacing w:val="1"/>
              </w:rPr>
              <w:t>项目位于汕尾市海</w:t>
            </w:r>
            <w:r>
              <w:t>丰县可塘镇，属于</w:t>
            </w:r>
            <w:r>
              <w:rPr>
                <w:rFonts w:ascii="Times New Roman" w:hAnsi="Times New Roman" w:eastAsia="Times New Roman" w:cs="Times New Roman"/>
              </w:rPr>
              <w:t>2</w:t>
            </w:r>
            <w:r>
              <w:t>类声环 境功能区范围（详见附图</w:t>
            </w:r>
            <w:r>
              <w:rPr>
                <w:spacing w:val="20"/>
              </w:rPr>
              <w:t>），</w:t>
            </w:r>
            <w:r>
              <w:t>因此项目周边声环境质量执行《声环境质量标</w:t>
            </w:r>
            <w:r>
              <w:rPr>
                <w:spacing w:val="1"/>
              </w:rPr>
              <w:t xml:space="preserve"> </w:t>
            </w:r>
            <w:r>
              <w:rPr>
                <w:spacing w:val="-1"/>
              </w:rPr>
              <w:t>准》（</w:t>
            </w:r>
            <w:r>
              <w:rPr>
                <w:rFonts w:ascii="Times New Roman" w:hAnsi="Times New Roman" w:eastAsia="Times New Roman" w:cs="Times New Roman"/>
                <w:spacing w:val="-1"/>
              </w:rPr>
              <w:t>GB3096-2008</w:t>
            </w:r>
            <w:r>
              <w:rPr>
                <w:spacing w:val="-1"/>
              </w:rPr>
              <w:t>）</w:t>
            </w:r>
            <w:r>
              <w:rPr>
                <w:rFonts w:ascii="Times New Roman" w:hAnsi="Times New Roman" w:eastAsia="Times New Roman" w:cs="Times New Roman"/>
                <w:spacing w:val="-1"/>
              </w:rPr>
              <w:t>2</w:t>
            </w:r>
            <w:r>
              <w:rPr>
                <w:spacing w:val="-1"/>
              </w:rPr>
              <w:t>类标准。</w:t>
            </w:r>
          </w:p>
        </w:tc>
      </w:tr>
    </w:tbl>
    <w:p w14:paraId="3EE0A449">
      <w:pPr>
        <w:rPr>
          <w:rFonts w:ascii="Arial"/>
          <w:sz w:val="21"/>
        </w:rPr>
      </w:pPr>
    </w:p>
    <w:p w14:paraId="0F042E1E">
      <w:pPr>
        <w:rPr>
          <w:rFonts w:ascii="Arial" w:hAnsi="Arial" w:eastAsia="Arial" w:cs="Arial"/>
          <w:sz w:val="21"/>
          <w:szCs w:val="21"/>
        </w:rPr>
        <w:sectPr>
          <w:footerReference r:id="rId53" w:type="default"/>
          <w:pgSz w:w="11907" w:h="16840"/>
          <w:pgMar w:top="400" w:right="1449" w:bottom="1240" w:left="1448" w:header="0" w:footer="1077" w:gutter="0"/>
          <w:cols w:space="720" w:num="1"/>
        </w:sectPr>
      </w:pPr>
    </w:p>
    <w:p w14:paraId="5A5F7F03">
      <w:pPr>
        <w:spacing w:before="19"/>
      </w:pPr>
    </w:p>
    <w:p w14:paraId="054A404C">
      <w:pPr>
        <w:spacing w:before="19"/>
      </w:pPr>
    </w:p>
    <w:p w14:paraId="3366F823">
      <w:pPr>
        <w:spacing w:before="19"/>
      </w:pPr>
    </w:p>
    <w:p w14:paraId="6C6F249C">
      <w:pPr>
        <w:spacing w:before="18"/>
      </w:pPr>
    </w:p>
    <w:p w14:paraId="4DA13E93">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73"/>
        <w:gridCol w:w="678"/>
        <w:gridCol w:w="1123"/>
        <w:gridCol w:w="6030"/>
        <w:gridCol w:w="182"/>
      </w:tblGrid>
      <w:tr w14:paraId="254E3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0" w:hRule="atLeast"/>
        </w:trPr>
        <w:tc>
          <w:tcPr>
            <w:tcW w:w="808" w:type="dxa"/>
            <w:vMerge w:val="restart"/>
            <w:tcBorders>
              <w:top w:val="single" w:color="000000" w:sz="6" w:space="0"/>
              <w:left w:val="single" w:color="000000" w:sz="6" w:space="0"/>
              <w:bottom w:val="nil"/>
            </w:tcBorders>
            <w:vAlign w:val="top"/>
          </w:tcPr>
          <w:p w14:paraId="529340D7">
            <w:pPr>
              <w:rPr>
                <w:rFonts w:ascii="Arial"/>
                <w:sz w:val="21"/>
              </w:rPr>
            </w:pPr>
          </w:p>
        </w:tc>
        <w:tc>
          <w:tcPr>
            <w:tcW w:w="8186" w:type="dxa"/>
            <w:gridSpan w:val="5"/>
            <w:tcBorders>
              <w:top w:val="single" w:color="000000" w:sz="6" w:space="0"/>
              <w:right w:val="single" w:color="000000" w:sz="6" w:space="0"/>
            </w:tcBorders>
            <w:vAlign w:val="top"/>
          </w:tcPr>
          <w:p w14:paraId="20BA34E0">
            <w:pPr>
              <w:pStyle w:val="6"/>
              <w:spacing w:before="161" w:line="359" w:lineRule="auto"/>
              <w:ind w:left="97" w:right="41" w:firstLine="491"/>
              <w:jc w:val="both"/>
            </w:pPr>
            <w:r>
              <w:rPr>
                <w:spacing w:val="-6"/>
              </w:rPr>
              <w:t>根据《建设项目环境影响报告表编制技术指</w:t>
            </w:r>
            <w:r>
              <w:rPr>
                <w:spacing w:val="-7"/>
              </w:rPr>
              <w:t>南（污染影响类）》（试行</w:t>
            </w:r>
            <w:r>
              <w:rPr>
                <w:spacing w:val="-53"/>
                <w:w w:val="84"/>
              </w:rPr>
              <w:t>），</w:t>
            </w:r>
            <w:r>
              <w:rPr>
                <w:spacing w:val="4"/>
              </w:rPr>
              <w:t xml:space="preserve"> </w:t>
            </w:r>
            <w:r>
              <w:rPr>
                <w:spacing w:val="2"/>
              </w:rPr>
              <w:t>“厂界外周边50米范围内存在声环境保护目</w:t>
            </w:r>
            <w:r>
              <w:rPr>
                <w:spacing w:val="1"/>
              </w:rPr>
              <w:t>标的建设项目，应监测保护目标</w:t>
            </w:r>
            <w:r>
              <w:t xml:space="preserve"> </w:t>
            </w:r>
            <w:r>
              <w:rPr>
                <w:spacing w:val="-2"/>
              </w:rPr>
              <w:t>声环境质量现状并评价达标情况。”跟现场实地踏勘，项目厂界周边50m范围</w:t>
            </w:r>
            <w:r>
              <w:rPr>
                <w:spacing w:val="4"/>
              </w:rPr>
              <w:t xml:space="preserve"> </w:t>
            </w:r>
            <w:r>
              <w:rPr>
                <w:spacing w:val="2"/>
              </w:rPr>
              <w:t>内不存在省环境保护目标，因此本项目不再补充</w:t>
            </w:r>
            <w:r>
              <w:rPr>
                <w:spacing w:val="1"/>
              </w:rPr>
              <w:t>监测保护目标声环境质量现</w:t>
            </w:r>
            <w:r>
              <w:t xml:space="preserve"> 状，不再评价达标情况。</w:t>
            </w:r>
          </w:p>
          <w:p w14:paraId="3E928279">
            <w:pPr>
              <w:pStyle w:val="6"/>
              <w:spacing w:line="219" w:lineRule="auto"/>
              <w:ind w:left="586"/>
            </w:pPr>
            <w:r>
              <w:rPr>
                <w:rFonts w:ascii="Times New Roman" w:hAnsi="Times New Roman" w:eastAsia="Times New Roman" w:cs="Times New Roman"/>
                <w:b/>
                <w:bCs/>
                <w:spacing w:val="-4"/>
              </w:rPr>
              <w:t>4</w:t>
            </w:r>
            <w:r>
              <w:rPr>
                <w:rFonts w:ascii="Times New Roman" w:hAnsi="Times New Roman" w:eastAsia="Times New Roman" w:cs="Times New Roman"/>
                <w:b/>
                <w:bCs/>
                <w:spacing w:val="-32"/>
              </w:rPr>
              <w:t xml:space="preserve"> </w:t>
            </w:r>
            <w:r>
              <w:rPr>
                <w:b/>
                <w:bCs/>
                <w:spacing w:val="-4"/>
              </w:rPr>
              <w:t>、地下水、土壤环境质量现状</w:t>
            </w:r>
          </w:p>
          <w:p w14:paraId="52197ED6">
            <w:pPr>
              <w:pStyle w:val="6"/>
              <w:spacing w:before="182" w:line="359" w:lineRule="auto"/>
              <w:ind w:left="108" w:right="23" w:firstLine="481"/>
              <w:jc w:val="both"/>
            </w:pPr>
            <w:r>
              <w:rPr>
                <w:spacing w:val="1"/>
              </w:rPr>
              <w:t>本项目主要污染源是酸雾废气和生产废水。根据污染物的性质，酸雾废</w:t>
            </w:r>
            <w:r>
              <w:rPr>
                <w:spacing w:val="10"/>
              </w:rPr>
              <w:t xml:space="preserve"> </w:t>
            </w:r>
            <w:r>
              <w:rPr>
                <w:spacing w:val="1"/>
              </w:rPr>
              <w:t>气可通过大气沉降污染土壤和地下水；生产废水通过垂直入渗和地表漫流污</w:t>
            </w:r>
            <w:r>
              <w:rPr>
                <w:spacing w:val="10"/>
              </w:rPr>
              <w:t xml:space="preserve"> </w:t>
            </w:r>
            <w:r>
              <w:rPr>
                <w:spacing w:val="-3"/>
              </w:rPr>
              <w:t>染土壤和地下水。本项目厂区地面全部硬底</w:t>
            </w:r>
            <w:r>
              <w:rPr>
                <w:spacing w:val="-4"/>
              </w:rPr>
              <w:t>化，车间、废水处理站、事故池、</w:t>
            </w:r>
            <w:r>
              <w:t xml:space="preserve"> </w:t>
            </w:r>
            <w:r>
              <w:rPr>
                <w:spacing w:val="-3"/>
              </w:rPr>
              <w:t>排污管道等均做好防腐、防渗，所有废气、</w:t>
            </w:r>
            <w:r>
              <w:rPr>
                <w:spacing w:val="-4"/>
              </w:rPr>
              <w:t>废水均得到妥善收集、高效处理、</w:t>
            </w:r>
            <w:r>
              <w:t xml:space="preserve"> </w:t>
            </w:r>
            <w:r>
              <w:rPr>
                <w:spacing w:val="-1"/>
              </w:rPr>
              <w:t>达标排放，同时编制应急，杜绝对地下水和土壤造成污染影响。</w:t>
            </w:r>
          </w:p>
          <w:p w14:paraId="797DF395">
            <w:pPr>
              <w:pStyle w:val="6"/>
              <w:spacing w:before="1" w:line="359" w:lineRule="auto"/>
              <w:ind w:left="109" w:right="23" w:firstLine="498"/>
              <w:jc w:val="both"/>
            </w:pPr>
            <w:r>
              <w:t>因此本项目无地下水、土壤的污染途径。厂界外</w:t>
            </w:r>
            <w:r>
              <w:rPr>
                <w:spacing w:val="-39"/>
              </w:rPr>
              <w:t xml:space="preserve"> </w:t>
            </w:r>
            <w:r>
              <w:rPr>
                <w:rFonts w:ascii="Times New Roman" w:hAnsi="Times New Roman" w:eastAsia="Times New Roman" w:cs="Times New Roman"/>
              </w:rPr>
              <w:t xml:space="preserve">500 </w:t>
            </w:r>
            <w:r>
              <w:t xml:space="preserve">米范围没有地下水 </w:t>
            </w:r>
            <w:r>
              <w:rPr>
                <w:spacing w:val="-4"/>
              </w:rPr>
              <w:t>集中式饮用水水源和热水、矿泉水、温泉等特殊地下水资源等环境保护目标。</w:t>
            </w:r>
            <w:r>
              <w:rPr>
                <w:spacing w:val="18"/>
              </w:rPr>
              <w:t xml:space="preserve"> </w:t>
            </w:r>
            <w:r>
              <w:rPr>
                <w:spacing w:val="-1"/>
              </w:rPr>
              <w:t>故本项目不开展地下水和土壤现状调查。</w:t>
            </w:r>
          </w:p>
          <w:p w14:paraId="0C1D83DA">
            <w:pPr>
              <w:pStyle w:val="6"/>
              <w:spacing w:line="220" w:lineRule="auto"/>
              <w:ind w:left="594"/>
            </w:pPr>
            <w:r>
              <w:rPr>
                <w:b/>
                <w:bCs/>
                <w:spacing w:val="-5"/>
              </w:rPr>
              <w:t>5、生态环境</w:t>
            </w:r>
          </w:p>
          <w:p w14:paraId="22CD0782">
            <w:pPr>
              <w:pStyle w:val="6"/>
              <w:spacing w:before="181" w:line="360" w:lineRule="auto"/>
              <w:ind w:left="112" w:right="103" w:firstLine="478"/>
              <w:jc w:val="both"/>
            </w:pPr>
            <w:r>
              <w:rPr>
                <w:spacing w:val="1"/>
              </w:rPr>
              <w:t>本项目建设地点位于汕尾市海丰县可塘镇圆山岭开发区，是产业园区外</w:t>
            </w:r>
            <w:r>
              <w:rPr>
                <w:spacing w:val="10"/>
              </w:rPr>
              <w:t xml:space="preserve"> </w:t>
            </w:r>
            <w:r>
              <w:rPr>
                <w:spacing w:val="1"/>
              </w:rPr>
              <w:t>建设项目，但没有新增用地，而且用地范围内也没含有生态环境保护目标，</w:t>
            </w:r>
            <w:r>
              <w:rPr>
                <w:spacing w:val="6"/>
              </w:rPr>
              <w:t xml:space="preserve"> </w:t>
            </w:r>
            <w:r>
              <w:rPr>
                <w:spacing w:val="-2"/>
              </w:rPr>
              <w:t>故不进行生态现状调查。</w:t>
            </w:r>
          </w:p>
          <w:p w14:paraId="2058FC6C">
            <w:pPr>
              <w:pStyle w:val="6"/>
              <w:spacing w:before="115" w:line="219" w:lineRule="auto"/>
              <w:ind w:left="1495"/>
            </w:pPr>
            <w:r>
              <w:rPr>
                <w:b/>
                <w:bCs/>
                <w:spacing w:val="-2"/>
              </w:rPr>
              <w:t>表</w:t>
            </w:r>
            <w:r>
              <w:rPr>
                <w:spacing w:val="-50"/>
              </w:rPr>
              <w:t xml:space="preserve"> </w:t>
            </w:r>
            <w:r>
              <w:rPr>
                <w:rFonts w:ascii="Times New Roman" w:hAnsi="Times New Roman" w:eastAsia="Times New Roman" w:cs="Times New Roman"/>
                <w:b/>
                <w:bCs/>
                <w:spacing w:val="-2"/>
              </w:rPr>
              <w:t xml:space="preserve">3-5    </w:t>
            </w:r>
            <w:r>
              <w:rPr>
                <w:b/>
                <w:bCs/>
                <w:spacing w:val="-2"/>
              </w:rPr>
              <w:t>项目所在区域各环境因素功能区判定依据</w:t>
            </w:r>
          </w:p>
        </w:tc>
      </w:tr>
      <w:tr w14:paraId="0E12A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045CCA81">
            <w:pPr>
              <w:rPr>
                <w:rFonts w:ascii="Arial"/>
                <w:sz w:val="21"/>
              </w:rPr>
            </w:pPr>
          </w:p>
        </w:tc>
        <w:tc>
          <w:tcPr>
            <w:tcW w:w="173" w:type="dxa"/>
            <w:tcBorders>
              <w:top w:val="nil"/>
              <w:bottom w:val="nil"/>
            </w:tcBorders>
            <w:vAlign w:val="top"/>
          </w:tcPr>
          <w:p w14:paraId="24259C87">
            <w:pPr>
              <w:rPr>
                <w:rFonts w:ascii="Arial"/>
                <w:sz w:val="21"/>
              </w:rPr>
            </w:pPr>
          </w:p>
        </w:tc>
        <w:tc>
          <w:tcPr>
            <w:tcW w:w="678" w:type="dxa"/>
            <w:vAlign w:val="top"/>
          </w:tcPr>
          <w:p w14:paraId="4E8B67B3">
            <w:pPr>
              <w:pStyle w:val="6"/>
              <w:spacing w:before="176" w:line="229" w:lineRule="auto"/>
              <w:ind w:left="128"/>
              <w:rPr>
                <w:sz w:val="20"/>
                <w:szCs w:val="20"/>
              </w:rPr>
            </w:pPr>
            <w:r>
              <w:rPr>
                <w:spacing w:val="5"/>
                <w:sz w:val="20"/>
                <w:szCs w:val="20"/>
              </w:rPr>
              <w:t>序号</w:t>
            </w:r>
          </w:p>
        </w:tc>
        <w:tc>
          <w:tcPr>
            <w:tcW w:w="1123" w:type="dxa"/>
            <w:vAlign w:val="top"/>
          </w:tcPr>
          <w:p w14:paraId="13FF25E9">
            <w:pPr>
              <w:pStyle w:val="6"/>
              <w:spacing w:before="41" w:line="229" w:lineRule="auto"/>
              <w:ind w:left="350" w:right="248" w:hanging="99"/>
              <w:rPr>
                <w:sz w:val="20"/>
                <w:szCs w:val="20"/>
              </w:rPr>
            </w:pPr>
            <w:r>
              <w:rPr>
                <w:spacing w:val="5"/>
                <w:sz w:val="20"/>
                <w:szCs w:val="20"/>
              </w:rPr>
              <w:t>功能区</w:t>
            </w:r>
            <w:r>
              <w:rPr>
                <w:spacing w:val="1"/>
                <w:sz w:val="20"/>
                <w:szCs w:val="20"/>
              </w:rPr>
              <w:t xml:space="preserve"> </w:t>
            </w:r>
            <w:r>
              <w:rPr>
                <w:spacing w:val="4"/>
                <w:sz w:val="20"/>
                <w:szCs w:val="20"/>
              </w:rPr>
              <w:t>类别</w:t>
            </w:r>
          </w:p>
        </w:tc>
        <w:tc>
          <w:tcPr>
            <w:tcW w:w="6030" w:type="dxa"/>
            <w:vAlign w:val="top"/>
          </w:tcPr>
          <w:p w14:paraId="2E9B2469">
            <w:pPr>
              <w:pStyle w:val="6"/>
              <w:spacing w:before="176" w:line="228" w:lineRule="auto"/>
              <w:ind w:left="1975"/>
              <w:rPr>
                <w:sz w:val="20"/>
                <w:szCs w:val="20"/>
              </w:rPr>
            </w:pPr>
            <w:r>
              <w:rPr>
                <w:spacing w:val="8"/>
                <w:sz w:val="20"/>
                <w:szCs w:val="20"/>
              </w:rPr>
              <w:t>功能区分类及执行标准</w:t>
            </w:r>
          </w:p>
        </w:tc>
        <w:tc>
          <w:tcPr>
            <w:tcW w:w="182" w:type="dxa"/>
            <w:tcBorders>
              <w:top w:val="nil"/>
              <w:bottom w:val="nil"/>
              <w:right w:val="single" w:color="000000" w:sz="6" w:space="0"/>
            </w:tcBorders>
            <w:vAlign w:val="top"/>
          </w:tcPr>
          <w:p w14:paraId="68DBC08E">
            <w:pPr>
              <w:rPr>
                <w:rFonts w:ascii="Arial"/>
                <w:sz w:val="21"/>
              </w:rPr>
            </w:pPr>
          </w:p>
        </w:tc>
      </w:tr>
      <w:tr w14:paraId="1A26F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808" w:type="dxa"/>
            <w:vMerge w:val="continue"/>
            <w:tcBorders>
              <w:top w:val="nil"/>
              <w:left w:val="single" w:color="000000" w:sz="6" w:space="0"/>
              <w:bottom w:val="nil"/>
            </w:tcBorders>
            <w:vAlign w:val="top"/>
          </w:tcPr>
          <w:p w14:paraId="56BBF633">
            <w:pPr>
              <w:rPr>
                <w:rFonts w:ascii="Arial"/>
                <w:sz w:val="21"/>
              </w:rPr>
            </w:pPr>
          </w:p>
        </w:tc>
        <w:tc>
          <w:tcPr>
            <w:tcW w:w="173" w:type="dxa"/>
            <w:tcBorders>
              <w:top w:val="nil"/>
              <w:bottom w:val="nil"/>
            </w:tcBorders>
            <w:vAlign w:val="top"/>
          </w:tcPr>
          <w:p w14:paraId="39E8D3C9">
            <w:pPr>
              <w:rPr>
                <w:rFonts w:ascii="Arial"/>
                <w:sz w:val="21"/>
              </w:rPr>
            </w:pPr>
          </w:p>
        </w:tc>
        <w:tc>
          <w:tcPr>
            <w:tcW w:w="678" w:type="dxa"/>
            <w:vAlign w:val="top"/>
          </w:tcPr>
          <w:p w14:paraId="17D851CC">
            <w:pPr>
              <w:spacing w:line="475" w:lineRule="auto"/>
              <w:rPr>
                <w:rFonts w:ascii="Arial"/>
                <w:sz w:val="21"/>
              </w:rPr>
            </w:pPr>
          </w:p>
          <w:p w14:paraId="50740B61">
            <w:pPr>
              <w:pStyle w:val="6"/>
              <w:spacing w:before="65" w:line="270" w:lineRule="exact"/>
              <w:ind w:left="301"/>
              <w:rPr>
                <w:sz w:val="20"/>
                <w:szCs w:val="20"/>
              </w:rPr>
            </w:pPr>
            <w:r>
              <w:rPr>
                <w:position w:val="1"/>
                <w:sz w:val="20"/>
                <w:szCs w:val="20"/>
              </w:rPr>
              <w:t>1</w:t>
            </w:r>
          </w:p>
        </w:tc>
        <w:tc>
          <w:tcPr>
            <w:tcW w:w="1123" w:type="dxa"/>
            <w:vAlign w:val="top"/>
          </w:tcPr>
          <w:p w14:paraId="6ACE843E">
            <w:pPr>
              <w:spacing w:line="338" w:lineRule="auto"/>
              <w:rPr>
                <w:rFonts w:ascii="Arial"/>
                <w:sz w:val="21"/>
              </w:rPr>
            </w:pPr>
          </w:p>
          <w:p w14:paraId="16789B71">
            <w:pPr>
              <w:pStyle w:val="6"/>
              <w:spacing w:before="65" w:line="228" w:lineRule="auto"/>
              <w:ind w:left="145"/>
              <w:rPr>
                <w:sz w:val="20"/>
                <w:szCs w:val="20"/>
              </w:rPr>
            </w:pPr>
            <w:r>
              <w:rPr>
                <w:spacing w:val="6"/>
                <w:sz w:val="20"/>
                <w:szCs w:val="20"/>
              </w:rPr>
              <w:t>水环境功</w:t>
            </w:r>
          </w:p>
          <w:p w14:paraId="4EF5BCE2">
            <w:pPr>
              <w:pStyle w:val="6"/>
              <w:spacing w:before="27" w:line="229" w:lineRule="auto"/>
              <w:ind w:left="359"/>
              <w:rPr>
                <w:sz w:val="20"/>
                <w:szCs w:val="20"/>
              </w:rPr>
            </w:pPr>
            <w:r>
              <w:rPr>
                <w:sz w:val="20"/>
                <w:szCs w:val="20"/>
              </w:rPr>
              <w:t>能区</w:t>
            </w:r>
          </w:p>
        </w:tc>
        <w:tc>
          <w:tcPr>
            <w:tcW w:w="6030" w:type="dxa"/>
            <w:vAlign w:val="top"/>
          </w:tcPr>
          <w:p w14:paraId="38D68CBE">
            <w:pPr>
              <w:pStyle w:val="6"/>
              <w:spacing w:before="134" w:line="227" w:lineRule="auto"/>
              <w:ind w:left="232"/>
              <w:rPr>
                <w:sz w:val="20"/>
                <w:szCs w:val="20"/>
              </w:rPr>
            </w:pPr>
            <w:r>
              <w:rPr>
                <w:spacing w:val="6"/>
                <w:sz w:val="20"/>
                <w:szCs w:val="20"/>
              </w:rPr>
              <w:t>本项目附近水体为东溪，项目生产废水和生活污水均排入可塘</w:t>
            </w:r>
          </w:p>
          <w:p w14:paraId="5D2B083B">
            <w:pPr>
              <w:pStyle w:val="6"/>
              <w:spacing w:before="24" w:line="228" w:lineRule="auto"/>
              <w:ind w:left="231"/>
              <w:rPr>
                <w:sz w:val="20"/>
                <w:szCs w:val="20"/>
              </w:rPr>
            </w:pPr>
            <w:r>
              <w:rPr>
                <w:spacing w:val="6"/>
                <w:sz w:val="20"/>
                <w:szCs w:val="20"/>
              </w:rPr>
              <w:t>镇污水处理厂，可塘镇污水处理厂尾水排入东溪。根据《海丰</w:t>
            </w:r>
          </w:p>
          <w:p w14:paraId="79B439E2">
            <w:pPr>
              <w:pStyle w:val="6"/>
              <w:spacing w:before="26" w:line="228" w:lineRule="auto"/>
              <w:ind w:left="232"/>
              <w:rPr>
                <w:sz w:val="20"/>
                <w:szCs w:val="20"/>
              </w:rPr>
            </w:pPr>
            <w:r>
              <w:rPr>
                <w:spacing w:val="7"/>
                <w:sz w:val="20"/>
                <w:szCs w:val="20"/>
              </w:rPr>
              <w:t>县环境保护规划(2008-2020</w:t>
            </w:r>
            <w:r>
              <w:rPr>
                <w:spacing w:val="-40"/>
                <w:sz w:val="20"/>
                <w:szCs w:val="20"/>
              </w:rPr>
              <w:t xml:space="preserve"> </w:t>
            </w:r>
            <w:r>
              <w:rPr>
                <w:spacing w:val="7"/>
                <w:sz w:val="20"/>
                <w:szCs w:val="20"/>
              </w:rPr>
              <w:t>年)》</w:t>
            </w:r>
            <w:r>
              <w:rPr>
                <w:spacing w:val="6"/>
                <w:sz w:val="20"/>
                <w:szCs w:val="20"/>
              </w:rPr>
              <w:t>，东溪水质功能区划为《地</w:t>
            </w:r>
          </w:p>
          <w:p w14:paraId="4BE76FCB">
            <w:pPr>
              <w:pStyle w:val="6"/>
              <w:spacing w:before="27" w:line="228" w:lineRule="auto"/>
              <w:ind w:left="763"/>
              <w:rPr>
                <w:sz w:val="20"/>
                <w:szCs w:val="20"/>
              </w:rPr>
            </w:pPr>
            <w:r>
              <w:rPr>
                <w:spacing w:val="8"/>
                <w:sz w:val="20"/>
                <w:szCs w:val="20"/>
              </w:rPr>
              <w:t>表水环境质量标准》（</w:t>
            </w:r>
            <w:r>
              <w:rPr>
                <w:sz w:val="20"/>
                <w:szCs w:val="20"/>
              </w:rPr>
              <w:t>GB</w:t>
            </w:r>
            <w:r>
              <w:rPr>
                <w:spacing w:val="8"/>
                <w:sz w:val="20"/>
                <w:szCs w:val="20"/>
              </w:rPr>
              <w:t>3838-2002）</w:t>
            </w:r>
            <w:r>
              <w:rPr>
                <w:spacing w:val="7"/>
                <w:sz w:val="20"/>
                <w:szCs w:val="20"/>
              </w:rPr>
              <w:t>Ⅲ类标准。</w:t>
            </w:r>
          </w:p>
        </w:tc>
        <w:tc>
          <w:tcPr>
            <w:tcW w:w="182" w:type="dxa"/>
            <w:tcBorders>
              <w:top w:val="nil"/>
              <w:bottom w:val="nil"/>
              <w:right w:val="single" w:color="000000" w:sz="6" w:space="0"/>
            </w:tcBorders>
            <w:vAlign w:val="top"/>
          </w:tcPr>
          <w:p w14:paraId="423DA0A3">
            <w:pPr>
              <w:rPr>
                <w:rFonts w:ascii="Arial"/>
                <w:sz w:val="21"/>
              </w:rPr>
            </w:pPr>
          </w:p>
        </w:tc>
      </w:tr>
      <w:tr w14:paraId="2E40D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808" w:type="dxa"/>
            <w:vMerge w:val="continue"/>
            <w:tcBorders>
              <w:top w:val="nil"/>
              <w:left w:val="single" w:color="000000" w:sz="6" w:space="0"/>
              <w:bottom w:val="nil"/>
            </w:tcBorders>
            <w:vAlign w:val="top"/>
          </w:tcPr>
          <w:p w14:paraId="1716CA73">
            <w:pPr>
              <w:rPr>
                <w:rFonts w:ascii="Arial"/>
                <w:sz w:val="21"/>
              </w:rPr>
            </w:pPr>
          </w:p>
        </w:tc>
        <w:tc>
          <w:tcPr>
            <w:tcW w:w="173" w:type="dxa"/>
            <w:tcBorders>
              <w:top w:val="nil"/>
              <w:bottom w:val="nil"/>
            </w:tcBorders>
            <w:vAlign w:val="top"/>
          </w:tcPr>
          <w:p w14:paraId="7BD18092">
            <w:pPr>
              <w:rPr>
                <w:rFonts w:ascii="Arial"/>
                <w:sz w:val="21"/>
              </w:rPr>
            </w:pPr>
          </w:p>
        </w:tc>
        <w:tc>
          <w:tcPr>
            <w:tcW w:w="678" w:type="dxa"/>
            <w:vAlign w:val="top"/>
          </w:tcPr>
          <w:p w14:paraId="2D7F42D5">
            <w:pPr>
              <w:spacing w:line="299" w:lineRule="auto"/>
              <w:rPr>
                <w:rFonts w:ascii="Arial"/>
                <w:sz w:val="21"/>
              </w:rPr>
            </w:pPr>
          </w:p>
          <w:p w14:paraId="5EF2F636">
            <w:pPr>
              <w:pStyle w:val="6"/>
              <w:spacing w:before="65" w:line="270" w:lineRule="exact"/>
              <w:ind w:left="288"/>
              <w:rPr>
                <w:sz w:val="20"/>
                <w:szCs w:val="20"/>
              </w:rPr>
            </w:pPr>
            <w:r>
              <w:rPr>
                <w:position w:val="1"/>
                <w:sz w:val="20"/>
                <w:szCs w:val="20"/>
              </w:rPr>
              <w:t>2</w:t>
            </w:r>
          </w:p>
        </w:tc>
        <w:tc>
          <w:tcPr>
            <w:tcW w:w="1123" w:type="dxa"/>
            <w:vAlign w:val="top"/>
          </w:tcPr>
          <w:p w14:paraId="777FB02B">
            <w:pPr>
              <w:pStyle w:val="6"/>
              <w:spacing w:before="228" w:line="255" w:lineRule="auto"/>
              <w:ind w:left="250" w:right="145" w:hanging="108"/>
              <w:rPr>
                <w:sz w:val="20"/>
                <w:szCs w:val="20"/>
              </w:rPr>
            </w:pPr>
            <w:r>
              <w:rPr>
                <w:spacing w:val="7"/>
                <w:sz w:val="20"/>
                <w:szCs w:val="20"/>
              </w:rPr>
              <w:t>环境空气</w:t>
            </w:r>
            <w:r>
              <w:rPr>
                <w:sz w:val="20"/>
                <w:szCs w:val="20"/>
              </w:rPr>
              <w:t xml:space="preserve"> </w:t>
            </w:r>
            <w:r>
              <w:rPr>
                <w:spacing w:val="5"/>
                <w:sz w:val="20"/>
                <w:szCs w:val="20"/>
              </w:rPr>
              <w:t>功能区</w:t>
            </w:r>
          </w:p>
        </w:tc>
        <w:tc>
          <w:tcPr>
            <w:tcW w:w="6030" w:type="dxa"/>
            <w:vAlign w:val="top"/>
          </w:tcPr>
          <w:p w14:paraId="225DDEF7">
            <w:pPr>
              <w:pStyle w:val="6"/>
              <w:spacing w:before="92" w:line="228" w:lineRule="auto"/>
              <w:ind w:left="231"/>
              <w:rPr>
                <w:sz w:val="20"/>
                <w:szCs w:val="20"/>
              </w:rPr>
            </w:pPr>
            <w:r>
              <w:rPr>
                <w:spacing w:val="7"/>
                <w:sz w:val="20"/>
                <w:szCs w:val="20"/>
              </w:rPr>
              <w:t>根据《汕尾市环境保护规划纲要（2018-20</w:t>
            </w:r>
            <w:r>
              <w:rPr>
                <w:spacing w:val="6"/>
                <w:sz w:val="20"/>
                <w:szCs w:val="20"/>
              </w:rPr>
              <w:t>20</w:t>
            </w:r>
            <w:r>
              <w:rPr>
                <w:spacing w:val="-37"/>
                <w:sz w:val="20"/>
                <w:szCs w:val="20"/>
              </w:rPr>
              <w:t xml:space="preserve"> </w:t>
            </w:r>
            <w:r>
              <w:rPr>
                <w:spacing w:val="6"/>
                <w:sz w:val="20"/>
                <w:szCs w:val="20"/>
              </w:rPr>
              <w:t>年）》，项目所</w:t>
            </w:r>
          </w:p>
          <w:p w14:paraId="04C5FC0B">
            <w:pPr>
              <w:pStyle w:val="6"/>
              <w:spacing w:before="26" w:line="228" w:lineRule="auto"/>
              <w:ind w:left="290"/>
              <w:rPr>
                <w:sz w:val="20"/>
                <w:szCs w:val="20"/>
              </w:rPr>
            </w:pPr>
            <w:r>
              <w:rPr>
                <w:spacing w:val="9"/>
                <w:sz w:val="20"/>
                <w:szCs w:val="20"/>
              </w:rPr>
              <w:t>在地区的环境属于二类功能区，执行《环境空气质量标准》</w:t>
            </w:r>
          </w:p>
          <w:p w14:paraId="0247D474">
            <w:pPr>
              <w:pStyle w:val="6"/>
              <w:spacing w:before="24" w:line="228" w:lineRule="auto"/>
              <w:ind w:left="721"/>
              <w:rPr>
                <w:sz w:val="20"/>
                <w:szCs w:val="20"/>
              </w:rPr>
            </w:pPr>
            <w:r>
              <w:rPr>
                <w:spacing w:val="6"/>
                <w:sz w:val="20"/>
                <w:szCs w:val="20"/>
              </w:rPr>
              <w:t>（</w:t>
            </w:r>
            <w:r>
              <w:rPr>
                <w:sz w:val="20"/>
                <w:szCs w:val="20"/>
              </w:rPr>
              <w:t>GB</w:t>
            </w:r>
            <w:r>
              <w:rPr>
                <w:spacing w:val="6"/>
                <w:sz w:val="20"/>
                <w:szCs w:val="20"/>
              </w:rPr>
              <w:t>3095-2012）及其</w:t>
            </w:r>
            <w:r>
              <w:rPr>
                <w:spacing w:val="-33"/>
                <w:sz w:val="20"/>
                <w:szCs w:val="20"/>
              </w:rPr>
              <w:t xml:space="preserve"> </w:t>
            </w:r>
            <w:r>
              <w:rPr>
                <w:spacing w:val="6"/>
                <w:sz w:val="20"/>
                <w:szCs w:val="20"/>
              </w:rPr>
              <w:t>2018</w:t>
            </w:r>
            <w:r>
              <w:rPr>
                <w:spacing w:val="-40"/>
                <w:sz w:val="20"/>
                <w:szCs w:val="20"/>
              </w:rPr>
              <w:t xml:space="preserve"> </w:t>
            </w:r>
            <w:r>
              <w:rPr>
                <w:spacing w:val="6"/>
                <w:sz w:val="20"/>
                <w:szCs w:val="20"/>
              </w:rPr>
              <w:t>修改单中的二级标准。</w:t>
            </w:r>
          </w:p>
        </w:tc>
        <w:tc>
          <w:tcPr>
            <w:tcW w:w="182" w:type="dxa"/>
            <w:tcBorders>
              <w:top w:val="nil"/>
              <w:bottom w:val="nil"/>
              <w:right w:val="single" w:color="000000" w:sz="6" w:space="0"/>
            </w:tcBorders>
            <w:vAlign w:val="top"/>
          </w:tcPr>
          <w:p w14:paraId="4568804E">
            <w:pPr>
              <w:rPr>
                <w:rFonts w:ascii="Arial"/>
                <w:sz w:val="21"/>
              </w:rPr>
            </w:pPr>
          </w:p>
        </w:tc>
      </w:tr>
      <w:tr w14:paraId="204B9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808" w:type="dxa"/>
            <w:vMerge w:val="continue"/>
            <w:tcBorders>
              <w:top w:val="nil"/>
              <w:left w:val="single" w:color="000000" w:sz="6" w:space="0"/>
              <w:bottom w:val="single" w:color="000000" w:sz="6" w:space="0"/>
            </w:tcBorders>
            <w:vAlign w:val="top"/>
          </w:tcPr>
          <w:p w14:paraId="0E239BF9">
            <w:pPr>
              <w:rPr>
                <w:rFonts w:ascii="Arial"/>
                <w:sz w:val="21"/>
              </w:rPr>
            </w:pPr>
          </w:p>
        </w:tc>
        <w:tc>
          <w:tcPr>
            <w:tcW w:w="173" w:type="dxa"/>
            <w:tcBorders>
              <w:top w:val="nil"/>
              <w:bottom w:val="single" w:color="000000" w:sz="6" w:space="0"/>
            </w:tcBorders>
            <w:vAlign w:val="top"/>
          </w:tcPr>
          <w:p w14:paraId="4925B38E">
            <w:pPr>
              <w:rPr>
                <w:rFonts w:ascii="Arial"/>
                <w:sz w:val="21"/>
              </w:rPr>
            </w:pPr>
          </w:p>
        </w:tc>
        <w:tc>
          <w:tcPr>
            <w:tcW w:w="678" w:type="dxa"/>
            <w:tcBorders>
              <w:bottom w:val="single" w:color="000000" w:sz="6" w:space="0"/>
            </w:tcBorders>
            <w:vAlign w:val="top"/>
          </w:tcPr>
          <w:p w14:paraId="725C0BA9">
            <w:pPr>
              <w:spacing w:line="445" w:lineRule="auto"/>
              <w:rPr>
                <w:rFonts w:ascii="Arial"/>
                <w:sz w:val="21"/>
              </w:rPr>
            </w:pPr>
          </w:p>
          <w:p w14:paraId="68888A7D">
            <w:pPr>
              <w:pStyle w:val="6"/>
              <w:spacing w:before="65" w:line="269" w:lineRule="exact"/>
              <w:ind w:left="289"/>
              <w:rPr>
                <w:sz w:val="20"/>
                <w:szCs w:val="20"/>
              </w:rPr>
            </w:pPr>
            <w:r>
              <w:rPr>
                <w:position w:val="1"/>
                <w:sz w:val="20"/>
                <w:szCs w:val="20"/>
              </w:rPr>
              <w:t>3</w:t>
            </w:r>
          </w:p>
        </w:tc>
        <w:tc>
          <w:tcPr>
            <w:tcW w:w="1123" w:type="dxa"/>
            <w:tcBorders>
              <w:bottom w:val="single" w:color="000000" w:sz="6" w:space="0"/>
            </w:tcBorders>
            <w:vAlign w:val="top"/>
          </w:tcPr>
          <w:p w14:paraId="4B26BDD2">
            <w:pPr>
              <w:spacing w:line="309" w:lineRule="auto"/>
              <w:rPr>
                <w:rFonts w:ascii="Arial"/>
                <w:sz w:val="21"/>
              </w:rPr>
            </w:pPr>
          </w:p>
          <w:p w14:paraId="63FC85A9">
            <w:pPr>
              <w:pStyle w:val="6"/>
              <w:spacing w:before="65" w:line="228" w:lineRule="auto"/>
              <w:ind w:left="146"/>
              <w:rPr>
                <w:sz w:val="20"/>
                <w:szCs w:val="20"/>
              </w:rPr>
            </w:pPr>
            <w:r>
              <w:rPr>
                <w:spacing w:val="6"/>
                <w:sz w:val="20"/>
                <w:szCs w:val="20"/>
              </w:rPr>
              <w:t>声环境功</w:t>
            </w:r>
          </w:p>
          <w:p w14:paraId="64B57367">
            <w:pPr>
              <w:pStyle w:val="6"/>
              <w:spacing w:before="26" w:line="229" w:lineRule="auto"/>
              <w:ind w:left="359"/>
              <w:rPr>
                <w:sz w:val="20"/>
                <w:szCs w:val="20"/>
              </w:rPr>
            </w:pPr>
            <w:r>
              <w:rPr>
                <w:sz w:val="20"/>
                <w:szCs w:val="20"/>
              </w:rPr>
              <w:t>能区</w:t>
            </w:r>
          </w:p>
        </w:tc>
        <w:tc>
          <w:tcPr>
            <w:tcW w:w="6030" w:type="dxa"/>
            <w:tcBorders>
              <w:bottom w:val="single" w:color="000000" w:sz="6" w:space="0"/>
            </w:tcBorders>
            <w:vAlign w:val="top"/>
          </w:tcPr>
          <w:p w14:paraId="2ED1FA43">
            <w:pPr>
              <w:pStyle w:val="6"/>
              <w:spacing w:before="104" w:line="228" w:lineRule="auto"/>
              <w:ind w:left="238"/>
              <w:rPr>
                <w:sz w:val="20"/>
                <w:szCs w:val="20"/>
              </w:rPr>
            </w:pPr>
            <w:r>
              <w:rPr>
                <w:spacing w:val="9"/>
                <w:sz w:val="20"/>
                <w:szCs w:val="20"/>
              </w:rPr>
              <w:t>根据《汕尾市生态环境局关于印发&lt;汕尾市声环境功能区区划</w:t>
            </w:r>
          </w:p>
          <w:p w14:paraId="706265F7">
            <w:pPr>
              <w:pStyle w:val="6"/>
              <w:spacing w:before="24" w:line="228" w:lineRule="auto"/>
              <w:ind w:left="266"/>
              <w:rPr>
                <w:sz w:val="20"/>
                <w:szCs w:val="20"/>
              </w:rPr>
            </w:pPr>
            <w:r>
              <w:rPr>
                <w:spacing w:val="7"/>
                <w:sz w:val="20"/>
                <w:szCs w:val="20"/>
              </w:rPr>
              <w:t>方案&gt;的通知》（汕环〔2021〕109</w:t>
            </w:r>
            <w:r>
              <w:rPr>
                <w:spacing w:val="-34"/>
                <w:sz w:val="20"/>
                <w:szCs w:val="20"/>
              </w:rPr>
              <w:t xml:space="preserve"> </w:t>
            </w:r>
            <w:r>
              <w:rPr>
                <w:spacing w:val="7"/>
                <w:sz w:val="20"/>
                <w:szCs w:val="20"/>
              </w:rPr>
              <w:t>号</w:t>
            </w:r>
            <w:r>
              <w:rPr>
                <w:spacing w:val="19"/>
                <w:sz w:val="20"/>
                <w:szCs w:val="20"/>
              </w:rPr>
              <w:t>），</w:t>
            </w:r>
            <w:r>
              <w:rPr>
                <w:spacing w:val="7"/>
                <w:sz w:val="20"/>
                <w:szCs w:val="20"/>
              </w:rPr>
              <w:t>项目位于汕尾市海</w:t>
            </w:r>
          </w:p>
          <w:p w14:paraId="76E91FF8">
            <w:pPr>
              <w:pStyle w:val="6"/>
              <w:spacing w:before="24" w:line="228" w:lineRule="auto"/>
              <w:ind w:left="232"/>
              <w:rPr>
                <w:sz w:val="20"/>
                <w:szCs w:val="20"/>
              </w:rPr>
            </w:pPr>
            <w:r>
              <w:rPr>
                <w:spacing w:val="5"/>
                <w:sz w:val="20"/>
                <w:szCs w:val="20"/>
              </w:rPr>
              <w:t>丰县可塘镇，属于</w:t>
            </w:r>
            <w:r>
              <w:rPr>
                <w:spacing w:val="-25"/>
                <w:sz w:val="20"/>
                <w:szCs w:val="20"/>
              </w:rPr>
              <w:t xml:space="preserve"> </w:t>
            </w:r>
            <w:r>
              <w:rPr>
                <w:spacing w:val="5"/>
                <w:sz w:val="20"/>
                <w:szCs w:val="20"/>
              </w:rPr>
              <w:t>2</w:t>
            </w:r>
            <w:r>
              <w:rPr>
                <w:spacing w:val="-38"/>
                <w:sz w:val="20"/>
                <w:szCs w:val="20"/>
              </w:rPr>
              <w:t xml:space="preserve"> </w:t>
            </w:r>
            <w:r>
              <w:rPr>
                <w:spacing w:val="5"/>
                <w:sz w:val="20"/>
                <w:szCs w:val="20"/>
              </w:rPr>
              <w:t>类声环境功能区范围，执行《声环境质量</w:t>
            </w:r>
          </w:p>
          <w:p w14:paraId="4DF461D0">
            <w:pPr>
              <w:pStyle w:val="6"/>
              <w:spacing w:before="26" w:line="228" w:lineRule="auto"/>
              <w:ind w:left="1420"/>
              <w:rPr>
                <w:sz w:val="20"/>
                <w:szCs w:val="20"/>
              </w:rPr>
            </w:pPr>
            <w:r>
              <w:rPr>
                <w:spacing w:val="6"/>
                <w:sz w:val="20"/>
                <w:szCs w:val="20"/>
              </w:rPr>
              <w:t>标准》（</w:t>
            </w:r>
            <w:r>
              <w:rPr>
                <w:sz w:val="20"/>
                <w:szCs w:val="20"/>
              </w:rPr>
              <w:t>GB</w:t>
            </w:r>
            <w:r>
              <w:rPr>
                <w:spacing w:val="6"/>
                <w:sz w:val="20"/>
                <w:szCs w:val="20"/>
              </w:rPr>
              <w:t>3096-2008）2</w:t>
            </w:r>
            <w:r>
              <w:rPr>
                <w:spacing w:val="-32"/>
                <w:sz w:val="20"/>
                <w:szCs w:val="20"/>
              </w:rPr>
              <w:t xml:space="preserve"> </w:t>
            </w:r>
            <w:r>
              <w:rPr>
                <w:spacing w:val="6"/>
                <w:sz w:val="20"/>
                <w:szCs w:val="20"/>
              </w:rPr>
              <w:t>类标准。</w:t>
            </w:r>
          </w:p>
        </w:tc>
        <w:tc>
          <w:tcPr>
            <w:tcW w:w="182" w:type="dxa"/>
            <w:tcBorders>
              <w:top w:val="nil"/>
              <w:bottom w:val="single" w:color="000000" w:sz="6" w:space="0"/>
              <w:right w:val="single" w:color="000000" w:sz="6" w:space="0"/>
            </w:tcBorders>
            <w:vAlign w:val="top"/>
          </w:tcPr>
          <w:p w14:paraId="291381B0">
            <w:pPr>
              <w:rPr>
                <w:rFonts w:ascii="Arial"/>
                <w:sz w:val="21"/>
              </w:rPr>
            </w:pPr>
          </w:p>
        </w:tc>
      </w:tr>
    </w:tbl>
    <w:p w14:paraId="7FE0C5D1">
      <w:pPr>
        <w:rPr>
          <w:rFonts w:ascii="Arial"/>
          <w:sz w:val="21"/>
        </w:rPr>
      </w:pPr>
    </w:p>
    <w:p w14:paraId="11B1336C">
      <w:pPr>
        <w:rPr>
          <w:rFonts w:ascii="Arial" w:hAnsi="Arial" w:eastAsia="Arial" w:cs="Arial"/>
          <w:sz w:val="21"/>
          <w:szCs w:val="21"/>
        </w:rPr>
        <w:sectPr>
          <w:footerReference r:id="rId54" w:type="default"/>
          <w:pgSz w:w="11907" w:h="16840"/>
          <w:pgMar w:top="400" w:right="1449" w:bottom="1240" w:left="1448" w:header="0" w:footer="1077" w:gutter="0"/>
          <w:cols w:space="720" w:num="1"/>
        </w:sectPr>
      </w:pPr>
    </w:p>
    <w:p w14:paraId="5B94D924">
      <w:pPr>
        <w:spacing w:before="19"/>
      </w:pPr>
    </w:p>
    <w:p w14:paraId="1B4532D1">
      <w:pPr>
        <w:spacing w:before="19"/>
      </w:pPr>
    </w:p>
    <w:p w14:paraId="6FB9CC6D">
      <w:pPr>
        <w:spacing w:before="19"/>
      </w:pPr>
    </w:p>
    <w:p w14:paraId="78A6C207">
      <w:pPr>
        <w:spacing w:before="18"/>
      </w:pPr>
    </w:p>
    <w:p w14:paraId="09267E9D">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4AFCB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6" w:hRule="atLeast"/>
        </w:trPr>
        <w:tc>
          <w:tcPr>
            <w:tcW w:w="808" w:type="dxa"/>
            <w:tcBorders>
              <w:right w:val="single" w:color="000000" w:sz="2" w:space="0"/>
            </w:tcBorders>
            <w:vAlign w:val="top"/>
          </w:tcPr>
          <w:p w14:paraId="248689B3">
            <w:pPr>
              <w:rPr>
                <w:rFonts w:ascii="Arial"/>
                <w:sz w:val="21"/>
              </w:rPr>
            </w:pPr>
          </w:p>
          <w:p w14:paraId="320AECAE">
            <w:pPr>
              <w:rPr>
                <w:rFonts w:ascii="Arial"/>
                <w:sz w:val="21"/>
              </w:rPr>
            </w:pPr>
          </w:p>
          <w:p w14:paraId="51ADA3BD">
            <w:pPr>
              <w:rPr>
                <w:rFonts w:ascii="Arial"/>
                <w:sz w:val="21"/>
              </w:rPr>
            </w:pPr>
          </w:p>
          <w:p w14:paraId="733A3181">
            <w:pPr>
              <w:rPr>
                <w:rFonts w:ascii="Arial"/>
                <w:sz w:val="21"/>
              </w:rPr>
            </w:pPr>
          </w:p>
          <w:p w14:paraId="0B86C499">
            <w:pPr>
              <w:rPr>
                <w:rFonts w:ascii="Arial"/>
                <w:sz w:val="21"/>
              </w:rPr>
            </w:pPr>
          </w:p>
          <w:p w14:paraId="61A135C8">
            <w:pPr>
              <w:rPr>
                <w:rFonts w:ascii="Arial"/>
                <w:sz w:val="21"/>
              </w:rPr>
            </w:pPr>
          </w:p>
          <w:p w14:paraId="6D6CBDD6">
            <w:pPr>
              <w:rPr>
                <w:rFonts w:ascii="Arial"/>
                <w:sz w:val="21"/>
              </w:rPr>
            </w:pPr>
          </w:p>
          <w:p w14:paraId="197D02FA">
            <w:pPr>
              <w:rPr>
                <w:rFonts w:ascii="Arial"/>
                <w:sz w:val="21"/>
              </w:rPr>
            </w:pPr>
          </w:p>
          <w:p w14:paraId="7ABF6B50">
            <w:pPr>
              <w:rPr>
                <w:rFonts w:ascii="Arial"/>
                <w:sz w:val="21"/>
              </w:rPr>
            </w:pPr>
          </w:p>
          <w:p w14:paraId="4CBA49EB">
            <w:pPr>
              <w:rPr>
                <w:rFonts w:ascii="Arial"/>
                <w:sz w:val="21"/>
              </w:rPr>
            </w:pPr>
          </w:p>
          <w:p w14:paraId="79C95687">
            <w:pPr>
              <w:rPr>
                <w:rFonts w:ascii="Arial"/>
                <w:sz w:val="21"/>
              </w:rPr>
            </w:pPr>
          </w:p>
          <w:p w14:paraId="0F4293F9">
            <w:pPr>
              <w:rPr>
                <w:rFonts w:ascii="Arial"/>
                <w:sz w:val="21"/>
              </w:rPr>
            </w:pPr>
          </w:p>
          <w:p w14:paraId="6E5ABB60">
            <w:pPr>
              <w:spacing w:line="241" w:lineRule="auto"/>
              <w:rPr>
                <w:rFonts w:ascii="Arial"/>
                <w:sz w:val="21"/>
              </w:rPr>
            </w:pPr>
          </w:p>
          <w:p w14:paraId="3E15FD88">
            <w:pPr>
              <w:spacing w:line="241" w:lineRule="auto"/>
              <w:rPr>
                <w:rFonts w:ascii="Arial"/>
                <w:sz w:val="21"/>
              </w:rPr>
            </w:pPr>
          </w:p>
          <w:p w14:paraId="034C3F8E">
            <w:pPr>
              <w:spacing w:line="241" w:lineRule="auto"/>
              <w:rPr>
                <w:rFonts w:ascii="Arial"/>
                <w:sz w:val="21"/>
              </w:rPr>
            </w:pPr>
          </w:p>
          <w:p w14:paraId="33153CF2">
            <w:pPr>
              <w:spacing w:line="241" w:lineRule="auto"/>
              <w:rPr>
                <w:rFonts w:ascii="Arial"/>
                <w:sz w:val="21"/>
              </w:rPr>
            </w:pPr>
          </w:p>
          <w:p w14:paraId="65F4FFBB">
            <w:pPr>
              <w:spacing w:line="241" w:lineRule="auto"/>
              <w:rPr>
                <w:rFonts w:ascii="Arial"/>
                <w:sz w:val="21"/>
              </w:rPr>
            </w:pPr>
          </w:p>
          <w:p w14:paraId="59D952A4">
            <w:pPr>
              <w:spacing w:line="241" w:lineRule="auto"/>
              <w:rPr>
                <w:rFonts w:ascii="Arial"/>
                <w:sz w:val="21"/>
              </w:rPr>
            </w:pPr>
          </w:p>
          <w:p w14:paraId="7378F9EF">
            <w:pPr>
              <w:spacing w:line="241" w:lineRule="auto"/>
              <w:rPr>
                <w:rFonts w:ascii="Arial"/>
                <w:sz w:val="21"/>
              </w:rPr>
            </w:pPr>
          </w:p>
          <w:p w14:paraId="075CD3EF">
            <w:pPr>
              <w:spacing w:line="241" w:lineRule="auto"/>
              <w:rPr>
                <w:rFonts w:ascii="Arial"/>
                <w:sz w:val="21"/>
              </w:rPr>
            </w:pPr>
          </w:p>
          <w:p w14:paraId="074113AC">
            <w:pPr>
              <w:spacing w:line="241" w:lineRule="auto"/>
              <w:rPr>
                <w:rFonts w:ascii="Arial"/>
                <w:sz w:val="21"/>
              </w:rPr>
            </w:pPr>
          </w:p>
          <w:p w14:paraId="6333B65D">
            <w:pPr>
              <w:spacing w:line="241" w:lineRule="auto"/>
              <w:rPr>
                <w:rFonts w:ascii="Arial"/>
                <w:sz w:val="21"/>
              </w:rPr>
            </w:pPr>
          </w:p>
          <w:p w14:paraId="32B6BCD3">
            <w:pPr>
              <w:spacing w:line="241" w:lineRule="auto"/>
              <w:rPr>
                <w:rFonts w:ascii="Arial"/>
                <w:sz w:val="21"/>
              </w:rPr>
            </w:pPr>
          </w:p>
          <w:p w14:paraId="0493DB19">
            <w:pPr>
              <w:spacing w:line="241" w:lineRule="auto"/>
              <w:rPr>
                <w:rFonts w:ascii="Arial"/>
                <w:sz w:val="21"/>
              </w:rPr>
            </w:pPr>
          </w:p>
          <w:p w14:paraId="0DB9BB39">
            <w:pPr>
              <w:spacing w:line="241" w:lineRule="auto"/>
              <w:rPr>
                <w:rFonts w:ascii="Arial"/>
                <w:sz w:val="21"/>
              </w:rPr>
            </w:pPr>
          </w:p>
          <w:p w14:paraId="55AC557E">
            <w:pPr>
              <w:pStyle w:val="6"/>
              <w:spacing w:before="78" w:line="220" w:lineRule="auto"/>
              <w:ind w:left="163"/>
            </w:pPr>
            <w:r>
              <w:rPr>
                <w:spacing w:val="-5"/>
              </w:rPr>
              <w:t>环境</w:t>
            </w:r>
          </w:p>
          <w:p w14:paraId="794E215F">
            <w:pPr>
              <w:pStyle w:val="6"/>
              <w:spacing w:before="23" w:line="220" w:lineRule="auto"/>
              <w:ind w:left="164"/>
            </w:pPr>
            <w:r>
              <w:rPr>
                <w:spacing w:val="-6"/>
              </w:rPr>
              <w:t>保护</w:t>
            </w:r>
          </w:p>
          <w:p w14:paraId="5C70AC7A">
            <w:pPr>
              <w:pStyle w:val="6"/>
              <w:spacing w:before="26" w:line="220" w:lineRule="auto"/>
              <w:ind w:left="209"/>
            </w:pPr>
            <w:r>
              <w:rPr>
                <w:spacing w:val="-28"/>
              </w:rPr>
              <w:t>目标</w:t>
            </w:r>
          </w:p>
        </w:tc>
        <w:tc>
          <w:tcPr>
            <w:tcW w:w="8186" w:type="dxa"/>
            <w:tcBorders>
              <w:left w:val="single" w:color="000000" w:sz="2" w:space="0"/>
            </w:tcBorders>
            <w:vAlign w:val="top"/>
          </w:tcPr>
          <w:p w14:paraId="4D209591">
            <w:pPr>
              <w:pStyle w:val="6"/>
              <w:spacing w:before="158" w:line="360" w:lineRule="auto"/>
              <w:ind w:left="109" w:right="23" w:firstLine="480"/>
              <w:jc w:val="both"/>
            </w:pPr>
            <w:r>
              <w:rPr>
                <w:spacing w:val="-8"/>
              </w:rPr>
              <w:t>根据《建设项目环境影响报告表编制技术指南（污染影响类</w:t>
            </w:r>
            <w:r>
              <w:rPr>
                <w:spacing w:val="-55"/>
              </w:rPr>
              <w:t>）（</w:t>
            </w:r>
            <w:r>
              <w:rPr>
                <w:spacing w:val="-8"/>
              </w:rPr>
              <w:t>试行）》，</w:t>
            </w:r>
            <w:r>
              <w:t xml:space="preserve"> 环境保护目标需明确厂界外</w:t>
            </w:r>
            <w:r>
              <w:rPr>
                <w:spacing w:val="-30"/>
              </w:rPr>
              <w:t xml:space="preserve"> </w:t>
            </w:r>
            <w:r>
              <w:t>500</w:t>
            </w:r>
            <w:r>
              <w:rPr>
                <w:spacing w:val="-48"/>
              </w:rPr>
              <w:t xml:space="preserve"> </w:t>
            </w:r>
            <w:r>
              <w:t xml:space="preserve">米范围内的自然保护区、风景名胜区、居住 </w:t>
            </w:r>
            <w:r>
              <w:rPr>
                <w:spacing w:val="1"/>
              </w:rPr>
              <w:t>区、文化区和农村地区中人群较集中的区域等保护目标的名称及与建设项目</w:t>
            </w:r>
            <w:r>
              <w:rPr>
                <w:spacing w:val="9"/>
              </w:rPr>
              <w:t xml:space="preserve"> </w:t>
            </w:r>
            <w:r>
              <w:rPr>
                <w:spacing w:val="-4"/>
              </w:rPr>
              <w:t>厂界位置关系；明确厂界外</w:t>
            </w:r>
            <w:r>
              <w:rPr>
                <w:spacing w:val="-31"/>
              </w:rPr>
              <w:t xml:space="preserve"> </w:t>
            </w:r>
            <w:r>
              <w:rPr>
                <w:spacing w:val="-4"/>
              </w:rPr>
              <w:t>50</w:t>
            </w:r>
            <w:r>
              <w:rPr>
                <w:spacing w:val="-51"/>
              </w:rPr>
              <w:t xml:space="preserve"> </w:t>
            </w:r>
            <w:r>
              <w:rPr>
                <w:spacing w:val="-4"/>
              </w:rPr>
              <w:t>米范围内声环境保护目标；明确厂界外</w:t>
            </w:r>
            <w:r>
              <w:rPr>
                <w:spacing w:val="-45"/>
              </w:rPr>
              <w:t xml:space="preserve"> </w:t>
            </w:r>
            <w:r>
              <w:rPr>
                <w:spacing w:val="-4"/>
              </w:rPr>
              <w:t>500</w:t>
            </w:r>
            <w:r>
              <w:rPr>
                <w:spacing w:val="-51"/>
              </w:rPr>
              <w:t xml:space="preserve"> </w:t>
            </w:r>
            <w:r>
              <w:rPr>
                <w:spacing w:val="-4"/>
              </w:rPr>
              <w:t>米</w:t>
            </w:r>
            <w:r>
              <w:t xml:space="preserve"> </w:t>
            </w:r>
            <w:r>
              <w:rPr>
                <w:spacing w:val="-4"/>
              </w:rPr>
              <w:t>范围内的地下水集中式饮用水水源和热水、矿泉水、温泉等特殊地下水资源。</w:t>
            </w:r>
            <w:r>
              <w:rPr>
                <w:spacing w:val="18"/>
              </w:rPr>
              <w:t xml:space="preserve"> </w:t>
            </w:r>
            <w:r>
              <w:rPr>
                <w:spacing w:val="-1"/>
              </w:rPr>
              <w:t>因此本项目的环境保护目标见下表：</w:t>
            </w:r>
          </w:p>
          <w:p w14:paraId="2937F3E8">
            <w:pPr>
              <w:pStyle w:val="6"/>
              <w:spacing w:before="116" w:line="220" w:lineRule="auto"/>
              <w:ind w:left="2338"/>
            </w:pPr>
            <w:r>
              <w:rPr>
                <w:b/>
                <w:bCs/>
                <w:spacing w:val="-2"/>
              </w:rPr>
              <w:t>表</w:t>
            </w:r>
            <w:r>
              <w:rPr>
                <w:spacing w:val="-51"/>
              </w:rPr>
              <w:t xml:space="preserve"> </w:t>
            </w:r>
            <w:r>
              <w:rPr>
                <w:rFonts w:ascii="Times New Roman" w:hAnsi="Times New Roman" w:eastAsia="Times New Roman" w:cs="Times New Roman"/>
                <w:b/>
                <w:bCs/>
                <w:spacing w:val="-2"/>
              </w:rPr>
              <w:t xml:space="preserve">3-6    </w:t>
            </w:r>
            <w:r>
              <w:rPr>
                <w:b/>
                <w:bCs/>
                <w:spacing w:val="-2"/>
              </w:rPr>
              <w:t>主要环境保护目标一览表</w:t>
            </w:r>
          </w:p>
          <w:p w14:paraId="54484D5C">
            <w:pPr>
              <w:spacing w:line="144" w:lineRule="exact"/>
            </w:pPr>
          </w:p>
          <w:tbl>
            <w:tblPr>
              <w:tblStyle w:val="5"/>
              <w:tblW w:w="7893"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1034"/>
              <w:gridCol w:w="809"/>
              <w:gridCol w:w="780"/>
              <w:gridCol w:w="720"/>
              <w:gridCol w:w="1262"/>
              <w:gridCol w:w="1184"/>
              <w:gridCol w:w="801"/>
              <w:gridCol w:w="804"/>
            </w:tblGrid>
            <w:tr w14:paraId="7AAA7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3" w:type="dxa"/>
                  <w:gridSpan w:val="2"/>
                  <w:vMerge w:val="restart"/>
                  <w:tcBorders>
                    <w:bottom w:val="nil"/>
                  </w:tcBorders>
                  <w:vAlign w:val="top"/>
                </w:tcPr>
                <w:p w14:paraId="17E9E7F7">
                  <w:pPr>
                    <w:spacing w:line="375" w:lineRule="auto"/>
                    <w:rPr>
                      <w:rFonts w:ascii="Arial"/>
                      <w:sz w:val="21"/>
                    </w:rPr>
                  </w:pPr>
                </w:p>
                <w:p w14:paraId="2ABE35C0">
                  <w:pPr>
                    <w:pStyle w:val="6"/>
                    <w:spacing w:before="65" w:line="230" w:lineRule="auto"/>
                    <w:ind w:left="566"/>
                    <w:rPr>
                      <w:sz w:val="20"/>
                      <w:szCs w:val="20"/>
                    </w:rPr>
                  </w:pPr>
                  <w:r>
                    <w:rPr>
                      <w:spacing w:val="3"/>
                      <w:sz w:val="20"/>
                      <w:szCs w:val="20"/>
                    </w:rPr>
                    <w:t>名称</w:t>
                  </w:r>
                </w:p>
              </w:tc>
              <w:tc>
                <w:tcPr>
                  <w:tcW w:w="1589" w:type="dxa"/>
                  <w:gridSpan w:val="2"/>
                  <w:vAlign w:val="top"/>
                </w:tcPr>
                <w:p w14:paraId="2655D6C9">
                  <w:pPr>
                    <w:pStyle w:val="6"/>
                    <w:spacing w:before="98" w:line="228" w:lineRule="auto"/>
                    <w:ind w:left="478"/>
                    <w:rPr>
                      <w:rFonts w:ascii="Times New Roman" w:hAnsi="Times New Roman" w:eastAsia="Times New Roman" w:cs="Times New Roman"/>
                      <w:sz w:val="20"/>
                      <w:szCs w:val="20"/>
                    </w:rPr>
                  </w:pPr>
                  <w:r>
                    <w:rPr>
                      <w:spacing w:val="4"/>
                      <w:sz w:val="20"/>
                      <w:szCs w:val="20"/>
                    </w:rPr>
                    <w:t>坐标</w:t>
                  </w:r>
                  <w:r>
                    <w:rPr>
                      <w:rFonts w:ascii="Times New Roman" w:hAnsi="Times New Roman" w:eastAsia="Times New Roman" w:cs="Times New Roman"/>
                      <w:spacing w:val="4"/>
                      <w:sz w:val="20"/>
                      <w:szCs w:val="20"/>
                    </w:rPr>
                    <w:t>/m</w:t>
                  </w:r>
                </w:p>
              </w:tc>
              <w:tc>
                <w:tcPr>
                  <w:tcW w:w="720" w:type="dxa"/>
                  <w:vMerge w:val="restart"/>
                  <w:tcBorders>
                    <w:bottom w:val="nil"/>
                  </w:tcBorders>
                  <w:vAlign w:val="top"/>
                </w:tcPr>
                <w:p w14:paraId="366BA12D">
                  <w:pPr>
                    <w:spacing w:line="242" w:lineRule="auto"/>
                    <w:rPr>
                      <w:rFonts w:ascii="Arial"/>
                      <w:sz w:val="21"/>
                    </w:rPr>
                  </w:pPr>
                </w:p>
                <w:p w14:paraId="45666ABE">
                  <w:pPr>
                    <w:pStyle w:val="6"/>
                    <w:spacing w:before="65" w:line="228" w:lineRule="auto"/>
                    <w:ind w:left="157"/>
                    <w:rPr>
                      <w:sz w:val="20"/>
                      <w:szCs w:val="20"/>
                    </w:rPr>
                  </w:pPr>
                  <w:r>
                    <w:rPr>
                      <w:spacing w:val="4"/>
                      <w:sz w:val="20"/>
                      <w:szCs w:val="20"/>
                    </w:rPr>
                    <w:t>保护</w:t>
                  </w:r>
                </w:p>
                <w:p w14:paraId="4358D0E2">
                  <w:pPr>
                    <w:pStyle w:val="6"/>
                    <w:spacing w:before="23" w:line="228" w:lineRule="auto"/>
                    <w:ind w:left="155"/>
                    <w:rPr>
                      <w:sz w:val="20"/>
                      <w:szCs w:val="20"/>
                    </w:rPr>
                  </w:pPr>
                  <w:r>
                    <w:rPr>
                      <w:spacing w:val="5"/>
                      <w:sz w:val="20"/>
                      <w:szCs w:val="20"/>
                    </w:rPr>
                    <w:t>对象</w:t>
                  </w:r>
                </w:p>
              </w:tc>
              <w:tc>
                <w:tcPr>
                  <w:tcW w:w="1262" w:type="dxa"/>
                  <w:vMerge w:val="restart"/>
                  <w:tcBorders>
                    <w:bottom w:val="nil"/>
                  </w:tcBorders>
                  <w:vAlign w:val="top"/>
                </w:tcPr>
                <w:p w14:paraId="37CB83AC">
                  <w:pPr>
                    <w:spacing w:line="375" w:lineRule="auto"/>
                    <w:rPr>
                      <w:rFonts w:ascii="Arial"/>
                      <w:sz w:val="21"/>
                    </w:rPr>
                  </w:pPr>
                </w:p>
                <w:p w14:paraId="29034B8E">
                  <w:pPr>
                    <w:pStyle w:val="6"/>
                    <w:spacing w:before="65" w:line="228" w:lineRule="auto"/>
                    <w:ind w:left="217"/>
                    <w:rPr>
                      <w:sz w:val="20"/>
                      <w:szCs w:val="20"/>
                    </w:rPr>
                  </w:pPr>
                  <w:r>
                    <w:rPr>
                      <w:spacing w:val="7"/>
                      <w:sz w:val="20"/>
                      <w:szCs w:val="20"/>
                    </w:rPr>
                    <w:t>保护内容</w:t>
                  </w:r>
                </w:p>
              </w:tc>
              <w:tc>
                <w:tcPr>
                  <w:tcW w:w="1184" w:type="dxa"/>
                  <w:vMerge w:val="restart"/>
                  <w:tcBorders>
                    <w:bottom w:val="nil"/>
                  </w:tcBorders>
                  <w:vAlign w:val="top"/>
                </w:tcPr>
                <w:p w14:paraId="307D1425">
                  <w:pPr>
                    <w:spacing w:line="243" w:lineRule="auto"/>
                    <w:rPr>
                      <w:rFonts w:ascii="Arial"/>
                      <w:sz w:val="21"/>
                    </w:rPr>
                  </w:pPr>
                </w:p>
                <w:p w14:paraId="7A7D2D2C">
                  <w:pPr>
                    <w:pStyle w:val="6"/>
                    <w:spacing w:before="65" w:line="252" w:lineRule="auto"/>
                    <w:ind w:left="287" w:right="274" w:firstLine="102"/>
                    <w:rPr>
                      <w:sz w:val="20"/>
                      <w:szCs w:val="20"/>
                    </w:rPr>
                  </w:pPr>
                  <w:r>
                    <w:rPr>
                      <w:spacing w:val="4"/>
                      <w:sz w:val="20"/>
                      <w:szCs w:val="20"/>
                    </w:rPr>
                    <w:t>环境</w:t>
                  </w:r>
                  <w:r>
                    <w:rPr>
                      <w:sz w:val="20"/>
                      <w:szCs w:val="20"/>
                    </w:rPr>
                    <w:t xml:space="preserve">  </w:t>
                  </w:r>
                  <w:r>
                    <w:rPr>
                      <w:spacing w:val="5"/>
                      <w:sz w:val="20"/>
                      <w:szCs w:val="20"/>
                    </w:rPr>
                    <w:t>功能区</w:t>
                  </w:r>
                </w:p>
              </w:tc>
              <w:tc>
                <w:tcPr>
                  <w:tcW w:w="801" w:type="dxa"/>
                  <w:vMerge w:val="restart"/>
                  <w:tcBorders>
                    <w:bottom w:val="nil"/>
                  </w:tcBorders>
                  <w:vAlign w:val="top"/>
                </w:tcPr>
                <w:p w14:paraId="1CAD8C96">
                  <w:pPr>
                    <w:pStyle w:val="6"/>
                    <w:spacing w:before="172" w:line="229" w:lineRule="auto"/>
                    <w:ind w:left="196"/>
                    <w:rPr>
                      <w:sz w:val="20"/>
                      <w:szCs w:val="20"/>
                    </w:rPr>
                  </w:pPr>
                  <w:r>
                    <w:rPr>
                      <w:spacing w:val="4"/>
                      <w:sz w:val="20"/>
                      <w:szCs w:val="20"/>
                    </w:rPr>
                    <w:t>相对</w:t>
                  </w:r>
                </w:p>
                <w:p w14:paraId="3592685F">
                  <w:pPr>
                    <w:pStyle w:val="6"/>
                    <w:spacing w:before="23" w:line="228" w:lineRule="auto"/>
                    <w:ind w:left="199"/>
                    <w:rPr>
                      <w:sz w:val="20"/>
                      <w:szCs w:val="20"/>
                    </w:rPr>
                  </w:pPr>
                  <w:r>
                    <w:rPr>
                      <w:spacing w:val="3"/>
                      <w:sz w:val="20"/>
                      <w:szCs w:val="20"/>
                    </w:rPr>
                    <w:t>厂址</w:t>
                  </w:r>
                </w:p>
                <w:p w14:paraId="63A2F259">
                  <w:pPr>
                    <w:pStyle w:val="6"/>
                    <w:spacing w:before="23" w:line="229" w:lineRule="auto"/>
                    <w:ind w:left="197"/>
                    <w:rPr>
                      <w:sz w:val="20"/>
                      <w:szCs w:val="20"/>
                    </w:rPr>
                  </w:pPr>
                  <w:r>
                    <w:rPr>
                      <w:spacing w:val="4"/>
                      <w:sz w:val="20"/>
                      <w:szCs w:val="20"/>
                    </w:rPr>
                    <w:t>方位</w:t>
                  </w:r>
                </w:p>
              </w:tc>
              <w:tc>
                <w:tcPr>
                  <w:tcW w:w="804" w:type="dxa"/>
                  <w:vMerge w:val="restart"/>
                  <w:tcBorders>
                    <w:bottom w:val="nil"/>
                  </w:tcBorders>
                  <w:vAlign w:val="top"/>
                </w:tcPr>
                <w:p w14:paraId="1647F97F">
                  <w:pPr>
                    <w:pStyle w:val="6"/>
                    <w:spacing w:before="35" w:line="229" w:lineRule="auto"/>
                    <w:ind w:left="197"/>
                    <w:rPr>
                      <w:sz w:val="20"/>
                      <w:szCs w:val="20"/>
                    </w:rPr>
                  </w:pPr>
                  <w:r>
                    <w:rPr>
                      <w:spacing w:val="4"/>
                      <w:sz w:val="20"/>
                      <w:szCs w:val="20"/>
                    </w:rPr>
                    <w:t>相对</w:t>
                  </w:r>
                </w:p>
                <w:p w14:paraId="3A462DD1">
                  <w:pPr>
                    <w:pStyle w:val="6"/>
                    <w:spacing w:before="25" w:line="228" w:lineRule="auto"/>
                    <w:ind w:left="199"/>
                    <w:rPr>
                      <w:sz w:val="20"/>
                      <w:szCs w:val="20"/>
                    </w:rPr>
                  </w:pPr>
                  <w:r>
                    <w:rPr>
                      <w:spacing w:val="3"/>
                      <w:sz w:val="20"/>
                      <w:szCs w:val="20"/>
                    </w:rPr>
                    <w:t>厂界</w:t>
                  </w:r>
                </w:p>
                <w:p w14:paraId="7827A806">
                  <w:pPr>
                    <w:pStyle w:val="6"/>
                    <w:spacing w:before="24" w:line="228" w:lineRule="auto"/>
                    <w:ind w:left="196"/>
                    <w:rPr>
                      <w:sz w:val="20"/>
                      <w:szCs w:val="20"/>
                    </w:rPr>
                  </w:pPr>
                  <w:r>
                    <w:rPr>
                      <w:spacing w:val="5"/>
                      <w:sz w:val="20"/>
                      <w:szCs w:val="20"/>
                    </w:rPr>
                    <w:t>距离</w:t>
                  </w:r>
                </w:p>
                <w:p w14:paraId="2F21A7EB">
                  <w:pPr>
                    <w:pStyle w:val="6"/>
                    <w:spacing w:before="26" w:line="217" w:lineRule="auto"/>
                    <w:ind w:left="125"/>
                    <w:rPr>
                      <w:sz w:val="20"/>
                      <w:szCs w:val="20"/>
                    </w:rPr>
                  </w:pPr>
                  <w:r>
                    <w:rPr>
                      <w:spacing w:val="-1"/>
                      <w:sz w:val="20"/>
                      <w:szCs w:val="20"/>
                    </w:rPr>
                    <w:t>（</w:t>
                  </w:r>
                  <w:r>
                    <w:rPr>
                      <w:rFonts w:ascii="Times New Roman" w:hAnsi="Times New Roman" w:eastAsia="Times New Roman" w:cs="Times New Roman"/>
                      <w:spacing w:val="-1"/>
                      <w:sz w:val="20"/>
                      <w:szCs w:val="20"/>
                    </w:rPr>
                    <w:t>m</w:t>
                  </w:r>
                  <w:r>
                    <w:rPr>
                      <w:spacing w:val="-1"/>
                      <w:sz w:val="20"/>
                      <w:szCs w:val="20"/>
                    </w:rPr>
                    <w:t>）</w:t>
                  </w:r>
                </w:p>
              </w:tc>
            </w:tr>
            <w:tr w14:paraId="1777D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533" w:type="dxa"/>
                  <w:gridSpan w:val="2"/>
                  <w:vMerge w:val="continue"/>
                  <w:tcBorders>
                    <w:top w:val="nil"/>
                  </w:tcBorders>
                  <w:vAlign w:val="top"/>
                </w:tcPr>
                <w:p w14:paraId="00DAE6D6">
                  <w:pPr>
                    <w:rPr>
                      <w:rFonts w:ascii="Arial"/>
                      <w:sz w:val="21"/>
                    </w:rPr>
                  </w:pPr>
                </w:p>
              </w:tc>
              <w:tc>
                <w:tcPr>
                  <w:tcW w:w="809" w:type="dxa"/>
                  <w:vAlign w:val="top"/>
                </w:tcPr>
                <w:p w14:paraId="6330AA1E">
                  <w:pPr>
                    <w:spacing w:before="274" w:line="192"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80" w:type="dxa"/>
                  <w:vAlign w:val="top"/>
                </w:tcPr>
                <w:p w14:paraId="4B9D7446">
                  <w:pPr>
                    <w:spacing w:before="274" w:line="192"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720" w:type="dxa"/>
                  <w:vMerge w:val="continue"/>
                  <w:tcBorders>
                    <w:top w:val="nil"/>
                  </w:tcBorders>
                  <w:vAlign w:val="top"/>
                </w:tcPr>
                <w:p w14:paraId="4485F31A">
                  <w:pPr>
                    <w:rPr>
                      <w:rFonts w:ascii="Arial"/>
                      <w:sz w:val="21"/>
                    </w:rPr>
                  </w:pPr>
                </w:p>
              </w:tc>
              <w:tc>
                <w:tcPr>
                  <w:tcW w:w="1262" w:type="dxa"/>
                  <w:vMerge w:val="continue"/>
                  <w:tcBorders>
                    <w:top w:val="nil"/>
                  </w:tcBorders>
                  <w:vAlign w:val="top"/>
                </w:tcPr>
                <w:p w14:paraId="72BD42A9">
                  <w:pPr>
                    <w:rPr>
                      <w:rFonts w:ascii="Arial"/>
                      <w:sz w:val="21"/>
                    </w:rPr>
                  </w:pPr>
                </w:p>
              </w:tc>
              <w:tc>
                <w:tcPr>
                  <w:tcW w:w="1184" w:type="dxa"/>
                  <w:vMerge w:val="continue"/>
                  <w:tcBorders>
                    <w:top w:val="nil"/>
                  </w:tcBorders>
                  <w:vAlign w:val="top"/>
                </w:tcPr>
                <w:p w14:paraId="36A3820F">
                  <w:pPr>
                    <w:rPr>
                      <w:rFonts w:ascii="Arial"/>
                      <w:sz w:val="21"/>
                    </w:rPr>
                  </w:pPr>
                </w:p>
              </w:tc>
              <w:tc>
                <w:tcPr>
                  <w:tcW w:w="801" w:type="dxa"/>
                  <w:vMerge w:val="continue"/>
                  <w:tcBorders>
                    <w:top w:val="nil"/>
                  </w:tcBorders>
                  <w:vAlign w:val="top"/>
                </w:tcPr>
                <w:p w14:paraId="573A41E4">
                  <w:pPr>
                    <w:rPr>
                      <w:rFonts w:ascii="Arial"/>
                      <w:sz w:val="21"/>
                    </w:rPr>
                  </w:pPr>
                </w:p>
              </w:tc>
              <w:tc>
                <w:tcPr>
                  <w:tcW w:w="804" w:type="dxa"/>
                  <w:vMerge w:val="continue"/>
                  <w:tcBorders>
                    <w:top w:val="nil"/>
                  </w:tcBorders>
                  <w:vAlign w:val="top"/>
                </w:tcPr>
                <w:p w14:paraId="114CD6E3">
                  <w:pPr>
                    <w:rPr>
                      <w:rFonts w:ascii="Arial"/>
                      <w:sz w:val="21"/>
                    </w:rPr>
                  </w:pPr>
                </w:p>
              </w:tc>
            </w:tr>
            <w:tr w14:paraId="76F56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499" w:type="dxa"/>
                  <w:vMerge w:val="restart"/>
                  <w:tcBorders>
                    <w:bottom w:val="nil"/>
                  </w:tcBorders>
                  <w:textDirection w:val="tbRlV"/>
                  <w:vAlign w:val="top"/>
                </w:tcPr>
                <w:p w14:paraId="540A6281">
                  <w:pPr>
                    <w:pStyle w:val="6"/>
                    <w:spacing w:before="144" w:line="216" w:lineRule="auto"/>
                    <w:ind w:left="1439"/>
                    <w:rPr>
                      <w:sz w:val="20"/>
                      <w:szCs w:val="20"/>
                    </w:rPr>
                  </w:pPr>
                  <w:r>
                    <w:rPr>
                      <w:spacing w:val="8"/>
                      <w:sz w:val="20"/>
                      <w:szCs w:val="20"/>
                    </w:rPr>
                    <w:t>大</w:t>
                  </w:r>
                  <w:r>
                    <w:rPr>
                      <w:spacing w:val="-36"/>
                      <w:sz w:val="20"/>
                      <w:szCs w:val="20"/>
                    </w:rPr>
                    <w:t xml:space="preserve"> </w:t>
                  </w:r>
                  <w:r>
                    <w:rPr>
                      <w:spacing w:val="8"/>
                      <w:sz w:val="20"/>
                      <w:szCs w:val="20"/>
                    </w:rPr>
                    <w:t>气</w:t>
                  </w:r>
                  <w:r>
                    <w:rPr>
                      <w:spacing w:val="-38"/>
                      <w:sz w:val="20"/>
                      <w:szCs w:val="20"/>
                    </w:rPr>
                    <w:t xml:space="preserve"> </w:t>
                  </w:r>
                  <w:r>
                    <w:rPr>
                      <w:spacing w:val="8"/>
                      <w:sz w:val="20"/>
                      <w:szCs w:val="20"/>
                    </w:rPr>
                    <w:t>环</w:t>
                  </w:r>
                  <w:r>
                    <w:rPr>
                      <w:spacing w:val="-35"/>
                      <w:sz w:val="20"/>
                      <w:szCs w:val="20"/>
                    </w:rPr>
                    <w:t xml:space="preserve"> </w:t>
                  </w:r>
                  <w:r>
                    <w:rPr>
                      <w:spacing w:val="8"/>
                      <w:sz w:val="20"/>
                      <w:szCs w:val="20"/>
                    </w:rPr>
                    <w:t>境</w:t>
                  </w:r>
                </w:p>
              </w:tc>
              <w:tc>
                <w:tcPr>
                  <w:tcW w:w="1034" w:type="dxa"/>
                  <w:vAlign w:val="top"/>
                </w:tcPr>
                <w:p w14:paraId="1171D6CE">
                  <w:pPr>
                    <w:pStyle w:val="6"/>
                    <w:spacing w:before="236" w:line="228" w:lineRule="auto"/>
                    <w:ind w:left="208"/>
                    <w:rPr>
                      <w:sz w:val="20"/>
                      <w:szCs w:val="20"/>
                    </w:rPr>
                  </w:pPr>
                  <w:r>
                    <w:rPr>
                      <w:spacing w:val="6"/>
                      <w:sz w:val="20"/>
                      <w:szCs w:val="20"/>
                    </w:rPr>
                    <w:t>可塘镇</w:t>
                  </w:r>
                </w:p>
              </w:tc>
              <w:tc>
                <w:tcPr>
                  <w:tcW w:w="809" w:type="dxa"/>
                  <w:vAlign w:val="top"/>
                </w:tcPr>
                <w:p w14:paraId="7090F9CD">
                  <w:pPr>
                    <w:spacing w:line="272" w:lineRule="auto"/>
                    <w:rPr>
                      <w:rFonts w:ascii="Arial"/>
                      <w:sz w:val="21"/>
                    </w:rPr>
                  </w:pPr>
                </w:p>
                <w:p w14:paraId="2B55DB47">
                  <w:pPr>
                    <w:spacing w:before="57" w:line="199"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14:paraId="11E61B01">
                  <w:pPr>
                    <w:spacing w:line="272" w:lineRule="auto"/>
                    <w:rPr>
                      <w:rFonts w:ascii="Arial"/>
                      <w:sz w:val="21"/>
                    </w:rPr>
                  </w:pPr>
                </w:p>
                <w:p w14:paraId="3EA43F3B">
                  <w:pPr>
                    <w:spacing w:before="57" w:line="199"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20" w:type="dxa"/>
                  <w:vAlign w:val="top"/>
                </w:tcPr>
                <w:p w14:paraId="015F098D">
                  <w:pPr>
                    <w:pStyle w:val="6"/>
                    <w:spacing w:before="299" w:line="228" w:lineRule="auto"/>
                    <w:ind w:left="158"/>
                    <w:rPr>
                      <w:sz w:val="20"/>
                      <w:szCs w:val="20"/>
                    </w:rPr>
                  </w:pPr>
                  <w:r>
                    <w:rPr>
                      <w:spacing w:val="3"/>
                      <w:sz w:val="20"/>
                      <w:szCs w:val="20"/>
                    </w:rPr>
                    <w:t>居民</w:t>
                  </w:r>
                </w:p>
              </w:tc>
              <w:tc>
                <w:tcPr>
                  <w:tcW w:w="1262" w:type="dxa"/>
                  <w:vAlign w:val="top"/>
                </w:tcPr>
                <w:p w14:paraId="5C4770B7">
                  <w:pPr>
                    <w:pStyle w:val="6"/>
                    <w:spacing w:before="90" w:line="233" w:lineRule="auto"/>
                    <w:ind w:left="192"/>
                    <w:rPr>
                      <w:rFonts w:ascii="Times New Roman" w:hAnsi="Times New Roman" w:eastAsia="Times New Roman" w:cs="Times New Roman"/>
                      <w:sz w:val="20"/>
                      <w:szCs w:val="20"/>
                    </w:rPr>
                  </w:pPr>
                  <w:r>
                    <w:rPr>
                      <w:spacing w:val="-1"/>
                      <w:sz w:val="20"/>
                      <w:szCs w:val="20"/>
                    </w:rPr>
                    <w:t>约</w:t>
                  </w:r>
                  <w:r>
                    <w:rPr>
                      <w:spacing w:val="-23"/>
                      <w:sz w:val="20"/>
                      <w:szCs w:val="20"/>
                    </w:rPr>
                    <w:t xml:space="preserve"> </w:t>
                  </w:r>
                  <w:r>
                    <w:rPr>
                      <w:rFonts w:ascii="Times New Roman" w:hAnsi="Times New Roman" w:eastAsia="Times New Roman" w:cs="Times New Roman"/>
                      <w:spacing w:val="-1"/>
                      <w:sz w:val="20"/>
                      <w:szCs w:val="20"/>
                    </w:rPr>
                    <w:t>12000</w:t>
                  </w:r>
                </w:p>
                <w:p w14:paraId="340A1B43">
                  <w:pPr>
                    <w:pStyle w:val="6"/>
                    <w:spacing w:before="40" w:line="231" w:lineRule="auto"/>
                    <w:ind w:left="477"/>
                    <w:rPr>
                      <w:sz w:val="20"/>
                      <w:szCs w:val="20"/>
                    </w:rPr>
                  </w:pPr>
                  <w:r>
                    <w:rPr>
                      <w:sz w:val="20"/>
                      <w:szCs w:val="20"/>
                    </w:rPr>
                    <w:t>人</w:t>
                  </w:r>
                </w:p>
              </w:tc>
              <w:tc>
                <w:tcPr>
                  <w:tcW w:w="1184" w:type="dxa"/>
                  <w:vMerge w:val="restart"/>
                  <w:tcBorders>
                    <w:bottom w:val="nil"/>
                  </w:tcBorders>
                  <w:vAlign w:val="top"/>
                </w:tcPr>
                <w:p w14:paraId="1254CE9E">
                  <w:pPr>
                    <w:spacing w:line="274" w:lineRule="auto"/>
                    <w:rPr>
                      <w:rFonts w:ascii="Arial"/>
                      <w:sz w:val="21"/>
                    </w:rPr>
                  </w:pPr>
                </w:p>
                <w:p w14:paraId="48E10A0A">
                  <w:pPr>
                    <w:spacing w:line="274" w:lineRule="auto"/>
                    <w:rPr>
                      <w:rFonts w:ascii="Arial"/>
                      <w:sz w:val="21"/>
                    </w:rPr>
                  </w:pPr>
                </w:p>
                <w:p w14:paraId="59CB157A">
                  <w:pPr>
                    <w:spacing w:line="274" w:lineRule="auto"/>
                    <w:rPr>
                      <w:rFonts w:ascii="Arial"/>
                      <w:sz w:val="21"/>
                    </w:rPr>
                  </w:pPr>
                </w:p>
                <w:p w14:paraId="5DBE22FF">
                  <w:pPr>
                    <w:pStyle w:val="6"/>
                    <w:spacing w:before="65" w:line="228" w:lineRule="auto"/>
                    <w:ind w:left="183"/>
                    <w:rPr>
                      <w:sz w:val="20"/>
                      <w:szCs w:val="20"/>
                    </w:rPr>
                  </w:pPr>
                  <w:r>
                    <w:rPr>
                      <w:spacing w:val="6"/>
                      <w:sz w:val="20"/>
                      <w:szCs w:val="20"/>
                    </w:rPr>
                    <w:t>《环境空</w:t>
                  </w:r>
                </w:p>
                <w:p w14:paraId="61CB1FB3">
                  <w:pPr>
                    <w:pStyle w:val="6"/>
                    <w:spacing w:before="26" w:line="228" w:lineRule="auto"/>
                    <w:ind w:left="179"/>
                    <w:rPr>
                      <w:sz w:val="20"/>
                      <w:szCs w:val="20"/>
                    </w:rPr>
                  </w:pPr>
                  <w:r>
                    <w:rPr>
                      <w:spacing w:val="7"/>
                      <w:sz w:val="20"/>
                      <w:szCs w:val="20"/>
                    </w:rPr>
                    <w:t>气质量标</w:t>
                  </w:r>
                </w:p>
                <w:p w14:paraId="084C0D83">
                  <w:pPr>
                    <w:pStyle w:val="6"/>
                    <w:spacing w:before="23" w:line="229" w:lineRule="auto"/>
                    <w:ind w:left="391"/>
                    <w:rPr>
                      <w:sz w:val="20"/>
                      <w:szCs w:val="20"/>
                    </w:rPr>
                  </w:pPr>
                  <w:r>
                    <w:rPr>
                      <w:spacing w:val="-1"/>
                      <w:sz w:val="20"/>
                      <w:szCs w:val="20"/>
                    </w:rPr>
                    <w:t>准》</w:t>
                  </w:r>
                </w:p>
                <w:p w14:paraId="0BE69D83">
                  <w:pPr>
                    <w:pStyle w:val="6"/>
                    <w:spacing w:before="25" w:line="241" w:lineRule="auto"/>
                    <w:ind w:left="147"/>
                    <w:rPr>
                      <w:rFonts w:ascii="Times New Roman" w:hAnsi="Times New Roman" w:eastAsia="Times New Roman" w:cs="Times New Roman"/>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3095</w:t>
                  </w:r>
                </w:p>
                <w:p w14:paraId="437F3479">
                  <w:pPr>
                    <w:pStyle w:val="6"/>
                    <w:spacing w:before="11" w:line="251" w:lineRule="auto"/>
                    <w:ind w:left="179" w:right="137" w:hanging="34"/>
                    <w:rPr>
                      <w:sz w:val="20"/>
                      <w:szCs w:val="20"/>
                    </w:rPr>
                  </w:pPr>
                  <w:r>
                    <w:rPr>
                      <w:rFonts w:ascii="Times New Roman" w:hAnsi="Times New Roman" w:eastAsia="Times New Roman" w:cs="Times New Roman"/>
                      <w:spacing w:val="4"/>
                      <w:sz w:val="20"/>
                      <w:szCs w:val="20"/>
                    </w:rPr>
                    <w:t>-2012</w:t>
                  </w:r>
                  <w:r>
                    <w:rPr>
                      <w:spacing w:val="4"/>
                      <w:sz w:val="20"/>
                      <w:szCs w:val="20"/>
                    </w:rPr>
                    <w:t>）及</w:t>
                  </w:r>
                  <w:r>
                    <w:rPr>
                      <w:sz w:val="20"/>
                      <w:szCs w:val="20"/>
                    </w:rPr>
                    <w:t xml:space="preserve"> </w:t>
                  </w:r>
                  <w:r>
                    <w:rPr>
                      <w:spacing w:val="7"/>
                      <w:sz w:val="20"/>
                      <w:szCs w:val="20"/>
                    </w:rPr>
                    <w:t>其修改清</w:t>
                  </w:r>
                </w:p>
                <w:p w14:paraId="54CC6E4B">
                  <w:pPr>
                    <w:pStyle w:val="6"/>
                    <w:spacing w:line="228" w:lineRule="auto"/>
                    <w:ind w:left="180"/>
                    <w:rPr>
                      <w:sz w:val="20"/>
                      <w:szCs w:val="20"/>
                    </w:rPr>
                  </w:pPr>
                  <w:r>
                    <w:rPr>
                      <w:spacing w:val="6"/>
                      <w:sz w:val="20"/>
                      <w:szCs w:val="20"/>
                    </w:rPr>
                    <w:t>单中的二</w:t>
                  </w:r>
                </w:p>
                <w:p w14:paraId="268296B6">
                  <w:pPr>
                    <w:pStyle w:val="6"/>
                    <w:spacing w:before="27" w:line="228" w:lineRule="auto"/>
                    <w:ind w:left="287"/>
                    <w:rPr>
                      <w:sz w:val="20"/>
                      <w:szCs w:val="20"/>
                    </w:rPr>
                  </w:pPr>
                  <w:r>
                    <w:rPr>
                      <w:spacing w:val="5"/>
                      <w:sz w:val="20"/>
                      <w:szCs w:val="20"/>
                    </w:rPr>
                    <w:t>级标准</w:t>
                  </w:r>
                </w:p>
              </w:tc>
              <w:tc>
                <w:tcPr>
                  <w:tcW w:w="801" w:type="dxa"/>
                  <w:vAlign w:val="top"/>
                </w:tcPr>
                <w:p w14:paraId="42FA228C">
                  <w:pPr>
                    <w:pStyle w:val="6"/>
                    <w:spacing w:before="298" w:line="231" w:lineRule="auto"/>
                    <w:ind w:left="197"/>
                    <w:rPr>
                      <w:sz w:val="20"/>
                      <w:szCs w:val="20"/>
                    </w:rPr>
                  </w:pPr>
                  <w:r>
                    <w:rPr>
                      <w:spacing w:val="4"/>
                      <w:sz w:val="20"/>
                      <w:szCs w:val="20"/>
                    </w:rPr>
                    <w:t>周边</w:t>
                  </w:r>
                </w:p>
              </w:tc>
              <w:tc>
                <w:tcPr>
                  <w:tcW w:w="804" w:type="dxa"/>
                  <w:vAlign w:val="top"/>
                </w:tcPr>
                <w:p w14:paraId="3565D673">
                  <w:pPr>
                    <w:spacing w:line="272" w:lineRule="auto"/>
                    <w:rPr>
                      <w:rFonts w:ascii="Arial"/>
                      <w:sz w:val="21"/>
                    </w:rPr>
                  </w:pPr>
                </w:p>
                <w:p w14:paraId="7A471D70">
                  <w:pPr>
                    <w:spacing w:before="57" w:line="199"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3E8C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99" w:type="dxa"/>
                  <w:vMerge w:val="continue"/>
                  <w:tcBorders>
                    <w:top w:val="nil"/>
                    <w:bottom w:val="nil"/>
                  </w:tcBorders>
                  <w:textDirection w:val="tbRlV"/>
                  <w:vAlign w:val="top"/>
                </w:tcPr>
                <w:p w14:paraId="065326E3">
                  <w:pPr>
                    <w:rPr>
                      <w:rFonts w:ascii="Arial"/>
                      <w:sz w:val="21"/>
                    </w:rPr>
                  </w:pPr>
                </w:p>
              </w:tc>
              <w:tc>
                <w:tcPr>
                  <w:tcW w:w="1034" w:type="dxa"/>
                  <w:vAlign w:val="top"/>
                </w:tcPr>
                <w:p w14:paraId="06C91D84">
                  <w:pPr>
                    <w:pStyle w:val="6"/>
                    <w:spacing w:before="148" w:line="228" w:lineRule="auto"/>
                    <w:ind w:left="101"/>
                    <w:rPr>
                      <w:sz w:val="20"/>
                      <w:szCs w:val="20"/>
                    </w:rPr>
                  </w:pPr>
                  <w:r>
                    <w:rPr>
                      <w:spacing w:val="7"/>
                      <w:sz w:val="20"/>
                      <w:szCs w:val="20"/>
                    </w:rPr>
                    <w:t>长桥小学</w:t>
                  </w:r>
                </w:p>
              </w:tc>
              <w:tc>
                <w:tcPr>
                  <w:tcW w:w="809" w:type="dxa"/>
                  <w:vAlign w:val="top"/>
                </w:tcPr>
                <w:p w14:paraId="055016FA">
                  <w:pPr>
                    <w:spacing w:before="2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-520</w:t>
                  </w:r>
                </w:p>
              </w:tc>
              <w:tc>
                <w:tcPr>
                  <w:tcW w:w="780" w:type="dxa"/>
                  <w:vAlign w:val="top"/>
                </w:tcPr>
                <w:p w14:paraId="7A3E4716">
                  <w:pPr>
                    <w:spacing w:before="244"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-110</w:t>
                  </w:r>
                </w:p>
              </w:tc>
              <w:tc>
                <w:tcPr>
                  <w:tcW w:w="720" w:type="dxa"/>
                  <w:vAlign w:val="top"/>
                </w:tcPr>
                <w:p w14:paraId="23F9E0A0">
                  <w:pPr>
                    <w:pStyle w:val="6"/>
                    <w:spacing w:before="207" w:line="228" w:lineRule="auto"/>
                    <w:ind w:left="159"/>
                    <w:rPr>
                      <w:sz w:val="20"/>
                      <w:szCs w:val="20"/>
                    </w:rPr>
                  </w:pPr>
                  <w:r>
                    <w:rPr>
                      <w:spacing w:val="3"/>
                      <w:sz w:val="20"/>
                      <w:szCs w:val="20"/>
                    </w:rPr>
                    <w:t>师生</w:t>
                  </w:r>
                </w:p>
              </w:tc>
              <w:tc>
                <w:tcPr>
                  <w:tcW w:w="1262" w:type="dxa"/>
                  <w:vAlign w:val="top"/>
                </w:tcPr>
                <w:p w14:paraId="5528EF8F">
                  <w:pPr>
                    <w:pStyle w:val="6"/>
                    <w:spacing w:before="147" w:line="231" w:lineRule="auto"/>
                    <w:ind w:left="166"/>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700</w:t>
                  </w:r>
                  <w:r>
                    <w:rPr>
                      <w:rFonts w:ascii="Times New Roman" w:hAnsi="Times New Roman" w:eastAsia="Times New Roman" w:cs="Times New Roman"/>
                      <w:spacing w:val="11"/>
                      <w:sz w:val="20"/>
                      <w:szCs w:val="20"/>
                    </w:rPr>
                    <w:t xml:space="preserve"> </w:t>
                  </w:r>
                  <w:r>
                    <w:rPr>
                      <w:sz w:val="20"/>
                      <w:szCs w:val="20"/>
                    </w:rPr>
                    <w:t>人</w:t>
                  </w:r>
                </w:p>
              </w:tc>
              <w:tc>
                <w:tcPr>
                  <w:tcW w:w="1184" w:type="dxa"/>
                  <w:vMerge w:val="continue"/>
                  <w:tcBorders>
                    <w:top w:val="nil"/>
                    <w:bottom w:val="nil"/>
                  </w:tcBorders>
                  <w:vAlign w:val="top"/>
                </w:tcPr>
                <w:p w14:paraId="459857F8">
                  <w:pPr>
                    <w:rPr>
                      <w:rFonts w:ascii="Arial"/>
                      <w:sz w:val="21"/>
                    </w:rPr>
                  </w:pPr>
                </w:p>
              </w:tc>
              <w:tc>
                <w:tcPr>
                  <w:tcW w:w="801" w:type="dxa"/>
                  <w:vAlign w:val="top"/>
                </w:tcPr>
                <w:p w14:paraId="2CB5F135">
                  <w:pPr>
                    <w:pStyle w:val="6"/>
                    <w:spacing w:before="208" w:line="230" w:lineRule="auto"/>
                    <w:ind w:left="201"/>
                    <w:rPr>
                      <w:sz w:val="20"/>
                      <w:szCs w:val="20"/>
                    </w:rPr>
                  </w:pPr>
                  <w:r>
                    <w:rPr>
                      <w:spacing w:val="2"/>
                      <w:sz w:val="20"/>
                      <w:szCs w:val="20"/>
                    </w:rPr>
                    <w:t>西南</w:t>
                  </w:r>
                </w:p>
              </w:tc>
              <w:tc>
                <w:tcPr>
                  <w:tcW w:w="804" w:type="dxa"/>
                  <w:vAlign w:val="top"/>
                </w:tcPr>
                <w:p w14:paraId="6DE71CDC">
                  <w:pPr>
                    <w:spacing w:before="24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460m</w:t>
                  </w:r>
                </w:p>
              </w:tc>
            </w:tr>
            <w:tr w14:paraId="1EC4D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499" w:type="dxa"/>
                  <w:vMerge w:val="continue"/>
                  <w:tcBorders>
                    <w:top w:val="nil"/>
                    <w:bottom w:val="nil"/>
                  </w:tcBorders>
                  <w:textDirection w:val="tbRlV"/>
                  <w:vAlign w:val="top"/>
                </w:tcPr>
                <w:p w14:paraId="7B299F0F">
                  <w:pPr>
                    <w:rPr>
                      <w:rFonts w:ascii="Arial"/>
                      <w:sz w:val="21"/>
                    </w:rPr>
                  </w:pPr>
                </w:p>
              </w:tc>
              <w:tc>
                <w:tcPr>
                  <w:tcW w:w="1034" w:type="dxa"/>
                  <w:vAlign w:val="top"/>
                </w:tcPr>
                <w:p w14:paraId="44FF2069">
                  <w:pPr>
                    <w:pStyle w:val="6"/>
                    <w:spacing w:before="92" w:line="228" w:lineRule="auto"/>
                    <w:ind w:left="102"/>
                    <w:rPr>
                      <w:sz w:val="20"/>
                      <w:szCs w:val="20"/>
                    </w:rPr>
                  </w:pPr>
                  <w:r>
                    <w:rPr>
                      <w:spacing w:val="6"/>
                      <w:sz w:val="20"/>
                      <w:szCs w:val="20"/>
                    </w:rPr>
                    <w:t>可塘镇税</w:t>
                  </w:r>
                </w:p>
                <w:p w14:paraId="3EF8DE8E">
                  <w:pPr>
                    <w:pStyle w:val="6"/>
                    <w:spacing w:before="45" w:line="228" w:lineRule="auto"/>
                    <w:ind w:left="311"/>
                    <w:rPr>
                      <w:sz w:val="20"/>
                      <w:szCs w:val="20"/>
                    </w:rPr>
                  </w:pPr>
                  <w:r>
                    <w:rPr>
                      <w:spacing w:val="3"/>
                      <w:sz w:val="20"/>
                      <w:szCs w:val="20"/>
                    </w:rPr>
                    <w:t>务局</w:t>
                  </w:r>
                </w:p>
              </w:tc>
              <w:tc>
                <w:tcPr>
                  <w:tcW w:w="809" w:type="dxa"/>
                  <w:vAlign w:val="top"/>
                </w:tcPr>
                <w:p w14:paraId="0E3D940B">
                  <w:pPr>
                    <w:spacing w:line="278" w:lineRule="auto"/>
                    <w:rPr>
                      <w:rFonts w:ascii="Arial"/>
                      <w:sz w:val="21"/>
                    </w:rPr>
                  </w:pPr>
                </w:p>
                <w:p w14:paraId="3838C055">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80" w:type="dxa"/>
                  <w:vAlign w:val="top"/>
                </w:tcPr>
                <w:p w14:paraId="0133F3B8">
                  <w:pPr>
                    <w:spacing w:line="278" w:lineRule="auto"/>
                    <w:rPr>
                      <w:rFonts w:ascii="Arial"/>
                      <w:sz w:val="21"/>
                    </w:rPr>
                  </w:pPr>
                </w:p>
                <w:p w14:paraId="1F6B72CA">
                  <w:pPr>
                    <w:spacing w:before="57"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-370</w:t>
                  </w:r>
                </w:p>
              </w:tc>
              <w:tc>
                <w:tcPr>
                  <w:tcW w:w="720" w:type="dxa"/>
                  <w:vAlign w:val="top"/>
                </w:tcPr>
                <w:p w14:paraId="7723B978">
                  <w:pPr>
                    <w:pStyle w:val="6"/>
                    <w:spacing w:before="164" w:line="228" w:lineRule="auto"/>
                    <w:ind w:left="160"/>
                    <w:rPr>
                      <w:sz w:val="20"/>
                      <w:szCs w:val="20"/>
                    </w:rPr>
                  </w:pPr>
                  <w:r>
                    <w:rPr>
                      <w:spacing w:val="2"/>
                      <w:sz w:val="20"/>
                      <w:szCs w:val="20"/>
                    </w:rPr>
                    <w:t>办公</w:t>
                  </w:r>
                </w:p>
                <w:p w14:paraId="73736F33">
                  <w:pPr>
                    <w:pStyle w:val="6"/>
                    <w:spacing w:before="24" w:line="229" w:lineRule="auto"/>
                    <w:ind w:left="158"/>
                    <w:rPr>
                      <w:sz w:val="20"/>
                      <w:szCs w:val="20"/>
                    </w:rPr>
                  </w:pPr>
                  <w:r>
                    <w:rPr>
                      <w:spacing w:val="3"/>
                      <w:sz w:val="20"/>
                      <w:szCs w:val="20"/>
                    </w:rPr>
                    <w:t>人员</w:t>
                  </w:r>
                </w:p>
              </w:tc>
              <w:tc>
                <w:tcPr>
                  <w:tcW w:w="1262" w:type="dxa"/>
                  <w:vAlign w:val="top"/>
                </w:tcPr>
                <w:p w14:paraId="16837B35">
                  <w:pPr>
                    <w:pStyle w:val="6"/>
                    <w:spacing w:before="238" w:line="231" w:lineRule="auto"/>
                    <w:ind w:left="218"/>
                    <w:rPr>
                      <w:sz w:val="20"/>
                      <w:szCs w:val="20"/>
                    </w:rPr>
                  </w:pPr>
                  <w:r>
                    <w:rPr>
                      <w:spacing w:val="-1"/>
                      <w:sz w:val="20"/>
                      <w:szCs w:val="20"/>
                    </w:rPr>
                    <w:t>约</w:t>
                  </w:r>
                  <w:r>
                    <w:rPr>
                      <w:spacing w:val="-39"/>
                      <w:sz w:val="20"/>
                      <w:szCs w:val="20"/>
                    </w:rPr>
                    <w:t xml:space="preserve"> </w:t>
                  </w:r>
                  <w:r>
                    <w:rPr>
                      <w:rFonts w:ascii="Times New Roman" w:hAnsi="Times New Roman" w:eastAsia="Times New Roman" w:cs="Times New Roman"/>
                      <w:spacing w:val="-1"/>
                      <w:sz w:val="20"/>
                      <w:szCs w:val="20"/>
                    </w:rPr>
                    <w:t>30</w:t>
                  </w:r>
                  <w:r>
                    <w:rPr>
                      <w:rFonts w:ascii="Times New Roman" w:hAnsi="Times New Roman" w:eastAsia="Times New Roman" w:cs="Times New Roman"/>
                      <w:spacing w:val="11"/>
                      <w:sz w:val="20"/>
                      <w:szCs w:val="20"/>
                    </w:rPr>
                    <w:t xml:space="preserve"> </w:t>
                  </w:r>
                  <w:r>
                    <w:rPr>
                      <w:spacing w:val="-1"/>
                      <w:sz w:val="20"/>
                      <w:szCs w:val="20"/>
                    </w:rPr>
                    <w:t>人</w:t>
                  </w:r>
                </w:p>
              </w:tc>
              <w:tc>
                <w:tcPr>
                  <w:tcW w:w="1184" w:type="dxa"/>
                  <w:vMerge w:val="continue"/>
                  <w:tcBorders>
                    <w:top w:val="nil"/>
                    <w:bottom w:val="nil"/>
                  </w:tcBorders>
                  <w:vAlign w:val="top"/>
                </w:tcPr>
                <w:p w14:paraId="4D182298">
                  <w:pPr>
                    <w:rPr>
                      <w:rFonts w:ascii="Arial"/>
                      <w:sz w:val="21"/>
                    </w:rPr>
                  </w:pPr>
                </w:p>
              </w:tc>
              <w:tc>
                <w:tcPr>
                  <w:tcW w:w="801" w:type="dxa"/>
                  <w:vAlign w:val="top"/>
                </w:tcPr>
                <w:p w14:paraId="644777E8">
                  <w:pPr>
                    <w:pStyle w:val="6"/>
                    <w:spacing w:before="301" w:line="228" w:lineRule="auto"/>
                    <w:ind w:left="204"/>
                    <w:rPr>
                      <w:sz w:val="20"/>
                      <w:szCs w:val="20"/>
                    </w:rPr>
                  </w:pPr>
                  <w:r>
                    <w:rPr>
                      <w:spacing w:val="1"/>
                      <w:sz w:val="20"/>
                      <w:szCs w:val="20"/>
                    </w:rPr>
                    <w:t>东南</w:t>
                  </w:r>
                </w:p>
              </w:tc>
              <w:tc>
                <w:tcPr>
                  <w:tcW w:w="804" w:type="dxa"/>
                  <w:vAlign w:val="top"/>
                </w:tcPr>
                <w:p w14:paraId="5914514A">
                  <w:pPr>
                    <w:spacing w:line="278" w:lineRule="auto"/>
                    <w:rPr>
                      <w:rFonts w:ascii="Arial"/>
                      <w:sz w:val="21"/>
                    </w:rPr>
                  </w:pPr>
                </w:p>
                <w:p w14:paraId="4AD08DBD">
                  <w:pPr>
                    <w:spacing w:before="5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340m</w:t>
                  </w:r>
                </w:p>
              </w:tc>
            </w:tr>
            <w:tr w14:paraId="0AEC5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499" w:type="dxa"/>
                  <w:vMerge w:val="continue"/>
                  <w:tcBorders>
                    <w:top w:val="nil"/>
                    <w:bottom w:val="nil"/>
                  </w:tcBorders>
                  <w:textDirection w:val="tbRlV"/>
                  <w:vAlign w:val="top"/>
                </w:tcPr>
                <w:p w14:paraId="576EABA6">
                  <w:pPr>
                    <w:rPr>
                      <w:rFonts w:ascii="Arial"/>
                      <w:sz w:val="21"/>
                    </w:rPr>
                  </w:pPr>
                </w:p>
              </w:tc>
              <w:tc>
                <w:tcPr>
                  <w:tcW w:w="1034" w:type="dxa"/>
                  <w:vAlign w:val="top"/>
                </w:tcPr>
                <w:p w14:paraId="7D015D13">
                  <w:pPr>
                    <w:pStyle w:val="6"/>
                    <w:spacing w:before="93" w:line="228" w:lineRule="auto"/>
                    <w:ind w:left="102"/>
                    <w:rPr>
                      <w:sz w:val="20"/>
                      <w:szCs w:val="20"/>
                    </w:rPr>
                  </w:pPr>
                  <w:r>
                    <w:rPr>
                      <w:spacing w:val="6"/>
                      <w:sz w:val="20"/>
                      <w:szCs w:val="20"/>
                    </w:rPr>
                    <w:t>可塘镇政</w:t>
                  </w:r>
                </w:p>
                <w:p w14:paraId="4EEC1741">
                  <w:pPr>
                    <w:pStyle w:val="6"/>
                    <w:spacing w:before="46" w:line="227" w:lineRule="auto"/>
                    <w:ind w:left="414"/>
                    <w:rPr>
                      <w:sz w:val="20"/>
                      <w:szCs w:val="20"/>
                    </w:rPr>
                  </w:pPr>
                  <w:r>
                    <w:rPr>
                      <w:spacing w:val="1"/>
                      <w:sz w:val="20"/>
                      <w:szCs w:val="20"/>
                    </w:rPr>
                    <w:t>府</w:t>
                  </w:r>
                </w:p>
              </w:tc>
              <w:tc>
                <w:tcPr>
                  <w:tcW w:w="809" w:type="dxa"/>
                  <w:vAlign w:val="top"/>
                </w:tcPr>
                <w:p w14:paraId="1D1E924D">
                  <w:pPr>
                    <w:spacing w:line="277" w:lineRule="auto"/>
                    <w:rPr>
                      <w:rFonts w:ascii="Arial"/>
                      <w:sz w:val="21"/>
                    </w:rPr>
                  </w:pPr>
                </w:p>
                <w:p w14:paraId="1FAE0F97">
                  <w:pPr>
                    <w:spacing w:before="5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80" w:type="dxa"/>
                  <w:vAlign w:val="top"/>
                </w:tcPr>
                <w:p w14:paraId="36F1EA72">
                  <w:pPr>
                    <w:spacing w:line="277" w:lineRule="auto"/>
                    <w:rPr>
                      <w:rFonts w:ascii="Arial"/>
                      <w:sz w:val="21"/>
                    </w:rPr>
                  </w:pPr>
                </w:p>
                <w:p w14:paraId="01619D5C">
                  <w:pPr>
                    <w:spacing w:before="57"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-400</w:t>
                  </w:r>
                </w:p>
              </w:tc>
              <w:tc>
                <w:tcPr>
                  <w:tcW w:w="720" w:type="dxa"/>
                  <w:vAlign w:val="top"/>
                </w:tcPr>
                <w:p w14:paraId="258E8D69">
                  <w:pPr>
                    <w:pStyle w:val="6"/>
                    <w:spacing w:before="165" w:line="228" w:lineRule="auto"/>
                    <w:ind w:left="160"/>
                    <w:rPr>
                      <w:sz w:val="20"/>
                      <w:szCs w:val="20"/>
                    </w:rPr>
                  </w:pPr>
                  <w:r>
                    <w:rPr>
                      <w:spacing w:val="2"/>
                      <w:sz w:val="20"/>
                      <w:szCs w:val="20"/>
                    </w:rPr>
                    <w:t>办公</w:t>
                  </w:r>
                </w:p>
                <w:p w14:paraId="4FD56545">
                  <w:pPr>
                    <w:pStyle w:val="6"/>
                    <w:spacing w:before="24" w:line="229" w:lineRule="auto"/>
                    <w:ind w:left="158"/>
                    <w:rPr>
                      <w:sz w:val="20"/>
                      <w:szCs w:val="20"/>
                    </w:rPr>
                  </w:pPr>
                  <w:r>
                    <w:rPr>
                      <w:spacing w:val="3"/>
                      <w:sz w:val="20"/>
                      <w:szCs w:val="20"/>
                    </w:rPr>
                    <w:t>人员</w:t>
                  </w:r>
                </w:p>
              </w:tc>
              <w:tc>
                <w:tcPr>
                  <w:tcW w:w="1262" w:type="dxa"/>
                  <w:vAlign w:val="top"/>
                </w:tcPr>
                <w:p w14:paraId="70FB5551">
                  <w:pPr>
                    <w:pStyle w:val="6"/>
                    <w:spacing w:before="239" w:line="231" w:lineRule="auto"/>
                    <w:ind w:left="166"/>
                    <w:rPr>
                      <w:sz w:val="20"/>
                      <w:szCs w:val="20"/>
                    </w:rPr>
                  </w:pPr>
                  <w:r>
                    <w:rPr>
                      <w:spacing w:val="1"/>
                      <w:sz w:val="20"/>
                      <w:szCs w:val="20"/>
                    </w:rPr>
                    <w:t>约</w:t>
                  </w:r>
                  <w:r>
                    <w:rPr>
                      <w:spacing w:val="-42"/>
                      <w:sz w:val="20"/>
                      <w:szCs w:val="20"/>
                    </w:rPr>
                    <w:t xml:space="preserve"> </w:t>
                  </w:r>
                  <w:r>
                    <w:rPr>
                      <w:rFonts w:ascii="Times New Roman" w:hAnsi="Times New Roman" w:eastAsia="Times New Roman" w:cs="Times New Roman"/>
                      <w:spacing w:val="1"/>
                      <w:sz w:val="20"/>
                      <w:szCs w:val="20"/>
                    </w:rPr>
                    <w:t>200</w:t>
                  </w:r>
                  <w:r>
                    <w:rPr>
                      <w:rFonts w:ascii="Times New Roman" w:hAnsi="Times New Roman" w:eastAsia="Times New Roman" w:cs="Times New Roman"/>
                      <w:spacing w:val="11"/>
                      <w:sz w:val="20"/>
                      <w:szCs w:val="20"/>
                    </w:rPr>
                    <w:t xml:space="preserve"> </w:t>
                  </w:r>
                  <w:r>
                    <w:rPr>
                      <w:spacing w:val="1"/>
                      <w:sz w:val="20"/>
                      <w:szCs w:val="20"/>
                    </w:rPr>
                    <w:t>人</w:t>
                  </w:r>
                </w:p>
              </w:tc>
              <w:tc>
                <w:tcPr>
                  <w:tcW w:w="1184" w:type="dxa"/>
                  <w:vMerge w:val="continue"/>
                  <w:tcBorders>
                    <w:top w:val="nil"/>
                    <w:bottom w:val="nil"/>
                  </w:tcBorders>
                  <w:vAlign w:val="top"/>
                </w:tcPr>
                <w:p w14:paraId="2B2A6B53">
                  <w:pPr>
                    <w:rPr>
                      <w:rFonts w:ascii="Arial"/>
                      <w:sz w:val="21"/>
                    </w:rPr>
                  </w:pPr>
                </w:p>
              </w:tc>
              <w:tc>
                <w:tcPr>
                  <w:tcW w:w="801" w:type="dxa"/>
                  <w:vAlign w:val="top"/>
                </w:tcPr>
                <w:p w14:paraId="3D7EF625">
                  <w:pPr>
                    <w:pStyle w:val="6"/>
                    <w:spacing w:before="300" w:line="228" w:lineRule="auto"/>
                    <w:ind w:left="204"/>
                    <w:rPr>
                      <w:sz w:val="20"/>
                      <w:szCs w:val="20"/>
                    </w:rPr>
                  </w:pPr>
                  <w:r>
                    <w:rPr>
                      <w:spacing w:val="1"/>
                      <w:sz w:val="20"/>
                      <w:szCs w:val="20"/>
                    </w:rPr>
                    <w:t>东南</w:t>
                  </w:r>
                </w:p>
              </w:tc>
              <w:tc>
                <w:tcPr>
                  <w:tcW w:w="804" w:type="dxa"/>
                  <w:vAlign w:val="top"/>
                </w:tcPr>
                <w:p w14:paraId="58B3152A">
                  <w:pPr>
                    <w:spacing w:line="277" w:lineRule="auto"/>
                    <w:rPr>
                      <w:rFonts w:ascii="Arial"/>
                      <w:sz w:val="21"/>
                    </w:rPr>
                  </w:pPr>
                </w:p>
                <w:p w14:paraId="63AAA6D9">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410m</w:t>
                  </w:r>
                </w:p>
              </w:tc>
            </w:tr>
            <w:tr w14:paraId="272F5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99" w:type="dxa"/>
                  <w:vMerge w:val="continue"/>
                  <w:tcBorders>
                    <w:top w:val="nil"/>
                  </w:tcBorders>
                  <w:textDirection w:val="tbRlV"/>
                  <w:vAlign w:val="top"/>
                </w:tcPr>
                <w:p w14:paraId="1C9B0DF4">
                  <w:pPr>
                    <w:rPr>
                      <w:rFonts w:ascii="Arial"/>
                      <w:sz w:val="21"/>
                    </w:rPr>
                  </w:pPr>
                </w:p>
              </w:tc>
              <w:tc>
                <w:tcPr>
                  <w:tcW w:w="1034" w:type="dxa"/>
                  <w:vAlign w:val="top"/>
                </w:tcPr>
                <w:p w14:paraId="25133CEE">
                  <w:pPr>
                    <w:pStyle w:val="6"/>
                    <w:spacing w:before="35" w:line="228" w:lineRule="auto"/>
                    <w:ind w:left="102"/>
                    <w:rPr>
                      <w:sz w:val="20"/>
                      <w:szCs w:val="20"/>
                    </w:rPr>
                  </w:pPr>
                  <w:r>
                    <w:rPr>
                      <w:spacing w:val="6"/>
                      <w:sz w:val="20"/>
                      <w:szCs w:val="20"/>
                    </w:rPr>
                    <w:t>可塘镇珠</w:t>
                  </w:r>
                </w:p>
                <w:p w14:paraId="687AC79C">
                  <w:pPr>
                    <w:pStyle w:val="6"/>
                    <w:spacing w:before="24" w:line="228" w:lineRule="auto"/>
                    <w:ind w:left="103"/>
                    <w:rPr>
                      <w:sz w:val="20"/>
                      <w:szCs w:val="20"/>
                    </w:rPr>
                  </w:pPr>
                  <w:r>
                    <w:rPr>
                      <w:spacing w:val="6"/>
                      <w:sz w:val="20"/>
                      <w:szCs w:val="20"/>
                    </w:rPr>
                    <w:t>宝交易市</w:t>
                  </w:r>
                </w:p>
                <w:p w14:paraId="6951151B">
                  <w:pPr>
                    <w:pStyle w:val="6"/>
                    <w:spacing w:before="24" w:line="215" w:lineRule="auto"/>
                    <w:ind w:left="414"/>
                    <w:rPr>
                      <w:sz w:val="20"/>
                      <w:szCs w:val="20"/>
                    </w:rPr>
                  </w:pPr>
                  <w:r>
                    <w:rPr>
                      <w:spacing w:val="1"/>
                      <w:sz w:val="20"/>
                      <w:szCs w:val="20"/>
                    </w:rPr>
                    <w:t>场</w:t>
                  </w:r>
                </w:p>
              </w:tc>
              <w:tc>
                <w:tcPr>
                  <w:tcW w:w="809" w:type="dxa"/>
                  <w:vAlign w:val="top"/>
                </w:tcPr>
                <w:p w14:paraId="590AD9D5">
                  <w:pPr>
                    <w:spacing w:line="283" w:lineRule="auto"/>
                    <w:rPr>
                      <w:rFonts w:ascii="Arial"/>
                      <w:sz w:val="21"/>
                    </w:rPr>
                  </w:pPr>
                </w:p>
                <w:p w14:paraId="75F69FCC">
                  <w:pPr>
                    <w:spacing w:before="57"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w:t>
                  </w:r>
                </w:p>
              </w:tc>
              <w:tc>
                <w:tcPr>
                  <w:tcW w:w="780" w:type="dxa"/>
                  <w:vAlign w:val="top"/>
                </w:tcPr>
                <w:p w14:paraId="54248B8F">
                  <w:pPr>
                    <w:spacing w:line="283" w:lineRule="auto"/>
                    <w:rPr>
                      <w:rFonts w:ascii="Arial"/>
                      <w:sz w:val="21"/>
                    </w:rPr>
                  </w:pPr>
                </w:p>
                <w:p w14:paraId="5B2DEDDD">
                  <w:pPr>
                    <w:spacing w:before="5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tcPr>
                <w:p w14:paraId="28C503B5">
                  <w:pPr>
                    <w:pStyle w:val="6"/>
                    <w:spacing w:before="170" w:line="254" w:lineRule="auto"/>
                    <w:ind w:left="155" w:right="78" w:hanging="101"/>
                    <w:rPr>
                      <w:sz w:val="20"/>
                      <w:szCs w:val="20"/>
                    </w:rPr>
                  </w:pPr>
                  <w:r>
                    <w:rPr>
                      <w:spacing w:val="-7"/>
                      <w:sz w:val="20"/>
                      <w:szCs w:val="20"/>
                    </w:rPr>
                    <w:t>商户、</w:t>
                  </w:r>
                  <w:r>
                    <w:rPr>
                      <w:spacing w:val="1"/>
                      <w:sz w:val="20"/>
                      <w:szCs w:val="20"/>
                    </w:rPr>
                    <w:t xml:space="preserve"> </w:t>
                  </w:r>
                  <w:r>
                    <w:rPr>
                      <w:spacing w:val="4"/>
                      <w:sz w:val="20"/>
                      <w:szCs w:val="20"/>
                    </w:rPr>
                    <w:t>游客</w:t>
                  </w:r>
                </w:p>
              </w:tc>
              <w:tc>
                <w:tcPr>
                  <w:tcW w:w="1262" w:type="dxa"/>
                  <w:vAlign w:val="top"/>
                </w:tcPr>
                <w:p w14:paraId="72F33EB7">
                  <w:pPr>
                    <w:pStyle w:val="6"/>
                    <w:spacing w:before="243" w:line="231" w:lineRule="auto"/>
                    <w:ind w:left="166"/>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500</w:t>
                  </w:r>
                  <w:r>
                    <w:rPr>
                      <w:rFonts w:ascii="Times New Roman" w:hAnsi="Times New Roman" w:eastAsia="Times New Roman" w:cs="Times New Roman"/>
                      <w:spacing w:val="11"/>
                      <w:sz w:val="20"/>
                      <w:szCs w:val="20"/>
                    </w:rPr>
                    <w:t xml:space="preserve"> </w:t>
                  </w:r>
                  <w:r>
                    <w:rPr>
                      <w:sz w:val="20"/>
                      <w:szCs w:val="20"/>
                    </w:rPr>
                    <w:t>人</w:t>
                  </w:r>
                </w:p>
              </w:tc>
              <w:tc>
                <w:tcPr>
                  <w:tcW w:w="1184" w:type="dxa"/>
                  <w:vMerge w:val="continue"/>
                  <w:tcBorders>
                    <w:top w:val="nil"/>
                  </w:tcBorders>
                  <w:vAlign w:val="top"/>
                </w:tcPr>
                <w:p w14:paraId="5DEAAFC7">
                  <w:pPr>
                    <w:rPr>
                      <w:rFonts w:ascii="Arial"/>
                      <w:sz w:val="21"/>
                    </w:rPr>
                  </w:pPr>
                </w:p>
              </w:tc>
              <w:tc>
                <w:tcPr>
                  <w:tcW w:w="801" w:type="dxa"/>
                  <w:vAlign w:val="top"/>
                </w:tcPr>
                <w:p w14:paraId="5CAEF48B">
                  <w:pPr>
                    <w:pStyle w:val="6"/>
                    <w:spacing w:before="306" w:line="228" w:lineRule="auto"/>
                    <w:ind w:left="309"/>
                    <w:rPr>
                      <w:sz w:val="20"/>
                      <w:szCs w:val="20"/>
                    </w:rPr>
                  </w:pPr>
                  <w:r>
                    <w:rPr>
                      <w:sz w:val="20"/>
                      <w:szCs w:val="20"/>
                    </w:rPr>
                    <w:t>东</w:t>
                  </w:r>
                </w:p>
              </w:tc>
              <w:tc>
                <w:tcPr>
                  <w:tcW w:w="804" w:type="dxa"/>
                  <w:vAlign w:val="top"/>
                </w:tcPr>
                <w:p w14:paraId="62B586A3">
                  <w:pPr>
                    <w:spacing w:line="283" w:lineRule="auto"/>
                    <w:rPr>
                      <w:rFonts w:ascii="Arial"/>
                      <w:sz w:val="21"/>
                    </w:rPr>
                  </w:pPr>
                </w:p>
                <w:p w14:paraId="15FCC8A7">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w:t>
                  </w:r>
                </w:p>
              </w:tc>
            </w:tr>
            <w:tr w14:paraId="29EC6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8" w:hRule="atLeast"/>
              </w:trPr>
              <w:tc>
                <w:tcPr>
                  <w:tcW w:w="1533" w:type="dxa"/>
                  <w:gridSpan w:val="2"/>
                  <w:vAlign w:val="top"/>
                </w:tcPr>
                <w:p w14:paraId="2ACD78E5">
                  <w:pPr>
                    <w:spacing w:line="349" w:lineRule="auto"/>
                    <w:rPr>
                      <w:rFonts w:ascii="Arial"/>
                      <w:sz w:val="21"/>
                    </w:rPr>
                  </w:pPr>
                </w:p>
                <w:p w14:paraId="5D63E214">
                  <w:pPr>
                    <w:spacing w:line="350" w:lineRule="auto"/>
                    <w:rPr>
                      <w:rFonts w:ascii="Arial"/>
                      <w:sz w:val="21"/>
                    </w:rPr>
                  </w:pPr>
                </w:p>
                <w:p w14:paraId="180B5ED1">
                  <w:pPr>
                    <w:pStyle w:val="6"/>
                    <w:spacing w:before="65" w:line="228" w:lineRule="auto"/>
                    <w:ind w:left="458"/>
                    <w:rPr>
                      <w:sz w:val="20"/>
                      <w:szCs w:val="20"/>
                    </w:rPr>
                  </w:pPr>
                  <w:r>
                    <w:rPr>
                      <w:spacing w:val="6"/>
                      <w:sz w:val="20"/>
                      <w:szCs w:val="20"/>
                    </w:rPr>
                    <w:t>地表水</w:t>
                  </w:r>
                </w:p>
              </w:tc>
              <w:tc>
                <w:tcPr>
                  <w:tcW w:w="809" w:type="dxa"/>
                  <w:vAlign w:val="top"/>
                </w:tcPr>
                <w:p w14:paraId="30E22BE1">
                  <w:pPr>
                    <w:spacing w:line="246" w:lineRule="auto"/>
                    <w:rPr>
                      <w:rFonts w:ascii="Arial"/>
                      <w:sz w:val="21"/>
                    </w:rPr>
                  </w:pPr>
                </w:p>
                <w:p w14:paraId="35CB61E8">
                  <w:pPr>
                    <w:spacing w:line="246" w:lineRule="auto"/>
                    <w:rPr>
                      <w:rFonts w:ascii="Arial"/>
                      <w:sz w:val="21"/>
                    </w:rPr>
                  </w:pPr>
                </w:p>
                <w:p w14:paraId="3D3A688C">
                  <w:pPr>
                    <w:spacing w:line="247" w:lineRule="auto"/>
                    <w:rPr>
                      <w:rFonts w:ascii="Arial"/>
                      <w:sz w:val="21"/>
                    </w:rPr>
                  </w:pPr>
                </w:p>
                <w:p w14:paraId="748A341B">
                  <w:pPr>
                    <w:spacing w:before="57" w:line="199"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14:paraId="0A47C843">
                  <w:pPr>
                    <w:spacing w:line="246" w:lineRule="auto"/>
                    <w:rPr>
                      <w:rFonts w:ascii="Arial"/>
                      <w:sz w:val="21"/>
                    </w:rPr>
                  </w:pPr>
                </w:p>
                <w:p w14:paraId="6463E69B">
                  <w:pPr>
                    <w:spacing w:line="246" w:lineRule="auto"/>
                    <w:rPr>
                      <w:rFonts w:ascii="Arial"/>
                      <w:sz w:val="21"/>
                    </w:rPr>
                  </w:pPr>
                </w:p>
                <w:p w14:paraId="761FC29D">
                  <w:pPr>
                    <w:spacing w:line="247" w:lineRule="auto"/>
                    <w:rPr>
                      <w:rFonts w:ascii="Arial"/>
                      <w:sz w:val="21"/>
                    </w:rPr>
                  </w:pPr>
                </w:p>
                <w:p w14:paraId="13DF443D">
                  <w:pPr>
                    <w:spacing w:before="57" w:line="199"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20" w:type="dxa"/>
                  <w:vAlign w:val="top"/>
                </w:tcPr>
                <w:p w14:paraId="32A851F7">
                  <w:pPr>
                    <w:spacing w:line="281" w:lineRule="auto"/>
                    <w:rPr>
                      <w:rFonts w:ascii="Arial"/>
                      <w:sz w:val="21"/>
                    </w:rPr>
                  </w:pPr>
                </w:p>
                <w:p w14:paraId="0952D1ED">
                  <w:pPr>
                    <w:spacing w:line="282" w:lineRule="auto"/>
                    <w:rPr>
                      <w:rFonts w:ascii="Arial"/>
                      <w:sz w:val="21"/>
                    </w:rPr>
                  </w:pPr>
                </w:p>
                <w:p w14:paraId="50CE60A2">
                  <w:pPr>
                    <w:pStyle w:val="6"/>
                    <w:spacing w:before="65" w:line="252" w:lineRule="auto"/>
                    <w:ind w:left="262" w:right="149" w:hanging="106"/>
                    <w:rPr>
                      <w:sz w:val="20"/>
                      <w:szCs w:val="20"/>
                    </w:rPr>
                  </w:pPr>
                  <w:r>
                    <w:rPr>
                      <w:spacing w:val="4"/>
                      <w:sz w:val="20"/>
                      <w:szCs w:val="20"/>
                    </w:rPr>
                    <w:t>排洪</w:t>
                  </w:r>
                  <w:r>
                    <w:rPr>
                      <w:sz w:val="20"/>
                      <w:szCs w:val="20"/>
                    </w:rPr>
                    <w:t xml:space="preserve"> 渠</w:t>
                  </w:r>
                </w:p>
              </w:tc>
              <w:tc>
                <w:tcPr>
                  <w:tcW w:w="1262" w:type="dxa"/>
                  <w:vAlign w:val="top"/>
                </w:tcPr>
                <w:p w14:paraId="7019E366">
                  <w:pPr>
                    <w:spacing w:line="293" w:lineRule="auto"/>
                    <w:rPr>
                      <w:rFonts w:ascii="Arial"/>
                      <w:sz w:val="21"/>
                    </w:rPr>
                  </w:pPr>
                </w:p>
                <w:p w14:paraId="54427357">
                  <w:pPr>
                    <w:pStyle w:val="6"/>
                    <w:spacing w:before="65" w:line="251" w:lineRule="auto"/>
                    <w:ind w:left="128" w:right="105" w:firstLine="86"/>
                    <w:rPr>
                      <w:sz w:val="20"/>
                      <w:szCs w:val="20"/>
                    </w:rPr>
                  </w:pPr>
                  <w:r>
                    <w:rPr>
                      <w:spacing w:val="8"/>
                      <w:sz w:val="20"/>
                      <w:szCs w:val="20"/>
                    </w:rPr>
                    <w:t>Ⅲ类功能</w:t>
                  </w:r>
                  <w:r>
                    <w:rPr>
                      <w:sz w:val="20"/>
                      <w:szCs w:val="20"/>
                    </w:rPr>
                    <w:t xml:space="preserve">  </w:t>
                  </w:r>
                  <w:r>
                    <w:rPr>
                      <w:spacing w:val="4"/>
                      <w:sz w:val="20"/>
                      <w:szCs w:val="20"/>
                    </w:rPr>
                    <w:t>区、主导功</w:t>
                  </w:r>
                </w:p>
                <w:p w14:paraId="25E124B7">
                  <w:pPr>
                    <w:pStyle w:val="6"/>
                    <w:spacing w:line="227" w:lineRule="auto"/>
                    <w:ind w:left="224"/>
                    <w:rPr>
                      <w:sz w:val="20"/>
                      <w:szCs w:val="20"/>
                    </w:rPr>
                  </w:pPr>
                  <w:r>
                    <w:rPr>
                      <w:spacing w:val="5"/>
                      <w:sz w:val="20"/>
                      <w:szCs w:val="20"/>
                    </w:rPr>
                    <w:t>能为农灌</w:t>
                  </w:r>
                </w:p>
                <w:p w14:paraId="6AB15F46">
                  <w:pPr>
                    <w:pStyle w:val="6"/>
                    <w:spacing w:before="27" w:line="228" w:lineRule="auto"/>
                    <w:ind w:left="322"/>
                    <w:rPr>
                      <w:sz w:val="20"/>
                      <w:szCs w:val="20"/>
                    </w:rPr>
                  </w:pPr>
                  <w:r>
                    <w:rPr>
                      <w:spacing w:val="6"/>
                      <w:sz w:val="20"/>
                      <w:szCs w:val="20"/>
                    </w:rPr>
                    <w:t>和防洪</w:t>
                  </w:r>
                </w:p>
              </w:tc>
              <w:tc>
                <w:tcPr>
                  <w:tcW w:w="1184" w:type="dxa"/>
                  <w:vAlign w:val="top"/>
                </w:tcPr>
                <w:p w14:paraId="4A37A6D0">
                  <w:pPr>
                    <w:pStyle w:val="6"/>
                    <w:spacing w:before="87" w:line="228" w:lineRule="auto"/>
                    <w:ind w:left="183"/>
                    <w:rPr>
                      <w:sz w:val="20"/>
                      <w:szCs w:val="20"/>
                    </w:rPr>
                  </w:pPr>
                  <w:r>
                    <w:rPr>
                      <w:spacing w:val="6"/>
                      <w:sz w:val="20"/>
                      <w:szCs w:val="20"/>
                    </w:rPr>
                    <w:t>《地表水</w:t>
                  </w:r>
                </w:p>
                <w:p w14:paraId="79F15F8C">
                  <w:pPr>
                    <w:pStyle w:val="6"/>
                    <w:spacing w:before="25" w:line="228" w:lineRule="auto"/>
                    <w:ind w:left="178"/>
                    <w:rPr>
                      <w:sz w:val="20"/>
                      <w:szCs w:val="20"/>
                    </w:rPr>
                  </w:pPr>
                  <w:r>
                    <w:rPr>
                      <w:spacing w:val="7"/>
                      <w:sz w:val="20"/>
                      <w:szCs w:val="20"/>
                    </w:rPr>
                    <w:t>环境质量</w:t>
                  </w:r>
                </w:p>
                <w:p w14:paraId="4DFF2AA7">
                  <w:pPr>
                    <w:pStyle w:val="6"/>
                    <w:spacing w:before="24" w:line="228" w:lineRule="auto"/>
                    <w:ind w:left="284"/>
                    <w:rPr>
                      <w:sz w:val="20"/>
                      <w:szCs w:val="20"/>
                    </w:rPr>
                  </w:pPr>
                  <w:r>
                    <w:rPr>
                      <w:spacing w:val="2"/>
                      <w:sz w:val="20"/>
                      <w:szCs w:val="20"/>
                    </w:rPr>
                    <w:t>标准》</w:t>
                  </w:r>
                </w:p>
                <w:p w14:paraId="2FBBAB5A">
                  <w:pPr>
                    <w:pStyle w:val="6"/>
                    <w:spacing w:before="25" w:line="241" w:lineRule="auto"/>
                    <w:ind w:left="147"/>
                    <w:rPr>
                      <w:rFonts w:ascii="Times New Roman" w:hAnsi="Times New Roman" w:eastAsia="Times New Roman" w:cs="Times New Roman"/>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3838</w:t>
                  </w:r>
                </w:p>
                <w:p w14:paraId="7E689BF6">
                  <w:pPr>
                    <w:pStyle w:val="6"/>
                    <w:spacing w:before="12" w:line="252" w:lineRule="auto"/>
                    <w:ind w:left="283" w:right="135" w:hanging="138"/>
                    <w:rPr>
                      <w:sz w:val="20"/>
                      <w:szCs w:val="20"/>
                    </w:rPr>
                  </w:pPr>
                  <w:r>
                    <w:rPr>
                      <w:rFonts w:ascii="Times New Roman" w:hAnsi="Times New Roman" w:eastAsia="Times New Roman" w:cs="Times New Roman"/>
                      <w:spacing w:val="4"/>
                      <w:sz w:val="20"/>
                      <w:szCs w:val="20"/>
                    </w:rPr>
                    <w:t>-2002</w:t>
                  </w:r>
                  <w:r>
                    <w:rPr>
                      <w:spacing w:val="4"/>
                      <w:sz w:val="20"/>
                      <w:szCs w:val="20"/>
                    </w:rPr>
                    <w:t>）Ⅲ</w:t>
                  </w:r>
                  <w:r>
                    <w:rPr>
                      <w:spacing w:val="3"/>
                      <w:sz w:val="20"/>
                      <w:szCs w:val="20"/>
                    </w:rPr>
                    <w:t xml:space="preserve"> </w:t>
                  </w:r>
                  <w:r>
                    <w:rPr>
                      <w:spacing w:val="6"/>
                      <w:sz w:val="20"/>
                      <w:szCs w:val="20"/>
                    </w:rPr>
                    <w:t>类标准</w:t>
                  </w:r>
                </w:p>
              </w:tc>
              <w:tc>
                <w:tcPr>
                  <w:tcW w:w="801" w:type="dxa"/>
                  <w:vAlign w:val="top"/>
                </w:tcPr>
                <w:p w14:paraId="637EEBCC">
                  <w:pPr>
                    <w:spacing w:line="292" w:lineRule="auto"/>
                    <w:rPr>
                      <w:rFonts w:ascii="Arial"/>
                      <w:sz w:val="21"/>
                    </w:rPr>
                  </w:pPr>
                </w:p>
                <w:p w14:paraId="566EBB11">
                  <w:pPr>
                    <w:pStyle w:val="6"/>
                    <w:spacing w:before="65" w:line="230" w:lineRule="auto"/>
                    <w:ind w:left="120"/>
                    <w:rPr>
                      <w:sz w:val="20"/>
                      <w:szCs w:val="20"/>
                    </w:rPr>
                  </w:pPr>
                  <w:r>
                    <w:rPr>
                      <w:spacing w:val="1"/>
                      <w:sz w:val="20"/>
                      <w:szCs w:val="20"/>
                    </w:rPr>
                    <w:t>西南、</w:t>
                  </w:r>
                </w:p>
                <w:p w14:paraId="168CDB4F">
                  <w:pPr>
                    <w:pStyle w:val="6"/>
                    <w:spacing w:before="22" w:line="230" w:lineRule="auto"/>
                    <w:ind w:left="199"/>
                    <w:rPr>
                      <w:sz w:val="20"/>
                      <w:szCs w:val="20"/>
                    </w:rPr>
                  </w:pPr>
                  <w:r>
                    <w:rPr>
                      <w:spacing w:val="-1"/>
                      <w:sz w:val="20"/>
                      <w:szCs w:val="20"/>
                    </w:rPr>
                    <w:t>南、</w:t>
                  </w:r>
                </w:p>
                <w:p w14:paraId="1C8B74A2">
                  <w:pPr>
                    <w:pStyle w:val="6"/>
                    <w:spacing w:before="24" w:line="256" w:lineRule="auto"/>
                    <w:ind w:left="305" w:right="103" w:hanging="183"/>
                    <w:rPr>
                      <w:sz w:val="20"/>
                      <w:szCs w:val="20"/>
                    </w:rPr>
                  </w:pPr>
                  <w:r>
                    <w:rPr>
                      <w:spacing w:val="-10"/>
                      <w:sz w:val="20"/>
                      <w:szCs w:val="20"/>
                    </w:rPr>
                    <w:t>东、东</w:t>
                  </w:r>
                  <w:r>
                    <w:rPr>
                      <w:sz w:val="20"/>
                      <w:szCs w:val="20"/>
                    </w:rPr>
                    <w:t xml:space="preserve"> 北</w:t>
                  </w:r>
                </w:p>
              </w:tc>
              <w:tc>
                <w:tcPr>
                  <w:tcW w:w="804" w:type="dxa"/>
                  <w:vAlign w:val="top"/>
                </w:tcPr>
                <w:p w14:paraId="65B1DA0C">
                  <w:pPr>
                    <w:spacing w:line="312" w:lineRule="auto"/>
                    <w:rPr>
                      <w:rFonts w:ascii="Arial"/>
                      <w:sz w:val="21"/>
                    </w:rPr>
                  </w:pPr>
                </w:p>
                <w:p w14:paraId="3CE28654">
                  <w:pPr>
                    <w:spacing w:line="312" w:lineRule="auto"/>
                    <w:rPr>
                      <w:rFonts w:ascii="Arial"/>
                      <w:sz w:val="21"/>
                    </w:rPr>
                  </w:pPr>
                </w:p>
                <w:p w14:paraId="2ECE8B0D">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20-20</w:t>
                  </w:r>
                </w:p>
                <w:p w14:paraId="4F0688FB">
                  <w:pPr>
                    <w:spacing w:before="5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0m</w:t>
                  </w:r>
                </w:p>
              </w:tc>
            </w:tr>
          </w:tbl>
          <w:p w14:paraId="5970F0F0">
            <w:pPr>
              <w:pStyle w:val="6"/>
              <w:spacing w:before="147" w:line="220" w:lineRule="auto"/>
              <w:ind w:left="315"/>
              <w:rPr>
                <w:sz w:val="18"/>
                <w:szCs w:val="18"/>
              </w:rPr>
            </w:pPr>
            <w:r>
              <w:rPr>
                <w:b/>
                <w:bCs/>
                <w:spacing w:val="-2"/>
                <w:sz w:val="18"/>
                <w:szCs w:val="18"/>
              </w:rPr>
              <w:t>注：取项目建设单位宗地红线中心（</w:t>
            </w:r>
            <w:r>
              <w:rPr>
                <w:rFonts w:ascii="Times New Roman" w:hAnsi="Times New Roman" w:eastAsia="Times New Roman" w:cs="Times New Roman"/>
                <w:b/>
                <w:bCs/>
                <w:spacing w:val="-2"/>
                <w:sz w:val="18"/>
                <w:szCs w:val="18"/>
              </w:rPr>
              <w:t>E115</w:t>
            </w:r>
            <w:r>
              <w:rPr>
                <w:rFonts w:ascii="Times New Roman" w:hAnsi="Times New Roman" w:eastAsia="Times New Roman" w:cs="Times New Roman"/>
                <w:b/>
                <w:bCs/>
                <w:spacing w:val="-25"/>
                <w:sz w:val="18"/>
                <w:szCs w:val="18"/>
              </w:rPr>
              <w:t xml:space="preserve"> </w:t>
            </w:r>
            <w:r>
              <w:rPr>
                <w:b/>
                <w:bCs/>
                <w:spacing w:val="-2"/>
                <w:sz w:val="18"/>
                <w:szCs w:val="18"/>
              </w:rPr>
              <w:t>°</w:t>
            </w:r>
            <w:r>
              <w:rPr>
                <w:rFonts w:ascii="Times New Roman" w:hAnsi="Times New Roman" w:eastAsia="Times New Roman" w:cs="Times New Roman"/>
                <w:b/>
                <w:bCs/>
                <w:spacing w:val="-2"/>
                <w:sz w:val="18"/>
                <w:szCs w:val="18"/>
              </w:rPr>
              <w:t>27'41.912"</w:t>
            </w:r>
            <w:r>
              <w:rPr>
                <w:rFonts w:ascii="Times New Roman" w:hAnsi="Times New Roman" w:eastAsia="Times New Roman" w:cs="Times New Roman"/>
                <w:b/>
                <w:bCs/>
                <w:spacing w:val="-27"/>
                <w:sz w:val="18"/>
                <w:szCs w:val="18"/>
              </w:rPr>
              <w:t xml:space="preserve"> </w:t>
            </w:r>
            <w:r>
              <w:rPr>
                <w:b/>
                <w:bCs/>
                <w:spacing w:val="-2"/>
                <w:sz w:val="18"/>
                <w:szCs w:val="18"/>
              </w:rPr>
              <w:t>、</w:t>
            </w:r>
            <w:r>
              <w:rPr>
                <w:rFonts w:ascii="Times New Roman" w:hAnsi="Times New Roman" w:eastAsia="Times New Roman" w:cs="Times New Roman"/>
                <w:b/>
                <w:bCs/>
                <w:spacing w:val="-2"/>
                <w:sz w:val="18"/>
                <w:szCs w:val="18"/>
              </w:rPr>
              <w:t>N22</w:t>
            </w:r>
            <w:r>
              <w:rPr>
                <w:rFonts w:ascii="Times New Roman" w:hAnsi="Times New Roman" w:eastAsia="Times New Roman" w:cs="Times New Roman"/>
                <w:b/>
                <w:bCs/>
                <w:spacing w:val="-21"/>
                <w:sz w:val="18"/>
                <w:szCs w:val="18"/>
              </w:rPr>
              <w:t xml:space="preserve"> </w:t>
            </w:r>
            <w:r>
              <w:rPr>
                <w:b/>
                <w:bCs/>
                <w:spacing w:val="-2"/>
                <w:sz w:val="18"/>
                <w:szCs w:val="18"/>
              </w:rPr>
              <w:t>°</w:t>
            </w:r>
            <w:r>
              <w:rPr>
                <w:rFonts w:ascii="Times New Roman" w:hAnsi="Times New Roman" w:eastAsia="Times New Roman" w:cs="Times New Roman"/>
                <w:b/>
                <w:bCs/>
                <w:spacing w:val="-3"/>
                <w:sz w:val="18"/>
                <w:szCs w:val="18"/>
              </w:rPr>
              <w:t>57'42.567"</w:t>
            </w:r>
            <w:r>
              <w:rPr>
                <w:b/>
                <w:bCs/>
                <w:spacing w:val="-3"/>
                <w:sz w:val="18"/>
                <w:szCs w:val="18"/>
              </w:rPr>
              <w:t>）为坐标原点（</w:t>
            </w:r>
            <w:r>
              <w:rPr>
                <w:rFonts w:ascii="Times New Roman" w:hAnsi="Times New Roman" w:eastAsia="Times New Roman" w:cs="Times New Roman"/>
                <w:b/>
                <w:bCs/>
                <w:spacing w:val="-3"/>
                <w:sz w:val="18"/>
                <w:szCs w:val="18"/>
              </w:rPr>
              <w:t>0</w:t>
            </w:r>
            <w:r>
              <w:rPr>
                <w:rFonts w:ascii="Times New Roman" w:hAnsi="Times New Roman" w:eastAsia="Times New Roman" w:cs="Times New Roman"/>
                <w:b/>
                <w:bCs/>
                <w:spacing w:val="-24"/>
                <w:sz w:val="18"/>
                <w:szCs w:val="18"/>
              </w:rPr>
              <w:t xml:space="preserve"> </w:t>
            </w:r>
            <w:r>
              <w:rPr>
                <w:b/>
                <w:bCs/>
                <w:spacing w:val="-3"/>
                <w:sz w:val="18"/>
                <w:szCs w:val="18"/>
              </w:rPr>
              <w:t>，</w:t>
            </w:r>
            <w:r>
              <w:rPr>
                <w:rFonts w:ascii="Times New Roman" w:hAnsi="Times New Roman" w:eastAsia="Times New Roman" w:cs="Times New Roman"/>
                <w:b/>
                <w:bCs/>
                <w:spacing w:val="-3"/>
                <w:sz w:val="18"/>
                <w:szCs w:val="18"/>
              </w:rPr>
              <w:t>0</w:t>
            </w:r>
            <w:r>
              <w:rPr>
                <w:b/>
                <w:bCs/>
                <w:spacing w:val="-3"/>
                <w:sz w:val="18"/>
                <w:szCs w:val="18"/>
              </w:rPr>
              <w:t>）。</w:t>
            </w:r>
          </w:p>
        </w:tc>
      </w:tr>
    </w:tbl>
    <w:p w14:paraId="79C4CAB9">
      <w:pPr>
        <w:rPr>
          <w:rFonts w:ascii="Arial"/>
          <w:sz w:val="21"/>
        </w:rPr>
      </w:pPr>
    </w:p>
    <w:p w14:paraId="7A98AEA3">
      <w:pPr>
        <w:rPr>
          <w:rFonts w:ascii="Arial" w:hAnsi="Arial" w:eastAsia="Arial" w:cs="Arial"/>
          <w:sz w:val="21"/>
          <w:szCs w:val="21"/>
        </w:rPr>
        <w:sectPr>
          <w:footerReference r:id="rId55" w:type="default"/>
          <w:pgSz w:w="11907" w:h="16840"/>
          <w:pgMar w:top="400" w:right="1449" w:bottom="1240" w:left="1448" w:header="0" w:footer="1077" w:gutter="0"/>
          <w:cols w:space="720" w:num="1"/>
        </w:sectPr>
      </w:pPr>
    </w:p>
    <w:p w14:paraId="64A0FC0A">
      <w:pPr>
        <w:spacing w:before="19"/>
      </w:pPr>
    </w:p>
    <w:p w14:paraId="5BF7AA14">
      <w:pPr>
        <w:spacing w:before="19"/>
      </w:pPr>
    </w:p>
    <w:p w14:paraId="5AEF7233">
      <w:pPr>
        <w:spacing w:before="19"/>
      </w:pPr>
    </w:p>
    <w:p w14:paraId="6B090FCE">
      <w:pPr>
        <w:spacing w:before="18"/>
      </w:pPr>
    </w:p>
    <w:p w14:paraId="55DF7F16">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24"/>
        <w:gridCol w:w="1476"/>
        <w:gridCol w:w="1414"/>
        <w:gridCol w:w="1578"/>
        <w:gridCol w:w="910"/>
        <w:gridCol w:w="1645"/>
        <w:gridCol w:w="905"/>
        <w:gridCol w:w="134"/>
      </w:tblGrid>
      <w:tr w14:paraId="6749B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5" w:hRule="atLeast"/>
        </w:trPr>
        <w:tc>
          <w:tcPr>
            <w:tcW w:w="808" w:type="dxa"/>
            <w:vMerge w:val="restart"/>
            <w:tcBorders>
              <w:top w:val="single" w:color="000000" w:sz="6" w:space="0"/>
              <w:left w:val="single" w:color="000000" w:sz="6" w:space="0"/>
              <w:bottom w:val="nil"/>
            </w:tcBorders>
            <w:vAlign w:val="top"/>
          </w:tcPr>
          <w:p w14:paraId="736B1D03">
            <w:pPr>
              <w:spacing w:line="241" w:lineRule="auto"/>
              <w:rPr>
                <w:rFonts w:ascii="Arial"/>
                <w:sz w:val="21"/>
              </w:rPr>
            </w:pPr>
          </w:p>
          <w:p w14:paraId="52C7FD40">
            <w:pPr>
              <w:spacing w:line="241" w:lineRule="auto"/>
              <w:rPr>
                <w:rFonts w:ascii="Arial"/>
                <w:sz w:val="21"/>
              </w:rPr>
            </w:pPr>
          </w:p>
          <w:p w14:paraId="1794E681">
            <w:pPr>
              <w:spacing w:line="241" w:lineRule="auto"/>
              <w:rPr>
                <w:rFonts w:ascii="Arial"/>
                <w:sz w:val="21"/>
              </w:rPr>
            </w:pPr>
          </w:p>
          <w:p w14:paraId="4562E808">
            <w:pPr>
              <w:spacing w:line="241" w:lineRule="auto"/>
              <w:rPr>
                <w:rFonts w:ascii="Arial"/>
                <w:sz w:val="21"/>
              </w:rPr>
            </w:pPr>
          </w:p>
          <w:p w14:paraId="028346B7">
            <w:pPr>
              <w:spacing w:line="241" w:lineRule="auto"/>
              <w:rPr>
                <w:rFonts w:ascii="Arial"/>
                <w:sz w:val="21"/>
              </w:rPr>
            </w:pPr>
          </w:p>
          <w:p w14:paraId="557DA7E3">
            <w:pPr>
              <w:spacing w:line="241" w:lineRule="auto"/>
              <w:rPr>
                <w:rFonts w:ascii="Arial"/>
                <w:sz w:val="21"/>
              </w:rPr>
            </w:pPr>
          </w:p>
          <w:p w14:paraId="70F5D450">
            <w:pPr>
              <w:spacing w:line="241" w:lineRule="auto"/>
              <w:rPr>
                <w:rFonts w:ascii="Arial"/>
                <w:sz w:val="21"/>
              </w:rPr>
            </w:pPr>
          </w:p>
          <w:p w14:paraId="3237E214">
            <w:pPr>
              <w:spacing w:line="242" w:lineRule="auto"/>
              <w:rPr>
                <w:rFonts w:ascii="Arial"/>
                <w:sz w:val="21"/>
              </w:rPr>
            </w:pPr>
          </w:p>
          <w:p w14:paraId="1C279DE6">
            <w:pPr>
              <w:spacing w:line="242" w:lineRule="auto"/>
              <w:rPr>
                <w:rFonts w:ascii="Arial"/>
                <w:sz w:val="21"/>
              </w:rPr>
            </w:pPr>
          </w:p>
          <w:p w14:paraId="3813170B">
            <w:pPr>
              <w:spacing w:line="242" w:lineRule="auto"/>
              <w:rPr>
                <w:rFonts w:ascii="Arial"/>
                <w:sz w:val="21"/>
              </w:rPr>
            </w:pPr>
          </w:p>
          <w:p w14:paraId="4F67D96D">
            <w:pPr>
              <w:spacing w:line="242" w:lineRule="auto"/>
              <w:rPr>
                <w:rFonts w:ascii="Arial"/>
                <w:sz w:val="21"/>
              </w:rPr>
            </w:pPr>
          </w:p>
          <w:p w14:paraId="047B3FDC">
            <w:pPr>
              <w:spacing w:line="242" w:lineRule="auto"/>
              <w:rPr>
                <w:rFonts w:ascii="Arial"/>
                <w:sz w:val="21"/>
              </w:rPr>
            </w:pPr>
          </w:p>
          <w:p w14:paraId="476755C1">
            <w:pPr>
              <w:spacing w:line="242" w:lineRule="auto"/>
              <w:rPr>
                <w:rFonts w:ascii="Arial"/>
                <w:sz w:val="21"/>
              </w:rPr>
            </w:pPr>
          </w:p>
          <w:p w14:paraId="746DFFD2">
            <w:pPr>
              <w:spacing w:line="242" w:lineRule="auto"/>
              <w:rPr>
                <w:rFonts w:ascii="Arial"/>
                <w:sz w:val="21"/>
              </w:rPr>
            </w:pPr>
          </w:p>
          <w:p w14:paraId="22863EC4">
            <w:pPr>
              <w:spacing w:line="242" w:lineRule="auto"/>
              <w:rPr>
                <w:rFonts w:ascii="Arial"/>
                <w:sz w:val="21"/>
              </w:rPr>
            </w:pPr>
          </w:p>
          <w:p w14:paraId="3C94DF1F">
            <w:pPr>
              <w:spacing w:line="242" w:lineRule="auto"/>
              <w:rPr>
                <w:rFonts w:ascii="Arial"/>
                <w:sz w:val="21"/>
              </w:rPr>
            </w:pPr>
          </w:p>
          <w:p w14:paraId="0227EC40">
            <w:pPr>
              <w:spacing w:line="242" w:lineRule="auto"/>
              <w:rPr>
                <w:rFonts w:ascii="Arial"/>
                <w:sz w:val="21"/>
              </w:rPr>
            </w:pPr>
          </w:p>
          <w:p w14:paraId="2ACFA5CD">
            <w:pPr>
              <w:spacing w:line="242" w:lineRule="auto"/>
              <w:rPr>
                <w:rFonts w:ascii="Arial"/>
                <w:sz w:val="21"/>
              </w:rPr>
            </w:pPr>
          </w:p>
          <w:p w14:paraId="23F58647">
            <w:pPr>
              <w:spacing w:line="242" w:lineRule="auto"/>
              <w:rPr>
                <w:rFonts w:ascii="Arial"/>
                <w:sz w:val="21"/>
              </w:rPr>
            </w:pPr>
          </w:p>
          <w:p w14:paraId="43651EF0">
            <w:pPr>
              <w:spacing w:line="242" w:lineRule="auto"/>
              <w:rPr>
                <w:rFonts w:ascii="Arial"/>
                <w:sz w:val="21"/>
              </w:rPr>
            </w:pPr>
          </w:p>
          <w:p w14:paraId="6C3DEC3C">
            <w:pPr>
              <w:spacing w:line="242" w:lineRule="auto"/>
              <w:rPr>
                <w:rFonts w:ascii="Arial"/>
                <w:sz w:val="21"/>
              </w:rPr>
            </w:pPr>
          </w:p>
          <w:p w14:paraId="3EDBEA8D">
            <w:pPr>
              <w:spacing w:line="242" w:lineRule="auto"/>
              <w:rPr>
                <w:rFonts w:ascii="Arial"/>
                <w:sz w:val="21"/>
              </w:rPr>
            </w:pPr>
          </w:p>
          <w:p w14:paraId="4853B0E2">
            <w:pPr>
              <w:spacing w:line="242" w:lineRule="auto"/>
              <w:rPr>
                <w:rFonts w:ascii="Arial"/>
                <w:sz w:val="21"/>
              </w:rPr>
            </w:pPr>
          </w:p>
          <w:p w14:paraId="0319BF22">
            <w:pPr>
              <w:spacing w:line="242" w:lineRule="auto"/>
              <w:rPr>
                <w:rFonts w:ascii="Arial"/>
                <w:sz w:val="21"/>
              </w:rPr>
            </w:pPr>
          </w:p>
          <w:p w14:paraId="2ED02EC4">
            <w:pPr>
              <w:pStyle w:val="6"/>
              <w:spacing w:before="78" w:line="220" w:lineRule="auto"/>
              <w:ind w:left="165"/>
            </w:pPr>
            <w:r>
              <w:rPr>
                <w:spacing w:val="-6"/>
              </w:rPr>
              <w:t>污染</w:t>
            </w:r>
          </w:p>
          <w:p w14:paraId="7AF56FAE">
            <w:pPr>
              <w:pStyle w:val="6"/>
              <w:spacing w:before="25" w:line="221" w:lineRule="auto"/>
              <w:ind w:left="163"/>
            </w:pPr>
            <w:r>
              <w:rPr>
                <w:spacing w:val="-5"/>
              </w:rPr>
              <w:t>物排</w:t>
            </w:r>
          </w:p>
          <w:p w14:paraId="5A4AC8F5">
            <w:pPr>
              <w:pStyle w:val="6"/>
              <w:spacing w:before="22" w:line="220" w:lineRule="auto"/>
              <w:ind w:left="163"/>
            </w:pPr>
            <w:r>
              <w:rPr>
                <w:spacing w:val="-5"/>
              </w:rPr>
              <w:t>放控</w:t>
            </w:r>
          </w:p>
          <w:p w14:paraId="32A9F155">
            <w:pPr>
              <w:pStyle w:val="6"/>
              <w:spacing w:before="25" w:line="243" w:lineRule="auto"/>
              <w:ind w:left="284" w:right="163" w:hanging="120"/>
            </w:pPr>
            <w:r>
              <w:rPr>
                <w:spacing w:val="-6"/>
              </w:rPr>
              <w:t>制标</w:t>
            </w:r>
            <w:r>
              <w:t xml:space="preserve"> 准</w:t>
            </w:r>
          </w:p>
        </w:tc>
        <w:tc>
          <w:tcPr>
            <w:tcW w:w="8186" w:type="dxa"/>
            <w:gridSpan w:val="8"/>
            <w:tcBorders>
              <w:top w:val="single" w:color="000000" w:sz="6" w:space="0"/>
              <w:right w:val="single" w:color="000000" w:sz="6" w:space="0"/>
            </w:tcBorders>
            <w:vAlign w:val="top"/>
          </w:tcPr>
          <w:p w14:paraId="1B91CB93">
            <w:pPr>
              <w:pStyle w:val="6"/>
              <w:spacing w:before="159" w:line="220" w:lineRule="auto"/>
              <w:ind w:left="608"/>
            </w:pPr>
            <w:r>
              <w:rPr>
                <w:rFonts w:ascii="Times New Roman" w:hAnsi="Times New Roman" w:eastAsia="Times New Roman" w:cs="Times New Roman"/>
                <w:spacing w:val="-14"/>
              </w:rPr>
              <w:t>1</w:t>
            </w:r>
            <w:r>
              <w:rPr>
                <w:rFonts w:ascii="Times New Roman" w:hAnsi="Times New Roman" w:eastAsia="Times New Roman" w:cs="Times New Roman"/>
                <w:spacing w:val="-34"/>
              </w:rPr>
              <w:t xml:space="preserve"> </w:t>
            </w:r>
            <w:r>
              <w:rPr>
                <w:spacing w:val="-14"/>
              </w:rPr>
              <w:t>、废气</w:t>
            </w:r>
          </w:p>
          <w:p w14:paraId="2AE5A5E6">
            <w:pPr>
              <w:pStyle w:val="6"/>
              <w:spacing w:before="181" w:line="219" w:lineRule="auto"/>
              <w:ind w:left="600"/>
            </w:pPr>
            <w:r>
              <w:rPr>
                <w:spacing w:val="-2"/>
              </w:rPr>
              <w:t>（</w:t>
            </w:r>
            <w:r>
              <w:rPr>
                <w:rFonts w:ascii="Times New Roman" w:hAnsi="Times New Roman" w:eastAsia="Times New Roman" w:cs="Times New Roman"/>
                <w:spacing w:val="-2"/>
              </w:rPr>
              <w:t>1</w:t>
            </w:r>
            <w:r>
              <w:rPr>
                <w:spacing w:val="-2"/>
              </w:rPr>
              <w:t>）有机废气执行标准</w:t>
            </w:r>
          </w:p>
          <w:p w14:paraId="0FB0F2CC">
            <w:pPr>
              <w:pStyle w:val="6"/>
              <w:spacing w:before="183" w:line="360" w:lineRule="auto"/>
              <w:ind w:left="111" w:right="103" w:firstLine="478"/>
            </w:pPr>
            <w:r>
              <w:rPr>
                <w:spacing w:val="1"/>
              </w:rPr>
              <w:t>注胶生产过程中，配胶、抽真空和后烘干等过程会产生挥发性有机废气</w:t>
            </w:r>
            <w:r>
              <w:rPr>
                <w:spacing w:val="11"/>
              </w:rPr>
              <w:t xml:space="preserve"> </w:t>
            </w:r>
            <w:r>
              <w:rPr>
                <w:spacing w:val="3"/>
              </w:rPr>
              <w:t>（以</w:t>
            </w:r>
            <w:r>
              <w:rPr>
                <w:rFonts w:ascii="Times New Roman" w:hAnsi="Times New Roman" w:eastAsia="Times New Roman" w:cs="Times New Roman"/>
              </w:rPr>
              <w:t>TVOC</w:t>
            </w:r>
            <w:r>
              <w:rPr>
                <w:rFonts w:ascii="Times New Roman" w:hAnsi="Times New Roman" w:eastAsia="Times New Roman" w:cs="Times New Roman"/>
                <w:spacing w:val="3"/>
              </w:rPr>
              <w:t xml:space="preserve"> </w:t>
            </w:r>
            <w:r>
              <w:rPr>
                <w:spacing w:val="3"/>
              </w:rPr>
              <w:t>计</w:t>
            </w:r>
            <w:r>
              <w:rPr>
                <w:spacing w:val="12"/>
              </w:rPr>
              <w:t>），</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有组织排放执行广东省地方标准《固定污染源挥发</w:t>
            </w:r>
            <w:r>
              <w:rPr>
                <w:spacing w:val="1"/>
              </w:rPr>
              <w:t xml:space="preserve"> </w:t>
            </w:r>
            <w:r>
              <w:t>性有机物综合排放标准》（</w:t>
            </w:r>
            <w:r>
              <w:rPr>
                <w:rFonts w:ascii="Times New Roman" w:hAnsi="Times New Roman" w:eastAsia="Times New Roman" w:cs="Times New Roman"/>
              </w:rPr>
              <w:t>DB44/2367-2022</w:t>
            </w:r>
            <w:r>
              <w:t>）中表</w:t>
            </w:r>
            <w:r>
              <w:rPr>
                <w:spacing w:val="-20"/>
              </w:rPr>
              <w:t xml:space="preserve"> </w:t>
            </w:r>
            <w:r>
              <w:rPr>
                <w:rFonts w:ascii="Times New Roman" w:hAnsi="Times New Roman" w:eastAsia="Times New Roman" w:cs="Times New Roman"/>
              </w:rPr>
              <w:t xml:space="preserve">1 </w:t>
            </w:r>
            <w:r>
              <w:t xml:space="preserve">排放限值，厂区内无组 </w:t>
            </w:r>
            <w:r>
              <w:rPr>
                <w:spacing w:val="5"/>
              </w:rPr>
              <w:t>织</w:t>
            </w:r>
            <w:r>
              <w:rPr>
                <w:spacing w:val="-58"/>
              </w:rPr>
              <w:t xml:space="preserve"> </w:t>
            </w:r>
            <w:r>
              <w:rPr>
                <w:rFonts w:ascii="Times New Roman" w:hAnsi="Times New Roman" w:eastAsia="Times New Roman" w:cs="Times New Roman"/>
              </w:rPr>
              <w:t>NMHC</w:t>
            </w:r>
            <w:r>
              <w:rPr>
                <w:rFonts w:ascii="Times New Roman" w:hAnsi="Times New Roman" w:eastAsia="Times New Roman" w:cs="Times New Roman"/>
                <w:spacing w:val="18"/>
              </w:rPr>
              <w:t xml:space="preserve"> </w:t>
            </w:r>
            <w:r>
              <w:rPr>
                <w:spacing w:val="5"/>
              </w:rPr>
              <w:t>排放执行广东省地方标准《固定污染源挥发性有机物</w:t>
            </w:r>
            <w:r>
              <w:rPr>
                <w:spacing w:val="4"/>
              </w:rPr>
              <w:t>综合排放标</w:t>
            </w:r>
            <w:r>
              <w:t xml:space="preserve"> </w:t>
            </w:r>
            <w:r>
              <w:rPr>
                <w:spacing w:val="-1"/>
              </w:rPr>
              <w:t>准》（</w:t>
            </w:r>
            <w:r>
              <w:rPr>
                <w:rFonts w:ascii="Times New Roman" w:hAnsi="Times New Roman" w:eastAsia="Times New Roman" w:cs="Times New Roman"/>
                <w:spacing w:val="-1"/>
              </w:rPr>
              <w:t>DB44/2367-2022</w:t>
            </w:r>
            <w:r>
              <w:rPr>
                <w:spacing w:val="-1"/>
              </w:rPr>
              <w:t>）中表</w:t>
            </w:r>
            <w:r>
              <w:rPr>
                <w:spacing w:val="-38"/>
              </w:rPr>
              <w:t xml:space="preserve"> </w:t>
            </w:r>
            <w:r>
              <w:rPr>
                <w:rFonts w:ascii="Times New Roman" w:hAnsi="Times New Roman" w:eastAsia="Times New Roman" w:cs="Times New Roman"/>
                <w:spacing w:val="-1"/>
              </w:rPr>
              <w:t xml:space="preserve">3 </w:t>
            </w:r>
            <w:r>
              <w:rPr>
                <w:spacing w:val="-1"/>
              </w:rPr>
              <w:t>排放限值，标准值详见下表：</w:t>
            </w:r>
          </w:p>
          <w:p w14:paraId="553F91E8">
            <w:pPr>
              <w:pStyle w:val="6"/>
              <w:spacing w:before="112" w:line="219" w:lineRule="auto"/>
              <w:ind w:left="2218"/>
            </w:pPr>
            <w:r>
              <w:rPr>
                <w:b/>
                <w:bCs/>
                <w:spacing w:val="-2"/>
              </w:rPr>
              <w:t>表</w:t>
            </w:r>
            <w:r>
              <w:rPr>
                <w:spacing w:val="-51"/>
              </w:rPr>
              <w:t xml:space="preserve"> </w:t>
            </w:r>
            <w:r>
              <w:rPr>
                <w:rFonts w:ascii="Times New Roman" w:hAnsi="Times New Roman" w:eastAsia="Times New Roman" w:cs="Times New Roman"/>
                <w:b/>
                <w:bCs/>
                <w:spacing w:val="-2"/>
              </w:rPr>
              <w:t xml:space="preserve">3-7    </w:t>
            </w:r>
            <w:r>
              <w:rPr>
                <w:b/>
                <w:bCs/>
                <w:spacing w:val="-2"/>
              </w:rPr>
              <w:t>项目挥发性有机物排放限值</w:t>
            </w:r>
          </w:p>
          <w:p w14:paraId="6B065028">
            <w:pPr>
              <w:spacing w:line="147" w:lineRule="exact"/>
            </w:pPr>
          </w:p>
          <w:tbl>
            <w:tblPr>
              <w:tblStyle w:val="5"/>
              <w:tblW w:w="7591" w:type="dxa"/>
              <w:tblInd w:w="2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7"/>
              <w:gridCol w:w="2117"/>
              <w:gridCol w:w="1249"/>
              <w:gridCol w:w="1740"/>
              <w:gridCol w:w="1398"/>
            </w:tblGrid>
            <w:tr w14:paraId="56F71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87" w:type="dxa"/>
                  <w:vMerge w:val="restart"/>
                  <w:tcBorders>
                    <w:bottom w:val="nil"/>
                  </w:tcBorders>
                  <w:vAlign w:val="top"/>
                </w:tcPr>
                <w:p w14:paraId="35F48788">
                  <w:pPr>
                    <w:spacing w:line="308" w:lineRule="auto"/>
                    <w:rPr>
                      <w:rFonts w:ascii="Arial"/>
                      <w:sz w:val="21"/>
                    </w:rPr>
                  </w:pPr>
                </w:p>
                <w:p w14:paraId="0106161C">
                  <w:pPr>
                    <w:pStyle w:val="6"/>
                    <w:spacing w:before="65" w:line="228" w:lineRule="auto"/>
                    <w:ind w:left="234"/>
                    <w:rPr>
                      <w:sz w:val="20"/>
                      <w:szCs w:val="20"/>
                    </w:rPr>
                  </w:pPr>
                  <w:r>
                    <w:rPr>
                      <w:spacing w:val="6"/>
                      <w:sz w:val="20"/>
                      <w:szCs w:val="20"/>
                    </w:rPr>
                    <w:t>污染物</w:t>
                  </w:r>
                </w:p>
              </w:tc>
              <w:tc>
                <w:tcPr>
                  <w:tcW w:w="2117" w:type="dxa"/>
                  <w:vAlign w:val="top"/>
                </w:tcPr>
                <w:p w14:paraId="3741040B">
                  <w:pPr>
                    <w:pStyle w:val="6"/>
                    <w:spacing w:before="99" w:line="228" w:lineRule="auto"/>
                    <w:ind w:left="118"/>
                    <w:rPr>
                      <w:sz w:val="20"/>
                      <w:szCs w:val="20"/>
                    </w:rPr>
                  </w:pPr>
                  <w:r>
                    <w:rPr>
                      <w:spacing w:val="8"/>
                      <w:sz w:val="20"/>
                      <w:szCs w:val="20"/>
                    </w:rPr>
                    <w:t>有组织排放控制要求</w:t>
                  </w:r>
                </w:p>
              </w:tc>
              <w:tc>
                <w:tcPr>
                  <w:tcW w:w="4387" w:type="dxa"/>
                  <w:gridSpan w:val="3"/>
                  <w:vAlign w:val="top"/>
                </w:tcPr>
                <w:p w14:paraId="33BD8D91">
                  <w:pPr>
                    <w:pStyle w:val="6"/>
                    <w:spacing w:before="99" w:line="228" w:lineRule="auto"/>
                    <w:ind w:left="1254"/>
                    <w:rPr>
                      <w:sz w:val="20"/>
                      <w:szCs w:val="20"/>
                    </w:rPr>
                  </w:pPr>
                  <w:r>
                    <w:rPr>
                      <w:spacing w:val="8"/>
                      <w:sz w:val="20"/>
                      <w:szCs w:val="20"/>
                    </w:rPr>
                    <w:t>无组织排放控制要求</w:t>
                  </w:r>
                </w:p>
              </w:tc>
            </w:tr>
            <w:tr w14:paraId="3F0E4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87" w:type="dxa"/>
                  <w:vMerge w:val="continue"/>
                  <w:tcBorders>
                    <w:top w:val="nil"/>
                  </w:tcBorders>
                  <w:vAlign w:val="top"/>
                </w:tcPr>
                <w:p w14:paraId="4205E092">
                  <w:pPr>
                    <w:rPr>
                      <w:rFonts w:ascii="Arial"/>
                      <w:sz w:val="21"/>
                    </w:rPr>
                  </w:pPr>
                </w:p>
              </w:tc>
              <w:tc>
                <w:tcPr>
                  <w:tcW w:w="2117" w:type="dxa"/>
                  <w:vAlign w:val="top"/>
                </w:tcPr>
                <w:p w14:paraId="15B4413F">
                  <w:pPr>
                    <w:pStyle w:val="6"/>
                    <w:spacing w:before="33" w:line="233" w:lineRule="auto"/>
                    <w:ind w:left="796" w:right="218" w:hanging="570"/>
                    <w:rPr>
                      <w:sz w:val="20"/>
                      <w:szCs w:val="20"/>
                    </w:rPr>
                  </w:pPr>
                  <w:r>
                    <w:rPr>
                      <w:spacing w:val="8"/>
                      <w:sz w:val="20"/>
                      <w:szCs w:val="20"/>
                    </w:rPr>
                    <w:t>最高允许浓度限值</w:t>
                  </w:r>
                  <w:r>
                    <w:rPr>
                      <w:spacing w:val="2"/>
                      <w:sz w:val="20"/>
                      <w:szCs w:val="20"/>
                    </w:rPr>
                    <w:t xml:space="preserve"> </w:t>
                  </w:r>
                  <w:r>
                    <w:rPr>
                      <w:sz w:val="20"/>
                      <w:szCs w:val="20"/>
                    </w:rPr>
                    <w:t>mg</w:t>
                  </w:r>
                  <w:r>
                    <w:rPr>
                      <w:spacing w:val="7"/>
                      <w:sz w:val="20"/>
                      <w:szCs w:val="20"/>
                    </w:rPr>
                    <w:t>/m³</w:t>
                  </w:r>
                </w:p>
              </w:tc>
              <w:tc>
                <w:tcPr>
                  <w:tcW w:w="1249" w:type="dxa"/>
                  <w:vAlign w:val="top"/>
                </w:tcPr>
                <w:p w14:paraId="7F1D98A8">
                  <w:pPr>
                    <w:pStyle w:val="6"/>
                    <w:spacing w:before="33" w:line="233" w:lineRule="auto"/>
                    <w:ind w:left="361" w:right="203" w:hanging="150"/>
                    <w:rPr>
                      <w:sz w:val="20"/>
                      <w:szCs w:val="20"/>
                    </w:rPr>
                  </w:pPr>
                  <w:r>
                    <w:rPr>
                      <w:spacing w:val="7"/>
                      <w:sz w:val="20"/>
                      <w:szCs w:val="20"/>
                    </w:rPr>
                    <w:t>排放限值</w:t>
                  </w:r>
                  <w:r>
                    <w:rPr>
                      <w:sz w:val="20"/>
                      <w:szCs w:val="20"/>
                    </w:rPr>
                    <w:t xml:space="preserve"> mg</w:t>
                  </w:r>
                  <w:r>
                    <w:rPr>
                      <w:spacing w:val="7"/>
                      <w:sz w:val="20"/>
                      <w:szCs w:val="20"/>
                    </w:rPr>
                    <w:t>/m³</w:t>
                  </w:r>
                </w:p>
              </w:tc>
              <w:tc>
                <w:tcPr>
                  <w:tcW w:w="1740" w:type="dxa"/>
                  <w:vAlign w:val="top"/>
                </w:tcPr>
                <w:p w14:paraId="096D6857">
                  <w:pPr>
                    <w:pStyle w:val="6"/>
                    <w:spacing w:before="167" w:line="228" w:lineRule="auto"/>
                    <w:ind w:left="472"/>
                    <w:rPr>
                      <w:sz w:val="20"/>
                      <w:szCs w:val="20"/>
                    </w:rPr>
                  </w:pPr>
                  <w:r>
                    <w:rPr>
                      <w:spacing w:val="3"/>
                      <w:sz w:val="20"/>
                      <w:szCs w:val="20"/>
                    </w:rPr>
                    <w:t>限值含义</w:t>
                  </w:r>
                </w:p>
              </w:tc>
              <w:tc>
                <w:tcPr>
                  <w:tcW w:w="1398" w:type="dxa"/>
                  <w:vAlign w:val="top"/>
                </w:tcPr>
                <w:p w14:paraId="32E357EE">
                  <w:pPr>
                    <w:pStyle w:val="6"/>
                    <w:spacing w:before="33" w:line="233" w:lineRule="auto"/>
                    <w:ind w:left="284" w:right="173" w:hanging="104"/>
                    <w:rPr>
                      <w:sz w:val="20"/>
                      <w:szCs w:val="20"/>
                    </w:rPr>
                  </w:pPr>
                  <w:r>
                    <w:rPr>
                      <w:spacing w:val="7"/>
                      <w:sz w:val="20"/>
                      <w:szCs w:val="20"/>
                    </w:rPr>
                    <w:t>无组织排放</w:t>
                  </w:r>
                  <w:r>
                    <w:rPr>
                      <w:spacing w:val="3"/>
                      <w:sz w:val="20"/>
                      <w:szCs w:val="20"/>
                    </w:rPr>
                    <w:t xml:space="preserve"> </w:t>
                  </w:r>
                  <w:r>
                    <w:rPr>
                      <w:spacing w:val="7"/>
                      <w:sz w:val="20"/>
                      <w:szCs w:val="20"/>
                    </w:rPr>
                    <w:t>监控位置</w:t>
                  </w:r>
                </w:p>
              </w:tc>
            </w:tr>
            <w:tr w14:paraId="03B6E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87" w:type="dxa"/>
                  <w:vMerge w:val="restart"/>
                  <w:tcBorders>
                    <w:bottom w:val="nil"/>
                  </w:tcBorders>
                  <w:vAlign w:val="top"/>
                </w:tcPr>
                <w:p w14:paraId="343B4D4B">
                  <w:pPr>
                    <w:spacing w:line="421" w:lineRule="auto"/>
                    <w:rPr>
                      <w:rFonts w:ascii="Arial"/>
                      <w:sz w:val="21"/>
                    </w:rPr>
                  </w:pPr>
                </w:p>
                <w:p w14:paraId="4274469E">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2117" w:type="dxa"/>
                  <w:vMerge w:val="restart"/>
                  <w:tcBorders>
                    <w:bottom w:val="nil"/>
                  </w:tcBorders>
                  <w:vAlign w:val="top"/>
                </w:tcPr>
                <w:p w14:paraId="4FAFB674">
                  <w:pPr>
                    <w:spacing w:line="421" w:lineRule="auto"/>
                    <w:rPr>
                      <w:rFonts w:ascii="Arial"/>
                      <w:sz w:val="21"/>
                    </w:rPr>
                  </w:pPr>
                </w:p>
                <w:p w14:paraId="609577E4">
                  <w:pPr>
                    <w:spacing w:before="57"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49" w:type="dxa"/>
                  <w:vAlign w:val="top"/>
                </w:tcPr>
                <w:p w14:paraId="3406775A">
                  <w:pPr>
                    <w:spacing w:before="205" w:line="195" w:lineRule="auto"/>
                    <w:ind w:left="5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40" w:type="dxa"/>
                  <w:vAlign w:val="top"/>
                </w:tcPr>
                <w:p w14:paraId="35D1D7A2">
                  <w:pPr>
                    <w:pStyle w:val="6"/>
                    <w:spacing w:before="33" w:line="233" w:lineRule="auto"/>
                    <w:ind w:left="350" w:right="133" w:hanging="209"/>
                    <w:rPr>
                      <w:sz w:val="20"/>
                      <w:szCs w:val="20"/>
                    </w:rPr>
                  </w:pPr>
                  <w:r>
                    <w:rPr>
                      <w:spacing w:val="1"/>
                      <w:sz w:val="20"/>
                      <w:szCs w:val="20"/>
                    </w:rPr>
                    <w:t>监控点处</w:t>
                  </w:r>
                  <w:r>
                    <w:rPr>
                      <w:spacing w:val="-16"/>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8"/>
                      <w:sz w:val="20"/>
                      <w:szCs w:val="20"/>
                    </w:rPr>
                    <w:t xml:space="preserve"> </w:t>
                  </w:r>
                  <w:r>
                    <w:rPr>
                      <w:spacing w:val="1"/>
                      <w:sz w:val="20"/>
                      <w:szCs w:val="20"/>
                    </w:rPr>
                    <w:t>小时</w:t>
                  </w:r>
                  <w:r>
                    <w:rPr>
                      <w:sz w:val="20"/>
                      <w:szCs w:val="20"/>
                    </w:rPr>
                    <w:t xml:space="preserve"> </w:t>
                  </w:r>
                  <w:r>
                    <w:rPr>
                      <w:spacing w:val="8"/>
                      <w:sz w:val="20"/>
                      <w:szCs w:val="20"/>
                    </w:rPr>
                    <w:t>平均浓度值</w:t>
                  </w:r>
                </w:p>
              </w:tc>
              <w:tc>
                <w:tcPr>
                  <w:tcW w:w="1398" w:type="dxa"/>
                  <w:vMerge w:val="restart"/>
                  <w:tcBorders>
                    <w:bottom w:val="nil"/>
                  </w:tcBorders>
                  <w:vAlign w:val="top"/>
                </w:tcPr>
                <w:p w14:paraId="57652130">
                  <w:pPr>
                    <w:spacing w:line="244" w:lineRule="auto"/>
                    <w:rPr>
                      <w:rFonts w:ascii="Arial"/>
                      <w:sz w:val="21"/>
                    </w:rPr>
                  </w:pPr>
                </w:p>
                <w:p w14:paraId="311DE7A8">
                  <w:pPr>
                    <w:pStyle w:val="6"/>
                    <w:spacing w:before="65" w:line="252" w:lineRule="auto"/>
                    <w:ind w:left="282" w:right="173" w:hanging="104"/>
                    <w:rPr>
                      <w:sz w:val="20"/>
                      <w:szCs w:val="20"/>
                    </w:rPr>
                  </w:pPr>
                  <w:r>
                    <w:rPr>
                      <w:spacing w:val="8"/>
                      <w:sz w:val="20"/>
                      <w:szCs w:val="20"/>
                    </w:rPr>
                    <w:t>在厂房外设</w:t>
                  </w:r>
                  <w:r>
                    <w:rPr>
                      <w:sz w:val="20"/>
                      <w:szCs w:val="20"/>
                    </w:rPr>
                    <w:t xml:space="preserve"> </w:t>
                  </w:r>
                  <w:r>
                    <w:rPr>
                      <w:spacing w:val="7"/>
                      <w:sz w:val="20"/>
                      <w:szCs w:val="20"/>
                    </w:rPr>
                    <w:t>置监控点</w:t>
                  </w:r>
                </w:p>
              </w:tc>
            </w:tr>
            <w:tr w14:paraId="16BF0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7" w:type="dxa"/>
                  <w:vMerge w:val="continue"/>
                  <w:tcBorders>
                    <w:top w:val="nil"/>
                  </w:tcBorders>
                  <w:vAlign w:val="top"/>
                </w:tcPr>
                <w:p w14:paraId="6D4BD5D7">
                  <w:pPr>
                    <w:rPr>
                      <w:rFonts w:ascii="Arial"/>
                      <w:sz w:val="21"/>
                    </w:rPr>
                  </w:pPr>
                </w:p>
              </w:tc>
              <w:tc>
                <w:tcPr>
                  <w:tcW w:w="2117" w:type="dxa"/>
                  <w:vMerge w:val="continue"/>
                  <w:tcBorders>
                    <w:top w:val="nil"/>
                  </w:tcBorders>
                  <w:vAlign w:val="top"/>
                </w:tcPr>
                <w:p w14:paraId="26E1589E">
                  <w:pPr>
                    <w:rPr>
                      <w:rFonts w:ascii="Arial"/>
                      <w:sz w:val="21"/>
                    </w:rPr>
                  </w:pPr>
                </w:p>
              </w:tc>
              <w:tc>
                <w:tcPr>
                  <w:tcW w:w="1249" w:type="dxa"/>
                  <w:vAlign w:val="top"/>
                </w:tcPr>
                <w:p w14:paraId="5FD047E2">
                  <w:pPr>
                    <w:spacing w:before="206"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40" w:type="dxa"/>
                  <w:vAlign w:val="top"/>
                </w:tcPr>
                <w:p w14:paraId="39EED234">
                  <w:pPr>
                    <w:pStyle w:val="6"/>
                    <w:spacing w:before="36" w:line="232" w:lineRule="auto"/>
                    <w:ind w:left="462" w:right="133" w:hanging="321"/>
                    <w:rPr>
                      <w:sz w:val="20"/>
                      <w:szCs w:val="20"/>
                    </w:rPr>
                  </w:pPr>
                  <w:r>
                    <w:rPr>
                      <w:spacing w:val="8"/>
                      <w:sz w:val="20"/>
                      <w:szCs w:val="20"/>
                    </w:rPr>
                    <w:t>监控点处任意一</w:t>
                  </w:r>
                  <w:r>
                    <w:rPr>
                      <w:spacing w:val="2"/>
                      <w:sz w:val="20"/>
                      <w:szCs w:val="20"/>
                    </w:rPr>
                    <w:t xml:space="preserve"> </w:t>
                  </w:r>
                  <w:r>
                    <w:rPr>
                      <w:spacing w:val="5"/>
                      <w:sz w:val="20"/>
                      <w:szCs w:val="20"/>
                    </w:rPr>
                    <w:t>次浓度值</w:t>
                  </w:r>
                </w:p>
              </w:tc>
              <w:tc>
                <w:tcPr>
                  <w:tcW w:w="1398" w:type="dxa"/>
                  <w:vMerge w:val="continue"/>
                  <w:tcBorders>
                    <w:top w:val="nil"/>
                  </w:tcBorders>
                  <w:vAlign w:val="top"/>
                </w:tcPr>
                <w:p w14:paraId="6B1A9EA1">
                  <w:pPr>
                    <w:rPr>
                      <w:rFonts w:ascii="Arial"/>
                      <w:sz w:val="21"/>
                    </w:rPr>
                  </w:pPr>
                </w:p>
              </w:tc>
            </w:tr>
            <w:tr w14:paraId="50195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87" w:type="dxa"/>
                  <w:vAlign w:val="top"/>
                </w:tcPr>
                <w:p w14:paraId="1F25E98A">
                  <w:pPr>
                    <w:spacing w:before="13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2117" w:type="dxa"/>
                  <w:vAlign w:val="top"/>
                </w:tcPr>
                <w:p w14:paraId="6DD8B371">
                  <w:pPr>
                    <w:spacing w:before="134"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49" w:type="dxa"/>
                  <w:vAlign w:val="top"/>
                </w:tcPr>
                <w:p w14:paraId="2A30A079">
                  <w:pPr>
                    <w:spacing w:before="131" w:line="199"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0" w:type="dxa"/>
                  <w:vAlign w:val="top"/>
                </w:tcPr>
                <w:p w14:paraId="2B4FD12A">
                  <w:pPr>
                    <w:spacing w:before="131" w:line="199"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98" w:type="dxa"/>
                  <w:vAlign w:val="top"/>
                </w:tcPr>
                <w:p w14:paraId="13778196">
                  <w:pPr>
                    <w:spacing w:before="131" w:line="199"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1F3F34BF">
            <w:pPr>
              <w:spacing w:before="32" w:line="251" w:lineRule="auto"/>
              <w:ind w:left="321" w:right="314" w:firstLine="426"/>
              <w:jc w:val="both"/>
              <w:rPr>
                <w:rFonts w:ascii="楷体" w:hAnsi="楷体" w:eastAsia="楷体" w:cs="楷体"/>
                <w:sz w:val="20"/>
                <w:szCs w:val="20"/>
              </w:rPr>
            </w:pPr>
            <w:r>
              <w:rPr>
                <w:rFonts w:ascii="楷体" w:hAnsi="楷体" w:eastAsia="楷体" w:cs="楷体"/>
                <w:spacing w:val="9"/>
                <w:sz w:val="20"/>
                <w:szCs w:val="20"/>
              </w:rPr>
              <w:t>注：在表征</w:t>
            </w:r>
            <w:r>
              <w:rPr>
                <w:rFonts w:ascii="楷体" w:hAnsi="楷体" w:eastAsia="楷体" w:cs="楷体"/>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4"/>
                <w:sz w:val="20"/>
                <w:szCs w:val="20"/>
              </w:rPr>
              <w:t xml:space="preserve"> </w:t>
            </w:r>
            <w:r>
              <w:rPr>
                <w:rFonts w:ascii="楷体" w:hAnsi="楷体" w:eastAsia="楷体" w:cs="楷体"/>
                <w:spacing w:val="9"/>
                <w:sz w:val="20"/>
                <w:szCs w:val="20"/>
              </w:rPr>
              <w:t>总体排放情况时，根据行业特征和环境管理要求，可以采用</w:t>
            </w:r>
            <w:r>
              <w:rPr>
                <w:rFonts w:ascii="楷体" w:hAnsi="楷体" w:eastAsia="楷体" w:cs="楷体"/>
                <w:sz w:val="20"/>
                <w:szCs w:val="20"/>
              </w:rPr>
              <w:t xml:space="preserve"> </w:t>
            </w:r>
            <w:r>
              <w:rPr>
                <w:rFonts w:ascii="楷体" w:hAnsi="楷体" w:eastAsia="楷体" w:cs="楷体"/>
                <w:spacing w:val="10"/>
                <w:sz w:val="20"/>
                <w:szCs w:val="20"/>
              </w:rPr>
              <w:t>总挥发性有机物（</w:t>
            </w:r>
            <w:r>
              <w:rPr>
                <w:rFonts w:ascii="楷体" w:hAnsi="楷体" w:eastAsia="楷体" w:cs="楷体"/>
                <w:spacing w:val="-29"/>
                <w:sz w:val="20"/>
                <w:szCs w:val="20"/>
              </w:rPr>
              <w:t xml:space="preserve"> </w:t>
            </w:r>
            <w:r>
              <w:rPr>
                <w:rFonts w:ascii="楷体" w:hAnsi="楷体" w:eastAsia="楷体" w:cs="楷体"/>
                <w:spacing w:val="10"/>
                <w:sz w:val="20"/>
                <w:szCs w:val="20"/>
              </w:rPr>
              <w:t>以</w:t>
            </w:r>
            <w:r>
              <w:rPr>
                <w:rFonts w:ascii="楷体" w:hAnsi="楷体" w:eastAsia="楷体" w:cs="楷体"/>
                <w:spacing w:val="-39"/>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0"/>
                <w:sz w:val="20"/>
                <w:szCs w:val="20"/>
              </w:rPr>
              <w:t xml:space="preserve"> </w:t>
            </w:r>
            <w:r>
              <w:rPr>
                <w:rFonts w:ascii="楷体" w:hAnsi="楷体" w:eastAsia="楷体" w:cs="楷体"/>
                <w:spacing w:val="10"/>
                <w:sz w:val="20"/>
                <w:szCs w:val="20"/>
              </w:rPr>
              <w:t>表示）、非甲烷总烃（以</w:t>
            </w:r>
            <w:r>
              <w:rPr>
                <w:rFonts w:ascii="楷体" w:hAnsi="楷体" w:eastAsia="楷体" w:cs="楷体"/>
                <w:spacing w:val="-47"/>
                <w:sz w:val="20"/>
                <w:szCs w:val="20"/>
              </w:rPr>
              <w:t xml:space="preserve"> </w:t>
            </w:r>
            <w:r>
              <w:rPr>
                <w:rFonts w:ascii="Times New Roman" w:hAnsi="Times New Roman" w:eastAsia="Times New Roman" w:cs="Times New Roman"/>
                <w:sz w:val="20"/>
                <w:szCs w:val="20"/>
              </w:rPr>
              <w:t>NMHC</w:t>
            </w:r>
            <w:r>
              <w:rPr>
                <w:rFonts w:ascii="Times New Roman" w:hAnsi="Times New Roman" w:eastAsia="Times New Roman" w:cs="Times New Roman"/>
                <w:spacing w:val="10"/>
                <w:sz w:val="20"/>
                <w:szCs w:val="20"/>
              </w:rPr>
              <w:t xml:space="preserve"> </w:t>
            </w:r>
            <w:r>
              <w:rPr>
                <w:rFonts w:ascii="楷体" w:hAnsi="楷体" w:eastAsia="楷体" w:cs="楷体"/>
                <w:spacing w:val="10"/>
                <w:sz w:val="20"/>
                <w:szCs w:val="20"/>
              </w:rPr>
              <w:t>表示）作为污染物控</w:t>
            </w:r>
            <w:r>
              <w:rPr>
                <w:rFonts w:ascii="楷体" w:hAnsi="楷体" w:eastAsia="楷体" w:cs="楷体"/>
                <w:sz w:val="20"/>
                <w:szCs w:val="20"/>
              </w:rPr>
              <w:t xml:space="preserve"> </w:t>
            </w:r>
            <w:r>
              <w:rPr>
                <w:rFonts w:ascii="楷体" w:hAnsi="楷体" w:eastAsia="楷体" w:cs="楷体"/>
                <w:spacing w:val="6"/>
                <w:sz w:val="20"/>
                <w:szCs w:val="20"/>
              </w:rPr>
              <w:t>制项目。因</w:t>
            </w:r>
            <w:r>
              <w:rPr>
                <w:rFonts w:ascii="楷体" w:hAnsi="楷体" w:eastAsia="楷体" w:cs="楷体"/>
                <w:spacing w:val="-40"/>
                <w:sz w:val="20"/>
                <w:szCs w:val="20"/>
              </w:rPr>
              <w:t xml:space="preserve"> </w:t>
            </w:r>
            <w:r>
              <w:rPr>
                <w:rFonts w:ascii="楷体" w:hAnsi="楷体" w:eastAsia="楷体" w:cs="楷体"/>
                <w:spacing w:val="6"/>
                <w:sz w:val="20"/>
                <w:szCs w:val="20"/>
              </w:rPr>
              <w:t>目前国家尚未发布</w:t>
            </w:r>
            <w:r>
              <w:rPr>
                <w:rFonts w:ascii="楷体" w:hAnsi="楷体" w:eastAsia="楷体" w:cs="楷体"/>
                <w:spacing w:val="-39"/>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26"/>
                <w:sz w:val="20"/>
                <w:szCs w:val="20"/>
              </w:rPr>
              <w:t xml:space="preserve"> </w:t>
            </w:r>
            <w:r>
              <w:rPr>
                <w:rFonts w:ascii="楷体" w:hAnsi="楷体" w:eastAsia="楷体" w:cs="楷体"/>
                <w:spacing w:val="6"/>
                <w:sz w:val="20"/>
                <w:szCs w:val="20"/>
              </w:rPr>
              <w:t>的监测方法标准，所以本项目挥发性有机废气</w:t>
            </w:r>
            <w:r>
              <w:rPr>
                <w:rFonts w:ascii="楷体" w:hAnsi="楷体" w:eastAsia="楷体" w:cs="楷体"/>
                <w:sz w:val="20"/>
                <w:szCs w:val="20"/>
              </w:rPr>
              <w:t xml:space="preserve"> </w:t>
            </w:r>
            <w:r>
              <w:rPr>
                <w:rFonts w:ascii="楷体" w:hAnsi="楷体" w:eastAsia="楷体" w:cs="楷体"/>
                <w:spacing w:val="22"/>
                <w:sz w:val="20"/>
                <w:szCs w:val="20"/>
              </w:rPr>
              <w:t>（</w:t>
            </w:r>
            <w:r>
              <w:rPr>
                <w:rFonts w:ascii="楷体" w:hAnsi="楷体" w:eastAsia="楷体" w:cs="楷体"/>
                <w:spacing w:val="-5"/>
                <w:sz w:val="20"/>
                <w:szCs w:val="20"/>
              </w:rPr>
              <w:t xml:space="preserve"> </w:t>
            </w:r>
            <w:r>
              <w:rPr>
                <w:rFonts w:ascii="楷体" w:hAnsi="楷体" w:eastAsia="楷体" w:cs="楷体"/>
                <w:spacing w:val="22"/>
                <w:sz w:val="20"/>
                <w:szCs w:val="20"/>
              </w:rPr>
              <w:t>以</w:t>
            </w:r>
            <w:r>
              <w:rPr>
                <w:rFonts w:ascii="楷体" w:hAnsi="楷体" w:eastAsia="楷体" w:cs="楷体"/>
                <w:spacing w:val="-21"/>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35"/>
                <w:w w:val="101"/>
                <w:sz w:val="20"/>
                <w:szCs w:val="20"/>
              </w:rPr>
              <w:t xml:space="preserve"> </w:t>
            </w:r>
            <w:r>
              <w:rPr>
                <w:rFonts w:ascii="楷体" w:hAnsi="楷体" w:eastAsia="楷体" w:cs="楷体"/>
                <w:spacing w:val="22"/>
                <w:sz w:val="20"/>
                <w:szCs w:val="20"/>
              </w:rPr>
              <w:t>计）</w:t>
            </w:r>
            <w:r>
              <w:rPr>
                <w:rFonts w:ascii="楷体" w:hAnsi="楷体" w:eastAsia="楷体" w:cs="楷体"/>
                <w:spacing w:val="-30"/>
                <w:sz w:val="20"/>
                <w:szCs w:val="20"/>
              </w:rPr>
              <w:t xml:space="preserve"> </w:t>
            </w:r>
            <w:r>
              <w:rPr>
                <w:rFonts w:ascii="楷体" w:hAnsi="楷体" w:eastAsia="楷体" w:cs="楷体"/>
                <w:spacing w:val="22"/>
                <w:sz w:val="20"/>
                <w:szCs w:val="20"/>
              </w:rPr>
              <w:t>的排放参照执行《固定污染源挥发性有机物综合排放标准》</w:t>
            </w:r>
            <w:r>
              <w:rPr>
                <w:rFonts w:ascii="楷体" w:hAnsi="楷体" w:eastAsia="楷体" w:cs="楷体"/>
                <w:sz w:val="20"/>
                <w:szCs w:val="20"/>
              </w:rPr>
              <w:t xml:space="preserve"> </w:t>
            </w:r>
            <w:r>
              <w:rPr>
                <w:rFonts w:ascii="楷体" w:hAnsi="楷体" w:eastAsia="楷体" w:cs="楷体"/>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44/2367-2022</w:t>
            </w:r>
            <w:r>
              <w:rPr>
                <w:rFonts w:ascii="楷体" w:hAnsi="楷体" w:eastAsia="楷体" w:cs="楷体"/>
                <w:spacing w:val="7"/>
                <w:sz w:val="20"/>
                <w:szCs w:val="20"/>
              </w:rPr>
              <w:t>）</w:t>
            </w:r>
            <w:r>
              <w:rPr>
                <w:rFonts w:ascii="楷体" w:hAnsi="楷体" w:eastAsia="楷体" w:cs="楷体"/>
                <w:spacing w:val="-48"/>
                <w:sz w:val="20"/>
                <w:szCs w:val="20"/>
              </w:rPr>
              <w:t xml:space="preserve"> </w:t>
            </w:r>
            <w:r>
              <w:rPr>
                <w:rFonts w:ascii="楷体" w:hAnsi="楷体" w:eastAsia="楷体" w:cs="楷体"/>
                <w:spacing w:val="7"/>
                <w:sz w:val="20"/>
                <w:szCs w:val="20"/>
              </w:rPr>
              <w:t>中的非甲烷总烃的排放控制要求，待待国家污染物监测方法标</w:t>
            </w:r>
            <w:r>
              <w:rPr>
                <w:rFonts w:ascii="楷体" w:hAnsi="楷体" w:eastAsia="楷体" w:cs="楷体"/>
                <w:sz w:val="20"/>
                <w:szCs w:val="20"/>
              </w:rPr>
              <w:t xml:space="preserve"> </w:t>
            </w:r>
            <w:r>
              <w:rPr>
                <w:rFonts w:ascii="楷体" w:hAnsi="楷体" w:eastAsia="楷体" w:cs="楷体"/>
                <w:spacing w:val="9"/>
                <w:sz w:val="20"/>
                <w:szCs w:val="20"/>
              </w:rPr>
              <w:t>准发布后再执行</w:t>
            </w:r>
            <w:r>
              <w:rPr>
                <w:rFonts w:ascii="楷体" w:hAnsi="楷体" w:eastAsia="楷体" w:cs="楷体"/>
                <w:spacing w:val="-40"/>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9"/>
                <w:sz w:val="20"/>
                <w:szCs w:val="20"/>
              </w:rPr>
              <w:t xml:space="preserve"> </w:t>
            </w:r>
            <w:r>
              <w:rPr>
                <w:rFonts w:ascii="楷体" w:hAnsi="楷体" w:eastAsia="楷体" w:cs="楷体"/>
                <w:spacing w:val="9"/>
                <w:sz w:val="20"/>
                <w:szCs w:val="20"/>
              </w:rPr>
              <w:t>排放控制要求。</w:t>
            </w:r>
          </w:p>
          <w:p w14:paraId="615758A2">
            <w:pPr>
              <w:pStyle w:val="6"/>
              <w:spacing w:before="127" w:line="219" w:lineRule="auto"/>
              <w:ind w:left="600"/>
            </w:pPr>
            <w:r>
              <w:rPr>
                <w:spacing w:val="-2"/>
              </w:rPr>
              <w:t>（2）酸雾废气执行标准</w:t>
            </w:r>
          </w:p>
          <w:p w14:paraId="7A483E7A">
            <w:pPr>
              <w:pStyle w:val="6"/>
              <w:spacing w:before="182" w:line="360" w:lineRule="auto"/>
              <w:ind w:left="109" w:right="103" w:firstLine="481"/>
            </w:pPr>
            <w:r>
              <w:rPr>
                <w:spacing w:val="1"/>
              </w:rPr>
              <w:t>泡酸生产过程中，会有少量酸雾挥发出来，主要为氯化氢、氟化氢（以</w:t>
            </w:r>
            <w:r>
              <w:rPr>
                <w:spacing w:val="9"/>
              </w:rPr>
              <w:t xml:space="preserve"> </w:t>
            </w:r>
            <w:r>
              <w:rPr>
                <w:spacing w:val="1"/>
              </w:rPr>
              <w:t>氟化物计）、硫酸雾和硝酸雾（以氮氧化物计</w:t>
            </w:r>
            <w:r>
              <w:rPr>
                <w:spacing w:val="7"/>
              </w:rPr>
              <w:t>），</w:t>
            </w:r>
            <w:r>
              <w:rPr>
                <w:spacing w:val="1"/>
              </w:rPr>
              <w:t>其排放执行广东</w:t>
            </w:r>
            <w:r>
              <w:t>省地方标</w:t>
            </w:r>
            <w:r>
              <w:rPr>
                <w:spacing w:val="1"/>
              </w:rPr>
              <w:t xml:space="preserve"> 准《大气污染物排放限值》（</w:t>
            </w:r>
            <w:r>
              <w:t>DB</w:t>
            </w:r>
            <w:r>
              <w:rPr>
                <w:spacing w:val="1"/>
              </w:rPr>
              <w:t>44/27-2001）第二时段二级标准及无组织排</w:t>
            </w:r>
            <w:r>
              <w:rPr>
                <w:spacing w:val="5"/>
              </w:rPr>
              <w:t xml:space="preserve"> </w:t>
            </w:r>
            <w:r>
              <w:rPr>
                <w:spacing w:val="-1"/>
              </w:rPr>
              <w:t>放监控浓度限值，标准值详见下表：</w:t>
            </w:r>
          </w:p>
          <w:p w14:paraId="3DDEBC68">
            <w:pPr>
              <w:pStyle w:val="6"/>
              <w:spacing w:before="116" w:line="219" w:lineRule="auto"/>
              <w:ind w:left="2338"/>
            </w:pPr>
            <w:r>
              <w:rPr>
                <w:b/>
                <w:bCs/>
                <w:spacing w:val="-2"/>
              </w:rPr>
              <w:t>表</w:t>
            </w:r>
            <w:r>
              <w:rPr>
                <w:spacing w:val="-51"/>
              </w:rPr>
              <w:t xml:space="preserve"> </w:t>
            </w:r>
            <w:r>
              <w:rPr>
                <w:rFonts w:ascii="Times New Roman" w:hAnsi="Times New Roman" w:eastAsia="Times New Roman" w:cs="Times New Roman"/>
                <w:b/>
                <w:bCs/>
                <w:spacing w:val="-2"/>
              </w:rPr>
              <w:t xml:space="preserve">3-8    </w:t>
            </w:r>
            <w:r>
              <w:rPr>
                <w:b/>
                <w:bCs/>
                <w:spacing w:val="-2"/>
              </w:rPr>
              <w:t>项目废气污染物排放限值</w:t>
            </w:r>
          </w:p>
        </w:tc>
      </w:tr>
      <w:tr w14:paraId="10C55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08" w:type="dxa"/>
            <w:vMerge w:val="continue"/>
            <w:tcBorders>
              <w:top w:val="nil"/>
              <w:left w:val="single" w:color="000000" w:sz="6" w:space="0"/>
              <w:bottom w:val="nil"/>
            </w:tcBorders>
            <w:vAlign w:val="top"/>
          </w:tcPr>
          <w:p w14:paraId="4471A1C4">
            <w:pPr>
              <w:rPr>
                <w:rFonts w:ascii="Arial"/>
                <w:sz w:val="21"/>
              </w:rPr>
            </w:pPr>
          </w:p>
        </w:tc>
        <w:tc>
          <w:tcPr>
            <w:tcW w:w="124" w:type="dxa"/>
            <w:tcBorders>
              <w:top w:val="nil"/>
              <w:bottom w:val="nil"/>
            </w:tcBorders>
            <w:vAlign w:val="top"/>
          </w:tcPr>
          <w:p w14:paraId="7A78A3FF">
            <w:pPr>
              <w:rPr>
                <w:rFonts w:ascii="Arial"/>
                <w:sz w:val="21"/>
              </w:rPr>
            </w:pPr>
          </w:p>
        </w:tc>
        <w:tc>
          <w:tcPr>
            <w:tcW w:w="1476" w:type="dxa"/>
            <w:vMerge w:val="restart"/>
            <w:tcBorders>
              <w:bottom w:val="nil"/>
            </w:tcBorders>
            <w:vAlign w:val="top"/>
          </w:tcPr>
          <w:p w14:paraId="0312C84D">
            <w:pPr>
              <w:spacing w:line="310" w:lineRule="auto"/>
              <w:rPr>
                <w:rFonts w:ascii="Arial"/>
                <w:sz w:val="21"/>
              </w:rPr>
            </w:pPr>
          </w:p>
          <w:p w14:paraId="7494FFE8">
            <w:pPr>
              <w:pStyle w:val="6"/>
              <w:spacing w:before="65" w:line="228" w:lineRule="auto"/>
              <w:ind w:left="425"/>
              <w:rPr>
                <w:sz w:val="20"/>
                <w:szCs w:val="20"/>
              </w:rPr>
            </w:pPr>
            <w:r>
              <w:rPr>
                <w:spacing w:val="6"/>
                <w:sz w:val="20"/>
                <w:szCs w:val="20"/>
              </w:rPr>
              <w:t>污染物</w:t>
            </w:r>
          </w:p>
        </w:tc>
        <w:tc>
          <w:tcPr>
            <w:tcW w:w="1414" w:type="dxa"/>
            <w:vMerge w:val="restart"/>
            <w:tcBorders>
              <w:bottom w:val="nil"/>
            </w:tcBorders>
            <w:vAlign w:val="top"/>
          </w:tcPr>
          <w:p w14:paraId="39657459">
            <w:pPr>
              <w:pStyle w:val="6"/>
              <w:spacing w:before="229" w:line="269" w:lineRule="auto"/>
              <w:ind w:left="108" w:right="106" w:firstLine="79"/>
              <w:rPr>
                <w:sz w:val="20"/>
                <w:szCs w:val="20"/>
              </w:rPr>
            </w:pPr>
            <w:r>
              <w:rPr>
                <w:spacing w:val="7"/>
                <w:sz w:val="20"/>
                <w:szCs w:val="20"/>
              </w:rPr>
              <w:t>最高允许排</w:t>
            </w:r>
            <w:r>
              <w:rPr>
                <w:spacing w:val="2"/>
                <w:sz w:val="20"/>
                <w:szCs w:val="20"/>
              </w:rPr>
              <w:t xml:space="preserve"> </w:t>
            </w:r>
            <w:r>
              <w:rPr>
                <w:spacing w:val="7"/>
                <w:sz w:val="20"/>
                <w:szCs w:val="20"/>
              </w:rPr>
              <w:t>放浓度</w:t>
            </w:r>
            <w:r>
              <w:rPr>
                <w:spacing w:val="-50"/>
                <w:sz w:val="20"/>
                <w:szCs w:val="20"/>
              </w:rPr>
              <w:t xml:space="preserve"> </w:t>
            </w:r>
            <w:r>
              <w:rPr>
                <w:sz w:val="20"/>
                <w:szCs w:val="20"/>
              </w:rPr>
              <w:t>mg</w:t>
            </w:r>
            <w:r>
              <w:rPr>
                <w:spacing w:val="7"/>
                <w:sz w:val="20"/>
                <w:szCs w:val="20"/>
              </w:rPr>
              <w:t>/m³</w:t>
            </w:r>
          </w:p>
        </w:tc>
        <w:tc>
          <w:tcPr>
            <w:tcW w:w="2488" w:type="dxa"/>
            <w:gridSpan w:val="2"/>
            <w:vAlign w:val="top"/>
          </w:tcPr>
          <w:p w14:paraId="01DE5EF9">
            <w:pPr>
              <w:pStyle w:val="6"/>
              <w:spacing w:before="95" w:line="222" w:lineRule="auto"/>
              <w:ind w:left="175"/>
              <w:rPr>
                <w:sz w:val="20"/>
                <w:szCs w:val="20"/>
              </w:rPr>
            </w:pPr>
            <w:r>
              <w:rPr>
                <w:spacing w:val="8"/>
                <w:sz w:val="20"/>
                <w:szCs w:val="20"/>
              </w:rPr>
              <w:t>最高允许排放速率</w:t>
            </w:r>
            <w:r>
              <w:rPr>
                <w:spacing w:val="-38"/>
                <w:sz w:val="20"/>
                <w:szCs w:val="20"/>
              </w:rPr>
              <w:t xml:space="preserve"> </w:t>
            </w:r>
            <w:r>
              <w:rPr>
                <w:sz w:val="20"/>
                <w:szCs w:val="20"/>
              </w:rPr>
              <w:t>kg</w:t>
            </w:r>
            <w:r>
              <w:rPr>
                <w:spacing w:val="8"/>
                <w:sz w:val="20"/>
                <w:szCs w:val="20"/>
              </w:rPr>
              <w:t>/h</w:t>
            </w:r>
          </w:p>
        </w:tc>
        <w:tc>
          <w:tcPr>
            <w:tcW w:w="2550" w:type="dxa"/>
            <w:gridSpan w:val="2"/>
            <w:vAlign w:val="top"/>
          </w:tcPr>
          <w:p w14:paraId="71ED5042">
            <w:pPr>
              <w:pStyle w:val="6"/>
              <w:spacing w:before="95" w:line="228" w:lineRule="auto"/>
              <w:ind w:left="132"/>
              <w:rPr>
                <w:sz w:val="20"/>
                <w:szCs w:val="20"/>
              </w:rPr>
            </w:pPr>
            <w:r>
              <w:rPr>
                <w:spacing w:val="9"/>
                <w:sz w:val="20"/>
                <w:szCs w:val="20"/>
              </w:rPr>
              <w:t>无组织排放监控浓度限值</w:t>
            </w:r>
          </w:p>
        </w:tc>
        <w:tc>
          <w:tcPr>
            <w:tcW w:w="134" w:type="dxa"/>
            <w:tcBorders>
              <w:top w:val="nil"/>
              <w:bottom w:val="nil"/>
              <w:right w:val="single" w:color="000000" w:sz="6" w:space="0"/>
            </w:tcBorders>
            <w:vAlign w:val="top"/>
          </w:tcPr>
          <w:p w14:paraId="5BA043FC">
            <w:pPr>
              <w:rPr>
                <w:rFonts w:ascii="Arial"/>
                <w:sz w:val="21"/>
              </w:rPr>
            </w:pPr>
          </w:p>
        </w:tc>
      </w:tr>
      <w:tr w14:paraId="6F902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08" w:type="dxa"/>
            <w:vMerge w:val="continue"/>
            <w:tcBorders>
              <w:top w:val="nil"/>
              <w:left w:val="single" w:color="000000" w:sz="6" w:space="0"/>
              <w:bottom w:val="nil"/>
            </w:tcBorders>
            <w:vAlign w:val="top"/>
          </w:tcPr>
          <w:p w14:paraId="755AF8CD">
            <w:pPr>
              <w:rPr>
                <w:rFonts w:ascii="Arial"/>
                <w:sz w:val="21"/>
              </w:rPr>
            </w:pPr>
          </w:p>
        </w:tc>
        <w:tc>
          <w:tcPr>
            <w:tcW w:w="124" w:type="dxa"/>
            <w:tcBorders>
              <w:top w:val="nil"/>
              <w:bottom w:val="nil"/>
            </w:tcBorders>
            <w:vAlign w:val="top"/>
          </w:tcPr>
          <w:p w14:paraId="4BB4C782">
            <w:pPr>
              <w:rPr>
                <w:rFonts w:ascii="Arial"/>
                <w:sz w:val="21"/>
              </w:rPr>
            </w:pPr>
          </w:p>
        </w:tc>
        <w:tc>
          <w:tcPr>
            <w:tcW w:w="1476" w:type="dxa"/>
            <w:vMerge w:val="continue"/>
            <w:tcBorders>
              <w:top w:val="nil"/>
            </w:tcBorders>
            <w:vAlign w:val="top"/>
          </w:tcPr>
          <w:p w14:paraId="69F15BCF">
            <w:pPr>
              <w:rPr>
                <w:rFonts w:ascii="Arial"/>
                <w:sz w:val="21"/>
              </w:rPr>
            </w:pPr>
          </w:p>
        </w:tc>
        <w:tc>
          <w:tcPr>
            <w:tcW w:w="1414" w:type="dxa"/>
            <w:vMerge w:val="continue"/>
            <w:tcBorders>
              <w:top w:val="nil"/>
            </w:tcBorders>
            <w:vAlign w:val="top"/>
          </w:tcPr>
          <w:p w14:paraId="262BDFE2">
            <w:pPr>
              <w:rPr>
                <w:rFonts w:ascii="Arial"/>
                <w:sz w:val="21"/>
              </w:rPr>
            </w:pPr>
          </w:p>
        </w:tc>
        <w:tc>
          <w:tcPr>
            <w:tcW w:w="1578" w:type="dxa"/>
            <w:vAlign w:val="top"/>
          </w:tcPr>
          <w:p w14:paraId="1AB49DD0">
            <w:pPr>
              <w:pStyle w:val="6"/>
              <w:spacing w:before="190" w:line="228" w:lineRule="auto"/>
              <w:ind w:left="190"/>
              <w:rPr>
                <w:sz w:val="20"/>
                <w:szCs w:val="20"/>
              </w:rPr>
            </w:pPr>
            <w:r>
              <w:rPr>
                <w:spacing w:val="16"/>
                <w:sz w:val="20"/>
                <w:szCs w:val="20"/>
              </w:rPr>
              <w:t>排气筒高度m</w:t>
            </w:r>
          </w:p>
        </w:tc>
        <w:tc>
          <w:tcPr>
            <w:tcW w:w="910" w:type="dxa"/>
            <w:vAlign w:val="top"/>
          </w:tcPr>
          <w:p w14:paraId="03247860">
            <w:pPr>
              <w:pStyle w:val="6"/>
              <w:spacing w:before="190" w:line="230" w:lineRule="auto"/>
              <w:ind w:left="257"/>
              <w:rPr>
                <w:sz w:val="20"/>
                <w:szCs w:val="20"/>
              </w:rPr>
            </w:pPr>
            <w:r>
              <w:rPr>
                <w:spacing w:val="3"/>
                <w:sz w:val="20"/>
                <w:szCs w:val="20"/>
              </w:rPr>
              <w:t>二级</w:t>
            </w:r>
          </w:p>
        </w:tc>
        <w:tc>
          <w:tcPr>
            <w:tcW w:w="1645" w:type="dxa"/>
            <w:vAlign w:val="top"/>
          </w:tcPr>
          <w:p w14:paraId="1EF70A76">
            <w:pPr>
              <w:pStyle w:val="6"/>
              <w:spacing w:before="191" w:line="228" w:lineRule="auto"/>
              <w:ind w:left="518"/>
              <w:rPr>
                <w:sz w:val="20"/>
                <w:szCs w:val="20"/>
              </w:rPr>
            </w:pPr>
            <w:r>
              <w:rPr>
                <w:spacing w:val="6"/>
                <w:sz w:val="20"/>
                <w:szCs w:val="20"/>
              </w:rPr>
              <w:t>监控点</w:t>
            </w:r>
          </w:p>
        </w:tc>
        <w:tc>
          <w:tcPr>
            <w:tcW w:w="905" w:type="dxa"/>
            <w:vAlign w:val="top"/>
          </w:tcPr>
          <w:p w14:paraId="3F4B4868">
            <w:pPr>
              <w:pStyle w:val="6"/>
              <w:spacing w:before="61" w:line="247" w:lineRule="auto"/>
              <w:ind w:left="181" w:right="168" w:firstLine="73"/>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pacing w:val="-4"/>
                <w:sz w:val="20"/>
                <w:szCs w:val="20"/>
              </w:rPr>
              <w:t>mg/m3</w:t>
            </w:r>
          </w:p>
        </w:tc>
        <w:tc>
          <w:tcPr>
            <w:tcW w:w="134" w:type="dxa"/>
            <w:tcBorders>
              <w:top w:val="nil"/>
              <w:bottom w:val="nil"/>
              <w:right w:val="single" w:color="000000" w:sz="6" w:space="0"/>
            </w:tcBorders>
            <w:vAlign w:val="top"/>
          </w:tcPr>
          <w:p w14:paraId="29AD25FC">
            <w:pPr>
              <w:rPr>
                <w:rFonts w:ascii="Arial"/>
                <w:sz w:val="21"/>
              </w:rPr>
            </w:pPr>
          </w:p>
        </w:tc>
      </w:tr>
      <w:tr w14:paraId="1A01B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08" w:type="dxa"/>
            <w:vMerge w:val="continue"/>
            <w:tcBorders>
              <w:top w:val="nil"/>
              <w:left w:val="single" w:color="000000" w:sz="6" w:space="0"/>
              <w:bottom w:val="nil"/>
            </w:tcBorders>
            <w:vAlign w:val="top"/>
          </w:tcPr>
          <w:p w14:paraId="7D22679F">
            <w:pPr>
              <w:rPr>
                <w:rFonts w:ascii="Arial"/>
                <w:sz w:val="21"/>
              </w:rPr>
            </w:pPr>
          </w:p>
        </w:tc>
        <w:tc>
          <w:tcPr>
            <w:tcW w:w="124" w:type="dxa"/>
            <w:tcBorders>
              <w:top w:val="nil"/>
              <w:bottom w:val="nil"/>
            </w:tcBorders>
            <w:vAlign w:val="top"/>
          </w:tcPr>
          <w:p w14:paraId="6D9D6BC8">
            <w:pPr>
              <w:rPr>
                <w:rFonts w:ascii="Arial"/>
                <w:sz w:val="21"/>
              </w:rPr>
            </w:pPr>
          </w:p>
        </w:tc>
        <w:tc>
          <w:tcPr>
            <w:tcW w:w="1476" w:type="dxa"/>
            <w:vAlign w:val="top"/>
          </w:tcPr>
          <w:p w14:paraId="57E69AB4">
            <w:pPr>
              <w:pStyle w:val="6"/>
              <w:spacing w:before="202" w:line="229" w:lineRule="auto"/>
              <w:ind w:left="426"/>
              <w:rPr>
                <w:sz w:val="20"/>
                <w:szCs w:val="20"/>
              </w:rPr>
            </w:pPr>
            <w:r>
              <w:rPr>
                <w:spacing w:val="5"/>
                <w:sz w:val="20"/>
                <w:szCs w:val="20"/>
              </w:rPr>
              <w:t>氯化氢</w:t>
            </w:r>
          </w:p>
        </w:tc>
        <w:tc>
          <w:tcPr>
            <w:tcW w:w="1414" w:type="dxa"/>
            <w:vAlign w:val="top"/>
          </w:tcPr>
          <w:p w14:paraId="4349EF90">
            <w:pPr>
              <w:spacing w:before="238"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78" w:type="dxa"/>
            <w:vAlign w:val="top"/>
          </w:tcPr>
          <w:p w14:paraId="7BC7027E">
            <w:pPr>
              <w:spacing w:before="23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10" w:type="dxa"/>
            <w:vAlign w:val="top"/>
          </w:tcPr>
          <w:p w14:paraId="5D6396EE">
            <w:pPr>
              <w:spacing w:before="23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c>
          <w:tcPr>
            <w:tcW w:w="1645" w:type="dxa"/>
            <w:vAlign w:val="top"/>
          </w:tcPr>
          <w:p w14:paraId="160ABE09">
            <w:pPr>
              <w:pStyle w:val="6"/>
              <w:spacing w:before="43" w:line="228" w:lineRule="auto"/>
              <w:ind w:left="203"/>
              <w:rPr>
                <w:sz w:val="20"/>
                <w:szCs w:val="20"/>
              </w:rPr>
            </w:pPr>
            <w:r>
              <w:rPr>
                <w:spacing w:val="8"/>
                <w:sz w:val="20"/>
                <w:szCs w:val="20"/>
              </w:rPr>
              <w:t>周界外浓度最</w:t>
            </w:r>
          </w:p>
          <w:p w14:paraId="0E988B2C">
            <w:pPr>
              <w:pStyle w:val="6"/>
              <w:spacing w:before="46" w:line="226" w:lineRule="auto"/>
              <w:ind w:left="628"/>
              <w:rPr>
                <w:sz w:val="20"/>
                <w:szCs w:val="20"/>
              </w:rPr>
            </w:pPr>
            <w:r>
              <w:rPr>
                <w:spacing w:val="2"/>
                <w:sz w:val="20"/>
                <w:szCs w:val="20"/>
              </w:rPr>
              <w:t>高点</w:t>
            </w:r>
          </w:p>
        </w:tc>
        <w:tc>
          <w:tcPr>
            <w:tcW w:w="905" w:type="dxa"/>
            <w:vAlign w:val="top"/>
          </w:tcPr>
          <w:p w14:paraId="37BCCF48">
            <w:pPr>
              <w:spacing w:before="22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34" w:type="dxa"/>
            <w:tcBorders>
              <w:top w:val="nil"/>
              <w:bottom w:val="nil"/>
              <w:right w:val="single" w:color="000000" w:sz="6" w:space="0"/>
            </w:tcBorders>
            <w:vAlign w:val="top"/>
          </w:tcPr>
          <w:p w14:paraId="26588368">
            <w:pPr>
              <w:rPr>
                <w:rFonts w:ascii="Arial"/>
                <w:sz w:val="21"/>
              </w:rPr>
            </w:pPr>
          </w:p>
        </w:tc>
      </w:tr>
      <w:tr w14:paraId="7FFBC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08" w:type="dxa"/>
            <w:vMerge w:val="continue"/>
            <w:tcBorders>
              <w:top w:val="nil"/>
              <w:left w:val="single" w:color="000000" w:sz="6" w:space="0"/>
              <w:bottom w:val="single" w:color="000000" w:sz="6" w:space="0"/>
            </w:tcBorders>
            <w:vAlign w:val="top"/>
          </w:tcPr>
          <w:p w14:paraId="41212C2A">
            <w:pPr>
              <w:rPr>
                <w:rFonts w:ascii="Arial"/>
                <w:sz w:val="21"/>
              </w:rPr>
            </w:pPr>
          </w:p>
        </w:tc>
        <w:tc>
          <w:tcPr>
            <w:tcW w:w="124" w:type="dxa"/>
            <w:tcBorders>
              <w:top w:val="nil"/>
              <w:bottom w:val="single" w:color="000000" w:sz="6" w:space="0"/>
            </w:tcBorders>
            <w:vAlign w:val="top"/>
          </w:tcPr>
          <w:p w14:paraId="05FEF5A3">
            <w:pPr>
              <w:rPr>
                <w:rFonts w:ascii="Arial"/>
                <w:sz w:val="21"/>
              </w:rPr>
            </w:pPr>
          </w:p>
        </w:tc>
        <w:tc>
          <w:tcPr>
            <w:tcW w:w="1476" w:type="dxa"/>
            <w:tcBorders>
              <w:bottom w:val="single" w:color="000000" w:sz="6" w:space="0"/>
            </w:tcBorders>
            <w:vAlign w:val="top"/>
          </w:tcPr>
          <w:p w14:paraId="38B1F358">
            <w:pPr>
              <w:pStyle w:val="6"/>
              <w:spacing w:before="65" w:line="228" w:lineRule="auto"/>
              <w:ind w:left="109"/>
              <w:rPr>
                <w:sz w:val="20"/>
                <w:szCs w:val="20"/>
              </w:rPr>
            </w:pPr>
            <w:r>
              <w:rPr>
                <w:spacing w:val="8"/>
                <w:sz w:val="20"/>
                <w:szCs w:val="20"/>
              </w:rPr>
              <w:t>氟化氢（以氟</w:t>
            </w:r>
          </w:p>
          <w:p w14:paraId="00F97637">
            <w:pPr>
              <w:pStyle w:val="6"/>
              <w:spacing w:before="24" w:line="229" w:lineRule="auto"/>
              <w:ind w:left="318"/>
              <w:rPr>
                <w:sz w:val="20"/>
                <w:szCs w:val="20"/>
              </w:rPr>
            </w:pPr>
            <w:r>
              <w:rPr>
                <w:spacing w:val="4"/>
                <w:sz w:val="20"/>
                <w:szCs w:val="20"/>
              </w:rPr>
              <w:t>化物计）</w:t>
            </w:r>
          </w:p>
        </w:tc>
        <w:tc>
          <w:tcPr>
            <w:tcW w:w="1414" w:type="dxa"/>
            <w:tcBorders>
              <w:bottom w:val="single" w:color="000000" w:sz="6" w:space="0"/>
            </w:tcBorders>
            <w:vAlign w:val="top"/>
          </w:tcPr>
          <w:p w14:paraId="65AAF288">
            <w:pPr>
              <w:spacing w:before="238" w:line="195" w:lineRule="auto"/>
              <w:ind w:left="65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78" w:type="dxa"/>
            <w:tcBorders>
              <w:bottom w:val="single" w:color="000000" w:sz="6" w:space="0"/>
            </w:tcBorders>
            <w:vAlign w:val="top"/>
          </w:tcPr>
          <w:p w14:paraId="4BAAE5A3">
            <w:pPr>
              <w:spacing w:before="23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10" w:type="dxa"/>
            <w:tcBorders>
              <w:bottom w:val="single" w:color="000000" w:sz="6" w:space="0"/>
            </w:tcBorders>
            <w:vAlign w:val="top"/>
          </w:tcPr>
          <w:p w14:paraId="2BEB4498">
            <w:pPr>
              <w:spacing w:before="23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1645" w:type="dxa"/>
            <w:tcBorders>
              <w:bottom w:val="single" w:color="000000" w:sz="6" w:space="0"/>
            </w:tcBorders>
            <w:vAlign w:val="top"/>
          </w:tcPr>
          <w:p w14:paraId="66D403AE">
            <w:pPr>
              <w:pStyle w:val="6"/>
              <w:spacing w:before="44" w:line="228" w:lineRule="auto"/>
              <w:ind w:left="203"/>
              <w:rPr>
                <w:sz w:val="20"/>
                <w:szCs w:val="20"/>
              </w:rPr>
            </w:pPr>
            <w:r>
              <w:rPr>
                <w:spacing w:val="8"/>
                <w:sz w:val="20"/>
                <w:szCs w:val="20"/>
              </w:rPr>
              <w:t>周界外浓度最</w:t>
            </w:r>
          </w:p>
          <w:p w14:paraId="11DDC80E">
            <w:pPr>
              <w:pStyle w:val="6"/>
              <w:spacing w:before="45" w:line="228" w:lineRule="auto"/>
              <w:ind w:left="628"/>
              <w:rPr>
                <w:sz w:val="20"/>
                <w:szCs w:val="20"/>
              </w:rPr>
            </w:pPr>
            <w:r>
              <w:rPr>
                <w:spacing w:val="2"/>
                <w:sz w:val="20"/>
                <w:szCs w:val="20"/>
              </w:rPr>
              <w:t>高点</w:t>
            </w:r>
          </w:p>
        </w:tc>
        <w:tc>
          <w:tcPr>
            <w:tcW w:w="905" w:type="dxa"/>
            <w:tcBorders>
              <w:bottom w:val="single" w:color="000000" w:sz="6" w:space="0"/>
            </w:tcBorders>
            <w:vAlign w:val="top"/>
          </w:tcPr>
          <w:p w14:paraId="2C534A4C">
            <w:pPr>
              <w:spacing w:before="229"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4" w:type="dxa"/>
            <w:tcBorders>
              <w:top w:val="nil"/>
              <w:bottom w:val="single" w:color="000000" w:sz="6" w:space="0"/>
              <w:right w:val="single" w:color="000000" w:sz="6" w:space="0"/>
            </w:tcBorders>
            <w:vAlign w:val="top"/>
          </w:tcPr>
          <w:p w14:paraId="66DA7525">
            <w:pPr>
              <w:rPr>
                <w:rFonts w:ascii="Arial"/>
                <w:sz w:val="21"/>
              </w:rPr>
            </w:pPr>
          </w:p>
        </w:tc>
      </w:tr>
    </w:tbl>
    <w:p w14:paraId="6025959A">
      <w:pPr>
        <w:rPr>
          <w:rFonts w:ascii="Arial"/>
          <w:sz w:val="21"/>
        </w:rPr>
      </w:pPr>
    </w:p>
    <w:p w14:paraId="02305D4E">
      <w:pPr>
        <w:rPr>
          <w:rFonts w:ascii="Arial" w:hAnsi="Arial" w:eastAsia="Arial" w:cs="Arial"/>
          <w:sz w:val="21"/>
          <w:szCs w:val="21"/>
        </w:rPr>
        <w:sectPr>
          <w:footerReference r:id="rId56" w:type="default"/>
          <w:pgSz w:w="11907" w:h="16840"/>
          <w:pgMar w:top="400" w:right="1449" w:bottom="1240" w:left="1448" w:header="0" w:footer="1077" w:gutter="0"/>
          <w:cols w:space="720" w:num="1"/>
        </w:sectPr>
      </w:pPr>
    </w:p>
    <w:p w14:paraId="7C5B3904">
      <w:pPr>
        <w:spacing w:before="19"/>
      </w:pPr>
      <w:r>
        <w:pict>
          <v:shape id="_x0000_s1039" o:spid="_x0000_s1039" style="position:absolute;left:0pt;margin-left:515.9pt;margin-top:86.05pt;height:59.8pt;width:0.5pt;mso-position-horizontal-relative:page;mso-position-vertical-relative:page;z-index:251671552;mso-width-relative:page;mso-height-relative:page;" filled="f" stroked="t" coordsize="10,1195" o:allowincell="f" path="m4,0l4,1195e">
            <v:fill on="f" focussize="0,0"/>
            <v:stroke weight="0.48pt" color="#000000" miterlimit="2" joinstyle="bevel"/>
            <v:imagedata o:title=""/>
            <o:lock v:ext="edit"/>
          </v:shape>
        </w:pict>
      </w:r>
      <w:r>
        <w:pict>
          <v:shape id="_x0000_s1040" o:spid="_x0000_s1040" style="position:absolute;left:0pt;margin-left:118.85pt;margin-top:86.05pt;height:59.8pt;width:0.5pt;mso-position-horizontal-relative:page;mso-position-vertical-relative:page;z-index:251672576;mso-width-relative:page;mso-height-relative:page;" filled="f" stroked="t" coordsize="10,1195" o:allowincell="f" path="m4,0l4,1195e">
            <v:fill on="f" focussize="0,0"/>
            <v:stroke weight="0.48pt" color="#000000" miterlimit="2" joinstyle="bevel"/>
            <v:imagedata o:title=""/>
            <o:lock v:ext="edit"/>
          </v:shape>
        </w:pict>
      </w:r>
    </w:p>
    <w:p w14:paraId="29BBFEC5">
      <w:pPr>
        <w:spacing w:before="19"/>
      </w:pPr>
    </w:p>
    <w:p w14:paraId="1853FEF5">
      <w:pPr>
        <w:spacing w:before="19"/>
      </w:pPr>
    </w:p>
    <w:p w14:paraId="19D0F35D">
      <w:pPr>
        <w:spacing w:before="18"/>
      </w:pPr>
    </w:p>
    <w:p w14:paraId="193C0593">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599"/>
        <w:gridCol w:w="1414"/>
        <w:gridCol w:w="1578"/>
        <w:gridCol w:w="911"/>
        <w:gridCol w:w="1645"/>
        <w:gridCol w:w="1039"/>
      </w:tblGrid>
      <w:tr w14:paraId="10EC7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08" w:type="dxa"/>
            <w:vMerge w:val="restart"/>
            <w:tcBorders>
              <w:top w:val="single" w:color="000000" w:sz="6" w:space="0"/>
              <w:left w:val="single" w:color="000000" w:sz="6" w:space="0"/>
              <w:bottom w:val="nil"/>
            </w:tcBorders>
            <w:vAlign w:val="top"/>
          </w:tcPr>
          <w:p w14:paraId="4BF6FC84">
            <w:pPr>
              <w:rPr>
                <w:rFonts w:ascii="Arial"/>
                <w:sz w:val="21"/>
              </w:rPr>
            </w:pPr>
          </w:p>
        </w:tc>
        <w:tc>
          <w:tcPr>
            <w:tcW w:w="1599" w:type="dxa"/>
            <w:tcBorders>
              <w:top w:val="single" w:color="000000" w:sz="6" w:space="0"/>
            </w:tcBorders>
            <w:vAlign w:val="top"/>
          </w:tcPr>
          <w:p w14:paraId="29BD4D50">
            <w:pPr>
              <w:pStyle w:val="6"/>
              <w:spacing w:before="203" w:line="229" w:lineRule="auto"/>
              <w:ind w:left="546"/>
              <w:rPr>
                <w:sz w:val="20"/>
                <w:szCs w:val="20"/>
              </w:rPr>
            </w:pPr>
            <w:r>
              <w:rPr>
                <w:spacing w:val="7"/>
                <w:sz w:val="20"/>
                <w:szCs w:val="20"/>
              </w:rPr>
              <w:t>硫酸雾</w:t>
            </w:r>
          </w:p>
        </w:tc>
        <w:tc>
          <w:tcPr>
            <w:tcW w:w="1414" w:type="dxa"/>
            <w:vAlign w:val="top"/>
          </w:tcPr>
          <w:p w14:paraId="7474B683">
            <w:pPr>
              <w:spacing w:before="238" w:line="195" w:lineRule="auto"/>
              <w:ind w:left="60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578" w:type="dxa"/>
            <w:vAlign w:val="top"/>
          </w:tcPr>
          <w:p w14:paraId="018E3FE2">
            <w:pPr>
              <w:spacing w:before="238"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11" w:type="dxa"/>
            <w:vAlign w:val="top"/>
          </w:tcPr>
          <w:p w14:paraId="68342CED">
            <w:pPr>
              <w:spacing w:before="23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645" w:type="dxa"/>
            <w:vAlign w:val="top"/>
          </w:tcPr>
          <w:p w14:paraId="495F2DAC">
            <w:pPr>
              <w:pStyle w:val="6"/>
              <w:spacing w:before="46" w:line="228" w:lineRule="auto"/>
              <w:ind w:left="203"/>
              <w:rPr>
                <w:sz w:val="20"/>
                <w:szCs w:val="20"/>
              </w:rPr>
            </w:pPr>
            <w:r>
              <w:rPr>
                <w:spacing w:val="8"/>
                <w:sz w:val="20"/>
                <w:szCs w:val="20"/>
              </w:rPr>
              <w:t>周界外浓度最</w:t>
            </w:r>
          </w:p>
          <w:p w14:paraId="06C7DB6D">
            <w:pPr>
              <w:pStyle w:val="6"/>
              <w:spacing w:before="45" w:line="228" w:lineRule="auto"/>
              <w:ind w:left="628"/>
              <w:rPr>
                <w:sz w:val="20"/>
                <w:szCs w:val="20"/>
              </w:rPr>
            </w:pPr>
            <w:r>
              <w:rPr>
                <w:spacing w:val="2"/>
                <w:sz w:val="20"/>
                <w:szCs w:val="20"/>
              </w:rPr>
              <w:t>高点</w:t>
            </w:r>
          </w:p>
        </w:tc>
        <w:tc>
          <w:tcPr>
            <w:tcW w:w="1039" w:type="dxa"/>
            <w:tcBorders>
              <w:top w:val="single" w:color="000000" w:sz="6" w:space="0"/>
              <w:right w:val="single" w:color="000000" w:sz="6" w:space="0"/>
            </w:tcBorders>
            <w:vAlign w:val="top"/>
          </w:tcPr>
          <w:p w14:paraId="70E26C45">
            <w:pPr>
              <w:spacing w:before="229"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14:paraId="36B8D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08" w:type="dxa"/>
            <w:vMerge w:val="continue"/>
            <w:tcBorders>
              <w:top w:val="nil"/>
              <w:left w:val="single" w:color="000000" w:sz="6" w:space="0"/>
              <w:bottom w:val="nil"/>
            </w:tcBorders>
            <w:vAlign w:val="top"/>
          </w:tcPr>
          <w:p w14:paraId="778E9025">
            <w:pPr>
              <w:rPr>
                <w:rFonts w:ascii="Arial"/>
                <w:sz w:val="21"/>
              </w:rPr>
            </w:pPr>
          </w:p>
        </w:tc>
        <w:tc>
          <w:tcPr>
            <w:tcW w:w="1599" w:type="dxa"/>
            <w:vAlign w:val="top"/>
          </w:tcPr>
          <w:p w14:paraId="6E2B9E80">
            <w:pPr>
              <w:pStyle w:val="6"/>
              <w:spacing w:before="51" w:line="245" w:lineRule="auto"/>
              <w:ind w:left="338" w:right="111" w:hanging="104"/>
              <w:rPr>
                <w:sz w:val="20"/>
                <w:szCs w:val="20"/>
              </w:rPr>
            </w:pPr>
            <w:r>
              <w:rPr>
                <w:spacing w:val="7"/>
                <w:sz w:val="20"/>
                <w:szCs w:val="20"/>
              </w:rPr>
              <w:t>硝酸雾（以氮</w:t>
            </w:r>
            <w:r>
              <w:rPr>
                <w:spacing w:val="4"/>
                <w:sz w:val="20"/>
                <w:szCs w:val="20"/>
              </w:rPr>
              <w:t xml:space="preserve"> </w:t>
            </w:r>
            <w:r>
              <w:rPr>
                <w:spacing w:val="5"/>
                <w:sz w:val="20"/>
                <w:szCs w:val="20"/>
              </w:rPr>
              <w:t>氧化物计）</w:t>
            </w:r>
          </w:p>
        </w:tc>
        <w:tc>
          <w:tcPr>
            <w:tcW w:w="1414" w:type="dxa"/>
            <w:vAlign w:val="top"/>
          </w:tcPr>
          <w:p w14:paraId="47B078E3">
            <w:pPr>
              <w:spacing w:before="224"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578" w:type="dxa"/>
            <w:vAlign w:val="top"/>
          </w:tcPr>
          <w:p w14:paraId="58DB7230">
            <w:pPr>
              <w:spacing w:before="224"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11" w:type="dxa"/>
            <w:vAlign w:val="top"/>
          </w:tcPr>
          <w:p w14:paraId="557A76CB">
            <w:pPr>
              <w:spacing w:before="22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645" w:type="dxa"/>
            <w:vAlign w:val="top"/>
          </w:tcPr>
          <w:p w14:paraId="50380923">
            <w:pPr>
              <w:pStyle w:val="6"/>
              <w:spacing w:before="29" w:line="228" w:lineRule="auto"/>
              <w:ind w:left="203"/>
              <w:rPr>
                <w:sz w:val="20"/>
                <w:szCs w:val="20"/>
              </w:rPr>
            </w:pPr>
            <w:r>
              <w:rPr>
                <w:spacing w:val="8"/>
                <w:sz w:val="20"/>
                <w:szCs w:val="20"/>
              </w:rPr>
              <w:t>周界外浓度最</w:t>
            </w:r>
          </w:p>
          <w:p w14:paraId="720D7AEB">
            <w:pPr>
              <w:pStyle w:val="6"/>
              <w:spacing w:before="48" w:line="228" w:lineRule="auto"/>
              <w:ind w:left="628"/>
              <w:rPr>
                <w:sz w:val="20"/>
                <w:szCs w:val="20"/>
              </w:rPr>
            </w:pPr>
            <w:r>
              <w:rPr>
                <w:spacing w:val="2"/>
                <w:sz w:val="20"/>
                <w:szCs w:val="20"/>
              </w:rPr>
              <w:t>高点</w:t>
            </w:r>
          </w:p>
        </w:tc>
        <w:tc>
          <w:tcPr>
            <w:tcW w:w="1039" w:type="dxa"/>
            <w:tcBorders>
              <w:right w:val="single" w:color="000000" w:sz="6" w:space="0"/>
            </w:tcBorders>
            <w:vAlign w:val="top"/>
          </w:tcPr>
          <w:p w14:paraId="0A19D97D">
            <w:pPr>
              <w:spacing w:before="214"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r>
      <w:tr w14:paraId="0F5F7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0" w:hRule="atLeast"/>
        </w:trPr>
        <w:tc>
          <w:tcPr>
            <w:tcW w:w="808" w:type="dxa"/>
            <w:vMerge w:val="continue"/>
            <w:tcBorders>
              <w:top w:val="nil"/>
              <w:left w:val="single" w:color="000000" w:sz="6" w:space="0"/>
              <w:bottom w:val="single" w:color="000000" w:sz="6" w:space="0"/>
            </w:tcBorders>
            <w:vAlign w:val="top"/>
          </w:tcPr>
          <w:p w14:paraId="1D4B92A5">
            <w:pPr>
              <w:rPr>
                <w:rFonts w:ascii="Arial"/>
                <w:sz w:val="21"/>
              </w:rPr>
            </w:pPr>
          </w:p>
        </w:tc>
        <w:tc>
          <w:tcPr>
            <w:tcW w:w="8186" w:type="dxa"/>
            <w:gridSpan w:val="6"/>
            <w:tcBorders>
              <w:bottom w:val="single" w:color="000000" w:sz="6" w:space="0"/>
              <w:right w:val="single" w:color="000000" w:sz="6" w:space="0"/>
            </w:tcBorders>
            <w:vAlign w:val="top"/>
          </w:tcPr>
          <w:p w14:paraId="68CC9F98">
            <w:pPr>
              <w:pStyle w:val="6"/>
              <w:spacing w:before="158" w:line="219" w:lineRule="auto"/>
              <w:ind w:left="600"/>
            </w:pPr>
            <w:r>
              <w:rPr>
                <w:spacing w:val="-2"/>
              </w:rPr>
              <w:t>（3）燃料废气执行标准</w:t>
            </w:r>
          </w:p>
          <w:p w14:paraId="43170810">
            <w:pPr>
              <w:pStyle w:val="6"/>
              <w:spacing w:before="182" w:line="360" w:lineRule="auto"/>
              <w:ind w:left="108" w:right="4" w:firstLine="481"/>
            </w:pPr>
            <w:r>
              <w:rPr>
                <w:spacing w:val="1"/>
              </w:rPr>
              <w:t>本项目没有建设锅炉，配胶过程加热需使用到石油气炉，燃料是液化石</w:t>
            </w:r>
            <w:r>
              <w:rPr>
                <w:spacing w:val="10"/>
              </w:rPr>
              <w:t xml:space="preserve"> </w:t>
            </w:r>
            <w:r>
              <w:rPr>
                <w:spacing w:val="1"/>
              </w:rPr>
              <w:t>油气。因没有针对液化石油气炉的污染物排放标准，本报告液化石油气燃料</w:t>
            </w:r>
            <w:r>
              <w:rPr>
                <w:spacing w:val="10"/>
              </w:rPr>
              <w:t xml:space="preserve"> </w:t>
            </w:r>
            <w:r>
              <w:rPr>
                <w:spacing w:val="-7"/>
              </w:rPr>
              <w:t>燃烧产生的有组织废气执行《工业炉窑大气污染物排放标准》（</w:t>
            </w:r>
            <w:r>
              <w:rPr>
                <w:rFonts w:ascii="Times New Roman" w:hAnsi="Times New Roman" w:eastAsia="Times New Roman" w:cs="Times New Roman"/>
                <w:spacing w:val="-7"/>
              </w:rPr>
              <w:t>GB9078-1996</w:t>
            </w:r>
            <w:r>
              <w:rPr>
                <w:spacing w:val="-7"/>
              </w:rPr>
              <w:t>）</w:t>
            </w:r>
            <w:r>
              <w:rPr>
                <w:spacing w:val="9"/>
              </w:rPr>
              <w:t xml:space="preserve"> </w:t>
            </w:r>
            <w:r>
              <w:rPr>
                <w:spacing w:val="-1"/>
              </w:rPr>
              <w:t>表</w:t>
            </w:r>
            <w:r>
              <w:rPr>
                <w:spacing w:val="-47"/>
              </w:rPr>
              <w:t xml:space="preserve"> </w:t>
            </w:r>
            <w:r>
              <w:rPr>
                <w:rFonts w:ascii="Times New Roman" w:hAnsi="Times New Roman" w:eastAsia="Times New Roman" w:cs="Times New Roman"/>
                <w:spacing w:val="-1"/>
              </w:rPr>
              <w:t xml:space="preserve">2 </w:t>
            </w:r>
            <w:r>
              <w:rPr>
                <w:spacing w:val="-1"/>
              </w:rPr>
              <w:t>和表</w:t>
            </w:r>
            <w:r>
              <w:rPr>
                <w:spacing w:val="-56"/>
              </w:rPr>
              <w:t xml:space="preserve"> </w:t>
            </w:r>
            <w:r>
              <w:rPr>
                <w:rFonts w:ascii="Times New Roman" w:hAnsi="Times New Roman" w:eastAsia="Times New Roman" w:cs="Times New Roman"/>
                <w:spacing w:val="-1"/>
              </w:rPr>
              <w:t xml:space="preserve">4 </w:t>
            </w:r>
            <w:r>
              <w:rPr>
                <w:spacing w:val="-1"/>
              </w:rPr>
              <w:t>规定的大气污染物排放限值，标准值见下表：</w:t>
            </w:r>
          </w:p>
          <w:p w14:paraId="46403723">
            <w:pPr>
              <w:pStyle w:val="6"/>
              <w:spacing w:before="112" w:line="219" w:lineRule="auto"/>
              <w:ind w:left="1495"/>
            </w:pPr>
            <w:r>
              <w:rPr>
                <w:b/>
                <w:bCs/>
                <w:spacing w:val="-2"/>
              </w:rPr>
              <w:t>表</w:t>
            </w:r>
            <w:r>
              <w:rPr>
                <w:spacing w:val="-50"/>
              </w:rPr>
              <w:t xml:space="preserve"> </w:t>
            </w:r>
            <w:r>
              <w:rPr>
                <w:rFonts w:ascii="Times New Roman" w:hAnsi="Times New Roman" w:eastAsia="Times New Roman" w:cs="Times New Roman"/>
                <w:b/>
                <w:bCs/>
                <w:spacing w:val="-2"/>
              </w:rPr>
              <w:t xml:space="preserve">3-9    </w:t>
            </w:r>
            <w:r>
              <w:rPr>
                <w:b/>
                <w:bCs/>
                <w:spacing w:val="-2"/>
              </w:rPr>
              <w:t>燃料燃烧废气污染物有组织排放浓度限值</w:t>
            </w:r>
          </w:p>
          <w:p w14:paraId="3A386C85">
            <w:pPr>
              <w:spacing w:line="148" w:lineRule="exact"/>
            </w:pPr>
          </w:p>
          <w:tbl>
            <w:tblPr>
              <w:tblStyle w:val="5"/>
              <w:tblW w:w="7824" w:type="dxa"/>
              <w:tblInd w:w="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1937"/>
              <w:gridCol w:w="1636"/>
              <w:gridCol w:w="949"/>
              <w:gridCol w:w="2559"/>
            </w:tblGrid>
            <w:tr w14:paraId="371B8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43" w:type="dxa"/>
                  <w:vMerge w:val="restart"/>
                  <w:tcBorders>
                    <w:bottom w:val="nil"/>
                  </w:tcBorders>
                  <w:vAlign w:val="top"/>
                </w:tcPr>
                <w:p w14:paraId="0DDFA855">
                  <w:pPr>
                    <w:spacing w:line="250" w:lineRule="auto"/>
                    <w:rPr>
                      <w:rFonts w:ascii="Arial"/>
                      <w:sz w:val="21"/>
                    </w:rPr>
                  </w:pPr>
                </w:p>
                <w:p w14:paraId="181BCC76">
                  <w:pPr>
                    <w:pStyle w:val="6"/>
                    <w:spacing w:before="65" w:line="229" w:lineRule="auto"/>
                    <w:ind w:left="165"/>
                    <w:rPr>
                      <w:sz w:val="20"/>
                      <w:szCs w:val="20"/>
                    </w:rPr>
                  </w:pPr>
                  <w:r>
                    <w:rPr>
                      <w:spacing w:val="5"/>
                      <w:sz w:val="20"/>
                      <w:szCs w:val="20"/>
                    </w:rPr>
                    <w:t>序号</w:t>
                  </w:r>
                </w:p>
              </w:tc>
              <w:tc>
                <w:tcPr>
                  <w:tcW w:w="3573" w:type="dxa"/>
                  <w:gridSpan w:val="2"/>
                  <w:vMerge w:val="restart"/>
                  <w:tcBorders>
                    <w:bottom w:val="nil"/>
                  </w:tcBorders>
                  <w:vAlign w:val="top"/>
                </w:tcPr>
                <w:p w14:paraId="6C3219B0">
                  <w:pPr>
                    <w:spacing w:line="250" w:lineRule="auto"/>
                    <w:rPr>
                      <w:rFonts w:ascii="Arial"/>
                      <w:sz w:val="21"/>
                    </w:rPr>
                  </w:pPr>
                </w:p>
                <w:p w14:paraId="4DBE607C">
                  <w:pPr>
                    <w:pStyle w:val="6"/>
                    <w:spacing w:before="65" w:line="228" w:lineRule="auto"/>
                    <w:ind w:left="1056"/>
                    <w:rPr>
                      <w:sz w:val="20"/>
                      <w:szCs w:val="20"/>
                    </w:rPr>
                  </w:pPr>
                  <w:r>
                    <w:rPr>
                      <w:spacing w:val="8"/>
                      <w:sz w:val="20"/>
                      <w:szCs w:val="20"/>
                    </w:rPr>
                    <w:t>有害污染物名称</w:t>
                  </w:r>
                </w:p>
              </w:tc>
              <w:tc>
                <w:tcPr>
                  <w:tcW w:w="949" w:type="dxa"/>
                  <w:vMerge w:val="restart"/>
                  <w:tcBorders>
                    <w:bottom w:val="nil"/>
                  </w:tcBorders>
                  <w:vAlign w:val="top"/>
                </w:tcPr>
                <w:p w14:paraId="20E632B4">
                  <w:pPr>
                    <w:pStyle w:val="6"/>
                    <w:spacing w:before="180" w:line="228" w:lineRule="auto"/>
                    <w:ind w:left="166"/>
                    <w:rPr>
                      <w:sz w:val="20"/>
                      <w:szCs w:val="20"/>
                    </w:rPr>
                  </w:pPr>
                  <w:r>
                    <w:rPr>
                      <w:spacing w:val="6"/>
                      <w:sz w:val="20"/>
                      <w:szCs w:val="20"/>
                    </w:rPr>
                    <w:t>标准级</w:t>
                  </w:r>
                </w:p>
                <w:p w14:paraId="690315C8">
                  <w:pPr>
                    <w:pStyle w:val="6"/>
                    <w:spacing w:before="26" w:line="228" w:lineRule="auto"/>
                    <w:ind w:left="379"/>
                    <w:rPr>
                      <w:sz w:val="20"/>
                      <w:szCs w:val="20"/>
                    </w:rPr>
                  </w:pPr>
                  <w:r>
                    <w:rPr>
                      <w:sz w:val="20"/>
                      <w:szCs w:val="20"/>
                    </w:rPr>
                    <w:t>别</w:t>
                  </w:r>
                </w:p>
              </w:tc>
              <w:tc>
                <w:tcPr>
                  <w:tcW w:w="2559" w:type="dxa"/>
                  <w:vAlign w:val="top"/>
                </w:tcPr>
                <w:p w14:paraId="2ED54DC7">
                  <w:pPr>
                    <w:pStyle w:val="6"/>
                    <w:spacing w:before="34" w:line="235" w:lineRule="auto"/>
                    <w:ind w:left="548" w:right="39" w:hanging="418"/>
                    <w:rPr>
                      <w:sz w:val="20"/>
                      <w:szCs w:val="20"/>
                    </w:rPr>
                  </w:pPr>
                  <w:r>
                    <w:rPr>
                      <w:rFonts w:ascii="Times New Roman" w:hAnsi="Times New Roman" w:eastAsia="Times New Roman" w:cs="Times New Roman"/>
                      <w:spacing w:val="-12"/>
                      <w:sz w:val="20"/>
                      <w:szCs w:val="20"/>
                    </w:rPr>
                    <w:t>1997</w:t>
                  </w:r>
                  <w:r>
                    <w:rPr>
                      <w:rFonts w:ascii="Times New Roman" w:hAnsi="Times New Roman" w:eastAsia="Times New Roman" w:cs="Times New Roman"/>
                      <w:spacing w:val="15"/>
                      <w:w w:val="101"/>
                      <w:sz w:val="20"/>
                      <w:szCs w:val="20"/>
                    </w:rPr>
                    <w:t xml:space="preserve"> </w:t>
                  </w:r>
                  <w:r>
                    <w:rPr>
                      <w:spacing w:val="-12"/>
                      <w:sz w:val="20"/>
                      <w:szCs w:val="20"/>
                    </w:rPr>
                    <w:t>年</w:t>
                  </w:r>
                  <w:r>
                    <w:rPr>
                      <w:spacing w:val="-25"/>
                      <w:sz w:val="20"/>
                      <w:szCs w:val="20"/>
                    </w:rPr>
                    <w:t xml:space="preserve"> </w:t>
                  </w:r>
                  <w:r>
                    <w:rPr>
                      <w:rFonts w:ascii="Times New Roman" w:hAnsi="Times New Roman" w:eastAsia="Times New Roman" w:cs="Times New Roman"/>
                      <w:spacing w:val="-12"/>
                      <w:sz w:val="20"/>
                      <w:szCs w:val="20"/>
                    </w:rPr>
                    <w:t>1</w:t>
                  </w:r>
                  <w:r>
                    <w:rPr>
                      <w:rFonts w:ascii="Times New Roman" w:hAnsi="Times New Roman" w:eastAsia="Times New Roman" w:cs="Times New Roman"/>
                      <w:spacing w:val="9"/>
                      <w:sz w:val="20"/>
                      <w:szCs w:val="20"/>
                    </w:rPr>
                    <w:t xml:space="preserve"> </w:t>
                  </w:r>
                  <w:r>
                    <w:rPr>
                      <w:spacing w:val="-12"/>
                      <w:sz w:val="20"/>
                      <w:szCs w:val="20"/>
                    </w:rPr>
                    <w:t>月</w:t>
                  </w:r>
                  <w:r>
                    <w:rPr>
                      <w:spacing w:val="-25"/>
                      <w:sz w:val="20"/>
                      <w:szCs w:val="20"/>
                    </w:rPr>
                    <w:t xml:space="preserve"> </w:t>
                  </w:r>
                  <w:r>
                    <w:rPr>
                      <w:rFonts w:ascii="Times New Roman" w:hAnsi="Times New Roman" w:eastAsia="Times New Roman" w:cs="Times New Roman"/>
                      <w:spacing w:val="-12"/>
                      <w:sz w:val="20"/>
                      <w:szCs w:val="20"/>
                    </w:rPr>
                    <w:t xml:space="preserve">1  </w:t>
                  </w:r>
                  <w:r>
                    <w:rPr>
                      <w:spacing w:val="-12"/>
                      <w:sz w:val="20"/>
                      <w:szCs w:val="20"/>
                    </w:rPr>
                    <w:t>日起新、改、</w:t>
                  </w:r>
                  <w:r>
                    <w:rPr>
                      <w:sz w:val="20"/>
                      <w:szCs w:val="20"/>
                    </w:rPr>
                    <w:t xml:space="preserve"> </w:t>
                  </w:r>
                  <w:r>
                    <w:rPr>
                      <w:spacing w:val="8"/>
                      <w:sz w:val="20"/>
                      <w:szCs w:val="20"/>
                    </w:rPr>
                    <w:t>扩建的工业炉窑</w:t>
                  </w:r>
                </w:p>
              </w:tc>
            </w:tr>
            <w:tr w14:paraId="3507B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43" w:type="dxa"/>
                  <w:vMerge w:val="continue"/>
                  <w:tcBorders>
                    <w:top w:val="nil"/>
                  </w:tcBorders>
                  <w:vAlign w:val="top"/>
                </w:tcPr>
                <w:p w14:paraId="7039A469">
                  <w:pPr>
                    <w:rPr>
                      <w:rFonts w:ascii="Arial"/>
                      <w:sz w:val="21"/>
                    </w:rPr>
                  </w:pPr>
                </w:p>
              </w:tc>
              <w:tc>
                <w:tcPr>
                  <w:tcW w:w="3573" w:type="dxa"/>
                  <w:gridSpan w:val="2"/>
                  <w:vMerge w:val="continue"/>
                  <w:tcBorders>
                    <w:top w:val="nil"/>
                  </w:tcBorders>
                  <w:vAlign w:val="top"/>
                </w:tcPr>
                <w:p w14:paraId="7296488C">
                  <w:pPr>
                    <w:rPr>
                      <w:rFonts w:ascii="Arial"/>
                      <w:sz w:val="21"/>
                    </w:rPr>
                  </w:pPr>
                </w:p>
              </w:tc>
              <w:tc>
                <w:tcPr>
                  <w:tcW w:w="949" w:type="dxa"/>
                  <w:vMerge w:val="continue"/>
                  <w:tcBorders>
                    <w:top w:val="nil"/>
                  </w:tcBorders>
                  <w:vAlign w:val="top"/>
                </w:tcPr>
                <w:p w14:paraId="7230CAF4">
                  <w:pPr>
                    <w:rPr>
                      <w:rFonts w:ascii="Arial"/>
                      <w:sz w:val="21"/>
                    </w:rPr>
                  </w:pPr>
                </w:p>
              </w:tc>
              <w:tc>
                <w:tcPr>
                  <w:tcW w:w="2559" w:type="dxa"/>
                  <w:vAlign w:val="top"/>
                </w:tcPr>
                <w:p w14:paraId="4E81BEBC">
                  <w:pPr>
                    <w:pStyle w:val="6"/>
                    <w:spacing w:before="35" w:line="223" w:lineRule="auto"/>
                    <w:ind w:left="865"/>
                    <w:rPr>
                      <w:sz w:val="20"/>
                      <w:szCs w:val="20"/>
                    </w:rPr>
                  </w:pPr>
                  <w:r>
                    <w:rPr>
                      <w:spacing w:val="7"/>
                      <w:sz w:val="20"/>
                      <w:szCs w:val="20"/>
                    </w:rPr>
                    <w:t>排放限值</w:t>
                  </w:r>
                </w:p>
              </w:tc>
            </w:tr>
            <w:tr w14:paraId="2D227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43" w:type="dxa"/>
                  <w:vAlign w:val="top"/>
                </w:tcPr>
                <w:p w14:paraId="445ABC8F">
                  <w:pPr>
                    <w:spacing w:before="202" w:line="195"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37" w:type="dxa"/>
                  <w:vAlign w:val="top"/>
                </w:tcPr>
                <w:p w14:paraId="2798E8BA">
                  <w:pPr>
                    <w:pStyle w:val="6"/>
                    <w:spacing w:before="30" w:line="234" w:lineRule="auto"/>
                    <w:ind w:left="666" w:right="234" w:hanging="429"/>
                    <w:rPr>
                      <w:sz w:val="20"/>
                      <w:szCs w:val="20"/>
                    </w:rPr>
                  </w:pPr>
                  <w:r>
                    <w:rPr>
                      <w:spacing w:val="8"/>
                      <w:sz w:val="20"/>
                      <w:szCs w:val="20"/>
                    </w:rPr>
                    <w:t>烟（粉）尘浓度</w:t>
                  </w:r>
                  <w:r>
                    <w:rPr>
                      <w:spacing w:val="3"/>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spacing w:val="9"/>
                      <w:sz w:val="20"/>
                      <w:szCs w:val="20"/>
                    </w:rPr>
                    <w:t>³</w:t>
                  </w:r>
                </w:p>
              </w:tc>
              <w:tc>
                <w:tcPr>
                  <w:tcW w:w="1636" w:type="dxa"/>
                  <w:vMerge w:val="restart"/>
                  <w:tcBorders>
                    <w:bottom w:val="nil"/>
                  </w:tcBorders>
                  <w:vAlign w:val="top"/>
                </w:tcPr>
                <w:p w14:paraId="5C2D287E">
                  <w:pPr>
                    <w:spacing w:line="377" w:lineRule="auto"/>
                    <w:rPr>
                      <w:rFonts w:ascii="Arial"/>
                      <w:sz w:val="21"/>
                    </w:rPr>
                  </w:pPr>
                </w:p>
                <w:p w14:paraId="14C4C32C">
                  <w:pPr>
                    <w:pStyle w:val="6"/>
                    <w:spacing w:before="65" w:line="228" w:lineRule="auto"/>
                    <w:ind w:left="197"/>
                    <w:rPr>
                      <w:sz w:val="20"/>
                      <w:szCs w:val="20"/>
                    </w:rPr>
                  </w:pPr>
                  <w:r>
                    <w:rPr>
                      <w:spacing w:val="7"/>
                      <w:sz w:val="20"/>
                      <w:szCs w:val="20"/>
                    </w:rPr>
                    <w:t>非金属加热炉</w:t>
                  </w:r>
                </w:p>
              </w:tc>
              <w:tc>
                <w:tcPr>
                  <w:tcW w:w="949" w:type="dxa"/>
                  <w:vAlign w:val="top"/>
                </w:tcPr>
                <w:p w14:paraId="4C113801">
                  <w:pPr>
                    <w:pStyle w:val="6"/>
                    <w:spacing w:before="205" w:line="183" w:lineRule="auto"/>
                    <w:ind w:left="380"/>
                    <w:rPr>
                      <w:sz w:val="20"/>
                      <w:szCs w:val="20"/>
                    </w:rPr>
                  </w:pPr>
                  <w:r>
                    <w:rPr>
                      <w:sz w:val="20"/>
                      <w:szCs w:val="20"/>
                    </w:rPr>
                    <w:t>二</w:t>
                  </w:r>
                </w:p>
              </w:tc>
              <w:tc>
                <w:tcPr>
                  <w:tcW w:w="2559" w:type="dxa"/>
                  <w:vAlign w:val="top"/>
                </w:tcPr>
                <w:p w14:paraId="134A00F5">
                  <w:pPr>
                    <w:spacing w:before="202" w:line="195" w:lineRule="auto"/>
                    <w:ind w:left="11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20F91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43" w:type="dxa"/>
                  <w:vAlign w:val="top"/>
                </w:tcPr>
                <w:p w14:paraId="2B0072C1">
                  <w:pPr>
                    <w:spacing w:before="206"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37" w:type="dxa"/>
                  <w:vAlign w:val="top"/>
                </w:tcPr>
                <w:p w14:paraId="0A20C2D9">
                  <w:pPr>
                    <w:pStyle w:val="6"/>
                    <w:spacing w:before="32" w:line="228" w:lineRule="auto"/>
                    <w:ind w:left="134"/>
                    <w:rPr>
                      <w:sz w:val="20"/>
                      <w:szCs w:val="20"/>
                    </w:rPr>
                  </w:pPr>
                  <w:r>
                    <w:rPr>
                      <w:spacing w:val="8"/>
                      <w:sz w:val="20"/>
                      <w:szCs w:val="20"/>
                    </w:rPr>
                    <w:t>烟气黑度（林格曼</w:t>
                  </w:r>
                </w:p>
                <w:p w14:paraId="00BDD934">
                  <w:pPr>
                    <w:pStyle w:val="6"/>
                    <w:spacing w:before="25" w:line="216" w:lineRule="auto"/>
                    <w:ind w:left="766"/>
                    <w:rPr>
                      <w:sz w:val="20"/>
                      <w:szCs w:val="20"/>
                    </w:rPr>
                  </w:pPr>
                  <w:r>
                    <w:rPr>
                      <w:spacing w:val="-2"/>
                      <w:sz w:val="20"/>
                      <w:szCs w:val="20"/>
                    </w:rPr>
                    <w:t>级）</w:t>
                  </w:r>
                </w:p>
              </w:tc>
              <w:tc>
                <w:tcPr>
                  <w:tcW w:w="1636" w:type="dxa"/>
                  <w:vMerge w:val="continue"/>
                  <w:tcBorders>
                    <w:top w:val="nil"/>
                  </w:tcBorders>
                  <w:vAlign w:val="top"/>
                </w:tcPr>
                <w:p w14:paraId="6CEEE26B">
                  <w:pPr>
                    <w:rPr>
                      <w:rFonts w:ascii="Arial"/>
                      <w:sz w:val="21"/>
                    </w:rPr>
                  </w:pPr>
                </w:p>
              </w:tc>
              <w:tc>
                <w:tcPr>
                  <w:tcW w:w="949" w:type="dxa"/>
                  <w:vAlign w:val="top"/>
                </w:tcPr>
                <w:p w14:paraId="4146D941">
                  <w:pPr>
                    <w:pStyle w:val="6"/>
                    <w:spacing w:before="206" w:line="183" w:lineRule="auto"/>
                    <w:ind w:left="380"/>
                    <w:rPr>
                      <w:sz w:val="20"/>
                      <w:szCs w:val="20"/>
                    </w:rPr>
                  </w:pPr>
                  <w:r>
                    <w:rPr>
                      <w:sz w:val="20"/>
                      <w:szCs w:val="20"/>
                    </w:rPr>
                    <w:t>二</w:t>
                  </w:r>
                </w:p>
              </w:tc>
              <w:tc>
                <w:tcPr>
                  <w:tcW w:w="2559" w:type="dxa"/>
                  <w:vAlign w:val="top"/>
                </w:tcPr>
                <w:p w14:paraId="366B8EF4">
                  <w:pPr>
                    <w:spacing w:before="206" w:line="195" w:lineRule="auto"/>
                    <w:ind w:left="12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F370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43" w:type="dxa"/>
                  <w:vAlign w:val="top"/>
                </w:tcPr>
                <w:p w14:paraId="22F00844">
                  <w:pPr>
                    <w:spacing w:before="131"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37" w:type="dxa"/>
                  <w:vAlign w:val="top"/>
                </w:tcPr>
                <w:p w14:paraId="182C7C10">
                  <w:pPr>
                    <w:pStyle w:val="6"/>
                    <w:spacing w:before="96" w:line="221" w:lineRule="auto"/>
                    <w:ind w:left="233"/>
                    <w:rPr>
                      <w:sz w:val="20"/>
                      <w:szCs w:val="20"/>
                    </w:rPr>
                  </w:pPr>
                  <w:r>
                    <w:rPr>
                      <w:spacing w:val="15"/>
                      <w:sz w:val="20"/>
                      <w:szCs w:val="20"/>
                    </w:rPr>
                    <w:t>二氧化硫</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/m</w:t>
                  </w:r>
                  <w:r>
                    <w:rPr>
                      <w:spacing w:val="15"/>
                      <w:sz w:val="20"/>
                      <w:szCs w:val="20"/>
                    </w:rPr>
                    <w:t>³</w:t>
                  </w:r>
                </w:p>
              </w:tc>
              <w:tc>
                <w:tcPr>
                  <w:tcW w:w="1636" w:type="dxa"/>
                  <w:vAlign w:val="top"/>
                </w:tcPr>
                <w:p w14:paraId="66670B54">
                  <w:pPr>
                    <w:pStyle w:val="6"/>
                    <w:spacing w:before="96" w:line="228" w:lineRule="auto"/>
                    <w:ind w:left="112"/>
                    <w:rPr>
                      <w:sz w:val="20"/>
                      <w:szCs w:val="20"/>
                    </w:rPr>
                  </w:pPr>
                  <w:r>
                    <w:rPr>
                      <w:spacing w:val="1"/>
                      <w:sz w:val="20"/>
                      <w:szCs w:val="20"/>
                    </w:rPr>
                    <w:t>燃煤（油）炉窑</w:t>
                  </w:r>
                </w:p>
              </w:tc>
              <w:tc>
                <w:tcPr>
                  <w:tcW w:w="949" w:type="dxa"/>
                  <w:vAlign w:val="top"/>
                </w:tcPr>
                <w:p w14:paraId="2165150F">
                  <w:pPr>
                    <w:pStyle w:val="6"/>
                    <w:spacing w:before="135" w:line="183" w:lineRule="auto"/>
                    <w:ind w:left="380"/>
                    <w:rPr>
                      <w:sz w:val="20"/>
                      <w:szCs w:val="20"/>
                    </w:rPr>
                  </w:pPr>
                  <w:r>
                    <w:rPr>
                      <w:sz w:val="20"/>
                      <w:szCs w:val="20"/>
                    </w:rPr>
                    <w:t>二</w:t>
                  </w:r>
                </w:p>
              </w:tc>
              <w:tc>
                <w:tcPr>
                  <w:tcW w:w="2559" w:type="dxa"/>
                  <w:vAlign w:val="top"/>
                </w:tcPr>
                <w:p w14:paraId="4B30DC75">
                  <w:pPr>
                    <w:spacing w:before="131" w:line="195" w:lineRule="auto"/>
                    <w:ind w:left="1131"/>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r>
            <w:tr w14:paraId="66890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43" w:type="dxa"/>
                  <w:vAlign w:val="top"/>
                </w:tcPr>
                <w:p w14:paraId="2A04CDA3">
                  <w:pPr>
                    <w:spacing w:before="205"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37" w:type="dxa"/>
                  <w:vAlign w:val="top"/>
                </w:tcPr>
                <w:p w14:paraId="75DD74E8">
                  <w:pPr>
                    <w:pStyle w:val="6"/>
                    <w:spacing w:before="32" w:line="234" w:lineRule="auto"/>
                    <w:ind w:left="376" w:right="150" w:hanging="263"/>
                    <w:rPr>
                      <w:sz w:val="20"/>
                      <w:szCs w:val="20"/>
                    </w:rPr>
                  </w:pPr>
                  <w:r>
                    <w:rPr>
                      <w:spacing w:val="8"/>
                      <w:sz w:val="20"/>
                      <w:szCs w:val="20"/>
                    </w:rPr>
                    <w:t>氟及其化合物（以</w:t>
                  </w:r>
                  <w:r>
                    <w:rPr>
                      <w:spacing w:val="3"/>
                      <w:sz w:val="20"/>
                      <w:szCs w:val="20"/>
                    </w:rPr>
                    <w:t xml:space="preserve"> </w:t>
                  </w:r>
                  <w:r>
                    <w:rPr>
                      <w:rFonts w:ascii="Times New Roman" w:hAnsi="Times New Roman" w:eastAsia="Times New Roman" w:cs="Times New Roman"/>
                      <w:spacing w:val="7"/>
                      <w:sz w:val="20"/>
                      <w:szCs w:val="20"/>
                    </w:rPr>
                    <w:t xml:space="preserve">F </w:t>
                  </w:r>
                  <w:r>
                    <w:rPr>
                      <w:spacing w:val="7"/>
                      <w:sz w:val="20"/>
                      <w:szCs w:val="20"/>
                    </w:rPr>
                    <w:t>计）</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spacing w:val="7"/>
                      <w:sz w:val="20"/>
                      <w:szCs w:val="20"/>
                    </w:rPr>
                    <w:t>³</w:t>
                  </w:r>
                </w:p>
              </w:tc>
              <w:tc>
                <w:tcPr>
                  <w:tcW w:w="1636" w:type="dxa"/>
                  <w:vAlign w:val="top"/>
                </w:tcPr>
                <w:p w14:paraId="34C7A196">
                  <w:pPr>
                    <w:pStyle w:val="6"/>
                    <w:spacing w:before="168" w:line="228" w:lineRule="auto"/>
                    <w:ind w:left="613"/>
                    <w:rPr>
                      <w:sz w:val="20"/>
                      <w:szCs w:val="20"/>
                    </w:rPr>
                  </w:pPr>
                  <w:r>
                    <w:rPr>
                      <w:spacing w:val="4"/>
                      <w:sz w:val="20"/>
                      <w:szCs w:val="20"/>
                    </w:rPr>
                    <w:t>全部</w:t>
                  </w:r>
                </w:p>
              </w:tc>
              <w:tc>
                <w:tcPr>
                  <w:tcW w:w="949" w:type="dxa"/>
                  <w:vAlign w:val="top"/>
                </w:tcPr>
                <w:p w14:paraId="22DB464B">
                  <w:pPr>
                    <w:pStyle w:val="6"/>
                    <w:spacing w:before="208" w:line="183" w:lineRule="auto"/>
                    <w:ind w:left="380"/>
                    <w:rPr>
                      <w:sz w:val="20"/>
                      <w:szCs w:val="20"/>
                    </w:rPr>
                  </w:pPr>
                  <w:r>
                    <w:rPr>
                      <w:sz w:val="20"/>
                      <w:szCs w:val="20"/>
                    </w:rPr>
                    <w:t>二</w:t>
                  </w:r>
                </w:p>
              </w:tc>
              <w:tc>
                <w:tcPr>
                  <w:tcW w:w="2559" w:type="dxa"/>
                  <w:vAlign w:val="top"/>
                </w:tcPr>
                <w:p w14:paraId="75F50107">
                  <w:pPr>
                    <w:spacing w:before="204" w:line="195" w:lineRule="auto"/>
                    <w:ind w:left="123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54EBE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43" w:type="dxa"/>
                  <w:vAlign w:val="top"/>
                </w:tcPr>
                <w:p w14:paraId="024614AE">
                  <w:pPr>
                    <w:spacing w:before="136" w:line="192"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37" w:type="dxa"/>
                  <w:vAlign w:val="top"/>
                </w:tcPr>
                <w:p w14:paraId="796AB8FC">
                  <w:pPr>
                    <w:pStyle w:val="6"/>
                    <w:spacing w:before="97" w:line="221" w:lineRule="auto"/>
                    <w:ind w:left="544"/>
                    <w:rPr>
                      <w:sz w:val="20"/>
                      <w:szCs w:val="20"/>
                    </w:rPr>
                  </w:pPr>
                  <w:r>
                    <w:rPr>
                      <w:spacing w:val="6"/>
                      <w:sz w:val="20"/>
                      <w:szCs w:val="20"/>
                    </w:rPr>
                    <w:t>铅</w:t>
                  </w:r>
                  <w:r>
                    <w:rPr>
                      <w:spacing w:val="-45"/>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spacing w:val="6"/>
                      <w:sz w:val="20"/>
                      <w:szCs w:val="20"/>
                    </w:rPr>
                    <w:t>³</w:t>
                  </w:r>
                </w:p>
              </w:tc>
              <w:tc>
                <w:tcPr>
                  <w:tcW w:w="1636" w:type="dxa"/>
                  <w:vMerge w:val="restart"/>
                  <w:tcBorders>
                    <w:bottom w:val="nil"/>
                  </w:tcBorders>
                  <w:vAlign w:val="top"/>
                </w:tcPr>
                <w:p w14:paraId="6F8DB7D5">
                  <w:pPr>
                    <w:pStyle w:val="6"/>
                    <w:spacing w:before="162" w:line="228" w:lineRule="auto"/>
                    <w:ind w:left="195"/>
                    <w:rPr>
                      <w:sz w:val="20"/>
                      <w:szCs w:val="20"/>
                    </w:rPr>
                  </w:pPr>
                  <w:r>
                    <w:rPr>
                      <w:spacing w:val="7"/>
                      <w:sz w:val="20"/>
                      <w:szCs w:val="20"/>
                    </w:rPr>
                    <w:t>金属熔炼炉以</w:t>
                  </w:r>
                </w:p>
                <w:p w14:paraId="3997180C">
                  <w:pPr>
                    <w:pStyle w:val="6"/>
                    <w:spacing w:before="26" w:line="228" w:lineRule="auto"/>
                    <w:ind w:left="197"/>
                    <w:rPr>
                      <w:sz w:val="20"/>
                      <w:szCs w:val="20"/>
                    </w:rPr>
                  </w:pPr>
                  <w:r>
                    <w:rPr>
                      <w:spacing w:val="7"/>
                      <w:sz w:val="20"/>
                      <w:szCs w:val="20"/>
                    </w:rPr>
                    <w:t>外的其他炉窑</w:t>
                  </w:r>
                </w:p>
              </w:tc>
              <w:tc>
                <w:tcPr>
                  <w:tcW w:w="949" w:type="dxa"/>
                  <w:vAlign w:val="top"/>
                </w:tcPr>
                <w:p w14:paraId="46C231B9">
                  <w:pPr>
                    <w:pStyle w:val="6"/>
                    <w:spacing w:before="136" w:line="183" w:lineRule="auto"/>
                    <w:ind w:left="380"/>
                    <w:rPr>
                      <w:sz w:val="20"/>
                      <w:szCs w:val="20"/>
                    </w:rPr>
                  </w:pPr>
                  <w:r>
                    <w:rPr>
                      <w:sz w:val="20"/>
                      <w:szCs w:val="20"/>
                    </w:rPr>
                    <w:t>二</w:t>
                  </w:r>
                </w:p>
              </w:tc>
              <w:tc>
                <w:tcPr>
                  <w:tcW w:w="2559" w:type="dxa"/>
                  <w:vAlign w:val="top"/>
                </w:tcPr>
                <w:p w14:paraId="68EC1387">
                  <w:pPr>
                    <w:spacing w:before="133"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14:paraId="2F81D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43" w:type="dxa"/>
                  <w:vAlign w:val="top"/>
                </w:tcPr>
                <w:p w14:paraId="635AC922">
                  <w:pPr>
                    <w:spacing w:before="131"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37" w:type="dxa"/>
                  <w:vAlign w:val="top"/>
                </w:tcPr>
                <w:p w14:paraId="62513B10">
                  <w:pPr>
                    <w:pStyle w:val="6"/>
                    <w:spacing w:before="96" w:line="221" w:lineRule="auto"/>
                    <w:ind w:left="545"/>
                    <w:rPr>
                      <w:sz w:val="20"/>
                      <w:szCs w:val="20"/>
                    </w:rPr>
                  </w:pPr>
                  <w:r>
                    <w:rPr>
                      <w:spacing w:val="6"/>
                      <w:sz w:val="20"/>
                      <w:szCs w:val="20"/>
                    </w:rPr>
                    <w:t>汞</w:t>
                  </w:r>
                  <w:r>
                    <w:rPr>
                      <w:spacing w:val="-45"/>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spacing w:val="6"/>
                      <w:sz w:val="20"/>
                      <w:szCs w:val="20"/>
                    </w:rPr>
                    <w:t>³</w:t>
                  </w:r>
                </w:p>
              </w:tc>
              <w:tc>
                <w:tcPr>
                  <w:tcW w:w="1636" w:type="dxa"/>
                  <w:vMerge w:val="continue"/>
                  <w:tcBorders>
                    <w:top w:val="nil"/>
                  </w:tcBorders>
                  <w:vAlign w:val="top"/>
                </w:tcPr>
                <w:p w14:paraId="6A51D7F2">
                  <w:pPr>
                    <w:rPr>
                      <w:rFonts w:ascii="Arial"/>
                      <w:sz w:val="21"/>
                    </w:rPr>
                  </w:pPr>
                </w:p>
              </w:tc>
              <w:tc>
                <w:tcPr>
                  <w:tcW w:w="949" w:type="dxa"/>
                  <w:vAlign w:val="top"/>
                </w:tcPr>
                <w:p w14:paraId="45254567">
                  <w:pPr>
                    <w:pStyle w:val="6"/>
                    <w:spacing w:before="135" w:line="183" w:lineRule="auto"/>
                    <w:ind w:left="380"/>
                    <w:rPr>
                      <w:sz w:val="20"/>
                      <w:szCs w:val="20"/>
                    </w:rPr>
                  </w:pPr>
                  <w:r>
                    <w:rPr>
                      <w:sz w:val="20"/>
                      <w:szCs w:val="20"/>
                    </w:rPr>
                    <w:t>二</w:t>
                  </w:r>
                </w:p>
              </w:tc>
              <w:tc>
                <w:tcPr>
                  <w:tcW w:w="2559" w:type="dxa"/>
                  <w:vAlign w:val="top"/>
                </w:tcPr>
                <w:p w14:paraId="4A702D58">
                  <w:pPr>
                    <w:spacing w:before="131"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14:paraId="2A0F0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43" w:type="dxa"/>
                  <w:vAlign w:val="top"/>
                </w:tcPr>
                <w:p w14:paraId="3AF73D27">
                  <w:pPr>
                    <w:spacing w:before="210" w:line="192"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37" w:type="dxa"/>
                  <w:vAlign w:val="top"/>
                </w:tcPr>
                <w:p w14:paraId="45A06BC6">
                  <w:pPr>
                    <w:pStyle w:val="6"/>
                    <w:spacing w:before="35" w:line="232" w:lineRule="auto"/>
                    <w:ind w:left="316" w:right="150" w:hanging="205"/>
                    <w:rPr>
                      <w:sz w:val="20"/>
                      <w:szCs w:val="20"/>
                    </w:rPr>
                  </w:pPr>
                  <w:r>
                    <w:rPr>
                      <w:spacing w:val="8"/>
                      <w:sz w:val="20"/>
                      <w:szCs w:val="20"/>
                    </w:rPr>
                    <w:t>铍及其化合物（以</w:t>
                  </w:r>
                  <w:r>
                    <w:rPr>
                      <w:spacing w:val="5"/>
                      <w:sz w:val="20"/>
                      <w:szCs w:val="20"/>
                    </w:rPr>
                    <w:t xml:space="preserve"> </w:t>
                  </w:r>
                  <w:r>
                    <w:rPr>
                      <w:rFonts w:ascii="Times New Roman" w:hAnsi="Times New Roman" w:eastAsia="Times New Roman" w:cs="Times New Roman"/>
                      <w:sz w:val="20"/>
                      <w:szCs w:val="20"/>
                    </w:rPr>
                    <w:t>Be</w:t>
                  </w:r>
                  <w:r>
                    <w:rPr>
                      <w:rFonts w:ascii="Times New Roman" w:hAnsi="Times New Roman" w:eastAsia="Times New Roman" w:cs="Times New Roman"/>
                      <w:spacing w:val="9"/>
                      <w:sz w:val="20"/>
                      <w:szCs w:val="20"/>
                    </w:rPr>
                    <w:t xml:space="preserve"> </w:t>
                  </w:r>
                  <w:r>
                    <w:rPr>
                      <w:spacing w:val="9"/>
                      <w:sz w:val="20"/>
                      <w:szCs w:val="20"/>
                    </w:rPr>
                    <w:t>计）</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spacing w:val="9"/>
                      <w:sz w:val="20"/>
                      <w:szCs w:val="20"/>
                    </w:rPr>
                    <w:t>³</w:t>
                  </w:r>
                </w:p>
              </w:tc>
              <w:tc>
                <w:tcPr>
                  <w:tcW w:w="1636" w:type="dxa"/>
                  <w:vAlign w:val="top"/>
                </w:tcPr>
                <w:p w14:paraId="61F1BDD7">
                  <w:pPr>
                    <w:pStyle w:val="6"/>
                    <w:spacing w:before="168" w:line="228" w:lineRule="auto"/>
                    <w:ind w:left="613"/>
                    <w:rPr>
                      <w:sz w:val="20"/>
                      <w:szCs w:val="20"/>
                    </w:rPr>
                  </w:pPr>
                  <w:r>
                    <w:rPr>
                      <w:spacing w:val="4"/>
                      <w:sz w:val="20"/>
                      <w:szCs w:val="20"/>
                    </w:rPr>
                    <w:t>全部</w:t>
                  </w:r>
                </w:p>
              </w:tc>
              <w:tc>
                <w:tcPr>
                  <w:tcW w:w="949" w:type="dxa"/>
                  <w:vAlign w:val="top"/>
                </w:tcPr>
                <w:p w14:paraId="26DE202F">
                  <w:pPr>
                    <w:pStyle w:val="6"/>
                    <w:spacing w:before="208" w:line="183" w:lineRule="auto"/>
                    <w:ind w:left="380"/>
                    <w:rPr>
                      <w:sz w:val="20"/>
                      <w:szCs w:val="20"/>
                    </w:rPr>
                  </w:pPr>
                  <w:r>
                    <w:rPr>
                      <w:sz w:val="20"/>
                      <w:szCs w:val="20"/>
                    </w:rPr>
                    <w:t>二</w:t>
                  </w:r>
                </w:p>
              </w:tc>
              <w:tc>
                <w:tcPr>
                  <w:tcW w:w="2559" w:type="dxa"/>
                  <w:vAlign w:val="top"/>
                </w:tcPr>
                <w:p w14:paraId="37507829">
                  <w:pPr>
                    <w:spacing w:before="207"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14:paraId="03A71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43" w:type="dxa"/>
                  <w:vAlign w:val="top"/>
                </w:tcPr>
                <w:p w14:paraId="0067895F">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37" w:type="dxa"/>
                  <w:vAlign w:val="top"/>
                </w:tcPr>
                <w:p w14:paraId="0A9CCEAF">
                  <w:pPr>
                    <w:pStyle w:val="6"/>
                    <w:spacing w:before="98" w:line="221" w:lineRule="auto"/>
                    <w:ind w:left="229"/>
                    <w:rPr>
                      <w:sz w:val="20"/>
                      <w:szCs w:val="20"/>
                    </w:rPr>
                  </w:pPr>
                  <w:r>
                    <w:rPr>
                      <w:spacing w:val="15"/>
                      <w:sz w:val="20"/>
                      <w:szCs w:val="20"/>
                    </w:rPr>
                    <w:t>沥青油烟</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/m</w:t>
                  </w:r>
                  <w:r>
                    <w:rPr>
                      <w:spacing w:val="15"/>
                      <w:sz w:val="20"/>
                      <w:szCs w:val="20"/>
                    </w:rPr>
                    <w:t>³</w:t>
                  </w:r>
                </w:p>
              </w:tc>
              <w:tc>
                <w:tcPr>
                  <w:tcW w:w="1636" w:type="dxa"/>
                  <w:vAlign w:val="top"/>
                </w:tcPr>
                <w:p w14:paraId="51C91982">
                  <w:pPr>
                    <w:pStyle w:val="6"/>
                    <w:spacing w:before="98" w:line="228" w:lineRule="auto"/>
                    <w:ind w:left="613"/>
                    <w:rPr>
                      <w:sz w:val="20"/>
                      <w:szCs w:val="20"/>
                    </w:rPr>
                  </w:pPr>
                  <w:r>
                    <w:rPr>
                      <w:spacing w:val="4"/>
                      <w:sz w:val="20"/>
                      <w:szCs w:val="20"/>
                    </w:rPr>
                    <w:t>全部</w:t>
                  </w:r>
                </w:p>
              </w:tc>
              <w:tc>
                <w:tcPr>
                  <w:tcW w:w="949" w:type="dxa"/>
                  <w:vAlign w:val="top"/>
                </w:tcPr>
                <w:p w14:paraId="38DF6ACD">
                  <w:pPr>
                    <w:pStyle w:val="6"/>
                    <w:spacing w:before="137" w:line="183" w:lineRule="auto"/>
                    <w:ind w:left="380"/>
                    <w:rPr>
                      <w:sz w:val="20"/>
                      <w:szCs w:val="20"/>
                    </w:rPr>
                  </w:pPr>
                  <w:r>
                    <w:rPr>
                      <w:sz w:val="20"/>
                      <w:szCs w:val="20"/>
                    </w:rPr>
                    <w:t>二</w:t>
                  </w:r>
                </w:p>
              </w:tc>
              <w:tc>
                <w:tcPr>
                  <w:tcW w:w="2559" w:type="dxa"/>
                  <w:vAlign w:val="top"/>
                </w:tcPr>
                <w:p w14:paraId="07D9E4DA">
                  <w:pPr>
                    <w:spacing w:before="134" w:line="195" w:lineRule="auto"/>
                    <w:ind w:left="118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2C844B91">
            <w:pPr>
              <w:pStyle w:val="6"/>
              <w:spacing w:before="157" w:line="360" w:lineRule="auto"/>
              <w:ind w:left="120" w:right="117" w:firstLine="469"/>
            </w:pPr>
            <w:r>
              <w:rPr>
                <w:spacing w:val="17"/>
              </w:rPr>
              <w:t>燃料燃烧产生的无组织废气执行《工业炉窑大气污染物排放标准》</w:t>
            </w:r>
            <w:r>
              <w:rPr>
                <w:spacing w:val="14"/>
              </w:rPr>
              <w:t xml:space="preserve"> </w:t>
            </w:r>
            <w:r>
              <w:rPr>
                <w:spacing w:val="-1"/>
              </w:rPr>
              <w:t>（</w:t>
            </w:r>
            <w:r>
              <w:rPr>
                <w:rFonts w:ascii="Times New Roman" w:hAnsi="Times New Roman" w:eastAsia="Times New Roman" w:cs="Times New Roman"/>
                <w:spacing w:val="-1"/>
              </w:rPr>
              <w:t>GB9078-1996</w:t>
            </w:r>
            <w:r>
              <w:rPr>
                <w:spacing w:val="-1"/>
              </w:rPr>
              <w:t>）表</w:t>
            </w:r>
            <w:r>
              <w:rPr>
                <w:spacing w:val="-47"/>
              </w:rPr>
              <w:t xml:space="preserve"> </w:t>
            </w:r>
            <w:r>
              <w:rPr>
                <w:rFonts w:ascii="Times New Roman" w:hAnsi="Times New Roman" w:eastAsia="Times New Roman" w:cs="Times New Roman"/>
                <w:spacing w:val="-1"/>
              </w:rPr>
              <w:t xml:space="preserve">3 </w:t>
            </w:r>
            <w:r>
              <w:rPr>
                <w:spacing w:val="-1"/>
              </w:rPr>
              <w:t>规定的大气污染物排放限值，标准值见下表：</w:t>
            </w:r>
          </w:p>
          <w:p w14:paraId="6F3A13E7">
            <w:pPr>
              <w:pStyle w:val="6"/>
              <w:spacing w:before="116" w:line="219" w:lineRule="auto"/>
              <w:ind w:left="1435"/>
            </w:pPr>
            <w:r>
              <w:rPr>
                <w:b/>
                <w:bCs/>
                <w:spacing w:val="-2"/>
              </w:rPr>
              <w:t>表</w:t>
            </w:r>
            <w:r>
              <w:rPr>
                <w:spacing w:val="-48"/>
              </w:rPr>
              <w:t xml:space="preserve"> </w:t>
            </w:r>
            <w:r>
              <w:rPr>
                <w:rFonts w:ascii="Times New Roman" w:hAnsi="Times New Roman" w:eastAsia="Times New Roman" w:cs="Times New Roman"/>
                <w:b/>
                <w:bCs/>
                <w:spacing w:val="-2"/>
              </w:rPr>
              <w:t xml:space="preserve">3-10    </w:t>
            </w:r>
            <w:r>
              <w:rPr>
                <w:b/>
                <w:bCs/>
                <w:spacing w:val="-2"/>
              </w:rPr>
              <w:t>燃料燃烧废气污染物无组织排放浓度限值</w:t>
            </w:r>
          </w:p>
          <w:p w14:paraId="544E3B1E">
            <w:pPr>
              <w:spacing w:line="147" w:lineRule="exact"/>
            </w:pPr>
          </w:p>
          <w:tbl>
            <w:tblPr>
              <w:tblStyle w:val="5"/>
              <w:tblW w:w="7832"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6"/>
              <w:gridCol w:w="3464"/>
              <w:gridCol w:w="2642"/>
            </w:tblGrid>
            <w:tr w14:paraId="1E6BF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726" w:type="dxa"/>
                  <w:vAlign w:val="top"/>
                </w:tcPr>
                <w:p w14:paraId="7EFFAD99">
                  <w:pPr>
                    <w:pStyle w:val="6"/>
                    <w:spacing w:before="169" w:line="229" w:lineRule="auto"/>
                    <w:ind w:left="452"/>
                    <w:rPr>
                      <w:sz w:val="20"/>
                      <w:szCs w:val="20"/>
                    </w:rPr>
                  </w:pPr>
                  <w:r>
                    <w:rPr>
                      <w:spacing w:val="6"/>
                      <w:sz w:val="20"/>
                      <w:szCs w:val="20"/>
                    </w:rPr>
                    <w:t>设置方式</w:t>
                  </w:r>
                </w:p>
              </w:tc>
              <w:tc>
                <w:tcPr>
                  <w:tcW w:w="3464" w:type="dxa"/>
                  <w:vAlign w:val="top"/>
                </w:tcPr>
                <w:p w14:paraId="55DFA65F">
                  <w:pPr>
                    <w:pStyle w:val="6"/>
                    <w:spacing w:before="168" w:line="228" w:lineRule="auto"/>
                    <w:ind w:left="1319"/>
                    <w:rPr>
                      <w:sz w:val="20"/>
                      <w:szCs w:val="20"/>
                    </w:rPr>
                  </w:pPr>
                  <w:r>
                    <w:rPr>
                      <w:spacing w:val="6"/>
                      <w:sz w:val="20"/>
                      <w:szCs w:val="20"/>
                    </w:rPr>
                    <w:t>炉窑类别</w:t>
                  </w:r>
                </w:p>
              </w:tc>
              <w:tc>
                <w:tcPr>
                  <w:tcW w:w="2642" w:type="dxa"/>
                  <w:vAlign w:val="top"/>
                </w:tcPr>
                <w:p w14:paraId="2842A1C6">
                  <w:pPr>
                    <w:pStyle w:val="6"/>
                    <w:spacing w:before="35" w:line="234" w:lineRule="auto"/>
                    <w:ind w:left="610" w:right="164" w:hanging="437"/>
                    <w:rPr>
                      <w:rFonts w:ascii="Times New Roman" w:hAnsi="Times New Roman" w:eastAsia="Times New Roman" w:cs="Times New Roman"/>
                      <w:sz w:val="20"/>
                      <w:szCs w:val="20"/>
                    </w:rPr>
                  </w:pPr>
                  <w:r>
                    <w:rPr>
                      <w:spacing w:val="8"/>
                      <w:sz w:val="20"/>
                      <w:szCs w:val="20"/>
                    </w:rPr>
                    <w:t>无组织排放烟(粉)尘最高</w:t>
                  </w:r>
                  <w:r>
                    <w:rPr>
                      <w:spacing w:val="2"/>
                      <w:sz w:val="20"/>
                      <w:szCs w:val="20"/>
                    </w:rPr>
                    <w:t xml:space="preserve"> </w:t>
                  </w:r>
                  <w:r>
                    <w:rPr>
                      <w:spacing w:val="14"/>
                      <w:sz w:val="20"/>
                      <w:szCs w:val="20"/>
                    </w:rPr>
                    <w:t>允许浓度</w:t>
                  </w:r>
                  <w:r>
                    <w:rPr>
                      <w:rFonts w:ascii="Times New Roman" w:hAnsi="Times New Roman" w:eastAsia="Times New Roman" w:cs="Times New Roman"/>
                      <w:sz w:val="20"/>
                      <w:szCs w:val="20"/>
                    </w:rPr>
                    <w:t>mg</w:t>
                  </w:r>
                  <w:r>
                    <w:rPr>
                      <w:rFonts w:ascii="Times New Roman" w:hAnsi="Times New Roman" w:eastAsia="Times New Roman" w:cs="Times New Roman"/>
                      <w:spacing w:val="14"/>
                      <w:sz w:val="20"/>
                      <w:szCs w:val="20"/>
                    </w:rPr>
                    <w:t>/m3</w:t>
                  </w:r>
                </w:p>
              </w:tc>
            </w:tr>
            <w:tr w14:paraId="74B50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26" w:type="dxa"/>
                  <w:vAlign w:val="top"/>
                </w:tcPr>
                <w:p w14:paraId="7861F173">
                  <w:pPr>
                    <w:pStyle w:val="6"/>
                    <w:spacing w:before="94" w:line="228" w:lineRule="auto"/>
                    <w:ind w:left="344"/>
                    <w:rPr>
                      <w:sz w:val="20"/>
                      <w:szCs w:val="20"/>
                    </w:rPr>
                  </w:pPr>
                  <w:r>
                    <w:rPr>
                      <w:spacing w:val="7"/>
                      <w:sz w:val="20"/>
                      <w:szCs w:val="20"/>
                    </w:rPr>
                    <w:t>有车间厂房</w:t>
                  </w:r>
                </w:p>
              </w:tc>
              <w:tc>
                <w:tcPr>
                  <w:tcW w:w="3464" w:type="dxa"/>
                  <w:vAlign w:val="top"/>
                </w:tcPr>
                <w:p w14:paraId="3DBAED42">
                  <w:pPr>
                    <w:pStyle w:val="6"/>
                    <w:spacing w:before="94" w:line="227" w:lineRule="auto"/>
                    <w:ind w:left="163"/>
                    <w:rPr>
                      <w:sz w:val="20"/>
                      <w:szCs w:val="20"/>
                    </w:rPr>
                  </w:pPr>
                  <w:r>
                    <w:rPr>
                      <w:spacing w:val="9"/>
                      <w:sz w:val="20"/>
                      <w:szCs w:val="20"/>
                    </w:rPr>
                    <w:t>熔炼炉、铁矿烧结炉以外其他炉窑</w:t>
                  </w:r>
                </w:p>
              </w:tc>
              <w:tc>
                <w:tcPr>
                  <w:tcW w:w="2642" w:type="dxa"/>
                  <w:vAlign w:val="top"/>
                </w:tcPr>
                <w:p w14:paraId="18A525F2">
                  <w:pPr>
                    <w:pStyle w:val="6"/>
                    <w:spacing w:before="94" w:line="269" w:lineRule="exact"/>
                    <w:ind w:left="1277"/>
                    <w:rPr>
                      <w:sz w:val="20"/>
                      <w:szCs w:val="20"/>
                    </w:rPr>
                  </w:pPr>
                  <w:r>
                    <w:rPr>
                      <w:position w:val="1"/>
                      <w:sz w:val="20"/>
                      <w:szCs w:val="20"/>
                    </w:rPr>
                    <w:t>5</w:t>
                  </w:r>
                </w:p>
              </w:tc>
            </w:tr>
          </w:tbl>
          <w:p w14:paraId="5B8F4EE0">
            <w:pPr>
              <w:pStyle w:val="6"/>
              <w:spacing w:before="157" w:line="360" w:lineRule="auto"/>
              <w:ind w:left="109" w:right="103" w:firstLine="483"/>
              <w:jc w:val="both"/>
            </w:pPr>
            <w:r>
              <w:rPr>
                <w:spacing w:val="-1"/>
              </w:rPr>
              <w:t>项目周边</w:t>
            </w:r>
            <w:r>
              <w:rPr>
                <w:rFonts w:ascii="Times New Roman" w:hAnsi="Times New Roman" w:eastAsia="Times New Roman" w:cs="Times New Roman"/>
                <w:spacing w:val="-1"/>
              </w:rPr>
              <w:t>200m</w:t>
            </w:r>
            <w:r>
              <w:rPr>
                <w:spacing w:val="-1"/>
              </w:rPr>
              <w:t>范围内建筑多是</w:t>
            </w:r>
            <w:r>
              <w:rPr>
                <w:spacing w:val="-34"/>
              </w:rPr>
              <w:t xml:space="preserve"> </w:t>
            </w:r>
            <w:r>
              <w:rPr>
                <w:rFonts w:ascii="Times New Roman" w:hAnsi="Times New Roman" w:eastAsia="Times New Roman" w:cs="Times New Roman"/>
                <w:spacing w:val="-1"/>
              </w:rPr>
              <w:t>12-15m</w:t>
            </w:r>
            <w:r>
              <w:rPr>
                <w:spacing w:val="-1"/>
              </w:rPr>
              <w:t>左右的</w:t>
            </w:r>
            <w:r>
              <w:rPr>
                <w:spacing w:val="-70"/>
              </w:rPr>
              <w:t xml:space="preserve"> </w:t>
            </w:r>
            <w:r>
              <w:rPr>
                <w:rFonts w:ascii="Times New Roman" w:hAnsi="Times New Roman" w:eastAsia="Times New Roman" w:cs="Times New Roman"/>
                <w:spacing w:val="-1"/>
              </w:rPr>
              <w:t xml:space="preserve">3-4 </w:t>
            </w:r>
            <w:r>
              <w:rPr>
                <w:spacing w:val="-1"/>
              </w:rPr>
              <w:t>层建筑，没有高出</w:t>
            </w:r>
            <w:r>
              <w:rPr>
                <w:rFonts w:ascii="Times New Roman" w:hAnsi="Times New Roman" w:eastAsia="Times New Roman" w:cs="Times New Roman"/>
                <w:spacing w:val="-1"/>
              </w:rPr>
              <w:t>25m</w:t>
            </w:r>
            <w:r>
              <w:rPr>
                <w:rFonts w:ascii="Times New Roman" w:hAnsi="Times New Roman" w:eastAsia="Times New Roman" w:cs="Times New Roman"/>
              </w:rPr>
              <w:t xml:space="preserve"> </w:t>
            </w:r>
            <w:r>
              <w:rPr>
                <w:spacing w:val="1"/>
              </w:rPr>
              <w:t>的建筑。项目的排气筒高度有</w:t>
            </w:r>
            <w:r>
              <w:rPr>
                <w:spacing w:val="-52"/>
              </w:rPr>
              <w:t xml:space="preserve"> </w:t>
            </w:r>
            <w:r>
              <w:rPr>
                <w:rFonts w:ascii="Times New Roman" w:hAnsi="Times New Roman" w:eastAsia="Times New Roman" w:cs="Times New Roman"/>
                <w:spacing w:val="1"/>
              </w:rPr>
              <w:t xml:space="preserve">25 </w:t>
            </w:r>
            <w:r>
              <w:rPr>
                <w:spacing w:val="1"/>
              </w:rPr>
              <w:t>米和</w:t>
            </w:r>
            <w:r>
              <w:rPr>
                <w:spacing w:val="-56"/>
              </w:rPr>
              <w:t xml:space="preserve"> </w:t>
            </w:r>
            <w:r>
              <w:rPr>
                <w:rFonts w:ascii="Times New Roman" w:hAnsi="Times New Roman" w:eastAsia="Times New Roman" w:cs="Times New Roman"/>
                <w:spacing w:val="1"/>
              </w:rPr>
              <w:t xml:space="preserve">40 </w:t>
            </w:r>
            <w:r>
              <w:rPr>
                <w:spacing w:val="1"/>
              </w:rPr>
              <w:t>米，因此废气执行的</w:t>
            </w:r>
            <w:r>
              <w:t xml:space="preserve">排放标准中排 </w:t>
            </w:r>
            <w:r>
              <w:rPr>
                <w:spacing w:val="-2"/>
              </w:rPr>
              <w:t>放速率不需要折半。</w:t>
            </w:r>
          </w:p>
        </w:tc>
      </w:tr>
    </w:tbl>
    <w:p w14:paraId="66CD7D3F">
      <w:pPr>
        <w:rPr>
          <w:rFonts w:ascii="Arial"/>
          <w:sz w:val="21"/>
        </w:rPr>
      </w:pPr>
    </w:p>
    <w:p w14:paraId="61CDFBFC">
      <w:pPr>
        <w:rPr>
          <w:rFonts w:ascii="Arial" w:hAnsi="Arial" w:eastAsia="Arial" w:cs="Arial"/>
          <w:sz w:val="21"/>
          <w:szCs w:val="21"/>
        </w:rPr>
        <w:sectPr>
          <w:footerReference r:id="rId57" w:type="default"/>
          <w:pgSz w:w="11907" w:h="16840"/>
          <w:pgMar w:top="400" w:right="1449" w:bottom="1240" w:left="1448" w:header="0" w:footer="1077" w:gutter="0"/>
          <w:cols w:space="720" w:num="1"/>
        </w:sectPr>
      </w:pPr>
    </w:p>
    <w:p w14:paraId="43F2C37E">
      <w:pPr>
        <w:spacing w:before="19"/>
      </w:pPr>
    </w:p>
    <w:p w14:paraId="49F5D612">
      <w:pPr>
        <w:spacing w:before="19"/>
      </w:pPr>
    </w:p>
    <w:p w14:paraId="2B99C2DA">
      <w:pPr>
        <w:spacing w:before="19"/>
      </w:pPr>
    </w:p>
    <w:p w14:paraId="4D877AFD">
      <w:pPr>
        <w:spacing w:before="18"/>
      </w:pPr>
    </w:p>
    <w:p w14:paraId="6033661D">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42"/>
        <w:gridCol w:w="536"/>
        <w:gridCol w:w="898"/>
        <w:gridCol w:w="832"/>
        <w:gridCol w:w="341"/>
        <w:gridCol w:w="1491"/>
        <w:gridCol w:w="688"/>
        <w:gridCol w:w="1151"/>
        <w:gridCol w:w="837"/>
        <w:gridCol w:w="1119"/>
        <w:gridCol w:w="151"/>
      </w:tblGrid>
      <w:tr w14:paraId="20BE0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5" w:hRule="atLeast"/>
        </w:trPr>
        <w:tc>
          <w:tcPr>
            <w:tcW w:w="808" w:type="dxa"/>
            <w:vMerge w:val="restart"/>
            <w:tcBorders>
              <w:top w:val="single" w:color="000000" w:sz="6" w:space="0"/>
              <w:left w:val="single" w:color="000000" w:sz="6" w:space="0"/>
              <w:bottom w:val="nil"/>
            </w:tcBorders>
            <w:vAlign w:val="top"/>
          </w:tcPr>
          <w:p w14:paraId="05857F11">
            <w:pPr>
              <w:rPr>
                <w:rFonts w:ascii="Arial"/>
                <w:sz w:val="21"/>
              </w:rPr>
            </w:pPr>
          </w:p>
        </w:tc>
        <w:tc>
          <w:tcPr>
            <w:tcW w:w="8186" w:type="dxa"/>
            <w:gridSpan w:val="11"/>
            <w:tcBorders>
              <w:top w:val="single" w:color="000000" w:sz="6" w:space="0"/>
              <w:right w:val="single" w:color="000000" w:sz="6" w:space="0"/>
            </w:tcBorders>
            <w:vAlign w:val="top"/>
          </w:tcPr>
          <w:p w14:paraId="64878F65">
            <w:pPr>
              <w:pStyle w:val="6"/>
              <w:spacing w:before="160" w:line="219" w:lineRule="auto"/>
              <w:ind w:left="600"/>
            </w:pPr>
            <w:r>
              <w:rPr>
                <w:spacing w:val="-3"/>
              </w:rPr>
              <w:t>（</w:t>
            </w:r>
            <w:r>
              <w:rPr>
                <w:rFonts w:ascii="Times New Roman" w:hAnsi="Times New Roman" w:eastAsia="Times New Roman" w:cs="Times New Roman"/>
                <w:spacing w:val="-3"/>
              </w:rPr>
              <w:t>4</w:t>
            </w:r>
            <w:r>
              <w:rPr>
                <w:spacing w:val="-3"/>
              </w:rPr>
              <w:t>）厂区异味</w:t>
            </w:r>
          </w:p>
          <w:p w14:paraId="15A76E60">
            <w:pPr>
              <w:pStyle w:val="6"/>
              <w:spacing w:before="182" w:line="219" w:lineRule="auto"/>
              <w:ind w:left="590"/>
            </w:pPr>
            <w:r>
              <w:t>本项目厂区的异味排放执行《恶臭污染物排放标准》（</w:t>
            </w:r>
            <w:r>
              <w:rPr>
                <w:rFonts w:ascii="Times New Roman" w:hAnsi="Times New Roman" w:eastAsia="Times New Roman" w:cs="Times New Roman"/>
              </w:rPr>
              <w:t>G</w:t>
            </w:r>
            <w:r>
              <w:rPr>
                <w:rFonts w:ascii="Times New Roman" w:hAnsi="Times New Roman" w:eastAsia="Times New Roman" w:cs="Times New Roman"/>
                <w:spacing w:val="-1"/>
              </w:rPr>
              <w:t>B14554-1993</w:t>
            </w:r>
            <w:r>
              <w:rPr>
                <w:spacing w:val="-1"/>
              </w:rPr>
              <w:t>）</w:t>
            </w:r>
          </w:p>
          <w:p w14:paraId="4A7BBB28">
            <w:pPr>
              <w:pStyle w:val="6"/>
              <w:spacing w:before="181" w:line="219" w:lineRule="auto"/>
              <w:ind w:left="108"/>
            </w:pPr>
            <w:r>
              <w:rPr>
                <w:spacing w:val="-2"/>
              </w:rPr>
              <w:t>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中臭气浓度二级新扩改建恶臭污染物厂界标准值，标准</w:t>
            </w:r>
            <w:r>
              <w:rPr>
                <w:spacing w:val="-3"/>
              </w:rPr>
              <w:t>限值见下表：</w:t>
            </w:r>
          </w:p>
          <w:p w14:paraId="352C9BD5">
            <w:pPr>
              <w:pStyle w:val="6"/>
              <w:spacing w:before="303" w:line="219" w:lineRule="auto"/>
              <w:ind w:left="2645"/>
            </w:pPr>
            <w:r>
              <w:rPr>
                <w:b/>
                <w:bCs/>
                <w:spacing w:val="-3"/>
              </w:rPr>
              <w:t>表</w:t>
            </w:r>
            <w:r>
              <w:rPr>
                <w:spacing w:val="-44"/>
              </w:rPr>
              <w:t xml:space="preserve"> </w:t>
            </w:r>
            <w:r>
              <w:rPr>
                <w:rFonts w:ascii="Times New Roman" w:hAnsi="Times New Roman" w:eastAsia="Times New Roman" w:cs="Times New Roman"/>
                <w:b/>
                <w:bCs/>
                <w:spacing w:val="-3"/>
              </w:rPr>
              <w:t xml:space="preserve">3-11    </w:t>
            </w:r>
            <w:r>
              <w:rPr>
                <w:b/>
                <w:bCs/>
                <w:spacing w:val="-3"/>
              </w:rPr>
              <w:t>恶臭污染物厂界标准值</w:t>
            </w:r>
          </w:p>
        </w:tc>
      </w:tr>
      <w:tr w14:paraId="1957E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08" w:type="dxa"/>
            <w:vMerge w:val="continue"/>
            <w:tcBorders>
              <w:top w:val="nil"/>
              <w:left w:val="single" w:color="000000" w:sz="6" w:space="0"/>
              <w:bottom w:val="nil"/>
            </w:tcBorders>
            <w:vAlign w:val="top"/>
          </w:tcPr>
          <w:p w14:paraId="613526C6">
            <w:pPr>
              <w:rPr>
                <w:rFonts w:ascii="Arial"/>
                <w:sz w:val="21"/>
              </w:rPr>
            </w:pPr>
          </w:p>
        </w:tc>
        <w:tc>
          <w:tcPr>
            <w:tcW w:w="142" w:type="dxa"/>
            <w:tcBorders>
              <w:top w:val="nil"/>
              <w:bottom w:val="nil"/>
            </w:tcBorders>
            <w:vAlign w:val="top"/>
          </w:tcPr>
          <w:p w14:paraId="71DC0D56">
            <w:pPr>
              <w:rPr>
                <w:rFonts w:ascii="Arial"/>
                <w:sz w:val="21"/>
              </w:rPr>
            </w:pPr>
          </w:p>
        </w:tc>
        <w:tc>
          <w:tcPr>
            <w:tcW w:w="2266" w:type="dxa"/>
            <w:gridSpan w:val="3"/>
            <w:vMerge w:val="restart"/>
            <w:tcBorders>
              <w:bottom w:val="nil"/>
            </w:tcBorders>
            <w:vAlign w:val="top"/>
          </w:tcPr>
          <w:p w14:paraId="06AF2786">
            <w:pPr>
              <w:pStyle w:val="6"/>
              <w:spacing w:before="298" w:line="228" w:lineRule="auto"/>
              <w:ind w:left="824"/>
              <w:rPr>
                <w:sz w:val="20"/>
                <w:szCs w:val="20"/>
              </w:rPr>
            </w:pPr>
            <w:r>
              <w:rPr>
                <w:spacing w:val="6"/>
                <w:sz w:val="20"/>
                <w:szCs w:val="20"/>
              </w:rPr>
              <w:t>污染源</w:t>
            </w:r>
          </w:p>
        </w:tc>
        <w:tc>
          <w:tcPr>
            <w:tcW w:w="1832" w:type="dxa"/>
            <w:gridSpan w:val="2"/>
            <w:vMerge w:val="restart"/>
            <w:tcBorders>
              <w:bottom w:val="nil"/>
            </w:tcBorders>
            <w:vAlign w:val="top"/>
          </w:tcPr>
          <w:p w14:paraId="3BE26A92">
            <w:pPr>
              <w:pStyle w:val="6"/>
              <w:spacing w:before="298" w:line="228" w:lineRule="auto"/>
              <w:ind w:left="504"/>
              <w:rPr>
                <w:sz w:val="20"/>
                <w:szCs w:val="20"/>
              </w:rPr>
            </w:pPr>
            <w:r>
              <w:rPr>
                <w:spacing w:val="7"/>
                <w:sz w:val="20"/>
                <w:szCs w:val="20"/>
              </w:rPr>
              <w:t>控制项目</w:t>
            </w:r>
          </w:p>
        </w:tc>
        <w:tc>
          <w:tcPr>
            <w:tcW w:w="1839" w:type="dxa"/>
            <w:gridSpan w:val="2"/>
            <w:vMerge w:val="restart"/>
            <w:tcBorders>
              <w:bottom w:val="nil"/>
            </w:tcBorders>
            <w:vAlign w:val="top"/>
          </w:tcPr>
          <w:p w14:paraId="13DEE8C1">
            <w:pPr>
              <w:pStyle w:val="6"/>
              <w:spacing w:before="298" w:line="228" w:lineRule="auto"/>
              <w:ind w:left="722"/>
              <w:rPr>
                <w:sz w:val="20"/>
                <w:szCs w:val="20"/>
              </w:rPr>
            </w:pPr>
            <w:r>
              <w:rPr>
                <w:spacing w:val="3"/>
                <w:sz w:val="20"/>
                <w:szCs w:val="20"/>
              </w:rPr>
              <w:t>单位</w:t>
            </w:r>
          </w:p>
        </w:tc>
        <w:tc>
          <w:tcPr>
            <w:tcW w:w="1956" w:type="dxa"/>
            <w:gridSpan w:val="2"/>
            <w:vAlign w:val="top"/>
          </w:tcPr>
          <w:p w14:paraId="3A4D7D06">
            <w:pPr>
              <w:pStyle w:val="6"/>
              <w:spacing w:before="94" w:line="230" w:lineRule="auto"/>
              <w:ind w:left="781"/>
              <w:rPr>
                <w:sz w:val="20"/>
                <w:szCs w:val="20"/>
              </w:rPr>
            </w:pPr>
            <w:r>
              <w:rPr>
                <w:spacing w:val="3"/>
                <w:sz w:val="20"/>
                <w:szCs w:val="20"/>
              </w:rPr>
              <w:t>二级</w:t>
            </w:r>
          </w:p>
        </w:tc>
        <w:tc>
          <w:tcPr>
            <w:tcW w:w="151" w:type="dxa"/>
            <w:tcBorders>
              <w:top w:val="nil"/>
              <w:bottom w:val="nil"/>
              <w:right w:val="single" w:color="000000" w:sz="6" w:space="0"/>
            </w:tcBorders>
            <w:vAlign w:val="top"/>
          </w:tcPr>
          <w:p w14:paraId="2F2F7122">
            <w:pPr>
              <w:rPr>
                <w:rFonts w:ascii="Arial"/>
                <w:sz w:val="21"/>
              </w:rPr>
            </w:pPr>
          </w:p>
        </w:tc>
      </w:tr>
      <w:tr w14:paraId="311A3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08" w:type="dxa"/>
            <w:vMerge w:val="continue"/>
            <w:tcBorders>
              <w:top w:val="nil"/>
              <w:left w:val="single" w:color="000000" w:sz="6" w:space="0"/>
              <w:bottom w:val="nil"/>
            </w:tcBorders>
            <w:vAlign w:val="top"/>
          </w:tcPr>
          <w:p w14:paraId="34459CAE">
            <w:pPr>
              <w:rPr>
                <w:rFonts w:ascii="Arial"/>
                <w:sz w:val="21"/>
              </w:rPr>
            </w:pPr>
          </w:p>
        </w:tc>
        <w:tc>
          <w:tcPr>
            <w:tcW w:w="142" w:type="dxa"/>
            <w:tcBorders>
              <w:top w:val="nil"/>
              <w:bottom w:val="nil"/>
            </w:tcBorders>
            <w:vAlign w:val="top"/>
          </w:tcPr>
          <w:p w14:paraId="391FE80F">
            <w:pPr>
              <w:rPr>
                <w:rFonts w:ascii="Arial"/>
                <w:sz w:val="21"/>
              </w:rPr>
            </w:pPr>
          </w:p>
        </w:tc>
        <w:tc>
          <w:tcPr>
            <w:tcW w:w="2266" w:type="dxa"/>
            <w:gridSpan w:val="3"/>
            <w:vMerge w:val="continue"/>
            <w:tcBorders>
              <w:top w:val="nil"/>
            </w:tcBorders>
            <w:vAlign w:val="top"/>
          </w:tcPr>
          <w:p w14:paraId="09E98DC0">
            <w:pPr>
              <w:rPr>
                <w:rFonts w:ascii="Arial"/>
                <w:sz w:val="21"/>
              </w:rPr>
            </w:pPr>
          </w:p>
        </w:tc>
        <w:tc>
          <w:tcPr>
            <w:tcW w:w="1832" w:type="dxa"/>
            <w:gridSpan w:val="2"/>
            <w:vMerge w:val="continue"/>
            <w:tcBorders>
              <w:top w:val="nil"/>
            </w:tcBorders>
            <w:vAlign w:val="top"/>
          </w:tcPr>
          <w:p w14:paraId="762D862A">
            <w:pPr>
              <w:rPr>
                <w:rFonts w:ascii="Arial"/>
                <w:sz w:val="21"/>
              </w:rPr>
            </w:pPr>
          </w:p>
        </w:tc>
        <w:tc>
          <w:tcPr>
            <w:tcW w:w="1839" w:type="dxa"/>
            <w:gridSpan w:val="2"/>
            <w:vMerge w:val="continue"/>
            <w:tcBorders>
              <w:top w:val="nil"/>
            </w:tcBorders>
            <w:vAlign w:val="top"/>
          </w:tcPr>
          <w:p w14:paraId="04F11A55">
            <w:pPr>
              <w:rPr>
                <w:rFonts w:ascii="Arial"/>
                <w:sz w:val="21"/>
              </w:rPr>
            </w:pPr>
          </w:p>
        </w:tc>
        <w:tc>
          <w:tcPr>
            <w:tcW w:w="1956" w:type="dxa"/>
            <w:gridSpan w:val="2"/>
            <w:vAlign w:val="top"/>
          </w:tcPr>
          <w:p w14:paraId="1D981549">
            <w:pPr>
              <w:pStyle w:val="6"/>
              <w:spacing w:before="108" w:line="228" w:lineRule="auto"/>
              <w:ind w:left="569"/>
              <w:rPr>
                <w:sz w:val="20"/>
                <w:szCs w:val="20"/>
              </w:rPr>
            </w:pPr>
            <w:r>
              <w:rPr>
                <w:spacing w:val="7"/>
                <w:sz w:val="20"/>
                <w:szCs w:val="20"/>
              </w:rPr>
              <w:t>新改扩建</w:t>
            </w:r>
          </w:p>
        </w:tc>
        <w:tc>
          <w:tcPr>
            <w:tcW w:w="151" w:type="dxa"/>
            <w:tcBorders>
              <w:top w:val="nil"/>
              <w:bottom w:val="nil"/>
              <w:right w:val="single" w:color="000000" w:sz="6" w:space="0"/>
            </w:tcBorders>
            <w:vAlign w:val="top"/>
          </w:tcPr>
          <w:p w14:paraId="7F7E49D9">
            <w:pPr>
              <w:rPr>
                <w:rFonts w:ascii="Arial"/>
                <w:sz w:val="21"/>
              </w:rPr>
            </w:pPr>
          </w:p>
        </w:tc>
      </w:tr>
      <w:tr w14:paraId="07698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01B99991">
            <w:pPr>
              <w:rPr>
                <w:rFonts w:ascii="Arial"/>
                <w:sz w:val="21"/>
              </w:rPr>
            </w:pPr>
          </w:p>
        </w:tc>
        <w:tc>
          <w:tcPr>
            <w:tcW w:w="142" w:type="dxa"/>
            <w:tcBorders>
              <w:top w:val="nil"/>
              <w:bottom w:val="nil"/>
            </w:tcBorders>
            <w:vAlign w:val="top"/>
          </w:tcPr>
          <w:p w14:paraId="496F3D46">
            <w:pPr>
              <w:rPr>
                <w:rFonts w:ascii="Arial"/>
                <w:sz w:val="21"/>
              </w:rPr>
            </w:pPr>
          </w:p>
        </w:tc>
        <w:tc>
          <w:tcPr>
            <w:tcW w:w="2266" w:type="dxa"/>
            <w:gridSpan w:val="3"/>
            <w:vAlign w:val="top"/>
          </w:tcPr>
          <w:p w14:paraId="1B8F095C">
            <w:pPr>
              <w:pStyle w:val="6"/>
              <w:spacing w:before="35" w:line="232" w:lineRule="auto"/>
              <w:ind w:left="612" w:right="93" w:hanging="500"/>
              <w:rPr>
                <w:sz w:val="20"/>
                <w:szCs w:val="20"/>
              </w:rPr>
            </w:pPr>
            <w:r>
              <w:rPr>
                <w:spacing w:val="5"/>
                <w:sz w:val="20"/>
                <w:szCs w:val="20"/>
              </w:rPr>
              <w:t>注胶车间、泡酸车间、</w:t>
            </w:r>
            <w:r>
              <w:rPr>
                <w:spacing w:val="3"/>
                <w:sz w:val="20"/>
                <w:szCs w:val="20"/>
              </w:rPr>
              <w:t xml:space="preserve"> </w:t>
            </w:r>
            <w:r>
              <w:rPr>
                <w:spacing w:val="8"/>
                <w:sz w:val="20"/>
                <w:szCs w:val="20"/>
              </w:rPr>
              <w:t>废水处理站</w:t>
            </w:r>
          </w:p>
        </w:tc>
        <w:tc>
          <w:tcPr>
            <w:tcW w:w="1832" w:type="dxa"/>
            <w:gridSpan w:val="2"/>
            <w:vAlign w:val="top"/>
          </w:tcPr>
          <w:p w14:paraId="45C869B8">
            <w:pPr>
              <w:pStyle w:val="6"/>
              <w:spacing w:before="168" w:line="228" w:lineRule="auto"/>
              <w:ind w:left="505"/>
              <w:rPr>
                <w:sz w:val="20"/>
                <w:szCs w:val="20"/>
              </w:rPr>
            </w:pPr>
            <w:r>
              <w:rPr>
                <w:spacing w:val="7"/>
                <w:sz w:val="20"/>
                <w:szCs w:val="20"/>
              </w:rPr>
              <w:t>臭气浓度</w:t>
            </w:r>
          </w:p>
        </w:tc>
        <w:tc>
          <w:tcPr>
            <w:tcW w:w="1839" w:type="dxa"/>
            <w:gridSpan w:val="2"/>
            <w:vAlign w:val="top"/>
          </w:tcPr>
          <w:p w14:paraId="0C78C962">
            <w:pPr>
              <w:pStyle w:val="6"/>
              <w:spacing w:before="169" w:line="228" w:lineRule="auto"/>
              <w:ind w:left="619"/>
              <w:rPr>
                <w:sz w:val="20"/>
                <w:szCs w:val="20"/>
              </w:rPr>
            </w:pPr>
            <w:r>
              <w:rPr>
                <w:spacing w:val="6"/>
                <w:sz w:val="20"/>
                <w:szCs w:val="20"/>
              </w:rPr>
              <w:t>无量纲</w:t>
            </w:r>
          </w:p>
        </w:tc>
        <w:tc>
          <w:tcPr>
            <w:tcW w:w="1956" w:type="dxa"/>
            <w:gridSpan w:val="2"/>
            <w:vAlign w:val="top"/>
          </w:tcPr>
          <w:p w14:paraId="6A111058">
            <w:pPr>
              <w:spacing w:before="205" w:line="195"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1" w:type="dxa"/>
            <w:tcBorders>
              <w:top w:val="nil"/>
              <w:bottom w:val="nil"/>
              <w:right w:val="single" w:color="000000" w:sz="6" w:space="0"/>
            </w:tcBorders>
            <w:vAlign w:val="top"/>
          </w:tcPr>
          <w:p w14:paraId="535FEA93">
            <w:pPr>
              <w:rPr>
                <w:rFonts w:ascii="Arial"/>
                <w:sz w:val="21"/>
              </w:rPr>
            </w:pPr>
          </w:p>
        </w:tc>
      </w:tr>
      <w:tr w14:paraId="46713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2" w:hRule="atLeast"/>
        </w:trPr>
        <w:tc>
          <w:tcPr>
            <w:tcW w:w="808" w:type="dxa"/>
            <w:vMerge w:val="continue"/>
            <w:tcBorders>
              <w:top w:val="nil"/>
              <w:left w:val="single" w:color="000000" w:sz="6" w:space="0"/>
              <w:bottom w:val="nil"/>
            </w:tcBorders>
            <w:vAlign w:val="top"/>
          </w:tcPr>
          <w:p w14:paraId="57B315C0">
            <w:pPr>
              <w:rPr>
                <w:rFonts w:ascii="Arial"/>
                <w:sz w:val="21"/>
              </w:rPr>
            </w:pPr>
          </w:p>
        </w:tc>
        <w:tc>
          <w:tcPr>
            <w:tcW w:w="8186" w:type="dxa"/>
            <w:gridSpan w:val="11"/>
            <w:tcBorders>
              <w:right w:val="single" w:color="000000" w:sz="6" w:space="0"/>
            </w:tcBorders>
            <w:vAlign w:val="top"/>
          </w:tcPr>
          <w:p w14:paraId="3558D549">
            <w:pPr>
              <w:pStyle w:val="6"/>
              <w:spacing w:before="161" w:line="219" w:lineRule="auto"/>
              <w:ind w:left="585"/>
            </w:pPr>
            <w:r>
              <w:rPr>
                <w:rFonts w:ascii="Times New Roman" w:hAnsi="Times New Roman" w:eastAsia="Times New Roman" w:cs="Times New Roman"/>
                <w:spacing w:val="-8"/>
              </w:rPr>
              <w:t>2</w:t>
            </w:r>
            <w:r>
              <w:rPr>
                <w:rFonts w:ascii="Times New Roman" w:hAnsi="Times New Roman" w:eastAsia="Times New Roman" w:cs="Times New Roman"/>
                <w:spacing w:val="-34"/>
              </w:rPr>
              <w:t xml:space="preserve"> </w:t>
            </w:r>
            <w:r>
              <w:rPr>
                <w:spacing w:val="-8"/>
              </w:rPr>
              <w:t>、废水</w:t>
            </w:r>
          </w:p>
          <w:p w14:paraId="45457675">
            <w:pPr>
              <w:pStyle w:val="6"/>
              <w:spacing w:before="181" w:line="359" w:lineRule="auto"/>
              <w:ind w:left="110" w:right="91" w:firstLine="480"/>
            </w:pPr>
            <w:r>
              <w:rPr>
                <w:spacing w:val="-6"/>
              </w:rPr>
              <w:t>本项目生产废水进入配套建设的废水处理站，预处理达标后，排入附近可</w:t>
            </w:r>
            <w:r>
              <w:rPr>
                <w:spacing w:val="5"/>
              </w:rPr>
              <w:t xml:space="preserve"> </w:t>
            </w:r>
            <w:r>
              <w:rPr>
                <w:spacing w:val="-6"/>
              </w:rPr>
              <w:t>塘镇污水管网，汇入可塘镇污水处理厂。本项目生活污水经化粪池处理后排入</w:t>
            </w:r>
            <w:r>
              <w:rPr>
                <w:spacing w:val="5"/>
              </w:rPr>
              <w:t xml:space="preserve"> </w:t>
            </w:r>
            <w:r>
              <w:rPr>
                <w:spacing w:val="-1"/>
              </w:rPr>
              <w:t>市政污水管网，汇入可塘镇污水处理厂。</w:t>
            </w:r>
          </w:p>
          <w:p w14:paraId="3C6AAD6A">
            <w:pPr>
              <w:pStyle w:val="6"/>
              <w:spacing w:before="2" w:line="360" w:lineRule="auto"/>
              <w:ind w:left="109" w:right="103" w:firstLine="480"/>
            </w:pPr>
            <w:r>
              <w:rPr>
                <w:spacing w:val="1"/>
              </w:rPr>
              <w:t>本项目外排生产废水、生活污水执行可塘镇污水厂设计进水标准限值、</w:t>
            </w:r>
            <w:r>
              <w:rPr>
                <w:spacing w:val="10"/>
              </w:rPr>
              <w:t xml:space="preserve"> </w:t>
            </w:r>
            <w:r>
              <w:rPr>
                <w:spacing w:val="1"/>
              </w:rPr>
              <w:t>《污水排入城镇下水道水质标准》（</w:t>
            </w:r>
            <w:r>
              <w:rPr>
                <w:rFonts w:ascii="Times New Roman" w:hAnsi="Times New Roman" w:eastAsia="Times New Roman" w:cs="Times New Roman"/>
              </w:rPr>
              <w:t>GB</w:t>
            </w:r>
            <w:r>
              <w:rPr>
                <w:rFonts w:ascii="Times New Roman" w:hAnsi="Times New Roman" w:eastAsia="Times New Roman" w:cs="Times New Roman"/>
                <w:spacing w:val="1"/>
              </w:rPr>
              <w:t>/T3</w:t>
            </w:r>
            <w:r>
              <w:rPr>
                <w:rFonts w:ascii="Times New Roman" w:hAnsi="Times New Roman" w:eastAsia="Times New Roman" w:cs="Times New Roman"/>
              </w:rPr>
              <w:t>1962-2015</w:t>
            </w:r>
            <w:r>
              <w:t>）</w:t>
            </w:r>
            <w:r>
              <w:rPr>
                <w:rFonts w:ascii="Times New Roman" w:hAnsi="Times New Roman" w:eastAsia="Times New Roman" w:cs="Times New Roman"/>
              </w:rPr>
              <w:t>B</w:t>
            </w:r>
            <w:r>
              <w:rPr>
                <w:rFonts w:ascii="Times New Roman" w:hAnsi="Times New Roman" w:eastAsia="Times New Roman" w:cs="Times New Roman"/>
                <w:spacing w:val="16"/>
                <w:w w:val="101"/>
              </w:rPr>
              <w:t xml:space="preserve"> </w:t>
            </w:r>
            <w:r>
              <w:t xml:space="preserve">级标准限值、广东 </w:t>
            </w:r>
            <w:r>
              <w:rPr>
                <w:spacing w:val="1"/>
              </w:rPr>
              <w:t>省地方标准《水污染物排放限值》（</w:t>
            </w:r>
            <w:r>
              <w:rPr>
                <w:rFonts w:ascii="Times New Roman" w:hAnsi="Times New Roman" w:eastAsia="Times New Roman" w:cs="Times New Roman"/>
              </w:rPr>
              <w:t>DB</w:t>
            </w:r>
            <w:r>
              <w:rPr>
                <w:rFonts w:ascii="Times New Roman" w:hAnsi="Times New Roman" w:eastAsia="Times New Roman" w:cs="Times New Roman"/>
                <w:spacing w:val="1"/>
              </w:rPr>
              <w:t>44/26-2001</w:t>
            </w:r>
            <w:r>
              <w:rPr>
                <w:spacing w:val="1"/>
              </w:rPr>
              <w:t>）第一类污染物最高允许</w:t>
            </w:r>
            <w:r>
              <w:rPr>
                <w:spacing w:val="5"/>
              </w:rPr>
              <w:t xml:space="preserve"> </w:t>
            </w:r>
            <w:r>
              <w:t>排放浓度限值和第二时段三级标准限值三者最</w:t>
            </w:r>
            <w:r>
              <w:rPr>
                <w:spacing w:val="-1"/>
              </w:rPr>
              <w:t>严值，标准限值见下表：</w:t>
            </w:r>
          </w:p>
          <w:p w14:paraId="7D6187E7">
            <w:pPr>
              <w:pStyle w:val="6"/>
              <w:spacing w:before="113" w:line="212" w:lineRule="auto"/>
              <w:ind w:left="1382"/>
              <w:rPr>
                <w:sz w:val="18"/>
                <w:szCs w:val="18"/>
              </w:rPr>
            </w:pPr>
            <w:r>
              <w:rPr>
                <w:b/>
                <w:bCs/>
                <w:spacing w:val="-1"/>
              </w:rPr>
              <w:t>表</w:t>
            </w:r>
            <w:r>
              <w:rPr>
                <w:spacing w:val="-56"/>
              </w:rPr>
              <w:t xml:space="preserve"> </w:t>
            </w:r>
            <w:r>
              <w:rPr>
                <w:rFonts w:ascii="Times New Roman" w:hAnsi="Times New Roman" w:eastAsia="Times New Roman" w:cs="Times New Roman"/>
                <w:b/>
                <w:bCs/>
                <w:spacing w:val="-1"/>
              </w:rPr>
              <w:t xml:space="preserve">3-12    </w:t>
            </w:r>
            <w:r>
              <w:rPr>
                <w:b/>
                <w:bCs/>
                <w:spacing w:val="-1"/>
              </w:rPr>
              <w:t>项目水污染物排放限值</w:t>
            </w:r>
            <w:r>
              <w:rPr>
                <w:spacing w:val="22"/>
              </w:rPr>
              <w:t xml:space="preserve">   </w:t>
            </w:r>
            <w:r>
              <w:rPr>
                <w:spacing w:val="-1"/>
                <w:sz w:val="18"/>
                <w:szCs w:val="18"/>
              </w:rPr>
              <w:t>单位：</w:t>
            </w:r>
            <w:r>
              <w:rPr>
                <w:rFonts w:ascii="Times New Roman" w:hAnsi="Times New Roman" w:eastAsia="Times New Roman" w:cs="Times New Roman"/>
                <w:spacing w:val="-1"/>
                <w:sz w:val="18"/>
                <w:szCs w:val="18"/>
              </w:rPr>
              <w:t>mg/L</w:t>
            </w:r>
            <w:r>
              <w:rPr>
                <w:spacing w:val="-1"/>
                <w:sz w:val="18"/>
                <w:szCs w:val="18"/>
              </w:rPr>
              <w:t>（</w:t>
            </w:r>
            <w:r>
              <w:rPr>
                <w:rFonts w:ascii="Times New Roman" w:hAnsi="Times New Roman" w:eastAsia="Times New Roman" w:cs="Times New Roman"/>
                <w:spacing w:val="-2"/>
                <w:sz w:val="18"/>
                <w:szCs w:val="18"/>
              </w:rPr>
              <w:t xml:space="preserve">pH </w:t>
            </w:r>
            <w:r>
              <w:rPr>
                <w:spacing w:val="-2"/>
                <w:sz w:val="18"/>
                <w:szCs w:val="18"/>
              </w:rPr>
              <w:t>无量纲）</w:t>
            </w:r>
          </w:p>
        </w:tc>
      </w:tr>
      <w:tr w14:paraId="409A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08" w:type="dxa"/>
            <w:vMerge w:val="continue"/>
            <w:tcBorders>
              <w:top w:val="nil"/>
              <w:left w:val="single" w:color="000000" w:sz="6" w:space="0"/>
              <w:bottom w:val="nil"/>
            </w:tcBorders>
            <w:vAlign w:val="top"/>
          </w:tcPr>
          <w:p w14:paraId="0639A902">
            <w:pPr>
              <w:rPr>
                <w:rFonts w:ascii="Arial"/>
                <w:sz w:val="21"/>
              </w:rPr>
            </w:pPr>
          </w:p>
        </w:tc>
        <w:tc>
          <w:tcPr>
            <w:tcW w:w="142" w:type="dxa"/>
            <w:tcBorders>
              <w:top w:val="nil"/>
              <w:bottom w:val="nil"/>
            </w:tcBorders>
            <w:vAlign w:val="top"/>
          </w:tcPr>
          <w:p w14:paraId="7D61297A">
            <w:pPr>
              <w:rPr>
                <w:rFonts w:ascii="Arial"/>
                <w:sz w:val="21"/>
              </w:rPr>
            </w:pPr>
          </w:p>
        </w:tc>
        <w:tc>
          <w:tcPr>
            <w:tcW w:w="1434" w:type="dxa"/>
            <w:gridSpan w:val="2"/>
            <w:vAlign w:val="top"/>
          </w:tcPr>
          <w:p w14:paraId="0700A9A3">
            <w:pPr>
              <w:pStyle w:val="6"/>
              <w:spacing w:before="99" w:line="228" w:lineRule="auto"/>
              <w:ind w:left="509"/>
              <w:rPr>
                <w:sz w:val="20"/>
                <w:szCs w:val="20"/>
              </w:rPr>
            </w:pPr>
            <w:r>
              <w:rPr>
                <w:b/>
                <w:bCs/>
                <w:spacing w:val="2"/>
                <w:sz w:val="20"/>
                <w:szCs w:val="20"/>
              </w:rPr>
              <w:t>项目</w:t>
            </w:r>
          </w:p>
        </w:tc>
        <w:tc>
          <w:tcPr>
            <w:tcW w:w="6459" w:type="dxa"/>
            <w:gridSpan w:val="7"/>
            <w:vAlign w:val="top"/>
          </w:tcPr>
          <w:p w14:paraId="3F93AF61">
            <w:pPr>
              <w:pStyle w:val="6"/>
              <w:spacing w:before="98" w:line="228" w:lineRule="auto"/>
              <w:ind w:left="2816"/>
              <w:rPr>
                <w:sz w:val="20"/>
                <w:szCs w:val="20"/>
              </w:rPr>
            </w:pPr>
            <w:r>
              <w:rPr>
                <w:b/>
                <w:bCs/>
                <w:spacing w:val="6"/>
                <w:sz w:val="20"/>
                <w:szCs w:val="20"/>
              </w:rPr>
              <w:t>执行限值</w:t>
            </w:r>
          </w:p>
        </w:tc>
        <w:tc>
          <w:tcPr>
            <w:tcW w:w="151" w:type="dxa"/>
            <w:tcBorders>
              <w:top w:val="nil"/>
              <w:bottom w:val="nil"/>
              <w:right w:val="single" w:color="000000" w:sz="6" w:space="0"/>
            </w:tcBorders>
            <w:vAlign w:val="top"/>
          </w:tcPr>
          <w:p w14:paraId="39A3D2F7">
            <w:pPr>
              <w:rPr>
                <w:rFonts w:ascii="Arial"/>
                <w:sz w:val="21"/>
              </w:rPr>
            </w:pPr>
          </w:p>
        </w:tc>
      </w:tr>
      <w:tr w14:paraId="3C20D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808" w:type="dxa"/>
            <w:vMerge w:val="continue"/>
            <w:tcBorders>
              <w:top w:val="nil"/>
              <w:left w:val="single" w:color="000000" w:sz="6" w:space="0"/>
              <w:bottom w:val="nil"/>
            </w:tcBorders>
            <w:vAlign w:val="top"/>
          </w:tcPr>
          <w:p w14:paraId="0A6ADA0A">
            <w:pPr>
              <w:rPr>
                <w:rFonts w:ascii="Arial"/>
                <w:sz w:val="21"/>
              </w:rPr>
            </w:pPr>
          </w:p>
        </w:tc>
        <w:tc>
          <w:tcPr>
            <w:tcW w:w="142" w:type="dxa"/>
            <w:tcBorders>
              <w:top w:val="nil"/>
              <w:bottom w:val="nil"/>
            </w:tcBorders>
            <w:vAlign w:val="top"/>
          </w:tcPr>
          <w:p w14:paraId="63F59269">
            <w:pPr>
              <w:rPr>
                <w:rFonts w:ascii="Arial"/>
                <w:sz w:val="21"/>
              </w:rPr>
            </w:pPr>
          </w:p>
        </w:tc>
        <w:tc>
          <w:tcPr>
            <w:tcW w:w="536" w:type="dxa"/>
            <w:textDirection w:val="tbRlV"/>
            <w:vAlign w:val="top"/>
          </w:tcPr>
          <w:p w14:paraId="159C8D58">
            <w:pPr>
              <w:pStyle w:val="6"/>
              <w:spacing w:before="169" w:line="218" w:lineRule="auto"/>
              <w:ind w:left="359"/>
              <w:rPr>
                <w:sz w:val="20"/>
                <w:szCs w:val="20"/>
              </w:rPr>
            </w:pPr>
            <w:r>
              <w:rPr>
                <w:b/>
                <w:bCs/>
                <w:spacing w:val="6"/>
                <w:sz w:val="20"/>
                <w:szCs w:val="20"/>
              </w:rPr>
              <w:t>序</w:t>
            </w:r>
            <w:r>
              <w:rPr>
                <w:spacing w:val="-35"/>
                <w:sz w:val="20"/>
                <w:szCs w:val="20"/>
              </w:rPr>
              <w:t xml:space="preserve"> </w:t>
            </w:r>
            <w:r>
              <w:rPr>
                <w:b/>
                <w:bCs/>
                <w:spacing w:val="6"/>
                <w:sz w:val="20"/>
                <w:szCs w:val="20"/>
              </w:rPr>
              <w:t>号</w:t>
            </w:r>
          </w:p>
        </w:tc>
        <w:tc>
          <w:tcPr>
            <w:tcW w:w="898" w:type="dxa"/>
            <w:vAlign w:val="top"/>
          </w:tcPr>
          <w:p w14:paraId="796F0C09">
            <w:pPr>
              <w:spacing w:line="293" w:lineRule="auto"/>
              <w:rPr>
                <w:rFonts w:ascii="Arial"/>
                <w:sz w:val="21"/>
              </w:rPr>
            </w:pPr>
          </w:p>
          <w:p w14:paraId="3517FA3F">
            <w:pPr>
              <w:pStyle w:val="6"/>
              <w:spacing w:before="65" w:line="228" w:lineRule="auto"/>
              <w:ind w:left="240"/>
              <w:rPr>
                <w:sz w:val="20"/>
                <w:szCs w:val="20"/>
              </w:rPr>
            </w:pPr>
            <w:r>
              <w:rPr>
                <w:b/>
                <w:bCs/>
                <w:spacing w:val="3"/>
                <w:sz w:val="20"/>
                <w:szCs w:val="20"/>
              </w:rPr>
              <w:t>污染</w:t>
            </w:r>
          </w:p>
          <w:p w14:paraId="6F7BF7F3">
            <w:pPr>
              <w:pStyle w:val="6"/>
              <w:spacing w:before="26" w:line="228" w:lineRule="auto"/>
              <w:ind w:left="255"/>
              <w:rPr>
                <w:sz w:val="20"/>
                <w:szCs w:val="20"/>
              </w:rPr>
            </w:pPr>
            <w:r>
              <w:rPr>
                <w:b/>
                <w:bCs/>
                <w:spacing w:val="-5"/>
                <w:sz w:val="20"/>
                <w:szCs w:val="20"/>
              </w:rPr>
              <w:t>因子</w:t>
            </w:r>
          </w:p>
        </w:tc>
        <w:tc>
          <w:tcPr>
            <w:tcW w:w="1173" w:type="dxa"/>
            <w:gridSpan w:val="2"/>
            <w:vAlign w:val="top"/>
          </w:tcPr>
          <w:p w14:paraId="49890E62">
            <w:pPr>
              <w:pStyle w:val="6"/>
              <w:spacing w:before="87" w:line="228" w:lineRule="auto"/>
              <w:ind w:left="168"/>
              <w:rPr>
                <w:sz w:val="20"/>
                <w:szCs w:val="20"/>
              </w:rPr>
            </w:pPr>
            <w:r>
              <w:rPr>
                <w:b/>
                <w:bCs/>
                <w:spacing w:val="6"/>
                <w:sz w:val="20"/>
                <w:szCs w:val="20"/>
              </w:rPr>
              <w:t>可塘镇污</w:t>
            </w:r>
          </w:p>
          <w:p w14:paraId="6C46A43A">
            <w:pPr>
              <w:pStyle w:val="6"/>
              <w:spacing w:before="24" w:line="228" w:lineRule="auto"/>
              <w:ind w:left="169"/>
              <w:rPr>
                <w:sz w:val="20"/>
                <w:szCs w:val="20"/>
              </w:rPr>
            </w:pPr>
            <w:r>
              <w:rPr>
                <w:b/>
                <w:bCs/>
                <w:spacing w:val="5"/>
                <w:sz w:val="20"/>
                <w:szCs w:val="20"/>
              </w:rPr>
              <w:t>水厂设计</w:t>
            </w:r>
          </w:p>
          <w:p w14:paraId="5EBEC076">
            <w:pPr>
              <w:pStyle w:val="6"/>
              <w:spacing w:before="26" w:line="228" w:lineRule="auto"/>
              <w:ind w:left="164"/>
              <w:rPr>
                <w:sz w:val="20"/>
                <w:szCs w:val="20"/>
              </w:rPr>
            </w:pPr>
            <w:r>
              <w:rPr>
                <w:b/>
                <w:bCs/>
                <w:spacing w:val="6"/>
                <w:sz w:val="20"/>
                <w:szCs w:val="20"/>
              </w:rPr>
              <w:t>进水标准</w:t>
            </w:r>
          </w:p>
          <w:p w14:paraId="01F72639">
            <w:pPr>
              <w:pStyle w:val="6"/>
              <w:spacing w:before="24" w:line="228" w:lineRule="auto"/>
              <w:ind w:left="392"/>
              <w:rPr>
                <w:sz w:val="20"/>
                <w:szCs w:val="20"/>
              </w:rPr>
            </w:pPr>
            <w:r>
              <w:rPr>
                <w:b/>
                <w:bCs/>
                <w:spacing w:val="-4"/>
                <w:sz w:val="20"/>
                <w:szCs w:val="20"/>
              </w:rPr>
              <w:t>限值</w:t>
            </w:r>
          </w:p>
        </w:tc>
        <w:tc>
          <w:tcPr>
            <w:tcW w:w="2179" w:type="dxa"/>
            <w:gridSpan w:val="2"/>
            <w:vAlign w:val="top"/>
          </w:tcPr>
          <w:p w14:paraId="0AC9A405">
            <w:pPr>
              <w:pStyle w:val="6"/>
              <w:spacing w:before="87" w:line="228" w:lineRule="auto"/>
              <w:ind w:left="150"/>
              <w:rPr>
                <w:sz w:val="20"/>
                <w:szCs w:val="20"/>
              </w:rPr>
            </w:pPr>
            <w:r>
              <w:rPr>
                <w:b/>
                <w:bCs/>
                <w:spacing w:val="7"/>
                <w:sz w:val="20"/>
                <w:szCs w:val="20"/>
              </w:rPr>
              <w:t>《污水排入城镇下水</w:t>
            </w:r>
          </w:p>
          <w:p w14:paraId="6CBC6D1A">
            <w:pPr>
              <w:pStyle w:val="6"/>
              <w:spacing w:before="24" w:line="228" w:lineRule="auto"/>
              <w:ind w:left="111"/>
              <w:rPr>
                <w:rFonts w:ascii="Times New Roman" w:hAnsi="Times New Roman" w:eastAsia="Times New Roman" w:cs="Times New Roman"/>
                <w:sz w:val="20"/>
                <w:szCs w:val="20"/>
              </w:rPr>
            </w:pPr>
            <w:r>
              <w:rPr>
                <w:b/>
                <w:bCs/>
                <w:spacing w:val="7"/>
                <w:sz w:val="20"/>
                <w:szCs w:val="20"/>
              </w:rPr>
              <w:t>道水质标准》（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/T</w:t>
            </w:r>
          </w:p>
          <w:p w14:paraId="4C4B9CF4">
            <w:pPr>
              <w:pStyle w:val="6"/>
              <w:spacing w:before="27" w:line="228" w:lineRule="auto"/>
              <w:ind w:left="107"/>
              <w:rPr>
                <w:sz w:val="20"/>
                <w:szCs w:val="20"/>
              </w:rPr>
            </w:pPr>
            <w:r>
              <w:rPr>
                <w:rFonts w:ascii="Times New Roman" w:hAnsi="Times New Roman" w:eastAsia="Times New Roman" w:cs="Times New Roman"/>
                <w:b/>
                <w:bCs/>
                <w:spacing w:val="-1"/>
                <w:sz w:val="20"/>
                <w:szCs w:val="20"/>
              </w:rPr>
              <w:t>31962-2015</w:t>
            </w:r>
            <w:r>
              <w:rPr>
                <w:b/>
                <w:bCs/>
                <w:spacing w:val="-1"/>
                <w:sz w:val="20"/>
                <w:szCs w:val="20"/>
              </w:rPr>
              <w:t>）</w:t>
            </w:r>
            <w:r>
              <w:rPr>
                <w:rFonts w:ascii="Times New Roman" w:hAnsi="Times New Roman" w:eastAsia="Times New Roman" w:cs="Times New Roman"/>
                <w:b/>
                <w:bCs/>
                <w:spacing w:val="-1"/>
                <w:sz w:val="20"/>
                <w:szCs w:val="20"/>
              </w:rPr>
              <w:t>B</w:t>
            </w:r>
            <w:r>
              <w:rPr>
                <w:rFonts w:ascii="Times New Roman" w:hAnsi="Times New Roman" w:eastAsia="Times New Roman" w:cs="Times New Roman"/>
                <w:b/>
                <w:bCs/>
                <w:spacing w:val="15"/>
                <w:w w:val="101"/>
                <w:sz w:val="20"/>
                <w:szCs w:val="20"/>
              </w:rPr>
              <w:t xml:space="preserve"> </w:t>
            </w:r>
            <w:r>
              <w:rPr>
                <w:b/>
                <w:bCs/>
                <w:spacing w:val="-1"/>
                <w:sz w:val="20"/>
                <w:szCs w:val="20"/>
              </w:rPr>
              <w:t>级标准</w:t>
            </w:r>
          </w:p>
          <w:p w14:paraId="4165E1B8">
            <w:pPr>
              <w:pStyle w:val="6"/>
              <w:spacing w:before="23" w:line="228" w:lineRule="auto"/>
              <w:ind w:left="899"/>
              <w:rPr>
                <w:sz w:val="20"/>
                <w:szCs w:val="20"/>
              </w:rPr>
            </w:pPr>
            <w:r>
              <w:rPr>
                <w:b/>
                <w:bCs/>
                <w:spacing w:val="-4"/>
                <w:sz w:val="20"/>
                <w:szCs w:val="20"/>
              </w:rPr>
              <w:t>限值</w:t>
            </w:r>
          </w:p>
        </w:tc>
        <w:tc>
          <w:tcPr>
            <w:tcW w:w="1988" w:type="dxa"/>
            <w:gridSpan w:val="2"/>
            <w:vAlign w:val="top"/>
          </w:tcPr>
          <w:p w14:paraId="7BDC793D">
            <w:pPr>
              <w:pStyle w:val="6"/>
              <w:spacing w:before="87" w:line="228" w:lineRule="auto"/>
              <w:ind w:left="128"/>
              <w:rPr>
                <w:sz w:val="20"/>
                <w:szCs w:val="20"/>
              </w:rPr>
            </w:pP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 xml:space="preserve">44/26-2001 </w:t>
            </w:r>
            <w:r>
              <w:rPr>
                <w:b/>
                <w:bCs/>
                <w:spacing w:val="5"/>
                <w:sz w:val="20"/>
                <w:szCs w:val="20"/>
              </w:rPr>
              <w:t>第二</w:t>
            </w:r>
          </w:p>
          <w:p w14:paraId="4E6E6A0E">
            <w:pPr>
              <w:pStyle w:val="6"/>
              <w:spacing w:before="24" w:line="228" w:lineRule="auto"/>
              <w:ind w:left="167"/>
              <w:rPr>
                <w:sz w:val="20"/>
                <w:szCs w:val="20"/>
              </w:rPr>
            </w:pPr>
            <w:r>
              <w:rPr>
                <w:b/>
                <w:bCs/>
                <w:spacing w:val="6"/>
                <w:sz w:val="20"/>
                <w:szCs w:val="20"/>
              </w:rPr>
              <w:t>时段三级标准和第</w:t>
            </w:r>
          </w:p>
          <w:p w14:paraId="332D6EB2">
            <w:pPr>
              <w:pStyle w:val="6"/>
              <w:spacing w:before="26" w:line="228" w:lineRule="auto"/>
              <w:ind w:left="161"/>
              <w:rPr>
                <w:sz w:val="20"/>
                <w:szCs w:val="20"/>
              </w:rPr>
            </w:pPr>
            <w:r>
              <w:rPr>
                <w:b/>
                <w:bCs/>
                <w:spacing w:val="7"/>
                <w:sz w:val="20"/>
                <w:szCs w:val="20"/>
              </w:rPr>
              <w:t>一类污染物最高允</w:t>
            </w:r>
          </w:p>
          <w:p w14:paraId="2EDC4616">
            <w:pPr>
              <w:pStyle w:val="6"/>
              <w:spacing w:before="24" w:line="228" w:lineRule="auto"/>
              <w:ind w:left="264"/>
              <w:rPr>
                <w:sz w:val="20"/>
                <w:szCs w:val="20"/>
              </w:rPr>
            </w:pPr>
            <w:r>
              <w:rPr>
                <w:b/>
                <w:bCs/>
                <w:spacing w:val="7"/>
                <w:sz w:val="20"/>
                <w:szCs w:val="20"/>
              </w:rPr>
              <w:t>许排放浓度限值</w:t>
            </w:r>
          </w:p>
        </w:tc>
        <w:tc>
          <w:tcPr>
            <w:tcW w:w="1119" w:type="dxa"/>
            <w:vAlign w:val="top"/>
          </w:tcPr>
          <w:p w14:paraId="61AEEBBB">
            <w:pPr>
              <w:pStyle w:val="6"/>
              <w:spacing w:before="224" w:line="227" w:lineRule="auto"/>
              <w:ind w:left="150"/>
              <w:rPr>
                <w:sz w:val="20"/>
                <w:szCs w:val="20"/>
              </w:rPr>
            </w:pPr>
            <w:r>
              <w:rPr>
                <w:b/>
                <w:bCs/>
                <w:spacing w:val="5"/>
                <w:sz w:val="20"/>
                <w:szCs w:val="20"/>
              </w:rPr>
              <w:t>本项目废</w:t>
            </w:r>
          </w:p>
          <w:p w14:paraId="314242AF">
            <w:pPr>
              <w:pStyle w:val="6"/>
              <w:spacing w:before="24" w:line="228" w:lineRule="auto"/>
              <w:ind w:left="152"/>
              <w:rPr>
                <w:sz w:val="20"/>
                <w:szCs w:val="20"/>
              </w:rPr>
            </w:pPr>
            <w:r>
              <w:rPr>
                <w:b/>
                <w:bCs/>
                <w:spacing w:val="5"/>
                <w:sz w:val="20"/>
                <w:szCs w:val="20"/>
              </w:rPr>
              <w:t>水站设计</w:t>
            </w:r>
          </w:p>
          <w:p w14:paraId="76BE3A11">
            <w:pPr>
              <w:pStyle w:val="6"/>
              <w:spacing w:before="24" w:line="228" w:lineRule="auto"/>
              <w:ind w:left="167"/>
              <w:rPr>
                <w:sz w:val="20"/>
                <w:szCs w:val="20"/>
              </w:rPr>
            </w:pPr>
            <w:r>
              <w:rPr>
                <w:b/>
                <w:bCs/>
                <w:spacing w:val="1"/>
                <w:sz w:val="20"/>
                <w:szCs w:val="20"/>
              </w:rPr>
              <w:t>出水限值</w:t>
            </w:r>
          </w:p>
        </w:tc>
        <w:tc>
          <w:tcPr>
            <w:tcW w:w="151" w:type="dxa"/>
            <w:tcBorders>
              <w:top w:val="nil"/>
              <w:bottom w:val="nil"/>
              <w:right w:val="single" w:color="000000" w:sz="6" w:space="0"/>
            </w:tcBorders>
            <w:vAlign w:val="top"/>
          </w:tcPr>
          <w:p w14:paraId="491BB650">
            <w:pPr>
              <w:rPr>
                <w:rFonts w:ascii="Arial"/>
                <w:sz w:val="21"/>
              </w:rPr>
            </w:pPr>
          </w:p>
        </w:tc>
      </w:tr>
      <w:tr w14:paraId="398D9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951DE56">
            <w:pPr>
              <w:rPr>
                <w:rFonts w:ascii="Arial"/>
                <w:sz w:val="21"/>
              </w:rPr>
            </w:pPr>
          </w:p>
        </w:tc>
        <w:tc>
          <w:tcPr>
            <w:tcW w:w="142" w:type="dxa"/>
            <w:tcBorders>
              <w:top w:val="nil"/>
              <w:bottom w:val="nil"/>
            </w:tcBorders>
            <w:vAlign w:val="top"/>
          </w:tcPr>
          <w:p w14:paraId="7C0DD77B">
            <w:pPr>
              <w:rPr>
                <w:rFonts w:ascii="Arial"/>
                <w:sz w:val="21"/>
              </w:rPr>
            </w:pPr>
          </w:p>
        </w:tc>
        <w:tc>
          <w:tcPr>
            <w:tcW w:w="536" w:type="dxa"/>
            <w:vAlign w:val="top"/>
          </w:tcPr>
          <w:p w14:paraId="6CBB4E2C">
            <w:pPr>
              <w:spacing w:before="14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98" w:type="dxa"/>
            <w:vAlign w:val="top"/>
          </w:tcPr>
          <w:p w14:paraId="2A3B0E10">
            <w:pPr>
              <w:spacing w:before="143" w:line="194"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73" w:type="dxa"/>
            <w:gridSpan w:val="2"/>
            <w:vAlign w:val="top"/>
          </w:tcPr>
          <w:p w14:paraId="13ED30F3">
            <w:pPr>
              <w:spacing w:before="136"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9" w:type="dxa"/>
            <w:gridSpan w:val="2"/>
            <w:vAlign w:val="top"/>
          </w:tcPr>
          <w:p w14:paraId="37D7A38F">
            <w:pPr>
              <w:spacing w:before="140"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6.5~9.5</w:t>
            </w:r>
          </w:p>
        </w:tc>
        <w:tc>
          <w:tcPr>
            <w:tcW w:w="1988" w:type="dxa"/>
            <w:gridSpan w:val="2"/>
            <w:vAlign w:val="top"/>
          </w:tcPr>
          <w:p w14:paraId="726C0D31">
            <w:pPr>
              <w:spacing w:before="140"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6.0~9.0</w:t>
            </w:r>
          </w:p>
        </w:tc>
        <w:tc>
          <w:tcPr>
            <w:tcW w:w="1119" w:type="dxa"/>
            <w:vAlign w:val="top"/>
          </w:tcPr>
          <w:p w14:paraId="713D563D">
            <w:pPr>
              <w:spacing w:before="14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6.0~9.0</w:t>
            </w:r>
          </w:p>
        </w:tc>
        <w:tc>
          <w:tcPr>
            <w:tcW w:w="151" w:type="dxa"/>
            <w:tcBorders>
              <w:top w:val="nil"/>
              <w:bottom w:val="nil"/>
              <w:right w:val="single" w:color="000000" w:sz="6" w:space="0"/>
            </w:tcBorders>
            <w:vAlign w:val="top"/>
          </w:tcPr>
          <w:p w14:paraId="4D6120B2">
            <w:pPr>
              <w:rPr>
                <w:rFonts w:ascii="Arial"/>
                <w:sz w:val="21"/>
              </w:rPr>
            </w:pPr>
          </w:p>
        </w:tc>
      </w:tr>
      <w:tr w14:paraId="11BE8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16621D6">
            <w:pPr>
              <w:rPr>
                <w:rFonts w:ascii="Arial"/>
                <w:sz w:val="21"/>
              </w:rPr>
            </w:pPr>
          </w:p>
        </w:tc>
        <w:tc>
          <w:tcPr>
            <w:tcW w:w="142" w:type="dxa"/>
            <w:tcBorders>
              <w:top w:val="nil"/>
              <w:bottom w:val="nil"/>
            </w:tcBorders>
            <w:vAlign w:val="top"/>
          </w:tcPr>
          <w:p w14:paraId="3263AE91">
            <w:pPr>
              <w:rPr>
                <w:rFonts w:ascii="Arial"/>
                <w:sz w:val="21"/>
              </w:rPr>
            </w:pPr>
          </w:p>
        </w:tc>
        <w:tc>
          <w:tcPr>
            <w:tcW w:w="536" w:type="dxa"/>
            <w:vAlign w:val="top"/>
          </w:tcPr>
          <w:p w14:paraId="17F1E1C9">
            <w:pPr>
              <w:spacing w:before="139"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98" w:type="dxa"/>
            <w:vAlign w:val="top"/>
          </w:tcPr>
          <w:p w14:paraId="4A0550F4">
            <w:pPr>
              <w:pStyle w:val="6"/>
              <w:spacing w:before="103" w:line="228" w:lineRule="auto"/>
              <w:ind w:left="241"/>
              <w:rPr>
                <w:sz w:val="20"/>
                <w:szCs w:val="20"/>
              </w:rPr>
            </w:pPr>
            <w:r>
              <w:rPr>
                <w:spacing w:val="3"/>
                <w:sz w:val="20"/>
                <w:szCs w:val="20"/>
              </w:rPr>
              <w:t>色度</w:t>
            </w:r>
          </w:p>
        </w:tc>
        <w:tc>
          <w:tcPr>
            <w:tcW w:w="1173" w:type="dxa"/>
            <w:gridSpan w:val="2"/>
            <w:vAlign w:val="top"/>
          </w:tcPr>
          <w:p w14:paraId="7EC63E4D">
            <w:pPr>
              <w:spacing w:before="135"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9" w:type="dxa"/>
            <w:gridSpan w:val="2"/>
            <w:vAlign w:val="top"/>
          </w:tcPr>
          <w:p w14:paraId="3B3F4B34">
            <w:pPr>
              <w:spacing w:before="139" w:line="195" w:lineRule="auto"/>
              <w:ind w:left="991"/>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988" w:type="dxa"/>
            <w:gridSpan w:val="2"/>
            <w:vAlign w:val="top"/>
          </w:tcPr>
          <w:p w14:paraId="09CAA346">
            <w:pPr>
              <w:spacing w:before="135" w:line="199" w:lineRule="auto"/>
              <w:ind w:left="9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9" w:type="dxa"/>
            <w:vAlign w:val="top"/>
          </w:tcPr>
          <w:p w14:paraId="712BB321">
            <w:pPr>
              <w:spacing w:before="139"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51" w:type="dxa"/>
            <w:tcBorders>
              <w:top w:val="nil"/>
              <w:bottom w:val="nil"/>
              <w:right w:val="single" w:color="000000" w:sz="6" w:space="0"/>
            </w:tcBorders>
            <w:vAlign w:val="top"/>
          </w:tcPr>
          <w:p w14:paraId="25DAEC63">
            <w:pPr>
              <w:rPr>
                <w:rFonts w:ascii="Arial"/>
                <w:sz w:val="21"/>
              </w:rPr>
            </w:pPr>
          </w:p>
        </w:tc>
      </w:tr>
      <w:tr w14:paraId="12BF1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DB320C5">
            <w:pPr>
              <w:rPr>
                <w:rFonts w:ascii="Arial"/>
                <w:sz w:val="21"/>
              </w:rPr>
            </w:pPr>
          </w:p>
        </w:tc>
        <w:tc>
          <w:tcPr>
            <w:tcW w:w="142" w:type="dxa"/>
            <w:tcBorders>
              <w:top w:val="nil"/>
              <w:bottom w:val="nil"/>
            </w:tcBorders>
            <w:vAlign w:val="top"/>
          </w:tcPr>
          <w:p w14:paraId="39B1DC11">
            <w:pPr>
              <w:rPr>
                <w:rFonts w:ascii="Arial"/>
                <w:sz w:val="21"/>
              </w:rPr>
            </w:pPr>
          </w:p>
        </w:tc>
        <w:tc>
          <w:tcPr>
            <w:tcW w:w="536" w:type="dxa"/>
            <w:vAlign w:val="top"/>
          </w:tcPr>
          <w:p w14:paraId="470C81D6">
            <w:pPr>
              <w:spacing w:before="14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98" w:type="dxa"/>
            <w:vAlign w:val="top"/>
          </w:tcPr>
          <w:p w14:paraId="0364088E">
            <w:pPr>
              <w:spacing w:before="141"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173" w:type="dxa"/>
            <w:gridSpan w:val="2"/>
            <w:vAlign w:val="top"/>
          </w:tcPr>
          <w:p w14:paraId="01DDDC84">
            <w:pPr>
              <w:spacing w:before="141"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179" w:type="dxa"/>
            <w:gridSpan w:val="2"/>
            <w:vAlign w:val="top"/>
          </w:tcPr>
          <w:p w14:paraId="620A3407">
            <w:pPr>
              <w:spacing w:before="141" w:line="195" w:lineRule="auto"/>
              <w:ind w:left="9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988" w:type="dxa"/>
            <w:gridSpan w:val="2"/>
            <w:vAlign w:val="top"/>
          </w:tcPr>
          <w:p w14:paraId="55F526D6">
            <w:pPr>
              <w:spacing w:before="141"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19" w:type="dxa"/>
            <w:vAlign w:val="top"/>
          </w:tcPr>
          <w:p w14:paraId="2F785AE2">
            <w:pPr>
              <w:spacing w:before="141"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51" w:type="dxa"/>
            <w:tcBorders>
              <w:top w:val="nil"/>
              <w:bottom w:val="nil"/>
              <w:right w:val="single" w:color="000000" w:sz="6" w:space="0"/>
            </w:tcBorders>
            <w:vAlign w:val="top"/>
          </w:tcPr>
          <w:p w14:paraId="1A3EAA8C">
            <w:pPr>
              <w:rPr>
                <w:rFonts w:ascii="Arial"/>
                <w:sz w:val="21"/>
              </w:rPr>
            </w:pPr>
          </w:p>
        </w:tc>
      </w:tr>
      <w:tr w14:paraId="0F272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D70FCCF">
            <w:pPr>
              <w:rPr>
                <w:rFonts w:ascii="Arial"/>
                <w:sz w:val="21"/>
              </w:rPr>
            </w:pPr>
          </w:p>
        </w:tc>
        <w:tc>
          <w:tcPr>
            <w:tcW w:w="142" w:type="dxa"/>
            <w:tcBorders>
              <w:top w:val="nil"/>
              <w:bottom w:val="nil"/>
            </w:tcBorders>
            <w:vAlign w:val="top"/>
          </w:tcPr>
          <w:p w14:paraId="17823B6F">
            <w:pPr>
              <w:rPr>
                <w:rFonts w:ascii="Arial"/>
                <w:sz w:val="21"/>
              </w:rPr>
            </w:pPr>
          </w:p>
        </w:tc>
        <w:tc>
          <w:tcPr>
            <w:tcW w:w="536" w:type="dxa"/>
            <w:vAlign w:val="top"/>
          </w:tcPr>
          <w:p w14:paraId="4EF36E82">
            <w:pPr>
              <w:spacing w:before="142"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98" w:type="dxa"/>
            <w:vAlign w:val="top"/>
          </w:tcPr>
          <w:p w14:paraId="1468AC46">
            <w:pPr>
              <w:spacing w:before="142" w:line="202" w:lineRule="auto"/>
              <w:ind w:left="18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173" w:type="dxa"/>
            <w:gridSpan w:val="2"/>
            <w:vAlign w:val="top"/>
          </w:tcPr>
          <w:p w14:paraId="689C4299">
            <w:pPr>
              <w:spacing w:before="142"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2179" w:type="dxa"/>
            <w:gridSpan w:val="2"/>
            <w:vAlign w:val="top"/>
          </w:tcPr>
          <w:p w14:paraId="4E037353">
            <w:pPr>
              <w:spacing w:before="142"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988" w:type="dxa"/>
            <w:gridSpan w:val="2"/>
            <w:vAlign w:val="top"/>
          </w:tcPr>
          <w:p w14:paraId="730C8437">
            <w:pPr>
              <w:spacing w:before="142" w:line="195" w:lineRule="auto"/>
              <w:ind w:left="8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19" w:type="dxa"/>
            <w:vAlign w:val="top"/>
          </w:tcPr>
          <w:p w14:paraId="6335ADBF">
            <w:pPr>
              <w:spacing w:before="142"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151" w:type="dxa"/>
            <w:tcBorders>
              <w:top w:val="nil"/>
              <w:bottom w:val="nil"/>
              <w:right w:val="single" w:color="000000" w:sz="6" w:space="0"/>
            </w:tcBorders>
            <w:vAlign w:val="top"/>
          </w:tcPr>
          <w:p w14:paraId="05F0930D">
            <w:pPr>
              <w:rPr>
                <w:rFonts w:ascii="Arial"/>
                <w:sz w:val="21"/>
              </w:rPr>
            </w:pPr>
          </w:p>
        </w:tc>
      </w:tr>
      <w:tr w14:paraId="0FEC8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71ECB8A8">
            <w:pPr>
              <w:rPr>
                <w:rFonts w:ascii="Arial"/>
                <w:sz w:val="21"/>
              </w:rPr>
            </w:pPr>
          </w:p>
        </w:tc>
        <w:tc>
          <w:tcPr>
            <w:tcW w:w="142" w:type="dxa"/>
            <w:tcBorders>
              <w:top w:val="nil"/>
              <w:bottom w:val="nil"/>
            </w:tcBorders>
            <w:vAlign w:val="top"/>
          </w:tcPr>
          <w:p w14:paraId="325C8518">
            <w:pPr>
              <w:rPr>
                <w:rFonts w:ascii="Arial"/>
                <w:sz w:val="21"/>
              </w:rPr>
            </w:pPr>
          </w:p>
        </w:tc>
        <w:tc>
          <w:tcPr>
            <w:tcW w:w="536" w:type="dxa"/>
            <w:vAlign w:val="top"/>
          </w:tcPr>
          <w:p w14:paraId="5BA229BF">
            <w:pPr>
              <w:spacing w:before="144" w:line="192"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98" w:type="dxa"/>
            <w:vAlign w:val="top"/>
          </w:tcPr>
          <w:p w14:paraId="09DB9997">
            <w:pPr>
              <w:spacing w:before="142" w:line="202" w:lineRule="auto"/>
              <w:ind w:left="15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173" w:type="dxa"/>
            <w:gridSpan w:val="2"/>
            <w:vAlign w:val="top"/>
          </w:tcPr>
          <w:p w14:paraId="2A422C42">
            <w:pPr>
              <w:spacing w:before="14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2179" w:type="dxa"/>
            <w:gridSpan w:val="2"/>
            <w:vAlign w:val="top"/>
          </w:tcPr>
          <w:p w14:paraId="7F2F0DD7">
            <w:pPr>
              <w:spacing w:before="141" w:line="195" w:lineRule="auto"/>
              <w:ind w:left="9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988" w:type="dxa"/>
            <w:gridSpan w:val="2"/>
            <w:vAlign w:val="top"/>
          </w:tcPr>
          <w:p w14:paraId="0668E843">
            <w:pPr>
              <w:spacing w:before="141" w:line="195" w:lineRule="auto"/>
              <w:ind w:left="8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19" w:type="dxa"/>
            <w:vAlign w:val="top"/>
          </w:tcPr>
          <w:p w14:paraId="20E5B73B">
            <w:pPr>
              <w:spacing w:before="141"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51" w:type="dxa"/>
            <w:tcBorders>
              <w:top w:val="nil"/>
              <w:bottom w:val="nil"/>
              <w:right w:val="single" w:color="000000" w:sz="6" w:space="0"/>
            </w:tcBorders>
            <w:vAlign w:val="top"/>
          </w:tcPr>
          <w:p w14:paraId="15C4183B">
            <w:pPr>
              <w:rPr>
                <w:rFonts w:ascii="Arial"/>
                <w:sz w:val="21"/>
              </w:rPr>
            </w:pPr>
          </w:p>
        </w:tc>
      </w:tr>
      <w:tr w14:paraId="74EA8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5685F3E">
            <w:pPr>
              <w:rPr>
                <w:rFonts w:ascii="Arial"/>
                <w:sz w:val="21"/>
              </w:rPr>
            </w:pPr>
          </w:p>
        </w:tc>
        <w:tc>
          <w:tcPr>
            <w:tcW w:w="142" w:type="dxa"/>
            <w:tcBorders>
              <w:top w:val="nil"/>
              <w:bottom w:val="nil"/>
            </w:tcBorders>
            <w:vAlign w:val="top"/>
          </w:tcPr>
          <w:p w14:paraId="50039C41">
            <w:pPr>
              <w:rPr>
                <w:rFonts w:ascii="Arial"/>
                <w:sz w:val="21"/>
              </w:rPr>
            </w:pPr>
          </w:p>
        </w:tc>
        <w:tc>
          <w:tcPr>
            <w:tcW w:w="536" w:type="dxa"/>
            <w:vAlign w:val="top"/>
          </w:tcPr>
          <w:p w14:paraId="525D0028">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98" w:type="dxa"/>
            <w:vAlign w:val="top"/>
          </w:tcPr>
          <w:p w14:paraId="3C61B726">
            <w:pPr>
              <w:pStyle w:val="6"/>
              <w:spacing w:before="107" w:line="229" w:lineRule="auto"/>
              <w:ind w:left="134"/>
              <w:rPr>
                <w:sz w:val="20"/>
                <w:szCs w:val="20"/>
              </w:rPr>
            </w:pPr>
            <w:r>
              <w:rPr>
                <w:spacing w:val="7"/>
                <w:sz w:val="20"/>
                <w:szCs w:val="20"/>
              </w:rPr>
              <w:t>硫化物</w:t>
            </w:r>
          </w:p>
        </w:tc>
        <w:tc>
          <w:tcPr>
            <w:tcW w:w="1173" w:type="dxa"/>
            <w:gridSpan w:val="2"/>
            <w:vAlign w:val="top"/>
          </w:tcPr>
          <w:p w14:paraId="05E62E3D">
            <w:pPr>
              <w:spacing w:before="139"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9" w:type="dxa"/>
            <w:gridSpan w:val="2"/>
            <w:vAlign w:val="top"/>
          </w:tcPr>
          <w:p w14:paraId="7BC36924">
            <w:pPr>
              <w:spacing w:before="143" w:line="195" w:lineRule="auto"/>
              <w:ind w:left="10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88" w:type="dxa"/>
            <w:gridSpan w:val="2"/>
            <w:vAlign w:val="top"/>
          </w:tcPr>
          <w:p w14:paraId="0B3B47DF">
            <w:pPr>
              <w:spacing w:before="143" w:line="195" w:lineRule="auto"/>
              <w:ind w:left="96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9" w:type="dxa"/>
            <w:vAlign w:val="top"/>
          </w:tcPr>
          <w:p w14:paraId="36646F4F">
            <w:pPr>
              <w:spacing w:before="143"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1" w:type="dxa"/>
            <w:tcBorders>
              <w:top w:val="nil"/>
              <w:bottom w:val="nil"/>
              <w:right w:val="single" w:color="000000" w:sz="6" w:space="0"/>
            </w:tcBorders>
            <w:vAlign w:val="top"/>
          </w:tcPr>
          <w:p w14:paraId="7FCC94DC">
            <w:pPr>
              <w:rPr>
                <w:rFonts w:ascii="Arial"/>
                <w:sz w:val="21"/>
              </w:rPr>
            </w:pPr>
          </w:p>
        </w:tc>
      </w:tr>
      <w:tr w14:paraId="28B46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A575997">
            <w:pPr>
              <w:rPr>
                <w:rFonts w:ascii="Arial"/>
                <w:sz w:val="21"/>
              </w:rPr>
            </w:pPr>
          </w:p>
        </w:tc>
        <w:tc>
          <w:tcPr>
            <w:tcW w:w="142" w:type="dxa"/>
            <w:tcBorders>
              <w:top w:val="nil"/>
              <w:bottom w:val="nil"/>
            </w:tcBorders>
            <w:vAlign w:val="top"/>
          </w:tcPr>
          <w:p w14:paraId="2AD984BE">
            <w:pPr>
              <w:rPr>
                <w:rFonts w:ascii="Arial"/>
                <w:sz w:val="21"/>
              </w:rPr>
            </w:pPr>
          </w:p>
        </w:tc>
        <w:tc>
          <w:tcPr>
            <w:tcW w:w="536" w:type="dxa"/>
            <w:vAlign w:val="top"/>
          </w:tcPr>
          <w:p w14:paraId="41A3322E">
            <w:pPr>
              <w:spacing w:before="145" w:line="192"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98" w:type="dxa"/>
            <w:vAlign w:val="top"/>
          </w:tcPr>
          <w:p w14:paraId="73760284">
            <w:pPr>
              <w:pStyle w:val="6"/>
              <w:spacing w:before="106" w:line="228" w:lineRule="auto"/>
              <w:ind w:left="136"/>
              <w:rPr>
                <w:sz w:val="20"/>
                <w:szCs w:val="20"/>
              </w:rPr>
            </w:pPr>
            <w:r>
              <w:rPr>
                <w:spacing w:val="6"/>
                <w:sz w:val="20"/>
                <w:szCs w:val="20"/>
              </w:rPr>
              <w:t>氟化物</w:t>
            </w:r>
          </w:p>
        </w:tc>
        <w:tc>
          <w:tcPr>
            <w:tcW w:w="1173" w:type="dxa"/>
            <w:gridSpan w:val="2"/>
            <w:vAlign w:val="top"/>
          </w:tcPr>
          <w:p w14:paraId="4E300D58">
            <w:pPr>
              <w:spacing w:before="138"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9" w:type="dxa"/>
            <w:gridSpan w:val="2"/>
            <w:vAlign w:val="top"/>
          </w:tcPr>
          <w:p w14:paraId="6D9D7A3A">
            <w:pPr>
              <w:spacing w:before="142" w:line="195" w:lineRule="auto"/>
              <w:ind w:left="9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88" w:type="dxa"/>
            <w:gridSpan w:val="2"/>
            <w:vAlign w:val="top"/>
          </w:tcPr>
          <w:p w14:paraId="4E389E1F">
            <w:pPr>
              <w:spacing w:before="142" w:line="195" w:lineRule="auto"/>
              <w:ind w:left="8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19" w:type="dxa"/>
            <w:vAlign w:val="top"/>
          </w:tcPr>
          <w:p w14:paraId="6513DF22">
            <w:pPr>
              <w:spacing w:before="142"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1" w:type="dxa"/>
            <w:tcBorders>
              <w:top w:val="nil"/>
              <w:bottom w:val="nil"/>
              <w:right w:val="single" w:color="000000" w:sz="6" w:space="0"/>
            </w:tcBorders>
            <w:vAlign w:val="top"/>
          </w:tcPr>
          <w:p w14:paraId="74FAFBF4">
            <w:pPr>
              <w:rPr>
                <w:rFonts w:ascii="Arial"/>
                <w:sz w:val="21"/>
              </w:rPr>
            </w:pPr>
          </w:p>
        </w:tc>
      </w:tr>
      <w:tr w14:paraId="266E1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FAA90FC">
            <w:pPr>
              <w:rPr>
                <w:rFonts w:ascii="Arial"/>
                <w:sz w:val="21"/>
              </w:rPr>
            </w:pPr>
          </w:p>
        </w:tc>
        <w:tc>
          <w:tcPr>
            <w:tcW w:w="142" w:type="dxa"/>
            <w:tcBorders>
              <w:top w:val="nil"/>
              <w:bottom w:val="nil"/>
            </w:tcBorders>
            <w:vAlign w:val="top"/>
          </w:tcPr>
          <w:p w14:paraId="2A186C65">
            <w:pPr>
              <w:rPr>
                <w:rFonts w:ascii="Arial"/>
                <w:sz w:val="21"/>
              </w:rPr>
            </w:pPr>
          </w:p>
        </w:tc>
        <w:tc>
          <w:tcPr>
            <w:tcW w:w="536" w:type="dxa"/>
            <w:vAlign w:val="top"/>
          </w:tcPr>
          <w:p w14:paraId="22C6630F">
            <w:pPr>
              <w:spacing w:before="143"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98" w:type="dxa"/>
            <w:vAlign w:val="top"/>
          </w:tcPr>
          <w:p w14:paraId="115CC159">
            <w:pPr>
              <w:pStyle w:val="6"/>
              <w:spacing w:before="107" w:line="229" w:lineRule="auto"/>
              <w:ind w:left="139"/>
              <w:rPr>
                <w:sz w:val="20"/>
                <w:szCs w:val="20"/>
              </w:rPr>
            </w:pPr>
            <w:r>
              <w:rPr>
                <w:spacing w:val="5"/>
                <w:sz w:val="20"/>
                <w:szCs w:val="20"/>
              </w:rPr>
              <w:t>氯化物</w:t>
            </w:r>
          </w:p>
        </w:tc>
        <w:tc>
          <w:tcPr>
            <w:tcW w:w="1173" w:type="dxa"/>
            <w:gridSpan w:val="2"/>
            <w:vAlign w:val="top"/>
          </w:tcPr>
          <w:p w14:paraId="3024E6EE">
            <w:pPr>
              <w:spacing w:before="139"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9" w:type="dxa"/>
            <w:gridSpan w:val="2"/>
            <w:vAlign w:val="top"/>
          </w:tcPr>
          <w:p w14:paraId="6DF3EB9E">
            <w:pPr>
              <w:spacing w:before="143" w:line="195" w:lineRule="auto"/>
              <w:ind w:left="942"/>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988" w:type="dxa"/>
            <w:gridSpan w:val="2"/>
            <w:vAlign w:val="top"/>
          </w:tcPr>
          <w:p w14:paraId="4F292B68">
            <w:pPr>
              <w:spacing w:before="139" w:line="199" w:lineRule="auto"/>
              <w:ind w:left="9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9" w:type="dxa"/>
            <w:vAlign w:val="top"/>
          </w:tcPr>
          <w:p w14:paraId="50F25418">
            <w:pPr>
              <w:spacing w:before="143"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51" w:type="dxa"/>
            <w:tcBorders>
              <w:top w:val="nil"/>
              <w:bottom w:val="nil"/>
              <w:right w:val="single" w:color="000000" w:sz="6" w:space="0"/>
            </w:tcBorders>
            <w:vAlign w:val="top"/>
          </w:tcPr>
          <w:p w14:paraId="28D0610C">
            <w:pPr>
              <w:rPr>
                <w:rFonts w:ascii="Arial"/>
                <w:sz w:val="21"/>
              </w:rPr>
            </w:pPr>
          </w:p>
        </w:tc>
      </w:tr>
      <w:tr w14:paraId="75A24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8" w:type="dxa"/>
            <w:vMerge w:val="continue"/>
            <w:tcBorders>
              <w:top w:val="nil"/>
              <w:left w:val="single" w:color="000000" w:sz="6" w:space="0"/>
              <w:bottom w:val="single" w:color="000000" w:sz="6" w:space="0"/>
            </w:tcBorders>
            <w:vAlign w:val="top"/>
          </w:tcPr>
          <w:p w14:paraId="7A60FDFE">
            <w:pPr>
              <w:rPr>
                <w:rFonts w:ascii="Arial"/>
                <w:sz w:val="21"/>
              </w:rPr>
            </w:pPr>
          </w:p>
        </w:tc>
        <w:tc>
          <w:tcPr>
            <w:tcW w:w="142" w:type="dxa"/>
            <w:tcBorders>
              <w:top w:val="nil"/>
              <w:bottom w:val="single" w:color="000000" w:sz="6" w:space="0"/>
            </w:tcBorders>
            <w:vAlign w:val="top"/>
          </w:tcPr>
          <w:p w14:paraId="1EDE959C">
            <w:pPr>
              <w:rPr>
                <w:rFonts w:ascii="Arial"/>
                <w:sz w:val="21"/>
              </w:rPr>
            </w:pPr>
          </w:p>
        </w:tc>
        <w:tc>
          <w:tcPr>
            <w:tcW w:w="536" w:type="dxa"/>
            <w:tcBorders>
              <w:bottom w:val="single" w:color="000000" w:sz="6" w:space="0"/>
            </w:tcBorders>
            <w:vAlign w:val="top"/>
          </w:tcPr>
          <w:p w14:paraId="1310594A">
            <w:pPr>
              <w:spacing w:before="14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98" w:type="dxa"/>
            <w:tcBorders>
              <w:bottom w:val="single" w:color="000000" w:sz="6" w:space="0"/>
            </w:tcBorders>
            <w:vAlign w:val="top"/>
          </w:tcPr>
          <w:p w14:paraId="0D68FE8F">
            <w:pPr>
              <w:pStyle w:val="6"/>
              <w:spacing w:before="107" w:line="229" w:lineRule="auto"/>
              <w:ind w:left="134"/>
              <w:rPr>
                <w:sz w:val="20"/>
                <w:szCs w:val="20"/>
              </w:rPr>
            </w:pPr>
            <w:r>
              <w:rPr>
                <w:spacing w:val="7"/>
                <w:sz w:val="20"/>
                <w:szCs w:val="20"/>
              </w:rPr>
              <w:t>硫酸盐</w:t>
            </w:r>
          </w:p>
        </w:tc>
        <w:tc>
          <w:tcPr>
            <w:tcW w:w="1173" w:type="dxa"/>
            <w:gridSpan w:val="2"/>
            <w:tcBorders>
              <w:bottom w:val="single" w:color="000000" w:sz="6" w:space="0"/>
            </w:tcBorders>
            <w:vAlign w:val="top"/>
          </w:tcPr>
          <w:p w14:paraId="1E4F8DCE">
            <w:pPr>
              <w:spacing w:before="139"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9" w:type="dxa"/>
            <w:gridSpan w:val="2"/>
            <w:tcBorders>
              <w:bottom w:val="single" w:color="000000" w:sz="6" w:space="0"/>
            </w:tcBorders>
            <w:vAlign w:val="top"/>
          </w:tcPr>
          <w:p w14:paraId="5E30CB6D">
            <w:pPr>
              <w:spacing w:before="143" w:line="195" w:lineRule="auto"/>
              <w:ind w:left="9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988" w:type="dxa"/>
            <w:gridSpan w:val="2"/>
            <w:tcBorders>
              <w:bottom w:val="single" w:color="000000" w:sz="6" w:space="0"/>
            </w:tcBorders>
            <w:vAlign w:val="top"/>
          </w:tcPr>
          <w:p w14:paraId="12FE0FAB">
            <w:pPr>
              <w:spacing w:before="139" w:line="199" w:lineRule="auto"/>
              <w:ind w:left="9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9" w:type="dxa"/>
            <w:tcBorders>
              <w:bottom w:val="single" w:color="000000" w:sz="6" w:space="0"/>
            </w:tcBorders>
            <w:vAlign w:val="top"/>
          </w:tcPr>
          <w:p w14:paraId="1EF050D9">
            <w:pPr>
              <w:spacing w:before="143"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51" w:type="dxa"/>
            <w:tcBorders>
              <w:top w:val="nil"/>
              <w:bottom w:val="single" w:color="000000" w:sz="6" w:space="0"/>
              <w:right w:val="single" w:color="000000" w:sz="6" w:space="0"/>
            </w:tcBorders>
            <w:vAlign w:val="top"/>
          </w:tcPr>
          <w:p w14:paraId="722549C3">
            <w:pPr>
              <w:rPr>
                <w:rFonts w:ascii="Arial"/>
                <w:sz w:val="21"/>
              </w:rPr>
            </w:pPr>
          </w:p>
        </w:tc>
      </w:tr>
    </w:tbl>
    <w:p w14:paraId="7C40CEDC">
      <w:pPr>
        <w:rPr>
          <w:rFonts w:ascii="Arial"/>
          <w:sz w:val="21"/>
        </w:rPr>
      </w:pPr>
    </w:p>
    <w:p w14:paraId="3D45130C">
      <w:pPr>
        <w:rPr>
          <w:rFonts w:ascii="Arial" w:hAnsi="Arial" w:eastAsia="Arial" w:cs="Arial"/>
          <w:sz w:val="21"/>
          <w:szCs w:val="21"/>
        </w:rPr>
        <w:sectPr>
          <w:footerReference r:id="rId58" w:type="default"/>
          <w:pgSz w:w="11907" w:h="16840"/>
          <w:pgMar w:top="400" w:right="1449" w:bottom="1240" w:left="1448" w:header="0" w:footer="1077" w:gutter="0"/>
          <w:cols w:space="720" w:num="1"/>
        </w:sectPr>
      </w:pPr>
    </w:p>
    <w:p w14:paraId="7AC4160C">
      <w:pPr>
        <w:spacing w:before="19"/>
      </w:pPr>
    </w:p>
    <w:p w14:paraId="363BC9B7">
      <w:pPr>
        <w:spacing w:before="19"/>
      </w:pPr>
    </w:p>
    <w:p w14:paraId="614A27D6">
      <w:pPr>
        <w:spacing w:before="19"/>
      </w:pPr>
    </w:p>
    <w:p w14:paraId="57D65918">
      <w:pPr>
        <w:spacing w:before="18"/>
      </w:pPr>
    </w:p>
    <w:p w14:paraId="59D97612">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41"/>
        <w:gridCol w:w="536"/>
        <w:gridCol w:w="899"/>
        <w:gridCol w:w="1173"/>
        <w:gridCol w:w="2178"/>
        <w:gridCol w:w="1988"/>
        <w:gridCol w:w="1121"/>
        <w:gridCol w:w="150"/>
      </w:tblGrid>
      <w:tr w14:paraId="1C3FD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restart"/>
            <w:tcBorders>
              <w:top w:val="single" w:color="000000" w:sz="6" w:space="0"/>
              <w:left w:val="single" w:color="000000" w:sz="6" w:space="0"/>
              <w:bottom w:val="nil"/>
            </w:tcBorders>
            <w:vAlign w:val="top"/>
          </w:tcPr>
          <w:p w14:paraId="395B44D4">
            <w:pPr>
              <w:rPr>
                <w:rFonts w:ascii="Arial"/>
                <w:sz w:val="21"/>
              </w:rPr>
            </w:pPr>
          </w:p>
        </w:tc>
        <w:tc>
          <w:tcPr>
            <w:tcW w:w="141" w:type="dxa"/>
            <w:tcBorders>
              <w:top w:val="single" w:color="000000" w:sz="6" w:space="0"/>
              <w:bottom w:val="nil"/>
            </w:tcBorders>
            <w:vAlign w:val="top"/>
          </w:tcPr>
          <w:p w14:paraId="52DBF39D">
            <w:pPr>
              <w:rPr>
                <w:rFonts w:ascii="Arial"/>
                <w:sz w:val="21"/>
              </w:rPr>
            </w:pPr>
          </w:p>
        </w:tc>
        <w:tc>
          <w:tcPr>
            <w:tcW w:w="536" w:type="dxa"/>
            <w:vAlign w:val="top"/>
          </w:tcPr>
          <w:p w14:paraId="5A92BA78">
            <w:pPr>
              <w:spacing w:before="14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99" w:type="dxa"/>
            <w:vAlign w:val="top"/>
          </w:tcPr>
          <w:p w14:paraId="24AE9DB7">
            <w:pPr>
              <w:pStyle w:val="6"/>
              <w:spacing w:before="109" w:line="227" w:lineRule="auto"/>
              <w:ind w:left="239"/>
              <w:rPr>
                <w:sz w:val="20"/>
                <w:szCs w:val="20"/>
              </w:rPr>
            </w:pPr>
            <w:r>
              <w:rPr>
                <w:spacing w:val="4"/>
                <w:sz w:val="20"/>
                <w:szCs w:val="20"/>
              </w:rPr>
              <w:t>氨氮</w:t>
            </w:r>
          </w:p>
        </w:tc>
        <w:tc>
          <w:tcPr>
            <w:tcW w:w="1173" w:type="dxa"/>
            <w:vAlign w:val="top"/>
          </w:tcPr>
          <w:p w14:paraId="6D00CD9C">
            <w:pPr>
              <w:spacing w:before="14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78" w:type="dxa"/>
            <w:vAlign w:val="top"/>
          </w:tcPr>
          <w:p w14:paraId="1BF283A7">
            <w:pPr>
              <w:spacing w:before="145" w:line="195" w:lineRule="auto"/>
              <w:ind w:left="9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988" w:type="dxa"/>
            <w:vAlign w:val="top"/>
          </w:tcPr>
          <w:p w14:paraId="623BE68E">
            <w:pPr>
              <w:spacing w:before="141" w:line="199" w:lineRule="auto"/>
              <w:ind w:left="9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1" w:type="dxa"/>
            <w:vAlign w:val="top"/>
          </w:tcPr>
          <w:p w14:paraId="5EE1FF87">
            <w:pPr>
              <w:spacing w:before="14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0" w:type="dxa"/>
            <w:tcBorders>
              <w:top w:val="single" w:color="000000" w:sz="6" w:space="0"/>
              <w:bottom w:val="nil"/>
              <w:right w:val="single" w:color="000000" w:sz="6" w:space="0"/>
            </w:tcBorders>
            <w:vAlign w:val="top"/>
          </w:tcPr>
          <w:p w14:paraId="4E8FA531">
            <w:pPr>
              <w:rPr>
                <w:rFonts w:ascii="Arial"/>
                <w:sz w:val="21"/>
              </w:rPr>
            </w:pPr>
          </w:p>
        </w:tc>
      </w:tr>
      <w:tr w14:paraId="68BA1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0FA19F24">
            <w:pPr>
              <w:rPr>
                <w:rFonts w:ascii="Arial"/>
                <w:sz w:val="21"/>
              </w:rPr>
            </w:pPr>
          </w:p>
        </w:tc>
        <w:tc>
          <w:tcPr>
            <w:tcW w:w="141" w:type="dxa"/>
            <w:tcBorders>
              <w:top w:val="nil"/>
              <w:bottom w:val="nil"/>
            </w:tcBorders>
            <w:vAlign w:val="top"/>
          </w:tcPr>
          <w:p w14:paraId="608CD0FD">
            <w:pPr>
              <w:rPr>
                <w:rFonts w:ascii="Arial"/>
                <w:sz w:val="21"/>
              </w:rPr>
            </w:pPr>
          </w:p>
        </w:tc>
        <w:tc>
          <w:tcPr>
            <w:tcW w:w="536" w:type="dxa"/>
            <w:vAlign w:val="top"/>
          </w:tcPr>
          <w:p w14:paraId="78DF34DC">
            <w:pPr>
              <w:spacing w:before="130"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99" w:type="dxa"/>
            <w:vAlign w:val="top"/>
          </w:tcPr>
          <w:p w14:paraId="26B6F48E">
            <w:pPr>
              <w:pStyle w:val="6"/>
              <w:spacing w:before="93" w:line="227" w:lineRule="auto"/>
              <w:ind w:left="245"/>
              <w:rPr>
                <w:sz w:val="20"/>
                <w:szCs w:val="20"/>
              </w:rPr>
            </w:pPr>
            <w:r>
              <w:rPr>
                <w:spacing w:val="2"/>
                <w:sz w:val="20"/>
                <w:szCs w:val="20"/>
              </w:rPr>
              <w:t>总氮</w:t>
            </w:r>
          </w:p>
        </w:tc>
        <w:tc>
          <w:tcPr>
            <w:tcW w:w="1173" w:type="dxa"/>
            <w:vAlign w:val="top"/>
          </w:tcPr>
          <w:p w14:paraId="5781F0EA">
            <w:pPr>
              <w:spacing w:before="129"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178" w:type="dxa"/>
            <w:vAlign w:val="top"/>
          </w:tcPr>
          <w:p w14:paraId="0BC204C8">
            <w:pPr>
              <w:spacing w:before="129" w:line="195" w:lineRule="auto"/>
              <w:ind w:left="9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988" w:type="dxa"/>
            <w:vAlign w:val="top"/>
          </w:tcPr>
          <w:p w14:paraId="39912BBB">
            <w:pPr>
              <w:spacing w:before="126" w:line="199" w:lineRule="auto"/>
              <w:ind w:left="9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1" w:type="dxa"/>
            <w:vAlign w:val="top"/>
          </w:tcPr>
          <w:p w14:paraId="072147CD">
            <w:pPr>
              <w:spacing w:before="129"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50" w:type="dxa"/>
            <w:tcBorders>
              <w:top w:val="nil"/>
              <w:bottom w:val="nil"/>
              <w:right w:val="single" w:color="000000" w:sz="6" w:space="0"/>
            </w:tcBorders>
            <w:vAlign w:val="top"/>
          </w:tcPr>
          <w:p w14:paraId="73E39AB6">
            <w:pPr>
              <w:rPr>
                <w:rFonts w:ascii="Arial"/>
                <w:sz w:val="21"/>
              </w:rPr>
            </w:pPr>
          </w:p>
        </w:tc>
      </w:tr>
      <w:tr w14:paraId="4B9D9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39F7FA28">
            <w:pPr>
              <w:rPr>
                <w:rFonts w:ascii="Arial"/>
                <w:sz w:val="21"/>
              </w:rPr>
            </w:pPr>
          </w:p>
        </w:tc>
        <w:tc>
          <w:tcPr>
            <w:tcW w:w="141" w:type="dxa"/>
            <w:tcBorders>
              <w:top w:val="nil"/>
              <w:bottom w:val="nil"/>
            </w:tcBorders>
            <w:vAlign w:val="top"/>
          </w:tcPr>
          <w:p w14:paraId="2E1E6935">
            <w:pPr>
              <w:rPr>
                <w:rFonts w:ascii="Arial"/>
                <w:sz w:val="21"/>
              </w:rPr>
            </w:pPr>
          </w:p>
        </w:tc>
        <w:tc>
          <w:tcPr>
            <w:tcW w:w="536" w:type="dxa"/>
            <w:vAlign w:val="top"/>
          </w:tcPr>
          <w:p w14:paraId="20997819">
            <w:pPr>
              <w:spacing w:before="13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99" w:type="dxa"/>
            <w:vAlign w:val="top"/>
          </w:tcPr>
          <w:p w14:paraId="4415F4BB">
            <w:pPr>
              <w:pStyle w:val="6"/>
              <w:spacing w:before="95" w:line="228" w:lineRule="auto"/>
              <w:ind w:left="245"/>
              <w:rPr>
                <w:sz w:val="20"/>
                <w:szCs w:val="20"/>
              </w:rPr>
            </w:pPr>
            <w:r>
              <w:rPr>
                <w:spacing w:val="2"/>
                <w:sz w:val="20"/>
                <w:szCs w:val="20"/>
              </w:rPr>
              <w:t>总磷</w:t>
            </w:r>
          </w:p>
        </w:tc>
        <w:tc>
          <w:tcPr>
            <w:tcW w:w="1173" w:type="dxa"/>
            <w:vAlign w:val="top"/>
          </w:tcPr>
          <w:p w14:paraId="2E30F6AD">
            <w:pPr>
              <w:spacing w:before="131"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2178" w:type="dxa"/>
            <w:vAlign w:val="top"/>
          </w:tcPr>
          <w:p w14:paraId="31C4A8D3">
            <w:pPr>
              <w:spacing w:before="131" w:line="195" w:lineRule="auto"/>
              <w:ind w:left="966"/>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1988" w:type="dxa"/>
            <w:vAlign w:val="top"/>
          </w:tcPr>
          <w:p w14:paraId="5F61DA74">
            <w:pPr>
              <w:spacing w:before="128" w:line="199" w:lineRule="auto"/>
              <w:ind w:left="9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1" w:type="dxa"/>
            <w:vAlign w:val="top"/>
          </w:tcPr>
          <w:p w14:paraId="41833CD5">
            <w:pPr>
              <w:spacing w:before="131"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50" w:type="dxa"/>
            <w:tcBorders>
              <w:top w:val="nil"/>
              <w:bottom w:val="nil"/>
              <w:right w:val="single" w:color="000000" w:sz="6" w:space="0"/>
            </w:tcBorders>
            <w:vAlign w:val="top"/>
          </w:tcPr>
          <w:p w14:paraId="1AF4CDFF">
            <w:pPr>
              <w:rPr>
                <w:rFonts w:ascii="Arial"/>
                <w:sz w:val="21"/>
              </w:rPr>
            </w:pPr>
          </w:p>
        </w:tc>
      </w:tr>
      <w:tr w14:paraId="0797B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5ACEE8C">
            <w:pPr>
              <w:rPr>
                <w:rFonts w:ascii="Arial"/>
                <w:sz w:val="21"/>
              </w:rPr>
            </w:pPr>
          </w:p>
        </w:tc>
        <w:tc>
          <w:tcPr>
            <w:tcW w:w="141" w:type="dxa"/>
            <w:tcBorders>
              <w:top w:val="nil"/>
              <w:bottom w:val="nil"/>
            </w:tcBorders>
            <w:vAlign w:val="top"/>
          </w:tcPr>
          <w:p w14:paraId="2B1B5091">
            <w:pPr>
              <w:rPr>
                <w:rFonts w:ascii="Arial"/>
                <w:sz w:val="21"/>
              </w:rPr>
            </w:pPr>
          </w:p>
        </w:tc>
        <w:tc>
          <w:tcPr>
            <w:tcW w:w="536" w:type="dxa"/>
            <w:vAlign w:val="top"/>
          </w:tcPr>
          <w:p w14:paraId="07EAC37A">
            <w:pPr>
              <w:spacing w:before="13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99" w:type="dxa"/>
            <w:vAlign w:val="top"/>
          </w:tcPr>
          <w:p w14:paraId="41EF104F">
            <w:pPr>
              <w:pStyle w:val="6"/>
              <w:spacing w:before="95" w:line="229" w:lineRule="auto"/>
              <w:ind w:left="245"/>
              <w:rPr>
                <w:sz w:val="20"/>
                <w:szCs w:val="20"/>
              </w:rPr>
            </w:pPr>
            <w:r>
              <w:rPr>
                <w:spacing w:val="2"/>
                <w:sz w:val="20"/>
                <w:szCs w:val="20"/>
              </w:rPr>
              <w:t>总铜</w:t>
            </w:r>
          </w:p>
        </w:tc>
        <w:tc>
          <w:tcPr>
            <w:tcW w:w="1173" w:type="dxa"/>
            <w:vAlign w:val="top"/>
          </w:tcPr>
          <w:p w14:paraId="09B7059F">
            <w:pPr>
              <w:spacing w:before="127"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1F80EEF6">
            <w:pPr>
              <w:spacing w:before="131" w:line="195" w:lineRule="auto"/>
              <w:ind w:left="9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88" w:type="dxa"/>
            <w:vAlign w:val="top"/>
          </w:tcPr>
          <w:p w14:paraId="187F96C0">
            <w:pPr>
              <w:spacing w:before="131" w:line="195" w:lineRule="auto"/>
              <w:ind w:left="8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21" w:type="dxa"/>
            <w:vAlign w:val="top"/>
          </w:tcPr>
          <w:p w14:paraId="4F547B5D">
            <w:pPr>
              <w:spacing w:before="131"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0" w:type="dxa"/>
            <w:tcBorders>
              <w:top w:val="nil"/>
              <w:bottom w:val="nil"/>
              <w:right w:val="single" w:color="000000" w:sz="6" w:space="0"/>
            </w:tcBorders>
            <w:vAlign w:val="top"/>
          </w:tcPr>
          <w:p w14:paraId="3B4169D6">
            <w:pPr>
              <w:rPr>
                <w:rFonts w:ascii="Arial"/>
                <w:sz w:val="21"/>
              </w:rPr>
            </w:pPr>
          </w:p>
        </w:tc>
      </w:tr>
      <w:tr w14:paraId="19A82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1D86CC8">
            <w:pPr>
              <w:rPr>
                <w:rFonts w:ascii="Arial"/>
                <w:sz w:val="21"/>
              </w:rPr>
            </w:pPr>
          </w:p>
        </w:tc>
        <w:tc>
          <w:tcPr>
            <w:tcW w:w="141" w:type="dxa"/>
            <w:tcBorders>
              <w:top w:val="nil"/>
              <w:bottom w:val="nil"/>
            </w:tcBorders>
            <w:vAlign w:val="top"/>
          </w:tcPr>
          <w:p w14:paraId="635F21DA">
            <w:pPr>
              <w:rPr>
                <w:rFonts w:ascii="Arial"/>
                <w:sz w:val="21"/>
              </w:rPr>
            </w:pPr>
          </w:p>
        </w:tc>
        <w:tc>
          <w:tcPr>
            <w:tcW w:w="536" w:type="dxa"/>
            <w:vAlign w:val="top"/>
          </w:tcPr>
          <w:p w14:paraId="1D2616B7">
            <w:pPr>
              <w:spacing w:before="13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99" w:type="dxa"/>
            <w:vAlign w:val="top"/>
          </w:tcPr>
          <w:p w14:paraId="6D9D8D64">
            <w:pPr>
              <w:pStyle w:val="6"/>
              <w:spacing w:before="97" w:line="228" w:lineRule="auto"/>
              <w:ind w:left="245"/>
              <w:rPr>
                <w:sz w:val="20"/>
                <w:szCs w:val="20"/>
              </w:rPr>
            </w:pPr>
            <w:r>
              <w:rPr>
                <w:spacing w:val="2"/>
                <w:sz w:val="20"/>
                <w:szCs w:val="20"/>
              </w:rPr>
              <w:t>总锌</w:t>
            </w:r>
          </w:p>
        </w:tc>
        <w:tc>
          <w:tcPr>
            <w:tcW w:w="1173" w:type="dxa"/>
            <w:vAlign w:val="top"/>
          </w:tcPr>
          <w:p w14:paraId="0AB632B2">
            <w:pPr>
              <w:spacing w:before="128"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10C8CE6C">
            <w:pPr>
              <w:spacing w:before="132" w:line="195" w:lineRule="auto"/>
              <w:ind w:left="96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88" w:type="dxa"/>
            <w:vAlign w:val="top"/>
          </w:tcPr>
          <w:p w14:paraId="611F1BE6">
            <w:pPr>
              <w:spacing w:before="132" w:line="195" w:lineRule="auto"/>
              <w:ind w:left="87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21" w:type="dxa"/>
            <w:vAlign w:val="top"/>
          </w:tcPr>
          <w:p w14:paraId="63A0477B">
            <w:pPr>
              <w:spacing w:before="135" w:line="192"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0" w:type="dxa"/>
            <w:tcBorders>
              <w:top w:val="nil"/>
              <w:bottom w:val="nil"/>
              <w:right w:val="single" w:color="000000" w:sz="6" w:space="0"/>
            </w:tcBorders>
            <w:vAlign w:val="top"/>
          </w:tcPr>
          <w:p w14:paraId="21FDB1C5">
            <w:pPr>
              <w:rPr>
                <w:rFonts w:ascii="Arial"/>
                <w:sz w:val="21"/>
              </w:rPr>
            </w:pPr>
          </w:p>
        </w:tc>
      </w:tr>
      <w:tr w14:paraId="5A543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29BDC38">
            <w:pPr>
              <w:rPr>
                <w:rFonts w:ascii="Arial"/>
                <w:sz w:val="21"/>
              </w:rPr>
            </w:pPr>
          </w:p>
        </w:tc>
        <w:tc>
          <w:tcPr>
            <w:tcW w:w="141" w:type="dxa"/>
            <w:tcBorders>
              <w:top w:val="nil"/>
              <w:bottom w:val="nil"/>
            </w:tcBorders>
            <w:vAlign w:val="top"/>
          </w:tcPr>
          <w:p w14:paraId="166DF39F">
            <w:pPr>
              <w:rPr>
                <w:rFonts w:ascii="Arial"/>
                <w:sz w:val="21"/>
              </w:rPr>
            </w:pPr>
          </w:p>
        </w:tc>
        <w:tc>
          <w:tcPr>
            <w:tcW w:w="536" w:type="dxa"/>
            <w:vAlign w:val="top"/>
          </w:tcPr>
          <w:p w14:paraId="15AE92AE">
            <w:pPr>
              <w:spacing w:before="13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99" w:type="dxa"/>
            <w:vAlign w:val="top"/>
          </w:tcPr>
          <w:p w14:paraId="5AB15AD8">
            <w:pPr>
              <w:pStyle w:val="6"/>
              <w:spacing w:before="95" w:line="234" w:lineRule="auto"/>
              <w:ind w:left="245"/>
              <w:rPr>
                <w:sz w:val="20"/>
                <w:szCs w:val="20"/>
              </w:rPr>
            </w:pPr>
            <w:r>
              <w:rPr>
                <w:spacing w:val="2"/>
                <w:sz w:val="20"/>
                <w:szCs w:val="20"/>
              </w:rPr>
              <w:t>总锰</w:t>
            </w:r>
          </w:p>
        </w:tc>
        <w:tc>
          <w:tcPr>
            <w:tcW w:w="1173" w:type="dxa"/>
            <w:vAlign w:val="top"/>
          </w:tcPr>
          <w:p w14:paraId="7A6CBA15">
            <w:pPr>
              <w:spacing w:before="127"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3799640A">
            <w:pPr>
              <w:spacing w:before="131" w:line="195" w:lineRule="auto"/>
              <w:ind w:left="96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88" w:type="dxa"/>
            <w:vAlign w:val="top"/>
          </w:tcPr>
          <w:p w14:paraId="539A4F72">
            <w:pPr>
              <w:spacing w:before="131" w:line="195" w:lineRule="auto"/>
              <w:ind w:left="87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21" w:type="dxa"/>
            <w:vAlign w:val="top"/>
          </w:tcPr>
          <w:p w14:paraId="52D53A58">
            <w:pPr>
              <w:spacing w:before="134" w:line="192"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0" w:type="dxa"/>
            <w:tcBorders>
              <w:top w:val="nil"/>
              <w:bottom w:val="nil"/>
              <w:right w:val="single" w:color="000000" w:sz="6" w:space="0"/>
            </w:tcBorders>
            <w:vAlign w:val="top"/>
          </w:tcPr>
          <w:p w14:paraId="57FE36B1">
            <w:pPr>
              <w:rPr>
                <w:rFonts w:ascii="Arial"/>
                <w:sz w:val="21"/>
              </w:rPr>
            </w:pPr>
          </w:p>
        </w:tc>
      </w:tr>
      <w:tr w14:paraId="2D290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25D422D">
            <w:pPr>
              <w:rPr>
                <w:rFonts w:ascii="Arial"/>
                <w:sz w:val="21"/>
              </w:rPr>
            </w:pPr>
          </w:p>
        </w:tc>
        <w:tc>
          <w:tcPr>
            <w:tcW w:w="141" w:type="dxa"/>
            <w:tcBorders>
              <w:top w:val="nil"/>
              <w:bottom w:val="nil"/>
            </w:tcBorders>
            <w:vAlign w:val="top"/>
          </w:tcPr>
          <w:p w14:paraId="64D2272D">
            <w:pPr>
              <w:rPr>
                <w:rFonts w:ascii="Arial"/>
                <w:sz w:val="21"/>
              </w:rPr>
            </w:pPr>
          </w:p>
        </w:tc>
        <w:tc>
          <w:tcPr>
            <w:tcW w:w="536" w:type="dxa"/>
            <w:vAlign w:val="top"/>
          </w:tcPr>
          <w:p w14:paraId="1BC9E81E">
            <w:pPr>
              <w:spacing w:before="133"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99" w:type="dxa"/>
            <w:vAlign w:val="top"/>
          </w:tcPr>
          <w:p w14:paraId="2B294716">
            <w:pPr>
              <w:pStyle w:val="6"/>
              <w:spacing w:before="97" w:line="229" w:lineRule="auto"/>
              <w:ind w:left="245"/>
              <w:rPr>
                <w:sz w:val="20"/>
                <w:szCs w:val="20"/>
              </w:rPr>
            </w:pPr>
            <w:r>
              <w:rPr>
                <w:spacing w:val="2"/>
                <w:sz w:val="20"/>
                <w:szCs w:val="20"/>
              </w:rPr>
              <w:t>总铁</w:t>
            </w:r>
          </w:p>
        </w:tc>
        <w:tc>
          <w:tcPr>
            <w:tcW w:w="1173" w:type="dxa"/>
            <w:vAlign w:val="top"/>
          </w:tcPr>
          <w:p w14:paraId="4A20DC08">
            <w:pPr>
              <w:spacing w:before="129"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371CE03E">
            <w:pPr>
              <w:spacing w:before="133" w:line="195" w:lineRule="auto"/>
              <w:ind w:left="10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88" w:type="dxa"/>
            <w:vAlign w:val="top"/>
          </w:tcPr>
          <w:p w14:paraId="644A0714">
            <w:pPr>
              <w:spacing w:before="129" w:line="199" w:lineRule="auto"/>
              <w:ind w:left="9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1" w:type="dxa"/>
            <w:vAlign w:val="top"/>
          </w:tcPr>
          <w:p w14:paraId="4A9B83BF">
            <w:pPr>
              <w:spacing w:before="133"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0" w:type="dxa"/>
            <w:tcBorders>
              <w:top w:val="nil"/>
              <w:bottom w:val="nil"/>
              <w:right w:val="single" w:color="000000" w:sz="6" w:space="0"/>
            </w:tcBorders>
            <w:vAlign w:val="top"/>
          </w:tcPr>
          <w:p w14:paraId="61A9B93D">
            <w:pPr>
              <w:rPr>
                <w:rFonts w:ascii="Arial"/>
                <w:sz w:val="21"/>
              </w:rPr>
            </w:pPr>
          </w:p>
        </w:tc>
      </w:tr>
      <w:tr w14:paraId="416DF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B39CD59">
            <w:pPr>
              <w:rPr>
                <w:rFonts w:ascii="Arial"/>
                <w:sz w:val="21"/>
              </w:rPr>
            </w:pPr>
          </w:p>
        </w:tc>
        <w:tc>
          <w:tcPr>
            <w:tcW w:w="141" w:type="dxa"/>
            <w:tcBorders>
              <w:top w:val="nil"/>
              <w:bottom w:val="nil"/>
            </w:tcBorders>
            <w:vAlign w:val="top"/>
          </w:tcPr>
          <w:p w14:paraId="269EDE71">
            <w:pPr>
              <w:rPr>
                <w:rFonts w:ascii="Arial"/>
                <w:sz w:val="21"/>
              </w:rPr>
            </w:pPr>
          </w:p>
        </w:tc>
        <w:tc>
          <w:tcPr>
            <w:tcW w:w="536" w:type="dxa"/>
            <w:vAlign w:val="top"/>
          </w:tcPr>
          <w:p w14:paraId="7D0729B0">
            <w:pPr>
              <w:spacing w:before="13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99" w:type="dxa"/>
            <w:vAlign w:val="top"/>
          </w:tcPr>
          <w:p w14:paraId="4B1CD809">
            <w:pPr>
              <w:pStyle w:val="6"/>
              <w:spacing w:before="99" w:line="228" w:lineRule="auto"/>
              <w:ind w:left="245"/>
              <w:rPr>
                <w:sz w:val="20"/>
                <w:szCs w:val="20"/>
              </w:rPr>
            </w:pPr>
            <w:r>
              <w:rPr>
                <w:spacing w:val="2"/>
                <w:sz w:val="20"/>
                <w:szCs w:val="20"/>
              </w:rPr>
              <w:t>总汞</w:t>
            </w:r>
          </w:p>
        </w:tc>
        <w:tc>
          <w:tcPr>
            <w:tcW w:w="1173" w:type="dxa"/>
            <w:vAlign w:val="top"/>
          </w:tcPr>
          <w:p w14:paraId="4958CE58">
            <w:pPr>
              <w:spacing w:before="131"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725ABC43">
            <w:pPr>
              <w:spacing w:before="13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8" w:type="dxa"/>
            <w:vAlign w:val="top"/>
          </w:tcPr>
          <w:p w14:paraId="2EA88F57">
            <w:pPr>
              <w:spacing w:before="135" w:line="195"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21" w:type="dxa"/>
            <w:vAlign w:val="top"/>
          </w:tcPr>
          <w:p w14:paraId="693C306C">
            <w:pPr>
              <w:spacing w:before="135"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50" w:type="dxa"/>
            <w:tcBorders>
              <w:top w:val="nil"/>
              <w:bottom w:val="nil"/>
              <w:right w:val="single" w:color="000000" w:sz="6" w:space="0"/>
            </w:tcBorders>
            <w:vAlign w:val="top"/>
          </w:tcPr>
          <w:p w14:paraId="01322924">
            <w:pPr>
              <w:rPr>
                <w:rFonts w:ascii="Arial"/>
                <w:sz w:val="21"/>
              </w:rPr>
            </w:pPr>
          </w:p>
        </w:tc>
      </w:tr>
      <w:tr w14:paraId="522D0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08173BE1">
            <w:pPr>
              <w:rPr>
                <w:rFonts w:ascii="Arial"/>
                <w:sz w:val="21"/>
              </w:rPr>
            </w:pPr>
          </w:p>
        </w:tc>
        <w:tc>
          <w:tcPr>
            <w:tcW w:w="141" w:type="dxa"/>
            <w:tcBorders>
              <w:top w:val="nil"/>
              <w:bottom w:val="nil"/>
            </w:tcBorders>
            <w:vAlign w:val="top"/>
          </w:tcPr>
          <w:p w14:paraId="3BF9F3F2">
            <w:pPr>
              <w:rPr>
                <w:rFonts w:ascii="Arial"/>
                <w:sz w:val="21"/>
              </w:rPr>
            </w:pPr>
          </w:p>
        </w:tc>
        <w:tc>
          <w:tcPr>
            <w:tcW w:w="536" w:type="dxa"/>
            <w:vAlign w:val="top"/>
          </w:tcPr>
          <w:p w14:paraId="616AEDB3">
            <w:pPr>
              <w:spacing w:before="13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99" w:type="dxa"/>
            <w:vAlign w:val="top"/>
          </w:tcPr>
          <w:p w14:paraId="7E770D9E">
            <w:pPr>
              <w:pStyle w:val="6"/>
              <w:spacing w:before="98" w:line="231" w:lineRule="auto"/>
              <w:ind w:left="245"/>
              <w:rPr>
                <w:sz w:val="20"/>
                <w:szCs w:val="20"/>
              </w:rPr>
            </w:pPr>
            <w:r>
              <w:rPr>
                <w:spacing w:val="2"/>
                <w:sz w:val="20"/>
                <w:szCs w:val="20"/>
              </w:rPr>
              <w:t>总镉</w:t>
            </w:r>
          </w:p>
        </w:tc>
        <w:tc>
          <w:tcPr>
            <w:tcW w:w="1173" w:type="dxa"/>
            <w:vAlign w:val="top"/>
          </w:tcPr>
          <w:p w14:paraId="667AC951">
            <w:pPr>
              <w:spacing w:before="130"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0BF97758">
            <w:pPr>
              <w:spacing w:before="134" w:line="195"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988" w:type="dxa"/>
            <w:vAlign w:val="top"/>
          </w:tcPr>
          <w:p w14:paraId="19B07080">
            <w:pPr>
              <w:spacing w:before="134" w:line="195" w:lineRule="auto"/>
              <w:ind w:left="8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21" w:type="dxa"/>
            <w:vAlign w:val="top"/>
          </w:tcPr>
          <w:p w14:paraId="0EE73AB3">
            <w:pPr>
              <w:spacing w:before="13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0" w:type="dxa"/>
            <w:tcBorders>
              <w:top w:val="nil"/>
              <w:bottom w:val="nil"/>
              <w:right w:val="single" w:color="000000" w:sz="6" w:space="0"/>
            </w:tcBorders>
            <w:vAlign w:val="top"/>
          </w:tcPr>
          <w:p w14:paraId="5A17A396">
            <w:pPr>
              <w:rPr>
                <w:rFonts w:ascii="Arial"/>
                <w:sz w:val="21"/>
              </w:rPr>
            </w:pPr>
          </w:p>
        </w:tc>
      </w:tr>
      <w:tr w14:paraId="7A758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92CA70C">
            <w:pPr>
              <w:rPr>
                <w:rFonts w:ascii="Arial"/>
                <w:sz w:val="21"/>
              </w:rPr>
            </w:pPr>
          </w:p>
        </w:tc>
        <w:tc>
          <w:tcPr>
            <w:tcW w:w="141" w:type="dxa"/>
            <w:tcBorders>
              <w:top w:val="nil"/>
              <w:bottom w:val="nil"/>
            </w:tcBorders>
            <w:vAlign w:val="top"/>
          </w:tcPr>
          <w:p w14:paraId="48C106E0">
            <w:pPr>
              <w:rPr>
                <w:rFonts w:ascii="Arial"/>
                <w:sz w:val="21"/>
              </w:rPr>
            </w:pPr>
          </w:p>
        </w:tc>
        <w:tc>
          <w:tcPr>
            <w:tcW w:w="536" w:type="dxa"/>
            <w:vAlign w:val="top"/>
          </w:tcPr>
          <w:p w14:paraId="0B1B09D6">
            <w:pPr>
              <w:spacing w:before="13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99" w:type="dxa"/>
            <w:vAlign w:val="top"/>
          </w:tcPr>
          <w:p w14:paraId="3391F9DB">
            <w:pPr>
              <w:pStyle w:val="6"/>
              <w:spacing w:before="99" w:line="230" w:lineRule="auto"/>
              <w:ind w:left="245"/>
              <w:rPr>
                <w:sz w:val="20"/>
                <w:szCs w:val="20"/>
              </w:rPr>
            </w:pPr>
            <w:r>
              <w:rPr>
                <w:spacing w:val="2"/>
                <w:sz w:val="20"/>
                <w:szCs w:val="20"/>
              </w:rPr>
              <w:t>总铬</w:t>
            </w:r>
          </w:p>
        </w:tc>
        <w:tc>
          <w:tcPr>
            <w:tcW w:w="1173" w:type="dxa"/>
            <w:vAlign w:val="top"/>
          </w:tcPr>
          <w:p w14:paraId="6417FA65">
            <w:pPr>
              <w:spacing w:before="131"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43839975">
            <w:pPr>
              <w:spacing w:before="135" w:line="195" w:lineRule="auto"/>
              <w:ind w:left="9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988" w:type="dxa"/>
            <w:vAlign w:val="top"/>
          </w:tcPr>
          <w:p w14:paraId="35E3D5A4">
            <w:pPr>
              <w:spacing w:before="135" w:line="195" w:lineRule="auto"/>
              <w:ind w:left="8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21" w:type="dxa"/>
            <w:vAlign w:val="top"/>
          </w:tcPr>
          <w:p w14:paraId="1155E1A1">
            <w:pPr>
              <w:spacing w:before="135"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50" w:type="dxa"/>
            <w:tcBorders>
              <w:top w:val="nil"/>
              <w:bottom w:val="nil"/>
              <w:right w:val="single" w:color="000000" w:sz="6" w:space="0"/>
            </w:tcBorders>
            <w:vAlign w:val="top"/>
          </w:tcPr>
          <w:p w14:paraId="205EAD05">
            <w:pPr>
              <w:rPr>
                <w:rFonts w:ascii="Arial"/>
                <w:sz w:val="21"/>
              </w:rPr>
            </w:pPr>
          </w:p>
        </w:tc>
      </w:tr>
      <w:tr w14:paraId="55824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05DB0D50">
            <w:pPr>
              <w:rPr>
                <w:rFonts w:ascii="Arial"/>
                <w:sz w:val="21"/>
              </w:rPr>
            </w:pPr>
          </w:p>
        </w:tc>
        <w:tc>
          <w:tcPr>
            <w:tcW w:w="141" w:type="dxa"/>
            <w:tcBorders>
              <w:top w:val="nil"/>
              <w:bottom w:val="nil"/>
            </w:tcBorders>
            <w:vAlign w:val="top"/>
          </w:tcPr>
          <w:p w14:paraId="401F500D">
            <w:pPr>
              <w:rPr>
                <w:rFonts w:ascii="Arial"/>
                <w:sz w:val="21"/>
              </w:rPr>
            </w:pPr>
          </w:p>
        </w:tc>
        <w:tc>
          <w:tcPr>
            <w:tcW w:w="536" w:type="dxa"/>
            <w:vAlign w:val="top"/>
          </w:tcPr>
          <w:p w14:paraId="0DDBFD60">
            <w:pPr>
              <w:spacing w:before="134"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99" w:type="dxa"/>
            <w:vAlign w:val="top"/>
          </w:tcPr>
          <w:p w14:paraId="2BED632A">
            <w:pPr>
              <w:pStyle w:val="6"/>
              <w:spacing w:before="98" w:line="226" w:lineRule="auto"/>
              <w:ind w:left="138"/>
              <w:rPr>
                <w:sz w:val="20"/>
                <w:szCs w:val="20"/>
              </w:rPr>
            </w:pPr>
            <w:r>
              <w:rPr>
                <w:spacing w:val="6"/>
                <w:sz w:val="20"/>
                <w:szCs w:val="20"/>
              </w:rPr>
              <w:t>六价铬</w:t>
            </w:r>
          </w:p>
        </w:tc>
        <w:tc>
          <w:tcPr>
            <w:tcW w:w="1173" w:type="dxa"/>
            <w:vAlign w:val="top"/>
          </w:tcPr>
          <w:p w14:paraId="0EAD9C34">
            <w:pPr>
              <w:spacing w:before="130"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456101BA">
            <w:pPr>
              <w:spacing w:before="134"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988" w:type="dxa"/>
            <w:vAlign w:val="top"/>
          </w:tcPr>
          <w:p w14:paraId="53A418BD">
            <w:pPr>
              <w:spacing w:before="134"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21" w:type="dxa"/>
            <w:vAlign w:val="top"/>
          </w:tcPr>
          <w:p w14:paraId="074A2EF2">
            <w:pPr>
              <w:spacing w:before="13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50" w:type="dxa"/>
            <w:tcBorders>
              <w:top w:val="nil"/>
              <w:bottom w:val="nil"/>
              <w:right w:val="single" w:color="000000" w:sz="6" w:space="0"/>
            </w:tcBorders>
            <w:vAlign w:val="top"/>
          </w:tcPr>
          <w:p w14:paraId="7EB315AC">
            <w:pPr>
              <w:rPr>
                <w:rFonts w:ascii="Arial"/>
                <w:sz w:val="21"/>
              </w:rPr>
            </w:pPr>
          </w:p>
        </w:tc>
      </w:tr>
      <w:tr w14:paraId="73DF0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76E03BB0">
            <w:pPr>
              <w:rPr>
                <w:rFonts w:ascii="Arial"/>
                <w:sz w:val="21"/>
              </w:rPr>
            </w:pPr>
          </w:p>
        </w:tc>
        <w:tc>
          <w:tcPr>
            <w:tcW w:w="141" w:type="dxa"/>
            <w:tcBorders>
              <w:top w:val="nil"/>
              <w:bottom w:val="nil"/>
            </w:tcBorders>
            <w:vAlign w:val="top"/>
          </w:tcPr>
          <w:p w14:paraId="65E0A770">
            <w:pPr>
              <w:rPr>
                <w:rFonts w:ascii="Arial"/>
                <w:sz w:val="21"/>
              </w:rPr>
            </w:pPr>
          </w:p>
        </w:tc>
        <w:tc>
          <w:tcPr>
            <w:tcW w:w="536" w:type="dxa"/>
            <w:vAlign w:val="top"/>
          </w:tcPr>
          <w:p w14:paraId="43B32AFA">
            <w:pPr>
              <w:spacing w:before="136"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99" w:type="dxa"/>
            <w:vAlign w:val="top"/>
          </w:tcPr>
          <w:p w14:paraId="60847663">
            <w:pPr>
              <w:pStyle w:val="6"/>
              <w:spacing w:before="100" w:line="228" w:lineRule="auto"/>
              <w:ind w:left="245"/>
              <w:rPr>
                <w:sz w:val="20"/>
                <w:szCs w:val="20"/>
              </w:rPr>
            </w:pPr>
            <w:r>
              <w:rPr>
                <w:spacing w:val="2"/>
                <w:sz w:val="20"/>
                <w:szCs w:val="20"/>
              </w:rPr>
              <w:t>总砷</w:t>
            </w:r>
          </w:p>
        </w:tc>
        <w:tc>
          <w:tcPr>
            <w:tcW w:w="1173" w:type="dxa"/>
            <w:vAlign w:val="top"/>
          </w:tcPr>
          <w:p w14:paraId="728A1089">
            <w:pPr>
              <w:spacing w:before="132"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6690C937">
            <w:pPr>
              <w:spacing w:before="136"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988" w:type="dxa"/>
            <w:vAlign w:val="top"/>
          </w:tcPr>
          <w:p w14:paraId="3170BAAC">
            <w:pPr>
              <w:spacing w:before="136"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21" w:type="dxa"/>
            <w:vAlign w:val="top"/>
          </w:tcPr>
          <w:p w14:paraId="710F36F2">
            <w:pPr>
              <w:spacing w:before="13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50" w:type="dxa"/>
            <w:tcBorders>
              <w:top w:val="nil"/>
              <w:bottom w:val="nil"/>
              <w:right w:val="single" w:color="000000" w:sz="6" w:space="0"/>
            </w:tcBorders>
            <w:vAlign w:val="top"/>
          </w:tcPr>
          <w:p w14:paraId="0883ED42">
            <w:pPr>
              <w:rPr>
                <w:rFonts w:ascii="Arial"/>
                <w:sz w:val="21"/>
              </w:rPr>
            </w:pPr>
          </w:p>
        </w:tc>
      </w:tr>
      <w:tr w14:paraId="08625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0F208D3">
            <w:pPr>
              <w:rPr>
                <w:rFonts w:ascii="Arial"/>
                <w:sz w:val="21"/>
              </w:rPr>
            </w:pPr>
          </w:p>
        </w:tc>
        <w:tc>
          <w:tcPr>
            <w:tcW w:w="141" w:type="dxa"/>
            <w:tcBorders>
              <w:top w:val="nil"/>
              <w:bottom w:val="nil"/>
            </w:tcBorders>
            <w:vAlign w:val="top"/>
          </w:tcPr>
          <w:p w14:paraId="30A26FB4">
            <w:pPr>
              <w:rPr>
                <w:rFonts w:ascii="Arial"/>
                <w:sz w:val="21"/>
              </w:rPr>
            </w:pPr>
          </w:p>
        </w:tc>
        <w:tc>
          <w:tcPr>
            <w:tcW w:w="536" w:type="dxa"/>
            <w:vAlign w:val="top"/>
          </w:tcPr>
          <w:p w14:paraId="465D2016">
            <w:pPr>
              <w:spacing w:before="13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99" w:type="dxa"/>
            <w:vAlign w:val="top"/>
          </w:tcPr>
          <w:p w14:paraId="70F17476">
            <w:pPr>
              <w:pStyle w:val="6"/>
              <w:spacing w:before="102" w:line="232" w:lineRule="auto"/>
              <w:ind w:left="245"/>
              <w:rPr>
                <w:sz w:val="20"/>
                <w:szCs w:val="20"/>
              </w:rPr>
            </w:pPr>
            <w:r>
              <w:rPr>
                <w:spacing w:val="2"/>
                <w:sz w:val="20"/>
                <w:szCs w:val="20"/>
              </w:rPr>
              <w:t>总铅</w:t>
            </w:r>
          </w:p>
        </w:tc>
        <w:tc>
          <w:tcPr>
            <w:tcW w:w="1173" w:type="dxa"/>
            <w:vAlign w:val="top"/>
          </w:tcPr>
          <w:p w14:paraId="52229ADE">
            <w:pPr>
              <w:spacing w:before="134"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55D0663B">
            <w:pPr>
              <w:spacing w:before="138"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988" w:type="dxa"/>
            <w:vAlign w:val="top"/>
          </w:tcPr>
          <w:p w14:paraId="0E928D70">
            <w:pPr>
              <w:spacing w:before="138" w:line="195" w:lineRule="auto"/>
              <w:ind w:left="8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21" w:type="dxa"/>
            <w:vAlign w:val="top"/>
          </w:tcPr>
          <w:p w14:paraId="15188B12">
            <w:pPr>
              <w:spacing w:before="138"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50" w:type="dxa"/>
            <w:tcBorders>
              <w:top w:val="nil"/>
              <w:bottom w:val="nil"/>
              <w:right w:val="single" w:color="000000" w:sz="6" w:space="0"/>
            </w:tcBorders>
            <w:vAlign w:val="top"/>
          </w:tcPr>
          <w:p w14:paraId="7A77D0F2">
            <w:pPr>
              <w:rPr>
                <w:rFonts w:ascii="Arial"/>
                <w:sz w:val="21"/>
              </w:rPr>
            </w:pPr>
          </w:p>
        </w:tc>
      </w:tr>
      <w:tr w14:paraId="30BD1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08F93BD">
            <w:pPr>
              <w:rPr>
                <w:rFonts w:ascii="Arial"/>
                <w:sz w:val="21"/>
              </w:rPr>
            </w:pPr>
          </w:p>
        </w:tc>
        <w:tc>
          <w:tcPr>
            <w:tcW w:w="141" w:type="dxa"/>
            <w:tcBorders>
              <w:top w:val="nil"/>
              <w:bottom w:val="nil"/>
            </w:tcBorders>
            <w:vAlign w:val="top"/>
          </w:tcPr>
          <w:p w14:paraId="0F1940FA">
            <w:pPr>
              <w:rPr>
                <w:rFonts w:ascii="Arial"/>
                <w:sz w:val="21"/>
              </w:rPr>
            </w:pPr>
          </w:p>
        </w:tc>
        <w:tc>
          <w:tcPr>
            <w:tcW w:w="536" w:type="dxa"/>
            <w:vAlign w:val="top"/>
          </w:tcPr>
          <w:p w14:paraId="7B7B5D81">
            <w:pPr>
              <w:spacing w:before="136"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99" w:type="dxa"/>
            <w:vAlign w:val="top"/>
          </w:tcPr>
          <w:p w14:paraId="46EB1691">
            <w:pPr>
              <w:pStyle w:val="6"/>
              <w:spacing w:before="101" w:line="228" w:lineRule="auto"/>
              <w:ind w:left="245"/>
              <w:rPr>
                <w:sz w:val="20"/>
                <w:szCs w:val="20"/>
              </w:rPr>
            </w:pPr>
            <w:r>
              <w:rPr>
                <w:spacing w:val="2"/>
                <w:sz w:val="20"/>
                <w:szCs w:val="20"/>
              </w:rPr>
              <w:t>总镍</w:t>
            </w:r>
          </w:p>
        </w:tc>
        <w:tc>
          <w:tcPr>
            <w:tcW w:w="1173" w:type="dxa"/>
            <w:vAlign w:val="top"/>
          </w:tcPr>
          <w:p w14:paraId="22940C3C">
            <w:pPr>
              <w:spacing w:before="133"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54340AFA">
            <w:pPr>
              <w:spacing w:before="136" w:line="195" w:lineRule="auto"/>
              <w:ind w:left="9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988" w:type="dxa"/>
            <w:vAlign w:val="top"/>
          </w:tcPr>
          <w:p w14:paraId="1182F8D7">
            <w:pPr>
              <w:spacing w:before="136" w:line="195" w:lineRule="auto"/>
              <w:ind w:left="8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21" w:type="dxa"/>
            <w:vAlign w:val="top"/>
          </w:tcPr>
          <w:p w14:paraId="2DF9336B">
            <w:pPr>
              <w:spacing w:before="136"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50" w:type="dxa"/>
            <w:tcBorders>
              <w:top w:val="nil"/>
              <w:bottom w:val="nil"/>
              <w:right w:val="single" w:color="000000" w:sz="6" w:space="0"/>
            </w:tcBorders>
            <w:vAlign w:val="top"/>
          </w:tcPr>
          <w:p w14:paraId="18E6F1B7">
            <w:pPr>
              <w:rPr>
                <w:rFonts w:ascii="Arial"/>
                <w:sz w:val="21"/>
              </w:rPr>
            </w:pPr>
          </w:p>
        </w:tc>
      </w:tr>
      <w:tr w14:paraId="6867A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7BCB5026">
            <w:pPr>
              <w:rPr>
                <w:rFonts w:ascii="Arial"/>
                <w:sz w:val="21"/>
              </w:rPr>
            </w:pPr>
          </w:p>
        </w:tc>
        <w:tc>
          <w:tcPr>
            <w:tcW w:w="141" w:type="dxa"/>
            <w:tcBorders>
              <w:top w:val="nil"/>
              <w:bottom w:val="nil"/>
            </w:tcBorders>
            <w:vAlign w:val="top"/>
          </w:tcPr>
          <w:p w14:paraId="2B16DD71">
            <w:pPr>
              <w:rPr>
                <w:rFonts w:ascii="Arial"/>
                <w:sz w:val="21"/>
              </w:rPr>
            </w:pPr>
          </w:p>
        </w:tc>
        <w:tc>
          <w:tcPr>
            <w:tcW w:w="536" w:type="dxa"/>
            <w:vAlign w:val="top"/>
          </w:tcPr>
          <w:p w14:paraId="05144CC0">
            <w:pPr>
              <w:spacing w:before="13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99" w:type="dxa"/>
            <w:vAlign w:val="top"/>
          </w:tcPr>
          <w:p w14:paraId="519944EC">
            <w:pPr>
              <w:pStyle w:val="6"/>
              <w:spacing w:before="102" w:line="228" w:lineRule="auto"/>
              <w:ind w:left="245"/>
              <w:rPr>
                <w:sz w:val="20"/>
                <w:szCs w:val="20"/>
              </w:rPr>
            </w:pPr>
            <w:r>
              <w:rPr>
                <w:spacing w:val="2"/>
                <w:sz w:val="20"/>
                <w:szCs w:val="20"/>
              </w:rPr>
              <w:t>总铍</w:t>
            </w:r>
          </w:p>
        </w:tc>
        <w:tc>
          <w:tcPr>
            <w:tcW w:w="1173" w:type="dxa"/>
            <w:vAlign w:val="top"/>
          </w:tcPr>
          <w:p w14:paraId="75B4F2C2">
            <w:pPr>
              <w:spacing w:before="134"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30C23700">
            <w:pPr>
              <w:spacing w:before="137"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8" w:type="dxa"/>
            <w:vAlign w:val="top"/>
          </w:tcPr>
          <w:p w14:paraId="380DF357">
            <w:pPr>
              <w:spacing w:before="137" w:line="195" w:lineRule="auto"/>
              <w:ind w:left="7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21" w:type="dxa"/>
            <w:vAlign w:val="top"/>
          </w:tcPr>
          <w:p w14:paraId="009B1532">
            <w:pPr>
              <w:spacing w:before="13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50" w:type="dxa"/>
            <w:tcBorders>
              <w:top w:val="nil"/>
              <w:bottom w:val="nil"/>
              <w:right w:val="single" w:color="000000" w:sz="6" w:space="0"/>
            </w:tcBorders>
            <w:vAlign w:val="top"/>
          </w:tcPr>
          <w:p w14:paraId="618F8623">
            <w:pPr>
              <w:rPr>
                <w:rFonts w:ascii="Arial"/>
                <w:sz w:val="21"/>
              </w:rPr>
            </w:pPr>
          </w:p>
        </w:tc>
      </w:tr>
      <w:tr w14:paraId="501DE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5CC56EB">
            <w:pPr>
              <w:rPr>
                <w:rFonts w:ascii="Arial"/>
                <w:sz w:val="21"/>
              </w:rPr>
            </w:pPr>
          </w:p>
        </w:tc>
        <w:tc>
          <w:tcPr>
            <w:tcW w:w="141" w:type="dxa"/>
            <w:tcBorders>
              <w:top w:val="nil"/>
              <w:bottom w:val="nil"/>
            </w:tcBorders>
            <w:vAlign w:val="top"/>
          </w:tcPr>
          <w:p w14:paraId="177ED487">
            <w:pPr>
              <w:rPr>
                <w:rFonts w:ascii="Arial"/>
                <w:sz w:val="21"/>
              </w:rPr>
            </w:pPr>
          </w:p>
        </w:tc>
        <w:tc>
          <w:tcPr>
            <w:tcW w:w="536" w:type="dxa"/>
            <w:vAlign w:val="top"/>
          </w:tcPr>
          <w:p w14:paraId="1621F9AA">
            <w:pPr>
              <w:spacing w:before="136"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99" w:type="dxa"/>
            <w:vAlign w:val="top"/>
          </w:tcPr>
          <w:p w14:paraId="1AEF59E7">
            <w:pPr>
              <w:pStyle w:val="6"/>
              <w:spacing w:before="100" w:line="231" w:lineRule="auto"/>
              <w:ind w:left="245"/>
              <w:rPr>
                <w:sz w:val="20"/>
                <w:szCs w:val="20"/>
              </w:rPr>
            </w:pPr>
            <w:r>
              <w:rPr>
                <w:spacing w:val="2"/>
                <w:sz w:val="20"/>
                <w:szCs w:val="20"/>
              </w:rPr>
              <w:t>总银</w:t>
            </w:r>
          </w:p>
        </w:tc>
        <w:tc>
          <w:tcPr>
            <w:tcW w:w="1173" w:type="dxa"/>
            <w:vAlign w:val="top"/>
          </w:tcPr>
          <w:p w14:paraId="0D277E32">
            <w:pPr>
              <w:spacing w:before="132"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78" w:type="dxa"/>
            <w:vAlign w:val="top"/>
          </w:tcPr>
          <w:p w14:paraId="5953C5C3">
            <w:pPr>
              <w:spacing w:before="136"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988" w:type="dxa"/>
            <w:vAlign w:val="top"/>
          </w:tcPr>
          <w:p w14:paraId="747F1CCD">
            <w:pPr>
              <w:spacing w:before="136"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21" w:type="dxa"/>
            <w:vAlign w:val="top"/>
          </w:tcPr>
          <w:p w14:paraId="70A525F6">
            <w:pPr>
              <w:spacing w:before="13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50" w:type="dxa"/>
            <w:tcBorders>
              <w:top w:val="nil"/>
              <w:bottom w:val="nil"/>
              <w:right w:val="single" w:color="000000" w:sz="6" w:space="0"/>
            </w:tcBorders>
            <w:vAlign w:val="top"/>
          </w:tcPr>
          <w:p w14:paraId="18F347A3">
            <w:pPr>
              <w:rPr>
                <w:rFonts w:ascii="Arial"/>
                <w:sz w:val="21"/>
              </w:rPr>
            </w:pPr>
          </w:p>
        </w:tc>
      </w:tr>
      <w:tr w14:paraId="5720D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0" w:hRule="atLeast"/>
        </w:trPr>
        <w:tc>
          <w:tcPr>
            <w:tcW w:w="808" w:type="dxa"/>
            <w:vMerge w:val="continue"/>
            <w:tcBorders>
              <w:top w:val="nil"/>
              <w:left w:val="single" w:color="000000" w:sz="6" w:space="0"/>
              <w:bottom w:val="single" w:color="000000" w:sz="6" w:space="0"/>
            </w:tcBorders>
            <w:vAlign w:val="top"/>
          </w:tcPr>
          <w:p w14:paraId="3A9BC4D8">
            <w:pPr>
              <w:rPr>
                <w:rFonts w:ascii="Arial"/>
                <w:sz w:val="21"/>
              </w:rPr>
            </w:pPr>
          </w:p>
        </w:tc>
        <w:tc>
          <w:tcPr>
            <w:tcW w:w="8186" w:type="dxa"/>
            <w:gridSpan w:val="8"/>
            <w:tcBorders>
              <w:bottom w:val="single" w:color="000000" w:sz="6" w:space="0"/>
              <w:right w:val="single" w:color="000000" w:sz="6" w:space="0"/>
            </w:tcBorders>
            <w:vAlign w:val="top"/>
          </w:tcPr>
          <w:p w14:paraId="38DC5D1C">
            <w:pPr>
              <w:pStyle w:val="6"/>
              <w:spacing w:before="163" w:line="220" w:lineRule="auto"/>
              <w:ind w:left="589"/>
            </w:pPr>
            <w:r>
              <w:rPr>
                <w:rFonts w:ascii="Times New Roman" w:hAnsi="Times New Roman" w:eastAsia="Times New Roman" w:cs="Times New Roman"/>
                <w:spacing w:val="-10"/>
              </w:rPr>
              <w:t>3</w:t>
            </w:r>
            <w:r>
              <w:rPr>
                <w:rFonts w:ascii="Times New Roman" w:hAnsi="Times New Roman" w:eastAsia="Times New Roman" w:cs="Times New Roman"/>
                <w:spacing w:val="-31"/>
              </w:rPr>
              <w:t xml:space="preserve"> </w:t>
            </w:r>
            <w:r>
              <w:rPr>
                <w:spacing w:val="-10"/>
              </w:rPr>
              <w:t>、噪声</w:t>
            </w:r>
          </w:p>
          <w:p w14:paraId="26EA14DD">
            <w:pPr>
              <w:pStyle w:val="6"/>
              <w:spacing w:before="179" w:line="362" w:lineRule="auto"/>
              <w:ind w:left="110" w:right="105" w:firstLine="479"/>
            </w:pPr>
            <w:r>
              <w:rPr>
                <w:spacing w:val="1"/>
              </w:rPr>
              <w:t>运营期厂界噪声排放执行《工业企业厂界环境噪声排放标准》（</w:t>
            </w:r>
            <w:r>
              <w:t>GB</w:t>
            </w:r>
            <w:r>
              <w:rPr>
                <w:spacing w:val="1"/>
              </w:rPr>
              <w:t>1234</w:t>
            </w:r>
            <w:r>
              <w:rPr>
                <w:spacing w:val="8"/>
              </w:rPr>
              <w:t xml:space="preserve"> </w:t>
            </w:r>
            <w:r>
              <w:rPr>
                <w:spacing w:val="-2"/>
              </w:rPr>
              <w:t>8-2008）2</w:t>
            </w:r>
            <w:r>
              <w:rPr>
                <w:spacing w:val="-34"/>
              </w:rPr>
              <w:t xml:space="preserve"> </w:t>
            </w:r>
            <w:r>
              <w:rPr>
                <w:spacing w:val="-2"/>
              </w:rPr>
              <w:t>类标准，标准值见下表：</w:t>
            </w:r>
          </w:p>
          <w:p w14:paraId="65887E70">
            <w:pPr>
              <w:pStyle w:val="6"/>
              <w:spacing w:before="112" w:line="220" w:lineRule="auto"/>
              <w:ind w:left="1029"/>
              <w:rPr>
                <w:sz w:val="18"/>
                <w:szCs w:val="18"/>
              </w:rPr>
            </w:pPr>
            <w:r>
              <w:rPr>
                <w:b/>
                <w:bCs/>
                <w:spacing w:val="-2"/>
              </w:rPr>
              <w:t>表</w:t>
            </w:r>
            <w:r>
              <w:rPr>
                <w:spacing w:val="-47"/>
              </w:rPr>
              <w:t xml:space="preserve"> </w:t>
            </w:r>
            <w:r>
              <w:rPr>
                <w:rFonts w:ascii="Times New Roman" w:hAnsi="Times New Roman" w:eastAsia="Times New Roman" w:cs="Times New Roman"/>
                <w:b/>
                <w:bCs/>
                <w:spacing w:val="-2"/>
              </w:rPr>
              <w:t xml:space="preserve">3-13    </w:t>
            </w:r>
            <w:r>
              <w:rPr>
                <w:b/>
                <w:bCs/>
                <w:spacing w:val="-2"/>
              </w:rPr>
              <w:t>工业企业厂界环境噪声排放标准</w:t>
            </w:r>
            <w:r>
              <w:rPr>
                <w:spacing w:val="12"/>
              </w:rPr>
              <w:t xml:space="preserve">    </w:t>
            </w:r>
            <w:r>
              <w:rPr>
                <w:b/>
                <w:bCs/>
                <w:spacing w:val="-2"/>
                <w:sz w:val="18"/>
                <w:szCs w:val="18"/>
              </w:rPr>
              <w:t>单位：</w:t>
            </w:r>
            <w:r>
              <w:rPr>
                <w:rFonts w:ascii="Times New Roman" w:hAnsi="Times New Roman" w:eastAsia="Times New Roman" w:cs="Times New Roman"/>
                <w:b/>
                <w:bCs/>
                <w:spacing w:val="-2"/>
                <w:sz w:val="18"/>
                <w:szCs w:val="18"/>
              </w:rPr>
              <w:t>dB</w:t>
            </w:r>
            <w:r>
              <w:rPr>
                <w:b/>
                <w:bCs/>
                <w:spacing w:val="-2"/>
                <w:sz w:val="18"/>
                <w:szCs w:val="18"/>
              </w:rPr>
              <w:t>（</w:t>
            </w:r>
            <w:r>
              <w:rPr>
                <w:rFonts w:ascii="Times New Roman" w:hAnsi="Times New Roman" w:eastAsia="Times New Roman" w:cs="Times New Roman"/>
                <w:b/>
                <w:bCs/>
                <w:spacing w:val="-2"/>
                <w:sz w:val="18"/>
                <w:szCs w:val="18"/>
              </w:rPr>
              <w:t>A</w:t>
            </w:r>
            <w:r>
              <w:rPr>
                <w:b/>
                <w:bCs/>
                <w:spacing w:val="-2"/>
                <w:sz w:val="18"/>
                <w:szCs w:val="18"/>
              </w:rPr>
              <w:t>）</w:t>
            </w:r>
          </w:p>
          <w:p w14:paraId="5E65086A">
            <w:pPr>
              <w:spacing w:line="146" w:lineRule="exact"/>
            </w:pPr>
          </w:p>
          <w:tbl>
            <w:tblPr>
              <w:tblStyle w:val="5"/>
              <w:tblW w:w="7762"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3"/>
              <w:gridCol w:w="2560"/>
              <w:gridCol w:w="2729"/>
            </w:tblGrid>
            <w:tr w14:paraId="303FB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73" w:type="dxa"/>
                  <w:vAlign w:val="top"/>
                </w:tcPr>
                <w:p w14:paraId="4F814DBF">
                  <w:pPr>
                    <w:pStyle w:val="6"/>
                    <w:spacing w:before="133" w:line="228" w:lineRule="auto"/>
                    <w:ind w:left="719"/>
                    <w:rPr>
                      <w:sz w:val="20"/>
                      <w:szCs w:val="20"/>
                    </w:rPr>
                  </w:pPr>
                  <w:r>
                    <w:rPr>
                      <w:b/>
                      <w:bCs/>
                      <w:spacing w:val="5"/>
                      <w:sz w:val="20"/>
                      <w:szCs w:val="20"/>
                    </w:rPr>
                    <w:t>功能区类别</w:t>
                  </w:r>
                </w:p>
              </w:tc>
              <w:tc>
                <w:tcPr>
                  <w:tcW w:w="2560" w:type="dxa"/>
                  <w:vAlign w:val="top"/>
                </w:tcPr>
                <w:p w14:paraId="44073835">
                  <w:pPr>
                    <w:pStyle w:val="6"/>
                    <w:spacing w:before="132" w:line="231" w:lineRule="auto"/>
                    <w:ind w:left="1074"/>
                    <w:rPr>
                      <w:sz w:val="20"/>
                      <w:szCs w:val="20"/>
                    </w:rPr>
                  </w:pPr>
                  <w:r>
                    <w:rPr>
                      <w:b/>
                      <w:bCs/>
                      <w:spacing w:val="4"/>
                      <w:sz w:val="20"/>
                      <w:szCs w:val="20"/>
                    </w:rPr>
                    <w:t>昼间</w:t>
                  </w:r>
                </w:p>
              </w:tc>
              <w:tc>
                <w:tcPr>
                  <w:tcW w:w="2729" w:type="dxa"/>
                  <w:vAlign w:val="top"/>
                </w:tcPr>
                <w:p w14:paraId="4FA875B6">
                  <w:pPr>
                    <w:pStyle w:val="6"/>
                    <w:spacing w:before="133" w:line="228" w:lineRule="auto"/>
                    <w:ind w:left="1161"/>
                    <w:rPr>
                      <w:sz w:val="20"/>
                      <w:szCs w:val="20"/>
                    </w:rPr>
                  </w:pPr>
                  <w:r>
                    <w:rPr>
                      <w:b/>
                      <w:bCs/>
                      <w:spacing w:val="2"/>
                      <w:sz w:val="20"/>
                      <w:szCs w:val="20"/>
                    </w:rPr>
                    <w:t>夜间</w:t>
                  </w:r>
                </w:p>
              </w:tc>
            </w:tr>
            <w:tr w14:paraId="52ECB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2473" w:type="dxa"/>
                  <w:vAlign w:val="top"/>
                </w:tcPr>
                <w:p w14:paraId="7714CE4F">
                  <w:pPr>
                    <w:pStyle w:val="6"/>
                    <w:spacing w:before="141" w:line="228" w:lineRule="auto"/>
                    <w:ind w:left="1055"/>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类</w:t>
                  </w:r>
                </w:p>
              </w:tc>
              <w:tc>
                <w:tcPr>
                  <w:tcW w:w="2560" w:type="dxa"/>
                  <w:vAlign w:val="top"/>
                </w:tcPr>
                <w:p w14:paraId="7D88BC07">
                  <w:pPr>
                    <w:spacing w:before="177" w:line="195" w:lineRule="auto"/>
                    <w:ind w:left="118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729" w:type="dxa"/>
                  <w:vAlign w:val="top"/>
                </w:tcPr>
                <w:p w14:paraId="32CCC4A2">
                  <w:pPr>
                    <w:spacing w:before="177" w:line="195" w:lineRule="auto"/>
                    <w:ind w:left="126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605D2736">
            <w:pPr>
              <w:pStyle w:val="6"/>
              <w:spacing w:before="275" w:line="220" w:lineRule="auto"/>
              <w:ind w:left="583"/>
            </w:pPr>
            <w:r>
              <w:rPr>
                <w:rFonts w:ascii="Times New Roman" w:hAnsi="Times New Roman" w:eastAsia="Times New Roman" w:cs="Times New Roman"/>
                <w:spacing w:val="-5"/>
              </w:rPr>
              <w:t>4</w:t>
            </w:r>
            <w:r>
              <w:rPr>
                <w:rFonts w:ascii="Times New Roman" w:hAnsi="Times New Roman" w:eastAsia="Times New Roman" w:cs="Times New Roman"/>
                <w:spacing w:val="-34"/>
              </w:rPr>
              <w:t xml:space="preserve"> </w:t>
            </w:r>
            <w:r>
              <w:rPr>
                <w:spacing w:val="-5"/>
              </w:rPr>
              <w:t>、固体废物</w:t>
            </w:r>
          </w:p>
          <w:p w14:paraId="15304F8B">
            <w:pPr>
              <w:pStyle w:val="6"/>
              <w:spacing w:before="182" w:line="360" w:lineRule="auto"/>
              <w:ind w:left="111" w:right="103" w:firstLine="481"/>
            </w:pPr>
            <w:r>
              <w:rPr>
                <w:spacing w:val="-6"/>
              </w:rPr>
              <w:t>项目危险废物执行《广东省危险废物转移报告联单</w:t>
            </w:r>
            <w:r>
              <w:rPr>
                <w:spacing w:val="-7"/>
              </w:rPr>
              <w:t>管理暂行规定》和《危</w:t>
            </w:r>
            <w:r>
              <w:t xml:space="preserve"> </w:t>
            </w:r>
            <w:r>
              <w:rPr>
                <w:spacing w:val="-1"/>
              </w:rPr>
              <w:t>险废物贮存污染控制标准》（</w:t>
            </w:r>
            <w:r>
              <w:rPr>
                <w:rFonts w:ascii="Times New Roman" w:hAnsi="Times New Roman" w:eastAsia="Times New Roman" w:cs="Times New Roman"/>
                <w:spacing w:val="-1"/>
              </w:rPr>
              <w:t>GB</w:t>
            </w:r>
            <w:r>
              <w:rPr>
                <w:rFonts w:ascii="Times New Roman" w:hAnsi="Times New Roman" w:eastAsia="Times New Roman" w:cs="Times New Roman"/>
                <w:spacing w:val="45"/>
              </w:rPr>
              <w:t xml:space="preserve"> </w:t>
            </w:r>
            <w:r>
              <w:rPr>
                <w:rFonts w:ascii="Times New Roman" w:hAnsi="Times New Roman" w:eastAsia="Times New Roman" w:cs="Times New Roman"/>
                <w:spacing w:val="-1"/>
              </w:rPr>
              <w:t>18597</w:t>
            </w:r>
            <w:r>
              <w:rPr>
                <w:spacing w:val="-1"/>
              </w:rPr>
              <w:t>—</w:t>
            </w:r>
            <w:r>
              <w:rPr>
                <w:rFonts w:ascii="Times New Roman" w:hAnsi="Times New Roman" w:eastAsia="Times New Roman" w:cs="Times New Roman"/>
                <w:spacing w:val="-1"/>
              </w:rPr>
              <w:t>2023</w:t>
            </w:r>
            <w:r>
              <w:rPr>
                <w:spacing w:val="-1"/>
              </w:rPr>
              <w:t>）的相关规定；其余一般工业</w:t>
            </w:r>
            <w:r>
              <w:t xml:space="preserve"> </w:t>
            </w:r>
            <w:r>
              <w:rPr>
                <w:spacing w:val="1"/>
              </w:rPr>
              <w:t>固废，执行《中华人民共和国固体废物污染环境防治法》的相关要求，在厂</w:t>
            </w:r>
            <w:r>
              <w:rPr>
                <w:spacing w:val="7"/>
              </w:rPr>
              <w:t xml:space="preserve"> </w:t>
            </w:r>
            <w:r>
              <w:rPr>
                <w:spacing w:val="1"/>
              </w:rPr>
              <w:t>内采用库房或包装工具贮存，贮存过程应满足相应防渗漏、防雨淋、防扬尘</w:t>
            </w:r>
            <w:r>
              <w:rPr>
                <w:spacing w:val="7"/>
              </w:rPr>
              <w:t xml:space="preserve"> </w:t>
            </w:r>
            <w:r>
              <w:rPr>
                <w:spacing w:val="-2"/>
              </w:rPr>
              <w:t>等环境保护要求。</w:t>
            </w:r>
          </w:p>
        </w:tc>
      </w:tr>
    </w:tbl>
    <w:p w14:paraId="6021457B">
      <w:pPr>
        <w:rPr>
          <w:rFonts w:ascii="Arial"/>
          <w:sz w:val="21"/>
        </w:rPr>
      </w:pPr>
    </w:p>
    <w:p w14:paraId="6737CDF2">
      <w:pPr>
        <w:rPr>
          <w:rFonts w:ascii="Arial" w:hAnsi="Arial" w:eastAsia="Arial" w:cs="Arial"/>
          <w:sz w:val="21"/>
          <w:szCs w:val="21"/>
        </w:rPr>
        <w:sectPr>
          <w:footerReference r:id="rId59" w:type="default"/>
          <w:pgSz w:w="11907" w:h="16840"/>
          <w:pgMar w:top="400" w:right="1449" w:bottom="1240" w:left="1448" w:header="0" w:footer="1077" w:gutter="0"/>
          <w:cols w:space="720" w:num="1"/>
        </w:sectPr>
      </w:pPr>
    </w:p>
    <w:p w14:paraId="27E7664A">
      <w:pPr>
        <w:spacing w:before="19"/>
      </w:pPr>
      <w:r>
        <w:pict>
          <v:shape id="_x0000_s1041" o:spid="_x0000_s1041" style="position:absolute;left:0pt;margin-left:63.9pt;margin-top:85.05pt;height:653.55pt;width:0pt;mso-position-horizontal-relative:page;mso-position-vertical-relative:page;z-index:251673600;mso-width-relative:page;mso-height-relative:page;" filled="f" stroked="t" coordsize="0,13070" o:allowincell="f" path="m0,0l0,13070e">
            <v:fill on="f" focussize="0,0"/>
            <v:stroke weight="0pt" color="#000000" miterlimit="0" joinstyle="bevel" endcap="square"/>
            <v:imagedata o:title=""/>
            <o:lock v:ext="edit"/>
          </v:shape>
        </w:pict>
      </w:r>
    </w:p>
    <w:p w14:paraId="3ED887DC">
      <w:pPr>
        <w:spacing w:before="19"/>
      </w:pPr>
    </w:p>
    <w:p w14:paraId="6FF7437C">
      <w:pPr>
        <w:spacing w:before="19"/>
      </w:pPr>
    </w:p>
    <w:p w14:paraId="34882A2E">
      <w:pPr>
        <w:spacing w:before="18"/>
      </w:pPr>
    </w:p>
    <w:p w14:paraId="5DEE8345">
      <w:pPr>
        <w:spacing w:before="18"/>
      </w:pPr>
    </w:p>
    <w:tbl>
      <w:tblPr>
        <w:tblStyle w:val="5"/>
        <w:tblW w:w="8994" w:type="dxa"/>
        <w:tblInd w:w="1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3"/>
        <w:gridCol w:w="2371"/>
        <w:gridCol w:w="1804"/>
        <w:gridCol w:w="1944"/>
        <w:gridCol w:w="1806"/>
        <w:gridCol w:w="148"/>
      </w:tblGrid>
      <w:tr w14:paraId="19CB8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0" w:hRule="atLeast"/>
        </w:trPr>
        <w:tc>
          <w:tcPr>
            <w:tcW w:w="808" w:type="dxa"/>
            <w:vMerge w:val="restart"/>
            <w:tcBorders>
              <w:top w:val="single" w:color="000000" w:sz="6" w:space="0"/>
              <w:left w:val="single" w:color="000000" w:sz="6" w:space="0"/>
              <w:bottom w:val="nil"/>
            </w:tcBorders>
            <w:vAlign w:val="top"/>
          </w:tcPr>
          <w:p w14:paraId="1368F2C7">
            <w:pPr>
              <w:spacing w:line="248" w:lineRule="auto"/>
              <w:rPr>
                <w:rFonts w:ascii="Arial"/>
                <w:sz w:val="21"/>
              </w:rPr>
            </w:pPr>
          </w:p>
          <w:p w14:paraId="0AED324B">
            <w:pPr>
              <w:spacing w:line="248" w:lineRule="auto"/>
              <w:rPr>
                <w:rFonts w:ascii="Arial"/>
                <w:sz w:val="21"/>
              </w:rPr>
            </w:pPr>
          </w:p>
          <w:p w14:paraId="2E911AD6">
            <w:pPr>
              <w:spacing w:line="248" w:lineRule="auto"/>
              <w:rPr>
                <w:rFonts w:ascii="Arial"/>
                <w:sz w:val="21"/>
              </w:rPr>
            </w:pPr>
          </w:p>
          <w:p w14:paraId="34F98FE8">
            <w:pPr>
              <w:spacing w:line="248" w:lineRule="auto"/>
              <w:rPr>
                <w:rFonts w:ascii="Arial"/>
                <w:sz w:val="21"/>
              </w:rPr>
            </w:pPr>
          </w:p>
          <w:p w14:paraId="2939600B">
            <w:pPr>
              <w:spacing w:line="249" w:lineRule="auto"/>
              <w:rPr>
                <w:rFonts w:ascii="Arial"/>
                <w:sz w:val="21"/>
              </w:rPr>
            </w:pPr>
          </w:p>
          <w:p w14:paraId="234D62D4">
            <w:pPr>
              <w:spacing w:line="249" w:lineRule="auto"/>
              <w:rPr>
                <w:rFonts w:ascii="Arial"/>
                <w:sz w:val="21"/>
              </w:rPr>
            </w:pPr>
          </w:p>
          <w:p w14:paraId="5B082B5C">
            <w:pPr>
              <w:spacing w:line="249" w:lineRule="auto"/>
              <w:rPr>
                <w:rFonts w:ascii="Arial"/>
                <w:sz w:val="21"/>
              </w:rPr>
            </w:pPr>
          </w:p>
          <w:p w14:paraId="4E85FBFD">
            <w:pPr>
              <w:spacing w:line="249" w:lineRule="auto"/>
              <w:rPr>
                <w:rFonts w:ascii="Arial"/>
                <w:sz w:val="21"/>
              </w:rPr>
            </w:pPr>
          </w:p>
          <w:p w14:paraId="5D377413">
            <w:pPr>
              <w:spacing w:line="249" w:lineRule="auto"/>
              <w:rPr>
                <w:rFonts w:ascii="Arial"/>
                <w:sz w:val="21"/>
              </w:rPr>
            </w:pPr>
          </w:p>
          <w:p w14:paraId="1FC81EAE">
            <w:pPr>
              <w:spacing w:line="249" w:lineRule="auto"/>
              <w:rPr>
                <w:rFonts w:ascii="Arial"/>
                <w:sz w:val="21"/>
              </w:rPr>
            </w:pPr>
          </w:p>
          <w:p w14:paraId="13CA08F1">
            <w:pPr>
              <w:spacing w:line="249" w:lineRule="auto"/>
              <w:rPr>
                <w:rFonts w:ascii="Arial"/>
                <w:sz w:val="21"/>
              </w:rPr>
            </w:pPr>
          </w:p>
          <w:p w14:paraId="1BF4E38D">
            <w:pPr>
              <w:spacing w:line="249" w:lineRule="auto"/>
              <w:rPr>
                <w:rFonts w:ascii="Arial"/>
                <w:sz w:val="21"/>
              </w:rPr>
            </w:pPr>
          </w:p>
          <w:p w14:paraId="1CF4EF24">
            <w:pPr>
              <w:spacing w:line="249" w:lineRule="auto"/>
              <w:rPr>
                <w:rFonts w:ascii="Arial"/>
                <w:sz w:val="21"/>
              </w:rPr>
            </w:pPr>
          </w:p>
          <w:p w14:paraId="3DF93D2D">
            <w:pPr>
              <w:spacing w:line="249" w:lineRule="auto"/>
              <w:rPr>
                <w:rFonts w:ascii="Arial"/>
                <w:sz w:val="21"/>
              </w:rPr>
            </w:pPr>
          </w:p>
          <w:p w14:paraId="45EFBC39">
            <w:pPr>
              <w:spacing w:line="249" w:lineRule="auto"/>
              <w:rPr>
                <w:rFonts w:ascii="Arial"/>
                <w:sz w:val="21"/>
              </w:rPr>
            </w:pPr>
          </w:p>
          <w:p w14:paraId="5CC372FA">
            <w:pPr>
              <w:spacing w:line="249" w:lineRule="auto"/>
              <w:rPr>
                <w:rFonts w:ascii="Arial"/>
                <w:sz w:val="21"/>
              </w:rPr>
            </w:pPr>
          </w:p>
          <w:p w14:paraId="2FB593A5">
            <w:pPr>
              <w:spacing w:line="249" w:lineRule="auto"/>
              <w:rPr>
                <w:rFonts w:ascii="Arial"/>
                <w:sz w:val="21"/>
              </w:rPr>
            </w:pPr>
          </w:p>
          <w:p w14:paraId="05668322">
            <w:pPr>
              <w:spacing w:line="249" w:lineRule="auto"/>
              <w:rPr>
                <w:rFonts w:ascii="Arial"/>
                <w:sz w:val="21"/>
              </w:rPr>
            </w:pPr>
          </w:p>
          <w:p w14:paraId="11489FFB">
            <w:pPr>
              <w:spacing w:line="249" w:lineRule="auto"/>
              <w:rPr>
                <w:rFonts w:ascii="Arial"/>
                <w:sz w:val="21"/>
              </w:rPr>
            </w:pPr>
          </w:p>
          <w:p w14:paraId="47B6DF91">
            <w:pPr>
              <w:spacing w:line="249" w:lineRule="auto"/>
              <w:rPr>
                <w:rFonts w:ascii="Arial"/>
                <w:sz w:val="21"/>
              </w:rPr>
            </w:pPr>
          </w:p>
          <w:p w14:paraId="3CE45FA2">
            <w:pPr>
              <w:spacing w:line="249" w:lineRule="auto"/>
              <w:rPr>
                <w:rFonts w:ascii="Arial"/>
                <w:sz w:val="21"/>
              </w:rPr>
            </w:pPr>
          </w:p>
          <w:p w14:paraId="2C7DD269">
            <w:pPr>
              <w:spacing w:line="249" w:lineRule="auto"/>
              <w:rPr>
                <w:rFonts w:ascii="Arial"/>
                <w:sz w:val="21"/>
              </w:rPr>
            </w:pPr>
          </w:p>
          <w:p w14:paraId="7C16EB0B">
            <w:pPr>
              <w:spacing w:line="249" w:lineRule="auto"/>
              <w:rPr>
                <w:rFonts w:ascii="Arial"/>
                <w:sz w:val="21"/>
              </w:rPr>
            </w:pPr>
          </w:p>
          <w:p w14:paraId="6980A7D2">
            <w:pPr>
              <w:spacing w:line="249" w:lineRule="auto"/>
              <w:rPr>
                <w:rFonts w:ascii="Arial"/>
                <w:sz w:val="21"/>
              </w:rPr>
            </w:pPr>
          </w:p>
          <w:p w14:paraId="270C63F5">
            <w:pPr>
              <w:pStyle w:val="6"/>
              <w:spacing w:before="78" w:line="225" w:lineRule="auto"/>
              <w:ind w:left="170"/>
            </w:pPr>
            <w:r>
              <w:rPr>
                <w:spacing w:val="-8"/>
              </w:rPr>
              <w:t>总量</w:t>
            </w:r>
          </w:p>
          <w:p w14:paraId="4A7481D0">
            <w:pPr>
              <w:pStyle w:val="6"/>
              <w:spacing w:before="19" w:line="220" w:lineRule="auto"/>
              <w:ind w:left="162"/>
            </w:pPr>
            <w:r>
              <w:rPr>
                <w:spacing w:val="-5"/>
              </w:rPr>
              <w:t>控制</w:t>
            </w:r>
          </w:p>
          <w:p w14:paraId="70C5CE9F">
            <w:pPr>
              <w:pStyle w:val="6"/>
              <w:spacing w:before="26" w:line="220" w:lineRule="auto"/>
              <w:ind w:left="166"/>
            </w:pPr>
            <w:r>
              <w:rPr>
                <w:spacing w:val="-7"/>
              </w:rPr>
              <w:t>指标</w:t>
            </w:r>
          </w:p>
        </w:tc>
        <w:tc>
          <w:tcPr>
            <w:tcW w:w="8186" w:type="dxa"/>
            <w:gridSpan w:val="6"/>
            <w:tcBorders>
              <w:top w:val="single" w:color="000000" w:sz="6" w:space="0"/>
              <w:right w:val="single" w:color="000000" w:sz="6" w:space="0"/>
            </w:tcBorders>
            <w:vAlign w:val="top"/>
          </w:tcPr>
          <w:p w14:paraId="0B2A8CCB">
            <w:pPr>
              <w:pStyle w:val="6"/>
              <w:spacing w:before="160" w:line="219" w:lineRule="auto"/>
              <w:ind w:left="600"/>
            </w:pPr>
            <w:r>
              <w:rPr>
                <w:spacing w:val="-2"/>
              </w:rPr>
              <w:t>（1）水污染物排放总量控制指标</w:t>
            </w:r>
          </w:p>
          <w:p w14:paraId="4A92BE6B">
            <w:pPr>
              <w:pStyle w:val="6"/>
              <w:spacing w:before="183" w:line="359" w:lineRule="auto"/>
              <w:ind w:left="112" w:right="103" w:firstLine="478"/>
            </w:pPr>
            <w:r>
              <w:rPr>
                <w:spacing w:val="-1"/>
              </w:rPr>
              <w:t>本项目外排的泡酸废水的量为</w:t>
            </w:r>
            <w:r>
              <w:rPr>
                <w:spacing w:val="-32"/>
              </w:rPr>
              <w:t xml:space="preserve"> </w:t>
            </w:r>
            <w:r>
              <w:rPr>
                <w:rFonts w:ascii="Times New Roman" w:hAnsi="Times New Roman" w:eastAsia="Times New Roman" w:cs="Times New Roman"/>
                <w:spacing w:val="-1"/>
              </w:rPr>
              <w:t>146164.8t/a</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2"/>
              </w:rPr>
              <w:t>87.216t/d</w:t>
            </w:r>
            <w:r>
              <w:rPr>
                <w:spacing w:val="-2"/>
              </w:rPr>
              <w:t>）、生活污水的量</w:t>
            </w:r>
            <w:r>
              <w:t xml:space="preserve"> </w:t>
            </w:r>
            <w:r>
              <w:rPr>
                <w:spacing w:val="-2"/>
              </w:rPr>
              <w:t>为</w:t>
            </w:r>
            <w:r>
              <w:rPr>
                <w:spacing w:val="-31"/>
              </w:rPr>
              <w:t xml:space="preserve"> </w:t>
            </w:r>
            <w:r>
              <w:rPr>
                <w:rFonts w:ascii="Times New Roman" w:hAnsi="Times New Roman" w:eastAsia="Times New Roman" w:cs="Times New Roman"/>
                <w:spacing w:val="-2"/>
              </w:rPr>
              <w:t>1350t/a</w:t>
            </w:r>
            <w:r>
              <w:rPr>
                <w:spacing w:val="-2"/>
              </w:rPr>
              <w:t>（</w:t>
            </w:r>
            <w:r>
              <w:rPr>
                <w:rFonts w:ascii="Times New Roman" w:hAnsi="Times New Roman" w:eastAsia="Times New Roman" w:cs="Times New Roman"/>
                <w:spacing w:val="-2"/>
              </w:rPr>
              <w:t>4.5t/d</w:t>
            </w:r>
            <w:r>
              <w:rPr>
                <w:spacing w:val="8"/>
              </w:rPr>
              <w:t>），</w:t>
            </w:r>
            <w:r>
              <w:rPr>
                <w:spacing w:val="-2"/>
              </w:rPr>
              <w:t>排放进入可塘镇污水处理厂处理。</w:t>
            </w:r>
          </w:p>
          <w:p w14:paraId="6FDAB95F">
            <w:pPr>
              <w:pStyle w:val="6"/>
              <w:spacing w:before="2" w:line="360" w:lineRule="auto"/>
              <w:ind w:left="109" w:right="103" w:firstLine="480"/>
              <w:jc w:val="both"/>
            </w:pPr>
            <w:r>
              <w:rPr>
                <w:spacing w:val="1"/>
              </w:rPr>
              <w:t>根据泡酸废水污染源强识别，外排的泡酸废水中有广东省地方标准《水</w:t>
            </w:r>
            <w:r>
              <w:rPr>
                <w:spacing w:val="11"/>
              </w:rPr>
              <w:t xml:space="preserve"> </w:t>
            </w:r>
            <w:r>
              <w:rPr>
                <w:spacing w:val="1"/>
              </w:rPr>
              <w:t>污染物排放限值》（</w:t>
            </w:r>
            <w:r>
              <w:rPr>
                <w:rFonts w:ascii="Times New Roman" w:hAnsi="Times New Roman" w:eastAsia="Times New Roman" w:cs="Times New Roman"/>
              </w:rPr>
              <w:t>DB</w:t>
            </w:r>
            <w:r>
              <w:rPr>
                <w:rFonts w:ascii="Times New Roman" w:hAnsi="Times New Roman" w:eastAsia="Times New Roman" w:cs="Times New Roman"/>
                <w:spacing w:val="1"/>
              </w:rPr>
              <w:t>44/26-2001</w:t>
            </w:r>
            <w:r>
              <w:rPr>
                <w:spacing w:val="1"/>
              </w:rPr>
              <w:t>）第一类污染物，因此第一类污染物的排</w:t>
            </w:r>
            <w:r>
              <w:rPr>
                <w:spacing w:val="5"/>
              </w:rPr>
              <w:t xml:space="preserve"> </w:t>
            </w:r>
            <w:r>
              <w:rPr>
                <w:spacing w:val="-1"/>
              </w:rPr>
              <w:t>放浓度和排放总量为：</w:t>
            </w:r>
          </w:p>
          <w:p w14:paraId="09212D13">
            <w:pPr>
              <w:pStyle w:val="6"/>
              <w:spacing w:before="114" w:line="219" w:lineRule="auto"/>
              <w:ind w:left="953"/>
            </w:pPr>
            <w:r>
              <w:rPr>
                <w:b/>
                <w:bCs/>
                <w:spacing w:val="-2"/>
              </w:rPr>
              <w:t>表</w:t>
            </w:r>
            <w:r>
              <w:rPr>
                <w:spacing w:val="-45"/>
              </w:rPr>
              <w:t xml:space="preserve"> </w:t>
            </w:r>
            <w:r>
              <w:rPr>
                <w:rFonts w:ascii="Times New Roman" w:hAnsi="Times New Roman" w:eastAsia="Times New Roman" w:cs="Times New Roman"/>
                <w:b/>
                <w:bCs/>
                <w:spacing w:val="-2"/>
              </w:rPr>
              <w:t xml:space="preserve">3-14    </w:t>
            </w:r>
            <w:r>
              <w:rPr>
                <w:b/>
                <w:bCs/>
                <w:spacing w:val="-2"/>
              </w:rPr>
              <w:t>本项目泡酸废水第一类污染物排放标准和排放总量</w:t>
            </w:r>
          </w:p>
          <w:p w14:paraId="3C5DC278">
            <w:pPr>
              <w:spacing w:line="145" w:lineRule="exact"/>
            </w:pPr>
          </w:p>
          <w:tbl>
            <w:tblPr>
              <w:tblStyle w:val="5"/>
              <w:tblW w:w="7722" w:type="dxa"/>
              <w:tblInd w:w="2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4"/>
              <w:gridCol w:w="1458"/>
              <w:gridCol w:w="1648"/>
              <w:gridCol w:w="1709"/>
              <w:gridCol w:w="1713"/>
            </w:tblGrid>
            <w:tr w14:paraId="723BE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194" w:type="dxa"/>
                  <w:vAlign w:val="top"/>
                </w:tcPr>
                <w:p w14:paraId="406EE0FD">
                  <w:pPr>
                    <w:pStyle w:val="6"/>
                    <w:spacing w:before="104" w:line="228" w:lineRule="auto"/>
                    <w:ind w:left="78"/>
                    <w:rPr>
                      <w:sz w:val="20"/>
                      <w:szCs w:val="20"/>
                    </w:rPr>
                  </w:pPr>
                  <w:r>
                    <w:rPr>
                      <w:spacing w:val="7"/>
                      <w:sz w:val="20"/>
                      <w:szCs w:val="20"/>
                    </w:rPr>
                    <w:t>泡酸废水排</w:t>
                  </w:r>
                </w:p>
                <w:p w14:paraId="24133996">
                  <w:pPr>
                    <w:pStyle w:val="6"/>
                    <w:spacing w:before="24" w:line="229" w:lineRule="auto"/>
                    <w:ind w:left="261"/>
                    <w:rPr>
                      <w:rFonts w:ascii="Times New Roman" w:hAnsi="Times New Roman" w:eastAsia="Times New Roman" w:cs="Times New Roman"/>
                      <w:sz w:val="20"/>
                      <w:szCs w:val="20"/>
                    </w:rPr>
                  </w:pPr>
                  <w:r>
                    <w:rPr>
                      <w:spacing w:val="3"/>
                      <w:sz w:val="20"/>
                      <w:szCs w:val="20"/>
                    </w:rPr>
                    <w:t>放量</w:t>
                  </w:r>
                  <w:r>
                    <w:rPr>
                      <w:spacing w:val="-43"/>
                      <w:sz w:val="20"/>
                      <w:szCs w:val="20"/>
                    </w:rPr>
                    <w:t xml:space="preserve"> </w:t>
                  </w:r>
                  <w:r>
                    <w:rPr>
                      <w:rFonts w:ascii="Times New Roman" w:hAnsi="Times New Roman" w:eastAsia="Times New Roman" w:cs="Times New Roman"/>
                      <w:spacing w:val="3"/>
                      <w:sz w:val="20"/>
                      <w:szCs w:val="20"/>
                    </w:rPr>
                    <w:t>t/a</w:t>
                  </w:r>
                </w:p>
              </w:tc>
              <w:tc>
                <w:tcPr>
                  <w:tcW w:w="1458" w:type="dxa"/>
                  <w:vAlign w:val="top"/>
                </w:tcPr>
                <w:p w14:paraId="5D94CCA4">
                  <w:pPr>
                    <w:pStyle w:val="6"/>
                    <w:spacing w:before="241" w:line="228" w:lineRule="auto"/>
                    <w:ind w:left="102"/>
                    <w:rPr>
                      <w:sz w:val="20"/>
                      <w:szCs w:val="20"/>
                    </w:rPr>
                  </w:pPr>
                  <w:r>
                    <w:rPr>
                      <w:spacing w:val="8"/>
                      <w:sz w:val="20"/>
                      <w:szCs w:val="20"/>
                    </w:rPr>
                    <w:t>第一类污染物</w:t>
                  </w:r>
                </w:p>
              </w:tc>
              <w:tc>
                <w:tcPr>
                  <w:tcW w:w="1648" w:type="dxa"/>
                  <w:vAlign w:val="top"/>
                </w:tcPr>
                <w:p w14:paraId="3BEC7B58">
                  <w:pPr>
                    <w:pStyle w:val="6"/>
                    <w:spacing w:before="241" w:line="221" w:lineRule="auto"/>
                    <w:ind w:left="156"/>
                    <w:rPr>
                      <w:rFonts w:ascii="Times New Roman" w:hAnsi="Times New Roman" w:eastAsia="Times New Roman" w:cs="Times New Roman"/>
                      <w:sz w:val="20"/>
                      <w:szCs w:val="20"/>
                    </w:rPr>
                  </w:pPr>
                  <w:r>
                    <w:rPr>
                      <w:spacing w:val="17"/>
                      <w:sz w:val="20"/>
                      <w:szCs w:val="20"/>
                    </w:rPr>
                    <w:t>排放浓度</w:t>
                  </w:r>
                  <w:r>
                    <w:rPr>
                      <w:rFonts w:ascii="Times New Roman" w:hAnsi="Times New Roman" w:eastAsia="Times New Roman" w:cs="Times New Roman"/>
                      <w:sz w:val="20"/>
                      <w:szCs w:val="20"/>
                    </w:rPr>
                    <w:t>mg</w:t>
                  </w:r>
                  <w:r>
                    <w:rPr>
                      <w:rFonts w:ascii="Times New Roman" w:hAnsi="Times New Roman" w:eastAsia="Times New Roman" w:cs="Times New Roman"/>
                      <w:spacing w:val="17"/>
                      <w:sz w:val="20"/>
                      <w:szCs w:val="20"/>
                    </w:rPr>
                    <w:t>/L</w:t>
                  </w:r>
                </w:p>
              </w:tc>
              <w:tc>
                <w:tcPr>
                  <w:tcW w:w="1709" w:type="dxa"/>
                  <w:vAlign w:val="top"/>
                </w:tcPr>
                <w:p w14:paraId="7B991533">
                  <w:pPr>
                    <w:pStyle w:val="6"/>
                    <w:spacing w:before="241" w:line="221" w:lineRule="auto"/>
                    <w:ind w:left="82"/>
                    <w:rPr>
                      <w:rFonts w:ascii="Times New Roman" w:hAnsi="Times New Roman" w:eastAsia="Times New Roman" w:cs="Times New Roman"/>
                      <w:sz w:val="20"/>
                      <w:szCs w:val="20"/>
                    </w:rPr>
                  </w:pPr>
                  <w:r>
                    <w:rPr>
                      <w:spacing w:val="15"/>
                      <w:sz w:val="20"/>
                      <w:szCs w:val="20"/>
                    </w:rPr>
                    <w:t>执行标准值</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/L</w:t>
                  </w:r>
                </w:p>
              </w:tc>
              <w:tc>
                <w:tcPr>
                  <w:tcW w:w="1713" w:type="dxa"/>
                  <w:vAlign w:val="top"/>
                </w:tcPr>
                <w:p w14:paraId="2B14B4A6">
                  <w:pPr>
                    <w:pStyle w:val="6"/>
                    <w:spacing w:before="242" w:line="228" w:lineRule="auto"/>
                    <w:ind w:left="103"/>
                    <w:rPr>
                      <w:rFonts w:ascii="Times New Roman" w:hAnsi="Times New Roman" w:eastAsia="Times New Roman" w:cs="Times New Roman"/>
                      <w:sz w:val="20"/>
                      <w:szCs w:val="20"/>
                    </w:rPr>
                  </w:pPr>
                  <w:r>
                    <w:rPr>
                      <w:spacing w:val="5"/>
                      <w:sz w:val="20"/>
                      <w:szCs w:val="20"/>
                    </w:rPr>
                    <w:t>污染物排放量</w:t>
                  </w:r>
                  <w:r>
                    <w:rPr>
                      <w:spacing w:val="-38"/>
                      <w:sz w:val="20"/>
                      <w:szCs w:val="20"/>
                    </w:rPr>
                    <w:t xml:space="preserve"> </w:t>
                  </w:r>
                  <w:r>
                    <w:rPr>
                      <w:rFonts w:ascii="Times New Roman" w:hAnsi="Times New Roman" w:eastAsia="Times New Roman" w:cs="Times New Roman"/>
                      <w:spacing w:val="5"/>
                      <w:sz w:val="20"/>
                      <w:szCs w:val="20"/>
                    </w:rPr>
                    <w:t>t/a</w:t>
                  </w:r>
                </w:p>
              </w:tc>
            </w:tr>
            <w:tr w14:paraId="14C5C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194" w:type="dxa"/>
                  <w:vMerge w:val="restart"/>
                  <w:tcBorders>
                    <w:bottom w:val="nil"/>
                  </w:tcBorders>
                  <w:vAlign w:val="top"/>
                </w:tcPr>
                <w:p w14:paraId="488A3945">
                  <w:pPr>
                    <w:spacing w:line="248" w:lineRule="auto"/>
                    <w:rPr>
                      <w:rFonts w:ascii="Arial"/>
                      <w:sz w:val="21"/>
                    </w:rPr>
                  </w:pPr>
                </w:p>
                <w:p w14:paraId="5BB15AED">
                  <w:pPr>
                    <w:spacing w:line="248" w:lineRule="auto"/>
                    <w:rPr>
                      <w:rFonts w:ascii="Arial"/>
                      <w:sz w:val="21"/>
                    </w:rPr>
                  </w:pPr>
                </w:p>
                <w:p w14:paraId="3C518D67">
                  <w:pPr>
                    <w:spacing w:line="248" w:lineRule="auto"/>
                    <w:rPr>
                      <w:rFonts w:ascii="Arial"/>
                      <w:sz w:val="21"/>
                    </w:rPr>
                  </w:pPr>
                </w:p>
                <w:p w14:paraId="25C316D8">
                  <w:pPr>
                    <w:spacing w:line="248" w:lineRule="auto"/>
                    <w:rPr>
                      <w:rFonts w:ascii="Arial"/>
                      <w:sz w:val="21"/>
                    </w:rPr>
                  </w:pPr>
                </w:p>
                <w:p w14:paraId="497BDE28">
                  <w:pPr>
                    <w:spacing w:line="248" w:lineRule="auto"/>
                    <w:rPr>
                      <w:rFonts w:ascii="Arial"/>
                      <w:sz w:val="21"/>
                    </w:rPr>
                  </w:pPr>
                </w:p>
                <w:p w14:paraId="7D0CA5B9">
                  <w:pPr>
                    <w:spacing w:line="248" w:lineRule="auto"/>
                    <w:rPr>
                      <w:rFonts w:ascii="Arial"/>
                      <w:sz w:val="21"/>
                    </w:rPr>
                  </w:pPr>
                </w:p>
                <w:p w14:paraId="1A2218D4">
                  <w:pPr>
                    <w:spacing w:line="248" w:lineRule="auto"/>
                    <w:rPr>
                      <w:rFonts w:ascii="Arial"/>
                      <w:sz w:val="21"/>
                    </w:rPr>
                  </w:pPr>
                </w:p>
                <w:p w14:paraId="6C2A2853">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146164.8</w:t>
                  </w:r>
                </w:p>
              </w:tc>
              <w:tc>
                <w:tcPr>
                  <w:tcW w:w="1458" w:type="dxa"/>
                  <w:vAlign w:val="top"/>
                </w:tcPr>
                <w:p w14:paraId="0CD94143">
                  <w:pPr>
                    <w:pStyle w:val="6"/>
                    <w:spacing w:before="98" w:line="228" w:lineRule="auto"/>
                    <w:ind w:left="527"/>
                    <w:rPr>
                      <w:sz w:val="20"/>
                      <w:szCs w:val="20"/>
                    </w:rPr>
                  </w:pPr>
                  <w:r>
                    <w:rPr>
                      <w:spacing w:val="2"/>
                      <w:sz w:val="20"/>
                      <w:szCs w:val="20"/>
                    </w:rPr>
                    <w:t>总汞</w:t>
                  </w:r>
                </w:p>
              </w:tc>
              <w:tc>
                <w:tcPr>
                  <w:tcW w:w="1648" w:type="dxa"/>
                  <w:vAlign w:val="top"/>
                </w:tcPr>
                <w:p w14:paraId="02CD4938">
                  <w:pPr>
                    <w:spacing w:before="13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0.00024</w:t>
                  </w:r>
                </w:p>
              </w:tc>
              <w:tc>
                <w:tcPr>
                  <w:tcW w:w="1709" w:type="dxa"/>
                  <w:vAlign w:val="top"/>
                </w:tcPr>
                <w:p w14:paraId="59E68080">
                  <w:pPr>
                    <w:spacing w:before="134"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13" w:type="dxa"/>
                  <w:vAlign w:val="top"/>
                </w:tcPr>
                <w:p w14:paraId="3E2707CB">
                  <w:pPr>
                    <w:spacing w:before="134"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0.000035</w:t>
                  </w:r>
                </w:p>
              </w:tc>
            </w:tr>
            <w:tr w14:paraId="015E8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194" w:type="dxa"/>
                  <w:vMerge w:val="continue"/>
                  <w:tcBorders>
                    <w:top w:val="nil"/>
                    <w:bottom w:val="nil"/>
                  </w:tcBorders>
                  <w:vAlign w:val="top"/>
                </w:tcPr>
                <w:p w14:paraId="03269A08">
                  <w:pPr>
                    <w:rPr>
                      <w:rFonts w:ascii="Arial"/>
                      <w:sz w:val="21"/>
                    </w:rPr>
                  </w:pPr>
                </w:p>
              </w:tc>
              <w:tc>
                <w:tcPr>
                  <w:tcW w:w="1458" w:type="dxa"/>
                  <w:vAlign w:val="top"/>
                </w:tcPr>
                <w:p w14:paraId="1464EABF">
                  <w:pPr>
                    <w:pStyle w:val="6"/>
                    <w:spacing w:before="97" w:line="231" w:lineRule="auto"/>
                    <w:ind w:left="527"/>
                    <w:rPr>
                      <w:sz w:val="20"/>
                      <w:szCs w:val="20"/>
                    </w:rPr>
                  </w:pPr>
                  <w:r>
                    <w:rPr>
                      <w:spacing w:val="2"/>
                      <w:sz w:val="20"/>
                      <w:szCs w:val="20"/>
                    </w:rPr>
                    <w:t>总镉</w:t>
                  </w:r>
                </w:p>
              </w:tc>
              <w:tc>
                <w:tcPr>
                  <w:tcW w:w="1648" w:type="dxa"/>
                  <w:vAlign w:val="top"/>
                </w:tcPr>
                <w:p w14:paraId="0F45109D">
                  <w:pPr>
                    <w:spacing w:before="136"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0.00046</w:t>
                  </w:r>
                </w:p>
              </w:tc>
              <w:tc>
                <w:tcPr>
                  <w:tcW w:w="1709" w:type="dxa"/>
                  <w:vAlign w:val="top"/>
                </w:tcPr>
                <w:p w14:paraId="666F9014">
                  <w:pPr>
                    <w:spacing w:before="136"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713" w:type="dxa"/>
                  <w:vAlign w:val="top"/>
                </w:tcPr>
                <w:p w14:paraId="520E4165">
                  <w:pPr>
                    <w:spacing w:before="136"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0.000067</w:t>
                  </w:r>
                </w:p>
              </w:tc>
            </w:tr>
            <w:tr w14:paraId="4D85A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194" w:type="dxa"/>
                  <w:vMerge w:val="continue"/>
                  <w:tcBorders>
                    <w:top w:val="nil"/>
                    <w:bottom w:val="nil"/>
                  </w:tcBorders>
                  <w:vAlign w:val="top"/>
                </w:tcPr>
                <w:p w14:paraId="0E459891">
                  <w:pPr>
                    <w:rPr>
                      <w:rFonts w:ascii="Arial"/>
                      <w:sz w:val="21"/>
                    </w:rPr>
                  </w:pPr>
                </w:p>
              </w:tc>
              <w:tc>
                <w:tcPr>
                  <w:tcW w:w="1458" w:type="dxa"/>
                  <w:vAlign w:val="top"/>
                </w:tcPr>
                <w:p w14:paraId="3BFAA4AC">
                  <w:pPr>
                    <w:pStyle w:val="6"/>
                    <w:spacing w:before="100" w:line="230" w:lineRule="auto"/>
                    <w:ind w:left="527"/>
                    <w:rPr>
                      <w:sz w:val="20"/>
                      <w:szCs w:val="20"/>
                    </w:rPr>
                  </w:pPr>
                  <w:r>
                    <w:rPr>
                      <w:spacing w:val="2"/>
                      <w:sz w:val="20"/>
                      <w:szCs w:val="20"/>
                    </w:rPr>
                    <w:t>总铬</w:t>
                  </w:r>
                </w:p>
              </w:tc>
              <w:tc>
                <w:tcPr>
                  <w:tcW w:w="1648" w:type="dxa"/>
                  <w:vAlign w:val="top"/>
                </w:tcPr>
                <w:p w14:paraId="407ECDEC">
                  <w:pPr>
                    <w:spacing w:before="136"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709" w:type="dxa"/>
                  <w:vAlign w:val="top"/>
                </w:tcPr>
                <w:p w14:paraId="7E5E1134">
                  <w:pPr>
                    <w:spacing w:before="136"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713" w:type="dxa"/>
                  <w:vAlign w:val="top"/>
                </w:tcPr>
                <w:p w14:paraId="6D5BCE74">
                  <w:pPr>
                    <w:spacing w:before="136"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0.000585</w:t>
                  </w:r>
                </w:p>
              </w:tc>
            </w:tr>
            <w:tr w14:paraId="51844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194" w:type="dxa"/>
                  <w:vMerge w:val="continue"/>
                  <w:tcBorders>
                    <w:top w:val="nil"/>
                    <w:bottom w:val="nil"/>
                  </w:tcBorders>
                  <w:vAlign w:val="top"/>
                </w:tcPr>
                <w:p w14:paraId="1C2723E1">
                  <w:pPr>
                    <w:rPr>
                      <w:rFonts w:ascii="Arial"/>
                      <w:sz w:val="21"/>
                    </w:rPr>
                  </w:pPr>
                </w:p>
              </w:tc>
              <w:tc>
                <w:tcPr>
                  <w:tcW w:w="1458" w:type="dxa"/>
                  <w:vAlign w:val="top"/>
                </w:tcPr>
                <w:p w14:paraId="4C51F973">
                  <w:pPr>
                    <w:pStyle w:val="6"/>
                    <w:spacing w:before="100" w:line="226" w:lineRule="auto"/>
                    <w:ind w:left="418"/>
                    <w:rPr>
                      <w:sz w:val="20"/>
                      <w:szCs w:val="20"/>
                    </w:rPr>
                  </w:pPr>
                  <w:r>
                    <w:rPr>
                      <w:spacing w:val="6"/>
                      <w:sz w:val="20"/>
                      <w:szCs w:val="20"/>
                    </w:rPr>
                    <w:t>六价铬</w:t>
                  </w:r>
                </w:p>
              </w:tc>
              <w:tc>
                <w:tcPr>
                  <w:tcW w:w="1648" w:type="dxa"/>
                  <w:vAlign w:val="top"/>
                </w:tcPr>
                <w:p w14:paraId="78E2D305">
                  <w:pPr>
                    <w:spacing w:before="136"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709" w:type="dxa"/>
                  <w:vAlign w:val="top"/>
                </w:tcPr>
                <w:p w14:paraId="3BDDFB21">
                  <w:pPr>
                    <w:spacing w:before="136"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13" w:type="dxa"/>
                  <w:vAlign w:val="top"/>
                </w:tcPr>
                <w:p w14:paraId="43C6379B">
                  <w:pPr>
                    <w:spacing w:before="136"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0.000292</w:t>
                  </w:r>
                </w:p>
              </w:tc>
            </w:tr>
            <w:tr w14:paraId="6710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194" w:type="dxa"/>
                  <w:vMerge w:val="continue"/>
                  <w:tcBorders>
                    <w:top w:val="nil"/>
                    <w:bottom w:val="nil"/>
                  </w:tcBorders>
                  <w:vAlign w:val="top"/>
                </w:tcPr>
                <w:p w14:paraId="43A129E5">
                  <w:pPr>
                    <w:rPr>
                      <w:rFonts w:ascii="Arial"/>
                      <w:sz w:val="21"/>
                    </w:rPr>
                  </w:pPr>
                </w:p>
              </w:tc>
              <w:tc>
                <w:tcPr>
                  <w:tcW w:w="1458" w:type="dxa"/>
                  <w:vAlign w:val="top"/>
                </w:tcPr>
                <w:p w14:paraId="540D8289">
                  <w:pPr>
                    <w:pStyle w:val="6"/>
                    <w:spacing w:before="100" w:line="228" w:lineRule="auto"/>
                    <w:ind w:left="527"/>
                    <w:rPr>
                      <w:sz w:val="20"/>
                      <w:szCs w:val="20"/>
                    </w:rPr>
                  </w:pPr>
                  <w:r>
                    <w:rPr>
                      <w:spacing w:val="2"/>
                      <w:sz w:val="20"/>
                      <w:szCs w:val="20"/>
                    </w:rPr>
                    <w:t>总砷</w:t>
                  </w:r>
                </w:p>
              </w:tc>
              <w:tc>
                <w:tcPr>
                  <w:tcW w:w="1648" w:type="dxa"/>
                  <w:vAlign w:val="top"/>
                </w:tcPr>
                <w:p w14:paraId="663CA4A2">
                  <w:pPr>
                    <w:spacing w:before="138"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709" w:type="dxa"/>
                  <w:vAlign w:val="top"/>
                </w:tcPr>
                <w:p w14:paraId="16436D3D">
                  <w:pPr>
                    <w:spacing w:before="138"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713" w:type="dxa"/>
                  <w:vAlign w:val="top"/>
                </w:tcPr>
                <w:p w14:paraId="271CFECB">
                  <w:pPr>
                    <w:spacing w:before="138"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0.000022</w:t>
                  </w:r>
                </w:p>
              </w:tc>
            </w:tr>
            <w:tr w14:paraId="6A009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194" w:type="dxa"/>
                  <w:vMerge w:val="continue"/>
                  <w:tcBorders>
                    <w:top w:val="nil"/>
                    <w:bottom w:val="nil"/>
                  </w:tcBorders>
                  <w:vAlign w:val="top"/>
                </w:tcPr>
                <w:p w14:paraId="574EF7AF">
                  <w:pPr>
                    <w:rPr>
                      <w:rFonts w:ascii="Arial"/>
                      <w:sz w:val="21"/>
                    </w:rPr>
                  </w:pPr>
                </w:p>
              </w:tc>
              <w:tc>
                <w:tcPr>
                  <w:tcW w:w="1458" w:type="dxa"/>
                  <w:vAlign w:val="top"/>
                </w:tcPr>
                <w:p w14:paraId="3E33EA34">
                  <w:pPr>
                    <w:pStyle w:val="6"/>
                    <w:spacing w:before="103" w:line="232" w:lineRule="auto"/>
                    <w:ind w:left="527"/>
                    <w:rPr>
                      <w:sz w:val="20"/>
                      <w:szCs w:val="20"/>
                    </w:rPr>
                  </w:pPr>
                  <w:r>
                    <w:rPr>
                      <w:spacing w:val="2"/>
                      <w:sz w:val="20"/>
                      <w:szCs w:val="20"/>
                    </w:rPr>
                    <w:t>总铅</w:t>
                  </w:r>
                </w:p>
              </w:tc>
              <w:tc>
                <w:tcPr>
                  <w:tcW w:w="1648" w:type="dxa"/>
                  <w:vAlign w:val="top"/>
                </w:tcPr>
                <w:p w14:paraId="437CBCC7">
                  <w:pPr>
                    <w:spacing w:before="138"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0.0018</w:t>
                  </w:r>
                </w:p>
              </w:tc>
              <w:tc>
                <w:tcPr>
                  <w:tcW w:w="1709" w:type="dxa"/>
                  <w:vAlign w:val="top"/>
                </w:tcPr>
                <w:p w14:paraId="0B2091FC">
                  <w:pPr>
                    <w:spacing w:before="138"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13" w:type="dxa"/>
                  <w:vAlign w:val="top"/>
                </w:tcPr>
                <w:p w14:paraId="1A3B888C">
                  <w:pPr>
                    <w:spacing w:before="138"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0.000263</w:t>
                  </w:r>
                </w:p>
              </w:tc>
            </w:tr>
            <w:tr w14:paraId="54F93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194" w:type="dxa"/>
                  <w:vMerge w:val="continue"/>
                  <w:tcBorders>
                    <w:top w:val="nil"/>
                    <w:bottom w:val="nil"/>
                  </w:tcBorders>
                  <w:vAlign w:val="top"/>
                </w:tcPr>
                <w:p w14:paraId="2D2F1AA8">
                  <w:pPr>
                    <w:rPr>
                      <w:rFonts w:ascii="Arial"/>
                      <w:sz w:val="21"/>
                    </w:rPr>
                  </w:pPr>
                </w:p>
              </w:tc>
              <w:tc>
                <w:tcPr>
                  <w:tcW w:w="1458" w:type="dxa"/>
                  <w:vAlign w:val="top"/>
                </w:tcPr>
                <w:p w14:paraId="6AE1821B">
                  <w:pPr>
                    <w:pStyle w:val="6"/>
                    <w:spacing w:before="102" w:line="228" w:lineRule="auto"/>
                    <w:ind w:left="527"/>
                    <w:rPr>
                      <w:sz w:val="20"/>
                      <w:szCs w:val="20"/>
                    </w:rPr>
                  </w:pPr>
                  <w:r>
                    <w:rPr>
                      <w:spacing w:val="2"/>
                      <w:sz w:val="20"/>
                      <w:szCs w:val="20"/>
                    </w:rPr>
                    <w:t>总镍</w:t>
                  </w:r>
                </w:p>
              </w:tc>
              <w:tc>
                <w:tcPr>
                  <w:tcW w:w="1648" w:type="dxa"/>
                  <w:vAlign w:val="top"/>
                </w:tcPr>
                <w:p w14:paraId="400A021E">
                  <w:pPr>
                    <w:spacing w:before="138"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0.0181</w:t>
                  </w:r>
                </w:p>
              </w:tc>
              <w:tc>
                <w:tcPr>
                  <w:tcW w:w="1709" w:type="dxa"/>
                  <w:vAlign w:val="top"/>
                </w:tcPr>
                <w:p w14:paraId="355A85B0">
                  <w:pPr>
                    <w:spacing w:before="138"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713" w:type="dxa"/>
                  <w:vAlign w:val="top"/>
                </w:tcPr>
                <w:p w14:paraId="4FD117B6">
                  <w:pPr>
                    <w:spacing w:before="138"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0.002646</w:t>
                  </w:r>
                </w:p>
              </w:tc>
            </w:tr>
            <w:tr w14:paraId="57D30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194" w:type="dxa"/>
                  <w:vMerge w:val="continue"/>
                  <w:tcBorders>
                    <w:top w:val="nil"/>
                    <w:bottom w:val="nil"/>
                  </w:tcBorders>
                  <w:vAlign w:val="top"/>
                </w:tcPr>
                <w:p w14:paraId="20F33917">
                  <w:pPr>
                    <w:rPr>
                      <w:rFonts w:ascii="Arial"/>
                      <w:sz w:val="21"/>
                    </w:rPr>
                  </w:pPr>
                </w:p>
              </w:tc>
              <w:tc>
                <w:tcPr>
                  <w:tcW w:w="1458" w:type="dxa"/>
                  <w:vAlign w:val="top"/>
                </w:tcPr>
                <w:p w14:paraId="7B6DB5E0">
                  <w:pPr>
                    <w:pStyle w:val="6"/>
                    <w:spacing w:before="101" w:line="228" w:lineRule="auto"/>
                    <w:ind w:left="527"/>
                    <w:rPr>
                      <w:sz w:val="20"/>
                      <w:szCs w:val="20"/>
                    </w:rPr>
                  </w:pPr>
                  <w:r>
                    <w:rPr>
                      <w:spacing w:val="2"/>
                      <w:sz w:val="20"/>
                      <w:szCs w:val="20"/>
                    </w:rPr>
                    <w:t>总铍</w:t>
                  </w:r>
                </w:p>
              </w:tc>
              <w:tc>
                <w:tcPr>
                  <w:tcW w:w="1648" w:type="dxa"/>
                  <w:vAlign w:val="top"/>
                </w:tcPr>
                <w:p w14:paraId="7D7B3CE0">
                  <w:pPr>
                    <w:spacing w:before="13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0.00264</w:t>
                  </w:r>
                </w:p>
              </w:tc>
              <w:tc>
                <w:tcPr>
                  <w:tcW w:w="1709" w:type="dxa"/>
                  <w:vAlign w:val="top"/>
                </w:tcPr>
                <w:p w14:paraId="13E0316E">
                  <w:pPr>
                    <w:spacing w:before="139"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13" w:type="dxa"/>
                  <w:vAlign w:val="top"/>
                </w:tcPr>
                <w:p w14:paraId="4EAE44DC">
                  <w:pPr>
                    <w:spacing w:before="139"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0.000386</w:t>
                  </w:r>
                </w:p>
              </w:tc>
            </w:tr>
            <w:tr w14:paraId="48933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94" w:type="dxa"/>
                  <w:vMerge w:val="continue"/>
                  <w:tcBorders>
                    <w:top w:val="nil"/>
                  </w:tcBorders>
                  <w:vAlign w:val="top"/>
                </w:tcPr>
                <w:p w14:paraId="068A27FE">
                  <w:pPr>
                    <w:rPr>
                      <w:rFonts w:ascii="Arial"/>
                      <w:sz w:val="21"/>
                    </w:rPr>
                  </w:pPr>
                </w:p>
              </w:tc>
              <w:tc>
                <w:tcPr>
                  <w:tcW w:w="1458" w:type="dxa"/>
                  <w:vAlign w:val="top"/>
                </w:tcPr>
                <w:p w14:paraId="7C3FE316">
                  <w:pPr>
                    <w:pStyle w:val="6"/>
                    <w:spacing w:before="108" w:line="231" w:lineRule="auto"/>
                    <w:ind w:left="527"/>
                    <w:rPr>
                      <w:sz w:val="20"/>
                      <w:szCs w:val="20"/>
                    </w:rPr>
                  </w:pPr>
                  <w:r>
                    <w:rPr>
                      <w:spacing w:val="2"/>
                      <w:sz w:val="20"/>
                      <w:szCs w:val="20"/>
                    </w:rPr>
                    <w:t>总银</w:t>
                  </w:r>
                </w:p>
              </w:tc>
              <w:tc>
                <w:tcPr>
                  <w:tcW w:w="1648" w:type="dxa"/>
                  <w:vAlign w:val="top"/>
                </w:tcPr>
                <w:p w14:paraId="02CB68C7">
                  <w:pPr>
                    <w:spacing w:before="143" w:line="195"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709" w:type="dxa"/>
                  <w:vAlign w:val="top"/>
                </w:tcPr>
                <w:p w14:paraId="38E86DC7">
                  <w:pPr>
                    <w:spacing w:before="143"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13" w:type="dxa"/>
                  <w:vAlign w:val="top"/>
                </w:tcPr>
                <w:p w14:paraId="7BA03E02">
                  <w:pPr>
                    <w:spacing w:before="143"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0.002192</w:t>
                  </w:r>
                </w:p>
              </w:tc>
            </w:tr>
          </w:tbl>
          <w:p w14:paraId="6E0235F0">
            <w:pPr>
              <w:spacing w:before="152" w:line="250" w:lineRule="auto"/>
              <w:ind w:left="104" w:right="103" w:firstLine="434"/>
              <w:jc w:val="both"/>
              <w:rPr>
                <w:rFonts w:ascii="楷体" w:hAnsi="楷体" w:eastAsia="楷体" w:cs="楷体"/>
                <w:sz w:val="20"/>
                <w:szCs w:val="20"/>
              </w:rPr>
            </w:pPr>
            <w:r>
              <w:rPr>
                <w:rFonts w:ascii="楷体" w:hAnsi="楷体" w:eastAsia="楷体" w:cs="楷体"/>
                <w:spacing w:val="9"/>
                <w:sz w:val="20"/>
                <w:szCs w:val="20"/>
              </w:rPr>
              <w:t>注：本项目外排生产废水、生活污水执行可塘镇污水厂设计进水标准限值、《污水</w:t>
            </w:r>
            <w:r>
              <w:rPr>
                <w:rFonts w:ascii="楷体" w:hAnsi="楷体" w:eastAsia="楷体" w:cs="楷体"/>
                <w:spacing w:val="6"/>
                <w:sz w:val="20"/>
                <w:szCs w:val="20"/>
              </w:rPr>
              <w:t xml:space="preserve"> </w:t>
            </w:r>
            <w:r>
              <w:rPr>
                <w:rFonts w:ascii="楷体" w:hAnsi="楷体" w:eastAsia="楷体" w:cs="楷体"/>
                <w:spacing w:val="8"/>
                <w:sz w:val="20"/>
                <w:szCs w:val="20"/>
              </w:rPr>
              <w:t>排入城镇下水道水质标准》（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/T31962-2015</w:t>
            </w:r>
            <w:r>
              <w:rPr>
                <w:rFonts w:ascii="楷体" w:hAnsi="楷体" w:eastAsia="楷体" w:cs="楷体"/>
                <w:spacing w:val="8"/>
                <w:sz w:val="20"/>
                <w:szCs w:val="20"/>
              </w:rPr>
              <w:t>）</w:t>
            </w:r>
            <w:r>
              <w:rPr>
                <w:rFonts w:ascii="Times New Roman" w:hAnsi="Times New Roman" w:eastAsia="Times New Roman" w:cs="Times New Roman"/>
                <w:spacing w:val="8"/>
                <w:sz w:val="20"/>
                <w:szCs w:val="20"/>
              </w:rPr>
              <w:t>B</w:t>
            </w:r>
            <w:r>
              <w:rPr>
                <w:rFonts w:ascii="Times New Roman" w:hAnsi="Times New Roman" w:eastAsia="Times New Roman" w:cs="Times New Roman"/>
                <w:spacing w:val="18"/>
                <w:w w:val="101"/>
                <w:sz w:val="20"/>
                <w:szCs w:val="20"/>
              </w:rPr>
              <w:t xml:space="preserve"> </w:t>
            </w:r>
            <w:r>
              <w:rPr>
                <w:rFonts w:ascii="楷体" w:hAnsi="楷体" w:eastAsia="楷体" w:cs="楷体"/>
                <w:spacing w:val="8"/>
                <w:sz w:val="20"/>
                <w:szCs w:val="20"/>
              </w:rPr>
              <w:t>级标准限值、广东省地方标准</w:t>
            </w:r>
            <w:r>
              <w:rPr>
                <w:rFonts w:ascii="楷体" w:hAnsi="楷体" w:eastAsia="楷体" w:cs="楷体"/>
                <w:spacing w:val="7"/>
                <w:sz w:val="20"/>
                <w:szCs w:val="20"/>
              </w:rPr>
              <w:t>《水污</w:t>
            </w:r>
            <w:r>
              <w:rPr>
                <w:rFonts w:ascii="楷体" w:hAnsi="楷体" w:eastAsia="楷体" w:cs="楷体"/>
                <w:sz w:val="20"/>
                <w:szCs w:val="20"/>
              </w:rPr>
              <w:t xml:space="preserve"> </w:t>
            </w:r>
            <w:r>
              <w:rPr>
                <w:rFonts w:ascii="楷体" w:hAnsi="楷体" w:eastAsia="楷体" w:cs="楷体"/>
                <w:spacing w:val="9"/>
                <w:sz w:val="20"/>
                <w:szCs w:val="20"/>
              </w:rPr>
              <w:t>染物排放限值》（</w:t>
            </w:r>
            <w:r>
              <w:rPr>
                <w:rFonts w:ascii="Times New Roman" w:hAnsi="Times New Roman" w:eastAsia="Times New Roman" w:cs="Times New Roman"/>
                <w:sz w:val="20"/>
                <w:szCs w:val="20"/>
              </w:rPr>
              <w:t>DB</w:t>
            </w:r>
            <w:r>
              <w:rPr>
                <w:rFonts w:ascii="Times New Roman" w:hAnsi="Times New Roman" w:eastAsia="Times New Roman" w:cs="Times New Roman"/>
                <w:spacing w:val="9"/>
                <w:sz w:val="20"/>
                <w:szCs w:val="20"/>
              </w:rPr>
              <w:t>44/26-2001</w:t>
            </w:r>
            <w:r>
              <w:rPr>
                <w:rFonts w:ascii="楷体" w:hAnsi="楷体" w:eastAsia="楷体" w:cs="楷体"/>
                <w:spacing w:val="9"/>
                <w:sz w:val="20"/>
                <w:szCs w:val="20"/>
              </w:rPr>
              <w:t>）第一类污染物最高允许排放</w:t>
            </w:r>
            <w:r>
              <w:rPr>
                <w:rFonts w:ascii="楷体" w:hAnsi="楷体" w:eastAsia="楷体" w:cs="楷体"/>
                <w:spacing w:val="8"/>
                <w:sz w:val="20"/>
                <w:szCs w:val="20"/>
              </w:rPr>
              <w:t>浓度限值和第二时段三级</w:t>
            </w:r>
            <w:r>
              <w:rPr>
                <w:rFonts w:ascii="楷体" w:hAnsi="楷体" w:eastAsia="楷体" w:cs="楷体"/>
                <w:sz w:val="20"/>
                <w:szCs w:val="20"/>
              </w:rPr>
              <w:t xml:space="preserve"> </w:t>
            </w:r>
            <w:r>
              <w:rPr>
                <w:rFonts w:ascii="楷体" w:hAnsi="楷体" w:eastAsia="楷体" w:cs="楷体"/>
                <w:spacing w:val="8"/>
                <w:sz w:val="20"/>
                <w:szCs w:val="20"/>
              </w:rPr>
              <w:t>标准限值三者最严值。</w:t>
            </w:r>
          </w:p>
          <w:p w14:paraId="65454637">
            <w:pPr>
              <w:pStyle w:val="6"/>
              <w:spacing w:before="249" w:line="220" w:lineRule="auto"/>
              <w:ind w:left="600"/>
            </w:pPr>
            <w:r>
              <w:rPr>
                <w:spacing w:val="-2"/>
              </w:rPr>
              <w:t>（2）大气污染物排放总量控制指标</w:t>
            </w:r>
          </w:p>
          <w:p w14:paraId="569CF0BA">
            <w:pPr>
              <w:pStyle w:val="6"/>
              <w:spacing w:before="183" w:line="362" w:lineRule="auto"/>
              <w:ind w:left="115" w:right="103" w:firstLine="474"/>
            </w:pPr>
            <w:r>
              <w:rPr>
                <w:spacing w:val="1"/>
              </w:rPr>
              <w:t>本项目产生的大气污染物主要为有机废气、泡酸废气和燃烧废气，排放</w:t>
            </w:r>
            <w:r>
              <w:rPr>
                <w:spacing w:val="10"/>
              </w:rPr>
              <w:t xml:space="preserve"> </w:t>
            </w:r>
            <w:r>
              <w:rPr>
                <w:spacing w:val="-2"/>
              </w:rPr>
              <w:t>总量控制指标为：</w:t>
            </w:r>
          </w:p>
          <w:p w14:paraId="1D383F2E">
            <w:pPr>
              <w:pStyle w:val="6"/>
              <w:spacing w:before="111" w:line="220" w:lineRule="auto"/>
              <w:ind w:left="1798"/>
            </w:pPr>
            <w:r>
              <w:rPr>
                <w:b/>
                <w:bCs/>
                <w:spacing w:val="-2"/>
              </w:rPr>
              <w:t>表</w:t>
            </w:r>
            <w:r>
              <w:rPr>
                <w:spacing w:val="-51"/>
              </w:rPr>
              <w:t xml:space="preserve"> </w:t>
            </w:r>
            <w:r>
              <w:rPr>
                <w:rFonts w:ascii="Times New Roman" w:hAnsi="Times New Roman" w:eastAsia="Times New Roman" w:cs="Times New Roman"/>
                <w:b/>
                <w:bCs/>
                <w:spacing w:val="-2"/>
              </w:rPr>
              <w:t xml:space="preserve">3-15    </w:t>
            </w:r>
            <w:r>
              <w:rPr>
                <w:b/>
                <w:bCs/>
                <w:spacing w:val="-2"/>
              </w:rPr>
              <w:t>项目大气污染物排放总量控制指标</w:t>
            </w:r>
          </w:p>
        </w:tc>
      </w:tr>
      <w:tr w14:paraId="35020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33B99D1">
            <w:pPr>
              <w:rPr>
                <w:rFonts w:ascii="Arial"/>
                <w:sz w:val="21"/>
              </w:rPr>
            </w:pPr>
          </w:p>
        </w:tc>
        <w:tc>
          <w:tcPr>
            <w:tcW w:w="113" w:type="dxa"/>
            <w:tcBorders>
              <w:top w:val="nil"/>
              <w:bottom w:val="nil"/>
            </w:tcBorders>
            <w:vAlign w:val="top"/>
          </w:tcPr>
          <w:p w14:paraId="61B0955B">
            <w:pPr>
              <w:rPr>
                <w:rFonts w:ascii="Arial"/>
                <w:sz w:val="21"/>
              </w:rPr>
            </w:pPr>
          </w:p>
        </w:tc>
        <w:tc>
          <w:tcPr>
            <w:tcW w:w="2371" w:type="dxa"/>
            <w:vAlign w:val="top"/>
          </w:tcPr>
          <w:p w14:paraId="5E174417">
            <w:pPr>
              <w:pStyle w:val="6"/>
              <w:spacing w:before="107" w:line="228" w:lineRule="auto"/>
              <w:ind w:left="872"/>
              <w:rPr>
                <w:sz w:val="20"/>
                <w:szCs w:val="20"/>
              </w:rPr>
            </w:pPr>
            <w:r>
              <w:rPr>
                <w:spacing w:val="6"/>
                <w:sz w:val="20"/>
                <w:szCs w:val="20"/>
              </w:rPr>
              <w:t>污染物</w:t>
            </w:r>
          </w:p>
        </w:tc>
        <w:tc>
          <w:tcPr>
            <w:tcW w:w="1804" w:type="dxa"/>
            <w:vAlign w:val="top"/>
          </w:tcPr>
          <w:p w14:paraId="6740F1F8">
            <w:pPr>
              <w:pStyle w:val="6"/>
              <w:spacing w:before="107" w:line="228" w:lineRule="auto"/>
              <w:ind w:left="250"/>
              <w:rPr>
                <w:rFonts w:ascii="Times New Roman" w:hAnsi="Times New Roman" w:eastAsia="Times New Roman" w:cs="Times New Roman"/>
                <w:sz w:val="20"/>
                <w:szCs w:val="20"/>
              </w:rPr>
            </w:pPr>
            <w:r>
              <w:rPr>
                <w:spacing w:val="5"/>
                <w:sz w:val="20"/>
                <w:szCs w:val="20"/>
              </w:rPr>
              <w:t>有组织总量</w:t>
            </w:r>
            <w:r>
              <w:rPr>
                <w:spacing w:val="-39"/>
                <w:sz w:val="20"/>
                <w:szCs w:val="20"/>
              </w:rPr>
              <w:t xml:space="preserve"> </w:t>
            </w:r>
            <w:r>
              <w:rPr>
                <w:rFonts w:ascii="Times New Roman" w:hAnsi="Times New Roman" w:eastAsia="Times New Roman" w:cs="Times New Roman"/>
                <w:spacing w:val="5"/>
                <w:sz w:val="20"/>
                <w:szCs w:val="20"/>
              </w:rPr>
              <w:t>t/a</w:t>
            </w:r>
          </w:p>
        </w:tc>
        <w:tc>
          <w:tcPr>
            <w:tcW w:w="1944" w:type="dxa"/>
            <w:vAlign w:val="top"/>
          </w:tcPr>
          <w:p w14:paraId="1F3F7A65">
            <w:pPr>
              <w:pStyle w:val="6"/>
              <w:spacing w:before="107" w:line="228" w:lineRule="auto"/>
              <w:ind w:left="324"/>
              <w:rPr>
                <w:rFonts w:ascii="Times New Roman" w:hAnsi="Times New Roman" w:eastAsia="Times New Roman" w:cs="Times New Roman"/>
                <w:sz w:val="20"/>
                <w:szCs w:val="20"/>
              </w:rPr>
            </w:pPr>
            <w:r>
              <w:rPr>
                <w:spacing w:val="5"/>
                <w:sz w:val="20"/>
                <w:szCs w:val="20"/>
              </w:rPr>
              <w:t>无组织总量</w:t>
            </w:r>
            <w:r>
              <w:rPr>
                <w:spacing w:val="-39"/>
                <w:sz w:val="20"/>
                <w:szCs w:val="20"/>
              </w:rPr>
              <w:t xml:space="preserve"> </w:t>
            </w:r>
            <w:r>
              <w:rPr>
                <w:rFonts w:ascii="Times New Roman" w:hAnsi="Times New Roman" w:eastAsia="Times New Roman" w:cs="Times New Roman"/>
                <w:spacing w:val="5"/>
                <w:sz w:val="20"/>
                <w:szCs w:val="20"/>
              </w:rPr>
              <w:t>t/a</w:t>
            </w:r>
          </w:p>
        </w:tc>
        <w:tc>
          <w:tcPr>
            <w:tcW w:w="1806" w:type="dxa"/>
            <w:vAlign w:val="top"/>
          </w:tcPr>
          <w:p w14:paraId="4F063C17">
            <w:pPr>
              <w:pStyle w:val="6"/>
              <w:spacing w:before="106" w:line="229" w:lineRule="auto"/>
              <w:ind w:left="363"/>
              <w:rPr>
                <w:rFonts w:ascii="Times New Roman" w:hAnsi="Times New Roman" w:eastAsia="Times New Roman" w:cs="Times New Roman"/>
                <w:sz w:val="20"/>
                <w:szCs w:val="20"/>
              </w:rPr>
            </w:pPr>
            <w:r>
              <w:rPr>
                <w:spacing w:val="5"/>
                <w:sz w:val="20"/>
                <w:szCs w:val="20"/>
              </w:rPr>
              <w:t>排放总量</w:t>
            </w:r>
            <w:r>
              <w:rPr>
                <w:spacing w:val="-46"/>
                <w:sz w:val="20"/>
                <w:szCs w:val="20"/>
              </w:rPr>
              <w:t xml:space="preserve"> </w:t>
            </w:r>
            <w:r>
              <w:rPr>
                <w:rFonts w:ascii="Times New Roman" w:hAnsi="Times New Roman" w:eastAsia="Times New Roman" w:cs="Times New Roman"/>
                <w:spacing w:val="5"/>
                <w:sz w:val="20"/>
                <w:szCs w:val="20"/>
              </w:rPr>
              <w:t>t/a</w:t>
            </w:r>
          </w:p>
        </w:tc>
        <w:tc>
          <w:tcPr>
            <w:tcW w:w="148" w:type="dxa"/>
            <w:vMerge w:val="restart"/>
            <w:tcBorders>
              <w:top w:val="nil"/>
              <w:bottom w:val="nil"/>
              <w:right w:val="single" w:color="000000" w:sz="6" w:space="0"/>
            </w:tcBorders>
            <w:vAlign w:val="top"/>
          </w:tcPr>
          <w:p w14:paraId="1662258A">
            <w:pPr>
              <w:rPr>
                <w:rFonts w:ascii="Arial"/>
                <w:sz w:val="21"/>
              </w:rPr>
            </w:pPr>
          </w:p>
        </w:tc>
      </w:tr>
      <w:tr w14:paraId="0583E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5D985622">
            <w:pPr>
              <w:rPr>
                <w:rFonts w:ascii="Arial"/>
                <w:sz w:val="21"/>
              </w:rPr>
            </w:pPr>
          </w:p>
        </w:tc>
        <w:tc>
          <w:tcPr>
            <w:tcW w:w="113" w:type="dxa"/>
            <w:tcBorders>
              <w:top w:val="nil"/>
              <w:bottom w:val="nil"/>
            </w:tcBorders>
            <w:vAlign w:val="top"/>
          </w:tcPr>
          <w:p w14:paraId="362EDBC0">
            <w:pPr>
              <w:rPr>
                <w:rFonts w:ascii="Arial"/>
                <w:sz w:val="21"/>
              </w:rPr>
            </w:pPr>
          </w:p>
        </w:tc>
        <w:tc>
          <w:tcPr>
            <w:tcW w:w="2371" w:type="dxa"/>
            <w:vAlign w:val="top"/>
          </w:tcPr>
          <w:p w14:paraId="60533311">
            <w:pPr>
              <w:pStyle w:val="6"/>
              <w:spacing w:before="106" w:line="228" w:lineRule="auto"/>
              <w:ind w:left="665"/>
              <w:rPr>
                <w:sz w:val="20"/>
                <w:szCs w:val="20"/>
              </w:rPr>
            </w:pPr>
            <w:r>
              <w:rPr>
                <w:spacing w:val="7"/>
                <w:sz w:val="20"/>
                <w:szCs w:val="20"/>
              </w:rPr>
              <w:t>非甲烷总烃</w:t>
            </w:r>
          </w:p>
        </w:tc>
        <w:tc>
          <w:tcPr>
            <w:tcW w:w="1804" w:type="dxa"/>
            <w:vAlign w:val="top"/>
          </w:tcPr>
          <w:p w14:paraId="046498DA">
            <w:pPr>
              <w:spacing w:before="142"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1.611</w:t>
            </w:r>
          </w:p>
        </w:tc>
        <w:tc>
          <w:tcPr>
            <w:tcW w:w="1944" w:type="dxa"/>
            <w:vAlign w:val="top"/>
          </w:tcPr>
          <w:p w14:paraId="1E4D2CCD">
            <w:pPr>
              <w:spacing w:before="142" w:line="195"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3.47</w:t>
            </w:r>
          </w:p>
        </w:tc>
        <w:tc>
          <w:tcPr>
            <w:tcW w:w="1806" w:type="dxa"/>
            <w:vAlign w:val="top"/>
          </w:tcPr>
          <w:p w14:paraId="75801F96">
            <w:pPr>
              <w:spacing w:before="142"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5.081</w:t>
            </w:r>
          </w:p>
        </w:tc>
        <w:tc>
          <w:tcPr>
            <w:tcW w:w="148" w:type="dxa"/>
            <w:vMerge w:val="continue"/>
            <w:tcBorders>
              <w:top w:val="nil"/>
              <w:bottom w:val="nil"/>
              <w:right w:val="single" w:color="000000" w:sz="6" w:space="0"/>
            </w:tcBorders>
            <w:vAlign w:val="top"/>
          </w:tcPr>
          <w:p w14:paraId="6CCCAA17">
            <w:pPr>
              <w:rPr>
                <w:rFonts w:ascii="Arial"/>
                <w:sz w:val="21"/>
              </w:rPr>
            </w:pPr>
          </w:p>
        </w:tc>
      </w:tr>
      <w:tr w14:paraId="372B7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2BC62F1A">
            <w:pPr>
              <w:rPr>
                <w:rFonts w:ascii="Arial"/>
                <w:sz w:val="21"/>
              </w:rPr>
            </w:pPr>
          </w:p>
        </w:tc>
        <w:tc>
          <w:tcPr>
            <w:tcW w:w="113" w:type="dxa"/>
            <w:tcBorders>
              <w:top w:val="nil"/>
              <w:bottom w:val="nil"/>
            </w:tcBorders>
            <w:vAlign w:val="top"/>
          </w:tcPr>
          <w:p w14:paraId="3DA7D19E">
            <w:pPr>
              <w:rPr>
                <w:rFonts w:ascii="Arial"/>
                <w:sz w:val="21"/>
              </w:rPr>
            </w:pPr>
          </w:p>
        </w:tc>
        <w:tc>
          <w:tcPr>
            <w:tcW w:w="2371" w:type="dxa"/>
            <w:vAlign w:val="top"/>
          </w:tcPr>
          <w:p w14:paraId="46A7ADA9">
            <w:pPr>
              <w:pStyle w:val="6"/>
              <w:spacing w:before="108" w:line="229" w:lineRule="auto"/>
              <w:ind w:left="874"/>
              <w:rPr>
                <w:sz w:val="20"/>
                <w:szCs w:val="20"/>
              </w:rPr>
            </w:pPr>
            <w:r>
              <w:rPr>
                <w:spacing w:val="5"/>
                <w:sz w:val="20"/>
                <w:szCs w:val="20"/>
              </w:rPr>
              <w:t>氯化氢</w:t>
            </w:r>
          </w:p>
        </w:tc>
        <w:tc>
          <w:tcPr>
            <w:tcW w:w="1804" w:type="dxa"/>
            <w:vAlign w:val="top"/>
          </w:tcPr>
          <w:p w14:paraId="226CD599">
            <w:pPr>
              <w:spacing w:before="144"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10.605</w:t>
            </w:r>
          </w:p>
        </w:tc>
        <w:tc>
          <w:tcPr>
            <w:tcW w:w="1944" w:type="dxa"/>
            <w:vAlign w:val="top"/>
          </w:tcPr>
          <w:p w14:paraId="468F5A23">
            <w:pPr>
              <w:spacing w:before="144" w:line="195" w:lineRule="auto"/>
              <w:ind w:left="706"/>
              <w:rPr>
                <w:rFonts w:ascii="Times New Roman" w:hAnsi="Times New Roman" w:eastAsia="Times New Roman" w:cs="Times New Roman"/>
                <w:sz w:val="20"/>
                <w:szCs w:val="20"/>
              </w:rPr>
            </w:pPr>
            <w:r>
              <w:rPr>
                <w:rFonts w:ascii="Times New Roman" w:hAnsi="Times New Roman" w:eastAsia="Times New Roman" w:cs="Times New Roman"/>
                <w:sz w:val="20"/>
                <w:szCs w:val="20"/>
              </w:rPr>
              <w:t>16.833</w:t>
            </w:r>
          </w:p>
        </w:tc>
        <w:tc>
          <w:tcPr>
            <w:tcW w:w="1806" w:type="dxa"/>
            <w:vAlign w:val="top"/>
          </w:tcPr>
          <w:p w14:paraId="516E3BA3">
            <w:pPr>
              <w:spacing w:before="144"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27.438</w:t>
            </w:r>
          </w:p>
        </w:tc>
        <w:tc>
          <w:tcPr>
            <w:tcW w:w="148" w:type="dxa"/>
            <w:vMerge w:val="continue"/>
            <w:tcBorders>
              <w:top w:val="nil"/>
              <w:bottom w:val="nil"/>
              <w:right w:val="single" w:color="000000" w:sz="6" w:space="0"/>
            </w:tcBorders>
            <w:vAlign w:val="top"/>
          </w:tcPr>
          <w:p w14:paraId="49B3C38A">
            <w:pPr>
              <w:rPr>
                <w:rFonts w:ascii="Arial"/>
                <w:sz w:val="21"/>
              </w:rPr>
            </w:pPr>
          </w:p>
        </w:tc>
      </w:tr>
      <w:tr w14:paraId="54008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08" w:type="dxa"/>
            <w:vMerge w:val="continue"/>
            <w:tcBorders>
              <w:top w:val="nil"/>
              <w:left w:val="single" w:color="000000" w:sz="6" w:space="0"/>
              <w:bottom w:val="single" w:color="000000" w:sz="6" w:space="0"/>
            </w:tcBorders>
            <w:vAlign w:val="top"/>
          </w:tcPr>
          <w:p w14:paraId="2291FF90">
            <w:pPr>
              <w:rPr>
                <w:rFonts w:ascii="Arial"/>
                <w:sz w:val="21"/>
              </w:rPr>
            </w:pPr>
          </w:p>
        </w:tc>
        <w:tc>
          <w:tcPr>
            <w:tcW w:w="113" w:type="dxa"/>
            <w:tcBorders>
              <w:top w:val="nil"/>
              <w:bottom w:val="single" w:color="000000" w:sz="6" w:space="0"/>
            </w:tcBorders>
            <w:vAlign w:val="top"/>
          </w:tcPr>
          <w:p w14:paraId="7F4E0591">
            <w:pPr>
              <w:rPr>
                <w:rFonts w:ascii="Arial"/>
                <w:sz w:val="21"/>
              </w:rPr>
            </w:pPr>
          </w:p>
        </w:tc>
        <w:tc>
          <w:tcPr>
            <w:tcW w:w="2371" w:type="dxa"/>
            <w:tcBorders>
              <w:bottom w:val="single" w:color="000000" w:sz="6" w:space="0"/>
            </w:tcBorders>
            <w:vAlign w:val="top"/>
          </w:tcPr>
          <w:p w14:paraId="14ED729E">
            <w:pPr>
              <w:pStyle w:val="6"/>
              <w:spacing w:before="109" w:line="228" w:lineRule="auto"/>
              <w:ind w:left="137"/>
              <w:rPr>
                <w:sz w:val="20"/>
                <w:szCs w:val="20"/>
              </w:rPr>
            </w:pPr>
            <w:r>
              <w:rPr>
                <w:spacing w:val="7"/>
                <w:sz w:val="20"/>
                <w:szCs w:val="20"/>
              </w:rPr>
              <w:t>氟化氢（以氟化物计）</w:t>
            </w:r>
          </w:p>
        </w:tc>
        <w:tc>
          <w:tcPr>
            <w:tcW w:w="1804" w:type="dxa"/>
            <w:tcBorders>
              <w:bottom w:val="single" w:color="000000" w:sz="6" w:space="0"/>
            </w:tcBorders>
            <w:vAlign w:val="top"/>
          </w:tcPr>
          <w:p w14:paraId="750B1723">
            <w:pPr>
              <w:spacing w:before="145"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2.407</w:t>
            </w:r>
          </w:p>
        </w:tc>
        <w:tc>
          <w:tcPr>
            <w:tcW w:w="1944" w:type="dxa"/>
            <w:tcBorders>
              <w:bottom w:val="single" w:color="000000" w:sz="6" w:space="0"/>
            </w:tcBorders>
            <w:vAlign w:val="top"/>
          </w:tcPr>
          <w:p w14:paraId="103AC6E5">
            <w:pPr>
              <w:spacing w:before="145"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1.671</w:t>
            </w:r>
          </w:p>
        </w:tc>
        <w:tc>
          <w:tcPr>
            <w:tcW w:w="1806" w:type="dxa"/>
            <w:tcBorders>
              <w:bottom w:val="single" w:color="000000" w:sz="6" w:space="0"/>
            </w:tcBorders>
            <w:vAlign w:val="top"/>
          </w:tcPr>
          <w:p w14:paraId="2C92F4B1">
            <w:pPr>
              <w:spacing w:before="145"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4.078</w:t>
            </w:r>
          </w:p>
        </w:tc>
        <w:tc>
          <w:tcPr>
            <w:tcW w:w="148" w:type="dxa"/>
            <w:vMerge w:val="continue"/>
            <w:tcBorders>
              <w:top w:val="nil"/>
              <w:bottom w:val="single" w:color="000000" w:sz="6" w:space="0"/>
              <w:right w:val="single" w:color="000000" w:sz="6" w:space="0"/>
            </w:tcBorders>
            <w:vAlign w:val="top"/>
          </w:tcPr>
          <w:p w14:paraId="692ECD8D">
            <w:pPr>
              <w:rPr>
                <w:rFonts w:ascii="Arial"/>
                <w:sz w:val="21"/>
              </w:rPr>
            </w:pPr>
          </w:p>
        </w:tc>
      </w:tr>
    </w:tbl>
    <w:p w14:paraId="67EDF855">
      <w:pPr>
        <w:rPr>
          <w:rFonts w:ascii="Arial"/>
          <w:sz w:val="21"/>
        </w:rPr>
      </w:pPr>
    </w:p>
    <w:p w14:paraId="73C78ED8">
      <w:pPr>
        <w:rPr>
          <w:rFonts w:ascii="Arial" w:hAnsi="Arial" w:eastAsia="Arial" w:cs="Arial"/>
          <w:sz w:val="21"/>
          <w:szCs w:val="21"/>
        </w:rPr>
        <w:sectPr>
          <w:footerReference r:id="rId60" w:type="default"/>
          <w:pgSz w:w="11907" w:h="16840"/>
          <w:pgMar w:top="400" w:right="1449" w:bottom="1240" w:left="1278" w:header="0" w:footer="1077" w:gutter="0"/>
          <w:cols w:space="720" w:num="1"/>
        </w:sectPr>
      </w:pPr>
    </w:p>
    <w:p w14:paraId="221CB2C0">
      <w:pPr>
        <w:spacing w:before="19"/>
      </w:pPr>
    </w:p>
    <w:p w14:paraId="32FC33D8">
      <w:pPr>
        <w:spacing w:before="19"/>
      </w:pPr>
    </w:p>
    <w:p w14:paraId="2DDD0BF0">
      <w:pPr>
        <w:spacing w:before="19"/>
      </w:pPr>
    </w:p>
    <w:p w14:paraId="322BB01A">
      <w:pPr>
        <w:spacing w:before="18"/>
      </w:pPr>
    </w:p>
    <w:p w14:paraId="5608CA66">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3"/>
        <w:gridCol w:w="2371"/>
        <w:gridCol w:w="1804"/>
        <w:gridCol w:w="1944"/>
        <w:gridCol w:w="1806"/>
        <w:gridCol w:w="148"/>
      </w:tblGrid>
      <w:tr w14:paraId="0C5C4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08" w:type="dxa"/>
            <w:vMerge w:val="restart"/>
            <w:tcBorders>
              <w:top w:val="single" w:color="000000" w:sz="6" w:space="0"/>
              <w:left w:val="single" w:color="000000" w:sz="6" w:space="0"/>
              <w:bottom w:val="nil"/>
            </w:tcBorders>
            <w:vAlign w:val="top"/>
          </w:tcPr>
          <w:p w14:paraId="2BB91F41">
            <w:pPr>
              <w:rPr>
                <w:rFonts w:ascii="Arial"/>
                <w:sz w:val="21"/>
              </w:rPr>
            </w:pPr>
          </w:p>
        </w:tc>
        <w:tc>
          <w:tcPr>
            <w:tcW w:w="113" w:type="dxa"/>
            <w:tcBorders>
              <w:top w:val="single" w:color="000000" w:sz="6" w:space="0"/>
              <w:bottom w:val="nil"/>
            </w:tcBorders>
            <w:vAlign w:val="top"/>
          </w:tcPr>
          <w:p w14:paraId="7D4ED21C">
            <w:pPr>
              <w:rPr>
                <w:rFonts w:ascii="Arial"/>
                <w:sz w:val="21"/>
              </w:rPr>
            </w:pPr>
          </w:p>
        </w:tc>
        <w:tc>
          <w:tcPr>
            <w:tcW w:w="2371" w:type="dxa"/>
            <w:tcBorders>
              <w:top w:val="single" w:color="000000" w:sz="6" w:space="0"/>
            </w:tcBorders>
            <w:vAlign w:val="top"/>
          </w:tcPr>
          <w:p w14:paraId="71D88C93">
            <w:pPr>
              <w:pStyle w:val="6"/>
              <w:spacing w:before="109" w:line="229" w:lineRule="auto"/>
              <w:ind w:left="870"/>
              <w:rPr>
                <w:sz w:val="20"/>
                <w:szCs w:val="20"/>
              </w:rPr>
            </w:pPr>
            <w:r>
              <w:rPr>
                <w:spacing w:val="7"/>
                <w:sz w:val="20"/>
                <w:szCs w:val="20"/>
              </w:rPr>
              <w:t>硫酸雾</w:t>
            </w:r>
          </w:p>
        </w:tc>
        <w:tc>
          <w:tcPr>
            <w:tcW w:w="1804" w:type="dxa"/>
            <w:tcBorders>
              <w:top w:val="single" w:color="000000" w:sz="6" w:space="0"/>
            </w:tcBorders>
            <w:vAlign w:val="top"/>
          </w:tcPr>
          <w:p w14:paraId="48A5CFB6">
            <w:pPr>
              <w:spacing w:before="145"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0.262</w:t>
            </w:r>
          </w:p>
        </w:tc>
        <w:tc>
          <w:tcPr>
            <w:tcW w:w="1944" w:type="dxa"/>
            <w:tcBorders>
              <w:top w:val="single" w:color="000000" w:sz="6" w:space="0"/>
            </w:tcBorders>
            <w:vAlign w:val="top"/>
          </w:tcPr>
          <w:p w14:paraId="0D7DB966">
            <w:pPr>
              <w:spacing w:before="145"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0.243</w:t>
            </w:r>
          </w:p>
        </w:tc>
        <w:tc>
          <w:tcPr>
            <w:tcW w:w="1806" w:type="dxa"/>
            <w:tcBorders>
              <w:top w:val="single" w:color="000000" w:sz="6" w:space="0"/>
            </w:tcBorders>
            <w:vAlign w:val="top"/>
          </w:tcPr>
          <w:p w14:paraId="01AA5AE6">
            <w:pPr>
              <w:spacing w:before="145"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0.505</w:t>
            </w:r>
          </w:p>
        </w:tc>
        <w:tc>
          <w:tcPr>
            <w:tcW w:w="148" w:type="dxa"/>
            <w:tcBorders>
              <w:top w:val="single" w:color="000000" w:sz="6" w:space="0"/>
              <w:bottom w:val="nil"/>
              <w:right w:val="single" w:color="000000" w:sz="6" w:space="0"/>
            </w:tcBorders>
            <w:vAlign w:val="top"/>
          </w:tcPr>
          <w:p w14:paraId="3EB7C496">
            <w:pPr>
              <w:rPr>
                <w:rFonts w:ascii="Arial"/>
                <w:sz w:val="21"/>
              </w:rPr>
            </w:pPr>
          </w:p>
        </w:tc>
      </w:tr>
      <w:tr w14:paraId="133D8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08" w:type="dxa"/>
            <w:vMerge w:val="continue"/>
            <w:tcBorders>
              <w:top w:val="nil"/>
              <w:left w:val="single" w:color="000000" w:sz="6" w:space="0"/>
              <w:bottom w:val="nil"/>
            </w:tcBorders>
            <w:vAlign w:val="top"/>
          </w:tcPr>
          <w:p w14:paraId="46FE2DFA">
            <w:pPr>
              <w:rPr>
                <w:rFonts w:ascii="Arial"/>
                <w:sz w:val="21"/>
              </w:rPr>
            </w:pPr>
          </w:p>
        </w:tc>
        <w:tc>
          <w:tcPr>
            <w:tcW w:w="113" w:type="dxa"/>
            <w:tcBorders>
              <w:top w:val="nil"/>
              <w:bottom w:val="nil"/>
            </w:tcBorders>
            <w:vAlign w:val="top"/>
          </w:tcPr>
          <w:p w14:paraId="793A3BA4">
            <w:pPr>
              <w:rPr>
                <w:rFonts w:ascii="Arial"/>
                <w:sz w:val="21"/>
              </w:rPr>
            </w:pPr>
          </w:p>
        </w:tc>
        <w:tc>
          <w:tcPr>
            <w:tcW w:w="2371" w:type="dxa"/>
            <w:vAlign w:val="top"/>
          </w:tcPr>
          <w:p w14:paraId="6ACBD33D">
            <w:pPr>
              <w:pStyle w:val="6"/>
              <w:spacing w:before="94" w:line="227" w:lineRule="auto"/>
              <w:ind w:left="713"/>
              <w:rPr>
                <w:rFonts w:ascii="Times New Roman" w:hAnsi="Times New Roman" w:eastAsia="Times New Roman" w:cs="Times New Roman"/>
                <w:sz w:val="20"/>
                <w:szCs w:val="20"/>
              </w:rPr>
            </w:pPr>
            <w:r>
              <w:rPr>
                <w:spacing w:val="7"/>
                <w:sz w:val="20"/>
                <w:szCs w:val="20"/>
              </w:rPr>
              <w:t>氮氧化物</w:t>
            </w:r>
            <w:r>
              <w:rPr>
                <w:rFonts w:ascii="Times New Roman" w:hAnsi="Times New Roman" w:eastAsia="Times New Roman" w:cs="Times New Roman"/>
                <w:spacing w:val="7"/>
                <w:sz w:val="20"/>
                <w:szCs w:val="20"/>
              </w:rPr>
              <w:t>*</w:t>
            </w:r>
          </w:p>
        </w:tc>
        <w:tc>
          <w:tcPr>
            <w:tcW w:w="1804" w:type="dxa"/>
            <w:vAlign w:val="top"/>
          </w:tcPr>
          <w:p w14:paraId="2C82B54E">
            <w:pPr>
              <w:spacing w:before="130"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1.663</w:t>
            </w:r>
          </w:p>
        </w:tc>
        <w:tc>
          <w:tcPr>
            <w:tcW w:w="1944" w:type="dxa"/>
            <w:vAlign w:val="top"/>
          </w:tcPr>
          <w:p w14:paraId="68C98965">
            <w:pPr>
              <w:spacing w:before="130"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1.228</w:t>
            </w:r>
          </w:p>
        </w:tc>
        <w:tc>
          <w:tcPr>
            <w:tcW w:w="1806" w:type="dxa"/>
            <w:vAlign w:val="top"/>
          </w:tcPr>
          <w:p w14:paraId="45294ECA">
            <w:pPr>
              <w:spacing w:before="130"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2.891</w:t>
            </w:r>
          </w:p>
        </w:tc>
        <w:tc>
          <w:tcPr>
            <w:tcW w:w="148" w:type="dxa"/>
            <w:tcBorders>
              <w:top w:val="nil"/>
              <w:bottom w:val="nil"/>
              <w:right w:val="single" w:color="000000" w:sz="6" w:space="0"/>
            </w:tcBorders>
            <w:vAlign w:val="top"/>
          </w:tcPr>
          <w:p w14:paraId="0BC4F1F5">
            <w:pPr>
              <w:rPr>
                <w:rFonts w:ascii="Arial"/>
                <w:sz w:val="21"/>
              </w:rPr>
            </w:pPr>
          </w:p>
        </w:tc>
      </w:tr>
      <w:tr w14:paraId="097F5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A19D7DF">
            <w:pPr>
              <w:rPr>
                <w:rFonts w:ascii="Arial"/>
                <w:sz w:val="21"/>
              </w:rPr>
            </w:pPr>
          </w:p>
        </w:tc>
        <w:tc>
          <w:tcPr>
            <w:tcW w:w="113" w:type="dxa"/>
            <w:tcBorders>
              <w:top w:val="nil"/>
              <w:bottom w:val="nil"/>
            </w:tcBorders>
            <w:vAlign w:val="top"/>
          </w:tcPr>
          <w:p w14:paraId="48514C7A">
            <w:pPr>
              <w:rPr>
                <w:rFonts w:ascii="Arial"/>
                <w:sz w:val="21"/>
              </w:rPr>
            </w:pPr>
          </w:p>
        </w:tc>
        <w:tc>
          <w:tcPr>
            <w:tcW w:w="2371" w:type="dxa"/>
            <w:vAlign w:val="top"/>
          </w:tcPr>
          <w:p w14:paraId="152F56AB">
            <w:pPr>
              <w:pStyle w:val="6"/>
              <w:spacing w:before="97" w:line="227" w:lineRule="auto"/>
              <w:ind w:left="768"/>
              <w:rPr>
                <w:sz w:val="20"/>
                <w:szCs w:val="20"/>
              </w:rPr>
            </w:pPr>
            <w:r>
              <w:rPr>
                <w:spacing w:val="6"/>
                <w:sz w:val="20"/>
                <w:szCs w:val="20"/>
              </w:rPr>
              <w:t>二氧化硫</w:t>
            </w:r>
          </w:p>
        </w:tc>
        <w:tc>
          <w:tcPr>
            <w:tcW w:w="1804" w:type="dxa"/>
            <w:vAlign w:val="top"/>
          </w:tcPr>
          <w:p w14:paraId="053ED32E">
            <w:pPr>
              <w:spacing w:before="133"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0.0018</w:t>
            </w:r>
          </w:p>
        </w:tc>
        <w:tc>
          <w:tcPr>
            <w:tcW w:w="1944" w:type="dxa"/>
            <w:vAlign w:val="top"/>
          </w:tcPr>
          <w:p w14:paraId="53B22CBE">
            <w:pPr>
              <w:spacing w:before="133"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806" w:type="dxa"/>
            <w:vAlign w:val="top"/>
          </w:tcPr>
          <w:p w14:paraId="1BC812EB">
            <w:pPr>
              <w:spacing w:before="133"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w:t>
            </w:r>
          </w:p>
        </w:tc>
        <w:tc>
          <w:tcPr>
            <w:tcW w:w="148" w:type="dxa"/>
            <w:tcBorders>
              <w:top w:val="nil"/>
              <w:bottom w:val="nil"/>
              <w:right w:val="single" w:color="000000" w:sz="6" w:space="0"/>
            </w:tcBorders>
            <w:vAlign w:val="top"/>
          </w:tcPr>
          <w:p w14:paraId="6FA10D08">
            <w:pPr>
              <w:rPr>
                <w:rFonts w:ascii="Arial"/>
                <w:sz w:val="21"/>
              </w:rPr>
            </w:pPr>
          </w:p>
        </w:tc>
      </w:tr>
      <w:tr w14:paraId="490CD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5502DC5C">
            <w:pPr>
              <w:rPr>
                <w:rFonts w:ascii="Arial"/>
                <w:sz w:val="21"/>
              </w:rPr>
            </w:pPr>
          </w:p>
        </w:tc>
        <w:tc>
          <w:tcPr>
            <w:tcW w:w="113" w:type="dxa"/>
            <w:tcBorders>
              <w:top w:val="nil"/>
              <w:bottom w:val="nil"/>
            </w:tcBorders>
            <w:vAlign w:val="top"/>
          </w:tcPr>
          <w:p w14:paraId="3C68740B">
            <w:pPr>
              <w:rPr>
                <w:rFonts w:ascii="Arial"/>
                <w:sz w:val="21"/>
              </w:rPr>
            </w:pPr>
          </w:p>
        </w:tc>
        <w:tc>
          <w:tcPr>
            <w:tcW w:w="2371" w:type="dxa"/>
            <w:vAlign w:val="top"/>
          </w:tcPr>
          <w:p w14:paraId="4B67D97C">
            <w:pPr>
              <w:pStyle w:val="6"/>
              <w:spacing w:before="98" w:line="228" w:lineRule="auto"/>
              <w:ind w:left="870"/>
              <w:rPr>
                <w:sz w:val="20"/>
                <w:szCs w:val="20"/>
              </w:rPr>
            </w:pPr>
            <w:r>
              <w:rPr>
                <w:spacing w:val="7"/>
                <w:sz w:val="20"/>
                <w:szCs w:val="20"/>
              </w:rPr>
              <w:t>颗粒物</w:t>
            </w:r>
          </w:p>
        </w:tc>
        <w:tc>
          <w:tcPr>
            <w:tcW w:w="1804" w:type="dxa"/>
            <w:vAlign w:val="top"/>
          </w:tcPr>
          <w:p w14:paraId="356F5468">
            <w:pPr>
              <w:spacing w:before="133"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1944" w:type="dxa"/>
            <w:vAlign w:val="top"/>
          </w:tcPr>
          <w:p w14:paraId="4860B019">
            <w:pPr>
              <w:spacing w:before="133"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806" w:type="dxa"/>
            <w:vAlign w:val="top"/>
          </w:tcPr>
          <w:p w14:paraId="1F16F608">
            <w:pPr>
              <w:spacing w:before="133"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48" w:type="dxa"/>
            <w:tcBorders>
              <w:top w:val="nil"/>
              <w:bottom w:val="nil"/>
              <w:right w:val="single" w:color="000000" w:sz="6" w:space="0"/>
            </w:tcBorders>
            <w:vAlign w:val="top"/>
          </w:tcPr>
          <w:p w14:paraId="124F508D">
            <w:pPr>
              <w:rPr>
                <w:rFonts w:ascii="Arial"/>
                <w:sz w:val="21"/>
              </w:rPr>
            </w:pPr>
          </w:p>
        </w:tc>
      </w:tr>
      <w:tr w14:paraId="6301C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8" w:hRule="atLeast"/>
        </w:trPr>
        <w:tc>
          <w:tcPr>
            <w:tcW w:w="808" w:type="dxa"/>
            <w:vMerge w:val="continue"/>
            <w:tcBorders>
              <w:top w:val="nil"/>
              <w:left w:val="single" w:color="000000" w:sz="6" w:space="0"/>
              <w:bottom w:val="single" w:color="000000" w:sz="6" w:space="0"/>
            </w:tcBorders>
            <w:vAlign w:val="top"/>
          </w:tcPr>
          <w:p w14:paraId="63AB60C8">
            <w:pPr>
              <w:rPr>
                <w:rFonts w:ascii="Arial"/>
                <w:sz w:val="21"/>
              </w:rPr>
            </w:pPr>
          </w:p>
        </w:tc>
        <w:tc>
          <w:tcPr>
            <w:tcW w:w="8186" w:type="dxa"/>
            <w:gridSpan w:val="6"/>
            <w:tcBorders>
              <w:bottom w:val="single" w:color="000000" w:sz="6" w:space="0"/>
              <w:right w:val="single" w:color="000000" w:sz="6" w:space="0"/>
            </w:tcBorders>
            <w:vAlign w:val="top"/>
          </w:tcPr>
          <w:p w14:paraId="4E50AA6A">
            <w:pPr>
              <w:spacing w:before="156" w:line="229" w:lineRule="auto"/>
              <w:ind w:left="538"/>
              <w:rPr>
                <w:rFonts w:ascii="楷体" w:hAnsi="楷体" w:eastAsia="楷体" w:cs="楷体"/>
                <w:sz w:val="20"/>
                <w:szCs w:val="20"/>
              </w:rPr>
            </w:pPr>
            <w:r>
              <w:rPr>
                <w:rFonts w:ascii="楷体" w:hAnsi="楷体" w:eastAsia="楷体" w:cs="楷体"/>
                <w:spacing w:val="9"/>
                <w:sz w:val="20"/>
                <w:szCs w:val="20"/>
              </w:rPr>
              <w:t>注：氮氧化物包括两部分，硝酸雾挥发排放的量和液化石油气燃烧排放的量。</w:t>
            </w:r>
          </w:p>
          <w:p w14:paraId="4BB459B5">
            <w:pPr>
              <w:pStyle w:val="6"/>
              <w:spacing w:before="285" w:line="219" w:lineRule="auto"/>
              <w:ind w:left="600"/>
            </w:pPr>
            <w:r>
              <w:rPr>
                <w:spacing w:val="-2"/>
              </w:rPr>
              <w:t>（</w:t>
            </w:r>
            <w:r>
              <w:rPr>
                <w:rFonts w:ascii="Times New Roman" w:hAnsi="Times New Roman" w:eastAsia="Times New Roman" w:cs="Times New Roman"/>
                <w:spacing w:val="-2"/>
              </w:rPr>
              <w:t>3</w:t>
            </w:r>
            <w:r>
              <w:rPr>
                <w:spacing w:val="-2"/>
              </w:rPr>
              <w:t>）固体废弃物排放总量控制指标</w:t>
            </w:r>
          </w:p>
          <w:p w14:paraId="015A7BAA">
            <w:pPr>
              <w:pStyle w:val="6"/>
              <w:spacing w:before="182" w:line="219" w:lineRule="auto"/>
              <w:ind w:left="590"/>
              <w:outlineLvl w:val="0"/>
            </w:pPr>
            <w:bookmarkStart w:id="3" w:name="bookmark4"/>
            <w:bookmarkEnd w:id="3"/>
            <w:r>
              <w:t>本项目固体废物不自行处理排放，故不设置</w:t>
            </w:r>
            <w:r>
              <w:rPr>
                <w:spacing w:val="-1"/>
              </w:rPr>
              <w:t>固体废弃物总量控制指标。</w:t>
            </w:r>
          </w:p>
        </w:tc>
      </w:tr>
    </w:tbl>
    <w:p w14:paraId="64961C6C">
      <w:pPr>
        <w:rPr>
          <w:rFonts w:ascii="Arial"/>
          <w:sz w:val="21"/>
        </w:rPr>
      </w:pPr>
    </w:p>
    <w:p w14:paraId="64B526F4">
      <w:pPr>
        <w:rPr>
          <w:rFonts w:ascii="Arial" w:hAnsi="Arial" w:eastAsia="Arial" w:cs="Arial"/>
          <w:sz w:val="21"/>
          <w:szCs w:val="21"/>
        </w:rPr>
        <w:sectPr>
          <w:footerReference r:id="rId61" w:type="default"/>
          <w:pgSz w:w="11907" w:h="16840"/>
          <w:pgMar w:top="400" w:right="1449" w:bottom="1240" w:left="1448" w:header="0" w:footer="1077" w:gutter="0"/>
          <w:cols w:space="720" w:num="1"/>
        </w:sectPr>
      </w:pPr>
    </w:p>
    <w:p w14:paraId="1BA32F44">
      <w:pPr>
        <w:spacing w:line="272" w:lineRule="auto"/>
        <w:rPr>
          <w:rFonts w:ascii="Arial"/>
          <w:sz w:val="21"/>
        </w:rPr>
      </w:pPr>
    </w:p>
    <w:p w14:paraId="487F17A1">
      <w:pPr>
        <w:spacing w:line="272" w:lineRule="auto"/>
        <w:rPr>
          <w:rFonts w:ascii="Arial"/>
          <w:sz w:val="21"/>
        </w:rPr>
      </w:pPr>
    </w:p>
    <w:p w14:paraId="24C79B2D">
      <w:pPr>
        <w:spacing w:line="272" w:lineRule="auto"/>
        <w:rPr>
          <w:rFonts w:ascii="Arial"/>
          <w:sz w:val="21"/>
        </w:rPr>
      </w:pPr>
    </w:p>
    <w:p w14:paraId="5431982D">
      <w:pPr>
        <w:spacing w:line="272" w:lineRule="auto"/>
        <w:rPr>
          <w:rFonts w:ascii="Arial"/>
          <w:sz w:val="21"/>
        </w:rPr>
      </w:pPr>
    </w:p>
    <w:p w14:paraId="3CDE7E45">
      <w:pPr>
        <w:spacing w:line="273" w:lineRule="auto"/>
        <w:rPr>
          <w:rFonts w:ascii="Arial"/>
          <w:sz w:val="21"/>
        </w:rPr>
      </w:pPr>
    </w:p>
    <w:p w14:paraId="37A3F6FC">
      <w:pPr>
        <w:spacing w:before="98" w:line="220" w:lineRule="auto"/>
        <w:ind w:left="2543"/>
        <w:outlineLvl w:val="0"/>
        <w:rPr>
          <w:rFonts w:ascii="宋体" w:hAnsi="宋体" w:eastAsia="宋体" w:cs="宋体"/>
          <w:sz w:val="30"/>
          <w:szCs w:val="30"/>
        </w:rPr>
      </w:pPr>
      <w:bookmarkStart w:id="4" w:name="bookmark11"/>
      <w:bookmarkEnd w:id="4"/>
      <w:r>
        <w:rPr>
          <w:rFonts w:ascii="宋体" w:hAnsi="宋体" w:eastAsia="宋体" w:cs="宋体"/>
          <w:spacing w:val="-4"/>
          <w:sz w:val="30"/>
          <w:szCs w:val="30"/>
        </w:rPr>
        <w:t>四、主要环境影响和保护措施</w:t>
      </w:r>
    </w:p>
    <w:p w14:paraId="5261C73B">
      <w:pPr>
        <w:spacing w:line="176" w:lineRule="exact"/>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7DDCA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7" w:hRule="atLeast"/>
        </w:trPr>
        <w:tc>
          <w:tcPr>
            <w:tcW w:w="754" w:type="dxa"/>
            <w:tcBorders>
              <w:right w:val="single" w:color="000000" w:sz="2" w:space="0"/>
            </w:tcBorders>
            <w:vAlign w:val="top"/>
          </w:tcPr>
          <w:p w14:paraId="2DB9B9BB">
            <w:pPr>
              <w:spacing w:line="247" w:lineRule="auto"/>
              <w:rPr>
                <w:rFonts w:ascii="Arial"/>
                <w:sz w:val="21"/>
              </w:rPr>
            </w:pPr>
          </w:p>
          <w:p w14:paraId="3B158F2A">
            <w:pPr>
              <w:spacing w:line="247" w:lineRule="auto"/>
              <w:rPr>
                <w:rFonts w:ascii="Arial"/>
                <w:sz w:val="21"/>
              </w:rPr>
            </w:pPr>
          </w:p>
          <w:p w14:paraId="7847CE8A">
            <w:pPr>
              <w:spacing w:line="247" w:lineRule="auto"/>
              <w:rPr>
                <w:rFonts w:ascii="Arial"/>
                <w:sz w:val="21"/>
              </w:rPr>
            </w:pPr>
          </w:p>
          <w:p w14:paraId="177A4A58">
            <w:pPr>
              <w:spacing w:line="247" w:lineRule="auto"/>
              <w:rPr>
                <w:rFonts w:ascii="Arial"/>
                <w:sz w:val="21"/>
              </w:rPr>
            </w:pPr>
          </w:p>
          <w:p w14:paraId="05667DF8">
            <w:pPr>
              <w:spacing w:line="247" w:lineRule="auto"/>
              <w:rPr>
                <w:rFonts w:ascii="Arial"/>
                <w:sz w:val="21"/>
              </w:rPr>
            </w:pPr>
          </w:p>
          <w:p w14:paraId="67762B1F">
            <w:pPr>
              <w:spacing w:line="247" w:lineRule="auto"/>
              <w:rPr>
                <w:rFonts w:ascii="Arial"/>
                <w:sz w:val="21"/>
              </w:rPr>
            </w:pPr>
          </w:p>
          <w:p w14:paraId="2590DCBD">
            <w:pPr>
              <w:spacing w:line="247" w:lineRule="auto"/>
              <w:rPr>
                <w:rFonts w:ascii="Arial"/>
                <w:sz w:val="21"/>
              </w:rPr>
            </w:pPr>
          </w:p>
          <w:p w14:paraId="1BA49846">
            <w:pPr>
              <w:spacing w:line="247" w:lineRule="auto"/>
              <w:rPr>
                <w:rFonts w:ascii="Arial"/>
                <w:sz w:val="21"/>
              </w:rPr>
            </w:pPr>
          </w:p>
          <w:p w14:paraId="20D8A58A">
            <w:pPr>
              <w:spacing w:line="247" w:lineRule="auto"/>
              <w:rPr>
                <w:rFonts w:ascii="Arial"/>
                <w:sz w:val="21"/>
              </w:rPr>
            </w:pPr>
          </w:p>
          <w:p w14:paraId="3D73C7EF">
            <w:pPr>
              <w:spacing w:line="247" w:lineRule="auto"/>
              <w:rPr>
                <w:rFonts w:ascii="Arial"/>
                <w:sz w:val="21"/>
              </w:rPr>
            </w:pPr>
          </w:p>
          <w:p w14:paraId="41E3817C">
            <w:pPr>
              <w:spacing w:line="247" w:lineRule="auto"/>
              <w:rPr>
                <w:rFonts w:ascii="Arial"/>
                <w:sz w:val="21"/>
              </w:rPr>
            </w:pPr>
          </w:p>
          <w:p w14:paraId="1A770FEA">
            <w:pPr>
              <w:spacing w:line="247" w:lineRule="auto"/>
              <w:rPr>
                <w:rFonts w:ascii="Arial"/>
                <w:sz w:val="21"/>
              </w:rPr>
            </w:pPr>
          </w:p>
          <w:p w14:paraId="62D650FD">
            <w:pPr>
              <w:spacing w:line="247" w:lineRule="auto"/>
              <w:rPr>
                <w:rFonts w:ascii="Arial"/>
                <w:sz w:val="21"/>
              </w:rPr>
            </w:pPr>
          </w:p>
          <w:p w14:paraId="3E15661A">
            <w:pPr>
              <w:spacing w:line="247" w:lineRule="auto"/>
              <w:rPr>
                <w:rFonts w:ascii="Arial"/>
                <w:sz w:val="21"/>
              </w:rPr>
            </w:pPr>
          </w:p>
          <w:p w14:paraId="7EB0E990">
            <w:pPr>
              <w:spacing w:line="247" w:lineRule="auto"/>
              <w:rPr>
                <w:rFonts w:ascii="Arial"/>
                <w:sz w:val="21"/>
              </w:rPr>
            </w:pPr>
          </w:p>
          <w:p w14:paraId="3FFBCD1C">
            <w:pPr>
              <w:spacing w:line="247" w:lineRule="auto"/>
              <w:rPr>
                <w:rFonts w:ascii="Arial"/>
                <w:sz w:val="21"/>
              </w:rPr>
            </w:pPr>
          </w:p>
          <w:p w14:paraId="0BAE7A5D">
            <w:pPr>
              <w:spacing w:line="247" w:lineRule="auto"/>
              <w:rPr>
                <w:rFonts w:ascii="Arial"/>
                <w:sz w:val="21"/>
              </w:rPr>
            </w:pPr>
          </w:p>
          <w:p w14:paraId="0292F693">
            <w:pPr>
              <w:spacing w:line="247" w:lineRule="auto"/>
              <w:rPr>
                <w:rFonts w:ascii="Arial"/>
                <w:sz w:val="21"/>
              </w:rPr>
            </w:pPr>
          </w:p>
          <w:p w14:paraId="03AACEF7">
            <w:pPr>
              <w:spacing w:line="247" w:lineRule="auto"/>
              <w:rPr>
                <w:rFonts w:ascii="Arial"/>
                <w:sz w:val="21"/>
              </w:rPr>
            </w:pPr>
          </w:p>
          <w:p w14:paraId="012566EE">
            <w:pPr>
              <w:spacing w:line="247" w:lineRule="auto"/>
              <w:rPr>
                <w:rFonts w:ascii="Arial"/>
                <w:sz w:val="21"/>
              </w:rPr>
            </w:pPr>
          </w:p>
          <w:p w14:paraId="4FBF51A8">
            <w:pPr>
              <w:spacing w:line="247" w:lineRule="auto"/>
              <w:rPr>
                <w:rFonts w:ascii="Arial"/>
                <w:sz w:val="21"/>
              </w:rPr>
            </w:pPr>
          </w:p>
          <w:p w14:paraId="7404C406">
            <w:pPr>
              <w:spacing w:line="247" w:lineRule="auto"/>
              <w:rPr>
                <w:rFonts w:ascii="Arial"/>
                <w:sz w:val="21"/>
              </w:rPr>
            </w:pPr>
          </w:p>
          <w:p w14:paraId="3A3431DF">
            <w:pPr>
              <w:pStyle w:val="6"/>
              <w:spacing w:before="78" w:line="222" w:lineRule="auto"/>
              <w:ind w:left="135"/>
            </w:pPr>
            <w:r>
              <w:rPr>
                <w:spacing w:val="-5"/>
              </w:rPr>
              <w:t>施工</w:t>
            </w:r>
          </w:p>
          <w:p w14:paraId="298F0B06">
            <w:pPr>
              <w:pStyle w:val="6"/>
              <w:spacing w:before="20" w:line="220" w:lineRule="auto"/>
              <w:ind w:left="139"/>
            </w:pPr>
            <w:r>
              <w:rPr>
                <w:spacing w:val="-7"/>
              </w:rPr>
              <w:t>期环</w:t>
            </w:r>
          </w:p>
          <w:p w14:paraId="6A40E2C1">
            <w:pPr>
              <w:pStyle w:val="6"/>
              <w:spacing w:before="26" w:line="220" w:lineRule="auto"/>
              <w:ind w:left="137"/>
            </w:pPr>
            <w:r>
              <w:rPr>
                <w:spacing w:val="-6"/>
              </w:rPr>
              <w:t>境保</w:t>
            </w:r>
          </w:p>
          <w:p w14:paraId="5D159A83">
            <w:pPr>
              <w:pStyle w:val="6"/>
              <w:spacing w:before="24" w:line="244" w:lineRule="auto"/>
              <w:ind w:left="255" w:right="136" w:hanging="118"/>
            </w:pPr>
            <w:r>
              <w:rPr>
                <w:spacing w:val="-6"/>
              </w:rPr>
              <w:t>护措</w:t>
            </w:r>
            <w:r>
              <w:t xml:space="preserve"> 施</w:t>
            </w:r>
          </w:p>
        </w:tc>
        <w:tc>
          <w:tcPr>
            <w:tcW w:w="8139" w:type="dxa"/>
            <w:tcBorders>
              <w:left w:val="single" w:color="000000" w:sz="2" w:space="0"/>
            </w:tcBorders>
            <w:vAlign w:val="top"/>
          </w:tcPr>
          <w:p w14:paraId="4652CB20">
            <w:pPr>
              <w:pStyle w:val="6"/>
              <w:spacing w:before="160" w:line="383" w:lineRule="auto"/>
              <w:ind w:left="110" w:right="103" w:firstLine="482"/>
              <w:jc w:val="both"/>
            </w:pPr>
            <w:r>
              <w:rPr>
                <w:spacing w:val="-3"/>
              </w:rPr>
              <w:t>项目施工期主体工程为新改扩建</w:t>
            </w:r>
            <w:r>
              <w:rPr>
                <w:spacing w:val="-31"/>
              </w:rPr>
              <w:t xml:space="preserve"> </w:t>
            </w:r>
            <w:r>
              <w:rPr>
                <w:rFonts w:ascii="Times New Roman" w:hAnsi="Times New Roman" w:eastAsia="Times New Roman" w:cs="Times New Roman"/>
                <w:spacing w:val="-3"/>
              </w:rPr>
              <w:t>5#</w:t>
            </w:r>
            <w:r>
              <w:rPr>
                <w:spacing w:val="-3"/>
              </w:rPr>
              <w:t>楼注胶车间楼、</w:t>
            </w:r>
            <w:r>
              <w:rPr>
                <w:rFonts w:ascii="Times New Roman" w:hAnsi="Times New Roman" w:eastAsia="Times New Roman" w:cs="Times New Roman"/>
                <w:spacing w:val="-3"/>
              </w:rPr>
              <w:t>4#</w:t>
            </w:r>
            <w:r>
              <w:rPr>
                <w:spacing w:val="-3"/>
              </w:rPr>
              <w:t>楼泡酸车间楼，全</w:t>
            </w:r>
            <w:r>
              <w:t xml:space="preserve"> 部为钢砼结构建筑，辅助工程为新建化学品仓库</w:t>
            </w:r>
            <w:r>
              <w:rPr>
                <w:spacing w:val="-1"/>
              </w:rPr>
              <w:t>和事故应急池、环保工程为</w:t>
            </w:r>
            <w:r>
              <w:t xml:space="preserve"> 新建废水处理站，施工期短，施工工艺简单，产</w:t>
            </w:r>
            <w:r>
              <w:rPr>
                <w:spacing w:val="-1"/>
              </w:rPr>
              <w:t>生的污染影响比较小，在采</w:t>
            </w:r>
            <w:r>
              <w:t xml:space="preserve"> </w:t>
            </w:r>
            <w:r>
              <w:rPr>
                <w:spacing w:val="-1"/>
              </w:rPr>
              <w:t>取相应的环保措施后，环境可以接受。具体措施如下：</w:t>
            </w:r>
          </w:p>
          <w:p w14:paraId="745E6E84">
            <w:pPr>
              <w:pStyle w:val="6"/>
              <w:spacing w:line="220" w:lineRule="auto"/>
              <w:ind w:left="608"/>
            </w:pPr>
            <w:r>
              <w:rPr>
                <w:rFonts w:ascii="Times New Roman" w:hAnsi="Times New Roman" w:eastAsia="Times New Roman" w:cs="Times New Roman"/>
                <w:spacing w:val="-6"/>
              </w:rPr>
              <w:t>1</w:t>
            </w:r>
            <w:r>
              <w:rPr>
                <w:rFonts w:ascii="Times New Roman" w:hAnsi="Times New Roman" w:eastAsia="Times New Roman" w:cs="Times New Roman"/>
                <w:spacing w:val="-30"/>
              </w:rPr>
              <w:t xml:space="preserve"> </w:t>
            </w:r>
            <w:r>
              <w:rPr>
                <w:spacing w:val="-6"/>
              </w:rPr>
              <w:t>、施工扬尘防治措施</w:t>
            </w:r>
          </w:p>
          <w:p w14:paraId="3A450DD4">
            <w:pPr>
              <w:pStyle w:val="6"/>
              <w:spacing w:before="211" w:line="383" w:lineRule="auto"/>
              <w:ind w:left="111" w:right="101" w:firstLine="479"/>
            </w:pPr>
            <w:r>
              <w:t>本项目施工过程中产生的大气环境影响主要来自施工机械和</w:t>
            </w:r>
            <w:r>
              <w:rPr>
                <w:spacing w:val="-1"/>
              </w:rPr>
              <w:t>运输车辆产</w:t>
            </w:r>
            <w:r>
              <w:t xml:space="preserve"> 生的尾气，同时车辆运行、装卸建筑材料将产生扬尘。根据《</w:t>
            </w:r>
            <w:r>
              <w:rPr>
                <w:spacing w:val="-1"/>
              </w:rPr>
              <w:t>汕尾市扬尘污</w:t>
            </w:r>
            <w:r>
              <w:t xml:space="preserve"> 染防治条例》中建设工程扬尘污染防治的要求，本项目施工期</w:t>
            </w:r>
            <w:r>
              <w:rPr>
                <w:spacing w:val="-1"/>
              </w:rPr>
              <w:t>扬尘采取以下</w:t>
            </w:r>
            <w:r>
              <w:t xml:space="preserve"> </w:t>
            </w:r>
            <w:r>
              <w:rPr>
                <w:spacing w:val="-3"/>
              </w:rPr>
              <w:t>防治措施：</w:t>
            </w:r>
          </w:p>
          <w:p w14:paraId="42BDAB8A">
            <w:pPr>
              <w:pStyle w:val="6"/>
              <w:spacing w:before="1" w:line="301" w:lineRule="auto"/>
              <w:ind w:left="111" w:right="91" w:firstLine="465"/>
            </w:pPr>
            <w:r>
              <w:rPr>
                <w:spacing w:val="-9"/>
              </w:rPr>
              <w:t>（</w:t>
            </w:r>
            <w:r>
              <w:rPr>
                <w:rFonts w:ascii="Times New Roman" w:hAnsi="Times New Roman" w:eastAsia="Times New Roman" w:cs="Times New Roman"/>
                <w:spacing w:val="-9"/>
              </w:rPr>
              <w:t>1</w:t>
            </w:r>
            <w:r>
              <w:rPr>
                <w:spacing w:val="-9"/>
              </w:rPr>
              <w:t>）施工现场应设置不低于</w:t>
            </w:r>
            <w:r>
              <w:rPr>
                <w:spacing w:val="-67"/>
              </w:rPr>
              <w:t xml:space="preserve"> </w:t>
            </w:r>
            <w:r>
              <w:rPr>
                <w:rFonts w:ascii="Times New Roman" w:hAnsi="Times New Roman" w:eastAsia="Times New Roman" w:cs="Times New Roman"/>
                <w:spacing w:val="-9"/>
              </w:rPr>
              <w:t>2m</w:t>
            </w:r>
            <w:r>
              <w:rPr>
                <w:rFonts w:ascii="Times New Roman" w:hAnsi="Times New Roman" w:eastAsia="Times New Roman" w:cs="Times New Roman"/>
                <w:spacing w:val="18"/>
              </w:rPr>
              <w:t xml:space="preserve"> </w:t>
            </w:r>
            <w:r>
              <w:rPr>
                <w:spacing w:val="-9"/>
              </w:rPr>
              <w:t>的围蔽、物料堆场四周设置挡风墙减</w:t>
            </w:r>
            <w:r>
              <w:rPr>
                <w:spacing w:val="-10"/>
              </w:rPr>
              <w:t>少扬</w:t>
            </w:r>
            <w:r>
              <w:t xml:space="preserve"> </w:t>
            </w:r>
            <w:r>
              <w:rPr>
                <w:spacing w:val="-11"/>
              </w:rPr>
              <w:t>尘污染的散发。</w:t>
            </w:r>
          </w:p>
          <w:p w14:paraId="43D157E6">
            <w:pPr>
              <w:pStyle w:val="6"/>
              <w:spacing w:before="212" w:line="301" w:lineRule="auto"/>
              <w:ind w:left="111" w:right="103" w:firstLine="489"/>
            </w:pPr>
            <w:r>
              <w:rPr>
                <w:spacing w:val="-4"/>
              </w:rPr>
              <w:t>（</w:t>
            </w:r>
            <w:r>
              <w:rPr>
                <w:rFonts w:ascii="Times New Roman" w:hAnsi="Times New Roman" w:eastAsia="Times New Roman" w:cs="Times New Roman"/>
                <w:spacing w:val="-4"/>
              </w:rPr>
              <w:t>2</w:t>
            </w:r>
            <w:r>
              <w:rPr>
                <w:spacing w:val="-4"/>
              </w:rPr>
              <w:t>）对施工工地内堆积工程材料、沙石、土方、</w:t>
            </w:r>
            <w:r>
              <w:rPr>
                <w:spacing w:val="-5"/>
              </w:rPr>
              <w:t>建筑垃圾等易产生扬尘</w:t>
            </w:r>
            <w:r>
              <w:t xml:space="preserve"> </w:t>
            </w:r>
            <w:r>
              <w:rPr>
                <w:spacing w:val="-1"/>
              </w:rPr>
              <w:t>污染场所采用篷布遮盖、表面潮湿处理、定期洒水等防尘措施。</w:t>
            </w:r>
          </w:p>
          <w:p w14:paraId="321F0DAC">
            <w:pPr>
              <w:pStyle w:val="6"/>
              <w:spacing w:before="213" w:line="301" w:lineRule="auto"/>
              <w:ind w:left="109" w:right="42" w:firstLine="491"/>
            </w:pPr>
            <w:r>
              <w:rPr>
                <w:spacing w:val="-10"/>
              </w:rPr>
              <w:t>（</w:t>
            </w:r>
            <w:r>
              <w:rPr>
                <w:rFonts w:ascii="Times New Roman" w:hAnsi="Times New Roman" w:eastAsia="Times New Roman" w:cs="Times New Roman"/>
                <w:spacing w:val="-10"/>
              </w:rPr>
              <w:t>3</w:t>
            </w:r>
            <w:r>
              <w:rPr>
                <w:spacing w:val="-10"/>
              </w:rPr>
              <w:t>）运输原料等实行密闭化运输，车厢完好，装载适度，无撒漏和泄漏，</w:t>
            </w:r>
            <w:r>
              <w:rPr>
                <w:spacing w:val="14"/>
              </w:rPr>
              <w:t xml:space="preserve"> </w:t>
            </w:r>
            <w:r>
              <w:rPr>
                <w:spacing w:val="-2"/>
              </w:rPr>
              <w:t>运输过程中造成道路污染的，必须在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w w:val="101"/>
              </w:rPr>
              <w:t xml:space="preserve"> </w:t>
            </w:r>
            <w:r>
              <w:rPr>
                <w:spacing w:val="-2"/>
              </w:rPr>
              <w:t>小时内</w:t>
            </w:r>
            <w:r>
              <w:rPr>
                <w:spacing w:val="-3"/>
              </w:rPr>
              <w:t>清理干净。</w:t>
            </w:r>
          </w:p>
          <w:p w14:paraId="1F0DA21D">
            <w:pPr>
              <w:pStyle w:val="6"/>
              <w:spacing w:before="214" w:line="301" w:lineRule="auto"/>
              <w:ind w:left="108" w:right="103" w:firstLine="492"/>
            </w:pPr>
            <w:r>
              <w:rPr>
                <w:spacing w:val="-4"/>
              </w:rPr>
              <w:t>（</w:t>
            </w:r>
            <w:r>
              <w:rPr>
                <w:rFonts w:ascii="Times New Roman" w:hAnsi="Times New Roman" w:eastAsia="Times New Roman" w:cs="Times New Roman"/>
                <w:spacing w:val="-4"/>
              </w:rPr>
              <w:t>4</w:t>
            </w:r>
            <w:r>
              <w:rPr>
                <w:spacing w:val="-4"/>
              </w:rPr>
              <w:t>）施工工地内设置车辆清洗设施以及配套的排</w:t>
            </w:r>
            <w:r>
              <w:rPr>
                <w:spacing w:val="-5"/>
              </w:rPr>
              <w:t>水、泥浆沉淀设施，运</w:t>
            </w:r>
            <w:r>
              <w:t xml:space="preserve"> </w:t>
            </w:r>
            <w:r>
              <w:rPr>
                <w:spacing w:val="-1"/>
              </w:rPr>
              <w:t>输车辆应当在除泥、冲洗干净后方可驶出施工工地。</w:t>
            </w:r>
          </w:p>
          <w:p w14:paraId="54AE814F">
            <w:pPr>
              <w:pStyle w:val="6"/>
              <w:spacing w:before="214" w:line="383" w:lineRule="auto"/>
              <w:ind w:left="109" w:right="101" w:firstLine="481"/>
              <w:jc w:val="both"/>
            </w:pPr>
            <w:r>
              <w:t>经采取上述有效措施后，本项目施工期扬尘可达到广东省</w:t>
            </w:r>
            <w:r>
              <w:rPr>
                <w:spacing w:val="-1"/>
              </w:rPr>
              <w:t>《大气污染物</w:t>
            </w:r>
            <w:r>
              <w:t xml:space="preserve"> 排放限值》（</w:t>
            </w:r>
            <w:r>
              <w:rPr>
                <w:rFonts w:ascii="Times New Roman" w:hAnsi="Times New Roman" w:eastAsia="Times New Roman" w:cs="Times New Roman"/>
              </w:rPr>
              <w:t>DB44/27-2001</w:t>
            </w:r>
            <w:r>
              <w:t>）第二时段无组织排放监控点浓度</w:t>
            </w:r>
            <w:r>
              <w:rPr>
                <w:spacing w:val="-1"/>
              </w:rPr>
              <w:t>限值。因此本</w:t>
            </w:r>
            <w:r>
              <w:t xml:space="preserve"> </w:t>
            </w:r>
            <w:r>
              <w:rPr>
                <w:spacing w:val="-1"/>
              </w:rPr>
              <w:t>项目施工期扬尘对周围大气环境影响不大。</w:t>
            </w:r>
          </w:p>
          <w:p w14:paraId="3D96F97E">
            <w:pPr>
              <w:pStyle w:val="6"/>
              <w:spacing w:line="219" w:lineRule="auto"/>
              <w:ind w:left="585"/>
            </w:pPr>
            <w:r>
              <w:rPr>
                <w:rFonts w:ascii="Times New Roman" w:hAnsi="Times New Roman" w:eastAsia="Times New Roman" w:cs="Times New Roman"/>
                <w:spacing w:val="-4"/>
              </w:rPr>
              <w:t>2</w:t>
            </w:r>
            <w:r>
              <w:rPr>
                <w:rFonts w:ascii="Times New Roman" w:hAnsi="Times New Roman" w:eastAsia="Times New Roman" w:cs="Times New Roman"/>
                <w:spacing w:val="-27"/>
              </w:rPr>
              <w:t xml:space="preserve"> </w:t>
            </w:r>
            <w:r>
              <w:rPr>
                <w:spacing w:val="-4"/>
              </w:rPr>
              <w:t>、施工废水防治措施</w:t>
            </w:r>
          </w:p>
          <w:p w14:paraId="50CF339C">
            <w:pPr>
              <w:pStyle w:val="6"/>
              <w:spacing w:before="213" w:line="383" w:lineRule="auto"/>
              <w:ind w:left="109" w:right="101" w:firstLine="480"/>
            </w:pPr>
            <w:r>
              <w:t>本项目施工期废水包括建筑施工废水和施工人员生活污水。</w:t>
            </w:r>
            <w:r>
              <w:rPr>
                <w:spacing w:val="-1"/>
              </w:rPr>
              <w:t>如不注意搞</w:t>
            </w:r>
            <w:r>
              <w:t xml:space="preserve"> 好工地污水导流、排放，污水一方面会泛滥于工地，影响施工，另</w:t>
            </w:r>
            <w:r>
              <w:rPr>
                <w:spacing w:val="-1"/>
              </w:rPr>
              <w:t>一方面可</w:t>
            </w:r>
            <w:r>
              <w:t xml:space="preserve"> </w:t>
            </w:r>
            <w:r>
              <w:rPr>
                <w:spacing w:val="-1"/>
              </w:rPr>
              <w:t>能流到工地外污染环境。</w:t>
            </w:r>
          </w:p>
          <w:p w14:paraId="3BE004D8">
            <w:pPr>
              <w:pStyle w:val="6"/>
              <w:spacing w:before="1" w:line="218" w:lineRule="auto"/>
              <w:ind w:left="592"/>
            </w:pPr>
            <w:r>
              <w:rPr>
                <w:spacing w:val="-1"/>
              </w:rPr>
              <w:t>建议采取以下污水防范措施：</w:t>
            </w:r>
          </w:p>
        </w:tc>
      </w:tr>
    </w:tbl>
    <w:p w14:paraId="0E8BEB6A">
      <w:pPr>
        <w:rPr>
          <w:rFonts w:ascii="Arial"/>
          <w:sz w:val="21"/>
        </w:rPr>
      </w:pPr>
    </w:p>
    <w:p w14:paraId="327EBE5E">
      <w:pPr>
        <w:rPr>
          <w:rFonts w:ascii="Arial" w:hAnsi="Arial" w:eastAsia="Arial" w:cs="Arial"/>
          <w:sz w:val="21"/>
          <w:szCs w:val="21"/>
        </w:rPr>
        <w:sectPr>
          <w:footerReference r:id="rId62" w:type="default"/>
          <w:pgSz w:w="11907" w:h="16840"/>
          <w:pgMar w:top="400" w:right="1499" w:bottom="1237" w:left="1499" w:header="0" w:footer="1077" w:gutter="0"/>
          <w:cols w:space="720" w:num="1"/>
        </w:sectPr>
      </w:pPr>
    </w:p>
    <w:p w14:paraId="29DD2404">
      <w:pPr>
        <w:spacing w:before="19"/>
      </w:pPr>
    </w:p>
    <w:p w14:paraId="6E6FA472">
      <w:pPr>
        <w:spacing w:before="19"/>
      </w:pPr>
    </w:p>
    <w:p w14:paraId="646E48A0">
      <w:pPr>
        <w:spacing w:before="19"/>
      </w:pPr>
    </w:p>
    <w:p w14:paraId="72D5E680">
      <w:pPr>
        <w:spacing w:before="18"/>
      </w:pPr>
    </w:p>
    <w:p w14:paraId="086A0C45">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44792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53" w:hRule="atLeast"/>
        </w:trPr>
        <w:tc>
          <w:tcPr>
            <w:tcW w:w="754" w:type="dxa"/>
            <w:tcBorders>
              <w:right w:val="single" w:color="000000" w:sz="2" w:space="0"/>
            </w:tcBorders>
            <w:vAlign w:val="top"/>
          </w:tcPr>
          <w:p w14:paraId="6FBB57E7">
            <w:pPr>
              <w:rPr>
                <w:rFonts w:ascii="Arial"/>
                <w:sz w:val="21"/>
              </w:rPr>
            </w:pPr>
          </w:p>
        </w:tc>
        <w:tc>
          <w:tcPr>
            <w:tcW w:w="8139" w:type="dxa"/>
            <w:tcBorders>
              <w:left w:val="single" w:color="000000" w:sz="2" w:space="0"/>
            </w:tcBorders>
            <w:vAlign w:val="top"/>
          </w:tcPr>
          <w:p w14:paraId="7D7657FE">
            <w:pPr>
              <w:pStyle w:val="6"/>
              <w:spacing w:before="158" w:line="297" w:lineRule="auto"/>
              <w:ind w:left="108" w:right="103" w:firstLine="492"/>
            </w:pPr>
            <w:r>
              <w:rPr>
                <w:spacing w:val="-4"/>
              </w:rPr>
              <w:t>（</w:t>
            </w:r>
            <w:r>
              <w:rPr>
                <w:rFonts w:ascii="Times New Roman" w:hAnsi="Times New Roman" w:eastAsia="Times New Roman" w:cs="Times New Roman"/>
                <w:spacing w:val="-4"/>
              </w:rPr>
              <w:t>1</w:t>
            </w:r>
            <w:r>
              <w:rPr>
                <w:spacing w:val="-4"/>
              </w:rPr>
              <w:t>）在施工场地建设隔油沉淀池对施工废水进行</w:t>
            </w:r>
            <w:r>
              <w:rPr>
                <w:spacing w:val="-5"/>
              </w:rPr>
              <w:t>处理达标后回用于建筑</w:t>
            </w:r>
            <w:r>
              <w:t xml:space="preserve"> </w:t>
            </w:r>
            <w:r>
              <w:rPr>
                <w:spacing w:val="-3"/>
              </w:rPr>
              <w:t>施工。</w:t>
            </w:r>
          </w:p>
          <w:p w14:paraId="3848778B">
            <w:pPr>
              <w:pStyle w:val="6"/>
              <w:spacing w:before="195" w:line="320" w:lineRule="auto"/>
              <w:ind w:left="115" w:right="103" w:firstLine="485"/>
            </w:pPr>
            <w:r>
              <w:rPr>
                <w:spacing w:val="-4"/>
              </w:rPr>
              <w:t>（</w:t>
            </w:r>
            <w:r>
              <w:rPr>
                <w:rFonts w:ascii="Times New Roman" w:hAnsi="Times New Roman" w:eastAsia="Times New Roman" w:cs="Times New Roman"/>
                <w:spacing w:val="-4"/>
              </w:rPr>
              <w:t>2</w:t>
            </w:r>
            <w:r>
              <w:rPr>
                <w:spacing w:val="-4"/>
              </w:rPr>
              <w:t>）项目不专门设施工营地，施工人员租用附近</w:t>
            </w:r>
            <w:r>
              <w:rPr>
                <w:spacing w:val="-5"/>
              </w:rPr>
              <w:t>民房用于食宿，施工人</w:t>
            </w:r>
            <w:r>
              <w:t xml:space="preserve"> 员生活污水可依托周边民房现有生活污水处理设</w:t>
            </w:r>
            <w:r>
              <w:rPr>
                <w:spacing w:val="-1"/>
              </w:rPr>
              <w:t>施处理达标后排入市政污水</w:t>
            </w:r>
            <w:r>
              <w:t xml:space="preserve"> </w:t>
            </w:r>
            <w:r>
              <w:rPr>
                <w:spacing w:val="-1"/>
              </w:rPr>
              <w:t>管网，进入可塘镇污水处理厂进行处理。</w:t>
            </w:r>
          </w:p>
          <w:p w14:paraId="62D2D417">
            <w:pPr>
              <w:pStyle w:val="6"/>
              <w:spacing w:before="197" w:line="372" w:lineRule="auto"/>
              <w:ind w:left="108" w:right="101" w:firstLine="481"/>
            </w:pPr>
            <w:r>
              <w:t>严格按照上述污染防治措施进行施工，本项目施工期所产生</w:t>
            </w:r>
            <w:r>
              <w:rPr>
                <w:spacing w:val="-1"/>
              </w:rPr>
              <w:t>的废水将不</w:t>
            </w:r>
            <w:r>
              <w:t xml:space="preserve"> </w:t>
            </w:r>
            <w:r>
              <w:rPr>
                <w:spacing w:val="-1"/>
              </w:rPr>
              <w:t>会对周围环境造成明显不良影响影响。</w:t>
            </w:r>
          </w:p>
          <w:p w14:paraId="5DDE28F1">
            <w:pPr>
              <w:pStyle w:val="6"/>
              <w:spacing w:line="220" w:lineRule="auto"/>
              <w:ind w:left="590"/>
            </w:pPr>
            <w:r>
              <w:rPr>
                <w:rFonts w:ascii="Times New Roman" w:hAnsi="Times New Roman" w:eastAsia="Times New Roman" w:cs="Times New Roman"/>
                <w:spacing w:val="-4"/>
              </w:rPr>
              <w:t>3</w:t>
            </w:r>
            <w:r>
              <w:rPr>
                <w:rFonts w:ascii="Times New Roman" w:hAnsi="Times New Roman" w:eastAsia="Times New Roman" w:cs="Times New Roman"/>
                <w:spacing w:val="-31"/>
              </w:rPr>
              <w:t xml:space="preserve"> </w:t>
            </w:r>
            <w:r>
              <w:rPr>
                <w:spacing w:val="-4"/>
              </w:rPr>
              <w:t>、施工噪声防治措施</w:t>
            </w:r>
          </w:p>
          <w:p w14:paraId="7A73D08F">
            <w:pPr>
              <w:pStyle w:val="6"/>
              <w:spacing w:before="194" w:line="217" w:lineRule="auto"/>
              <w:ind w:left="588"/>
            </w:pPr>
            <w:r>
              <w:rPr>
                <w:spacing w:val="-2"/>
              </w:rPr>
              <w:t>①降低设备声级</w:t>
            </w:r>
          </w:p>
          <w:p w14:paraId="7167AB40">
            <w:pPr>
              <w:pStyle w:val="6"/>
              <w:spacing w:before="198" w:line="296" w:lineRule="auto"/>
              <w:ind w:left="114" w:right="101" w:firstLine="467"/>
            </w:pPr>
            <w:r>
              <w:rPr>
                <w:rFonts w:ascii="Times New Roman" w:hAnsi="Times New Roman" w:eastAsia="Times New Roman" w:cs="Times New Roman"/>
              </w:rPr>
              <w:t>A.</w:t>
            </w:r>
            <w:r>
              <w:t>选用低噪声设备和工艺，以液压机械代替燃油机械，有效降低昼间噪</w:t>
            </w:r>
            <w:r>
              <w:rPr>
                <w:spacing w:val="10"/>
              </w:rPr>
              <w:t xml:space="preserve"> </w:t>
            </w:r>
            <w:r>
              <w:rPr>
                <w:spacing w:val="-4"/>
              </w:rPr>
              <w:t>声影响；</w:t>
            </w:r>
          </w:p>
          <w:p w14:paraId="54AAA06C">
            <w:pPr>
              <w:pStyle w:val="6"/>
              <w:spacing w:before="197" w:line="320" w:lineRule="auto"/>
              <w:ind w:left="108" w:right="101" w:firstLine="475"/>
            </w:pPr>
            <w:r>
              <w:rPr>
                <w:rFonts w:ascii="Times New Roman" w:hAnsi="Times New Roman" w:eastAsia="Times New Roman" w:cs="Times New Roman"/>
                <w:spacing w:val="1"/>
              </w:rPr>
              <w:t>B.</w:t>
            </w:r>
            <w:r>
              <w:rPr>
                <w:spacing w:val="1"/>
              </w:rPr>
              <w:t>要加强各设备的减震措施，整体设备应</w:t>
            </w:r>
            <w:r>
              <w:t>安放稳固，并与地面保持良好 接触，有条件的情况下，应使用减振机座。施工过程加强检查、维护</w:t>
            </w:r>
            <w:r>
              <w:rPr>
                <w:spacing w:val="-1"/>
              </w:rPr>
              <w:t>和保养</w:t>
            </w:r>
            <w:r>
              <w:t xml:space="preserve"> </w:t>
            </w:r>
            <w:r>
              <w:rPr>
                <w:spacing w:val="-1"/>
              </w:rPr>
              <w:t>机械设备，保持润滑，紧固各部件，减少运行震动噪声；</w:t>
            </w:r>
          </w:p>
          <w:p w14:paraId="5BE7C5A6">
            <w:pPr>
              <w:pStyle w:val="6"/>
              <w:spacing w:before="200" w:line="295" w:lineRule="auto"/>
              <w:ind w:left="121" w:right="103" w:firstLine="468"/>
            </w:pPr>
            <w:r>
              <w:rPr>
                <w:rFonts w:ascii="Times New Roman" w:hAnsi="Times New Roman" w:eastAsia="Times New Roman" w:cs="Times New Roman"/>
              </w:rPr>
              <w:t>C.</w:t>
            </w:r>
            <w:r>
              <w:t>加强文明施工，杜绝施工机械在运行过程中因维护不当而产生的其它</w:t>
            </w:r>
            <w:r>
              <w:rPr>
                <w:spacing w:val="14"/>
              </w:rPr>
              <w:t xml:space="preserve"> </w:t>
            </w:r>
            <w:r>
              <w:rPr>
                <w:spacing w:val="-7"/>
              </w:rPr>
              <w:t>噪声。</w:t>
            </w:r>
          </w:p>
          <w:p w14:paraId="45595BBD">
            <w:pPr>
              <w:pStyle w:val="6"/>
              <w:spacing w:before="199" w:line="217" w:lineRule="auto"/>
              <w:ind w:left="588"/>
            </w:pPr>
            <w:r>
              <w:rPr>
                <w:spacing w:val="-1"/>
              </w:rPr>
              <w:t>②合理安排施工时间和布局施工现场</w:t>
            </w:r>
          </w:p>
          <w:p w14:paraId="7709E752">
            <w:pPr>
              <w:pStyle w:val="6"/>
              <w:spacing w:before="200" w:line="294" w:lineRule="auto"/>
              <w:ind w:left="113" w:right="103" w:firstLine="468"/>
            </w:pPr>
            <w:r>
              <w:rPr>
                <w:rFonts w:ascii="Times New Roman" w:hAnsi="Times New Roman" w:eastAsia="Times New Roman" w:cs="Times New Roman"/>
                <w:spacing w:val="-1"/>
              </w:rPr>
              <w:t>A.</w:t>
            </w:r>
            <w:r>
              <w:rPr>
                <w:spacing w:val="-1"/>
              </w:rPr>
              <w:t>严禁</w:t>
            </w:r>
            <w:r>
              <w:rPr>
                <w:spacing w:val="-35"/>
              </w:rPr>
              <w:t xml:space="preserve"> </w:t>
            </w:r>
            <w:r>
              <w:rPr>
                <w:rFonts w:ascii="Times New Roman" w:hAnsi="Times New Roman" w:eastAsia="Times New Roman" w:cs="Times New Roman"/>
                <w:spacing w:val="-1"/>
              </w:rPr>
              <w:t>22:00~6:00</w:t>
            </w:r>
            <w:r>
              <w:rPr>
                <w:rFonts w:ascii="Times New Roman" w:hAnsi="Times New Roman" w:eastAsia="Times New Roman" w:cs="Times New Roman"/>
                <w:spacing w:val="39"/>
              </w:rPr>
              <w:t xml:space="preserve"> </w:t>
            </w:r>
            <w:r>
              <w:rPr>
                <w:spacing w:val="-1"/>
              </w:rPr>
              <w:t>以及</w:t>
            </w:r>
            <w:r>
              <w:rPr>
                <w:spacing w:val="-27"/>
              </w:rPr>
              <w:t xml:space="preserve"> </w:t>
            </w:r>
            <w:r>
              <w:rPr>
                <w:rFonts w:ascii="Times New Roman" w:hAnsi="Times New Roman" w:eastAsia="Times New Roman" w:cs="Times New Roman"/>
                <w:spacing w:val="-1"/>
              </w:rPr>
              <w:t>12:00~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 xml:space="preserve">14:00 </w:t>
            </w:r>
            <w:r>
              <w:rPr>
                <w:spacing w:val="-1"/>
              </w:rPr>
              <w:t>进行可能产生噪声扰民问题的施工</w:t>
            </w:r>
            <w:r>
              <w:t xml:space="preserve"> </w:t>
            </w:r>
            <w:r>
              <w:rPr>
                <w:spacing w:val="-1"/>
              </w:rPr>
              <w:t>活动，因特殊需要延续施工时间的，必须报环保部门批准，才能施工；</w:t>
            </w:r>
          </w:p>
          <w:p w14:paraId="56764184">
            <w:pPr>
              <w:pStyle w:val="6"/>
              <w:spacing w:before="201" w:line="294" w:lineRule="auto"/>
              <w:ind w:left="109" w:right="103" w:firstLine="474"/>
            </w:pPr>
            <w:r>
              <w:rPr>
                <w:rFonts w:ascii="Times New Roman" w:hAnsi="Times New Roman" w:eastAsia="Times New Roman" w:cs="Times New Roman"/>
                <w:spacing w:val="1"/>
              </w:rPr>
              <w:t>B.</w:t>
            </w:r>
            <w:r>
              <w:rPr>
                <w:spacing w:val="1"/>
              </w:rPr>
              <w:t>施工部门应合理安排好施工时间和施工</w:t>
            </w:r>
            <w:r>
              <w:t xml:space="preserve">场所，高噪声作业区应远离声 </w:t>
            </w:r>
            <w:r>
              <w:rPr>
                <w:spacing w:val="-1"/>
              </w:rPr>
              <w:t>环境敏感区，并对设备定期保养，严格操作规范；</w:t>
            </w:r>
          </w:p>
          <w:p w14:paraId="2B4C65E2">
            <w:pPr>
              <w:pStyle w:val="6"/>
              <w:spacing w:before="200" w:line="295" w:lineRule="auto"/>
              <w:ind w:left="108" w:right="103" w:firstLine="480"/>
            </w:pPr>
            <w:r>
              <w:rPr>
                <w:rFonts w:ascii="Times New Roman" w:hAnsi="Times New Roman" w:eastAsia="Times New Roman" w:cs="Times New Roman"/>
              </w:rPr>
              <w:t>C.</w:t>
            </w:r>
            <w:r>
              <w:t>尽可能避免大量高噪声设备同时施工，以免局部声级过高高噪声设施</w:t>
            </w:r>
            <w:r>
              <w:rPr>
                <w:spacing w:val="14"/>
              </w:rPr>
              <w:t xml:space="preserve"> </w:t>
            </w:r>
            <w:r>
              <w:rPr>
                <w:spacing w:val="-1"/>
              </w:rPr>
              <w:t>施工时间尽量安排在日间，禁止夜间施工。</w:t>
            </w:r>
          </w:p>
          <w:p w14:paraId="03F1D613">
            <w:pPr>
              <w:pStyle w:val="6"/>
              <w:spacing w:before="198" w:line="333" w:lineRule="auto"/>
              <w:ind w:left="108" w:right="101" w:firstLine="475"/>
            </w:pPr>
            <w:r>
              <w:rPr>
                <w:rFonts w:ascii="Times New Roman" w:hAnsi="Times New Roman" w:eastAsia="Times New Roman" w:cs="Times New Roman"/>
              </w:rPr>
              <w:t>D.</w:t>
            </w:r>
            <w:r>
              <w:t>针对施工过程中具有噪声突发、不规则、不连续、高强度等特点的施</w:t>
            </w:r>
            <w:r>
              <w:rPr>
                <w:spacing w:val="8"/>
              </w:rPr>
              <w:t xml:space="preserve"> </w:t>
            </w:r>
            <w:r>
              <w:t>工活动，应合理安排施工工序加以缓解。同时，施工场地布置时应高</w:t>
            </w:r>
            <w:r>
              <w:rPr>
                <w:spacing w:val="-1"/>
              </w:rPr>
              <w:t>噪声作</w:t>
            </w:r>
            <w:r>
              <w:t xml:space="preserve"> 业区应远离声环境敏感点，对各施工环节中噪声较为突出且又难以对</w:t>
            </w:r>
            <w:r>
              <w:rPr>
                <w:spacing w:val="-1"/>
              </w:rPr>
              <w:t>声源进</w:t>
            </w:r>
            <w:r>
              <w:t xml:space="preserve"> 行降噪可能的设备装置，应采取临时围障措施，在围障最好敷以吸声</w:t>
            </w:r>
            <w:r>
              <w:rPr>
                <w:spacing w:val="-1"/>
              </w:rPr>
              <w:t>材料，</w:t>
            </w:r>
          </w:p>
        </w:tc>
      </w:tr>
    </w:tbl>
    <w:p w14:paraId="2485C8C1">
      <w:pPr>
        <w:rPr>
          <w:rFonts w:ascii="Arial"/>
          <w:sz w:val="21"/>
        </w:rPr>
      </w:pPr>
    </w:p>
    <w:p w14:paraId="077172D9">
      <w:pPr>
        <w:rPr>
          <w:rFonts w:ascii="Arial" w:hAnsi="Arial" w:eastAsia="Arial" w:cs="Arial"/>
          <w:sz w:val="21"/>
          <w:szCs w:val="21"/>
        </w:rPr>
        <w:sectPr>
          <w:footerReference r:id="rId63" w:type="default"/>
          <w:pgSz w:w="11907" w:h="16840"/>
          <w:pgMar w:top="400" w:right="1499" w:bottom="1240" w:left="1499" w:header="0" w:footer="1077" w:gutter="0"/>
          <w:cols w:space="720" w:num="1"/>
        </w:sectPr>
      </w:pPr>
    </w:p>
    <w:p w14:paraId="1D9B88E5">
      <w:pPr>
        <w:spacing w:before="19"/>
      </w:pPr>
    </w:p>
    <w:p w14:paraId="66523618">
      <w:pPr>
        <w:spacing w:before="19"/>
      </w:pPr>
    </w:p>
    <w:p w14:paraId="7CCA82FE">
      <w:pPr>
        <w:spacing w:before="19"/>
      </w:pPr>
    </w:p>
    <w:p w14:paraId="6C6B7359">
      <w:pPr>
        <w:spacing w:before="18"/>
      </w:pPr>
    </w:p>
    <w:p w14:paraId="099BE54F">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2FE73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33" w:hRule="atLeast"/>
        </w:trPr>
        <w:tc>
          <w:tcPr>
            <w:tcW w:w="754" w:type="dxa"/>
            <w:tcBorders>
              <w:right w:val="single" w:color="000000" w:sz="2" w:space="0"/>
            </w:tcBorders>
            <w:vAlign w:val="top"/>
          </w:tcPr>
          <w:p w14:paraId="118B8276">
            <w:pPr>
              <w:rPr>
                <w:rFonts w:ascii="Arial"/>
                <w:sz w:val="21"/>
              </w:rPr>
            </w:pPr>
          </w:p>
        </w:tc>
        <w:tc>
          <w:tcPr>
            <w:tcW w:w="8139" w:type="dxa"/>
            <w:tcBorders>
              <w:left w:val="single" w:color="000000" w:sz="2" w:space="0"/>
            </w:tcBorders>
            <w:vAlign w:val="top"/>
          </w:tcPr>
          <w:p w14:paraId="7D340951">
            <w:pPr>
              <w:pStyle w:val="6"/>
              <w:spacing w:before="39" w:line="371" w:lineRule="auto"/>
              <w:ind w:left="109" w:right="101" w:firstLine="3"/>
            </w:pPr>
            <w:r>
              <w:t>如安置临时声屏障等以求达到降噪效果，进行必要的个人</w:t>
            </w:r>
            <w:r>
              <w:rPr>
                <w:spacing w:val="-1"/>
              </w:rPr>
              <w:t>防护措施等，同时</w:t>
            </w:r>
            <w:r>
              <w:t xml:space="preserve"> </w:t>
            </w:r>
            <w:r>
              <w:rPr>
                <w:spacing w:val="-1"/>
              </w:rPr>
              <w:t>应做到文明施工，减少噪声对周围环境的影响。</w:t>
            </w:r>
          </w:p>
          <w:p w14:paraId="1EDFBB42">
            <w:pPr>
              <w:pStyle w:val="6"/>
              <w:spacing w:line="220" w:lineRule="auto"/>
              <w:ind w:left="584"/>
            </w:pPr>
            <w:r>
              <w:rPr>
                <w:rFonts w:ascii="Times New Roman" w:hAnsi="Times New Roman" w:eastAsia="Times New Roman" w:cs="Times New Roman"/>
                <w:spacing w:val="-3"/>
              </w:rPr>
              <w:t>4</w:t>
            </w:r>
            <w:r>
              <w:rPr>
                <w:rFonts w:ascii="Times New Roman" w:hAnsi="Times New Roman" w:eastAsia="Times New Roman" w:cs="Times New Roman"/>
                <w:spacing w:val="-26"/>
              </w:rPr>
              <w:t xml:space="preserve"> </w:t>
            </w:r>
            <w:r>
              <w:rPr>
                <w:spacing w:val="-3"/>
              </w:rPr>
              <w:t>、施工期固体废物防治措施</w:t>
            </w:r>
          </w:p>
          <w:p w14:paraId="49EC9DD3">
            <w:pPr>
              <w:pStyle w:val="6"/>
              <w:spacing w:before="196" w:line="371" w:lineRule="auto"/>
              <w:ind w:left="112" w:right="101" w:firstLine="480"/>
            </w:pPr>
            <w:r>
              <w:t>为减少施工期固体废物在堆放和运输过程中对环境的不</w:t>
            </w:r>
            <w:r>
              <w:rPr>
                <w:spacing w:val="-1"/>
              </w:rPr>
              <w:t>利影响，建议采</w:t>
            </w:r>
            <w:r>
              <w:t xml:space="preserve"> </w:t>
            </w:r>
            <w:r>
              <w:rPr>
                <w:spacing w:val="-3"/>
              </w:rPr>
              <w:t>取如下措施：</w:t>
            </w:r>
          </w:p>
          <w:p w14:paraId="3574D386">
            <w:pPr>
              <w:pStyle w:val="6"/>
              <w:spacing w:before="1" w:line="295" w:lineRule="auto"/>
              <w:ind w:left="112" w:right="101" w:firstLine="476"/>
            </w:pPr>
            <w:r>
              <w:t>①设置垃圾收集容器，钢管、塑料等可回收废料交物资回收部门</w:t>
            </w:r>
            <w:r>
              <w:rPr>
                <w:spacing w:val="-1"/>
              </w:rPr>
              <w:t>，其余</w:t>
            </w:r>
            <w:r>
              <w:t xml:space="preserve"> </w:t>
            </w:r>
            <w:r>
              <w:rPr>
                <w:spacing w:val="-1"/>
              </w:rPr>
              <w:t>建筑垃圾及余泥统一运到指定的余泥渣土受纳点；</w:t>
            </w:r>
          </w:p>
          <w:p w14:paraId="7925AB69">
            <w:pPr>
              <w:pStyle w:val="6"/>
              <w:spacing w:before="199" w:line="294" w:lineRule="auto"/>
              <w:ind w:left="108" w:right="101" w:firstLine="479"/>
            </w:pPr>
            <w:r>
              <w:t>②车辆运输散体物料和废弃物时，必须密闭、包扎、覆盖，不得沿</w:t>
            </w:r>
            <w:r>
              <w:rPr>
                <w:spacing w:val="-1"/>
              </w:rPr>
              <w:t>途漏</w:t>
            </w:r>
            <w:r>
              <w:t xml:space="preserve"> 撒；运载土方的车辆必须在当地规定的时间内，按当</w:t>
            </w:r>
            <w:r>
              <w:rPr>
                <w:spacing w:val="-1"/>
              </w:rPr>
              <w:t>地法规指定路段行驶；</w:t>
            </w:r>
          </w:p>
          <w:p w14:paraId="74B4E5BB">
            <w:pPr>
              <w:pStyle w:val="6"/>
              <w:spacing w:before="197" w:line="217" w:lineRule="auto"/>
              <w:ind w:right="19"/>
              <w:jc w:val="right"/>
            </w:pPr>
            <w:r>
              <w:rPr>
                <w:spacing w:val="-11"/>
              </w:rPr>
              <w:t>③委托有资质的运输单位及时清运施工余泥渣</w:t>
            </w:r>
            <w:r>
              <w:rPr>
                <w:spacing w:val="-12"/>
              </w:rPr>
              <w:t>土，防止中途倾倒事件发生；</w:t>
            </w:r>
          </w:p>
          <w:p w14:paraId="7619D31E">
            <w:pPr>
              <w:pStyle w:val="6"/>
              <w:spacing w:before="201" w:line="295" w:lineRule="auto"/>
              <w:ind w:left="146" w:right="101" w:firstLine="441"/>
            </w:pPr>
            <w:r>
              <w:t>④选择对外环境影响小的出土口、运输路线和运输时间，在施工场</w:t>
            </w:r>
            <w:r>
              <w:rPr>
                <w:spacing w:val="-1"/>
              </w:rPr>
              <w:t>地出</w:t>
            </w:r>
            <w:r>
              <w:t xml:space="preserve"> </w:t>
            </w:r>
            <w:r>
              <w:rPr>
                <w:spacing w:val="-2"/>
              </w:rPr>
              <w:t>口设置运输车辆轮胎清洗处，以保证运输车辆的清洁。</w:t>
            </w:r>
          </w:p>
          <w:p w14:paraId="2CFEE581">
            <w:pPr>
              <w:pStyle w:val="6"/>
              <w:spacing w:before="200" w:line="294" w:lineRule="auto"/>
              <w:ind w:left="111" w:right="101" w:firstLine="476"/>
            </w:pPr>
            <w:r>
              <w:t>⑤施工单位需按照当地相关规定办理好余泥渣土排放的手续，获得</w:t>
            </w:r>
            <w:r>
              <w:rPr>
                <w:spacing w:val="-1"/>
              </w:rPr>
              <w:t>批准</w:t>
            </w:r>
            <w:r>
              <w:t xml:space="preserve"> </w:t>
            </w:r>
            <w:r>
              <w:rPr>
                <w:spacing w:val="-1"/>
              </w:rPr>
              <w:t>后委托有资质的单位将余泥、建筑垃圾等运至指定的受纳地点弃土。</w:t>
            </w:r>
          </w:p>
          <w:p w14:paraId="0F7C4BD8">
            <w:pPr>
              <w:pStyle w:val="6"/>
              <w:spacing w:before="201" w:line="294" w:lineRule="auto"/>
              <w:ind w:left="108" w:right="101" w:firstLine="479"/>
            </w:pPr>
            <w:r>
              <w:t>⑥施工期产生的生活垃圾交环卫部门统一处理。加强施工现场的管</w:t>
            </w:r>
            <w:r>
              <w:rPr>
                <w:spacing w:val="-1"/>
              </w:rPr>
              <w:t>理及</w:t>
            </w:r>
            <w:r>
              <w:t xml:space="preserve"> 施工人员的教育，禁止随地乱丢垃圾、杂物，保持工</w:t>
            </w:r>
            <w:r>
              <w:rPr>
                <w:spacing w:val="-1"/>
              </w:rPr>
              <w:t>作和生活环境的整洁。</w:t>
            </w:r>
          </w:p>
          <w:p w14:paraId="26EDB94F">
            <w:pPr>
              <w:pStyle w:val="6"/>
              <w:spacing w:before="200" w:line="220" w:lineRule="auto"/>
              <w:ind w:left="592"/>
            </w:pPr>
            <w:r>
              <w:rPr>
                <w:rFonts w:ascii="Times New Roman" w:hAnsi="Times New Roman" w:eastAsia="Times New Roman" w:cs="Times New Roman"/>
                <w:spacing w:val="-3"/>
              </w:rPr>
              <w:t>5</w:t>
            </w:r>
            <w:r>
              <w:rPr>
                <w:rFonts w:ascii="Times New Roman" w:hAnsi="Times New Roman" w:eastAsia="Times New Roman" w:cs="Times New Roman"/>
                <w:spacing w:val="-34"/>
              </w:rPr>
              <w:t xml:space="preserve"> </w:t>
            </w:r>
            <w:r>
              <w:rPr>
                <w:spacing w:val="-3"/>
              </w:rPr>
              <w:t>、施工期生态影响防治措施</w:t>
            </w:r>
          </w:p>
          <w:p w14:paraId="66238156">
            <w:pPr>
              <w:pStyle w:val="6"/>
              <w:spacing w:before="196" w:line="371" w:lineRule="auto"/>
              <w:ind w:left="112" w:right="23" w:firstLine="480"/>
            </w:pPr>
            <w:r>
              <w:t>项目的建设中应加强管理，对开挖临时存放的土方采</w:t>
            </w:r>
            <w:r>
              <w:rPr>
                <w:spacing w:val="-1"/>
              </w:rPr>
              <w:t>取防雨措施，完善</w:t>
            </w:r>
            <w:r>
              <w:t xml:space="preserve"> </w:t>
            </w:r>
            <w:r>
              <w:rPr>
                <w:spacing w:val="-5"/>
              </w:rPr>
              <w:t>水土保持工作，待工程完成后，尽快恢复植被，从而减少对生态环境的影响。</w:t>
            </w:r>
          </w:p>
          <w:p w14:paraId="77CFD997">
            <w:pPr>
              <w:pStyle w:val="6"/>
              <w:spacing w:line="219" w:lineRule="auto"/>
              <w:ind w:left="601"/>
            </w:pPr>
            <w:r>
              <w:rPr>
                <w:spacing w:val="-2"/>
              </w:rPr>
              <w:t>（</w:t>
            </w:r>
            <w:r>
              <w:rPr>
                <w:rFonts w:ascii="Times New Roman" w:hAnsi="Times New Roman" w:eastAsia="Times New Roman" w:cs="Times New Roman"/>
                <w:spacing w:val="-2"/>
              </w:rPr>
              <w:t>1</w:t>
            </w:r>
            <w:r>
              <w:rPr>
                <w:spacing w:val="-2"/>
              </w:rPr>
              <w:t>）施工期建设对动、植物的影响</w:t>
            </w:r>
          </w:p>
          <w:p w14:paraId="55A426AF">
            <w:pPr>
              <w:pStyle w:val="6"/>
              <w:spacing w:before="194" w:line="372" w:lineRule="auto"/>
              <w:ind w:left="109" w:right="101" w:firstLine="481"/>
            </w:pPr>
            <w:r>
              <w:t>经实地调查并查阅相关资料，项目施工区位于城镇，没有</w:t>
            </w:r>
            <w:r>
              <w:rPr>
                <w:spacing w:val="-1"/>
              </w:rPr>
              <w:t>濒危珍稀动植</w:t>
            </w:r>
            <w:r>
              <w:t xml:space="preserve"> 物、国家保护植物分布，因此工程施工对保护植物没有影响，基本</w:t>
            </w:r>
            <w:r>
              <w:rPr>
                <w:spacing w:val="-1"/>
              </w:rPr>
              <w:t>不会造成</w:t>
            </w:r>
            <w:r>
              <w:t xml:space="preserve"> </w:t>
            </w:r>
            <w:r>
              <w:rPr>
                <w:spacing w:val="-1"/>
              </w:rPr>
              <w:t>物种消失，也不存在因施工而导致物种灭绝的可能性。</w:t>
            </w:r>
          </w:p>
          <w:p w14:paraId="34EFD2AE">
            <w:pPr>
              <w:pStyle w:val="6"/>
              <w:spacing w:before="1" w:line="219" w:lineRule="auto"/>
              <w:ind w:left="601"/>
            </w:pPr>
            <w:r>
              <w:rPr>
                <w:spacing w:val="-2"/>
              </w:rPr>
              <w:t>（</w:t>
            </w:r>
            <w:r>
              <w:rPr>
                <w:rFonts w:ascii="Times New Roman" w:hAnsi="Times New Roman" w:eastAsia="Times New Roman" w:cs="Times New Roman"/>
                <w:spacing w:val="-2"/>
              </w:rPr>
              <w:t>2</w:t>
            </w:r>
            <w:r>
              <w:rPr>
                <w:spacing w:val="-2"/>
              </w:rPr>
              <w:t>）施工期建设对水土流失的影响</w:t>
            </w:r>
          </w:p>
          <w:p w14:paraId="60B31D61">
            <w:pPr>
              <w:pStyle w:val="6"/>
              <w:spacing w:before="196" w:line="360" w:lineRule="auto"/>
              <w:ind w:left="109" w:right="101" w:firstLine="480"/>
            </w:pPr>
            <w:r>
              <w:t>本项目在施工过程中开挖量较少，水土流失主要集中在施工</w:t>
            </w:r>
            <w:r>
              <w:rPr>
                <w:spacing w:val="-1"/>
              </w:rPr>
              <w:t>期间，且项</w:t>
            </w:r>
            <w:r>
              <w:t xml:space="preserve"> 目施工区位于城镇，周边多为工业企业，地面已经硬底化，施工活</w:t>
            </w:r>
            <w:r>
              <w:rPr>
                <w:spacing w:val="-1"/>
              </w:rPr>
              <w:t>动中的各</w:t>
            </w:r>
            <w:r>
              <w:t xml:space="preserve"> </w:t>
            </w:r>
            <w:r>
              <w:rPr>
                <w:spacing w:val="-1"/>
              </w:rPr>
              <w:t>类水土流失情况预计并不明显。</w:t>
            </w:r>
          </w:p>
        </w:tc>
      </w:tr>
    </w:tbl>
    <w:p w14:paraId="3BCA2F90">
      <w:pPr>
        <w:rPr>
          <w:rFonts w:ascii="Arial"/>
          <w:sz w:val="21"/>
        </w:rPr>
      </w:pPr>
    </w:p>
    <w:p w14:paraId="184DACBF">
      <w:pPr>
        <w:rPr>
          <w:rFonts w:ascii="Arial" w:hAnsi="Arial" w:eastAsia="Arial" w:cs="Arial"/>
          <w:sz w:val="21"/>
          <w:szCs w:val="21"/>
        </w:rPr>
        <w:sectPr>
          <w:footerReference r:id="rId64" w:type="default"/>
          <w:pgSz w:w="11907" w:h="16840"/>
          <w:pgMar w:top="400" w:right="1499" w:bottom="1237" w:left="1499" w:header="0" w:footer="1077" w:gutter="0"/>
          <w:cols w:space="720" w:num="1"/>
        </w:sectPr>
      </w:pPr>
    </w:p>
    <w:p w14:paraId="07F3FD19">
      <w:pPr>
        <w:spacing w:before="19"/>
      </w:pPr>
    </w:p>
    <w:p w14:paraId="6B4223C1">
      <w:pPr>
        <w:spacing w:before="19"/>
      </w:pPr>
    </w:p>
    <w:p w14:paraId="2B2D08AA">
      <w:pPr>
        <w:spacing w:before="19"/>
      </w:pPr>
    </w:p>
    <w:p w14:paraId="4D2B4D5D">
      <w:pPr>
        <w:spacing w:before="18"/>
      </w:pPr>
    </w:p>
    <w:p w14:paraId="705FE3D0">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499B1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9" w:hRule="atLeast"/>
        </w:trPr>
        <w:tc>
          <w:tcPr>
            <w:tcW w:w="754" w:type="dxa"/>
            <w:tcBorders>
              <w:right w:val="single" w:color="000000" w:sz="2" w:space="0"/>
            </w:tcBorders>
            <w:vAlign w:val="top"/>
          </w:tcPr>
          <w:p w14:paraId="736FEBBC">
            <w:pPr>
              <w:spacing w:line="241" w:lineRule="auto"/>
              <w:rPr>
                <w:rFonts w:ascii="Arial"/>
                <w:sz w:val="21"/>
              </w:rPr>
            </w:pPr>
          </w:p>
          <w:p w14:paraId="66A29180">
            <w:pPr>
              <w:spacing w:line="241" w:lineRule="auto"/>
              <w:rPr>
                <w:rFonts w:ascii="Arial"/>
                <w:sz w:val="21"/>
              </w:rPr>
            </w:pPr>
          </w:p>
          <w:p w14:paraId="64D91F1A">
            <w:pPr>
              <w:spacing w:line="242" w:lineRule="auto"/>
              <w:rPr>
                <w:rFonts w:ascii="Arial"/>
                <w:sz w:val="21"/>
              </w:rPr>
            </w:pPr>
          </w:p>
          <w:p w14:paraId="53D6B5D5">
            <w:pPr>
              <w:spacing w:line="242" w:lineRule="auto"/>
              <w:rPr>
                <w:rFonts w:ascii="Arial"/>
                <w:sz w:val="21"/>
              </w:rPr>
            </w:pPr>
          </w:p>
          <w:p w14:paraId="5BDA6E72">
            <w:pPr>
              <w:spacing w:line="242" w:lineRule="auto"/>
              <w:rPr>
                <w:rFonts w:ascii="Arial"/>
                <w:sz w:val="21"/>
              </w:rPr>
            </w:pPr>
          </w:p>
          <w:p w14:paraId="32F38F14">
            <w:pPr>
              <w:spacing w:line="242" w:lineRule="auto"/>
              <w:rPr>
                <w:rFonts w:ascii="Arial"/>
                <w:sz w:val="21"/>
              </w:rPr>
            </w:pPr>
          </w:p>
          <w:p w14:paraId="4B89EB68">
            <w:pPr>
              <w:spacing w:line="242" w:lineRule="auto"/>
              <w:rPr>
                <w:rFonts w:ascii="Arial"/>
                <w:sz w:val="21"/>
              </w:rPr>
            </w:pPr>
          </w:p>
          <w:p w14:paraId="5016A04F">
            <w:pPr>
              <w:spacing w:line="242" w:lineRule="auto"/>
              <w:rPr>
                <w:rFonts w:ascii="Arial"/>
                <w:sz w:val="21"/>
              </w:rPr>
            </w:pPr>
          </w:p>
          <w:p w14:paraId="392B12E2">
            <w:pPr>
              <w:spacing w:line="242" w:lineRule="auto"/>
              <w:rPr>
                <w:rFonts w:ascii="Arial"/>
                <w:sz w:val="21"/>
              </w:rPr>
            </w:pPr>
          </w:p>
          <w:p w14:paraId="695E5574">
            <w:pPr>
              <w:spacing w:line="242" w:lineRule="auto"/>
              <w:rPr>
                <w:rFonts w:ascii="Arial"/>
                <w:sz w:val="21"/>
              </w:rPr>
            </w:pPr>
          </w:p>
          <w:p w14:paraId="1A6C7815">
            <w:pPr>
              <w:spacing w:line="242" w:lineRule="auto"/>
              <w:rPr>
                <w:rFonts w:ascii="Arial"/>
                <w:sz w:val="21"/>
              </w:rPr>
            </w:pPr>
          </w:p>
          <w:p w14:paraId="55EAA549">
            <w:pPr>
              <w:spacing w:line="242" w:lineRule="auto"/>
              <w:rPr>
                <w:rFonts w:ascii="Arial"/>
                <w:sz w:val="21"/>
              </w:rPr>
            </w:pPr>
          </w:p>
          <w:p w14:paraId="5458AEE5">
            <w:pPr>
              <w:spacing w:line="242" w:lineRule="auto"/>
              <w:rPr>
                <w:rFonts w:ascii="Arial"/>
                <w:sz w:val="21"/>
              </w:rPr>
            </w:pPr>
          </w:p>
          <w:p w14:paraId="7B014E22">
            <w:pPr>
              <w:spacing w:line="242" w:lineRule="auto"/>
              <w:rPr>
                <w:rFonts w:ascii="Arial"/>
                <w:sz w:val="21"/>
              </w:rPr>
            </w:pPr>
          </w:p>
          <w:p w14:paraId="3F71F7B2">
            <w:pPr>
              <w:spacing w:line="242" w:lineRule="auto"/>
              <w:rPr>
                <w:rFonts w:ascii="Arial"/>
                <w:sz w:val="21"/>
              </w:rPr>
            </w:pPr>
          </w:p>
          <w:p w14:paraId="5C66EBCD">
            <w:pPr>
              <w:spacing w:line="242" w:lineRule="auto"/>
              <w:rPr>
                <w:rFonts w:ascii="Arial"/>
                <w:sz w:val="21"/>
              </w:rPr>
            </w:pPr>
          </w:p>
          <w:p w14:paraId="1A3529EF">
            <w:pPr>
              <w:spacing w:line="242" w:lineRule="auto"/>
              <w:rPr>
                <w:rFonts w:ascii="Arial"/>
                <w:sz w:val="21"/>
              </w:rPr>
            </w:pPr>
          </w:p>
          <w:p w14:paraId="61EF356F">
            <w:pPr>
              <w:spacing w:line="242" w:lineRule="auto"/>
              <w:rPr>
                <w:rFonts w:ascii="Arial"/>
                <w:sz w:val="21"/>
              </w:rPr>
            </w:pPr>
          </w:p>
          <w:p w14:paraId="62EE1BF3">
            <w:pPr>
              <w:spacing w:line="242" w:lineRule="auto"/>
              <w:rPr>
                <w:rFonts w:ascii="Arial"/>
                <w:sz w:val="21"/>
              </w:rPr>
            </w:pPr>
          </w:p>
          <w:p w14:paraId="2FA25B0B">
            <w:pPr>
              <w:spacing w:line="242" w:lineRule="auto"/>
              <w:rPr>
                <w:rFonts w:ascii="Arial"/>
                <w:sz w:val="21"/>
              </w:rPr>
            </w:pPr>
          </w:p>
          <w:p w14:paraId="07FCF5F4">
            <w:pPr>
              <w:spacing w:line="242" w:lineRule="auto"/>
              <w:rPr>
                <w:rFonts w:ascii="Arial"/>
                <w:sz w:val="21"/>
              </w:rPr>
            </w:pPr>
          </w:p>
          <w:p w14:paraId="653F3218">
            <w:pPr>
              <w:spacing w:line="242" w:lineRule="auto"/>
              <w:rPr>
                <w:rFonts w:ascii="Arial"/>
                <w:sz w:val="21"/>
              </w:rPr>
            </w:pPr>
          </w:p>
          <w:p w14:paraId="70A49F27">
            <w:pPr>
              <w:spacing w:line="242" w:lineRule="auto"/>
              <w:rPr>
                <w:rFonts w:ascii="Arial"/>
                <w:sz w:val="21"/>
              </w:rPr>
            </w:pPr>
          </w:p>
          <w:p w14:paraId="57894BE2">
            <w:pPr>
              <w:pStyle w:val="6"/>
              <w:spacing w:before="78" w:line="220" w:lineRule="auto"/>
              <w:ind w:left="136"/>
            </w:pPr>
            <w:r>
              <w:rPr>
                <w:spacing w:val="-5"/>
              </w:rPr>
              <w:t>运营</w:t>
            </w:r>
          </w:p>
          <w:p w14:paraId="02FF5FE9">
            <w:pPr>
              <w:pStyle w:val="6"/>
              <w:spacing w:before="26" w:line="220" w:lineRule="auto"/>
              <w:ind w:left="139"/>
            </w:pPr>
            <w:r>
              <w:rPr>
                <w:spacing w:val="-7"/>
              </w:rPr>
              <w:t>期环</w:t>
            </w:r>
          </w:p>
          <w:p w14:paraId="45D6C0F2">
            <w:pPr>
              <w:pStyle w:val="6"/>
              <w:spacing w:before="23" w:line="220" w:lineRule="auto"/>
              <w:ind w:left="137"/>
            </w:pPr>
            <w:r>
              <w:rPr>
                <w:spacing w:val="-6"/>
              </w:rPr>
              <w:t>境影</w:t>
            </w:r>
          </w:p>
          <w:p w14:paraId="443C42EE">
            <w:pPr>
              <w:pStyle w:val="6"/>
              <w:spacing w:before="26" w:line="222" w:lineRule="auto"/>
              <w:ind w:left="148"/>
            </w:pPr>
            <w:r>
              <w:rPr>
                <w:spacing w:val="-11"/>
              </w:rPr>
              <w:t>响和</w:t>
            </w:r>
          </w:p>
          <w:p w14:paraId="4020B996">
            <w:pPr>
              <w:pStyle w:val="6"/>
              <w:spacing w:before="23" w:line="220" w:lineRule="auto"/>
              <w:ind w:left="137"/>
            </w:pPr>
            <w:r>
              <w:rPr>
                <w:spacing w:val="-6"/>
              </w:rPr>
              <w:t>保护</w:t>
            </w:r>
          </w:p>
          <w:p w14:paraId="08AE3B27">
            <w:pPr>
              <w:pStyle w:val="6"/>
              <w:spacing w:before="26" w:line="220" w:lineRule="auto"/>
              <w:ind w:left="136"/>
            </w:pPr>
            <w:r>
              <w:rPr>
                <w:spacing w:val="-5"/>
              </w:rPr>
              <w:t>措施</w:t>
            </w:r>
          </w:p>
        </w:tc>
        <w:tc>
          <w:tcPr>
            <w:tcW w:w="8139" w:type="dxa"/>
            <w:tcBorders>
              <w:left w:val="single" w:color="000000" w:sz="2" w:space="0"/>
            </w:tcBorders>
            <w:vAlign w:val="top"/>
          </w:tcPr>
          <w:p w14:paraId="43994508">
            <w:pPr>
              <w:pStyle w:val="6"/>
              <w:spacing w:before="159" w:line="220" w:lineRule="auto"/>
              <w:ind w:left="596"/>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、废气：</w:t>
            </w:r>
          </w:p>
          <w:p w14:paraId="73A6FFA7">
            <w:pPr>
              <w:pStyle w:val="6"/>
              <w:spacing w:before="182" w:line="359" w:lineRule="auto"/>
              <w:ind w:left="108" w:right="101" w:firstLine="480"/>
            </w:pPr>
            <w:r>
              <w:t>根据本项目工艺流程分析，产生的废气主要包括：注胶工序产</w:t>
            </w:r>
            <w:r>
              <w:rPr>
                <w:spacing w:val="-1"/>
              </w:rPr>
              <w:t>生的有机</w:t>
            </w:r>
            <w:r>
              <w:t xml:space="preserve"> 废气，配胶过程产生的燃烧废气，泡酸工序产生的</w:t>
            </w:r>
            <w:r>
              <w:rPr>
                <w:spacing w:val="-1"/>
              </w:rPr>
              <w:t>酸性废气，厂区异味。</w:t>
            </w:r>
          </w:p>
          <w:p w14:paraId="4742BB1C">
            <w:pPr>
              <w:pStyle w:val="6"/>
              <w:spacing w:line="218" w:lineRule="auto"/>
              <w:ind w:left="601"/>
            </w:pPr>
            <w:r>
              <w:rPr>
                <w:spacing w:val="-3"/>
              </w:rPr>
              <w:t>（</w:t>
            </w:r>
            <w:r>
              <w:rPr>
                <w:rFonts w:ascii="Times New Roman" w:hAnsi="Times New Roman" w:eastAsia="Times New Roman" w:cs="Times New Roman"/>
                <w:spacing w:val="-3"/>
              </w:rPr>
              <w:t>1</w:t>
            </w:r>
            <w:r>
              <w:rPr>
                <w:spacing w:val="-3"/>
              </w:rPr>
              <w:t>）有机废气</w:t>
            </w:r>
          </w:p>
          <w:p w14:paraId="12AE6838">
            <w:pPr>
              <w:pStyle w:val="6"/>
              <w:spacing w:before="181" w:line="360" w:lineRule="auto"/>
              <w:ind w:left="108" w:right="101" w:firstLine="484"/>
            </w:pPr>
            <w:r>
              <w:t>项目注胶工序主要包括前烘干、配胶、注胶、抽真空</w:t>
            </w:r>
            <w:r>
              <w:rPr>
                <w:spacing w:val="-1"/>
              </w:rPr>
              <w:t>、甩胶、后烘干等</w:t>
            </w:r>
            <w:r>
              <w:t xml:space="preserve"> 操作，产生的有机废气主要包括配胶废气、抽</w:t>
            </w:r>
            <w:r>
              <w:rPr>
                <w:spacing w:val="-1"/>
              </w:rPr>
              <w:t>真空废气和烘干废气。</w:t>
            </w:r>
          </w:p>
          <w:p w14:paraId="65B67CAD">
            <w:pPr>
              <w:pStyle w:val="6"/>
              <w:spacing w:before="3" w:line="358" w:lineRule="auto"/>
              <w:ind w:left="112" w:right="101" w:firstLine="477"/>
              <w:jc w:val="both"/>
            </w:pPr>
            <w:r>
              <w:t>根据原料清单分析，项目使用环氧树脂、稀释剂（乙醇和丙酮</w:t>
            </w:r>
            <w:r>
              <w:rPr>
                <w:spacing w:val="-1"/>
              </w:rPr>
              <w:t>）、三乙</w:t>
            </w:r>
            <w:r>
              <w:t xml:space="preserve"> 醇胺，按比例和顺序融合在一起，形成胶粘剂。经过分</w:t>
            </w:r>
            <w:r>
              <w:rPr>
                <w:spacing w:val="-1"/>
              </w:rPr>
              <w:t>析、计算，项目配胶</w:t>
            </w:r>
            <w:r>
              <w:t xml:space="preserve"> </w:t>
            </w:r>
            <w:r>
              <w:rPr>
                <w:spacing w:val="-1"/>
              </w:rPr>
              <w:t>工序形成的胶粘剂中挥发性有机物</w:t>
            </w:r>
            <w:r>
              <w:rPr>
                <w:rFonts w:ascii="Times New Roman" w:hAnsi="Times New Roman" w:eastAsia="Times New Roman" w:cs="Times New Roman"/>
                <w:spacing w:val="-1"/>
              </w:rPr>
              <w:t>(</w:t>
            </w:r>
            <w:r>
              <w:rPr>
                <w:spacing w:val="-1"/>
              </w:rPr>
              <w:t>以</w:t>
            </w:r>
            <w:r>
              <w:rPr>
                <w:spacing w:val="-47"/>
              </w:rPr>
              <w:t xml:space="preserve"> </w:t>
            </w:r>
            <w:r>
              <w:rPr>
                <w:rFonts w:ascii="Times New Roman" w:hAnsi="Times New Roman" w:eastAsia="Times New Roman" w:cs="Times New Roman"/>
                <w:spacing w:val="-1"/>
              </w:rPr>
              <w:t xml:space="preserve">TVOC </w:t>
            </w:r>
            <w:r>
              <w:rPr>
                <w:spacing w:val="-1"/>
              </w:rPr>
              <w:t>计</w:t>
            </w:r>
            <w:r>
              <w:rPr>
                <w:rFonts w:ascii="Times New Roman" w:hAnsi="Times New Roman" w:eastAsia="Times New Roman" w:cs="Times New Roman"/>
                <w:spacing w:val="-1"/>
              </w:rPr>
              <w:t>)</w:t>
            </w:r>
            <w:r>
              <w:rPr>
                <w:spacing w:val="-1"/>
              </w:rPr>
              <w:t>的含量为</w:t>
            </w:r>
            <w:r>
              <w:rPr>
                <w:spacing w:val="-50"/>
              </w:rPr>
              <w:t xml:space="preserve"> </w:t>
            </w:r>
            <w:r>
              <w:rPr>
                <w:rFonts w:ascii="Times New Roman" w:hAnsi="Times New Roman" w:eastAsia="Times New Roman" w:cs="Times New Roman"/>
                <w:spacing w:val="-1"/>
              </w:rPr>
              <w:t>9.9144t/a</w:t>
            </w:r>
            <w:r>
              <w:rPr>
                <w:spacing w:val="-1"/>
              </w:rPr>
              <w:t>。</w:t>
            </w:r>
          </w:p>
          <w:p w14:paraId="39F63E3C">
            <w:pPr>
              <w:pStyle w:val="6"/>
              <w:spacing w:line="217" w:lineRule="auto"/>
              <w:ind w:left="588"/>
            </w:pPr>
            <w:r>
              <w:rPr>
                <w:spacing w:val="-2"/>
              </w:rPr>
              <w:t>①配胶废气</w:t>
            </w:r>
          </w:p>
          <w:p w14:paraId="5A1A22E7">
            <w:pPr>
              <w:pStyle w:val="6"/>
              <w:spacing w:before="185" w:line="356" w:lineRule="auto"/>
              <w:ind w:left="107" w:right="102" w:firstLine="486"/>
              <w:rPr>
                <w:rFonts w:ascii="Times New Roman" w:hAnsi="Times New Roman" w:eastAsia="Times New Roman" w:cs="Times New Roman"/>
              </w:rPr>
            </w:pPr>
            <w:r>
              <w:rPr>
                <w:spacing w:val="4"/>
              </w:rPr>
              <w:t>项目配胶工序是在铁桶中进行，配制过程中有时需要稍微加热（</w:t>
            </w:r>
            <w:r>
              <w:rPr>
                <w:rFonts w:ascii="Times New Roman" w:hAnsi="Times New Roman" w:eastAsia="Times New Roman" w:cs="Times New Roman"/>
                <w:spacing w:val="4"/>
              </w:rPr>
              <w:t>60-80</w:t>
            </w:r>
            <w:r>
              <w:rPr>
                <w:rFonts w:ascii="Times New Roman" w:hAnsi="Times New Roman" w:eastAsia="Times New Roman" w:cs="Times New Roman"/>
                <w:spacing w:val="18"/>
                <w:w w:val="101"/>
              </w:rPr>
              <w:t xml:space="preserve"> </w:t>
            </w:r>
            <w:r>
              <w:rPr>
                <w:spacing w:val="3"/>
              </w:rPr>
              <w:t>℃)</w:t>
            </w:r>
            <w:r>
              <w:rPr>
                <w:spacing w:val="57"/>
              </w:rPr>
              <w:t xml:space="preserve"> </w:t>
            </w:r>
            <w:r>
              <w:rPr>
                <w:spacing w:val="3"/>
              </w:rPr>
              <w:t>以使树脂有更好的流态，此过程中会有部分胶粘剂中挥发性有机物</w:t>
            </w:r>
            <w:r>
              <w:rPr>
                <w:rFonts w:ascii="Times New Roman" w:hAnsi="Times New Roman" w:eastAsia="Times New Roman" w:cs="Times New Roman"/>
                <w:spacing w:val="3"/>
              </w:rPr>
              <w:t>(</w:t>
            </w:r>
            <w:r>
              <w:rPr>
                <w:spacing w:val="3"/>
              </w:rPr>
              <w:t>以</w:t>
            </w:r>
            <w:r>
              <w:t xml:space="preserve"> </w:t>
            </w:r>
            <w:r>
              <w:rPr>
                <w:rFonts w:ascii="Times New Roman" w:hAnsi="Times New Roman" w:eastAsia="Times New Roman" w:cs="Times New Roman"/>
                <w:spacing w:val="-2"/>
              </w:rPr>
              <w:t xml:space="preserve">TVOC </w:t>
            </w:r>
            <w:r>
              <w:rPr>
                <w:spacing w:val="-2"/>
              </w:rPr>
              <w:t>计</w:t>
            </w:r>
            <w:r>
              <w:rPr>
                <w:rFonts w:ascii="Times New Roman" w:hAnsi="Times New Roman" w:eastAsia="Times New Roman" w:cs="Times New Roman"/>
                <w:spacing w:val="-2"/>
              </w:rPr>
              <w:t>)</w:t>
            </w:r>
            <w:r>
              <w:rPr>
                <w:spacing w:val="-2"/>
              </w:rPr>
              <w:t>释放出来。配胶时只是稍微加热使胶粘剂有流态即可，</w:t>
            </w:r>
            <w:r>
              <w:rPr>
                <w:spacing w:val="-3"/>
              </w:rPr>
              <w:t>且配胶工序</w:t>
            </w:r>
            <w:r>
              <w:t xml:space="preserve"> </w:t>
            </w:r>
            <w:r>
              <w:rPr>
                <w:spacing w:val="5"/>
              </w:rPr>
              <w:t>持续时间短，过程中加热的时间也短，因此产生的挥发性有机物</w:t>
            </w:r>
            <w:r>
              <w:rPr>
                <w:rFonts w:ascii="Times New Roman" w:hAnsi="Times New Roman" w:eastAsia="Times New Roman" w:cs="Times New Roman"/>
                <w:spacing w:val="5"/>
              </w:rPr>
              <w:t>(</w:t>
            </w:r>
            <w:r>
              <w:rPr>
                <w:spacing w:val="5"/>
              </w:rPr>
              <w:t>以</w:t>
            </w:r>
            <w:r>
              <w:rPr>
                <w:spacing w:val="-46"/>
              </w:rPr>
              <w:t xml:space="preserve"> </w:t>
            </w:r>
            <w:r>
              <w:rPr>
                <w:rFonts w:ascii="Times New Roman" w:hAnsi="Times New Roman" w:eastAsia="Times New Roman" w:cs="Times New Roman"/>
              </w:rPr>
              <w:t>TVOC</w:t>
            </w:r>
          </w:p>
          <w:p w14:paraId="4130B451">
            <w:pPr>
              <w:pStyle w:val="6"/>
              <w:spacing w:before="17" w:line="353" w:lineRule="auto"/>
              <w:ind w:left="109" w:right="103"/>
              <w:jc w:val="both"/>
            </w:pPr>
            <w:r>
              <w:rPr>
                <w:spacing w:val="-1"/>
              </w:rPr>
              <w:t>计</w:t>
            </w:r>
            <w:r>
              <w:rPr>
                <w:rFonts w:ascii="Times New Roman" w:hAnsi="Times New Roman" w:eastAsia="Times New Roman" w:cs="Times New Roman"/>
                <w:spacing w:val="-1"/>
              </w:rPr>
              <w:t>)</w:t>
            </w:r>
            <w:r>
              <w:rPr>
                <w:spacing w:val="-1"/>
              </w:rPr>
              <w:t>按胶粘剂中挥发性有机物</w:t>
            </w:r>
            <w:r>
              <w:rPr>
                <w:rFonts w:ascii="Times New Roman" w:hAnsi="Times New Roman" w:eastAsia="Times New Roman" w:cs="Times New Roman"/>
                <w:spacing w:val="-1"/>
              </w:rPr>
              <w:t>(</w:t>
            </w:r>
            <w:r>
              <w:rPr>
                <w:spacing w:val="-1"/>
              </w:rPr>
              <w:t>以</w:t>
            </w:r>
            <w:r>
              <w:rPr>
                <w:spacing w:val="-41"/>
              </w:rPr>
              <w:t xml:space="preserve"> </w:t>
            </w:r>
            <w:r>
              <w:rPr>
                <w:rFonts w:ascii="Times New Roman" w:hAnsi="Times New Roman" w:eastAsia="Times New Roman" w:cs="Times New Roman"/>
                <w:spacing w:val="-1"/>
              </w:rPr>
              <w:t xml:space="preserve">TVOC </w:t>
            </w:r>
            <w:r>
              <w:rPr>
                <w:spacing w:val="-1"/>
              </w:rPr>
              <w:t>计</w:t>
            </w:r>
            <w:r>
              <w:rPr>
                <w:rFonts w:ascii="Times New Roman" w:hAnsi="Times New Roman" w:eastAsia="Times New Roman" w:cs="Times New Roman"/>
                <w:spacing w:val="-1"/>
              </w:rPr>
              <w:t>)</w:t>
            </w:r>
            <w:r>
              <w:rPr>
                <w:spacing w:val="-1"/>
              </w:rPr>
              <w:t>含量的</w:t>
            </w:r>
            <w:r>
              <w:rPr>
                <w:rFonts w:ascii="Times New Roman" w:hAnsi="Times New Roman" w:eastAsia="Times New Roman" w:cs="Times New Roman"/>
                <w:spacing w:val="-1"/>
              </w:rPr>
              <w:t>30%</w:t>
            </w:r>
            <w:r>
              <w:rPr>
                <w:spacing w:val="-1"/>
              </w:rPr>
              <w:t>估算，配胶持续时间为</w:t>
            </w:r>
            <w:r>
              <w:t xml:space="preserve"> </w:t>
            </w:r>
            <w:r>
              <w:rPr>
                <w:rFonts w:ascii="Times New Roman" w:hAnsi="Times New Roman" w:eastAsia="Times New Roman" w:cs="Times New Roman"/>
                <w:spacing w:val="-6"/>
              </w:rPr>
              <w:t>1</w:t>
            </w:r>
            <w:r>
              <w:rPr>
                <w:rFonts w:ascii="Times New Roman" w:hAnsi="Times New Roman" w:eastAsia="Times New Roman" w:cs="Times New Roman"/>
                <w:spacing w:val="-13"/>
              </w:rPr>
              <w:t xml:space="preserve"> </w:t>
            </w:r>
            <w:r>
              <w:rPr>
                <w:spacing w:val="-6"/>
              </w:rPr>
              <w:t>小时</w:t>
            </w:r>
            <w:r>
              <w:rPr>
                <w:rFonts w:ascii="Times New Roman" w:hAnsi="Times New Roman" w:eastAsia="Times New Roman" w:cs="Times New Roman"/>
                <w:spacing w:val="-6"/>
              </w:rPr>
              <w:t>/</w:t>
            </w:r>
            <w:r>
              <w:rPr>
                <w:spacing w:val="-6"/>
              </w:rPr>
              <w:t>天，</w:t>
            </w:r>
            <w:r>
              <w:rPr>
                <w:rFonts w:ascii="Times New Roman" w:hAnsi="Times New Roman" w:eastAsia="Times New Roman" w:cs="Times New Roman"/>
                <w:spacing w:val="-6"/>
              </w:rPr>
              <w:t>300</w:t>
            </w:r>
            <w:r>
              <w:rPr>
                <w:rFonts w:ascii="Times New Roman" w:hAnsi="Times New Roman" w:eastAsia="Times New Roman" w:cs="Times New Roman"/>
                <w:spacing w:val="-13"/>
              </w:rPr>
              <w:t xml:space="preserve"> </w:t>
            </w:r>
            <w:r>
              <w:rPr>
                <w:spacing w:val="-6"/>
              </w:rPr>
              <w:t>天</w:t>
            </w:r>
            <w:r>
              <w:rPr>
                <w:rFonts w:ascii="Times New Roman" w:hAnsi="Times New Roman" w:eastAsia="Times New Roman" w:cs="Times New Roman"/>
                <w:spacing w:val="-6"/>
              </w:rPr>
              <w:t>/</w:t>
            </w:r>
            <w:r>
              <w:rPr>
                <w:spacing w:val="-6"/>
              </w:rPr>
              <w:t>年，据此核算出项目配胶工序产</w:t>
            </w:r>
            <w:r>
              <w:rPr>
                <w:spacing w:val="-7"/>
              </w:rPr>
              <w:t>生的挥发性有机物</w:t>
            </w:r>
            <w:r>
              <w:rPr>
                <w:rFonts w:ascii="Times New Roman" w:hAnsi="Times New Roman" w:eastAsia="Times New Roman" w:cs="Times New Roman"/>
                <w:spacing w:val="-7"/>
              </w:rPr>
              <w:t>(</w:t>
            </w:r>
            <w:r>
              <w:rPr>
                <w:spacing w:val="-7"/>
              </w:rPr>
              <w:t>以</w:t>
            </w:r>
            <w:r>
              <w:rPr>
                <w:rFonts w:ascii="Times New Roman" w:hAnsi="Times New Roman" w:eastAsia="Times New Roman" w:cs="Times New Roman"/>
                <w:spacing w:val="-7"/>
              </w:rPr>
              <w:t>TVOC</w:t>
            </w:r>
            <w:r>
              <w:rPr>
                <w:rFonts w:ascii="Times New Roman" w:hAnsi="Times New Roman" w:eastAsia="Times New Roman" w:cs="Times New Roman"/>
              </w:rPr>
              <w:t xml:space="preserve"> </w:t>
            </w:r>
            <w:r>
              <w:rPr>
                <w:spacing w:val="-1"/>
              </w:rPr>
              <w:t>计</w:t>
            </w:r>
            <w:r>
              <w:rPr>
                <w:rFonts w:ascii="Times New Roman" w:hAnsi="Times New Roman" w:eastAsia="Times New Roman" w:cs="Times New Roman"/>
                <w:spacing w:val="-1"/>
              </w:rPr>
              <w:t>)</w:t>
            </w:r>
            <w:r>
              <w:rPr>
                <w:spacing w:val="-1"/>
              </w:rPr>
              <w:t>的污染源强，详见下表：</w:t>
            </w:r>
          </w:p>
          <w:p w14:paraId="6712D1F7">
            <w:pPr>
              <w:pStyle w:val="6"/>
              <w:spacing w:before="141" w:line="219" w:lineRule="auto"/>
              <w:ind w:left="2074"/>
            </w:pPr>
            <w:r>
              <w:rPr>
                <w:b/>
                <w:bCs/>
                <w:spacing w:val="-2"/>
              </w:rPr>
              <w:t>表</w:t>
            </w:r>
            <w:r>
              <w:rPr>
                <w:spacing w:val="-52"/>
              </w:rPr>
              <w:t xml:space="preserve"> </w:t>
            </w:r>
            <w:r>
              <w:rPr>
                <w:rFonts w:ascii="Times New Roman" w:hAnsi="Times New Roman" w:eastAsia="Times New Roman" w:cs="Times New Roman"/>
                <w:b/>
                <w:bCs/>
                <w:spacing w:val="-2"/>
              </w:rPr>
              <w:t xml:space="preserve">4-1    </w:t>
            </w:r>
            <w:r>
              <w:rPr>
                <w:b/>
                <w:bCs/>
                <w:spacing w:val="-2"/>
              </w:rPr>
              <w:t>配胶工序有机废气源强核算表</w:t>
            </w:r>
          </w:p>
          <w:p w14:paraId="7176C3B2">
            <w:pPr>
              <w:spacing w:line="149" w:lineRule="exact"/>
            </w:pPr>
          </w:p>
          <w:tbl>
            <w:tblPr>
              <w:tblStyle w:val="5"/>
              <w:tblW w:w="792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4"/>
              <w:gridCol w:w="1424"/>
              <w:gridCol w:w="1222"/>
              <w:gridCol w:w="966"/>
              <w:gridCol w:w="1060"/>
              <w:gridCol w:w="1255"/>
            </w:tblGrid>
            <w:tr w14:paraId="35556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1994" w:type="dxa"/>
                  <w:vAlign w:val="top"/>
                </w:tcPr>
                <w:p w14:paraId="11969640">
                  <w:pPr>
                    <w:pStyle w:val="6"/>
                    <w:spacing w:before="126" w:line="227" w:lineRule="auto"/>
                    <w:ind w:left="161"/>
                    <w:rPr>
                      <w:sz w:val="20"/>
                      <w:szCs w:val="20"/>
                    </w:rPr>
                  </w:pPr>
                  <w:r>
                    <w:rPr>
                      <w:spacing w:val="8"/>
                      <w:sz w:val="20"/>
                      <w:szCs w:val="20"/>
                    </w:rPr>
                    <w:t>胶粘剂中挥发性有</w:t>
                  </w:r>
                </w:p>
                <w:p w14:paraId="50845D25">
                  <w:pPr>
                    <w:pStyle w:val="6"/>
                    <w:spacing w:before="27" w:line="221" w:lineRule="auto"/>
                    <w:ind w:left="173"/>
                    <w:rPr>
                      <w:rFonts w:ascii="Times New Roman" w:hAnsi="Times New Roman" w:eastAsia="Times New Roman" w:cs="Times New Roman"/>
                      <w:sz w:val="20"/>
                      <w:szCs w:val="20"/>
                    </w:rPr>
                  </w:pPr>
                  <w:r>
                    <w:rPr>
                      <w:spacing w:val="8"/>
                      <w:sz w:val="20"/>
                      <w:szCs w:val="20"/>
                    </w:rPr>
                    <w:t>机物</w:t>
                  </w:r>
                  <w:r>
                    <w:rPr>
                      <w:rFonts w:ascii="Times New Roman" w:hAnsi="Times New Roman" w:eastAsia="Times New Roman" w:cs="Times New Roman"/>
                      <w:spacing w:val="8"/>
                      <w:sz w:val="20"/>
                      <w:szCs w:val="20"/>
                    </w:rPr>
                    <w:t>(</w:t>
                  </w:r>
                  <w:r>
                    <w:rPr>
                      <w:spacing w:val="8"/>
                      <w:sz w:val="20"/>
                      <w:szCs w:val="20"/>
                    </w:rPr>
                    <w:t>以</w:t>
                  </w:r>
                  <w:r>
                    <w:rPr>
                      <w:spacing w:val="-36"/>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8"/>
                      <w:sz w:val="20"/>
                      <w:szCs w:val="20"/>
                    </w:rPr>
                    <w:t xml:space="preserve"> </w:t>
                  </w:r>
                  <w:r>
                    <w:rPr>
                      <w:spacing w:val="8"/>
                      <w:sz w:val="20"/>
                      <w:szCs w:val="20"/>
                    </w:rPr>
                    <w:t>计</w:t>
                  </w:r>
                  <w:r>
                    <w:rPr>
                      <w:rFonts w:ascii="Times New Roman" w:hAnsi="Times New Roman" w:eastAsia="Times New Roman" w:cs="Times New Roman"/>
                      <w:spacing w:val="8"/>
                      <w:sz w:val="20"/>
                      <w:szCs w:val="20"/>
                    </w:rPr>
                    <w:t>)</w:t>
                  </w:r>
                </w:p>
                <w:p w14:paraId="389224E4">
                  <w:pPr>
                    <w:pStyle w:val="6"/>
                    <w:spacing w:before="31" w:line="228" w:lineRule="auto"/>
                    <w:ind w:left="573"/>
                    <w:rPr>
                      <w:rFonts w:ascii="Times New Roman" w:hAnsi="Times New Roman" w:eastAsia="Times New Roman" w:cs="Times New Roman"/>
                      <w:sz w:val="20"/>
                      <w:szCs w:val="20"/>
                    </w:rPr>
                  </w:pPr>
                  <w:r>
                    <w:rPr>
                      <w:spacing w:val="1"/>
                      <w:sz w:val="20"/>
                      <w:szCs w:val="20"/>
                    </w:rPr>
                    <w:t>的含量</w:t>
                  </w:r>
                  <w:r>
                    <w:rPr>
                      <w:spacing w:val="-41"/>
                      <w:sz w:val="20"/>
                      <w:szCs w:val="20"/>
                    </w:rPr>
                    <w:t xml:space="preserve"> </w:t>
                  </w:r>
                  <w:r>
                    <w:rPr>
                      <w:rFonts w:ascii="Times New Roman" w:hAnsi="Times New Roman" w:eastAsia="Times New Roman" w:cs="Times New Roman"/>
                      <w:spacing w:val="1"/>
                      <w:sz w:val="20"/>
                      <w:szCs w:val="20"/>
                    </w:rPr>
                    <w:t>t/a</w:t>
                  </w:r>
                </w:p>
              </w:tc>
              <w:tc>
                <w:tcPr>
                  <w:tcW w:w="1424" w:type="dxa"/>
                  <w:vAlign w:val="top"/>
                </w:tcPr>
                <w:p w14:paraId="0FC20C84">
                  <w:pPr>
                    <w:pStyle w:val="6"/>
                    <w:spacing w:before="127" w:line="251" w:lineRule="auto"/>
                    <w:ind w:left="192" w:right="191" w:firstLine="102"/>
                    <w:rPr>
                      <w:sz w:val="20"/>
                      <w:szCs w:val="20"/>
                    </w:rPr>
                  </w:pPr>
                  <w:r>
                    <w:rPr>
                      <w:spacing w:val="8"/>
                      <w:sz w:val="20"/>
                      <w:szCs w:val="20"/>
                    </w:rPr>
                    <w:t>配胶操作</w:t>
                  </w:r>
                  <w:r>
                    <w:rPr>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2"/>
                      <w:w w:val="101"/>
                      <w:sz w:val="20"/>
                      <w:szCs w:val="20"/>
                    </w:rPr>
                    <w:t xml:space="preserve"> </w:t>
                  </w:r>
                  <w:r>
                    <w:rPr>
                      <w:spacing w:val="14"/>
                      <w:sz w:val="20"/>
                      <w:szCs w:val="20"/>
                    </w:rPr>
                    <w:t>挥发</w:t>
                  </w:r>
                </w:p>
                <w:p w14:paraId="3648B0AB">
                  <w:pPr>
                    <w:pStyle w:val="6"/>
                    <w:spacing w:line="227" w:lineRule="auto"/>
                    <w:ind w:left="524"/>
                    <w:rPr>
                      <w:rFonts w:ascii="Times New Roman" w:hAnsi="Times New Roman" w:eastAsia="Times New Roman" w:cs="Times New Roman"/>
                      <w:sz w:val="20"/>
                      <w:szCs w:val="20"/>
                    </w:rPr>
                  </w:pPr>
                  <w:r>
                    <w:rPr>
                      <w:spacing w:val="4"/>
                      <w:sz w:val="20"/>
                      <w:szCs w:val="20"/>
                    </w:rPr>
                    <w:t>率</w:t>
                  </w:r>
                  <w:r>
                    <w:rPr>
                      <w:rFonts w:ascii="Times New Roman" w:hAnsi="Times New Roman" w:eastAsia="Times New Roman" w:cs="Times New Roman"/>
                      <w:spacing w:val="4"/>
                      <w:sz w:val="20"/>
                      <w:szCs w:val="20"/>
                    </w:rPr>
                    <w:t>%</w:t>
                  </w:r>
                </w:p>
              </w:tc>
              <w:tc>
                <w:tcPr>
                  <w:tcW w:w="1222" w:type="dxa"/>
                  <w:vAlign w:val="top"/>
                </w:tcPr>
                <w:p w14:paraId="205073D4">
                  <w:pPr>
                    <w:pStyle w:val="6"/>
                    <w:spacing w:before="143" w:line="228" w:lineRule="auto"/>
                    <w:ind w:left="198"/>
                    <w:rPr>
                      <w:sz w:val="20"/>
                      <w:szCs w:val="20"/>
                    </w:rPr>
                  </w:pPr>
                  <w:r>
                    <w:rPr>
                      <w:spacing w:val="6"/>
                      <w:sz w:val="20"/>
                      <w:szCs w:val="20"/>
                    </w:rPr>
                    <w:t>非甲烷总</w:t>
                  </w:r>
                </w:p>
                <w:p w14:paraId="67FF861A">
                  <w:pPr>
                    <w:pStyle w:val="6"/>
                    <w:spacing w:before="23" w:line="228" w:lineRule="auto"/>
                    <w:ind w:left="196"/>
                    <w:rPr>
                      <w:sz w:val="20"/>
                      <w:szCs w:val="20"/>
                    </w:rPr>
                  </w:pPr>
                  <w:r>
                    <w:rPr>
                      <w:spacing w:val="7"/>
                      <w:sz w:val="20"/>
                      <w:szCs w:val="20"/>
                    </w:rPr>
                    <w:t>烃产生量</w:t>
                  </w:r>
                </w:p>
                <w:p w14:paraId="2AD18389">
                  <w:pPr>
                    <w:spacing w:before="42" w:line="199"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966" w:type="dxa"/>
                  <w:vAlign w:val="top"/>
                </w:tcPr>
                <w:p w14:paraId="5525DB86">
                  <w:pPr>
                    <w:pStyle w:val="6"/>
                    <w:spacing w:before="263" w:line="228" w:lineRule="auto"/>
                    <w:ind w:left="174"/>
                    <w:rPr>
                      <w:sz w:val="20"/>
                      <w:szCs w:val="20"/>
                    </w:rPr>
                  </w:pPr>
                  <w:r>
                    <w:rPr>
                      <w:spacing w:val="6"/>
                      <w:sz w:val="20"/>
                      <w:szCs w:val="20"/>
                    </w:rPr>
                    <w:t>年作业</w:t>
                  </w:r>
                </w:p>
                <w:p w14:paraId="3587B454">
                  <w:pPr>
                    <w:pStyle w:val="6"/>
                    <w:spacing w:before="26" w:line="228" w:lineRule="auto"/>
                    <w:ind w:left="204"/>
                    <w:rPr>
                      <w:rFonts w:ascii="Times New Roman" w:hAnsi="Times New Roman" w:eastAsia="Times New Roman" w:cs="Times New Roman"/>
                      <w:sz w:val="20"/>
                      <w:szCs w:val="20"/>
                    </w:rPr>
                  </w:pPr>
                  <w:r>
                    <w:rPr>
                      <w:spacing w:val="1"/>
                      <w:sz w:val="20"/>
                      <w:szCs w:val="20"/>
                    </w:rPr>
                    <w:t>天数</w:t>
                  </w:r>
                  <w:r>
                    <w:rPr>
                      <w:spacing w:val="-37"/>
                      <w:sz w:val="20"/>
                      <w:szCs w:val="20"/>
                    </w:rPr>
                    <w:t xml:space="preserve"> </w:t>
                  </w:r>
                  <w:r>
                    <w:rPr>
                      <w:rFonts w:ascii="Times New Roman" w:hAnsi="Times New Roman" w:eastAsia="Times New Roman" w:cs="Times New Roman"/>
                      <w:spacing w:val="1"/>
                      <w:sz w:val="20"/>
                      <w:szCs w:val="20"/>
                    </w:rPr>
                    <w:t>d</w:t>
                  </w:r>
                </w:p>
              </w:tc>
              <w:tc>
                <w:tcPr>
                  <w:tcW w:w="1060" w:type="dxa"/>
                  <w:vAlign w:val="top"/>
                </w:tcPr>
                <w:p w14:paraId="0B636FD7">
                  <w:pPr>
                    <w:pStyle w:val="6"/>
                    <w:spacing w:before="263" w:line="255" w:lineRule="auto"/>
                    <w:ind w:left="177" w:right="108" w:hanging="60"/>
                    <w:rPr>
                      <w:rFonts w:ascii="Times New Roman" w:hAnsi="Times New Roman" w:eastAsia="Times New Roman" w:cs="Times New Roman"/>
                      <w:sz w:val="20"/>
                      <w:szCs w:val="20"/>
                    </w:rPr>
                  </w:pPr>
                  <w:r>
                    <w:rPr>
                      <w:spacing w:val="7"/>
                      <w:sz w:val="20"/>
                      <w:szCs w:val="20"/>
                    </w:rPr>
                    <w:t>配胶作业</w:t>
                  </w:r>
                  <w:r>
                    <w:rPr>
                      <w:sz w:val="20"/>
                      <w:szCs w:val="20"/>
                    </w:rPr>
                    <w:t xml:space="preserve"> </w:t>
                  </w:r>
                  <w:r>
                    <w:rPr>
                      <w:spacing w:val="2"/>
                      <w:sz w:val="20"/>
                      <w:szCs w:val="20"/>
                    </w:rPr>
                    <w:t>时间</w:t>
                  </w:r>
                  <w:r>
                    <w:rPr>
                      <w:spacing w:val="-47"/>
                      <w:sz w:val="20"/>
                      <w:szCs w:val="20"/>
                    </w:rPr>
                    <w:t xml:space="preserve"> </w:t>
                  </w:r>
                  <w:r>
                    <w:rPr>
                      <w:rFonts w:ascii="Times New Roman" w:hAnsi="Times New Roman" w:eastAsia="Times New Roman" w:cs="Times New Roman"/>
                      <w:spacing w:val="2"/>
                      <w:sz w:val="20"/>
                      <w:szCs w:val="20"/>
                    </w:rPr>
                    <w:t>h/d</w:t>
                  </w:r>
                </w:p>
              </w:tc>
              <w:tc>
                <w:tcPr>
                  <w:tcW w:w="1255" w:type="dxa"/>
                  <w:vAlign w:val="top"/>
                </w:tcPr>
                <w:p w14:paraId="62A757D7">
                  <w:pPr>
                    <w:pStyle w:val="6"/>
                    <w:spacing w:before="127" w:line="228" w:lineRule="auto"/>
                    <w:ind w:left="217"/>
                    <w:rPr>
                      <w:sz w:val="20"/>
                      <w:szCs w:val="20"/>
                    </w:rPr>
                  </w:pPr>
                  <w:r>
                    <w:rPr>
                      <w:spacing w:val="6"/>
                      <w:sz w:val="20"/>
                      <w:szCs w:val="20"/>
                    </w:rPr>
                    <w:t>非甲烷总</w:t>
                  </w:r>
                </w:p>
                <w:p w14:paraId="7E800A99">
                  <w:pPr>
                    <w:pStyle w:val="6"/>
                    <w:spacing w:before="25" w:line="247" w:lineRule="auto"/>
                    <w:ind w:left="315" w:right="206" w:hanging="101"/>
                    <w:rPr>
                      <w:rFonts w:ascii="Times New Roman" w:hAnsi="Times New Roman" w:eastAsia="Times New Roman" w:cs="Times New Roman"/>
                      <w:sz w:val="20"/>
                      <w:szCs w:val="20"/>
                    </w:rPr>
                  </w:pPr>
                  <w:r>
                    <w:rPr>
                      <w:spacing w:val="7"/>
                      <w:sz w:val="20"/>
                      <w:szCs w:val="20"/>
                    </w:rPr>
                    <w:t>烃产生速</w:t>
                  </w:r>
                  <w:r>
                    <w:rPr>
                      <w:sz w:val="20"/>
                      <w:szCs w:val="20"/>
                    </w:rPr>
                    <w:t xml:space="preserve"> </w:t>
                  </w:r>
                  <w:r>
                    <w:rPr>
                      <w:spacing w:val="4"/>
                      <w:sz w:val="20"/>
                      <w:szCs w:val="20"/>
                    </w:rPr>
                    <w:t>率</w:t>
                  </w:r>
                  <w:r>
                    <w:rPr>
                      <w:spacing w:val="-46"/>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r>
            <w:tr w14:paraId="04C2C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994" w:type="dxa"/>
                  <w:vAlign w:val="top"/>
                </w:tcPr>
                <w:p w14:paraId="0BD087F6">
                  <w:pPr>
                    <w:spacing w:before="206"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9.9144</w:t>
                  </w:r>
                </w:p>
              </w:tc>
              <w:tc>
                <w:tcPr>
                  <w:tcW w:w="1424" w:type="dxa"/>
                  <w:vAlign w:val="top"/>
                </w:tcPr>
                <w:p w14:paraId="6A3FAE72">
                  <w:pPr>
                    <w:spacing w:before="206"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1222" w:type="dxa"/>
                  <w:vAlign w:val="top"/>
                </w:tcPr>
                <w:p w14:paraId="5DF9CA77">
                  <w:pPr>
                    <w:spacing w:before="20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2.97432</w:t>
                  </w:r>
                </w:p>
              </w:tc>
              <w:tc>
                <w:tcPr>
                  <w:tcW w:w="966" w:type="dxa"/>
                  <w:vAlign w:val="top"/>
                </w:tcPr>
                <w:p w14:paraId="1EDBCCD5">
                  <w:pPr>
                    <w:spacing w:before="206"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60" w:type="dxa"/>
                  <w:vAlign w:val="top"/>
                </w:tcPr>
                <w:p w14:paraId="2EDBDBA8">
                  <w:pPr>
                    <w:spacing w:before="207"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5" w:type="dxa"/>
                  <w:vAlign w:val="top"/>
                </w:tcPr>
                <w:p w14:paraId="58DA23D7">
                  <w:pPr>
                    <w:spacing w:before="209" w:line="195" w:lineRule="auto"/>
                    <w:ind w:left="3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9.9144</w:t>
                  </w:r>
                </w:p>
              </w:tc>
            </w:tr>
          </w:tbl>
          <w:p w14:paraId="7B77FB6A">
            <w:pPr>
              <w:pStyle w:val="6"/>
              <w:spacing w:before="156" w:line="359" w:lineRule="auto"/>
              <w:ind w:left="109" w:right="49" w:firstLine="480"/>
            </w:pPr>
            <w:r>
              <w:rPr>
                <w:spacing w:val="-2"/>
              </w:rPr>
              <w:t>根据上表的核算，本项目配胶工序有机废气污染物产生量为</w:t>
            </w:r>
            <w:r>
              <w:rPr>
                <w:spacing w:val="-55"/>
              </w:rPr>
              <w:t xml:space="preserve"> </w:t>
            </w:r>
            <w:r>
              <w:rPr>
                <w:rFonts w:ascii="Times New Roman" w:hAnsi="Times New Roman" w:eastAsia="Times New Roman" w:cs="Times New Roman"/>
                <w:spacing w:val="-2"/>
              </w:rPr>
              <w:t>2.97432t</w:t>
            </w:r>
            <w:r>
              <w:rPr>
                <w:rFonts w:ascii="Times New Roman" w:hAnsi="Times New Roman" w:eastAsia="Times New Roman" w:cs="Times New Roman"/>
                <w:spacing w:val="-3"/>
              </w:rPr>
              <w:t>/a</w:t>
            </w:r>
            <w:r>
              <w:rPr>
                <w:spacing w:val="-3"/>
              </w:rPr>
              <w:t>，</w:t>
            </w:r>
            <w:r>
              <w:t xml:space="preserve"> </w:t>
            </w:r>
            <w:r>
              <w:rPr>
                <w:spacing w:val="-2"/>
              </w:rPr>
              <w:t>产生速率为</w:t>
            </w:r>
            <w:r>
              <w:rPr>
                <w:spacing w:val="-41"/>
              </w:rPr>
              <w:t xml:space="preserve"> </w:t>
            </w:r>
            <w:r>
              <w:rPr>
                <w:rFonts w:ascii="Times New Roman" w:hAnsi="Times New Roman" w:eastAsia="Times New Roman" w:cs="Times New Roman"/>
                <w:spacing w:val="-2"/>
              </w:rPr>
              <w:t>9.9144kg/h</w:t>
            </w:r>
            <w:r>
              <w:rPr>
                <w:spacing w:val="-2"/>
              </w:rPr>
              <w:t>。</w:t>
            </w:r>
          </w:p>
          <w:p w14:paraId="66F4238B">
            <w:pPr>
              <w:pStyle w:val="6"/>
              <w:spacing w:line="217" w:lineRule="auto"/>
              <w:ind w:left="588"/>
            </w:pPr>
            <w:r>
              <w:rPr>
                <w:spacing w:val="-2"/>
              </w:rPr>
              <w:t>②抽真空废气</w:t>
            </w:r>
          </w:p>
          <w:p w14:paraId="74F92E43">
            <w:pPr>
              <w:pStyle w:val="6"/>
              <w:spacing w:before="185" w:line="353" w:lineRule="auto"/>
              <w:ind w:left="108" w:right="42" w:firstLine="484"/>
            </w:pPr>
            <w:r>
              <w:rPr>
                <w:spacing w:val="-4"/>
              </w:rPr>
              <w:t>项目所用的真空机容积约为</w:t>
            </w:r>
            <w:r>
              <w:rPr>
                <w:spacing w:val="-25"/>
              </w:rPr>
              <w:t xml:space="preserve"> </w:t>
            </w:r>
            <w:r>
              <w:rPr>
                <w:rFonts w:ascii="Times New Roman" w:hAnsi="Times New Roman" w:eastAsia="Times New Roman" w:cs="Times New Roman"/>
                <w:spacing w:val="-4"/>
              </w:rPr>
              <w:t>100L</w:t>
            </w:r>
            <w:r>
              <w:rPr>
                <w:spacing w:val="-4"/>
              </w:rPr>
              <w:t>，在投加宝石和配制好的胶后，启动抽</w:t>
            </w:r>
            <w:r>
              <w:t xml:space="preserve"> </w:t>
            </w:r>
            <w:r>
              <w:rPr>
                <w:spacing w:val="-5"/>
              </w:rPr>
              <w:t>气泵，将内部空气抽出，同时带出少量的有机</w:t>
            </w:r>
            <w:r>
              <w:rPr>
                <w:spacing w:val="-6"/>
              </w:rPr>
              <w:t>废气。因真空机内部空间较小，</w:t>
            </w:r>
            <w:r>
              <w:t xml:space="preserve"> 抽离的气体也很少，抽气时间很短，产生的有机废气量极少，并且抽</w:t>
            </w:r>
            <w:r>
              <w:rPr>
                <w:spacing w:val="-1"/>
              </w:rPr>
              <w:t>离的气</w:t>
            </w:r>
          </w:p>
        </w:tc>
      </w:tr>
    </w:tbl>
    <w:p w14:paraId="2D7D1F9D">
      <w:pPr>
        <w:rPr>
          <w:rFonts w:ascii="Arial"/>
          <w:sz w:val="21"/>
        </w:rPr>
      </w:pPr>
    </w:p>
    <w:p w14:paraId="4FB79DA0">
      <w:pPr>
        <w:rPr>
          <w:rFonts w:ascii="Arial" w:hAnsi="Arial" w:eastAsia="Arial" w:cs="Arial"/>
          <w:sz w:val="21"/>
          <w:szCs w:val="21"/>
        </w:rPr>
        <w:sectPr>
          <w:footerReference r:id="rId65" w:type="default"/>
          <w:pgSz w:w="11907" w:h="16840"/>
          <w:pgMar w:top="400" w:right="1499" w:bottom="1240" w:left="1499" w:header="0" w:footer="1077" w:gutter="0"/>
          <w:cols w:space="720" w:num="1"/>
        </w:sectPr>
      </w:pPr>
    </w:p>
    <w:p w14:paraId="1DF73038">
      <w:pPr>
        <w:spacing w:before="19"/>
      </w:pPr>
    </w:p>
    <w:p w14:paraId="48C975FB">
      <w:pPr>
        <w:spacing w:before="19"/>
      </w:pPr>
    </w:p>
    <w:p w14:paraId="5AFB9A2F">
      <w:pPr>
        <w:spacing w:before="19"/>
      </w:pPr>
    </w:p>
    <w:p w14:paraId="01927417">
      <w:pPr>
        <w:spacing w:before="18"/>
      </w:pPr>
    </w:p>
    <w:p w14:paraId="08702B7B">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3EA4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754" w:type="dxa"/>
            <w:tcBorders>
              <w:right w:val="single" w:color="000000" w:sz="2" w:space="0"/>
            </w:tcBorders>
            <w:vAlign w:val="top"/>
          </w:tcPr>
          <w:p w14:paraId="788CAEC9">
            <w:pPr>
              <w:rPr>
                <w:rFonts w:ascii="Arial"/>
                <w:sz w:val="21"/>
              </w:rPr>
            </w:pPr>
          </w:p>
        </w:tc>
        <w:tc>
          <w:tcPr>
            <w:tcW w:w="8139" w:type="dxa"/>
            <w:tcBorders>
              <w:left w:val="single" w:color="000000" w:sz="2" w:space="0"/>
            </w:tcBorders>
            <w:vAlign w:val="top"/>
          </w:tcPr>
          <w:p w14:paraId="4F32C17B">
            <w:pPr>
              <w:pStyle w:val="6"/>
              <w:spacing w:before="39" w:line="359" w:lineRule="auto"/>
              <w:ind w:left="111" w:right="101" w:hanging="2"/>
            </w:pPr>
            <w:r>
              <w:t>体同步接入项目有机废气收集管道，与配胶废气和烘干废气一并进</w:t>
            </w:r>
            <w:r>
              <w:rPr>
                <w:spacing w:val="-1"/>
              </w:rPr>
              <w:t>行有效处</w:t>
            </w:r>
            <w:r>
              <w:t xml:space="preserve"> </w:t>
            </w:r>
            <w:r>
              <w:rPr>
                <w:spacing w:val="-1"/>
              </w:rPr>
              <w:t>理，因此不再单独分析、核算抽真空产生的有机废气。</w:t>
            </w:r>
          </w:p>
          <w:p w14:paraId="790E6823">
            <w:pPr>
              <w:pStyle w:val="6"/>
              <w:spacing w:line="217" w:lineRule="auto"/>
              <w:ind w:left="588"/>
            </w:pPr>
            <w:r>
              <w:rPr>
                <w:spacing w:val="-2"/>
              </w:rPr>
              <w:t>③烘干废气</w:t>
            </w:r>
          </w:p>
          <w:p w14:paraId="1D126F44">
            <w:pPr>
              <w:pStyle w:val="6"/>
              <w:spacing w:before="188" w:line="357" w:lineRule="auto"/>
              <w:ind w:left="110" w:right="42" w:firstLine="479"/>
            </w:pPr>
            <w:r>
              <w:t>注胶结束后需要烘干，烘干机使用的是电能。烘干过程中</w:t>
            </w:r>
            <w:r>
              <w:rPr>
                <w:spacing w:val="-1"/>
              </w:rPr>
              <w:t>剩余的胶粘剂</w:t>
            </w:r>
            <w:r>
              <w:t xml:space="preserve"> 中挥发性有机物</w:t>
            </w:r>
            <w:r>
              <w:rPr>
                <w:rFonts w:ascii="Times New Roman" w:hAnsi="Times New Roman" w:eastAsia="Times New Roman" w:cs="Times New Roman"/>
              </w:rPr>
              <w:t>(</w:t>
            </w:r>
            <w:r>
              <w:t>以</w:t>
            </w:r>
            <w:r>
              <w:rPr>
                <w:spacing w:val="-38"/>
              </w:rPr>
              <w:t xml:space="preserve"> </w:t>
            </w:r>
            <w:r>
              <w:rPr>
                <w:rFonts w:ascii="Times New Roman" w:hAnsi="Times New Roman" w:eastAsia="Times New Roman" w:cs="Times New Roman"/>
              </w:rPr>
              <w:t xml:space="preserve">TVOC </w:t>
            </w:r>
            <w:r>
              <w:t>计</w:t>
            </w:r>
            <w:r>
              <w:rPr>
                <w:rFonts w:ascii="Times New Roman" w:hAnsi="Times New Roman" w:eastAsia="Times New Roman" w:cs="Times New Roman"/>
              </w:rPr>
              <w:t>)</w:t>
            </w:r>
            <w:r>
              <w:t xml:space="preserve">会全部挥发产生释放出来，即挥发系数按胶粘 </w:t>
            </w:r>
            <w:r>
              <w:rPr>
                <w:spacing w:val="3"/>
              </w:rPr>
              <w:t>剂中挥发性有机物</w:t>
            </w:r>
            <w:r>
              <w:rPr>
                <w:rFonts w:ascii="Times New Roman" w:hAnsi="Times New Roman" w:eastAsia="Times New Roman" w:cs="Times New Roman"/>
                <w:spacing w:val="3"/>
              </w:rPr>
              <w:t>(</w:t>
            </w:r>
            <w:r>
              <w:rPr>
                <w:spacing w:val="3"/>
              </w:rPr>
              <w:t>以</w:t>
            </w:r>
            <w:r>
              <w:rPr>
                <w:spacing w:val="-50"/>
              </w:rPr>
              <w:t xml:space="preserve"> </w:t>
            </w:r>
            <w:r>
              <w:rPr>
                <w:rFonts w:ascii="Times New Roman" w:hAnsi="Times New Roman" w:eastAsia="Times New Roman" w:cs="Times New Roman"/>
              </w:rPr>
              <w:t>TVOC</w:t>
            </w:r>
            <w:r>
              <w:rPr>
                <w:rFonts w:ascii="Times New Roman" w:hAnsi="Times New Roman" w:eastAsia="Times New Roman" w:cs="Times New Roman"/>
                <w:spacing w:val="3"/>
              </w:rPr>
              <w:t xml:space="preserve"> </w:t>
            </w:r>
            <w:r>
              <w:rPr>
                <w:spacing w:val="3"/>
              </w:rPr>
              <w:t>计</w:t>
            </w:r>
            <w:r>
              <w:rPr>
                <w:rFonts w:ascii="Times New Roman" w:hAnsi="Times New Roman" w:eastAsia="Times New Roman" w:cs="Times New Roman"/>
                <w:spacing w:val="3"/>
              </w:rPr>
              <w:t>)</w:t>
            </w:r>
            <w:r>
              <w:rPr>
                <w:spacing w:val="3"/>
              </w:rPr>
              <w:t>含量的</w:t>
            </w:r>
            <w:r>
              <w:rPr>
                <w:rFonts w:ascii="Times New Roman" w:hAnsi="Times New Roman" w:eastAsia="Times New Roman" w:cs="Times New Roman"/>
                <w:spacing w:val="3"/>
              </w:rPr>
              <w:t>70%</w:t>
            </w:r>
            <w:r>
              <w:rPr>
                <w:spacing w:val="3"/>
              </w:rPr>
              <w:t>估算。项目后烘干</w:t>
            </w:r>
            <w:r>
              <w:rPr>
                <w:spacing w:val="2"/>
              </w:rPr>
              <w:t>持续时间为</w:t>
            </w:r>
            <w:r>
              <w:rPr>
                <w:spacing w:val="-43"/>
              </w:rPr>
              <w:t xml:space="preserve"> </w:t>
            </w:r>
            <w:r>
              <w:rPr>
                <w:rFonts w:ascii="Times New Roman" w:hAnsi="Times New Roman" w:eastAsia="Times New Roman" w:cs="Times New Roman"/>
                <w:spacing w:val="2"/>
              </w:rPr>
              <w:t>8</w:t>
            </w:r>
            <w:r>
              <w:rPr>
                <w:rFonts w:ascii="Times New Roman" w:hAnsi="Times New Roman" w:eastAsia="Times New Roman" w:cs="Times New Roman"/>
              </w:rPr>
              <w:t xml:space="preserve">  </w:t>
            </w:r>
            <w:r>
              <w:rPr>
                <w:spacing w:val="-3"/>
              </w:rPr>
              <w:t>小时</w:t>
            </w:r>
            <w:r>
              <w:rPr>
                <w:rFonts w:ascii="Times New Roman" w:hAnsi="Times New Roman" w:eastAsia="Times New Roman" w:cs="Times New Roman"/>
                <w:spacing w:val="-3"/>
              </w:rPr>
              <w:t>/</w:t>
            </w:r>
            <w:r>
              <w:rPr>
                <w:spacing w:val="-3"/>
              </w:rPr>
              <w:t>天，</w:t>
            </w:r>
            <w:r>
              <w:rPr>
                <w:rFonts w:ascii="Times New Roman" w:hAnsi="Times New Roman" w:eastAsia="Times New Roman" w:cs="Times New Roman"/>
                <w:spacing w:val="-3"/>
              </w:rPr>
              <w:t>300</w:t>
            </w:r>
            <w:r>
              <w:rPr>
                <w:rFonts w:ascii="Times New Roman" w:hAnsi="Times New Roman" w:eastAsia="Times New Roman" w:cs="Times New Roman"/>
                <w:spacing w:val="15"/>
              </w:rPr>
              <w:t xml:space="preserve"> </w:t>
            </w:r>
            <w:r>
              <w:rPr>
                <w:spacing w:val="-3"/>
              </w:rPr>
              <w:t>天</w:t>
            </w:r>
            <w:r>
              <w:rPr>
                <w:rFonts w:ascii="Times New Roman" w:hAnsi="Times New Roman" w:eastAsia="Times New Roman" w:cs="Times New Roman"/>
                <w:spacing w:val="-3"/>
              </w:rPr>
              <w:t>/</w:t>
            </w:r>
            <w:r>
              <w:rPr>
                <w:spacing w:val="-3"/>
              </w:rPr>
              <w:t>年，据此核算出项目后烘干工序</w:t>
            </w:r>
            <w:r>
              <w:rPr>
                <w:spacing w:val="-4"/>
              </w:rPr>
              <w:t>产生的</w:t>
            </w:r>
            <w:r>
              <w:rPr>
                <w:spacing w:val="-53"/>
              </w:rPr>
              <w:t xml:space="preserve"> </w:t>
            </w:r>
            <w:r>
              <w:rPr>
                <w:rFonts w:ascii="Times New Roman" w:hAnsi="Times New Roman" w:eastAsia="Times New Roman" w:cs="Times New Roman"/>
                <w:spacing w:val="-4"/>
              </w:rPr>
              <w:t>TVOC</w:t>
            </w:r>
            <w:r>
              <w:rPr>
                <w:rFonts w:ascii="Times New Roman" w:hAnsi="Times New Roman" w:eastAsia="Times New Roman" w:cs="Times New Roman"/>
                <w:spacing w:val="30"/>
              </w:rPr>
              <w:t xml:space="preserve"> </w:t>
            </w:r>
            <w:r>
              <w:rPr>
                <w:spacing w:val="-4"/>
              </w:rPr>
              <w:t>的污染源强，</w:t>
            </w:r>
            <w:r>
              <w:t xml:space="preserve"> </w:t>
            </w:r>
            <w:r>
              <w:rPr>
                <w:spacing w:val="-3"/>
              </w:rPr>
              <w:t>详见下表：</w:t>
            </w:r>
          </w:p>
          <w:p w14:paraId="71157B32">
            <w:pPr>
              <w:pStyle w:val="6"/>
              <w:spacing w:before="131" w:line="219" w:lineRule="auto"/>
              <w:ind w:left="1954"/>
            </w:pPr>
            <w:r>
              <w:rPr>
                <w:b/>
                <w:bCs/>
                <w:spacing w:val="-2"/>
              </w:rPr>
              <w:t>表</w:t>
            </w:r>
            <w:r>
              <w:rPr>
                <w:spacing w:val="-52"/>
              </w:rPr>
              <w:t xml:space="preserve"> </w:t>
            </w:r>
            <w:r>
              <w:rPr>
                <w:rFonts w:ascii="Times New Roman" w:hAnsi="Times New Roman" w:eastAsia="Times New Roman" w:cs="Times New Roman"/>
                <w:b/>
                <w:bCs/>
                <w:spacing w:val="-2"/>
              </w:rPr>
              <w:t xml:space="preserve">4-2    </w:t>
            </w:r>
            <w:r>
              <w:rPr>
                <w:b/>
                <w:bCs/>
                <w:spacing w:val="-2"/>
              </w:rPr>
              <w:t>后烘干工序有机废气源强核算表</w:t>
            </w:r>
          </w:p>
          <w:p w14:paraId="0591DF1E">
            <w:pPr>
              <w:spacing w:line="146" w:lineRule="exact"/>
            </w:pPr>
          </w:p>
          <w:tbl>
            <w:tblPr>
              <w:tblStyle w:val="5"/>
              <w:tblW w:w="7861"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9"/>
              <w:gridCol w:w="1390"/>
              <w:gridCol w:w="1059"/>
              <w:gridCol w:w="1085"/>
              <w:gridCol w:w="956"/>
              <w:gridCol w:w="1302"/>
            </w:tblGrid>
            <w:tr w14:paraId="353F0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2069" w:type="dxa"/>
                  <w:vAlign w:val="top"/>
                </w:tcPr>
                <w:p w14:paraId="6489C260">
                  <w:pPr>
                    <w:pStyle w:val="6"/>
                    <w:spacing w:before="114" w:line="227" w:lineRule="auto"/>
                    <w:ind w:left="198"/>
                    <w:rPr>
                      <w:sz w:val="20"/>
                      <w:szCs w:val="20"/>
                    </w:rPr>
                  </w:pPr>
                  <w:r>
                    <w:rPr>
                      <w:spacing w:val="8"/>
                      <w:sz w:val="20"/>
                      <w:szCs w:val="20"/>
                    </w:rPr>
                    <w:t>胶粘剂中挥发性有</w:t>
                  </w:r>
                </w:p>
                <w:p w14:paraId="20F13856">
                  <w:pPr>
                    <w:pStyle w:val="6"/>
                    <w:spacing w:before="37" w:line="203" w:lineRule="auto"/>
                    <w:ind w:left="165"/>
                    <w:rPr>
                      <w:rFonts w:ascii="Times New Roman" w:hAnsi="Times New Roman" w:eastAsia="Times New Roman" w:cs="Times New Roman"/>
                      <w:sz w:val="20"/>
                      <w:szCs w:val="20"/>
                    </w:rPr>
                  </w:pPr>
                  <w:r>
                    <w:rPr>
                      <w:spacing w:val="4"/>
                      <w:sz w:val="20"/>
                      <w:szCs w:val="20"/>
                    </w:rPr>
                    <w:t>机物</w:t>
                  </w:r>
                  <w:r>
                    <w:rPr>
                      <w:rFonts w:ascii="Times New Roman" w:hAnsi="Times New Roman" w:eastAsia="Times New Roman" w:cs="Times New Roman"/>
                      <w:spacing w:val="4"/>
                      <w:sz w:val="20"/>
                      <w:szCs w:val="20"/>
                    </w:rPr>
                    <w:t>(</w:t>
                  </w:r>
                  <w:r>
                    <w:rPr>
                      <w:spacing w:val="4"/>
                      <w:sz w:val="20"/>
                      <w:szCs w:val="20"/>
                    </w:rPr>
                    <w:t>以</w:t>
                  </w:r>
                  <w:r>
                    <w:rPr>
                      <w:spacing w:val="-38"/>
                      <w:sz w:val="20"/>
                      <w:szCs w:val="20"/>
                    </w:rPr>
                    <w:t xml:space="preserve"> </w:t>
                  </w:r>
                  <w:r>
                    <w:rPr>
                      <w:rFonts w:ascii="Times New Roman" w:hAnsi="Times New Roman" w:eastAsia="Times New Roman" w:cs="Times New Roman"/>
                    </w:rPr>
                    <w:t>TVOC</w:t>
                  </w:r>
                  <w:r>
                    <w:rPr>
                      <w:rFonts w:ascii="Times New Roman" w:hAnsi="Times New Roman" w:eastAsia="Times New Roman" w:cs="Times New Roman"/>
                      <w:spacing w:val="4"/>
                    </w:rPr>
                    <w:t xml:space="preserve"> </w:t>
                  </w:r>
                  <w:r>
                    <w:rPr>
                      <w:spacing w:val="4"/>
                      <w:sz w:val="20"/>
                      <w:szCs w:val="20"/>
                    </w:rPr>
                    <w:t>计</w:t>
                  </w:r>
                  <w:r>
                    <w:rPr>
                      <w:rFonts w:ascii="Times New Roman" w:hAnsi="Times New Roman" w:eastAsia="Times New Roman" w:cs="Times New Roman"/>
                      <w:spacing w:val="4"/>
                      <w:sz w:val="20"/>
                      <w:szCs w:val="20"/>
                    </w:rPr>
                    <w:t>)</w:t>
                  </w:r>
                </w:p>
                <w:p w14:paraId="087A54BA">
                  <w:pPr>
                    <w:pStyle w:val="6"/>
                    <w:spacing w:before="33" w:line="228" w:lineRule="auto"/>
                    <w:ind w:left="610"/>
                    <w:rPr>
                      <w:rFonts w:ascii="Times New Roman" w:hAnsi="Times New Roman" w:eastAsia="Times New Roman" w:cs="Times New Roman"/>
                      <w:sz w:val="20"/>
                      <w:szCs w:val="20"/>
                    </w:rPr>
                  </w:pPr>
                  <w:r>
                    <w:rPr>
                      <w:spacing w:val="1"/>
                      <w:sz w:val="20"/>
                      <w:szCs w:val="20"/>
                    </w:rPr>
                    <w:t>的含量</w:t>
                  </w:r>
                  <w:r>
                    <w:rPr>
                      <w:spacing w:val="-43"/>
                      <w:sz w:val="20"/>
                      <w:szCs w:val="20"/>
                    </w:rPr>
                    <w:t xml:space="preserve"> </w:t>
                  </w:r>
                  <w:r>
                    <w:rPr>
                      <w:rFonts w:ascii="Times New Roman" w:hAnsi="Times New Roman" w:eastAsia="Times New Roman" w:cs="Times New Roman"/>
                      <w:spacing w:val="1"/>
                      <w:sz w:val="20"/>
                      <w:szCs w:val="20"/>
                    </w:rPr>
                    <w:t>t/a</w:t>
                  </w:r>
                </w:p>
              </w:tc>
              <w:tc>
                <w:tcPr>
                  <w:tcW w:w="1390" w:type="dxa"/>
                  <w:vAlign w:val="top"/>
                </w:tcPr>
                <w:p w14:paraId="3B83BED4">
                  <w:pPr>
                    <w:pStyle w:val="6"/>
                    <w:spacing w:before="120" w:line="251" w:lineRule="auto"/>
                    <w:ind w:left="175" w:right="171" w:hanging="1"/>
                    <w:rPr>
                      <w:sz w:val="20"/>
                      <w:szCs w:val="20"/>
                    </w:rPr>
                  </w:pPr>
                  <w:r>
                    <w:rPr>
                      <w:spacing w:val="7"/>
                      <w:sz w:val="20"/>
                      <w:szCs w:val="20"/>
                    </w:rPr>
                    <w:t>后烘干操作</w:t>
                  </w:r>
                  <w:r>
                    <w:rPr>
                      <w:spacing w:val="3"/>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2"/>
                      <w:w w:val="101"/>
                      <w:sz w:val="20"/>
                      <w:szCs w:val="20"/>
                    </w:rPr>
                    <w:t xml:space="preserve"> </w:t>
                  </w:r>
                  <w:r>
                    <w:rPr>
                      <w:spacing w:val="14"/>
                      <w:sz w:val="20"/>
                      <w:szCs w:val="20"/>
                    </w:rPr>
                    <w:t>挥发</w:t>
                  </w:r>
                </w:p>
                <w:p w14:paraId="2BD8B924">
                  <w:pPr>
                    <w:pStyle w:val="6"/>
                    <w:spacing w:line="227" w:lineRule="auto"/>
                    <w:ind w:left="508"/>
                    <w:rPr>
                      <w:rFonts w:ascii="Times New Roman" w:hAnsi="Times New Roman" w:eastAsia="Times New Roman" w:cs="Times New Roman"/>
                      <w:sz w:val="20"/>
                      <w:szCs w:val="20"/>
                    </w:rPr>
                  </w:pPr>
                  <w:r>
                    <w:rPr>
                      <w:spacing w:val="4"/>
                      <w:sz w:val="20"/>
                      <w:szCs w:val="20"/>
                    </w:rPr>
                    <w:t>率</w:t>
                  </w:r>
                  <w:r>
                    <w:rPr>
                      <w:rFonts w:ascii="Times New Roman" w:hAnsi="Times New Roman" w:eastAsia="Times New Roman" w:cs="Times New Roman"/>
                      <w:spacing w:val="4"/>
                      <w:sz w:val="20"/>
                      <w:szCs w:val="20"/>
                    </w:rPr>
                    <w:t>%</w:t>
                  </w:r>
                </w:p>
              </w:tc>
              <w:tc>
                <w:tcPr>
                  <w:tcW w:w="1059" w:type="dxa"/>
                  <w:vAlign w:val="top"/>
                </w:tcPr>
                <w:p w14:paraId="6382AB03">
                  <w:pPr>
                    <w:pStyle w:val="6"/>
                    <w:spacing w:before="133" w:line="228" w:lineRule="auto"/>
                    <w:ind w:left="118"/>
                    <w:rPr>
                      <w:sz w:val="20"/>
                      <w:szCs w:val="20"/>
                    </w:rPr>
                  </w:pPr>
                  <w:r>
                    <w:rPr>
                      <w:spacing w:val="6"/>
                      <w:sz w:val="20"/>
                      <w:szCs w:val="20"/>
                    </w:rPr>
                    <w:t>非甲烷总</w:t>
                  </w:r>
                </w:p>
                <w:p w14:paraId="42144B67">
                  <w:pPr>
                    <w:pStyle w:val="6"/>
                    <w:spacing w:before="25" w:line="228" w:lineRule="auto"/>
                    <w:ind w:left="113"/>
                    <w:rPr>
                      <w:sz w:val="20"/>
                      <w:szCs w:val="20"/>
                    </w:rPr>
                  </w:pPr>
                  <w:r>
                    <w:rPr>
                      <w:spacing w:val="7"/>
                      <w:sz w:val="20"/>
                      <w:szCs w:val="20"/>
                    </w:rPr>
                    <w:t>烃产生量</w:t>
                  </w:r>
                </w:p>
                <w:p w14:paraId="4F4D2D7B">
                  <w:pPr>
                    <w:spacing w:before="42" w:line="199"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085" w:type="dxa"/>
                  <w:vAlign w:val="top"/>
                </w:tcPr>
                <w:p w14:paraId="46A7A764">
                  <w:pPr>
                    <w:pStyle w:val="6"/>
                    <w:spacing w:before="255" w:line="228" w:lineRule="auto"/>
                    <w:ind w:left="235"/>
                    <w:rPr>
                      <w:sz w:val="20"/>
                      <w:szCs w:val="20"/>
                    </w:rPr>
                  </w:pPr>
                  <w:r>
                    <w:rPr>
                      <w:spacing w:val="6"/>
                      <w:sz w:val="20"/>
                      <w:szCs w:val="20"/>
                    </w:rPr>
                    <w:t>年作业</w:t>
                  </w:r>
                </w:p>
                <w:p w14:paraId="180EB834">
                  <w:pPr>
                    <w:pStyle w:val="6"/>
                    <w:spacing w:before="24" w:line="228" w:lineRule="auto"/>
                    <w:ind w:left="264"/>
                    <w:rPr>
                      <w:rFonts w:ascii="Times New Roman" w:hAnsi="Times New Roman" w:eastAsia="Times New Roman" w:cs="Times New Roman"/>
                      <w:sz w:val="20"/>
                      <w:szCs w:val="20"/>
                    </w:rPr>
                  </w:pPr>
                  <w:r>
                    <w:rPr>
                      <w:spacing w:val="1"/>
                      <w:sz w:val="20"/>
                      <w:szCs w:val="20"/>
                    </w:rPr>
                    <w:t>天数</w:t>
                  </w:r>
                  <w:r>
                    <w:rPr>
                      <w:spacing w:val="-40"/>
                      <w:sz w:val="20"/>
                      <w:szCs w:val="20"/>
                    </w:rPr>
                    <w:t xml:space="preserve"> </w:t>
                  </w:r>
                  <w:r>
                    <w:rPr>
                      <w:rFonts w:ascii="Times New Roman" w:hAnsi="Times New Roman" w:eastAsia="Times New Roman" w:cs="Times New Roman"/>
                      <w:spacing w:val="1"/>
                      <w:sz w:val="20"/>
                      <w:szCs w:val="20"/>
                    </w:rPr>
                    <w:t>d</w:t>
                  </w:r>
                </w:p>
              </w:tc>
              <w:tc>
                <w:tcPr>
                  <w:tcW w:w="956" w:type="dxa"/>
                  <w:vAlign w:val="top"/>
                </w:tcPr>
                <w:p w14:paraId="1419007F">
                  <w:pPr>
                    <w:pStyle w:val="6"/>
                    <w:spacing w:before="118" w:line="227" w:lineRule="auto"/>
                    <w:ind w:left="171"/>
                    <w:rPr>
                      <w:sz w:val="20"/>
                      <w:szCs w:val="20"/>
                    </w:rPr>
                  </w:pPr>
                  <w:r>
                    <w:rPr>
                      <w:spacing w:val="6"/>
                      <w:sz w:val="20"/>
                      <w:szCs w:val="20"/>
                    </w:rPr>
                    <w:t>后烘干</w:t>
                  </w:r>
                </w:p>
                <w:p w14:paraId="67D3C4A6">
                  <w:pPr>
                    <w:pStyle w:val="6"/>
                    <w:spacing w:before="26" w:line="255" w:lineRule="auto"/>
                    <w:ind w:left="235" w:right="160" w:hanging="65"/>
                    <w:rPr>
                      <w:rFonts w:ascii="Times New Roman" w:hAnsi="Times New Roman" w:eastAsia="Times New Roman" w:cs="Times New Roman"/>
                      <w:sz w:val="20"/>
                      <w:szCs w:val="20"/>
                    </w:rPr>
                  </w:pPr>
                  <w:r>
                    <w:rPr>
                      <w:spacing w:val="6"/>
                      <w:sz w:val="20"/>
                      <w:szCs w:val="20"/>
                    </w:rPr>
                    <w:t>作业时</w:t>
                  </w:r>
                  <w:r>
                    <w:rPr>
                      <w:sz w:val="20"/>
                      <w:szCs w:val="20"/>
                    </w:rPr>
                    <w:t xml:space="preserve"> </w:t>
                  </w:r>
                  <w:r>
                    <w:rPr>
                      <w:spacing w:val="-2"/>
                      <w:sz w:val="20"/>
                      <w:szCs w:val="20"/>
                    </w:rPr>
                    <w:t>间</w:t>
                  </w:r>
                  <w:r>
                    <w:rPr>
                      <w:spacing w:val="-44"/>
                      <w:sz w:val="20"/>
                      <w:szCs w:val="20"/>
                    </w:rPr>
                    <w:t xml:space="preserve"> </w:t>
                  </w:r>
                  <w:r>
                    <w:rPr>
                      <w:rFonts w:ascii="Times New Roman" w:hAnsi="Times New Roman" w:eastAsia="Times New Roman" w:cs="Times New Roman"/>
                      <w:spacing w:val="-2"/>
                      <w:sz w:val="20"/>
                      <w:szCs w:val="20"/>
                    </w:rPr>
                    <w:t>h/d</w:t>
                  </w:r>
                </w:p>
              </w:tc>
              <w:tc>
                <w:tcPr>
                  <w:tcW w:w="1302" w:type="dxa"/>
                  <w:vAlign w:val="top"/>
                </w:tcPr>
                <w:p w14:paraId="7ACD1120">
                  <w:pPr>
                    <w:pStyle w:val="6"/>
                    <w:spacing w:before="133" w:line="254" w:lineRule="auto"/>
                    <w:ind w:left="234" w:right="123" w:hanging="99"/>
                    <w:rPr>
                      <w:sz w:val="20"/>
                      <w:szCs w:val="20"/>
                    </w:rPr>
                  </w:pPr>
                  <w:r>
                    <w:rPr>
                      <w:spacing w:val="7"/>
                      <w:sz w:val="20"/>
                      <w:szCs w:val="20"/>
                    </w:rPr>
                    <w:t>非甲烷总烃</w:t>
                  </w:r>
                  <w:r>
                    <w:rPr>
                      <w:spacing w:val="1"/>
                      <w:sz w:val="20"/>
                      <w:szCs w:val="20"/>
                    </w:rPr>
                    <w:t xml:space="preserve"> </w:t>
                  </w:r>
                  <w:r>
                    <w:rPr>
                      <w:spacing w:val="8"/>
                      <w:sz w:val="20"/>
                      <w:szCs w:val="20"/>
                    </w:rPr>
                    <w:t>产生速率</w:t>
                  </w:r>
                </w:p>
                <w:p w14:paraId="40EAE367">
                  <w:pPr>
                    <w:spacing w:before="12" w:line="201" w:lineRule="auto"/>
                    <w:ind w:left="464"/>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r>
            <w:tr w14:paraId="5D58F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69" w:type="dxa"/>
                  <w:vAlign w:val="top"/>
                </w:tcPr>
                <w:p w14:paraId="27A6F9C0">
                  <w:pPr>
                    <w:spacing w:before="182"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9.9144</w:t>
                  </w:r>
                </w:p>
              </w:tc>
              <w:tc>
                <w:tcPr>
                  <w:tcW w:w="1390" w:type="dxa"/>
                  <w:vAlign w:val="top"/>
                </w:tcPr>
                <w:p w14:paraId="794B4D3B">
                  <w:pPr>
                    <w:spacing w:before="182"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p>
              </w:tc>
              <w:tc>
                <w:tcPr>
                  <w:tcW w:w="1059" w:type="dxa"/>
                  <w:vAlign w:val="top"/>
                </w:tcPr>
                <w:p w14:paraId="21FBEEB1">
                  <w:pPr>
                    <w:spacing w:before="182"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6.94008</w:t>
                  </w:r>
                </w:p>
              </w:tc>
              <w:tc>
                <w:tcPr>
                  <w:tcW w:w="1085" w:type="dxa"/>
                  <w:vAlign w:val="top"/>
                </w:tcPr>
                <w:p w14:paraId="4CD035E0">
                  <w:pPr>
                    <w:spacing w:before="18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56" w:type="dxa"/>
                  <w:vAlign w:val="top"/>
                </w:tcPr>
                <w:p w14:paraId="145BB56B">
                  <w:pPr>
                    <w:spacing w:before="18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02" w:type="dxa"/>
                  <w:vAlign w:val="top"/>
                </w:tcPr>
                <w:p w14:paraId="52D9BF9E">
                  <w:pPr>
                    <w:spacing w:before="182"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2.8917</w:t>
                  </w:r>
                </w:p>
              </w:tc>
            </w:tr>
          </w:tbl>
          <w:p w14:paraId="25758E08">
            <w:pPr>
              <w:pStyle w:val="6"/>
              <w:spacing w:before="154" w:line="359" w:lineRule="auto"/>
              <w:ind w:left="110" w:right="103" w:firstLine="479"/>
            </w:pPr>
            <w:r>
              <w:rPr>
                <w:spacing w:val="9"/>
              </w:rPr>
              <w:t>根据</w:t>
            </w:r>
            <w:r>
              <w:rPr>
                <w:spacing w:val="-70"/>
              </w:rPr>
              <w:t xml:space="preserve"> </w:t>
            </w:r>
            <w:r>
              <w:rPr>
                <w:spacing w:val="9"/>
              </w:rPr>
              <w:t>上表</w:t>
            </w:r>
            <w:r>
              <w:rPr>
                <w:spacing w:val="-53"/>
              </w:rPr>
              <w:t xml:space="preserve"> </w:t>
            </w:r>
            <w:r>
              <w:rPr>
                <w:spacing w:val="9"/>
              </w:rPr>
              <w:t>的</w:t>
            </w:r>
            <w:r>
              <w:rPr>
                <w:spacing w:val="-71"/>
              </w:rPr>
              <w:t xml:space="preserve"> </w:t>
            </w:r>
            <w:r>
              <w:rPr>
                <w:spacing w:val="9"/>
              </w:rPr>
              <w:t>核</w:t>
            </w:r>
            <w:r>
              <w:rPr>
                <w:spacing w:val="-71"/>
              </w:rPr>
              <w:t xml:space="preserve"> </w:t>
            </w:r>
            <w:r>
              <w:rPr>
                <w:spacing w:val="9"/>
              </w:rPr>
              <w:t>算</w:t>
            </w:r>
            <w:r>
              <w:rPr>
                <w:spacing w:val="-55"/>
              </w:rPr>
              <w:t xml:space="preserve"> </w:t>
            </w:r>
            <w:r>
              <w:rPr>
                <w:spacing w:val="9"/>
              </w:rPr>
              <w:t>，</w:t>
            </w:r>
            <w:r>
              <w:rPr>
                <w:spacing w:val="-71"/>
              </w:rPr>
              <w:t xml:space="preserve"> </w:t>
            </w:r>
            <w:r>
              <w:rPr>
                <w:spacing w:val="9"/>
              </w:rPr>
              <w:t>本</w:t>
            </w:r>
            <w:r>
              <w:rPr>
                <w:spacing w:val="-71"/>
              </w:rPr>
              <w:t xml:space="preserve"> </w:t>
            </w:r>
            <w:r>
              <w:rPr>
                <w:spacing w:val="9"/>
              </w:rPr>
              <w:t>项</w:t>
            </w:r>
            <w:r>
              <w:rPr>
                <w:spacing w:val="-29"/>
              </w:rPr>
              <w:t xml:space="preserve"> </w:t>
            </w:r>
            <w:r>
              <w:rPr>
                <w:spacing w:val="9"/>
              </w:rPr>
              <w:t>目</w:t>
            </w:r>
            <w:r>
              <w:rPr>
                <w:spacing w:val="-70"/>
              </w:rPr>
              <w:t xml:space="preserve"> </w:t>
            </w:r>
            <w:r>
              <w:rPr>
                <w:spacing w:val="9"/>
              </w:rPr>
              <w:t>后烘干</w:t>
            </w:r>
            <w:r>
              <w:rPr>
                <w:spacing w:val="-72"/>
              </w:rPr>
              <w:t xml:space="preserve"> </w:t>
            </w:r>
            <w:r>
              <w:rPr>
                <w:spacing w:val="9"/>
              </w:rPr>
              <w:t>工序有机废</w:t>
            </w:r>
            <w:r>
              <w:rPr>
                <w:spacing w:val="-71"/>
              </w:rPr>
              <w:t xml:space="preserve"> </w:t>
            </w:r>
            <w:r>
              <w:rPr>
                <w:spacing w:val="9"/>
              </w:rPr>
              <w:t>气污</w:t>
            </w:r>
            <w:r>
              <w:rPr>
                <w:spacing w:val="-68"/>
              </w:rPr>
              <w:t xml:space="preserve"> </w:t>
            </w:r>
            <w:r>
              <w:rPr>
                <w:spacing w:val="9"/>
              </w:rPr>
              <w:t>染</w:t>
            </w:r>
            <w:r>
              <w:rPr>
                <w:spacing w:val="8"/>
              </w:rPr>
              <w:t>物产生量</w:t>
            </w:r>
            <w:r>
              <w:rPr>
                <w:spacing w:val="-72"/>
              </w:rPr>
              <w:t xml:space="preserve"> </w:t>
            </w:r>
            <w:r>
              <w:rPr>
                <w:spacing w:val="8"/>
              </w:rPr>
              <w:t>为</w:t>
            </w:r>
            <w:r>
              <w:t xml:space="preserve"> </w:t>
            </w:r>
            <w:r>
              <w:rPr>
                <w:rFonts w:ascii="Times New Roman" w:hAnsi="Times New Roman" w:eastAsia="Times New Roman" w:cs="Times New Roman"/>
                <w:spacing w:val="-2"/>
              </w:rPr>
              <w:t>6.94008t/a</w:t>
            </w:r>
            <w:r>
              <w:rPr>
                <w:rFonts w:ascii="Times New Roman" w:hAnsi="Times New Roman" w:eastAsia="Times New Roman" w:cs="Times New Roman"/>
                <w:spacing w:val="-27"/>
              </w:rPr>
              <w:t xml:space="preserve"> </w:t>
            </w:r>
            <w:r>
              <w:rPr>
                <w:spacing w:val="-2"/>
              </w:rPr>
              <w:t>，产生速率为</w:t>
            </w:r>
            <w:r>
              <w:rPr>
                <w:spacing w:val="-55"/>
              </w:rPr>
              <w:t xml:space="preserve"> </w:t>
            </w:r>
            <w:r>
              <w:rPr>
                <w:rFonts w:ascii="Times New Roman" w:hAnsi="Times New Roman" w:eastAsia="Times New Roman" w:cs="Times New Roman"/>
                <w:spacing w:val="-2"/>
              </w:rPr>
              <w:t>2.8917kg/h</w:t>
            </w:r>
            <w:r>
              <w:rPr>
                <w:spacing w:val="-2"/>
              </w:rPr>
              <w:t>。</w:t>
            </w:r>
          </w:p>
          <w:p w14:paraId="058C75DB">
            <w:pPr>
              <w:pStyle w:val="6"/>
              <w:spacing w:before="1" w:line="217" w:lineRule="auto"/>
              <w:ind w:left="588"/>
            </w:pPr>
            <w:r>
              <w:rPr>
                <w:spacing w:val="-2"/>
              </w:rPr>
              <w:t>③废气收集</w:t>
            </w:r>
          </w:p>
          <w:p w14:paraId="2D43B074">
            <w:pPr>
              <w:pStyle w:val="6"/>
              <w:spacing w:before="186" w:line="359" w:lineRule="auto"/>
              <w:ind w:left="108" w:right="103" w:firstLine="481"/>
            </w:pPr>
            <w:r>
              <w:t>本项目在宝石加工车间中，每个注胶车间的烤箱和石油</w:t>
            </w:r>
            <w:r>
              <w:rPr>
                <w:spacing w:val="-1"/>
              </w:rPr>
              <w:t>气炉上分别安装</w:t>
            </w:r>
            <w:r>
              <w:t xml:space="preserve"> </w:t>
            </w:r>
            <w:r>
              <w:rPr>
                <w:spacing w:val="-4"/>
              </w:rPr>
              <w:t>集气罩，集气罩的尺寸分别约为</w:t>
            </w:r>
            <w:r>
              <w:rPr>
                <w:spacing w:val="-19"/>
              </w:rPr>
              <w:t xml:space="preserve"> </w:t>
            </w:r>
            <w:r>
              <w:rPr>
                <w:rFonts w:ascii="Times New Roman" w:hAnsi="Times New Roman" w:eastAsia="Times New Roman" w:cs="Times New Roman"/>
                <w:spacing w:val="-4"/>
              </w:rPr>
              <w:t xml:space="preserve">1.2m×0.80m </w:t>
            </w:r>
            <w:r>
              <w:rPr>
                <w:spacing w:val="-4"/>
              </w:rPr>
              <w:t>和</w:t>
            </w:r>
            <w:r>
              <w:rPr>
                <w:spacing w:val="-52"/>
              </w:rPr>
              <w:t xml:space="preserve"> </w:t>
            </w:r>
            <w:r>
              <w:rPr>
                <w:rFonts w:ascii="Times New Roman" w:hAnsi="Times New Roman" w:eastAsia="Times New Roman" w:cs="Times New Roman"/>
                <w:spacing w:val="-4"/>
              </w:rPr>
              <w:t>0.3m×0.3m</w:t>
            </w:r>
            <w:r>
              <w:rPr>
                <w:spacing w:val="-4"/>
              </w:rPr>
              <w:t>，根据《挥发性有</w:t>
            </w:r>
            <w:r>
              <w:t xml:space="preserve"> 机物无组织排放控制标准》（</w:t>
            </w:r>
            <w:r>
              <w:rPr>
                <w:rFonts w:ascii="Times New Roman" w:hAnsi="Times New Roman" w:eastAsia="Times New Roman" w:cs="Times New Roman"/>
              </w:rPr>
              <w:t>GB37822—2019</w:t>
            </w:r>
            <w:r>
              <w:t>）</w:t>
            </w:r>
            <w:r>
              <w:rPr>
                <w:spacing w:val="-1"/>
              </w:rPr>
              <w:t>的要求，收集风速不得低于</w:t>
            </w:r>
            <w:r>
              <w:t xml:space="preserve"> </w:t>
            </w:r>
            <w:r>
              <w:rPr>
                <w:rFonts w:ascii="Times New Roman" w:hAnsi="Times New Roman" w:eastAsia="Times New Roman" w:cs="Times New Roman"/>
                <w:spacing w:val="-3"/>
              </w:rPr>
              <w:t>0.4m/s</w:t>
            </w:r>
            <w:r>
              <w:rPr>
                <w:rFonts w:ascii="Times New Roman" w:hAnsi="Times New Roman" w:eastAsia="Times New Roman" w:cs="Times New Roman"/>
                <w:spacing w:val="-17"/>
              </w:rPr>
              <w:t xml:space="preserve"> </w:t>
            </w:r>
            <w:r>
              <w:rPr>
                <w:spacing w:val="-3"/>
              </w:rPr>
              <w:t>。风量按照如下式子计算：</w:t>
            </w:r>
          </w:p>
          <w:p w14:paraId="3A3782B3">
            <w:pPr>
              <w:pStyle w:val="6"/>
              <w:spacing w:line="219" w:lineRule="auto"/>
              <w:ind w:left="589"/>
            </w:pPr>
            <w:r>
              <w:rPr>
                <w:spacing w:val="-1"/>
              </w:rPr>
              <w:t>集气罩风量按照如下式子计算：</w:t>
            </w:r>
          </w:p>
          <w:p w14:paraId="4734A0E9">
            <w:pPr>
              <w:pStyle w:val="6"/>
              <w:spacing w:before="137" w:line="323" w:lineRule="exact"/>
              <w:ind w:left="585"/>
              <w:rPr>
                <w:rFonts w:ascii="Times New Roman" w:hAnsi="Times New Roman" w:eastAsia="Times New Roman" w:cs="Times New Roman"/>
              </w:rPr>
            </w:pPr>
            <w:r>
              <w:rPr>
                <w:rFonts w:ascii="Times New Roman" w:hAnsi="Times New Roman" w:eastAsia="Times New Roman" w:cs="Times New Roman"/>
                <w:spacing w:val="-1"/>
                <w:position w:val="1"/>
              </w:rPr>
              <w:t>L=3600</w:t>
            </w:r>
            <w:r>
              <w:rPr>
                <w:spacing w:val="-1"/>
                <w:position w:val="1"/>
              </w:rPr>
              <w:t>（</w:t>
            </w:r>
            <w:r>
              <w:rPr>
                <w:rFonts w:ascii="Times New Roman" w:hAnsi="Times New Roman" w:eastAsia="Times New Roman" w:cs="Times New Roman"/>
                <w:spacing w:val="-1"/>
                <w:position w:val="1"/>
              </w:rPr>
              <w:t>5X</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position w:val="1"/>
              </w:rPr>
              <w:t>+F</w:t>
            </w:r>
            <w:r>
              <w:rPr>
                <w:spacing w:val="-1"/>
                <w:position w:val="1"/>
              </w:rPr>
              <w:t>）</w:t>
            </w:r>
            <w:r>
              <w:rPr>
                <w:rFonts w:ascii="Times New Roman" w:hAnsi="Times New Roman" w:eastAsia="Times New Roman" w:cs="Times New Roman"/>
                <w:spacing w:val="-1"/>
                <w:position w:val="1"/>
              </w:rPr>
              <w:t>×Vx</w:t>
            </w:r>
          </w:p>
          <w:p w14:paraId="2ED3B825">
            <w:pPr>
              <w:pStyle w:val="6"/>
              <w:spacing w:before="189" w:line="220" w:lineRule="auto"/>
              <w:ind w:left="590"/>
            </w:pPr>
            <w:r>
              <w:rPr>
                <w:spacing w:val="-4"/>
              </w:rPr>
              <w:t>其中：</w:t>
            </w:r>
          </w:p>
          <w:p w14:paraId="78C3FB01">
            <w:pPr>
              <w:pStyle w:val="6"/>
              <w:spacing w:before="182" w:line="219" w:lineRule="auto"/>
              <w:ind w:left="582"/>
            </w:pPr>
            <w:r>
              <w:rPr>
                <w:rFonts w:ascii="Times New Roman" w:hAnsi="Times New Roman" w:eastAsia="Times New Roman" w:cs="Times New Roman"/>
                <w:spacing w:val="-1"/>
              </w:rPr>
              <w:t xml:space="preserve">X </w:t>
            </w:r>
            <w:r>
              <w:rPr>
                <w:spacing w:val="-1"/>
              </w:rPr>
              <w:t>为集气罩至污染源的距离，取</w:t>
            </w:r>
            <w:r>
              <w:rPr>
                <w:spacing w:val="-43"/>
              </w:rPr>
              <w:t xml:space="preserve"> </w:t>
            </w:r>
            <w:r>
              <w:rPr>
                <w:rFonts w:ascii="Times New Roman" w:hAnsi="Times New Roman" w:eastAsia="Times New Roman" w:cs="Times New Roman"/>
                <w:spacing w:val="-1"/>
              </w:rPr>
              <w:t>0.25m</w:t>
            </w:r>
            <w:r>
              <w:rPr>
                <w:spacing w:val="-1"/>
              </w:rPr>
              <w:t>；</w:t>
            </w:r>
          </w:p>
          <w:p w14:paraId="6ACAE26D">
            <w:pPr>
              <w:pStyle w:val="6"/>
              <w:spacing w:before="181" w:line="219" w:lineRule="auto"/>
              <w:ind w:left="584"/>
            </w:pPr>
            <w:r>
              <w:rPr>
                <w:rFonts w:ascii="Times New Roman" w:hAnsi="Times New Roman" w:eastAsia="Times New Roman" w:cs="Times New Roman"/>
                <w:spacing w:val="-4"/>
              </w:rPr>
              <w:t xml:space="preserve">F </w:t>
            </w:r>
            <w:r>
              <w:rPr>
                <w:spacing w:val="-4"/>
              </w:rPr>
              <w:t>为集气罩口面积，烤箱约为</w:t>
            </w:r>
            <w:r>
              <w:rPr>
                <w:spacing w:val="-51"/>
              </w:rPr>
              <w:t xml:space="preserve"> </w:t>
            </w:r>
            <w:r>
              <w:rPr>
                <w:rFonts w:ascii="Times New Roman" w:hAnsi="Times New Roman" w:eastAsia="Times New Roman" w:cs="Times New Roman"/>
                <w:spacing w:val="-4"/>
              </w:rPr>
              <w:t>0.96</w:t>
            </w:r>
            <w:r>
              <w:rPr>
                <w:rFonts w:ascii="Times New Roman" w:hAnsi="Times New Roman" w:eastAsia="Times New Roman" w:cs="Times New Roman"/>
                <w:spacing w:val="19"/>
                <w:w w:val="101"/>
              </w:rPr>
              <w:t xml:space="preserve"> </w:t>
            </w:r>
            <w:r>
              <w:rPr>
                <w:spacing w:val="-4"/>
              </w:rPr>
              <w:t>㎡</w:t>
            </w:r>
            <w:r>
              <w:rPr>
                <w:spacing w:val="-71"/>
              </w:rPr>
              <w:t xml:space="preserve"> </w:t>
            </w:r>
            <w:r>
              <w:rPr>
                <w:spacing w:val="-4"/>
              </w:rPr>
              <w:t>，石油气炉约为</w:t>
            </w:r>
            <w:r>
              <w:rPr>
                <w:spacing w:val="-52"/>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5"/>
              </w:rPr>
              <w:t>09</w:t>
            </w:r>
            <w:r>
              <w:rPr>
                <w:rFonts w:ascii="Times New Roman" w:hAnsi="Times New Roman" w:eastAsia="Times New Roman" w:cs="Times New Roman"/>
                <w:spacing w:val="20"/>
              </w:rPr>
              <w:t xml:space="preserve"> </w:t>
            </w:r>
            <w:r>
              <w:rPr>
                <w:spacing w:val="-5"/>
              </w:rPr>
              <w:t>㎡；</w:t>
            </w:r>
          </w:p>
          <w:p w14:paraId="6C1D9299">
            <w:pPr>
              <w:pStyle w:val="6"/>
              <w:spacing w:before="183" w:line="220" w:lineRule="auto"/>
              <w:ind w:left="582"/>
            </w:pPr>
            <w:r>
              <w:rPr>
                <w:rFonts w:ascii="Times New Roman" w:hAnsi="Times New Roman" w:eastAsia="Times New Roman" w:cs="Times New Roman"/>
                <w:spacing w:val="-1"/>
              </w:rPr>
              <w:t xml:space="preserve">v </w:t>
            </w:r>
            <w:r>
              <w:rPr>
                <w:spacing w:val="-1"/>
              </w:rPr>
              <w:t>为控制风速，取</w:t>
            </w:r>
            <w:r>
              <w:rPr>
                <w:spacing w:val="-46"/>
              </w:rPr>
              <w:t xml:space="preserve"> </w:t>
            </w:r>
            <w:r>
              <w:rPr>
                <w:rFonts w:ascii="Times New Roman" w:hAnsi="Times New Roman" w:eastAsia="Times New Roman" w:cs="Times New Roman"/>
                <w:spacing w:val="-1"/>
              </w:rPr>
              <w:t>0.3m/s</w:t>
            </w:r>
            <w:r>
              <w:rPr>
                <w:spacing w:val="-1"/>
              </w:rPr>
              <w:t>；</w:t>
            </w:r>
          </w:p>
          <w:p w14:paraId="28DEFD58">
            <w:pPr>
              <w:pStyle w:val="6"/>
              <w:spacing w:before="179" w:line="362" w:lineRule="auto"/>
              <w:ind w:left="109" w:right="40" w:firstLine="480"/>
            </w:pPr>
            <w:r>
              <w:rPr>
                <w:spacing w:val="-1"/>
              </w:rPr>
              <w:t>计算得烤箱单个集气罩的风量约为</w:t>
            </w:r>
            <w:r>
              <w:rPr>
                <w:spacing w:val="-27"/>
              </w:rPr>
              <w:t xml:space="preserve"> </w:t>
            </w:r>
            <w:r>
              <w:rPr>
                <w:rFonts w:ascii="Times New Roman" w:hAnsi="Times New Roman" w:eastAsia="Times New Roman" w:cs="Times New Roman"/>
                <w:spacing w:val="-1"/>
              </w:rPr>
              <w:t>1374.3m³/h</w:t>
            </w:r>
            <w:r>
              <w:rPr>
                <w:rFonts w:ascii="Times New Roman" w:hAnsi="Times New Roman" w:eastAsia="Times New Roman" w:cs="Times New Roman"/>
                <w:spacing w:val="-28"/>
              </w:rPr>
              <w:t xml:space="preserve"> </w:t>
            </w:r>
            <w:r>
              <w:rPr>
                <w:spacing w:val="-1"/>
              </w:rPr>
              <w:t>，液化石油气炉单个集气</w:t>
            </w:r>
            <w:r>
              <w:t xml:space="preserve"> </w:t>
            </w:r>
            <w:r>
              <w:rPr>
                <w:spacing w:val="-3"/>
              </w:rPr>
              <w:t>罩的风量约为</w:t>
            </w:r>
            <w:r>
              <w:rPr>
                <w:spacing w:val="-44"/>
              </w:rPr>
              <w:t xml:space="preserve"> </w:t>
            </w:r>
            <w:r>
              <w:rPr>
                <w:rFonts w:ascii="Times New Roman" w:hAnsi="Times New Roman" w:eastAsia="Times New Roman" w:cs="Times New Roman"/>
                <w:spacing w:val="-3"/>
              </w:rPr>
              <w:t>434.7m³/h</w:t>
            </w:r>
            <w:r>
              <w:rPr>
                <w:rFonts w:ascii="Times New Roman" w:hAnsi="Times New Roman" w:eastAsia="Times New Roman" w:cs="Times New Roman"/>
                <w:spacing w:val="-31"/>
              </w:rPr>
              <w:t xml:space="preserve"> </w:t>
            </w:r>
            <w:r>
              <w:rPr>
                <w:spacing w:val="-3"/>
              </w:rPr>
              <w:t>，即单个车间的有机废气收集的总风量为</w:t>
            </w:r>
            <w:r>
              <w:rPr>
                <w:spacing w:val="-32"/>
              </w:rPr>
              <w:t xml:space="preserve"> </w:t>
            </w:r>
            <w:r>
              <w:rPr>
                <w:rFonts w:ascii="Times New Roman" w:hAnsi="Times New Roman" w:eastAsia="Times New Roman" w:cs="Times New Roman"/>
                <w:spacing w:val="-3"/>
              </w:rPr>
              <w:t>1809m³/h</w:t>
            </w:r>
            <w:r>
              <w:rPr>
                <w:spacing w:val="-3"/>
              </w:rPr>
              <w:t>。</w:t>
            </w:r>
          </w:p>
        </w:tc>
      </w:tr>
    </w:tbl>
    <w:p w14:paraId="6A7B0845">
      <w:pPr>
        <w:rPr>
          <w:rFonts w:ascii="Arial"/>
          <w:sz w:val="21"/>
        </w:rPr>
      </w:pPr>
    </w:p>
    <w:p w14:paraId="09E550B5">
      <w:pPr>
        <w:rPr>
          <w:rFonts w:ascii="Arial" w:hAnsi="Arial" w:eastAsia="Arial" w:cs="Arial"/>
          <w:sz w:val="21"/>
          <w:szCs w:val="21"/>
        </w:rPr>
        <w:sectPr>
          <w:footerReference r:id="rId66" w:type="default"/>
          <w:pgSz w:w="11907" w:h="16840"/>
          <w:pgMar w:top="400" w:right="1499" w:bottom="1240" w:left="1499" w:header="0" w:footer="1077" w:gutter="0"/>
          <w:cols w:space="720" w:num="1"/>
        </w:sectPr>
      </w:pPr>
    </w:p>
    <w:p w14:paraId="58460903">
      <w:pPr>
        <w:spacing w:before="19"/>
      </w:pPr>
    </w:p>
    <w:p w14:paraId="553061D1">
      <w:pPr>
        <w:spacing w:before="19"/>
      </w:pPr>
    </w:p>
    <w:p w14:paraId="04102297">
      <w:pPr>
        <w:spacing w:before="19"/>
      </w:pPr>
    </w:p>
    <w:p w14:paraId="776F926F">
      <w:pPr>
        <w:spacing w:before="18"/>
      </w:pPr>
    </w:p>
    <w:p w14:paraId="65D8375A">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2409B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8" w:hRule="atLeast"/>
        </w:trPr>
        <w:tc>
          <w:tcPr>
            <w:tcW w:w="754" w:type="dxa"/>
            <w:tcBorders>
              <w:right w:val="single" w:color="000000" w:sz="2" w:space="0"/>
            </w:tcBorders>
            <w:vAlign w:val="top"/>
          </w:tcPr>
          <w:p w14:paraId="1AD99C11">
            <w:pPr>
              <w:rPr>
                <w:rFonts w:ascii="Arial"/>
                <w:sz w:val="21"/>
              </w:rPr>
            </w:pPr>
          </w:p>
        </w:tc>
        <w:tc>
          <w:tcPr>
            <w:tcW w:w="8139" w:type="dxa"/>
            <w:tcBorders>
              <w:left w:val="single" w:color="000000" w:sz="2" w:space="0"/>
            </w:tcBorders>
            <w:vAlign w:val="top"/>
          </w:tcPr>
          <w:p w14:paraId="203801CF">
            <w:pPr>
              <w:pStyle w:val="6"/>
              <w:spacing w:before="39" w:line="359" w:lineRule="auto"/>
              <w:ind w:left="117" w:right="103" w:firstLine="473"/>
            </w:pPr>
            <w:r>
              <w:rPr>
                <w:spacing w:val="1"/>
              </w:rPr>
              <w:t>本项目</w:t>
            </w:r>
            <w:r>
              <w:rPr>
                <w:spacing w:val="-46"/>
              </w:rPr>
              <w:t xml:space="preserve"> </w:t>
            </w:r>
            <w:r>
              <w:rPr>
                <w:rFonts w:ascii="Times New Roman" w:hAnsi="Times New Roman" w:eastAsia="Times New Roman" w:cs="Times New Roman"/>
                <w:spacing w:val="1"/>
              </w:rPr>
              <w:t>5#</w:t>
            </w:r>
            <w:r>
              <w:rPr>
                <w:spacing w:val="1"/>
              </w:rPr>
              <w:t>楼共有</w:t>
            </w:r>
            <w:r>
              <w:rPr>
                <w:spacing w:val="-43"/>
              </w:rPr>
              <w:t xml:space="preserve"> </w:t>
            </w:r>
            <w:r>
              <w:rPr>
                <w:rFonts w:ascii="Times New Roman" w:hAnsi="Times New Roman" w:eastAsia="Times New Roman" w:cs="Times New Roman"/>
                <w:spacing w:val="1"/>
              </w:rPr>
              <w:t xml:space="preserve">81 </w:t>
            </w:r>
            <w:r>
              <w:rPr>
                <w:spacing w:val="1"/>
              </w:rPr>
              <w:t>个车间，车间的废气收集</w:t>
            </w:r>
            <w:r>
              <w:t xml:space="preserve">方式和收集风机风量详见 </w:t>
            </w:r>
            <w:r>
              <w:rPr>
                <w:spacing w:val="-6"/>
              </w:rPr>
              <w:t>下表：</w:t>
            </w:r>
          </w:p>
          <w:p w14:paraId="066513B5">
            <w:pPr>
              <w:pStyle w:val="6"/>
              <w:spacing w:line="218" w:lineRule="auto"/>
              <w:ind w:left="2317"/>
            </w:pPr>
            <w:r>
              <w:rPr>
                <w:b/>
                <w:bCs/>
                <w:spacing w:val="-2"/>
              </w:rPr>
              <w:t>表</w:t>
            </w:r>
            <w:r>
              <w:rPr>
                <w:spacing w:val="-53"/>
              </w:rPr>
              <w:t xml:space="preserve"> </w:t>
            </w:r>
            <w:r>
              <w:rPr>
                <w:rFonts w:ascii="Times New Roman" w:hAnsi="Times New Roman" w:eastAsia="Times New Roman" w:cs="Times New Roman"/>
                <w:b/>
                <w:bCs/>
                <w:spacing w:val="-2"/>
              </w:rPr>
              <w:t xml:space="preserve">4-3    </w:t>
            </w:r>
            <w:r>
              <w:rPr>
                <w:b/>
                <w:bCs/>
                <w:spacing w:val="-2"/>
              </w:rPr>
              <w:t>本项目有机废气收集风量</w:t>
            </w:r>
          </w:p>
          <w:p w14:paraId="56E670AB">
            <w:pPr>
              <w:spacing w:line="148" w:lineRule="exact"/>
            </w:pPr>
          </w:p>
          <w:tbl>
            <w:tblPr>
              <w:tblStyle w:val="5"/>
              <w:tblW w:w="7741"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861"/>
              <w:gridCol w:w="713"/>
              <w:gridCol w:w="1699"/>
              <w:gridCol w:w="1361"/>
              <w:gridCol w:w="1162"/>
              <w:gridCol w:w="1191"/>
            </w:tblGrid>
            <w:tr w14:paraId="7E120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2328" w:type="dxa"/>
                  <w:gridSpan w:val="3"/>
                  <w:vAlign w:val="top"/>
                </w:tcPr>
                <w:p w14:paraId="6FCD8129">
                  <w:pPr>
                    <w:pStyle w:val="6"/>
                    <w:spacing w:before="258" w:line="228" w:lineRule="auto"/>
                    <w:ind w:left="647"/>
                    <w:rPr>
                      <w:sz w:val="20"/>
                      <w:szCs w:val="20"/>
                    </w:rPr>
                  </w:pPr>
                  <w:r>
                    <w:rPr>
                      <w:spacing w:val="5"/>
                      <w:sz w:val="20"/>
                      <w:szCs w:val="20"/>
                    </w:rPr>
                    <w:t>车间（个）</w:t>
                  </w:r>
                </w:p>
              </w:tc>
              <w:tc>
                <w:tcPr>
                  <w:tcW w:w="1699" w:type="dxa"/>
                  <w:vAlign w:val="top"/>
                </w:tcPr>
                <w:p w14:paraId="6AE8E5F2">
                  <w:pPr>
                    <w:pStyle w:val="6"/>
                    <w:spacing w:before="121" w:line="254" w:lineRule="auto"/>
                    <w:ind w:left="120" w:right="113"/>
                    <w:rPr>
                      <w:sz w:val="20"/>
                      <w:szCs w:val="20"/>
                    </w:rPr>
                  </w:pPr>
                  <w:r>
                    <w:rPr>
                      <w:spacing w:val="8"/>
                      <w:sz w:val="20"/>
                      <w:szCs w:val="20"/>
                    </w:rPr>
                    <w:t>单个车间有机废</w:t>
                  </w:r>
                  <w:r>
                    <w:rPr>
                      <w:spacing w:val="2"/>
                      <w:sz w:val="20"/>
                      <w:szCs w:val="20"/>
                    </w:rPr>
                    <w:t xml:space="preserve"> </w:t>
                  </w:r>
                  <w:r>
                    <w:rPr>
                      <w:spacing w:val="6"/>
                      <w:sz w:val="20"/>
                      <w:szCs w:val="20"/>
                    </w:rPr>
                    <w:t>气收集量（m³</w:t>
                  </w:r>
                  <w:r>
                    <w:rPr>
                      <w:spacing w:val="-68"/>
                      <w:sz w:val="20"/>
                      <w:szCs w:val="20"/>
                    </w:rPr>
                    <w:t xml:space="preserve"> </w:t>
                  </w:r>
                  <w:r>
                    <w:rPr>
                      <w:spacing w:val="6"/>
                      <w:sz w:val="20"/>
                      <w:szCs w:val="20"/>
                    </w:rPr>
                    <w:t>)</w:t>
                  </w:r>
                </w:p>
              </w:tc>
              <w:tc>
                <w:tcPr>
                  <w:tcW w:w="1361" w:type="dxa"/>
                  <w:vAlign w:val="top"/>
                </w:tcPr>
                <w:p w14:paraId="7BABD3DD">
                  <w:pPr>
                    <w:pStyle w:val="6"/>
                    <w:spacing w:before="121" w:line="254" w:lineRule="auto"/>
                    <w:ind w:left="112" w:right="18" w:firstLine="50"/>
                    <w:rPr>
                      <w:sz w:val="20"/>
                      <w:szCs w:val="20"/>
                    </w:rPr>
                  </w:pPr>
                  <w:r>
                    <w:rPr>
                      <w:spacing w:val="7"/>
                      <w:sz w:val="20"/>
                      <w:szCs w:val="20"/>
                    </w:rPr>
                    <w:t>理论合并收</w:t>
                  </w:r>
                  <w:r>
                    <w:rPr>
                      <w:spacing w:val="1"/>
                      <w:sz w:val="20"/>
                      <w:szCs w:val="20"/>
                    </w:rPr>
                    <w:t xml:space="preserve">  </w:t>
                  </w:r>
                  <w:r>
                    <w:rPr>
                      <w:spacing w:val="-5"/>
                      <w:sz w:val="20"/>
                      <w:szCs w:val="20"/>
                    </w:rPr>
                    <w:t>集风量（</w:t>
                  </w:r>
                  <w:r>
                    <w:rPr>
                      <w:rFonts w:ascii="Times New Roman" w:hAnsi="Times New Roman" w:eastAsia="Times New Roman" w:cs="Times New Roman"/>
                      <w:spacing w:val="-5"/>
                      <w:sz w:val="20"/>
                      <w:szCs w:val="20"/>
                    </w:rPr>
                    <w:t>m3</w:t>
                  </w:r>
                  <w:r>
                    <w:rPr>
                      <w:spacing w:val="-5"/>
                      <w:sz w:val="20"/>
                      <w:szCs w:val="20"/>
                    </w:rPr>
                    <w:t>）</w:t>
                  </w:r>
                </w:p>
              </w:tc>
              <w:tc>
                <w:tcPr>
                  <w:tcW w:w="1162" w:type="dxa"/>
                  <w:vAlign w:val="top"/>
                </w:tcPr>
                <w:p w14:paraId="78D43F49">
                  <w:pPr>
                    <w:pStyle w:val="6"/>
                    <w:spacing w:before="122" w:line="254" w:lineRule="auto"/>
                    <w:ind w:left="115" w:right="16" w:firstLine="52"/>
                    <w:rPr>
                      <w:sz w:val="20"/>
                      <w:szCs w:val="20"/>
                    </w:rPr>
                  </w:pPr>
                  <w:r>
                    <w:rPr>
                      <w:spacing w:val="7"/>
                      <w:sz w:val="20"/>
                      <w:szCs w:val="20"/>
                    </w:rPr>
                    <w:t>风机设计</w:t>
                  </w:r>
                  <w:r>
                    <w:rPr>
                      <w:sz w:val="20"/>
                      <w:szCs w:val="20"/>
                    </w:rPr>
                    <w:t xml:space="preserve">  </w:t>
                  </w:r>
                  <w:r>
                    <w:rPr>
                      <w:spacing w:val="-6"/>
                      <w:sz w:val="20"/>
                      <w:szCs w:val="20"/>
                    </w:rPr>
                    <w:t>风量（</w:t>
                  </w:r>
                  <w:r>
                    <w:rPr>
                      <w:rFonts w:ascii="Times New Roman" w:hAnsi="Times New Roman" w:eastAsia="Times New Roman" w:cs="Times New Roman"/>
                      <w:spacing w:val="-6"/>
                      <w:sz w:val="20"/>
                      <w:szCs w:val="20"/>
                    </w:rPr>
                    <w:t>m3</w:t>
                  </w:r>
                  <w:r>
                    <w:rPr>
                      <w:spacing w:val="-6"/>
                      <w:sz w:val="20"/>
                      <w:szCs w:val="20"/>
                    </w:rPr>
                    <w:t>）</w:t>
                  </w:r>
                </w:p>
              </w:tc>
              <w:tc>
                <w:tcPr>
                  <w:tcW w:w="1191" w:type="dxa"/>
                  <w:vAlign w:val="top"/>
                </w:tcPr>
                <w:p w14:paraId="05746141">
                  <w:pPr>
                    <w:pStyle w:val="6"/>
                    <w:spacing w:before="121" w:line="229" w:lineRule="auto"/>
                    <w:ind w:left="181"/>
                    <w:rPr>
                      <w:sz w:val="20"/>
                      <w:szCs w:val="20"/>
                    </w:rPr>
                  </w:pPr>
                  <w:r>
                    <w:rPr>
                      <w:spacing w:val="7"/>
                      <w:sz w:val="20"/>
                      <w:szCs w:val="20"/>
                    </w:rPr>
                    <w:t>对应排气</w:t>
                  </w:r>
                </w:p>
                <w:p w14:paraId="6975C36F">
                  <w:pPr>
                    <w:pStyle w:val="6"/>
                    <w:spacing w:before="25" w:line="228" w:lineRule="auto"/>
                    <w:ind w:left="499"/>
                    <w:rPr>
                      <w:sz w:val="20"/>
                      <w:szCs w:val="20"/>
                    </w:rPr>
                  </w:pPr>
                  <w:r>
                    <w:rPr>
                      <w:sz w:val="20"/>
                      <w:szCs w:val="20"/>
                    </w:rPr>
                    <w:t>筒</w:t>
                  </w:r>
                </w:p>
              </w:tc>
            </w:tr>
            <w:tr w14:paraId="619BD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4" w:type="dxa"/>
                  <w:vMerge w:val="restart"/>
                  <w:tcBorders>
                    <w:bottom w:val="nil"/>
                  </w:tcBorders>
                  <w:vAlign w:val="top"/>
                </w:tcPr>
                <w:p w14:paraId="76CAB190">
                  <w:pPr>
                    <w:spacing w:line="280" w:lineRule="auto"/>
                    <w:rPr>
                      <w:rFonts w:ascii="Arial"/>
                      <w:sz w:val="21"/>
                    </w:rPr>
                  </w:pPr>
                </w:p>
                <w:p w14:paraId="0D708C36">
                  <w:pPr>
                    <w:spacing w:line="280" w:lineRule="auto"/>
                    <w:rPr>
                      <w:rFonts w:ascii="Arial"/>
                      <w:sz w:val="21"/>
                    </w:rPr>
                  </w:pPr>
                </w:p>
                <w:p w14:paraId="6AD8AB48">
                  <w:pPr>
                    <w:spacing w:line="281" w:lineRule="auto"/>
                    <w:rPr>
                      <w:rFonts w:ascii="Arial"/>
                      <w:sz w:val="21"/>
                    </w:rPr>
                  </w:pPr>
                </w:p>
                <w:p w14:paraId="74C82E56">
                  <w:pPr>
                    <w:spacing w:line="281" w:lineRule="auto"/>
                    <w:rPr>
                      <w:rFonts w:ascii="Arial"/>
                      <w:sz w:val="21"/>
                    </w:rPr>
                  </w:pPr>
                </w:p>
                <w:p w14:paraId="14A124DC">
                  <w:pPr>
                    <w:pStyle w:val="6"/>
                    <w:spacing w:before="65" w:line="255" w:lineRule="auto"/>
                    <w:ind w:left="125" w:right="31" w:firstLine="75"/>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4"/>
                      <w:w w:val="101"/>
                      <w:sz w:val="20"/>
                      <w:szCs w:val="20"/>
                    </w:rPr>
                    <w:t xml:space="preserve"> </w:t>
                  </w:r>
                  <w:r>
                    <w:rPr>
                      <w:spacing w:val="-5"/>
                      <w:sz w:val="20"/>
                      <w:szCs w:val="20"/>
                    </w:rPr>
                    <w:t>号</w:t>
                  </w:r>
                  <w:r>
                    <w:rPr>
                      <w:sz w:val="20"/>
                      <w:szCs w:val="20"/>
                    </w:rPr>
                    <w:t xml:space="preserve">  </w:t>
                  </w:r>
                  <w:r>
                    <w:rPr>
                      <w:spacing w:val="43"/>
                      <w:w w:val="155"/>
                      <w:sz w:val="20"/>
                      <w:szCs w:val="20"/>
                    </w:rPr>
                    <w:t>楼</w:t>
                  </w:r>
                  <w:r>
                    <w:rPr>
                      <w:sz w:val="20"/>
                      <w:szCs w:val="20"/>
                    </w:rPr>
                    <w:t xml:space="preserve">   </w:t>
                  </w:r>
                  <w:r>
                    <w:rPr>
                      <w:spacing w:val="-2"/>
                      <w:sz w:val="20"/>
                      <w:szCs w:val="20"/>
                    </w:rPr>
                    <w:t>（</w:t>
                  </w:r>
                  <w:r>
                    <w:rPr>
                      <w:rFonts w:ascii="Times New Roman" w:hAnsi="Times New Roman" w:eastAsia="Times New Roman" w:cs="Times New Roman"/>
                      <w:spacing w:val="-2"/>
                      <w:sz w:val="20"/>
                      <w:szCs w:val="20"/>
                    </w:rPr>
                    <w:t>81</w:t>
                  </w:r>
                  <w:r>
                    <w:rPr>
                      <w:spacing w:val="-2"/>
                      <w:sz w:val="20"/>
                      <w:szCs w:val="20"/>
                    </w:rPr>
                    <w:t>）</w:t>
                  </w:r>
                </w:p>
              </w:tc>
              <w:tc>
                <w:tcPr>
                  <w:tcW w:w="861" w:type="dxa"/>
                  <w:vAlign w:val="top"/>
                </w:tcPr>
                <w:p w14:paraId="3EF410AC">
                  <w:pPr>
                    <w:pStyle w:val="6"/>
                    <w:spacing w:before="65" w:line="228" w:lineRule="auto"/>
                    <w:ind w:left="26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层</w:t>
                  </w:r>
                </w:p>
              </w:tc>
              <w:tc>
                <w:tcPr>
                  <w:tcW w:w="713" w:type="dxa"/>
                  <w:vAlign w:val="top"/>
                </w:tcPr>
                <w:p w14:paraId="59ADFC13">
                  <w:pPr>
                    <w:spacing w:before="10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33DB3722">
                  <w:pPr>
                    <w:spacing w:before="101"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45D8B794">
                  <w:pPr>
                    <w:spacing w:before="101"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Align w:val="top"/>
                </w:tcPr>
                <w:p w14:paraId="498FC3D8">
                  <w:pPr>
                    <w:spacing w:before="10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1191" w:type="dxa"/>
                  <w:vAlign w:val="top"/>
                </w:tcPr>
                <w:p w14:paraId="0F84A286">
                  <w:pPr>
                    <w:spacing w:before="10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r>
            <w:tr w14:paraId="72F78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4" w:type="dxa"/>
                  <w:vMerge w:val="continue"/>
                  <w:tcBorders>
                    <w:top w:val="nil"/>
                    <w:bottom w:val="nil"/>
                  </w:tcBorders>
                  <w:vAlign w:val="top"/>
                </w:tcPr>
                <w:p w14:paraId="71DE7827">
                  <w:pPr>
                    <w:rPr>
                      <w:rFonts w:ascii="Arial"/>
                      <w:sz w:val="21"/>
                    </w:rPr>
                  </w:pPr>
                </w:p>
              </w:tc>
              <w:tc>
                <w:tcPr>
                  <w:tcW w:w="861" w:type="dxa"/>
                  <w:vAlign w:val="top"/>
                </w:tcPr>
                <w:p w14:paraId="4E467F82">
                  <w:pPr>
                    <w:pStyle w:val="6"/>
                    <w:spacing w:before="64" w:line="228" w:lineRule="auto"/>
                    <w:ind w:left="247"/>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层</w:t>
                  </w:r>
                </w:p>
              </w:tc>
              <w:tc>
                <w:tcPr>
                  <w:tcW w:w="713" w:type="dxa"/>
                  <w:vAlign w:val="top"/>
                </w:tcPr>
                <w:p w14:paraId="67BEC8C0">
                  <w:pPr>
                    <w:spacing w:before="10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4530C954">
                  <w:pPr>
                    <w:spacing w:before="102"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233B23F9">
                  <w:pPr>
                    <w:spacing w:before="102"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restart"/>
                  <w:tcBorders>
                    <w:bottom w:val="nil"/>
                  </w:tcBorders>
                  <w:vAlign w:val="top"/>
                </w:tcPr>
                <w:p w14:paraId="7EB7A320">
                  <w:pPr>
                    <w:spacing w:before="27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1191" w:type="dxa"/>
                  <w:vMerge w:val="restart"/>
                  <w:tcBorders>
                    <w:bottom w:val="nil"/>
                  </w:tcBorders>
                  <w:vAlign w:val="top"/>
                </w:tcPr>
                <w:p w14:paraId="2DEA0D04">
                  <w:pPr>
                    <w:spacing w:before="27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r>
            <w:tr w14:paraId="08DCF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4" w:type="dxa"/>
                  <w:vMerge w:val="continue"/>
                  <w:tcBorders>
                    <w:top w:val="nil"/>
                    <w:bottom w:val="nil"/>
                  </w:tcBorders>
                  <w:vAlign w:val="top"/>
                </w:tcPr>
                <w:p w14:paraId="79A6012D">
                  <w:pPr>
                    <w:rPr>
                      <w:rFonts w:ascii="Arial"/>
                      <w:sz w:val="21"/>
                    </w:rPr>
                  </w:pPr>
                </w:p>
              </w:tc>
              <w:tc>
                <w:tcPr>
                  <w:tcW w:w="861" w:type="dxa"/>
                  <w:vAlign w:val="top"/>
                </w:tcPr>
                <w:p w14:paraId="0F743739">
                  <w:pPr>
                    <w:pStyle w:val="6"/>
                    <w:spacing w:before="65" w:line="228" w:lineRule="auto"/>
                    <w:ind w:left="251"/>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层</w:t>
                  </w:r>
                </w:p>
              </w:tc>
              <w:tc>
                <w:tcPr>
                  <w:tcW w:w="713" w:type="dxa"/>
                  <w:vAlign w:val="top"/>
                </w:tcPr>
                <w:p w14:paraId="12678726">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07CB1999">
                  <w:pPr>
                    <w:spacing w:before="104"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08CEF6BB">
                  <w:pPr>
                    <w:spacing w:before="104"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continue"/>
                  <w:tcBorders>
                    <w:top w:val="nil"/>
                  </w:tcBorders>
                  <w:vAlign w:val="top"/>
                </w:tcPr>
                <w:p w14:paraId="73DDA542">
                  <w:pPr>
                    <w:rPr>
                      <w:rFonts w:ascii="Arial"/>
                      <w:sz w:val="21"/>
                    </w:rPr>
                  </w:pPr>
                </w:p>
              </w:tc>
              <w:tc>
                <w:tcPr>
                  <w:tcW w:w="1191" w:type="dxa"/>
                  <w:vMerge w:val="continue"/>
                  <w:tcBorders>
                    <w:top w:val="nil"/>
                  </w:tcBorders>
                  <w:vAlign w:val="top"/>
                </w:tcPr>
                <w:p w14:paraId="7CE1C15A">
                  <w:pPr>
                    <w:rPr>
                      <w:rFonts w:ascii="Arial"/>
                      <w:sz w:val="21"/>
                    </w:rPr>
                  </w:pPr>
                </w:p>
              </w:tc>
            </w:tr>
            <w:tr w14:paraId="13B62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4" w:type="dxa"/>
                  <w:vMerge w:val="continue"/>
                  <w:tcBorders>
                    <w:top w:val="nil"/>
                    <w:bottom w:val="nil"/>
                  </w:tcBorders>
                  <w:vAlign w:val="top"/>
                </w:tcPr>
                <w:p w14:paraId="6CB37219">
                  <w:pPr>
                    <w:rPr>
                      <w:rFonts w:ascii="Arial"/>
                      <w:sz w:val="21"/>
                    </w:rPr>
                  </w:pPr>
                </w:p>
              </w:tc>
              <w:tc>
                <w:tcPr>
                  <w:tcW w:w="861" w:type="dxa"/>
                  <w:vAlign w:val="top"/>
                </w:tcPr>
                <w:p w14:paraId="2E326836">
                  <w:pPr>
                    <w:pStyle w:val="6"/>
                    <w:spacing w:before="66" w:line="228" w:lineRule="auto"/>
                    <w:ind w:left="246"/>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9"/>
                      <w:sz w:val="20"/>
                      <w:szCs w:val="20"/>
                    </w:rPr>
                    <w:t xml:space="preserve"> </w:t>
                  </w:r>
                  <w:r>
                    <w:rPr>
                      <w:spacing w:val="1"/>
                      <w:sz w:val="20"/>
                      <w:szCs w:val="20"/>
                    </w:rPr>
                    <w:t>层</w:t>
                  </w:r>
                </w:p>
              </w:tc>
              <w:tc>
                <w:tcPr>
                  <w:tcW w:w="713" w:type="dxa"/>
                  <w:vAlign w:val="top"/>
                </w:tcPr>
                <w:p w14:paraId="1867B901">
                  <w:pPr>
                    <w:spacing w:before="1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5F27E6BC">
                  <w:pPr>
                    <w:spacing w:before="103"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05A000C5">
                  <w:pPr>
                    <w:spacing w:before="103"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restart"/>
                  <w:tcBorders>
                    <w:bottom w:val="nil"/>
                  </w:tcBorders>
                  <w:vAlign w:val="top"/>
                </w:tcPr>
                <w:p w14:paraId="7702A176">
                  <w:pPr>
                    <w:spacing w:before="27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1191" w:type="dxa"/>
                  <w:vMerge w:val="restart"/>
                  <w:tcBorders>
                    <w:bottom w:val="nil"/>
                  </w:tcBorders>
                  <w:vAlign w:val="top"/>
                </w:tcPr>
                <w:p w14:paraId="2FCBB3FE">
                  <w:pPr>
                    <w:spacing w:before="27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003</w:t>
                  </w:r>
                </w:p>
              </w:tc>
            </w:tr>
            <w:tr w14:paraId="20787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4" w:type="dxa"/>
                  <w:vMerge w:val="continue"/>
                  <w:tcBorders>
                    <w:top w:val="nil"/>
                    <w:bottom w:val="nil"/>
                  </w:tcBorders>
                  <w:vAlign w:val="top"/>
                </w:tcPr>
                <w:p w14:paraId="3B51B75A">
                  <w:pPr>
                    <w:rPr>
                      <w:rFonts w:ascii="Arial"/>
                      <w:sz w:val="21"/>
                    </w:rPr>
                  </w:pPr>
                </w:p>
              </w:tc>
              <w:tc>
                <w:tcPr>
                  <w:tcW w:w="861" w:type="dxa"/>
                  <w:vAlign w:val="top"/>
                </w:tcPr>
                <w:p w14:paraId="4093EC89">
                  <w:pPr>
                    <w:pStyle w:val="6"/>
                    <w:spacing w:before="67" w:line="228" w:lineRule="auto"/>
                    <w:ind w:left="253"/>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9"/>
                      <w:sz w:val="20"/>
                      <w:szCs w:val="20"/>
                    </w:rPr>
                    <w:t xml:space="preserve"> </w:t>
                  </w:r>
                  <w:r>
                    <w:rPr>
                      <w:spacing w:val="-3"/>
                      <w:sz w:val="20"/>
                      <w:szCs w:val="20"/>
                    </w:rPr>
                    <w:t>层</w:t>
                  </w:r>
                </w:p>
              </w:tc>
              <w:tc>
                <w:tcPr>
                  <w:tcW w:w="713" w:type="dxa"/>
                  <w:vAlign w:val="top"/>
                </w:tcPr>
                <w:p w14:paraId="4906383A">
                  <w:pPr>
                    <w:spacing w:before="1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037BA36A">
                  <w:pPr>
                    <w:spacing w:before="103"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30FE9ED9">
                  <w:pPr>
                    <w:spacing w:before="103"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continue"/>
                  <w:tcBorders>
                    <w:top w:val="nil"/>
                  </w:tcBorders>
                  <w:vAlign w:val="top"/>
                </w:tcPr>
                <w:p w14:paraId="36CBD55A">
                  <w:pPr>
                    <w:rPr>
                      <w:rFonts w:ascii="Arial"/>
                      <w:sz w:val="21"/>
                    </w:rPr>
                  </w:pPr>
                </w:p>
              </w:tc>
              <w:tc>
                <w:tcPr>
                  <w:tcW w:w="1191" w:type="dxa"/>
                  <w:vMerge w:val="continue"/>
                  <w:tcBorders>
                    <w:top w:val="nil"/>
                  </w:tcBorders>
                  <w:vAlign w:val="top"/>
                </w:tcPr>
                <w:p w14:paraId="681329E5">
                  <w:pPr>
                    <w:rPr>
                      <w:rFonts w:ascii="Arial"/>
                      <w:sz w:val="21"/>
                    </w:rPr>
                  </w:pPr>
                </w:p>
              </w:tc>
            </w:tr>
            <w:tr w14:paraId="539E9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4" w:type="dxa"/>
                  <w:vMerge w:val="continue"/>
                  <w:tcBorders>
                    <w:top w:val="nil"/>
                    <w:bottom w:val="nil"/>
                  </w:tcBorders>
                  <w:vAlign w:val="top"/>
                </w:tcPr>
                <w:p w14:paraId="105F75A7">
                  <w:pPr>
                    <w:rPr>
                      <w:rFonts w:ascii="Arial"/>
                      <w:sz w:val="21"/>
                    </w:rPr>
                  </w:pPr>
                </w:p>
              </w:tc>
              <w:tc>
                <w:tcPr>
                  <w:tcW w:w="861" w:type="dxa"/>
                  <w:vAlign w:val="top"/>
                </w:tcPr>
                <w:p w14:paraId="0F20805C">
                  <w:pPr>
                    <w:pStyle w:val="6"/>
                    <w:spacing w:before="67" w:line="228" w:lineRule="auto"/>
                    <w:ind w:left="252"/>
                    <w:rPr>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9"/>
                      <w:sz w:val="20"/>
                      <w:szCs w:val="20"/>
                    </w:rPr>
                    <w:t xml:space="preserve"> </w:t>
                  </w:r>
                  <w:r>
                    <w:rPr>
                      <w:spacing w:val="-2"/>
                      <w:sz w:val="20"/>
                      <w:szCs w:val="20"/>
                    </w:rPr>
                    <w:t>层</w:t>
                  </w:r>
                </w:p>
              </w:tc>
              <w:tc>
                <w:tcPr>
                  <w:tcW w:w="713" w:type="dxa"/>
                  <w:vAlign w:val="top"/>
                </w:tcPr>
                <w:p w14:paraId="15B740D4">
                  <w:pPr>
                    <w:spacing w:before="1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650C6C9F">
                  <w:pPr>
                    <w:spacing w:before="103"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795969CA">
                  <w:pPr>
                    <w:spacing w:before="103"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restart"/>
                  <w:tcBorders>
                    <w:bottom w:val="nil"/>
                  </w:tcBorders>
                  <w:vAlign w:val="top"/>
                </w:tcPr>
                <w:p w14:paraId="02DD3C54">
                  <w:pPr>
                    <w:spacing w:before="27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1191" w:type="dxa"/>
                  <w:vMerge w:val="restart"/>
                  <w:tcBorders>
                    <w:bottom w:val="nil"/>
                  </w:tcBorders>
                  <w:vAlign w:val="top"/>
                </w:tcPr>
                <w:p w14:paraId="5B0DB4CD">
                  <w:pPr>
                    <w:spacing w:before="27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004</w:t>
                  </w:r>
                </w:p>
              </w:tc>
            </w:tr>
            <w:tr w14:paraId="7C76E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4" w:type="dxa"/>
                  <w:vMerge w:val="continue"/>
                  <w:tcBorders>
                    <w:top w:val="nil"/>
                    <w:bottom w:val="nil"/>
                  </w:tcBorders>
                  <w:vAlign w:val="top"/>
                </w:tcPr>
                <w:p w14:paraId="7BB7DC79">
                  <w:pPr>
                    <w:rPr>
                      <w:rFonts w:ascii="Arial"/>
                      <w:sz w:val="21"/>
                    </w:rPr>
                  </w:pPr>
                </w:p>
              </w:tc>
              <w:tc>
                <w:tcPr>
                  <w:tcW w:w="861" w:type="dxa"/>
                  <w:vAlign w:val="top"/>
                </w:tcPr>
                <w:p w14:paraId="57CCD2F9">
                  <w:pPr>
                    <w:pStyle w:val="6"/>
                    <w:spacing w:before="68" w:line="228" w:lineRule="auto"/>
                    <w:ind w:left="251"/>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0"/>
                      <w:sz w:val="20"/>
                      <w:szCs w:val="20"/>
                    </w:rPr>
                    <w:t xml:space="preserve"> </w:t>
                  </w:r>
                  <w:r>
                    <w:rPr>
                      <w:spacing w:val="-2"/>
                      <w:sz w:val="20"/>
                      <w:szCs w:val="20"/>
                    </w:rPr>
                    <w:t>层</w:t>
                  </w:r>
                </w:p>
              </w:tc>
              <w:tc>
                <w:tcPr>
                  <w:tcW w:w="713" w:type="dxa"/>
                  <w:vAlign w:val="top"/>
                </w:tcPr>
                <w:p w14:paraId="53E0C751">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684192AA">
                  <w:pPr>
                    <w:spacing w:before="104"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155213DC">
                  <w:pPr>
                    <w:spacing w:before="104"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continue"/>
                  <w:tcBorders>
                    <w:top w:val="nil"/>
                  </w:tcBorders>
                  <w:vAlign w:val="top"/>
                </w:tcPr>
                <w:p w14:paraId="6D8E2D75">
                  <w:pPr>
                    <w:rPr>
                      <w:rFonts w:ascii="Arial"/>
                      <w:sz w:val="21"/>
                    </w:rPr>
                  </w:pPr>
                </w:p>
              </w:tc>
              <w:tc>
                <w:tcPr>
                  <w:tcW w:w="1191" w:type="dxa"/>
                  <w:vMerge w:val="continue"/>
                  <w:tcBorders>
                    <w:top w:val="nil"/>
                  </w:tcBorders>
                  <w:vAlign w:val="top"/>
                </w:tcPr>
                <w:p w14:paraId="46CC9E1F">
                  <w:pPr>
                    <w:rPr>
                      <w:rFonts w:ascii="Arial"/>
                      <w:sz w:val="21"/>
                    </w:rPr>
                  </w:pPr>
                </w:p>
              </w:tc>
            </w:tr>
            <w:tr w14:paraId="30B95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4" w:type="dxa"/>
                  <w:vMerge w:val="continue"/>
                  <w:tcBorders>
                    <w:top w:val="nil"/>
                    <w:bottom w:val="nil"/>
                  </w:tcBorders>
                  <w:vAlign w:val="top"/>
                </w:tcPr>
                <w:p w14:paraId="316ECF8E">
                  <w:pPr>
                    <w:rPr>
                      <w:rFonts w:ascii="Arial"/>
                      <w:sz w:val="21"/>
                    </w:rPr>
                  </w:pPr>
                </w:p>
              </w:tc>
              <w:tc>
                <w:tcPr>
                  <w:tcW w:w="861" w:type="dxa"/>
                  <w:vAlign w:val="top"/>
                </w:tcPr>
                <w:p w14:paraId="3662EB62">
                  <w:pPr>
                    <w:pStyle w:val="6"/>
                    <w:spacing w:before="66" w:line="228" w:lineRule="auto"/>
                    <w:ind w:left="256"/>
                    <w:rPr>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9"/>
                      <w:sz w:val="20"/>
                      <w:szCs w:val="20"/>
                    </w:rPr>
                    <w:t xml:space="preserve"> </w:t>
                  </w:r>
                  <w:r>
                    <w:rPr>
                      <w:spacing w:val="-4"/>
                      <w:sz w:val="20"/>
                      <w:szCs w:val="20"/>
                    </w:rPr>
                    <w:t>层</w:t>
                  </w:r>
                </w:p>
              </w:tc>
              <w:tc>
                <w:tcPr>
                  <w:tcW w:w="713" w:type="dxa"/>
                  <w:vAlign w:val="top"/>
                </w:tcPr>
                <w:p w14:paraId="457A1978">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1887767E">
                  <w:pPr>
                    <w:spacing w:before="104"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48C1CF64">
                  <w:pPr>
                    <w:spacing w:before="104"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restart"/>
                  <w:tcBorders>
                    <w:bottom w:val="nil"/>
                  </w:tcBorders>
                  <w:vAlign w:val="top"/>
                </w:tcPr>
                <w:p w14:paraId="5C651D41">
                  <w:pPr>
                    <w:spacing w:before="27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1191" w:type="dxa"/>
                  <w:vMerge w:val="restart"/>
                  <w:tcBorders>
                    <w:bottom w:val="nil"/>
                  </w:tcBorders>
                  <w:vAlign w:val="top"/>
                </w:tcPr>
                <w:p w14:paraId="242548D2">
                  <w:pPr>
                    <w:spacing w:before="27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005</w:t>
                  </w:r>
                </w:p>
              </w:tc>
            </w:tr>
            <w:tr w14:paraId="6F7D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54" w:type="dxa"/>
                  <w:vMerge w:val="continue"/>
                  <w:tcBorders>
                    <w:top w:val="nil"/>
                  </w:tcBorders>
                  <w:vAlign w:val="top"/>
                </w:tcPr>
                <w:p w14:paraId="30482DBE">
                  <w:pPr>
                    <w:rPr>
                      <w:rFonts w:ascii="Arial"/>
                      <w:sz w:val="21"/>
                    </w:rPr>
                  </w:pPr>
                </w:p>
              </w:tc>
              <w:tc>
                <w:tcPr>
                  <w:tcW w:w="861" w:type="dxa"/>
                  <w:vAlign w:val="top"/>
                </w:tcPr>
                <w:p w14:paraId="4810ED68">
                  <w:pPr>
                    <w:pStyle w:val="6"/>
                    <w:spacing w:before="67" w:line="228" w:lineRule="auto"/>
                    <w:ind w:left="251"/>
                    <w:rPr>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9"/>
                      <w:sz w:val="20"/>
                      <w:szCs w:val="20"/>
                    </w:rPr>
                    <w:t xml:space="preserve"> </w:t>
                  </w:r>
                  <w:r>
                    <w:rPr>
                      <w:spacing w:val="-2"/>
                      <w:sz w:val="20"/>
                      <w:szCs w:val="20"/>
                    </w:rPr>
                    <w:t>层</w:t>
                  </w:r>
                </w:p>
              </w:tc>
              <w:tc>
                <w:tcPr>
                  <w:tcW w:w="713" w:type="dxa"/>
                  <w:vAlign w:val="top"/>
                </w:tcPr>
                <w:p w14:paraId="1861A616">
                  <w:pPr>
                    <w:spacing w:before="10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9" w:type="dxa"/>
                  <w:vAlign w:val="top"/>
                </w:tcPr>
                <w:p w14:paraId="5C3BD54E">
                  <w:pPr>
                    <w:spacing w:before="106"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w:t>
                  </w:r>
                </w:p>
              </w:tc>
              <w:tc>
                <w:tcPr>
                  <w:tcW w:w="1361" w:type="dxa"/>
                  <w:vAlign w:val="top"/>
                </w:tcPr>
                <w:p w14:paraId="36A13FFE">
                  <w:pPr>
                    <w:spacing w:before="106"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16281</w:t>
                  </w:r>
                </w:p>
              </w:tc>
              <w:tc>
                <w:tcPr>
                  <w:tcW w:w="1162" w:type="dxa"/>
                  <w:vMerge w:val="continue"/>
                  <w:tcBorders>
                    <w:top w:val="nil"/>
                  </w:tcBorders>
                  <w:vAlign w:val="top"/>
                </w:tcPr>
                <w:p w14:paraId="09D1DC2B">
                  <w:pPr>
                    <w:rPr>
                      <w:rFonts w:ascii="Arial"/>
                      <w:sz w:val="21"/>
                    </w:rPr>
                  </w:pPr>
                </w:p>
              </w:tc>
              <w:tc>
                <w:tcPr>
                  <w:tcW w:w="1191" w:type="dxa"/>
                  <w:vMerge w:val="continue"/>
                  <w:tcBorders>
                    <w:top w:val="nil"/>
                  </w:tcBorders>
                  <w:vAlign w:val="top"/>
                </w:tcPr>
                <w:p w14:paraId="70D23A9A">
                  <w:pPr>
                    <w:rPr>
                      <w:rFonts w:ascii="Arial"/>
                      <w:sz w:val="21"/>
                    </w:rPr>
                  </w:pPr>
                </w:p>
              </w:tc>
            </w:tr>
          </w:tbl>
          <w:p w14:paraId="3C3C7B3D">
            <w:pPr>
              <w:pStyle w:val="6"/>
              <w:spacing w:before="36" w:line="360" w:lineRule="auto"/>
              <w:ind w:left="109" w:right="103" w:firstLine="480"/>
              <w:jc w:val="both"/>
            </w:pPr>
            <w:r>
              <w:t>本项目烤箱和液化石油气炉上安装的集气罩，四周做围</w:t>
            </w:r>
            <w:r>
              <w:rPr>
                <w:spacing w:val="-1"/>
              </w:rPr>
              <w:t>挡，做成包围型</w:t>
            </w:r>
            <w:r>
              <w:t xml:space="preserve"> </w:t>
            </w:r>
            <w:r>
              <w:rPr>
                <w:spacing w:val="-2"/>
              </w:rPr>
              <w:t>集气设备，仅保留</w:t>
            </w:r>
            <w:r>
              <w:rPr>
                <w:spacing w:val="-18"/>
              </w:rPr>
              <w:t xml:space="preserve"> </w:t>
            </w:r>
            <w:r>
              <w:rPr>
                <w:rFonts w:ascii="Times New Roman" w:hAnsi="Times New Roman" w:eastAsia="Times New Roman" w:cs="Times New Roman"/>
                <w:spacing w:val="-2"/>
              </w:rPr>
              <w:t xml:space="preserve">1 </w:t>
            </w:r>
            <w:r>
              <w:rPr>
                <w:spacing w:val="-2"/>
              </w:rPr>
              <w:t>个操作工位面，操作面控制风速不小于</w:t>
            </w:r>
            <w:r>
              <w:rPr>
                <w:spacing w:val="-52"/>
              </w:rPr>
              <w:t xml:space="preserve"> </w:t>
            </w:r>
            <w:r>
              <w:rPr>
                <w:rFonts w:ascii="Times New Roman" w:hAnsi="Times New Roman" w:eastAsia="Times New Roman" w:cs="Times New Roman"/>
                <w:spacing w:val="-2"/>
              </w:rPr>
              <w:t>0.3m/s</w:t>
            </w:r>
            <w:r>
              <w:rPr>
                <w:rFonts w:ascii="Times New Roman" w:hAnsi="Times New Roman" w:eastAsia="Times New Roman" w:cs="Times New Roman"/>
                <w:spacing w:val="-29"/>
              </w:rPr>
              <w:t xml:space="preserve"> </w:t>
            </w:r>
            <w:r>
              <w:rPr>
                <w:spacing w:val="-2"/>
              </w:rPr>
              <w:t>。对照参</w:t>
            </w:r>
            <w:r>
              <w:t xml:space="preserve"> 考《广东省工业源挥发性有机物减排量核算方法（</w:t>
            </w:r>
            <w:r>
              <w:rPr>
                <w:rFonts w:ascii="Times New Roman" w:hAnsi="Times New Roman" w:eastAsia="Times New Roman" w:cs="Times New Roman"/>
              </w:rPr>
              <w:t>2023</w:t>
            </w:r>
            <w:r>
              <w:t>年修订</w:t>
            </w:r>
            <w:r>
              <w:rPr>
                <w:spacing w:val="-1"/>
              </w:rPr>
              <w:t>版）》，废气</w:t>
            </w:r>
            <w:r>
              <w:t xml:space="preserve"> </w:t>
            </w:r>
            <w:r>
              <w:rPr>
                <w:spacing w:val="-3"/>
              </w:rPr>
              <w:t>收集集气效率参考值为</w:t>
            </w:r>
            <w:r>
              <w:rPr>
                <w:spacing w:val="-35"/>
              </w:rPr>
              <w:t xml:space="preserve"> </w:t>
            </w:r>
            <w:r>
              <w:rPr>
                <w:rFonts w:ascii="Times New Roman" w:hAnsi="Times New Roman" w:eastAsia="Times New Roman" w:cs="Times New Roman"/>
                <w:spacing w:val="-3"/>
              </w:rPr>
              <w:t>65%</w:t>
            </w:r>
            <w:r>
              <w:rPr>
                <w:rFonts w:ascii="Times New Roman" w:hAnsi="Times New Roman" w:eastAsia="Times New Roman" w:cs="Times New Roman"/>
                <w:spacing w:val="-30"/>
              </w:rPr>
              <w:t xml:space="preserve"> </w:t>
            </w:r>
            <w:r>
              <w:rPr>
                <w:spacing w:val="-3"/>
              </w:rPr>
              <w:t>。参考依据详见下表：</w:t>
            </w:r>
          </w:p>
          <w:p w14:paraId="2E3E30C0">
            <w:pPr>
              <w:pStyle w:val="6"/>
              <w:spacing w:before="116" w:line="219" w:lineRule="auto"/>
              <w:ind w:left="2317"/>
            </w:pPr>
            <w:r>
              <w:rPr>
                <w:b/>
                <w:bCs/>
                <w:spacing w:val="-2"/>
              </w:rPr>
              <w:t>表</w:t>
            </w:r>
            <w:r>
              <w:rPr>
                <w:spacing w:val="-53"/>
              </w:rPr>
              <w:t xml:space="preserve"> </w:t>
            </w:r>
            <w:r>
              <w:rPr>
                <w:rFonts w:ascii="Times New Roman" w:hAnsi="Times New Roman" w:eastAsia="Times New Roman" w:cs="Times New Roman"/>
                <w:b/>
                <w:bCs/>
                <w:spacing w:val="-2"/>
              </w:rPr>
              <w:t xml:space="preserve">4-4    </w:t>
            </w:r>
            <w:r>
              <w:rPr>
                <w:b/>
                <w:bCs/>
                <w:spacing w:val="-2"/>
              </w:rPr>
              <w:t>废气收集集气效率参值表</w:t>
            </w:r>
          </w:p>
          <w:p w14:paraId="6588B55E">
            <w:pPr>
              <w:spacing w:line="145" w:lineRule="exact"/>
            </w:pPr>
          </w:p>
          <w:tbl>
            <w:tblPr>
              <w:tblStyle w:val="5"/>
              <w:tblW w:w="7775"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1989"/>
              <w:gridCol w:w="3706"/>
              <w:gridCol w:w="945"/>
            </w:tblGrid>
            <w:tr w14:paraId="3C5B9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35" w:type="dxa"/>
                  <w:vAlign w:val="top"/>
                </w:tcPr>
                <w:p w14:paraId="6E9D1766">
                  <w:pPr>
                    <w:pStyle w:val="6"/>
                    <w:spacing w:before="35" w:line="228" w:lineRule="auto"/>
                    <w:ind w:left="150"/>
                    <w:rPr>
                      <w:sz w:val="20"/>
                      <w:szCs w:val="20"/>
                    </w:rPr>
                  </w:pPr>
                  <w:r>
                    <w:rPr>
                      <w:b/>
                      <w:bCs/>
                      <w:spacing w:val="6"/>
                      <w:sz w:val="20"/>
                      <w:szCs w:val="20"/>
                    </w:rPr>
                    <w:t>废气收集</w:t>
                  </w:r>
                </w:p>
                <w:p w14:paraId="72049244">
                  <w:pPr>
                    <w:pStyle w:val="6"/>
                    <w:spacing w:before="26" w:line="217" w:lineRule="auto"/>
                    <w:ind w:left="362"/>
                    <w:rPr>
                      <w:sz w:val="20"/>
                      <w:szCs w:val="20"/>
                    </w:rPr>
                  </w:pPr>
                  <w:r>
                    <w:rPr>
                      <w:b/>
                      <w:bCs/>
                      <w:spacing w:val="3"/>
                      <w:sz w:val="20"/>
                      <w:szCs w:val="20"/>
                    </w:rPr>
                    <w:t>类型</w:t>
                  </w:r>
                </w:p>
              </w:tc>
              <w:tc>
                <w:tcPr>
                  <w:tcW w:w="1989" w:type="dxa"/>
                  <w:vAlign w:val="top"/>
                </w:tcPr>
                <w:p w14:paraId="75A1BAF4">
                  <w:pPr>
                    <w:pStyle w:val="6"/>
                    <w:spacing w:before="171" w:line="228" w:lineRule="auto"/>
                    <w:ind w:left="364"/>
                    <w:rPr>
                      <w:sz w:val="20"/>
                      <w:szCs w:val="20"/>
                    </w:rPr>
                  </w:pPr>
                  <w:r>
                    <w:rPr>
                      <w:b/>
                      <w:bCs/>
                      <w:spacing w:val="7"/>
                      <w:sz w:val="20"/>
                      <w:szCs w:val="20"/>
                    </w:rPr>
                    <w:t>废气收集方式</w:t>
                  </w:r>
                </w:p>
              </w:tc>
              <w:tc>
                <w:tcPr>
                  <w:tcW w:w="3706" w:type="dxa"/>
                  <w:vAlign w:val="top"/>
                </w:tcPr>
                <w:p w14:paraId="06E6E70C">
                  <w:pPr>
                    <w:pStyle w:val="6"/>
                    <w:spacing w:before="171" w:line="228" w:lineRule="auto"/>
                    <w:ind w:left="1439"/>
                    <w:rPr>
                      <w:sz w:val="20"/>
                      <w:szCs w:val="20"/>
                    </w:rPr>
                  </w:pPr>
                  <w:r>
                    <w:rPr>
                      <w:b/>
                      <w:bCs/>
                      <w:spacing w:val="6"/>
                      <w:sz w:val="20"/>
                      <w:szCs w:val="20"/>
                    </w:rPr>
                    <w:t>情况说明</w:t>
                  </w:r>
                </w:p>
              </w:tc>
              <w:tc>
                <w:tcPr>
                  <w:tcW w:w="945" w:type="dxa"/>
                  <w:vAlign w:val="top"/>
                </w:tcPr>
                <w:p w14:paraId="279D6AD7">
                  <w:pPr>
                    <w:pStyle w:val="6"/>
                    <w:spacing w:before="34" w:line="235" w:lineRule="auto"/>
                    <w:ind w:left="117" w:right="22" w:firstLine="43"/>
                    <w:rPr>
                      <w:sz w:val="20"/>
                      <w:szCs w:val="20"/>
                    </w:rPr>
                  </w:pPr>
                  <w:r>
                    <w:rPr>
                      <w:b/>
                      <w:bCs/>
                      <w:spacing w:val="5"/>
                      <w:sz w:val="20"/>
                      <w:szCs w:val="20"/>
                    </w:rPr>
                    <w:t>集气效</w:t>
                  </w:r>
                  <w:r>
                    <w:rPr>
                      <w:sz w:val="20"/>
                      <w:szCs w:val="20"/>
                    </w:rPr>
                    <w:t xml:space="preserve">  </w:t>
                  </w:r>
                  <w:r>
                    <w:rPr>
                      <w:b/>
                      <w:bCs/>
                      <w:spacing w:val="-2"/>
                      <w:sz w:val="20"/>
                      <w:szCs w:val="20"/>
                    </w:rPr>
                    <w:t>率（</w:t>
                  </w:r>
                  <w:r>
                    <w:rPr>
                      <w:rFonts w:ascii="Times New Roman" w:hAnsi="Times New Roman" w:eastAsia="Times New Roman" w:cs="Times New Roman"/>
                      <w:b/>
                      <w:bCs/>
                      <w:spacing w:val="-2"/>
                      <w:sz w:val="20"/>
                      <w:szCs w:val="20"/>
                    </w:rPr>
                    <w:t>%</w:t>
                  </w:r>
                  <w:r>
                    <w:rPr>
                      <w:b/>
                      <w:bCs/>
                      <w:spacing w:val="-2"/>
                      <w:sz w:val="20"/>
                      <w:szCs w:val="20"/>
                    </w:rPr>
                    <w:t>）</w:t>
                  </w:r>
                </w:p>
              </w:tc>
            </w:tr>
            <w:tr w14:paraId="21A5F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135" w:type="dxa"/>
                  <w:vMerge w:val="restart"/>
                  <w:tcBorders>
                    <w:bottom w:val="nil"/>
                  </w:tcBorders>
                  <w:vAlign w:val="top"/>
                </w:tcPr>
                <w:p w14:paraId="450B51DC">
                  <w:pPr>
                    <w:spacing w:line="266" w:lineRule="auto"/>
                    <w:rPr>
                      <w:rFonts w:ascii="Arial"/>
                      <w:sz w:val="21"/>
                    </w:rPr>
                  </w:pPr>
                </w:p>
                <w:p w14:paraId="29A320D6">
                  <w:pPr>
                    <w:spacing w:line="266" w:lineRule="auto"/>
                    <w:rPr>
                      <w:rFonts w:ascii="Arial"/>
                      <w:sz w:val="21"/>
                    </w:rPr>
                  </w:pPr>
                </w:p>
                <w:p w14:paraId="1836D0E5">
                  <w:pPr>
                    <w:spacing w:line="266" w:lineRule="auto"/>
                    <w:rPr>
                      <w:rFonts w:ascii="Arial"/>
                      <w:sz w:val="21"/>
                    </w:rPr>
                  </w:pPr>
                </w:p>
                <w:p w14:paraId="1EEC5B6A">
                  <w:pPr>
                    <w:spacing w:line="266" w:lineRule="auto"/>
                    <w:rPr>
                      <w:rFonts w:ascii="Arial"/>
                      <w:sz w:val="21"/>
                    </w:rPr>
                  </w:pPr>
                </w:p>
                <w:p w14:paraId="58180B4E">
                  <w:pPr>
                    <w:spacing w:line="266" w:lineRule="auto"/>
                    <w:rPr>
                      <w:rFonts w:ascii="Arial"/>
                      <w:sz w:val="21"/>
                    </w:rPr>
                  </w:pPr>
                </w:p>
                <w:p w14:paraId="27AE992B">
                  <w:pPr>
                    <w:pStyle w:val="6"/>
                    <w:spacing w:before="65" w:line="229" w:lineRule="auto"/>
                    <w:ind w:left="151"/>
                    <w:rPr>
                      <w:sz w:val="20"/>
                      <w:szCs w:val="20"/>
                    </w:rPr>
                  </w:pPr>
                  <w:r>
                    <w:rPr>
                      <w:spacing w:val="7"/>
                      <w:sz w:val="20"/>
                      <w:szCs w:val="20"/>
                    </w:rPr>
                    <w:t>全密封设</w:t>
                  </w:r>
                </w:p>
                <w:p w14:paraId="14BD57C5">
                  <w:pPr>
                    <w:pStyle w:val="6"/>
                    <w:spacing w:before="23" w:line="229" w:lineRule="auto"/>
                    <w:ind w:left="231"/>
                    <w:rPr>
                      <w:sz w:val="20"/>
                      <w:szCs w:val="20"/>
                    </w:rPr>
                  </w:pPr>
                  <w:r>
                    <w:rPr>
                      <w:spacing w:val="5"/>
                      <w:sz w:val="20"/>
                      <w:szCs w:val="20"/>
                    </w:rPr>
                    <w:t>备</w:t>
                  </w:r>
                  <w:r>
                    <w:rPr>
                      <w:rFonts w:ascii="Times New Roman" w:hAnsi="Times New Roman" w:eastAsia="Times New Roman" w:cs="Times New Roman"/>
                      <w:spacing w:val="5"/>
                      <w:sz w:val="20"/>
                      <w:szCs w:val="20"/>
                    </w:rPr>
                    <w:t>/</w:t>
                  </w:r>
                  <w:r>
                    <w:rPr>
                      <w:spacing w:val="5"/>
                      <w:sz w:val="20"/>
                      <w:szCs w:val="20"/>
                    </w:rPr>
                    <w:t>空间</w:t>
                  </w:r>
                </w:p>
              </w:tc>
              <w:tc>
                <w:tcPr>
                  <w:tcW w:w="1989" w:type="dxa"/>
                  <w:vAlign w:val="top"/>
                </w:tcPr>
                <w:p w14:paraId="29835BEB">
                  <w:pPr>
                    <w:spacing w:line="306" w:lineRule="auto"/>
                    <w:rPr>
                      <w:rFonts w:ascii="Arial"/>
                      <w:sz w:val="21"/>
                    </w:rPr>
                  </w:pPr>
                </w:p>
                <w:p w14:paraId="6B7C6464">
                  <w:pPr>
                    <w:pStyle w:val="6"/>
                    <w:spacing w:before="65" w:line="228" w:lineRule="auto"/>
                    <w:ind w:left="369"/>
                    <w:rPr>
                      <w:sz w:val="20"/>
                      <w:szCs w:val="20"/>
                    </w:rPr>
                  </w:pPr>
                  <w:r>
                    <w:rPr>
                      <w:spacing w:val="7"/>
                      <w:sz w:val="20"/>
                      <w:szCs w:val="20"/>
                    </w:rPr>
                    <w:t>单层密闭负压</w:t>
                  </w:r>
                </w:p>
              </w:tc>
              <w:tc>
                <w:tcPr>
                  <w:tcW w:w="3706" w:type="dxa"/>
                  <w:vAlign w:val="top"/>
                </w:tcPr>
                <w:p w14:paraId="5F2E9B02">
                  <w:pPr>
                    <w:pStyle w:val="6"/>
                    <w:spacing w:before="101" w:line="252" w:lineRule="auto"/>
                    <w:ind w:left="114" w:right="105" w:firstLine="5"/>
                    <w:jc w:val="both"/>
                    <w:rPr>
                      <w:sz w:val="20"/>
                      <w:szCs w:val="20"/>
                    </w:rPr>
                  </w:pPr>
                  <w:r>
                    <w:rPr>
                      <w:rFonts w:ascii="Times New Roman" w:hAnsi="Times New Roman" w:eastAsia="Times New Roman" w:cs="Times New Roman"/>
                      <w:sz w:val="20"/>
                      <w:szCs w:val="20"/>
                    </w:rPr>
                    <w:t>VOCs</w:t>
                  </w:r>
                  <w:r>
                    <w:rPr>
                      <w:spacing w:val="11"/>
                      <w:sz w:val="20"/>
                      <w:szCs w:val="20"/>
                    </w:rPr>
                    <w:t>产生源设置在密闭车间、密闭设</w:t>
                  </w:r>
                  <w:r>
                    <w:rPr>
                      <w:spacing w:val="6"/>
                      <w:sz w:val="20"/>
                      <w:szCs w:val="20"/>
                    </w:rPr>
                    <w:t xml:space="preserve"> </w:t>
                  </w:r>
                  <w:r>
                    <w:rPr>
                      <w:spacing w:val="4"/>
                      <w:sz w:val="20"/>
                      <w:szCs w:val="20"/>
                    </w:rPr>
                    <w:t>备（含反应釜）、密闭管道内，所有开</w:t>
                  </w:r>
                  <w:r>
                    <w:rPr>
                      <w:spacing w:val="12"/>
                      <w:sz w:val="20"/>
                      <w:szCs w:val="20"/>
                    </w:rPr>
                    <w:t xml:space="preserve"> </w:t>
                  </w:r>
                  <w:r>
                    <w:rPr>
                      <w:spacing w:val="4"/>
                      <w:sz w:val="20"/>
                      <w:szCs w:val="20"/>
                    </w:rPr>
                    <w:t>口处，包括人员或物料进出口处呈负压</w:t>
                  </w:r>
                </w:p>
              </w:tc>
              <w:tc>
                <w:tcPr>
                  <w:tcW w:w="945" w:type="dxa"/>
                  <w:vAlign w:val="top"/>
                </w:tcPr>
                <w:p w14:paraId="72DEF832">
                  <w:pPr>
                    <w:spacing w:line="350" w:lineRule="auto"/>
                    <w:rPr>
                      <w:rFonts w:ascii="Arial"/>
                      <w:sz w:val="21"/>
                    </w:rPr>
                  </w:pPr>
                </w:p>
                <w:p w14:paraId="378469AB">
                  <w:pPr>
                    <w:spacing w:before="57" w:line="195"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51EB1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35" w:type="dxa"/>
                  <w:vMerge w:val="continue"/>
                  <w:tcBorders>
                    <w:top w:val="nil"/>
                    <w:bottom w:val="nil"/>
                  </w:tcBorders>
                  <w:vAlign w:val="top"/>
                </w:tcPr>
                <w:p w14:paraId="30945FA8">
                  <w:pPr>
                    <w:rPr>
                      <w:rFonts w:ascii="Arial"/>
                      <w:sz w:val="21"/>
                    </w:rPr>
                  </w:pPr>
                </w:p>
              </w:tc>
              <w:tc>
                <w:tcPr>
                  <w:tcW w:w="1989" w:type="dxa"/>
                  <w:vAlign w:val="top"/>
                </w:tcPr>
                <w:p w14:paraId="5B1C085F">
                  <w:pPr>
                    <w:pStyle w:val="6"/>
                    <w:spacing w:before="302" w:line="228" w:lineRule="auto"/>
                    <w:ind w:left="369"/>
                    <w:rPr>
                      <w:sz w:val="20"/>
                      <w:szCs w:val="20"/>
                    </w:rPr>
                  </w:pPr>
                  <w:r>
                    <w:rPr>
                      <w:spacing w:val="7"/>
                      <w:sz w:val="20"/>
                      <w:szCs w:val="20"/>
                    </w:rPr>
                    <w:t>单层密闭正压</w:t>
                  </w:r>
                </w:p>
              </w:tc>
              <w:tc>
                <w:tcPr>
                  <w:tcW w:w="3706" w:type="dxa"/>
                  <w:vAlign w:val="top"/>
                </w:tcPr>
                <w:p w14:paraId="4D61F51C">
                  <w:pPr>
                    <w:pStyle w:val="6"/>
                    <w:spacing w:before="31" w:line="228" w:lineRule="auto"/>
                    <w:ind w:left="119"/>
                    <w:rPr>
                      <w:sz w:val="20"/>
                      <w:szCs w:val="20"/>
                    </w:rPr>
                  </w:pPr>
                  <w:r>
                    <w:rPr>
                      <w:rFonts w:ascii="Times New Roman" w:hAnsi="Times New Roman" w:eastAsia="Times New Roman" w:cs="Times New Roman"/>
                      <w:sz w:val="20"/>
                      <w:szCs w:val="20"/>
                    </w:rPr>
                    <w:t>VOCs</w:t>
                  </w:r>
                  <w:r>
                    <w:rPr>
                      <w:spacing w:val="11"/>
                      <w:sz w:val="20"/>
                      <w:szCs w:val="20"/>
                    </w:rPr>
                    <w:t>产生源设置在密闭车间内，所有</w:t>
                  </w:r>
                </w:p>
                <w:p w14:paraId="3988060C">
                  <w:pPr>
                    <w:pStyle w:val="6"/>
                    <w:spacing w:before="24" w:line="228" w:lineRule="auto"/>
                    <w:ind w:left="112"/>
                    <w:rPr>
                      <w:sz w:val="20"/>
                      <w:szCs w:val="20"/>
                    </w:rPr>
                  </w:pPr>
                  <w:r>
                    <w:rPr>
                      <w:spacing w:val="4"/>
                      <w:sz w:val="20"/>
                      <w:szCs w:val="20"/>
                    </w:rPr>
                    <w:t>开口处，包括人员或物料进出口处呈正</w:t>
                  </w:r>
                </w:p>
                <w:p w14:paraId="0EA2FF17">
                  <w:pPr>
                    <w:pStyle w:val="6"/>
                    <w:spacing w:before="26" w:line="216" w:lineRule="auto"/>
                    <w:ind w:left="914"/>
                    <w:rPr>
                      <w:sz w:val="20"/>
                      <w:szCs w:val="20"/>
                    </w:rPr>
                  </w:pPr>
                  <w:r>
                    <w:rPr>
                      <w:spacing w:val="8"/>
                      <w:sz w:val="20"/>
                      <w:szCs w:val="20"/>
                    </w:rPr>
                    <w:t>压，且无明显泄漏点</w:t>
                  </w:r>
                </w:p>
              </w:tc>
              <w:tc>
                <w:tcPr>
                  <w:tcW w:w="945" w:type="dxa"/>
                  <w:vAlign w:val="top"/>
                </w:tcPr>
                <w:p w14:paraId="6D3B02AC">
                  <w:pPr>
                    <w:spacing w:line="279" w:lineRule="auto"/>
                    <w:rPr>
                      <w:rFonts w:ascii="Arial"/>
                      <w:sz w:val="21"/>
                    </w:rPr>
                  </w:pPr>
                </w:p>
                <w:p w14:paraId="06FFC887">
                  <w:pPr>
                    <w:spacing w:before="58"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55F15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35" w:type="dxa"/>
                  <w:vMerge w:val="continue"/>
                  <w:tcBorders>
                    <w:top w:val="nil"/>
                    <w:bottom w:val="nil"/>
                  </w:tcBorders>
                  <w:vAlign w:val="top"/>
                </w:tcPr>
                <w:p w14:paraId="202378B5">
                  <w:pPr>
                    <w:rPr>
                      <w:rFonts w:ascii="Arial"/>
                      <w:sz w:val="21"/>
                    </w:rPr>
                  </w:pPr>
                </w:p>
              </w:tc>
              <w:tc>
                <w:tcPr>
                  <w:tcW w:w="1989" w:type="dxa"/>
                  <w:vAlign w:val="top"/>
                </w:tcPr>
                <w:p w14:paraId="6E58CE5A">
                  <w:pPr>
                    <w:pStyle w:val="6"/>
                    <w:spacing w:before="96" w:line="228" w:lineRule="auto"/>
                    <w:ind w:left="367"/>
                    <w:rPr>
                      <w:sz w:val="20"/>
                      <w:szCs w:val="20"/>
                    </w:rPr>
                  </w:pPr>
                  <w:r>
                    <w:rPr>
                      <w:spacing w:val="8"/>
                      <w:sz w:val="20"/>
                      <w:szCs w:val="20"/>
                    </w:rPr>
                    <w:t>双层密闭空间</w:t>
                  </w:r>
                </w:p>
              </w:tc>
              <w:tc>
                <w:tcPr>
                  <w:tcW w:w="3706" w:type="dxa"/>
                  <w:vAlign w:val="top"/>
                </w:tcPr>
                <w:p w14:paraId="4BD7BFD7">
                  <w:pPr>
                    <w:pStyle w:val="6"/>
                    <w:spacing w:before="96" w:line="228" w:lineRule="auto"/>
                    <w:ind w:left="137"/>
                    <w:rPr>
                      <w:sz w:val="20"/>
                      <w:szCs w:val="20"/>
                    </w:rPr>
                  </w:pPr>
                  <w:r>
                    <w:rPr>
                      <w:spacing w:val="3"/>
                      <w:sz w:val="20"/>
                      <w:szCs w:val="20"/>
                    </w:rPr>
                    <w:t>内层空间密闭正压，外层空间密闭负压</w:t>
                  </w:r>
                </w:p>
              </w:tc>
              <w:tc>
                <w:tcPr>
                  <w:tcW w:w="945" w:type="dxa"/>
                  <w:vAlign w:val="top"/>
                </w:tcPr>
                <w:p w14:paraId="0CB8A7C6">
                  <w:pPr>
                    <w:spacing w:before="132" w:line="195"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395A0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35" w:type="dxa"/>
                  <w:vMerge w:val="continue"/>
                  <w:tcBorders>
                    <w:top w:val="nil"/>
                  </w:tcBorders>
                  <w:vAlign w:val="top"/>
                </w:tcPr>
                <w:p w14:paraId="0AD9449E">
                  <w:pPr>
                    <w:rPr>
                      <w:rFonts w:ascii="Arial"/>
                      <w:sz w:val="21"/>
                    </w:rPr>
                  </w:pPr>
                </w:p>
              </w:tc>
              <w:tc>
                <w:tcPr>
                  <w:tcW w:w="1989" w:type="dxa"/>
                  <w:vAlign w:val="top"/>
                </w:tcPr>
                <w:p w14:paraId="12186BFE">
                  <w:pPr>
                    <w:spacing w:line="373" w:lineRule="auto"/>
                    <w:rPr>
                      <w:rFonts w:ascii="Arial"/>
                      <w:sz w:val="21"/>
                    </w:rPr>
                  </w:pPr>
                </w:p>
                <w:p w14:paraId="69A1FAD4">
                  <w:pPr>
                    <w:pStyle w:val="6"/>
                    <w:spacing w:before="65" w:line="228" w:lineRule="auto"/>
                    <w:ind w:left="162"/>
                    <w:rPr>
                      <w:sz w:val="20"/>
                      <w:szCs w:val="20"/>
                    </w:rPr>
                  </w:pPr>
                  <w:r>
                    <w:rPr>
                      <w:spacing w:val="8"/>
                      <w:sz w:val="20"/>
                      <w:szCs w:val="20"/>
                    </w:rPr>
                    <w:t>设备废气排口直连</w:t>
                  </w:r>
                </w:p>
              </w:tc>
              <w:tc>
                <w:tcPr>
                  <w:tcW w:w="3706" w:type="dxa"/>
                  <w:vAlign w:val="top"/>
                </w:tcPr>
                <w:p w14:paraId="0484FC6E">
                  <w:pPr>
                    <w:pStyle w:val="6"/>
                    <w:spacing w:before="32" w:line="228" w:lineRule="auto"/>
                    <w:ind w:left="115"/>
                    <w:rPr>
                      <w:sz w:val="20"/>
                      <w:szCs w:val="20"/>
                    </w:rPr>
                  </w:pPr>
                  <w:r>
                    <w:rPr>
                      <w:spacing w:val="4"/>
                      <w:sz w:val="20"/>
                      <w:szCs w:val="20"/>
                    </w:rPr>
                    <w:t>设备有固定排放管（或口）直接与风管</w:t>
                  </w:r>
                </w:p>
                <w:p w14:paraId="2D4B6F5F">
                  <w:pPr>
                    <w:pStyle w:val="6"/>
                    <w:spacing w:before="26" w:line="228" w:lineRule="auto"/>
                    <w:ind w:left="112"/>
                    <w:rPr>
                      <w:sz w:val="20"/>
                      <w:szCs w:val="20"/>
                    </w:rPr>
                  </w:pPr>
                  <w:r>
                    <w:rPr>
                      <w:spacing w:val="8"/>
                      <w:sz w:val="20"/>
                      <w:szCs w:val="20"/>
                    </w:rPr>
                    <w:t>连接，设备整体密闭只留产品进出口，</w:t>
                  </w:r>
                </w:p>
                <w:p w14:paraId="68BABE81">
                  <w:pPr>
                    <w:pStyle w:val="6"/>
                    <w:spacing w:before="24" w:line="228" w:lineRule="auto"/>
                    <w:ind w:left="111"/>
                    <w:rPr>
                      <w:sz w:val="20"/>
                      <w:szCs w:val="20"/>
                    </w:rPr>
                  </w:pPr>
                  <w:r>
                    <w:rPr>
                      <w:spacing w:val="4"/>
                      <w:sz w:val="20"/>
                      <w:szCs w:val="20"/>
                    </w:rPr>
                    <w:t>且进出口处有废气收集措施，收集系统</w:t>
                  </w:r>
                </w:p>
                <w:p w14:paraId="5AF089B5">
                  <w:pPr>
                    <w:pStyle w:val="6"/>
                    <w:spacing w:before="27" w:line="214" w:lineRule="auto"/>
                    <w:ind w:left="442"/>
                    <w:rPr>
                      <w:sz w:val="20"/>
                      <w:szCs w:val="20"/>
                    </w:rPr>
                  </w:pPr>
                  <w:r>
                    <w:rPr>
                      <w:spacing w:val="10"/>
                      <w:sz w:val="20"/>
                      <w:szCs w:val="20"/>
                    </w:rPr>
                    <w:t>运行时周边基本无</w:t>
                  </w:r>
                  <w:r>
                    <w:rPr>
                      <w:rFonts w:ascii="Times New Roman" w:hAnsi="Times New Roman" w:eastAsia="Times New Roman" w:cs="Times New Roman"/>
                      <w:sz w:val="20"/>
                      <w:szCs w:val="20"/>
                    </w:rPr>
                    <w:t>VOCs</w:t>
                  </w:r>
                  <w:r>
                    <w:rPr>
                      <w:spacing w:val="10"/>
                      <w:sz w:val="20"/>
                      <w:szCs w:val="20"/>
                    </w:rPr>
                    <w:t>散发。</w:t>
                  </w:r>
                </w:p>
              </w:tc>
              <w:tc>
                <w:tcPr>
                  <w:tcW w:w="945" w:type="dxa"/>
                  <w:vAlign w:val="top"/>
                </w:tcPr>
                <w:p w14:paraId="6BAA8A4F">
                  <w:pPr>
                    <w:spacing w:line="416" w:lineRule="auto"/>
                    <w:rPr>
                      <w:rFonts w:ascii="Arial"/>
                      <w:sz w:val="21"/>
                    </w:rPr>
                  </w:pPr>
                </w:p>
                <w:p w14:paraId="2978114F">
                  <w:pPr>
                    <w:spacing w:before="5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r>
            <w:tr w14:paraId="5FF58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1135" w:type="dxa"/>
                  <w:vAlign w:val="top"/>
                </w:tcPr>
                <w:p w14:paraId="661FA74A">
                  <w:pPr>
                    <w:pStyle w:val="6"/>
                    <w:spacing w:before="281" w:line="228" w:lineRule="auto"/>
                    <w:ind w:left="155"/>
                    <w:rPr>
                      <w:sz w:val="20"/>
                      <w:szCs w:val="20"/>
                    </w:rPr>
                  </w:pPr>
                  <w:r>
                    <w:rPr>
                      <w:spacing w:val="6"/>
                      <w:sz w:val="20"/>
                      <w:szCs w:val="20"/>
                    </w:rPr>
                    <w:t>半密闭型</w:t>
                  </w:r>
                </w:p>
                <w:p w14:paraId="14EAF468">
                  <w:pPr>
                    <w:pStyle w:val="6"/>
                    <w:spacing w:before="23" w:line="228" w:lineRule="auto"/>
                    <w:ind w:left="151"/>
                    <w:rPr>
                      <w:sz w:val="20"/>
                      <w:szCs w:val="20"/>
                    </w:rPr>
                  </w:pPr>
                  <w:r>
                    <w:rPr>
                      <w:spacing w:val="7"/>
                      <w:sz w:val="20"/>
                      <w:szCs w:val="20"/>
                    </w:rPr>
                    <w:t>集气设备</w:t>
                  </w:r>
                </w:p>
                <w:p w14:paraId="2DC090FF">
                  <w:pPr>
                    <w:pStyle w:val="6"/>
                    <w:spacing w:before="26" w:line="228" w:lineRule="auto"/>
                    <w:ind w:left="161"/>
                    <w:rPr>
                      <w:sz w:val="20"/>
                      <w:szCs w:val="20"/>
                    </w:rPr>
                  </w:pPr>
                  <w:r>
                    <w:rPr>
                      <w:spacing w:val="4"/>
                      <w:sz w:val="20"/>
                      <w:szCs w:val="20"/>
                    </w:rPr>
                    <w:t>（含排气</w:t>
                  </w:r>
                </w:p>
                <w:p w14:paraId="1D343B6B">
                  <w:pPr>
                    <w:pStyle w:val="6"/>
                    <w:spacing w:before="27" w:line="228" w:lineRule="auto"/>
                    <w:ind w:left="362"/>
                    <w:rPr>
                      <w:sz w:val="20"/>
                      <w:szCs w:val="20"/>
                    </w:rPr>
                  </w:pPr>
                  <w:r>
                    <w:rPr>
                      <w:sz w:val="20"/>
                      <w:szCs w:val="20"/>
                    </w:rPr>
                    <w:t>柜）</w:t>
                  </w:r>
                </w:p>
              </w:tc>
              <w:tc>
                <w:tcPr>
                  <w:tcW w:w="1989" w:type="dxa"/>
                  <w:vAlign w:val="top"/>
                </w:tcPr>
                <w:p w14:paraId="40379297">
                  <w:pPr>
                    <w:pStyle w:val="6"/>
                    <w:spacing w:before="143" w:line="228" w:lineRule="auto"/>
                    <w:ind w:left="160"/>
                    <w:rPr>
                      <w:sz w:val="20"/>
                      <w:szCs w:val="20"/>
                    </w:rPr>
                  </w:pPr>
                  <w:r>
                    <w:rPr>
                      <w:spacing w:val="8"/>
                      <w:sz w:val="20"/>
                      <w:szCs w:val="20"/>
                    </w:rPr>
                    <w:t>污染物产生点（或</w:t>
                  </w:r>
                </w:p>
                <w:p w14:paraId="6AFCA4CD">
                  <w:pPr>
                    <w:pStyle w:val="6"/>
                    <w:spacing w:before="26" w:line="228" w:lineRule="auto"/>
                    <w:ind w:left="160"/>
                    <w:rPr>
                      <w:sz w:val="20"/>
                      <w:szCs w:val="20"/>
                    </w:rPr>
                  </w:pPr>
                  <w:r>
                    <w:rPr>
                      <w:spacing w:val="8"/>
                      <w:sz w:val="20"/>
                      <w:szCs w:val="20"/>
                    </w:rPr>
                    <w:t>生产设施）四周及</w:t>
                  </w:r>
                </w:p>
                <w:p w14:paraId="6E477CAB">
                  <w:pPr>
                    <w:pStyle w:val="6"/>
                    <w:spacing w:before="24" w:line="228" w:lineRule="auto"/>
                    <w:ind w:left="160"/>
                    <w:rPr>
                      <w:sz w:val="20"/>
                      <w:szCs w:val="20"/>
                    </w:rPr>
                  </w:pPr>
                  <w:r>
                    <w:rPr>
                      <w:spacing w:val="7"/>
                      <w:sz w:val="20"/>
                      <w:szCs w:val="20"/>
                    </w:rPr>
                    <w:t>上下有围挡设施，</w:t>
                  </w:r>
                </w:p>
                <w:p w14:paraId="173767E2">
                  <w:pPr>
                    <w:pStyle w:val="6"/>
                    <w:spacing w:before="26" w:line="228" w:lineRule="auto"/>
                    <w:ind w:left="266"/>
                    <w:rPr>
                      <w:sz w:val="20"/>
                      <w:szCs w:val="20"/>
                    </w:rPr>
                  </w:pPr>
                  <w:r>
                    <w:rPr>
                      <w:spacing w:val="8"/>
                      <w:sz w:val="20"/>
                      <w:szCs w:val="20"/>
                    </w:rPr>
                    <w:t>符合以下两种情</w:t>
                  </w:r>
                </w:p>
                <w:p w14:paraId="7AA00E06">
                  <w:pPr>
                    <w:pStyle w:val="6"/>
                    <w:spacing w:before="25" w:line="228" w:lineRule="auto"/>
                    <w:ind w:left="789"/>
                    <w:rPr>
                      <w:sz w:val="20"/>
                      <w:szCs w:val="20"/>
                    </w:rPr>
                  </w:pPr>
                  <w:r>
                    <w:rPr>
                      <w:spacing w:val="-1"/>
                      <w:sz w:val="20"/>
                      <w:szCs w:val="20"/>
                    </w:rPr>
                    <w:t>况：</w:t>
                  </w:r>
                </w:p>
              </w:tc>
              <w:tc>
                <w:tcPr>
                  <w:tcW w:w="3706" w:type="dxa"/>
                  <w:vAlign w:val="top"/>
                </w:tcPr>
                <w:p w14:paraId="5DA78319">
                  <w:pPr>
                    <w:spacing w:line="310" w:lineRule="auto"/>
                    <w:rPr>
                      <w:rFonts w:ascii="Arial"/>
                      <w:sz w:val="21"/>
                    </w:rPr>
                  </w:pPr>
                </w:p>
                <w:p w14:paraId="514BCDAA">
                  <w:pPr>
                    <w:spacing w:line="310" w:lineRule="auto"/>
                    <w:rPr>
                      <w:rFonts w:ascii="Arial"/>
                      <w:sz w:val="21"/>
                    </w:rPr>
                  </w:pPr>
                </w:p>
                <w:p w14:paraId="4840E883">
                  <w:pPr>
                    <w:pStyle w:val="6"/>
                    <w:spacing w:before="65" w:line="228" w:lineRule="auto"/>
                    <w:ind w:left="436"/>
                    <w:rPr>
                      <w:sz w:val="20"/>
                      <w:szCs w:val="20"/>
                    </w:rPr>
                  </w:pPr>
                  <w:r>
                    <w:rPr>
                      <w:spacing w:val="5"/>
                      <w:sz w:val="20"/>
                      <w:szCs w:val="20"/>
                    </w:rPr>
                    <w:t>敞开面控制风速不小于</w:t>
                  </w:r>
                  <w:r>
                    <w:rPr>
                      <w:rFonts w:ascii="Times New Roman" w:hAnsi="Times New Roman" w:eastAsia="Times New Roman" w:cs="Times New Roman"/>
                      <w:spacing w:val="5"/>
                      <w:sz w:val="20"/>
                      <w:szCs w:val="20"/>
                    </w:rPr>
                    <w:t>0.3m/s</w:t>
                  </w:r>
                  <w:r>
                    <w:rPr>
                      <w:spacing w:val="5"/>
                      <w:sz w:val="20"/>
                      <w:szCs w:val="20"/>
                    </w:rPr>
                    <w:t>；</w:t>
                  </w:r>
                </w:p>
              </w:tc>
              <w:tc>
                <w:tcPr>
                  <w:tcW w:w="945" w:type="dxa"/>
                  <w:vAlign w:val="top"/>
                </w:tcPr>
                <w:p w14:paraId="5476D832">
                  <w:pPr>
                    <w:spacing w:line="332" w:lineRule="auto"/>
                    <w:rPr>
                      <w:rFonts w:ascii="Arial"/>
                      <w:sz w:val="21"/>
                    </w:rPr>
                  </w:pPr>
                </w:p>
                <w:p w14:paraId="6CEC9CA9">
                  <w:pPr>
                    <w:spacing w:line="333" w:lineRule="auto"/>
                    <w:rPr>
                      <w:rFonts w:ascii="Arial"/>
                      <w:sz w:val="21"/>
                    </w:rPr>
                  </w:pPr>
                </w:p>
                <w:p w14:paraId="41914995">
                  <w:pPr>
                    <w:spacing w:before="5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bl>
          <w:p w14:paraId="7BD0CF94">
            <w:pPr>
              <w:spacing w:line="46" w:lineRule="auto"/>
              <w:rPr>
                <w:rFonts w:ascii="Arial"/>
                <w:sz w:val="2"/>
              </w:rPr>
            </w:pPr>
          </w:p>
        </w:tc>
      </w:tr>
    </w:tbl>
    <w:p w14:paraId="74428BED">
      <w:pPr>
        <w:rPr>
          <w:rFonts w:ascii="Arial"/>
          <w:sz w:val="21"/>
        </w:rPr>
      </w:pPr>
    </w:p>
    <w:p w14:paraId="22813689">
      <w:pPr>
        <w:rPr>
          <w:rFonts w:ascii="Arial" w:hAnsi="Arial" w:eastAsia="Arial" w:cs="Arial"/>
          <w:sz w:val="21"/>
          <w:szCs w:val="21"/>
        </w:rPr>
        <w:sectPr>
          <w:footerReference r:id="rId67" w:type="default"/>
          <w:pgSz w:w="11907" w:h="16840"/>
          <w:pgMar w:top="400" w:right="1499" w:bottom="1240" w:left="1499" w:header="0" w:footer="1077" w:gutter="0"/>
          <w:cols w:space="720" w:num="1"/>
        </w:sectPr>
      </w:pPr>
    </w:p>
    <w:p w14:paraId="480A8E8E">
      <w:pPr>
        <w:spacing w:before="19"/>
      </w:pPr>
    </w:p>
    <w:p w14:paraId="16DA6253">
      <w:pPr>
        <w:spacing w:before="19"/>
      </w:pPr>
    </w:p>
    <w:p w14:paraId="64FBFA87">
      <w:pPr>
        <w:spacing w:before="19"/>
      </w:pPr>
    </w:p>
    <w:p w14:paraId="30C80201">
      <w:pPr>
        <w:spacing w:before="18"/>
      </w:pPr>
    </w:p>
    <w:p w14:paraId="1FC4F74F">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86"/>
        <w:gridCol w:w="1129"/>
        <w:gridCol w:w="1987"/>
        <w:gridCol w:w="3703"/>
        <w:gridCol w:w="939"/>
        <w:gridCol w:w="195"/>
      </w:tblGrid>
      <w:tr w14:paraId="5C531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754" w:type="dxa"/>
            <w:vMerge w:val="restart"/>
            <w:tcBorders>
              <w:top w:val="single" w:color="000000" w:sz="6" w:space="0"/>
              <w:left w:val="single" w:color="000000" w:sz="6" w:space="0"/>
              <w:bottom w:val="nil"/>
            </w:tcBorders>
            <w:vAlign w:val="top"/>
          </w:tcPr>
          <w:p w14:paraId="66154562">
            <w:pPr>
              <w:rPr>
                <w:rFonts w:ascii="Arial"/>
                <w:sz w:val="21"/>
              </w:rPr>
            </w:pPr>
          </w:p>
        </w:tc>
        <w:tc>
          <w:tcPr>
            <w:tcW w:w="186" w:type="dxa"/>
            <w:vMerge w:val="restart"/>
            <w:tcBorders>
              <w:top w:val="single" w:color="000000" w:sz="6" w:space="0"/>
              <w:bottom w:val="nil"/>
            </w:tcBorders>
            <w:vAlign w:val="top"/>
          </w:tcPr>
          <w:p w14:paraId="3085D1D2">
            <w:pPr>
              <w:rPr>
                <w:rFonts w:ascii="Arial"/>
                <w:sz w:val="21"/>
              </w:rPr>
            </w:pPr>
          </w:p>
        </w:tc>
        <w:tc>
          <w:tcPr>
            <w:tcW w:w="1129" w:type="dxa"/>
            <w:tcBorders>
              <w:top w:val="single" w:color="000000" w:sz="6" w:space="0"/>
            </w:tcBorders>
            <w:vAlign w:val="top"/>
          </w:tcPr>
          <w:p w14:paraId="5B29C329">
            <w:pPr>
              <w:rPr>
                <w:rFonts w:ascii="Arial"/>
                <w:sz w:val="21"/>
              </w:rPr>
            </w:pPr>
          </w:p>
        </w:tc>
        <w:tc>
          <w:tcPr>
            <w:tcW w:w="1987" w:type="dxa"/>
            <w:tcBorders>
              <w:top w:val="single" w:color="000000" w:sz="6" w:space="0"/>
            </w:tcBorders>
            <w:vAlign w:val="top"/>
          </w:tcPr>
          <w:p w14:paraId="488ED4A5">
            <w:pPr>
              <w:pStyle w:val="6"/>
              <w:spacing w:before="46" w:line="228" w:lineRule="auto"/>
              <w:ind w:left="173"/>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5"/>
                <w:sz w:val="20"/>
                <w:szCs w:val="20"/>
              </w:rPr>
              <w:t xml:space="preserve"> </w:t>
            </w:r>
            <w:r>
              <w:rPr>
                <w:spacing w:val="3"/>
                <w:sz w:val="20"/>
                <w:szCs w:val="20"/>
              </w:rPr>
              <w:t>、仅保留</w:t>
            </w:r>
            <w:r>
              <w:rPr>
                <w:rFonts w:ascii="Times New Roman" w:hAnsi="Times New Roman" w:eastAsia="Times New Roman" w:cs="Times New Roman"/>
                <w:spacing w:val="3"/>
                <w:sz w:val="20"/>
                <w:szCs w:val="20"/>
              </w:rPr>
              <w:t>1</w:t>
            </w:r>
            <w:r>
              <w:rPr>
                <w:spacing w:val="3"/>
                <w:sz w:val="20"/>
                <w:szCs w:val="20"/>
              </w:rPr>
              <w:t>个操作</w:t>
            </w:r>
          </w:p>
          <w:p w14:paraId="2D8512B7">
            <w:pPr>
              <w:pStyle w:val="6"/>
              <w:spacing w:before="24" w:line="229" w:lineRule="auto"/>
              <w:ind w:left="579"/>
              <w:rPr>
                <w:sz w:val="20"/>
                <w:szCs w:val="20"/>
              </w:rPr>
            </w:pPr>
            <w:r>
              <w:rPr>
                <w:spacing w:val="4"/>
                <w:sz w:val="20"/>
                <w:szCs w:val="20"/>
              </w:rPr>
              <w:t>工位面；</w:t>
            </w:r>
          </w:p>
          <w:p w14:paraId="5B2A8EDF">
            <w:pPr>
              <w:pStyle w:val="6"/>
              <w:spacing w:before="23" w:line="228" w:lineRule="auto"/>
              <w:ind w:left="105"/>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27"/>
                <w:sz w:val="20"/>
                <w:szCs w:val="20"/>
              </w:rPr>
              <w:t xml:space="preserve"> </w:t>
            </w:r>
            <w:r>
              <w:rPr>
                <w:spacing w:val="5"/>
                <w:sz w:val="20"/>
                <w:szCs w:val="20"/>
              </w:rPr>
              <w:t>、仅保留物料进出</w:t>
            </w:r>
          </w:p>
          <w:p w14:paraId="3D89C421">
            <w:pPr>
              <w:pStyle w:val="6"/>
              <w:spacing w:before="26" w:line="228" w:lineRule="auto"/>
              <w:ind w:left="156"/>
              <w:rPr>
                <w:sz w:val="20"/>
                <w:szCs w:val="20"/>
              </w:rPr>
            </w:pPr>
            <w:r>
              <w:rPr>
                <w:spacing w:val="8"/>
                <w:sz w:val="20"/>
                <w:szCs w:val="20"/>
              </w:rPr>
              <w:t>通道，通道敞开面</w:t>
            </w:r>
          </w:p>
          <w:p w14:paraId="373E446C">
            <w:pPr>
              <w:pStyle w:val="6"/>
              <w:spacing w:before="23" w:line="228" w:lineRule="auto"/>
              <w:ind w:left="215"/>
              <w:rPr>
                <w:sz w:val="20"/>
                <w:szCs w:val="20"/>
              </w:rPr>
            </w:pPr>
            <w:r>
              <w:rPr>
                <w:spacing w:val="7"/>
                <w:sz w:val="20"/>
                <w:szCs w:val="20"/>
              </w:rPr>
              <w:t>小于</w:t>
            </w:r>
            <w:r>
              <w:rPr>
                <w:rFonts w:ascii="Times New Roman" w:hAnsi="Times New Roman" w:eastAsia="Times New Roman" w:cs="Times New Roman"/>
                <w:spacing w:val="7"/>
                <w:sz w:val="20"/>
                <w:szCs w:val="20"/>
              </w:rPr>
              <w:t>1</w:t>
            </w:r>
            <w:r>
              <w:rPr>
                <w:spacing w:val="7"/>
                <w:sz w:val="20"/>
                <w:szCs w:val="20"/>
              </w:rPr>
              <w:t>个操作工位</w:t>
            </w:r>
          </w:p>
          <w:p w14:paraId="51AEAAEB">
            <w:pPr>
              <w:pStyle w:val="6"/>
              <w:spacing w:before="27" w:line="216" w:lineRule="auto"/>
              <w:ind w:left="786"/>
              <w:rPr>
                <w:sz w:val="20"/>
                <w:szCs w:val="20"/>
              </w:rPr>
            </w:pPr>
            <w:r>
              <w:rPr>
                <w:sz w:val="20"/>
                <w:szCs w:val="20"/>
              </w:rPr>
              <w:t>面。</w:t>
            </w:r>
          </w:p>
        </w:tc>
        <w:tc>
          <w:tcPr>
            <w:tcW w:w="3703" w:type="dxa"/>
            <w:tcBorders>
              <w:top w:val="single" w:color="000000" w:sz="6" w:space="0"/>
            </w:tcBorders>
            <w:vAlign w:val="top"/>
          </w:tcPr>
          <w:p w14:paraId="79572C5B">
            <w:pPr>
              <w:spacing w:line="328" w:lineRule="auto"/>
              <w:rPr>
                <w:rFonts w:ascii="Arial"/>
                <w:sz w:val="21"/>
              </w:rPr>
            </w:pPr>
          </w:p>
          <w:p w14:paraId="146F3A6B">
            <w:pPr>
              <w:spacing w:line="329" w:lineRule="auto"/>
              <w:rPr>
                <w:rFonts w:ascii="Arial"/>
                <w:sz w:val="21"/>
              </w:rPr>
            </w:pPr>
          </w:p>
          <w:p w14:paraId="3FE646A8">
            <w:pPr>
              <w:pStyle w:val="6"/>
              <w:spacing w:before="65" w:line="228" w:lineRule="auto"/>
              <w:ind w:left="542"/>
              <w:rPr>
                <w:sz w:val="20"/>
                <w:szCs w:val="20"/>
              </w:rPr>
            </w:pPr>
            <w:r>
              <w:rPr>
                <w:spacing w:val="5"/>
                <w:sz w:val="20"/>
                <w:szCs w:val="20"/>
              </w:rPr>
              <w:t>敞开面控制风速小于</w:t>
            </w:r>
            <w:r>
              <w:rPr>
                <w:rFonts w:ascii="Times New Roman" w:hAnsi="Times New Roman" w:eastAsia="Times New Roman" w:cs="Times New Roman"/>
                <w:spacing w:val="5"/>
                <w:sz w:val="20"/>
                <w:szCs w:val="20"/>
              </w:rPr>
              <w:t>0.3m/s</w:t>
            </w:r>
            <w:r>
              <w:rPr>
                <w:spacing w:val="5"/>
                <w:sz w:val="20"/>
                <w:szCs w:val="20"/>
              </w:rPr>
              <w:t>；</w:t>
            </w:r>
          </w:p>
        </w:tc>
        <w:tc>
          <w:tcPr>
            <w:tcW w:w="939" w:type="dxa"/>
            <w:tcBorders>
              <w:top w:val="single" w:color="000000" w:sz="6" w:space="0"/>
            </w:tcBorders>
            <w:vAlign w:val="top"/>
          </w:tcPr>
          <w:p w14:paraId="06E2CB8F">
            <w:pPr>
              <w:spacing w:line="350" w:lineRule="auto"/>
              <w:rPr>
                <w:rFonts w:ascii="Arial"/>
                <w:sz w:val="21"/>
              </w:rPr>
            </w:pPr>
          </w:p>
          <w:p w14:paraId="19EFDAF0">
            <w:pPr>
              <w:spacing w:line="350" w:lineRule="auto"/>
              <w:rPr>
                <w:rFonts w:ascii="Arial"/>
                <w:sz w:val="21"/>
              </w:rPr>
            </w:pPr>
          </w:p>
          <w:p w14:paraId="5D55620B">
            <w:pPr>
              <w:spacing w:before="5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restart"/>
            <w:tcBorders>
              <w:top w:val="single" w:color="000000" w:sz="6" w:space="0"/>
              <w:bottom w:val="nil"/>
              <w:right w:val="single" w:color="000000" w:sz="6" w:space="0"/>
            </w:tcBorders>
            <w:vAlign w:val="top"/>
          </w:tcPr>
          <w:p w14:paraId="60342682">
            <w:pPr>
              <w:rPr>
                <w:rFonts w:ascii="Arial"/>
                <w:sz w:val="21"/>
              </w:rPr>
            </w:pPr>
          </w:p>
        </w:tc>
      </w:tr>
      <w:tr w14:paraId="25858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4" w:type="dxa"/>
            <w:vMerge w:val="continue"/>
            <w:tcBorders>
              <w:top w:val="nil"/>
              <w:left w:val="single" w:color="000000" w:sz="6" w:space="0"/>
              <w:bottom w:val="nil"/>
            </w:tcBorders>
            <w:vAlign w:val="top"/>
          </w:tcPr>
          <w:p w14:paraId="7A4158DE">
            <w:pPr>
              <w:rPr>
                <w:rFonts w:ascii="Arial"/>
                <w:sz w:val="21"/>
              </w:rPr>
            </w:pPr>
          </w:p>
        </w:tc>
        <w:tc>
          <w:tcPr>
            <w:tcW w:w="186" w:type="dxa"/>
            <w:vMerge w:val="continue"/>
            <w:tcBorders>
              <w:top w:val="nil"/>
              <w:bottom w:val="nil"/>
            </w:tcBorders>
            <w:vAlign w:val="top"/>
          </w:tcPr>
          <w:p w14:paraId="202A6DA1">
            <w:pPr>
              <w:rPr>
                <w:rFonts w:ascii="Arial"/>
                <w:sz w:val="21"/>
              </w:rPr>
            </w:pPr>
          </w:p>
        </w:tc>
        <w:tc>
          <w:tcPr>
            <w:tcW w:w="1129" w:type="dxa"/>
            <w:vMerge w:val="restart"/>
            <w:tcBorders>
              <w:bottom w:val="nil"/>
            </w:tcBorders>
            <w:vAlign w:val="top"/>
          </w:tcPr>
          <w:p w14:paraId="28E56C15">
            <w:pPr>
              <w:pStyle w:val="6"/>
              <w:spacing w:before="168" w:line="228" w:lineRule="auto"/>
              <w:ind w:left="143"/>
              <w:rPr>
                <w:sz w:val="20"/>
                <w:szCs w:val="20"/>
              </w:rPr>
            </w:pPr>
            <w:r>
              <w:rPr>
                <w:spacing w:val="7"/>
                <w:sz w:val="20"/>
                <w:szCs w:val="20"/>
              </w:rPr>
              <w:t>包围型集</w:t>
            </w:r>
          </w:p>
          <w:p w14:paraId="54753A28">
            <w:pPr>
              <w:pStyle w:val="6"/>
              <w:spacing w:before="26" w:line="228" w:lineRule="auto"/>
              <w:ind w:left="355"/>
              <w:rPr>
                <w:sz w:val="20"/>
                <w:szCs w:val="20"/>
              </w:rPr>
            </w:pPr>
            <w:r>
              <w:rPr>
                <w:spacing w:val="4"/>
                <w:sz w:val="20"/>
                <w:szCs w:val="20"/>
              </w:rPr>
              <w:t>气罩</w:t>
            </w:r>
          </w:p>
        </w:tc>
        <w:tc>
          <w:tcPr>
            <w:tcW w:w="1987" w:type="dxa"/>
            <w:vMerge w:val="restart"/>
            <w:tcBorders>
              <w:bottom w:val="nil"/>
            </w:tcBorders>
            <w:vAlign w:val="top"/>
          </w:tcPr>
          <w:p w14:paraId="53A989EF">
            <w:pPr>
              <w:pStyle w:val="6"/>
              <w:spacing w:before="34" w:line="228" w:lineRule="auto"/>
              <w:ind w:left="156"/>
              <w:rPr>
                <w:sz w:val="20"/>
                <w:szCs w:val="20"/>
              </w:rPr>
            </w:pPr>
            <w:r>
              <w:rPr>
                <w:spacing w:val="8"/>
                <w:sz w:val="20"/>
                <w:szCs w:val="20"/>
              </w:rPr>
              <w:t>通过软质垂帘四周</w:t>
            </w:r>
          </w:p>
          <w:p w14:paraId="15E7191D">
            <w:pPr>
              <w:pStyle w:val="6"/>
              <w:spacing w:before="23" w:line="227" w:lineRule="auto"/>
              <w:ind w:left="175"/>
              <w:rPr>
                <w:sz w:val="20"/>
                <w:szCs w:val="20"/>
              </w:rPr>
            </w:pPr>
            <w:r>
              <w:rPr>
                <w:spacing w:val="6"/>
                <w:sz w:val="20"/>
                <w:szCs w:val="20"/>
              </w:rPr>
              <w:t>围挡（偶有部分敞</w:t>
            </w:r>
          </w:p>
          <w:p w14:paraId="61B37B3F">
            <w:pPr>
              <w:pStyle w:val="6"/>
              <w:spacing w:before="25" w:line="217" w:lineRule="auto"/>
              <w:ind w:left="786"/>
              <w:rPr>
                <w:sz w:val="20"/>
                <w:szCs w:val="20"/>
              </w:rPr>
            </w:pPr>
            <w:r>
              <w:rPr>
                <w:sz w:val="20"/>
                <w:szCs w:val="20"/>
              </w:rPr>
              <w:t>开）</w:t>
            </w:r>
          </w:p>
        </w:tc>
        <w:tc>
          <w:tcPr>
            <w:tcW w:w="3703" w:type="dxa"/>
            <w:vAlign w:val="top"/>
          </w:tcPr>
          <w:p w14:paraId="3E561363">
            <w:pPr>
              <w:pStyle w:val="6"/>
              <w:spacing w:before="96" w:line="228" w:lineRule="auto"/>
              <w:ind w:left="436"/>
              <w:rPr>
                <w:sz w:val="20"/>
                <w:szCs w:val="20"/>
              </w:rPr>
            </w:pPr>
            <w:r>
              <w:rPr>
                <w:spacing w:val="5"/>
                <w:sz w:val="20"/>
                <w:szCs w:val="20"/>
              </w:rPr>
              <w:t>敞开面控制风速不小于</w:t>
            </w:r>
            <w:r>
              <w:rPr>
                <w:rFonts w:ascii="Times New Roman" w:hAnsi="Times New Roman" w:eastAsia="Times New Roman" w:cs="Times New Roman"/>
                <w:spacing w:val="5"/>
                <w:sz w:val="20"/>
                <w:szCs w:val="20"/>
              </w:rPr>
              <w:t>0.3m/s</w:t>
            </w:r>
            <w:r>
              <w:rPr>
                <w:spacing w:val="5"/>
                <w:sz w:val="20"/>
                <w:szCs w:val="20"/>
              </w:rPr>
              <w:t>；</w:t>
            </w:r>
          </w:p>
        </w:tc>
        <w:tc>
          <w:tcPr>
            <w:tcW w:w="939" w:type="dxa"/>
            <w:vAlign w:val="top"/>
          </w:tcPr>
          <w:p w14:paraId="3EEA1643">
            <w:pPr>
              <w:spacing w:before="132"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5" w:type="dxa"/>
            <w:vMerge w:val="continue"/>
            <w:tcBorders>
              <w:top w:val="nil"/>
              <w:bottom w:val="nil"/>
              <w:right w:val="single" w:color="000000" w:sz="6" w:space="0"/>
            </w:tcBorders>
            <w:vAlign w:val="top"/>
          </w:tcPr>
          <w:p w14:paraId="554DB71C">
            <w:pPr>
              <w:rPr>
                <w:rFonts w:ascii="Arial"/>
                <w:sz w:val="21"/>
              </w:rPr>
            </w:pPr>
          </w:p>
        </w:tc>
      </w:tr>
      <w:tr w14:paraId="17A69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754" w:type="dxa"/>
            <w:vMerge w:val="continue"/>
            <w:tcBorders>
              <w:top w:val="nil"/>
              <w:left w:val="single" w:color="000000" w:sz="6" w:space="0"/>
              <w:bottom w:val="nil"/>
            </w:tcBorders>
            <w:vAlign w:val="top"/>
          </w:tcPr>
          <w:p w14:paraId="6B9E3160">
            <w:pPr>
              <w:rPr>
                <w:rFonts w:ascii="Arial"/>
                <w:sz w:val="21"/>
              </w:rPr>
            </w:pPr>
          </w:p>
        </w:tc>
        <w:tc>
          <w:tcPr>
            <w:tcW w:w="186" w:type="dxa"/>
            <w:vMerge w:val="continue"/>
            <w:tcBorders>
              <w:top w:val="nil"/>
              <w:bottom w:val="nil"/>
            </w:tcBorders>
            <w:vAlign w:val="top"/>
          </w:tcPr>
          <w:p w14:paraId="05F64554">
            <w:pPr>
              <w:rPr>
                <w:rFonts w:ascii="Arial"/>
                <w:sz w:val="21"/>
              </w:rPr>
            </w:pPr>
          </w:p>
        </w:tc>
        <w:tc>
          <w:tcPr>
            <w:tcW w:w="1129" w:type="dxa"/>
            <w:vMerge w:val="continue"/>
            <w:tcBorders>
              <w:top w:val="nil"/>
            </w:tcBorders>
            <w:vAlign w:val="top"/>
          </w:tcPr>
          <w:p w14:paraId="0724F5AD">
            <w:pPr>
              <w:rPr>
                <w:rFonts w:ascii="Arial"/>
                <w:sz w:val="21"/>
              </w:rPr>
            </w:pPr>
          </w:p>
        </w:tc>
        <w:tc>
          <w:tcPr>
            <w:tcW w:w="1987" w:type="dxa"/>
            <w:vMerge w:val="continue"/>
            <w:tcBorders>
              <w:top w:val="nil"/>
            </w:tcBorders>
            <w:vAlign w:val="top"/>
          </w:tcPr>
          <w:p w14:paraId="1E014C77">
            <w:pPr>
              <w:rPr>
                <w:rFonts w:ascii="Arial"/>
                <w:sz w:val="21"/>
              </w:rPr>
            </w:pPr>
          </w:p>
        </w:tc>
        <w:tc>
          <w:tcPr>
            <w:tcW w:w="3703" w:type="dxa"/>
            <w:vAlign w:val="top"/>
          </w:tcPr>
          <w:p w14:paraId="39296DAD">
            <w:pPr>
              <w:pStyle w:val="6"/>
              <w:spacing w:before="102" w:line="228" w:lineRule="auto"/>
              <w:ind w:left="542"/>
              <w:rPr>
                <w:sz w:val="20"/>
                <w:szCs w:val="20"/>
              </w:rPr>
            </w:pPr>
            <w:r>
              <w:rPr>
                <w:spacing w:val="5"/>
                <w:sz w:val="20"/>
                <w:szCs w:val="20"/>
              </w:rPr>
              <w:t>敞开面控制风速小于</w:t>
            </w:r>
            <w:r>
              <w:rPr>
                <w:rFonts w:ascii="Times New Roman" w:hAnsi="Times New Roman" w:eastAsia="Times New Roman" w:cs="Times New Roman"/>
                <w:spacing w:val="5"/>
                <w:sz w:val="20"/>
                <w:szCs w:val="20"/>
              </w:rPr>
              <w:t>0.3m/s</w:t>
            </w:r>
            <w:r>
              <w:rPr>
                <w:spacing w:val="5"/>
                <w:sz w:val="20"/>
                <w:szCs w:val="20"/>
              </w:rPr>
              <w:t>；</w:t>
            </w:r>
          </w:p>
        </w:tc>
        <w:tc>
          <w:tcPr>
            <w:tcW w:w="939" w:type="dxa"/>
            <w:vAlign w:val="top"/>
          </w:tcPr>
          <w:p w14:paraId="4483FA0B">
            <w:pPr>
              <w:spacing w:before="13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continue"/>
            <w:tcBorders>
              <w:top w:val="nil"/>
              <w:bottom w:val="nil"/>
              <w:right w:val="single" w:color="000000" w:sz="6" w:space="0"/>
            </w:tcBorders>
            <w:vAlign w:val="top"/>
          </w:tcPr>
          <w:p w14:paraId="13AEFB88">
            <w:pPr>
              <w:rPr>
                <w:rFonts w:ascii="Arial"/>
                <w:sz w:val="21"/>
              </w:rPr>
            </w:pPr>
          </w:p>
        </w:tc>
      </w:tr>
      <w:tr w14:paraId="7CF77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vMerge w:val="continue"/>
            <w:tcBorders>
              <w:top w:val="nil"/>
              <w:left w:val="single" w:color="000000" w:sz="6" w:space="0"/>
              <w:bottom w:val="nil"/>
            </w:tcBorders>
            <w:vAlign w:val="top"/>
          </w:tcPr>
          <w:p w14:paraId="51913940">
            <w:pPr>
              <w:rPr>
                <w:rFonts w:ascii="Arial"/>
                <w:sz w:val="21"/>
              </w:rPr>
            </w:pPr>
          </w:p>
        </w:tc>
        <w:tc>
          <w:tcPr>
            <w:tcW w:w="186" w:type="dxa"/>
            <w:vMerge w:val="continue"/>
            <w:tcBorders>
              <w:top w:val="nil"/>
              <w:bottom w:val="nil"/>
            </w:tcBorders>
            <w:vAlign w:val="top"/>
          </w:tcPr>
          <w:p w14:paraId="0FD527DF">
            <w:pPr>
              <w:rPr>
                <w:rFonts w:ascii="Arial"/>
                <w:sz w:val="21"/>
              </w:rPr>
            </w:pPr>
          </w:p>
        </w:tc>
        <w:tc>
          <w:tcPr>
            <w:tcW w:w="1129" w:type="dxa"/>
            <w:vMerge w:val="restart"/>
            <w:tcBorders>
              <w:bottom w:val="nil"/>
            </w:tcBorders>
            <w:vAlign w:val="top"/>
          </w:tcPr>
          <w:p w14:paraId="379C279B">
            <w:pPr>
              <w:spacing w:line="244" w:lineRule="auto"/>
              <w:rPr>
                <w:rFonts w:ascii="Arial"/>
                <w:sz w:val="21"/>
              </w:rPr>
            </w:pPr>
          </w:p>
          <w:p w14:paraId="7CDA6880">
            <w:pPr>
              <w:pStyle w:val="6"/>
              <w:spacing w:before="65" w:line="228" w:lineRule="auto"/>
              <w:ind w:left="147"/>
              <w:rPr>
                <w:sz w:val="20"/>
                <w:szCs w:val="20"/>
              </w:rPr>
            </w:pPr>
            <w:r>
              <w:rPr>
                <w:spacing w:val="6"/>
                <w:sz w:val="20"/>
                <w:szCs w:val="20"/>
              </w:rPr>
              <w:t>外部集气</w:t>
            </w:r>
          </w:p>
          <w:p w14:paraId="41AFDA11">
            <w:pPr>
              <w:pStyle w:val="6"/>
              <w:spacing w:before="24" w:line="228" w:lineRule="auto"/>
              <w:ind w:left="460"/>
              <w:rPr>
                <w:sz w:val="20"/>
                <w:szCs w:val="20"/>
              </w:rPr>
            </w:pPr>
            <w:r>
              <w:rPr>
                <w:sz w:val="20"/>
                <w:szCs w:val="20"/>
              </w:rPr>
              <w:t>罩</w:t>
            </w:r>
          </w:p>
        </w:tc>
        <w:tc>
          <w:tcPr>
            <w:tcW w:w="1987" w:type="dxa"/>
            <w:vMerge w:val="restart"/>
            <w:tcBorders>
              <w:bottom w:val="nil"/>
            </w:tcBorders>
            <w:vAlign w:val="top"/>
          </w:tcPr>
          <w:p w14:paraId="309203BC">
            <w:pPr>
              <w:spacing w:line="254" w:lineRule="auto"/>
              <w:rPr>
                <w:rFonts w:ascii="Arial"/>
                <w:sz w:val="21"/>
              </w:rPr>
            </w:pPr>
          </w:p>
          <w:p w14:paraId="77812000">
            <w:pPr>
              <w:spacing w:line="255" w:lineRule="auto"/>
              <w:rPr>
                <w:rFonts w:ascii="Arial"/>
                <w:sz w:val="21"/>
              </w:rPr>
            </w:pPr>
          </w:p>
          <w:p w14:paraId="6D48EDB6">
            <w:pPr>
              <w:spacing w:before="58" w:line="96"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3703" w:type="dxa"/>
            <w:vAlign w:val="top"/>
          </w:tcPr>
          <w:p w14:paraId="49938950">
            <w:pPr>
              <w:pStyle w:val="6"/>
              <w:spacing w:before="32" w:line="228" w:lineRule="auto"/>
              <w:ind w:left="125"/>
              <w:rPr>
                <w:sz w:val="20"/>
                <w:szCs w:val="20"/>
              </w:rPr>
            </w:pPr>
            <w:r>
              <w:rPr>
                <w:spacing w:val="11"/>
                <w:sz w:val="20"/>
                <w:szCs w:val="20"/>
              </w:rPr>
              <w:t>相应工位所有</w:t>
            </w:r>
            <w:r>
              <w:rPr>
                <w:rFonts w:ascii="Times New Roman" w:hAnsi="Times New Roman" w:eastAsia="Times New Roman" w:cs="Times New Roman"/>
                <w:sz w:val="20"/>
                <w:szCs w:val="20"/>
              </w:rPr>
              <w:t>VOCs</w:t>
            </w:r>
            <w:r>
              <w:rPr>
                <w:spacing w:val="11"/>
                <w:sz w:val="20"/>
                <w:szCs w:val="20"/>
              </w:rPr>
              <w:t>逸散点控制风速不</w:t>
            </w:r>
          </w:p>
          <w:p w14:paraId="486A5CD6">
            <w:pPr>
              <w:pStyle w:val="6"/>
              <w:spacing w:before="26" w:line="215" w:lineRule="auto"/>
              <w:ind w:left="1372"/>
              <w:rPr>
                <w:rFonts w:ascii="Times New Roman" w:hAnsi="Times New Roman" w:eastAsia="Times New Roman" w:cs="Times New Roman"/>
                <w:sz w:val="20"/>
                <w:szCs w:val="20"/>
              </w:rPr>
            </w:pPr>
            <w:r>
              <w:rPr>
                <w:spacing w:val="3"/>
                <w:sz w:val="20"/>
                <w:szCs w:val="20"/>
              </w:rPr>
              <w:t>小于</w:t>
            </w:r>
            <w:r>
              <w:rPr>
                <w:rFonts w:ascii="Times New Roman" w:hAnsi="Times New Roman" w:eastAsia="Times New Roman" w:cs="Times New Roman"/>
                <w:spacing w:val="3"/>
                <w:sz w:val="20"/>
                <w:szCs w:val="20"/>
              </w:rPr>
              <w:t>0.3m/s</w:t>
            </w:r>
          </w:p>
        </w:tc>
        <w:tc>
          <w:tcPr>
            <w:tcW w:w="939" w:type="dxa"/>
            <w:vAlign w:val="top"/>
          </w:tcPr>
          <w:p w14:paraId="25E06A60">
            <w:pPr>
              <w:spacing w:before="205"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95" w:type="dxa"/>
            <w:vMerge w:val="continue"/>
            <w:tcBorders>
              <w:top w:val="nil"/>
              <w:bottom w:val="nil"/>
              <w:right w:val="single" w:color="000000" w:sz="6" w:space="0"/>
            </w:tcBorders>
            <w:vAlign w:val="top"/>
          </w:tcPr>
          <w:p w14:paraId="02323C95">
            <w:pPr>
              <w:rPr>
                <w:rFonts w:ascii="Arial"/>
                <w:sz w:val="21"/>
              </w:rPr>
            </w:pPr>
          </w:p>
        </w:tc>
      </w:tr>
      <w:tr w14:paraId="298BD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4" w:type="dxa"/>
            <w:vMerge w:val="continue"/>
            <w:tcBorders>
              <w:top w:val="nil"/>
              <w:left w:val="single" w:color="000000" w:sz="6" w:space="0"/>
              <w:bottom w:val="nil"/>
            </w:tcBorders>
            <w:vAlign w:val="top"/>
          </w:tcPr>
          <w:p w14:paraId="7F88780E">
            <w:pPr>
              <w:rPr>
                <w:rFonts w:ascii="Arial"/>
                <w:sz w:val="21"/>
              </w:rPr>
            </w:pPr>
          </w:p>
        </w:tc>
        <w:tc>
          <w:tcPr>
            <w:tcW w:w="186" w:type="dxa"/>
            <w:vMerge w:val="continue"/>
            <w:tcBorders>
              <w:top w:val="nil"/>
              <w:bottom w:val="nil"/>
            </w:tcBorders>
            <w:vAlign w:val="top"/>
          </w:tcPr>
          <w:p w14:paraId="21D26AD9">
            <w:pPr>
              <w:rPr>
                <w:rFonts w:ascii="Arial"/>
                <w:sz w:val="21"/>
              </w:rPr>
            </w:pPr>
          </w:p>
        </w:tc>
        <w:tc>
          <w:tcPr>
            <w:tcW w:w="1129" w:type="dxa"/>
            <w:vMerge w:val="continue"/>
            <w:tcBorders>
              <w:top w:val="nil"/>
            </w:tcBorders>
            <w:vAlign w:val="top"/>
          </w:tcPr>
          <w:p w14:paraId="2672C530">
            <w:pPr>
              <w:rPr>
                <w:rFonts w:ascii="Arial"/>
                <w:sz w:val="21"/>
              </w:rPr>
            </w:pPr>
          </w:p>
        </w:tc>
        <w:tc>
          <w:tcPr>
            <w:tcW w:w="1987" w:type="dxa"/>
            <w:vMerge w:val="continue"/>
            <w:tcBorders>
              <w:top w:val="nil"/>
            </w:tcBorders>
            <w:vAlign w:val="top"/>
          </w:tcPr>
          <w:p w14:paraId="48410F00">
            <w:pPr>
              <w:rPr>
                <w:rFonts w:ascii="Arial"/>
                <w:sz w:val="21"/>
              </w:rPr>
            </w:pPr>
          </w:p>
        </w:tc>
        <w:tc>
          <w:tcPr>
            <w:tcW w:w="3703" w:type="dxa"/>
            <w:vAlign w:val="top"/>
          </w:tcPr>
          <w:p w14:paraId="3EC477DC">
            <w:pPr>
              <w:pStyle w:val="6"/>
              <w:spacing w:before="33" w:line="233" w:lineRule="auto"/>
              <w:ind w:left="529" w:right="116" w:hanging="404"/>
              <w:rPr>
                <w:sz w:val="20"/>
                <w:szCs w:val="20"/>
              </w:rPr>
            </w:pPr>
            <w:r>
              <w:rPr>
                <w:spacing w:val="11"/>
                <w:sz w:val="20"/>
                <w:szCs w:val="20"/>
              </w:rPr>
              <w:t>相应工位所有</w:t>
            </w:r>
            <w:r>
              <w:rPr>
                <w:rFonts w:ascii="Times New Roman" w:hAnsi="Times New Roman" w:eastAsia="Times New Roman" w:cs="Times New Roman"/>
                <w:sz w:val="20"/>
                <w:szCs w:val="20"/>
              </w:rPr>
              <w:t>VOCs</w:t>
            </w:r>
            <w:r>
              <w:rPr>
                <w:spacing w:val="11"/>
                <w:sz w:val="20"/>
                <w:szCs w:val="20"/>
              </w:rPr>
              <w:t>逸散点控制风速小</w:t>
            </w:r>
            <w:r>
              <w:rPr>
                <w:sz w:val="20"/>
                <w:szCs w:val="20"/>
              </w:rPr>
              <w:t xml:space="preserve"> </w:t>
            </w:r>
            <w:r>
              <w:rPr>
                <w:spacing w:val="5"/>
                <w:sz w:val="20"/>
                <w:szCs w:val="20"/>
              </w:rPr>
              <w:t>于</w:t>
            </w:r>
            <w:r>
              <w:rPr>
                <w:rFonts w:ascii="Times New Roman" w:hAnsi="Times New Roman" w:eastAsia="Times New Roman" w:cs="Times New Roman"/>
                <w:spacing w:val="5"/>
                <w:sz w:val="20"/>
                <w:szCs w:val="20"/>
              </w:rPr>
              <w:t>0.3m/s</w:t>
            </w:r>
            <w:r>
              <w:rPr>
                <w:rFonts w:ascii="Times New Roman" w:hAnsi="Times New Roman" w:eastAsia="Times New Roman" w:cs="Times New Roman"/>
                <w:spacing w:val="-20"/>
                <w:sz w:val="20"/>
                <w:szCs w:val="20"/>
              </w:rPr>
              <w:t xml:space="preserve"> </w:t>
            </w:r>
            <w:r>
              <w:rPr>
                <w:spacing w:val="5"/>
                <w:sz w:val="20"/>
                <w:szCs w:val="20"/>
              </w:rPr>
              <w:t>，或存在强对流干扰</w:t>
            </w:r>
          </w:p>
        </w:tc>
        <w:tc>
          <w:tcPr>
            <w:tcW w:w="939" w:type="dxa"/>
            <w:vAlign w:val="top"/>
          </w:tcPr>
          <w:p w14:paraId="26AAA402">
            <w:pPr>
              <w:spacing w:before="205"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continue"/>
            <w:tcBorders>
              <w:top w:val="nil"/>
              <w:bottom w:val="nil"/>
              <w:right w:val="single" w:color="000000" w:sz="6" w:space="0"/>
            </w:tcBorders>
            <w:vAlign w:val="top"/>
          </w:tcPr>
          <w:p w14:paraId="36E4E827">
            <w:pPr>
              <w:rPr>
                <w:rFonts w:ascii="Arial"/>
                <w:sz w:val="21"/>
              </w:rPr>
            </w:pPr>
          </w:p>
        </w:tc>
      </w:tr>
      <w:tr w14:paraId="14AA1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vMerge w:val="continue"/>
            <w:tcBorders>
              <w:top w:val="nil"/>
              <w:left w:val="single" w:color="000000" w:sz="6" w:space="0"/>
              <w:bottom w:val="nil"/>
            </w:tcBorders>
            <w:vAlign w:val="top"/>
          </w:tcPr>
          <w:p w14:paraId="095A9716">
            <w:pPr>
              <w:rPr>
                <w:rFonts w:ascii="Arial"/>
                <w:sz w:val="21"/>
              </w:rPr>
            </w:pPr>
          </w:p>
        </w:tc>
        <w:tc>
          <w:tcPr>
            <w:tcW w:w="186" w:type="dxa"/>
            <w:vMerge w:val="continue"/>
            <w:tcBorders>
              <w:top w:val="nil"/>
              <w:bottom w:val="nil"/>
            </w:tcBorders>
            <w:vAlign w:val="top"/>
          </w:tcPr>
          <w:p w14:paraId="7A723797">
            <w:pPr>
              <w:rPr>
                <w:rFonts w:ascii="Arial"/>
                <w:sz w:val="21"/>
              </w:rPr>
            </w:pPr>
          </w:p>
        </w:tc>
        <w:tc>
          <w:tcPr>
            <w:tcW w:w="1129" w:type="dxa"/>
            <w:vAlign w:val="top"/>
          </w:tcPr>
          <w:p w14:paraId="377D9E9C">
            <w:pPr>
              <w:pStyle w:val="6"/>
              <w:spacing w:before="34" w:line="228" w:lineRule="auto"/>
              <w:ind w:left="145"/>
              <w:rPr>
                <w:sz w:val="20"/>
                <w:szCs w:val="20"/>
              </w:rPr>
            </w:pPr>
            <w:r>
              <w:rPr>
                <w:spacing w:val="6"/>
                <w:sz w:val="20"/>
                <w:szCs w:val="20"/>
              </w:rPr>
              <w:t>无集气设</w:t>
            </w:r>
          </w:p>
          <w:p w14:paraId="202BEF8B">
            <w:pPr>
              <w:pStyle w:val="6"/>
              <w:spacing w:before="27" w:line="213" w:lineRule="auto"/>
              <w:ind w:left="459"/>
              <w:rPr>
                <w:sz w:val="20"/>
                <w:szCs w:val="20"/>
              </w:rPr>
            </w:pPr>
            <w:r>
              <w:rPr>
                <w:spacing w:val="1"/>
                <w:sz w:val="20"/>
                <w:szCs w:val="20"/>
              </w:rPr>
              <w:t>施</w:t>
            </w:r>
          </w:p>
        </w:tc>
        <w:tc>
          <w:tcPr>
            <w:tcW w:w="1987" w:type="dxa"/>
            <w:vAlign w:val="top"/>
          </w:tcPr>
          <w:p w14:paraId="5E2DE130">
            <w:pPr>
              <w:spacing w:before="296" w:line="96"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3703" w:type="dxa"/>
            <w:vAlign w:val="top"/>
          </w:tcPr>
          <w:p w14:paraId="3180E077">
            <w:pPr>
              <w:pStyle w:val="6"/>
              <w:spacing w:before="34" w:line="228" w:lineRule="auto"/>
              <w:ind w:left="127"/>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6"/>
                <w:sz w:val="20"/>
                <w:szCs w:val="20"/>
              </w:rPr>
              <w:t xml:space="preserve"> </w:t>
            </w:r>
            <w:r>
              <w:rPr>
                <w:spacing w:val="1"/>
                <w:sz w:val="20"/>
                <w:szCs w:val="20"/>
              </w:rPr>
              <w:t>、无集气设施；</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26"/>
                <w:sz w:val="20"/>
                <w:szCs w:val="20"/>
              </w:rPr>
              <w:t xml:space="preserve"> </w:t>
            </w:r>
            <w:r>
              <w:rPr>
                <w:spacing w:val="1"/>
                <w:sz w:val="20"/>
                <w:szCs w:val="20"/>
              </w:rPr>
              <w:t>、集气设施运行不正</w:t>
            </w:r>
          </w:p>
          <w:p w14:paraId="606B4F34">
            <w:pPr>
              <w:pStyle w:val="6"/>
              <w:spacing w:before="27" w:line="213" w:lineRule="auto"/>
              <w:ind w:left="1758"/>
              <w:rPr>
                <w:sz w:val="20"/>
                <w:szCs w:val="20"/>
              </w:rPr>
            </w:pPr>
            <w:r>
              <w:rPr>
                <w:sz w:val="20"/>
                <w:szCs w:val="20"/>
              </w:rPr>
              <w:t>常</w:t>
            </w:r>
          </w:p>
        </w:tc>
        <w:tc>
          <w:tcPr>
            <w:tcW w:w="939" w:type="dxa"/>
            <w:vAlign w:val="top"/>
          </w:tcPr>
          <w:p w14:paraId="5AAC9244">
            <w:pPr>
              <w:spacing w:before="20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continue"/>
            <w:tcBorders>
              <w:top w:val="nil"/>
              <w:bottom w:val="nil"/>
              <w:right w:val="single" w:color="000000" w:sz="6" w:space="0"/>
            </w:tcBorders>
            <w:vAlign w:val="top"/>
          </w:tcPr>
          <w:p w14:paraId="7775670E">
            <w:pPr>
              <w:rPr>
                <w:rFonts w:ascii="Arial"/>
                <w:sz w:val="21"/>
              </w:rPr>
            </w:pPr>
          </w:p>
        </w:tc>
      </w:tr>
      <w:tr w14:paraId="4A5E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vMerge w:val="continue"/>
            <w:tcBorders>
              <w:top w:val="nil"/>
              <w:left w:val="single" w:color="000000" w:sz="6" w:space="0"/>
              <w:bottom w:val="nil"/>
            </w:tcBorders>
            <w:vAlign w:val="top"/>
          </w:tcPr>
          <w:p w14:paraId="477AA328">
            <w:pPr>
              <w:rPr>
                <w:rFonts w:ascii="Arial"/>
                <w:sz w:val="21"/>
              </w:rPr>
            </w:pPr>
          </w:p>
        </w:tc>
        <w:tc>
          <w:tcPr>
            <w:tcW w:w="186" w:type="dxa"/>
            <w:vMerge w:val="continue"/>
            <w:tcBorders>
              <w:top w:val="nil"/>
              <w:bottom w:val="nil"/>
            </w:tcBorders>
            <w:vAlign w:val="top"/>
          </w:tcPr>
          <w:p w14:paraId="61BCB4B8">
            <w:pPr>
              <w:rPr>
                <w:rFonts w:ascii="Arial"/>
                <w:sz w:val="21"/>
              </w:rPr>
            </w:pPr>
          </w:p>
        </w:tc>
        <w:tc>
          <w:tcPr>
            <w:tcW w:w="7758" w:type="dxa"/>
            <w:gridSpan w:val="4"/>
            <w:vAlign w:val="top"/>
          </w:tcPr>
          <w:p w14:paraId="450C2411">
            <w:pPr>
              <w:pStyle w:val="6"/>
              <w:spacing w:before="36" w:line="232" w:lineRule="auto"/>
              <w:ind w:left="107" w:right="100" w:firstLine="2"/>
              <w:rPr>
                <w:sz w:val="20"/>
                <w:szCs w:val="20"/>
              </w:rPr>
            </w:pPr>
            <w:r>
              <w:rPr>
                <w:spacing w:val="9"/>
                <w:sz w:val="20"/>
                <w:szCs w:val="20"/>
              </w:rPr>
              <w:t>备注：同一工序具有多种废气收集类型的，该工序按照废气收集效率最高的类型取</w:t>
            </w:r>
            <w:r>
              <w:rPr>
                <w:spacing w:val="17"/>
                <w:sz w:val="20"/>
                <w:szCs w:val="20"/>
              </w:rPr>
              <w:t xml:space="preserve"> </w:t>
            </w:r>
            <w:r>
              <w:rPr>
                <w:sz w:val="20"/>
                <w:szCs w:val="20"/>
              </w:rPr>
              <w:t>值。</w:t>
            </w:r>
          </w:p>
        </w:tc>
        <w:tc>
          <w:tcPr>
            <w:tcW w:w="195" w:type="dxa"/>
            <w:vMerge w:val="continue"/>
            <w:tcBorders>
              <w:top w:val="nil"/>
              <w:bottom w:val="nil"/>
              <w:right w:val="single" w:color="000000" w:sz="6" w:space="0"/>
            </w:tcBorders>
            <w:vAlign w:val="top"/>
          </w:tcPr>
          <w:p w14:paraId="3819D1FD">
            <w:pPr>
              <w:rPr>
                <w:rFonts w:ascii="Arial"/>
                <w:sz w:val="21"/>
              </w:rPr>
            </w:pPr>
          </w:p>
        </w:tc>
      </w:tr>
      <w:tr w14:paraId="58643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4" w:hRule="atLeast"/>
        </w:trPr>
        <w:tc>
          <w:tcPr>
            <w:tcW w:w="754" w:type="dxa"/>
            <w:vMerge w:val="continue"/>
            <w:tcBorders>
              <w:top w:val="nil"/>
              <w:left w:val="single" w:color="000000" w:sz="6" w:space="0"/>
              <w:bottom w:val="single" w:color="000000" w:sz="6" w:space="0"/>
            </w:tcBorders>
            <w:vAlign w:val="top"/>
          </w:tcPr>
          <w:p w14:paraId="4E417E98">
            <w:pPr>
              <w:rPr>
                <w:rFonts w:ascii="Arial"/>
                <w:sz w:val="21"/>
              </w:rPr>
            </w:pPr>
          </w:p>
        </w:tc>
        <w:tc>
          <w:tcPr>
            <w:tcW w:w="8139" w:type="dxa"/>
            <w:gridSpan w:val="6"/>
            <w:tcBorders>
              <w:bottom w:val="single" w:color="000000" w:sz="6" w:space="0"/>
              <w:right w:val="single" w:color="000000" w:sz="6" w:space="0"/>
            </w:tcBorders>
            <w:vAlign w:val="top"/>
          </w:tcPr>
          <w:p w14:paraId="59F96B38">
            <w:pPr>
              <w:pStyle w:val="6"/>
              <w:spacing w:before="156" w:line="360" w:lineRule="auto"/>
              <w:ind w:left="108" w:right="101" w:firstLine="481"/>
              <w:jc w:val="both"/>
            </w:pPr>
            <w:r>
              <w:t>本项目则采用</w:t>
            </w:r>
            <w:r>
              <w:rPr>
                <w:rFonts w:ascii="Times New Roman" w:hAnsi="Times New Roman" w:eastAsia="Times New Roman" w:cs="Times New Roman"/>
              </w:rPr>
              <w:t>“</w:t>
            </w:r>
            <w:r>
              <w:t>碱喷淋</w:t>
            </w:r>
            <w:r>
              <w:rPr>
                <w:rFonts w:ascii="Times New Roman" w:hAnsi="Times New Roman" w:eastAsia="Times New Roman" w:cs="Times New Roman"/>
              </w:rPr>
              <w:t>+</w:t>
            </w:r>
            <w:r>
              <w:t>除雾器</w:t>
            </w:r>
            <w:r>
              <w:rPr>
                <w:rFonts w:ascii="Times New Roman" w:hAnsi="Times New Roman" w:eastAsia="Times New Roman" w:cs="Times New Roman"/>
              </w:rPr>
              <w:t>+</w:t>
            </w:r>
            <w:r>
              <w:t>二级活性炭吸附</w:t>
            </w:r>
            <w:r>
              <w:rPr>
                <w:rFonts w:ascii="Times New Roman" w:hAnsi="Times New Roman" w:eastAsia="Times New Roman" w:cs="Times New Roman"/>
                <w:spacing w:val="-1"/>
              </w:rPr>
              <w:t>”</w:t>
            </w:r>
            <w:r>
              <w:rPr>
                <w:spacing w:val="-1"/>
              </w:rPr>
              <w:t>对收集的有机废气进行</w:t>
            </w:r>
            <w:r>
              <w:t xml:space="preserve"> 处理，碱喷淋主要是对气体进行降温和系统处理氯化氢废气，除</w:t>
            </w:r>
            <w:r>
              <w:rPr>
                <w:spacing w:val="-1"/>
              </w:rPr>
              <w:t>雾器是去除</w:t>
            </w:r>
            <w:r>
              <w:t xml:space="preserve"> 喷淋过程中雾化的水珠，保证后续处理设备的稳定运行。参照《</w:t>
            </w:r>
            <w:r>
              <w:rPr>
                <w:spacing w:val="-1"/>
              </w:rPr>
              <w:t>广东省工业</w:t>
            </w:r>
            <w:r>
              <w:t xml:space="preserve"> </w:t>
            </w:r>
            <w:r>
              <w:rPr>
                <w:spacing w:val="2"/>
              </w:rPr>
              <w:t>源挥发性有机物减排量核算方法（</w:t>
            </w:r>
            <w:r>
              <w:rPr>
                <w:rFonts w:ascii="Times New Roman" w:hAnsi="Times New Roman" w:eastAsia="Times New Roman" w:cs="Times New Roman"/>
                <w:spacing w:val="2"/>
              </w:rPr>
              <w:t>2023</w:t>
            </w:r>
            <w:r>
              <w:rPr>
                <w:spacing w:val="2"/>
              </w:rPr>
              <w:t>年修订版）》表</w:t>
            </w:r>
            <w:r>
              <w:rPr>
                <w:spacing w:val="-39"/>
              </w:rPr>
              <w:t xml:space="preserve"> </w:t>
            </w:r>
            <w:r>
              <w:rPr>
                <w:rFonts w:ascii="Times New Roman" w:hAnsi="Times New Roman" w:eastAsia="Times New Roman" w:cs="Times New Roman"/>
                <w:spacing w:val="2"/>
              </w:rPr>
              <w:t xml:space="preserve">3.3-3 </w:t>
            </w:r>
            <w:r>
              <w:rPr>
                <w:spacing w:val="2"/>
              </w:rPr>
              <w:t>和《广东省家</w:t>
            </w:r>
            <w:r>
              <w:t xml:space="preserve"> 具制造行业挥发性有机废气治理技术指南》，活性炭</w:t>
            </w:r>
            <w:r>
              <w:rPr>
                <w:spacing w:val="-1"/>
              </w:rPr>
              <w:t>吸附法的治理效率约为</w:t>
            </w:r>
            <w:r>
              <w:t xml:space="preserve"> </w:t>
            </w:r>
            <w:r>
              <w:rPr>
                <w:rFonts w:ascii="Times New Roman" w:hAnsi="Times New Roman" w:eastAsia="Times New Roman" w:cs="Times New Roman"/>
                <w:spacing w:val="-1"/>
              </w:rPr>
              <w:t>50-80%</w:t>
            </w:r>
            <w:r>
              <w:rPr>
                <w:spacing w:val="-1"/>
              </w:rPr>
              <w:t>。本项目采用二级活性炭吸附装置对有机废气进</w:t>
            </w:r>
            <w:r>
              <w:rPr>
                <w:spacing w:val="-2"/>
              </w:rPr>
              <w:t>行处理，因项目有机</w:t>
            </w:r>
            <w:r>
              <w:t xml:space="preserve"> 废气的源强浓度比较低，为保守起见，本项目二级活</w:t>
            </w:r>
            <w:r>
              <w:rPr>
                <w:spacing w:val="-1"/>
              </w:rPr>
              <w:t>性炭吸附的处理效率取</w:t>
            </w:r>
            <w:r>
              <w:t xml:space="preserve"> </w:t>
            </w:r>
            <w:r>
              <w:rPr>
                <w:rFonts w:ascii="Times New Roman" w:hAnsi="Times New Roman" w:eastAsia="Times New Roman" w:cs="Times New Roman"/>
                <w:spacing w:val="-2"/>
              </w:rPr>
              <w:t>75%</w:t>
            </w:r>
            <w:r>
              <w:rPr>
                <w:rFonts w:ascii="Times New Roman" w:hAnsi="Times New Roman" w:eastAsia="Times New Roman" w:cs="Times New Roman"/>
                <w:spacing w:val="-17"/>
              </w:rPr>
              <w:t xml:space="preserve"> </w:t>
            </w:r>
            <w:r>
              <w:rPr>
                <w:spacing w:val="-2"/>
              </w:rPr>
              <w:t>。则经收集处理后注胶车间有机废气的排放情况见下表：</w:t>
            </w:r>
          </w:p>
        </w:tc>
      </w:tr>
    </w:tbl>
    <w:p w14:paraId="5F1CA9B8">
      <w:pPr>
        <w:rPr>
          <w:rFonts w:ascii="Arial"/>
          <w:sz w:val="21"/>
        </w:rPr>
      </w:pPr>
    </w:p>
    <w:p w14:paraId="5741B148">
      <w:pPr>
        <w:rPr>
          <w:rFonts w:ascii="Arial" w:hAnsi="Arial" w:eastAsia="Arial" w:cs="Arial"/>
          <w:sz w:val="21"/>
          <w:szCs w:val="21"/>
        </w:rPr>
        <w:sectPr>
          <w:footerReference r:id="rId68" w:type="default"/>
          <w:pgSz w:w="11907" w:h="16840"/>
          <w:pgMar w:top="400" w:right="1499" w:bottom="1240" w:left="1499" w:header="0" w:footer="1077" w:gutter="0"/>
          <w:cols w:space="720" w:num="1"/>
        </w:sectPr>
      </w:pPr>
    </w:p>
    <w:p w14:paraId="6403DF9E">
      <w:pPr>
        <w:spacing w:before="13"/>
      </w:pPr>
    </w:p>
    <w:p w14:paraId="4ABFD5BC">
      <w:pPr>
        <w:spacing w:before="13"/>
      </w:pPr>
    </w:p>
    <w:p w14:paraId="4754CF3A">
      <w:pPr>
        <w:spacing w:before="13"/>
      </w:pPr>
    </w:p>
    <w:p w14:paraId="5D915B77">
      <w:pPr>
        <w:spacing w:before="12"/>
      </w:pPr>
    </w:p>
    <w:tbl>
      <w:tblPr>
        <w:tblStyle w:val="5"/>
        <w:tblW w:w="1338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66"/>
        <w:gridCol w:w="810"/>
        <w:gridCol w:w="854"/>
        <w:gridCol w:w="872"/>
        <w:gridCol w:w="779"/>
        <w:gridCol w:w="614"/>
        <w:gridCol w:w="868"/>
        <w:gridCol w:w="734"/>
        <w:gridCol w:w="764"/>
        <w:gridCol w:w="1154"/>
        <w:gridCol w:w="644"/>
        <w:gridCol w:w="674"/>
        <w:gridCol w:w="779"/>
        <w:gridCol w:w="704"/>
        <w:gridCol w:w="837"/>
        <w:gridCol w:w="799"/>
        <w:gridCol w:w="598"/>
        <w:gridCol w:w="77"/>
      </w:tblGrid>
      <w:tr w14:paraId="6DE5B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755" w:type="dxa"/>
            <w:vMerge w:val="restart"/>
            <w:tcBorders>
              <w:top w:val="single" w:color="000000" w:sz="6" w:space="0"/>
              <w:left w:val="single" w:color="000000" w:sz="6" w:space="0"/>
              <w:bottom w:val="nil"/>
            </w:tcBorders>
            <w:vAlign w:val="top"/>
          </w:tcPr>
          <w:p w14:paraId="314D403F">
            <w:pPr>
              <w:rPr>
                <w:rFonts w:ascii="Arial"/>
                <w:sz w:val="21"/>
              </w:rPr>
            </w:pPr>
          </w:p>
        </w:tc>
        <w:tc>
          <w:tcPr>
            <w:tcW w:w="12627" w:type="dxa"/>
            <w:gridSpan w:val="18"/>
            <w:tcBorders>
              <w:top w:val="single" w:color="000000" w:sz="6" w:space="0"/>
              <w:right w:val="single" w:color="000000" w:sz="6" w:space="0"/>
            </w:tcBorders>
            <w:vAlign w:val="top"/>
          </w:tcPr>
          <w:p w14:paraId="77E160FD">
            <w:pPr>
              <w:pStyle w:val="6"/>
              <w:spacing w:before="280" w:line="219" w:lineRule="auto"/>
              <w:ind w:left="4318"/>
            </w:pPr>
            <w:r>
              <w:rPr>
                <w:b/>
                <w:bCs/>
                <w:spacing w:val="-2"/>
              </w:rPr>
              <w:t>表</w:t>
            </w:r>
            <w:r>
              <w:rPr>
                <w:spacing w:val="-52"/>
              </w:rPr>
              <w:t xml:space="preserve"> </w:t>
            </w:r>
            <w:r>
              <w:rPr>
                <w:rFonts w:ascii="Times New Roman" w:hAnsi="Times New Roman" w:eastAsia="Times New Roman" w:cs="Times New Roman"/>
                <w:b/>
                <w:bCs/>
                <w:spacing w:val="-2"/>
              </w:rPr>
              <w:t xml:space="preserve">4-5    </w:t>
            </w:r>
            <w:r>
              <w:rPr>
                <w:b/>
                <w:bCs/>
                <w:spacing w:val="-2"/>
              </w:rPr>
              <w:t>项目注胶废气产排情况一览表</w:t>
            </w:r>
          </w:p>
        </w:tc>
      </w:tr>
      <w:tr w14:paraId="7250A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55" w:type="dxa"/>
            <w:vMerge w:val="continue"/>
            <w:tcBorders>
              <w:top w:val="nil"/>
              <w:left w:val="single" w:color="000000" w:sz="6" w:space="0"/>
              <w:bottom w:val="nil"/>
            </w:tcBorders>
            <w:vAlign w:val="top"/>
          </w:tcPr>
          <w:p w14:paraId="32C8D029">
            <w:pPr>
              <w:rPr>
                <w:rFonts w:ascii="Arial"/>
                <w:sz w:val="21"/>
              </w:rPr>
            </w:pPr>
          </w:p>
        </w:tc>
        <w:tc>
          <w:tcPr>
            <w:tcW w:w="66" w:type="dxa"/>
            <w:tcBorders>
              <w:top w:val="nil"/>
              <w:bottom w:val="nil"/>
            </w:tcBorders>
            <w:vAlign w:val="top"/>
          </w:tcPr>
          <w:p w14:paraId="76EEABAD">
            <w:pPr>
              <w:rPr>
                <w:rFonts w:ascii="Arial"/>
                <w:sz w:val="21"/>
              </w:rPr>
            </w:pPr>
          </w:p>
        </w:tc>
        <w:tc>
          <w:tcPr>
            <w:tcW w:w="810" w:type="dxa"/>
            <w:vMerge w:val="restart"/>
            <w:tcBorders>
              <w:bottom w:val="nil"/>
            </w:tcBorders>
            <w:vAlign w:val="top"/>
          </w:tcPr>
          <w:p w14:paraId="64B3FE60">
            <w:pPr>
              <w:spacing w:line="244" w:lineRule="auto"/>
              <w:rPr>
                <w:rFonts w:ascii="Arial"/>
                <w:sz w:val="21"/>
              </w:rPr>
            </w:pPr>
          </w:p>
          <w:p w14:paraId="3208FB6D">
            <w:pPr>
              <w:pStyle w:val="6"/>
              <w:spacing w:before="58" w:line="241" w:lineRule="auto"/>
              <w:ind w:left="221" w:right="114" w:hanging="113"/>
              <w:rPr>
                <w:sz w:val="18"/>
                <w:szCs w:val="18"/>
              </w:rPr>
            </w:pPr>
            <w:r>
              <w:rPr>
                <w:spacing w:val="-3"/>
                <w:sz w:val="18"/>
                <w:szCs w:val="18"/>
              </w:rPr>
              <w:t>工序</w:t>
            </w:r>
            <w:r>
              <w:rPr>
                <w:rFonts w:ascii="Times New Roman" w:hAnsi="Times New Roman" w:eastAsia="Times New Roman" w:cs="Times New Roman"/>
                <w:spacing w:val="-3"/>
                <w:sz w:val="18"/>
                <w:szCs w:val="18"/>
              </w:rPr>
              <w:t>/</w:t>
            </w:r>
            <w:r>
              <w:rPr>
                <w:spacing w:val="-3"/>
                <w:sz w:val="18"/>
                <w:szCs w:val="18"/>
              </w:rPr>
              <w:t>生</w:t>
            </w:r>
            <w:r>
              <w:rPr>
                <w:spacing w:val="2"/>
                <w:sz w:val="18"/>
                <w:szCs w:val="18"/>
              </w:rPr>
              <w:t xml:space="preserve"> </w:t>
            </w:r>
            <w:r>
              <w:rPr>
                <w:spacing w:val="-4"/>
                <w:sz w:val="18"/>
                <w:szCs w:val="18"/>
              </w:rPr>
              <w:t>产线</w:t>
            </w:r>
          </w:p>
        </w:tc>
        <w:tc>
          <w:tcPr>
            <w:tcW w:w="854" w:type="dxa"/>
            <w:vMerge w:val="restart"/>
            <w:tcBorders>
              <w:bottom w:val="nil"/>
            </w:tcBorders>
            <w:vAlign w:val="top"/>
          </w:tcPr>
          <w:p w14:paraId="2D6ABD9F">
            <w:pPr>
              <w:spacing w:line="361" w:lineRule="auto"/>
              <w:rPr>
                <w:rFonts w:ascii="Arial"/>
                <w:sz w:val="21"/>
              </w:rPr>
            </w:pPr>
          </w:p>
          <w:p w14:paraId="364502D9">
            <w:pPr>
              <w:pStyle w:val="6"/>
              <w:spacing w:before="59" w:line="220" w:lineRule="auto"/>
              <w:ind w:left="244"/>
              <w:rPr>
                <w:sz w:val="18"/>
                <w:szCs w:val="18"/>
              </w:rPr>
            </w:pPr>
            <w:r>
              <w:rPr>
                <w:spacing w:val="-4"/>
                <w:sz w:val="18"/>
                <w:szCs w:val="18"/>
              </w:rPr>
              <w:t>装置</w:t>
            </w:r>
          </w:p>
        </w:tc>
        <w:tc>
          <w:tcPr>
            <w:tcW w:w="872" w:type="dxa"/>
            <w:vMerge w:val="restart"/>
            <w:tcBorders>
              <w:bottom w:val="nil"/>
            </w:tcBorders>
            <w:vAlign w:val="top"/>
          </w:tcPr>
          <w:p w14:paraId="039A060C">
            <w:pPr>
              <w:spacing w:line="361" w:lineRule="auto"/>
              <w:rPr>
                <w:rFonts w:ascii="Arial"/>
                <w:sz w:val="21"/>
              </w:rPr>
            </w:pPr>
          </w:p>
          <w:p w14:paraId="6B7016AF">
            <w:pPr>
              <w:pStyle w:val="6"/>
              <w:spacing w:before="59" w:line="220" w:lineRule="auto"/>
              <w:ind w:left="167"/>
              <w:rPr>
                <w:sz w:val="18"/>
                <w:szCs w:val="18"/>
              </w:rPr>
            </w:pPr>
            <w:r>
              <w:rPr>
                <w:spacing w:val="-3"/>
                <w:sz w:val="18"/>
                <w:szCs w:val="18"/>
              </w:rPr>
              <w:t>污染源</w:t>
            </w:r>
          </w:p>
        </w:tc>
        <w:tc>
          <w:tcPr>
            <w:tcW w:w="779" w:type="dxa"/>
            <w:vMerge w:val="restart"/>
            <w:tcBorders>
              <w:bottom w:val="nil"/>
            </w:tcBorders>
            <w:vAlign w:val="top"/>
          </w:tcPr>
          <w:p w14:paraId="13EBA5C2">
            <w:pPr>
              <w:spacing w:line="361" w:lineRule="auto"/>
              <w:rPr>
                <w:rFonts w:ascii="Arial"/>
                <w:sz w:val="21"/>
              </w:rPr>
            </w:pPr>
          </w:p>
          <w:p w14:paraId="0DC44560">
            <w:pPr>
              <w:pStyle w:val="6"/>
              <w:spacing w:before="59" w:line="220" w:lineRule="auto"/>
              <w:ind w:left="120"/>
              <w:rPr>
                <w:sz w:val="18"/>
                <w:szCs w:val="18"/>
              </w:rPr>
            </w:pPr>
            <w:r>
              <w:rPr>
                <w:spacing w:val="-3"/>
                <w:sz w:val="18"/>
                <w:szCs w:val="18"/>
              </w:rPr>
              <w:t>污染物</w:t>
            </w:r>
          </w:p>
        </w:tc>
        <w:tc>
          <w:tcPr>
            <w:tcW w:w="2980" w:type="dxa"/>
            <w:gridSpan w:val="4"/>
            <w:vAlign w:val="top"/>
          </w:tcPr>
          <w:p w14:paraId="6C2EDE84">
            <w:pPr>
              <w:pStyle w:val="6"/>
              <w:spacing w:before="81" w:line="219" w:lineRule="auto"/>
              <w:ind w:left="1045"/>
              <w:rPr>
                <w:sz w:val="18"/>
                <w:szCs w:val="18"/>
              </w:rPr>
            </w:pPr>
            <w:r>
              <w:rPr>
                <w:spacing w:val="-2"/>
                <w:sz w:val="18"/>
                <w:szCs w:val="18"/>
              </w:rPr>
              <w:t>污染物产生</w:t>
            </w:r>
          </w:p>
        </w:tc>
        <w:tc>
          <w:tcPr>
            <w:tcW w:w="1798" w:type="dxa"/>
            <w:gridSpan w:val="2"/>
            <w:vAlign w:val="top"/>
          </w:tcPr>
          <w:p w14:paraId="6287C5DF">
            <w:pPr>
              <w:pStyle w:val="6"/>
              <w:spacing w:before="81" w:line="220" w:lineRule="auto"/>
              <w:ind w:left="550"/>
              <w:rPr>
                <w:sz w:val="18"/>
                <w:szCs w:val="18"/>
              </w:rPr>
            </w:pPr>
            <w:r>
              <w:rPr>
                <w:spacing w:val="-3"/>
                <w:sz w:val="18"/>
                <w:szCs w:val="18"/>
              </w:rPr>
              <w:t>治理措施</w:t>
            </w:r>
          </w:p>
        </w:tc>
        <w:tc>
          <w:tcPr>
            <w:tcW w:w="2994" w:type="dxa"/>
            <w:gridSpan w:val="4"/>
            <w:vAlign w:val="top"/>
          </w:tcPr>
          <w:p w14:paraId="2D62284C">
            <w:pPr>
              <w:pStyle w:val="6"/>
              <w:spacing w:before="81" w:line="220" w:lineRule="auto"/>
              <w:ind w:left="1058"/>
              <w:rPr>
                <w:sz w:val="18"/>
                <w:szCs w:val="18"/>
              </w:rPr>
            </w:pPr>
            <w:r>
              <w:rPr>
                <w:spacing w:val="-2"/>
                <w:sz w:val="18"/>
                <w:szCs w:val="18"/>
              </w:rPr>
              <w:t>污染物排放</w:t>
            </w:r>
          </w:p>
        </w:tc>
        <w:tc>
          <w:tcPr>
            <w:tcW w:w="799" w:type="dxa"/>
            <w:vMerge w:val="restart"/>
            <w:tcBorders>
              <w:bottom w:val="nil"/>
            </w:tcBorders>
            <w:vAlign w:val="top"/>
          </w:tcPr>
          <w:p w14:paraId="5EC504F3">
            <w:pPr>
              <w:spacing w:line="243" w:lineRule="auto"/>
              <w:rPr>
                <w:rFonts w:ascii="Arial"/>
                <w:sz w:val="21"/>
              </w:rPr>
            </w:pPr>
          </w:p>
          <w:p w14:paraId="4D37E7D7">
            <w:pPr>
              <w:pStyle w:val="6"/>
              <w:spacing w:before="59" w:line="242" w:lineRule="auto"/>
              <w:ind w:left="231" w:right="119" w:hanging="91"/>
              <w:rPr>
                <w:sz w:val="18"/>
                <w:szCs w:val="18"/>
              </w:rPr>
            </w:pPr>
            <w:r>
              <w:rPr>
                <w:spacing w:val="-3"/>
                <w:sz w:val="18"/>
                <w:szCs w:val="18"/>
              </w:rPr>
              <w:t>对应排</w:t>
            </w:r>
            <w:r>
              <w:rPr>
                <w:spacing w:val="1"/>
                <w:sz w:val="18"/>
                <w:szCs w:val="18"/>
              </w:rPr>
              <w:t xml:space="preserve"> </w:t>
            </w:r>
            <w:r>
              <w:rPr>
                <w:spacing w:val="-4"/>
                <w:sz w:val="18"/>
                <w:szCs w:val="18"/>
              </w:rPr>
              <w:t>放口</w:t>
            </w:r>
          </w:p>
        </w:tc>
        <w:tc>
          <w:tcPr>
            <w:tcW w:w="598" w:type="dxa"/>
            <w:vMerge w:val="restart"/>
            <w:tcBorders>
              <w:bottom w:val="nil"/>
            </w:tcBorders>
            <w:vAlign w:val="top"/>
          </w:tcPr>
          <w:p w14:paraId="69ED2E51">
            <w:pPr>
              <w:pStyle w:val="6"/>
              <w:spacing w:before="201" w:line="221" w:lineRule="auto"/>
              <w:ind w:left="131"/>
              <w:rPr>
                <w:sz w:val="18"/>
                <w:szCs w:val="18"/>
              </w:rPr>
            </w:pPr>
            <w:r>
              <w:rPr>
                <w:spacing w:val="-4"/>
                <w:sz w:val="18"/>
                <w:szCs w:val="18"/>
              </w:rPr>
              <w:t>排放</w:t>
            </w:r>
          </w:p>
          <w:p w14:paraId="7F3150A2">
            <w:pPr>
              <w:pStyle w:val="6"/>
              <w:spacing w:before="18" w:line="221" w:lineRule="auto"/>
              <w:ind w:left="128"/>
              <w:rPr>
                <w:sz w:val="18"/>
                <w:szCs w:val="18"/>
              </w:rPr>
            </w:pPr>
            <w:r>
              <w:rPr>
                <w:spacing w:val="-8"/>
                <w:sz w:val="18"/>
                <w:szCs w:val="18"/>
              </w:rPr>
              <w:t>时间</w:t>
            </w:r>
          </w:p>
          <w:p w14:paraId="5D0C1D5B">
            <w:pPr>
              <w:spacing w:before="30" w:line="192" w:lineRule="auto"/>
              <w:ind w:left="260"/>
              <w:rPr>
                <w:rFonts w:ascii="Times New Roman" w:hAnsi="Times New Roman" w:eastAsia="Times New Roman" w:cs="Times New Roman"/>
                <w:sz w:val="18"/>
                <w:szCs w:val="18"/>
              </w:rPr>
            </w:pPr>
            <w:r>
              <w:rPr>
                <w:rFonts w:ascii="Times New Roman" w:hAnsi="Times New Roman" w:eastAsia="Times New Roman" w:cs="Times New Roman"/>
                <w:sz w:val="18"/>
                <w:szCs w:val="18"/>
              </w:rPr>
              <w:t>h</w:t>
            </w:r>
          </w:p>
        </w:tc>
        <w:tc>
          <w:tcPr>
            <w:tcW w:w="77" w:type="dxa"/>
            <w:tcBorders>
              <w:top w:val="nil"/>
              <w:bottom w:val="nil"/>
              <w:right w:val="single" w:color="000000" w:sz="6" w:space="0"/>
            </w:tcBorders>
            <w:vAlign w:val="top"/>
          </w:tcPr>
          <w:p w14:paraId="6C5C9F0B">
            <w:pPr>
              <w:rPr>
                <w:rFonts w:ascii="Arial"/>
                <w:sz w:val="21"/>
              </w:rPr>
            </w:pPr>
          </w:p>
        </w:tc>
      </w:tr>
      <w:tr w14:paraId="74E98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55" w:type="dxa"/>
            <w:vMerge w:val="continue"/>
            <w:tcBorders>
              <w:top w:val="nil"/>
              <w:left w:val="single" w:color="000000" w:sz="6" w:space="0"/>
              <w:bottom w:val="nil"/>
            </w:tcBorders>
            <w:vAlign w:val="top"/>
          </w:tcPr>
          <w:p w14:paraId="27951AD0">
            <w:pPr>
              <w:rPr>
                <w:rFonts w:ascii="Arial"/>
                <w:sz w:val="21"/>
              </w:rPr>
            </w:pPr>
          </w:p>
        </w:tc>
        <w:tc>
          <w:tcPr>
            <w:tcW w:w="66" w:type="dxa"/>
            <w:tcBorders>
              <w:top w:val="nil"/>
              <w:bottom w:val="nil"/>
            </w:tcBorders>
            <w:vAlign w:val="top"/>
          </w:tcPr>
          <w:p w14:paraId="2E70841D">
            <w:pPr>
              <w:rPr>
                <w:rFonts w:ascii="Arial"/>
                <w:sz w:val="21"/>
              </w:rPr>
            </w:pPr>
          </w:p>
        </w:tc>
        <w:tc>
          <w:tcPr>
            <w:tcW w:w="810" w:type="dxa"/>
            <w:vMerge w:val="continue"/>
            <w:tcBorders>
              <w:top w:val="nil"/>
            </w:tcBorders>
            <w:vAlign w:val="top"/>
          </w:tcPr>
          <w:p w14:paraId="09CFE863">
            <w:pPr>
              <w:rPr>
                <w:rFonts w:ascii="Arial"/>
                <w:sz w:val="21"/>
              </w:rPr>
            </w:pPr>
          </w:p>
        </w:tc>
        <w:tc>
          <w:tcPr>
            <w:tcW w:w="854" w:type="dxa"/>
            <w:vMerge w:val="continue"/>
            <w:tcBorders>
              <w:top w:val="nil"/>
            </w:tcBorders>
            <w:vAlign w:val="top"/>
          </w:tcPr>
          <w:p w14:paraId="3C2C07B2">
            <w:pPr>
              <w:rPr>
                <w:rFonts w:ascii="Arial"/>
                <w:sz w:val="21"/>
              </w:rPr>
            </w:pPr>
          </w:p>
        </w:tc>
        <w:tc>
          <w:tcPr>
            <w:tcW w:w="872" w:type="dxa"/>
            <w:vMerge w:val="continue"/>
            <w:tcBorders>
              <w:top w:val="nil"/>
            </w:tcBorders>
            <w:vAlign w:val="top"/>
          </w:tcPr>
          <w:p w14:paraId="2FC4FCDA">
            <w:pPr>
              <w:rPr>
                <w:rFonts w:ascii="Arial"/>
                <w:sz w:val="21"/>
              </w:rPr>
            </w:pPr>
          </w:p>
        </w:tc>
        <w:tc>
          <w:tcPr>
            <w:tcW w:w="779" w:type="dxa"/>
            <w:vMerge w:val="continue"/>
            <w:tcBorders>
              <w:top w:val="nil"/>
            </w:tcBorders>
            <w:vAlign w:val="top"/>
          </w:tcPr>
          <w:p w14:paraId="6B48EAC8">
            <w:pPr>
              <w:rPr>
                <w:rFonts w:ascii="Arial"/>
                <w:sz w:val="21"/>
              </w:rPr>
            </w:pPr>
          </w:p>
        </w:tc>
        <w:tc>
          <w:tcPr>
            <w:tcW w:w="614" w:type="dxa"/>
            <w:vAlign w:val="top"/>
          </w:tcPr>
          <w:p w14:paraId="29E49C88">
            <w:pPr>
              <w:pStyle w:val="6"/>
              <w:spacing w:before="146" w:line="219" w:lineRule="auto"/>
              <w:ind w:left="129"/>
              <w:rPr>
                <w:sz w:val="18"/>
                <w:szCs w:val="18"/>
              </w:rPr>
            </w:pPr>
            <w:r>
              <w:rPr>
                <w:spacing w:val="-5"/>
                <w:sz w:val="18"/>
                <w:szCs w:val="18"/>
              </w:rPr>
              <w:t>核算</w:t>
            </w:r>
          </w:p>
          <w:p w14:paraId="6DA686D3">
            <w:pPr>
              <w:pStyle w:val="6"/>
              <w:spacing w:before="18" w:line="221" w:lineRule="auto"/>
              <w:ind w:left="128"/>
              <w:rPr>
                <w:sz w:val="18"/>
                <w:szCs w:val="18"/>
              </w:rPr>
            </w:pPr>
            <w:r>
              <w:rPr>
                <w:spacing w:val="-4"/>
                <w:sz w:val="18"/>
                <w:szCs w:val="18"/>
              </w:rPr>
              <w:t>方法</w:t>
            </w:r>
          </w:p>
        </w:tc>
        <w:tc>
          <w:tcPr>
            <w:tcW w:w="868" w:type="dxa"/>
            <w:vAlign w:val="top"/>
          </w:tcPr>
          <w:p w14:paraId="2DD254AB">
            <w:pPr>
              <w:pStyle w:val="6"/>
              <w:spacing w:before="41" w:line="228" w:lineRule="auto"/>
              <w:ind w:left="258" w:right="163" w:hanging="93"/>
              <w:rPr>
                <w:rFonts w:ascii="Times New Roman" w:hAnsi="Times New Roman" w:eastAsia="Times New Roman" w:cs="Times New Roman"/>
                <w:sz w:val="18"/>
                <w:szCs w:val="18"/>
              </w:rPr>
            </w:pPr>
            <w:r>
              <w:rPr>
                <w:spacing w:val="-3"/>
                <w:sz w:val="18"/>
                <w:szCs w:val="18"/>
              </w:rPr>
              <w:t>废气产</w:t>
            </w:r>
            <w:r>
              <w:rPr>
                <w:spacing w:val="1"/>
                <w:sz w:val="18"/>
                <w:szCs w:val="18"/>
              </w:rPr>
              <w:t xml:space="preserve"> </w:t>
            </w:r>
            <w:r>
              <w:rPr>
                <w:spacing w:val="-5"/>
                <w:sz w:val="18"/>
                <w:szCs w:val="18"/>
              </w:rPr>
              <w:t>生量</w:t>
            </w:r>
            <w:r>
              <w:rPr>
                <w:sz w:val="18"/>
                <w:szCs w:val="18"/>
              </w:rPr>
              <w:t xml:space="preserve">  </w:t>
            </w:r>
            <w:r>
              <w:rPr>
                <w:rFonts w:ascii="Times New Roman" w:hAnsi="Times New Roman" w:eastAsia="Times New Roman" w:cs="Times New Roman"/>
                <w:spacing w:val="-3"/>
                <w:w w:val="94"/>
                <w:sz w:val="18"/>
                <w:szCs w:val="18"/>
              </w:rPr>
              <w:t>m3/h</w:t>
            </w:r>
          </w:p>
        </w:tc>
        <w:tc>
          <w:tcPr>
            <w:tcW w:w="734" w:type="dxa"/>
            <w:vAlign w:val="top"/>
          </w:tcPr>
          <w:p w14:paraId="17CF40F0">
            <w:pPr>
              <w:pStyle w:val="6"/>
              <w:spacing w:before="42" w:line="219" w:lineRule="auto"/>
              <w:ind w:left="191"/>
              <w:rPr>
                <w:sz w:val="18"/>
                <w:szCs w:val="18"/>
              </w:rPr>
            </w:pPr>
            <w:r>
              <w:rPr>
                <w:spacing w:val="-4"/>
                <w:sz w:val="18"/>
                <w:szCs w:val="18"/>
              </w:rPr>
              <w:t>产生</w:t>
            </w:r>
          </w:p>
          <w:p w14:paraId="6EC09170">
            <w:pPr>
              <w:pStyle w:val="6"/>
              <w:spacing w:before="18" w:line="222" w:lineRule="auto"/>
              <w:ind w:left="128" w:right="128" w:firstLine="63"/>
              <w:rPr>
                <w:rFonts w:ascii="Times New Roman" w:hAnsi="Times New Roman" w:eastAsia="Times New Roman" w:cs="Times New Roman"/>
                <w:sz w:val="18"/>
                <w:szCs w:val="18"/>
              </w:rPr>
            </w:pPr>
            <w:r>
              <w:rPr>
                <w:spacing w:val="-4"/>
                <w:sz w:val="18"/>
                <w:szCs w:val="18"/>
              </w:rPr>
              <w:t>浓度</w:t>
            </w:r>
            <w:r>
              <w:rPr>
                <w:sz w:val="18"/>
                <w:szCs w:val="18"/>
              </w:rPr>
              <w:t xml:space="preserve"> </w:t>
            </w:r>
            <w:r>
              <w:rPr>
                <w:rFonts w:ascii="Times New Roman" w:hAnsi="Times New Roman" w:eastAsia="Times New Roman" w:cs="Times New Roman"/>
                <w:spacing w:val="-4"/>
                <w:w w:val="96"/>
                <w:sz w:val="18"/>
                <w:szCs w:val="18"/>
              </w:rPr>
              <w:t>mg/m3</w:t>
            </w:r>
          </w:p>
        </w:tc>
        <w:tc>
          <w:tcPr>
            <w:tcW w:w="764" w:type="dxa"/>
            <w:vAlign w:val="top"/>
          </w:tcPr>
          <w:p w14:paraId="6AB87CB1">
            <w:pPr>
              <w:pStyle w:val="6"/>
              <w:spacing w:before="145" w:line="236" w:lineRule="auto"/>
              <w:ind w:left="116" w:right="107"/>
              <w:rPr>
                <w:rFonts w:ascii="Times New Roman" w:hAnsi="Times New Roman" w:eastAsia="Times New Roman" w:cs="Times New Roman"/>
                <w:sz w:val="18"/>
                <w:szCs w:val="18"/>
              </w:rPr>
            </w:pPr>
            <w:r>
              <w:rPr>
                <w:spacing w:val="-3"/>
                <w:sz w:val="18"/>
                <w:szCs w:val="18"/>
              </w:rPr>
              <w:t>产生速</w:t>
            </w:r>
            <w:r>
              <w:rPr>
                <w:sz w:val="18"/>
                <w:szCs w:val="18"/>
              </w:rPr>
              <w:t xml:space="preserve"> </w:t>
            </w:r>
            <w:r>
              <w:rPr>
                <w:spacing w:val="-3"/>
                <w:sz w:val="18"/>
                <w:szCs w:val="18"/>
              </w:rPr>
              <w:t>率</w:t>
            </w:r>
            <w:r>
              <w:rPr>
                <w:spacing w:val="-41"/>
                <w:sz w:val="18"/>
                <w:szCs w:val="18"/>
              </w:rPr>
              <w:t xml:space="preserve"> </w:t>
            </w:r>
            <w:r>
              <w:rPr>
                <w:rFonts w:ascii="Times New Roman" w:hAnsi="Times New Roman" w:eastAsia="Times New Roman" w:cs="Times New Roman"/>
                <w:spacing w:val="-3"/>
                <w:sz w:val="18"/>
                <w:szCs w:val="18"/>
              </w:rPr>
              <w:t>kg/h</w:t>
            </w:r>
          </w:p>
        </w:tc>
        <w:tc>
          <w:tcPr>
            <w:tcW w:w="1154" w:type="dxa"/>
            <w:vAlign w:val="top"/>
          </w:tcPr>
          <w:p w14:paraId="60342E3B">
            <w:pPr>
              <w:pStyle w:val="6"/>
              <w:spacing w:before="263" w:line="229" w:lineRule="auto"/>
              <w:ind w:left="404"/>
              <w:rPr>
                <w:sz w:val="18"/>
                <w:szCs w:val="18"/>
              </w:rPr>
            </w:pPr>
            <w:r>
              <w:rPr>
                <w:spacing w:val="-5"/>
                <w:sz w:val="18"/>
                <w:szCs w:val="18"/>
              </w:rPr>
              <w:t>工艺</w:t>
            </w:r>
          </w:p>
        </w:tc>
        <w:tc>
          <w:tcPr>
            <w:tcW w:w="644" w:type="dxa"/>
            <w:vAlign w:val="top"/>
          </w:tcPr>
          <w:p w14:paraId="35D7A349">
            <w:pPr>
              <w:pStyle w:val="6"/>
              <w:spacing w:before="160" w:line="219" w:lineRule="auto"/>
              <w:ind w:left="152"/>
              <w:rPr>
                <w:sz w:val="18"/>
                <w:szCs w:val="18"/>
              </w:rPr>
            </w:pPr>
            <w:r>
              <w:rPr>
                <w:spacing w:val="-6"/>
                <w:sz w:val="18"/>
                <w:szCs w:val="18"/>
              </w:rPr>
              <w:t>效率</w:t>
            </w:r>
          </w:p>
          <w:p w14:paraId="6BE189A4">
            <w:pPr>
              <w:spacing w:before="32" w:line="192" w:lineRule="auto"/>
              <w:ind w:left="22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Align w:val="top"/>
          </w:tcPr>
          <w:p w14:paraId="0D49236C">
            <w:pPr>
              <w:pStyle w:val="6"/>
              <w:spacing w:before="146" w:line="219" w:lineRule="auto"/>
              <w:ind w:left="166"/>
              <w:rPr>
                <w:sz w:val="18"/>
                <w:szCs w:val="18"/>
              </w:rPr>
            </w:pPr>
            <w:r>
              <w:rPr>
                <w:spacing w:val="-5"/>
                <w:sz w:val="18"/>
                <w:szCs w:val="18"/>
              </w:rPr>
              <w:t>核算</w:t>
            </w:r>
          </w:p>
          <w:p w14:paraId="00BD2675">
            <w:pPr>
              <w:pStyle w:val="6"/>
              <w:spacing w:before="18" w:line="221" w:lineRule="auto"/>
              <w:ind w:left="164"/>
              <w:rPr>
                <w:sz w:val="18"/>
                <w:szCs w:val="18"/>
              </w:rPr>
            </w:pPr>
            <w:r>
              <w:rPr>
                <w:spacing w:val="-4"/>
                <w:sz w:val="18"/>
                <w:szCs w:val="18"/>
              </w:rPr>
              <w:t>方法</w:t>
            </w:r>
          </w:p>
        </w:tc>
        <w:tc>
          <w:tcPr>
            <w:tcW w:w="779" w:type="dxa"/>
            <w:vAlign w:val="top"/>
          </w:tcPr>
          <w:p w14:paraId="71CABE3E">
            <w:pPr>
              <w:pStyle w:val="6"/>
              <w:spacing w:before="41" w:line="228" w:lineRule="auto"/>
              <w:ind w:left="218" w:right="112" w:hanging="91"/>
              <w:rPr>
                <w:rFonts w:ascii="Times New Roman" w:hAnsi="Times New Roman" w:eastAsia="Times New Roman" w:cs="Times New Roman"/>
                <w:sz w:val="18"/>
                <w:szCs w:val="18"/>
              </w:rPr>
            </w:pPr>
            <w:r>
              <w:rPr>
                <w:spacing w:val="-3"/>
                <w:sz w:val="18"/>
                <w:szCs w:val="18"/>
              </w:rPr>
              <w:t>废气排</w:t>
            </w:r>
            <w:r>
              <w:rPr>
                <w:spacing w:val="1"/>
                <w:sz w:val="18"/>
                <w:szCs w:val="18"/>
              </w:rPr>
              <w:t xml:space="preserve"> </w:t>
            </w:r>
            <w:r>
              <w:rPr>
                <w:spacing w:val="-4"/>
                <w:sz w:val="18"/>
                <w:szCs w:val="18"/>
              </w:rPr>
              <w:t>放量</w:t>
            </w:r>
            <w:r>
              <w:rPr>
                <w:sz w:val="18"/>
                <w:szCs w:val="18"/>
              </w:rPr>
              <w:t xml:space="preserve">  </w:t>
            </w:r>
            <w:r>
              <w:rPr>
                <w:rFonts w:ascii="Times New Roman" w:hAnsi="Times New Roman" w:eastAsia="Times New Roman" w:cs="Times New Roman"/>
                <w:spacing w:val="-3"/>
                <w:w w:val="94"/>
                <w:sz w:val="18"/>
                <w:szCs w:val="18"/>
              </w:rPr>
              <w:t>m3/h</w:t>
            </w:r>
          </w:p>
        </w:tc>
        <w:tc>
          <w:tcPr>
            <w:tcW w:w="704" w:type="dxa"/>
            <w:vAlign w:val="top"/>
          </w:tcPr>
          <w:p w14:paraId="0655A618">
            <w:pPr>
              <w:pStyle w:val="6"/>
              <w:spacing w:before="42" w:line="221" w:lineRule="auto"/>
              <w:ind w:left="182"/>
              <w:rPr>
                <w:sz w:val="18"/>
                <w:szCs w:val="18"/>
              </w:rPr>
            </w:pPr>
            <w:r>
              <w:rPr>
                <w:spacing w:val="-4"/>
                <w:sz w:val="18"/>
                <w:szCs w:val="18"/>
              </w:rPr>
              <w:t>排放</w:t>
            </w:r>
          </w:p>
          <w:p w14:paraId="4E9AAC62">
            <w:pPr>
              <w:pStyle w:val="6"/>
              <w:spacing w:before="17" w:line="222" w:lineRule="auto"/>
              <w:ind w:left="119" w:right="107" w:firstLine="63"/>
              <w:rPr>
                <w:rFonts w:ascii="Times New Roman" w:hAnsi="Times New Roman" w:eastAsia="Times New Roman" w:cs="Times New Roman"/>
                <w:sz w:val="18"/>
                <w:szCs w:val="18"/>
              </w:rPr>
            </w:pPr>
            <w:r>
              <w:rPr>
                <w:spacing w:val="-4"/>
                <w:sz w:val="18"/>
                <w:szCs w:val="18"/>
              </w:rPr>
              <w:t>浓度</w:t>
            </w:r>
            <w:r>
              <w:rPr>
                <w:sz w:val="18"/>
                <w:szCs w:val="18"/>
              </w:rPr>
              <w:t xml:space="preserve"> </w:t>
            </w:r>
            <w:r>
              <w:rPr>
                <w:rFonts w:ascii="Times New Roman" w:hAnsi="Times New Roman" w:eastAsia="Times New Roman" w:cs="Times New Roman"/>
                <w:spacing w:val="-4"/>
                <w:w w:val="96"/>
                <w:sz w:val="18"/>
                <w:szCs w:val="18"/>
              </w:rPr>
              <w:t>mg/m3</w:t>
            </w:r>
          </w:p>
        </w:tc>
        <w:tc>
          <w:tcPr>
            <w:tcW w:w="837" w:type="dxa"/>
            <w:vAlign w:val="top"/>
          </w:tcPr>
          <w:p w14:paraId="795E583F">
            <w:pPr>
              <w:pStyle w:val="6"/>
              <w:spacing w:before="145" w:line="236" w:lineRule="auto"/>
              <w:ind w:left="158" w:right="139"/>
              <w:rPr>
                <w:rFonts w:ascii="Times New Roman" w:hAnsi="Times New Roman" w:eastAsia="Times New Roman" w:cs="Times New Roman"/>
                <w:sz w:val="18"/>
                <w:szCs w:val="18"/>
              </w:rPr>
            </w:pPr>
            <w:r>
              <w:rPr>
                <w:spacing w:val="-3"/>
                <w:sz w:val="18"/>
                <w:szCs w:val="18"/>
              </w:rPr>
              <w:t>排放速</w:t>
            </w:r>
            <w:r>
              <w:rPr>
                <w:sz w:val="18"/>
                <w:szCs w:val="18"/>
              </w:rPr>
              <w:t xml:space="preserve"> </w:t>
            </w:r>
            <w:r>
              <w:rPr>
                <w:spacing w:val="-3"/>
                <w:sz w:val="18"/>
                <w:szCs w:val="18"/>
              </w:rPr>
              <w:t>率</w:t>
            </w:r>
            <w:r>
              <w:rPr>
                <w:spacing w:val="-44"/>
                <w:sz w:val="18"/>
                <w:szCs w:val="18"/>
              </w:rPr>
              <w:t xml:space="preserve"> </w:t>
            </w:r>
            <w:r>
              <w:rPr>
                <w:rFonts w:ascii="Times New Roman" w:hAnsi="Times New Roman" w:eastAsia="Times New Roman" w:cs="Times New Roman"/>
                <w:spacing w:val="-3"/>
                <w:sz w:val="18"/>
                <w:szCs w:val="18"/>
              </w:rPr>
              <w:t>kg/h</w:t>
            </w:r>
          </w:p>
        </w:tc>
        <w:tc>
          <w:tcPr>
            <w:tcW w:w="799" w:type="dxa"/>
            <w:vMerge w:val="continue"/>
            <w:tcBorders>
              <w:top w:val="nil"/>
            </w:tcBorders>
            <w:vAlign w:val="top"/>
          </w:tcPr>
          <w:p w14:paraId="5F9E24BE">
            <w:pPr>
              <w:rPr>
                <w:rFonts w:ascii="Arial"/>
                <w:sz w:val="21"/>
              </w:rPr>
            </w:pPr>
          </w:p>
        </w:tc>
        <w:tc>
          <w:tcPr>
            <w:tcW w:w="598" w:type="dxa"/>
            <w:vMerge w:val="continue"/>
            <w:tcBorders>
              <w:top w:val="nil"/>
            </w:tcBorders>
            <w:vAlign w:val="top"/>
          </w:tcPr>
          <w:p w14:paraId="5303A44C">
            <w:pPr>
              <w:rPr>
                <w:rFonts w:ascii="Arial"/>
                <w:sz w:val="21"/>
              </w:rPr>
            </w:pPr>
          </w:p>
        </w:tc>
        <w:tc>
          <w:tcPr>
            <w:tcW w:w="77" w:type="dxa"/>
            <w:tcBorders>
              <w:top w:val="nil"/>
              <w:bottom w:val="nil"/>
              <w:right w:val="single" w:color="000000" w:sz="6" w:space="0"/>
            </w:tcBorders>
            <w:vAlign w:val="top"/>
          </w:tcPr>
          <w:p w14:paraId="52462C8B">
            <w:pPr>
              <w:rPr>
                <w:rFonts w:ascii="Arial"/>
                <w:sz w:val="21"/>
              </w:rPr>
            </w:pPr>
          </w:p>
        </w:tc>
      </w:tr>
      <w:tr w14:paraId="3F8BA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755" w:type="dxa"/>
            <w:vMerge w:val="continue"/>
            <w:tcBorders>
              <w:top w:val="nil"/>
              <w:left w:val="single" w:color="000000" w:sz="6" w:space="0"/>
              <w:bottom w:val="nil"/>
            </w:tcBorders>
            <w:vAlign w:val="top"/>
          </w:tcPr>
          <w:p w14:paraId="523C8466">
            <w:pPr>
              <w:rPr>
                <w:rFonts w:ascii="Arial"/>
                <w:sz w:val="21"/>
              </w:rPr>
            </w:pPr>
          </w:p>
        </w:tc>
        <w:tc>
          <w:tcPr>
            <w:tcW w:w="66" w:type="dxa"/>
            <w:tcBorders>
              <w:top w:val="nil"/>
              <w:bottom w:val="nil"/>
            </w:tcBorders>
            <w:vAlign w:val="top"/>
          </w:tcPr>
          <w:p w14:paraId="71F82CAF">
            <w:pPr>
              <w:rPr>
                <w:rFonts w:ascii="Arial"/>
                <w:sz w:val="21"/>
              </w:rPr>
            </w:pPr>
          </w:p>
        </w:tc>
        <w:tc>
          <w:tcPr>
            <w:tcW w:w="810" w:type="dxa"/>
            <w:vMerge w:val="restart"/>
            <w:tcBorders>
              <w:bottom w:val="nil"/>
            </w:tcBorders>
            <w:vAlign w:val="top"/>
          </w:tcPr>
          <w:p w14:paraId="73D4DADE">
            <w:pPr>
              <w:spacing w:line="427" w:lineRule="auto"/>
              <w:rPr>
                <w:rFonts w:ascii="Arial"/>
                <w:sz w:val="21"/>
              </w:rPr>
            </w:pPr>
          </w:p>
          <w:p w14:paraId="1C8241AA">
            <w:pPr>
              <w:pStyle w:val="6"/>
              <w:spacing w:before="59" w:line="241" w:lineRule="auto"/>
              <w:ind w:left="132" w:right="111" w:hanging="24"/>
              <w:rPr>
                <w:sz w:val="18"/>
                <w:szCs w:val="18"/>
              </w:rPr>
            </w:pPr>
            <w:r>
              <w:rPr>
                <w:rFonts w:ascii="Times New Roman" w:hAnsi="Times New Roman" w:eastAsia="Times New Roman" w:cs="Times New Roman"/>
                <w:spacing w:val="-11"/>
                <w:sz w:val="18"/>
                <w:szCs w:val="18"/>
              </w:rPr>
              <w:t>5</w:t>
            </w:r>
            <w:r>
              <w:rPr>
                <w:rFonts w:ascii="Times New Roman" w:hAnsi="Times New Roman" w:eastAsia="Times New Roman" w:cs="Times New Roman"/>
                <w:spacing w:val="-7"/>
                <w:sz w:val="18"/>
                <w:szCs w:val="18"/>
              </w:rPr>
              <w:t xml:space="preserve"> </w:t>
            </w:r>
            <w:r>
              <w:rPr>
                <w:spacing w:val="-11"/>
                <w:sz w:val="18"/>
                <w:szCs w:val="18"/>
              </w:rPr>
              <w:t>号楼</w:t>
            </w:r>
            <w:r>
              <w:rPr>
                <w:spacing w:val="-40"/>
                <w:sz w:val="18"/>
                <w:szCs w:val="18"/>
              </w:rPr>
              <w:t xml:space="preserve"> </w:t>
            </w:r>
            <w:r>
              <w:rPr>
                <w:rFonts w:ascii="Times New Roman" w:hAnsi="Times New Roman" w:eastAsia="Times New Roman" w:cs="Times New Roman"/>
                <w:spacing w:val="-11"/>
                <w:sz w:val="18"/>
                <w:szCs w:val="18"/>
              </w:rPr>
              <w:t>1</w:t>
            </w:r>
            <w:r>
              <w:rPr>
                <w:rFonts w:ascii="Times New Roman" w:hAnsi="Times New Roman" w:eastAsia="Times New Roman" w:cs="Times New Roman"/>
                <w:sz w:val="18"/>
                <w:szCs w:val="18"/>
              </w:rPr>
              <w:t xml:space="preserve"> </w:t>
            </w:r>
            <w:r>
              <w:rPr>
                <w:spacing w:val="-3"/>
                <w:sz w:val="18"/>
                <w:szCs w:val="18"/>
              </w:rPr>
              <w:t>层车间</w:t>
            </w:r>
          </w:p>
        </w:tc>
        <w:tc>
          <w:tcPr>
            <w:tcW w:w="854" w:type="dxa"/>
            <w:vMerge w:val="restart"/>
            <w:tcBorders>
              <w:bottom w:val="nil"/>
            </w:tcBorders>
            <w:vAlign w:val="top"/>
          </w:tcPr>
          <w:p w14:paraId="4CE6E4A0">
            <w:pPr>
              <w:pStyle w:val="6"/>
              <w:spacing w:before="256" w:line="219" w:lineRule="auto"/>
              <w:ind w:left="157"/>
              <w:rPr>
                <w:sz w:val="18"/>
                <w:szCs w:val="18"/>
              </w:rPr>
            </w:pPr>
            <w:r>
              <w:rPr>
                <w:spacing w:val="-4"/>
                <w:sz w:val="18"/>
                <w:szCs w:val="18"/>
              </w:rPr>
              <w:t>真空机</w:t>
            </w:r>
          </w:p>
        </w:tc>
        <w:tc>
          <w:tcPr>
            <w:tcW w:w="872" w:type="dxa"/>
            <w:vAlign w:val="top"/>
          </w:tcPr>
          <w:p w14:paraId="3F6C1F89">
            <w:pPr>
              <w:pStyle w:val="6"/>
              <w:spacing w:before="81" w:line="220" w:lineRule="auto"/>
              <w:ind w:left="166"/>
              <w:rPr>
                <w:sz w:val="18"/>
                <w:szCs w:val="18"/>
              </w:rPr>
            </w:pPr>
            <w:r>
              <w:rPr>
                <w:spacing w:val="-3"/>
                <w:sz w:val="18"/>
                <w:szCs w:val="18"/>
              </w:rPr>
              <w:t>有组织</w:t>
            </w:r>
          </w:p>
        </w:tc>
        <w:tc>
          <w:tcPr>
            <w:tcW w:w="779" w:type="dxa"/>
            <w:vMerge w:val="restart"/>
            <w:tcBorders>
              <w:bottom w:val="nil"/>
            </w:tcBorders>
            <w:vAlign w:val="top"/>
          </w:tcPr>
          <w:p w14:paraId="4AF06EBD">
            <w:pPr>
              <w:spacing w:line="428" w:lineRule="auto"/>
              <w:rPr>
                <w:rFonts w:ascii="Arial"/>
                <w:sz w:val="21"/>
              </w:rPr>
            </w:pPr>
          </w:p>
          <w:p w14:paraId="32D9D77A">
            <w:pPr>
              <w:pStyle w:val="6"/>
              <w:spacing w:before="59" w:line="241" w:lineRule="auto"/>
              <w:ind w:left="215" w:right="121" w:hanging="93"/>
              <w:rPr>
                <w:sz w:val="18"/>
                <w:szCs w:val="18"/>
              </w:rPr>
            </w:pPr>
            <w:r>
              <w:rPr>
                <w:spacing w:val="-4"/>
                <w:sz w:val="18"/>
                <w:szCs w:val="18"/>
              </w:rPr>
              <w:t>非甲烷</w:t>
            </w:r>
            <w:r>
              <w:rPr>
                <w:spacing w:val="1"/>
                <w:sz w:val="18"/>
                <w:szCs w:val="18"/>
              </w:rPr>
              <w:t xml:space="preserve"> </w:t>
            </w:r>
            <w:r>
              <w:rPr>
                <w:spacing w:val="-6"/>
                <w:sz w:val="18"/>
                <w:szCs w:val="18"/>
              </w:rPr>
              <w:t>总烃</w:t>
            </w:r>
          </w:p>
        </w:tc>
        <w:tc>
          <w:tcPr>
            <w:tcW w:w="614" w:type="dxa"/>
            <w:vMerge w:val="restart"/>
            <w:tcBorders>
              <w:bottom w:val="nil"/>
            </w:tcBorders>
            <w:vAlign w:val="top"/>
          </w:tcPr>
          <w:p w14:paraId="42EB9288">
            <w:pPr>
              <w:spacing w:line="314" w:lineRule="auto"/>
              <w:rPr>
                <w:rFonts w:ascii="Arial"/>
                <w:sz w:val="21"/>
              </w:rPr>
            </w:pPr>
          </w:p>
          <w:p w14:paraId="35626B4A">
            <w:pPr>
              <w:pStyle w:val="6"/>
              <w:spacing w:before="58" w:line="219" w:lineRule="auto"/>
              <w:ind w:left="127"/>
              <w:rPr>
                <w:sz w:val="18"/>
                <w:szCs w:val="18"/>
              </w:rPr>
            </w:pPr>
            <w:r>
              <w:rPr>
                <w:spacing w:val="-4"/>
                <w:sz w:val="18"/>
                <w:szCs w:val="18"/>
              </w:rPr>
              <w:t>产污</w:t>
            </w:r>
          </w:p>
          <w:p w14:paraId="4537C5BF">
            <w:pPr>
              <w:pStyle w:val="6"/>
              <w:spacing w:before="18" w:line="244" w:lineRule="auto"/>
              <w:ind w:left="219" w:right="128" w:hanging="88"/>
              <w:rPr>
                <w:sz w:val="18"/>
                <w:szCs w:val="18"/>
              </w:rPr>
            </w:pPr>
            <w:r>
              <w:rPr>
                <w:spacing w:val="-6"/>
                <w:sz w:val="18"/>
                <w:szCs w:val="18"/>
              </w:rPr>
              <w:t>系数</w:t>
            </w:r>
            <w:r>
              <w:rPr>
                <w:sz w:val="18"/>
                <w:szCs w:val="18"/>
              </w:rPr>
              <w:t xml:space="preserve"> 法</w:t>
            </w:r>
          </w:p>
        </w:tc>
        <w:tc>
          <w:tcPr>
            <w:tcW w:w="868" w:type="dxa"/>
            <w:vAlign w:val="top"/>
          </w:tcPr>
          <w:p w14:paraId="6CAD8117">
            <w:pPr>
              <w:spacing w:before="112" w:line="188"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34" w:type="dxa"/>
            <w:vAlign w:val="top"/>
          </w:tcPr>
          <w:p w14:paraId="197995A9">
            <w:pPr>
              <w:spacing w:before="112"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35.80</w:t>
            </w:r>
          </w:p>
        </w:tc>
        <w:tc>
          <w:tcPr>
            <w:tcW w:w="764" w:type="dxa"/>
            <w:vAlign w:val="top"/>
          </w:tcPr>
          <w:p w14:paraId="14DE2CA0">
            <w:pPr>
              <w:spacing w:before="11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0.7160</w:t>
            </w:r>
          </w:p>
        </w:tc>
        <w:tc>
          <w:tcPr>
            <w:tcW w:w="1154" w:type="dxa"/>
            <w:vAlign w:val="top"/>
          </w:tcPr>
          <w:p w14:paraId="230FCE34">
            <w:pPr>
              <w:pStyle w:val="6"/>
              <w:spacing w:before="81" w:line="219" w:lineRule="auto"/>
              <w:ind w:left="136"/>
              <w:rPr>
                <w:sz w:val="18"/>
                <w:szCs w:val="18"/>
              </w:rPr>
            </w:pPr>
            <w:r>
              <w:rPr>
                <w:spacing w:val="-2"/>
                <w:sz w:val="18"/>
                <w:szCs w:val="18"/>
              </w:rPr>
              <w:t>活性炭吸附</w:t>
            </w:r>
          </w:p>
        </w:tc>
        <w:tc>
          <w:tcPr>
            <w:tcW w:w="644" w:type="dxa"/>
            <w:vAlign w:val="top"/>
          </w:tcPr>
          <w:p w14:paraId="4AAED801">
            <w:pPr>
              <w:spacing w:before="115"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restart"/>
            <w:tcBorders>
              <w:bottom w:val="nil"/>
            </w:tcBorders>
            <w:vAlign w:val="top"/>
          </w:tcPr>
          <w:p w14:paraId="32308D26">
            <w:pPr>
              <w:spacing w:line="314" w:lineRule="auto"/>
              <w:rPr>
                <w:rFonts w:ascii="Arial"/>
                <w:sz w:val="21"/>
              </w:rPr>
            </w:pPr>
          </w:p>
          <w:p w14:paraId="5DD46E30">
            <w:pPr>
              <w:pStyle w:val="6"/>
              <w:spacing w:before="58" w:line="219" w:lineRule="auto"/>
              <w:ind w:left="164"/>
              <w:rPr>
                <w:sz w:val="18"/>
                <w:szCs w:val="18"/>
              </w:rPr>
            </w:pPr>
            <w:r>
              <w:rPr>
                <w:spacing w:val="-4"/>
                <w:sz w:val="18"/>
                <w:szCs w:val="18"/>
              </w:rPr>
              <w:t>产污</w:t>
            </w:r>
          </w:p>
          <w:p w14:paraId="560F662E">
            <w:pPr>
              <w:pStyle w:val="6"/>
              <w:spacing w:before="18" w:line="244" w:lineRule="auto"/>
              <w:ind w:left="255" w:right="152" w:hanging="88"/>
              <w:rPr>
                <w:sz w:val="18"/>
                <w:szCs w:val="18"/>
              </w:rPr>
            </w:pPr>
            <w:r>
              <w:rPr>
                <w:spacing w:val="-6"/>
                <w:sz w:val="18"/>
                <w:szCs w:val="18"/>
              </w:rPr>
              <w:t>系数</w:t>
            </w:r>
            <w:r>
              <w:rPr>
                <w:sz w:val="18"/>
                <w:szCs w:val="18"/>
              </w:rPr>
              <w:t xml:space="preserve"> 法</w:t>
            </w:r>
          </w:p>
        </w:tc>
        <w:tc>
          <w:tcPr>
            <w:tcW w:w="779" w:type="dxa"/>
            <w:vAlign w:val="top"/>
          </w:tcPr>
          <w:p w14:paraId="3B048490">
            <w:pPr>
              <w:spacing w:before="112" w:line="188"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04" w:type="dxa"/>
            <w:vAlign w:val="top"/>
          </w:tcPr>
          <w:p w14:paraId="4CD85CBA">
            <w:pPr>
              <w:spacing w:before="112"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8.95</w:t>
            </w:r>
          </w:p>
        </w:tc>
        <w:tc>
          <w:tcPr>
            <w:tcW w:w="837" w:type="dxa"/>
            <w:vAlign w:val="top"/>
          </w:tcPr>
          <w:p w14:paraId="4E547847">
            <w:pPr>
              <w:spacing w:before="112"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0.1790</w:t>
            </w:r>
          </w:p>
        </w:tc>
        <w:tc>
          <w:tcPr>
            <w:tcW w:w="799" w:type="dxa"/>
            <w:vAlign w:val="top"/>
          </w:tcPr>
          <w:p w14:paraId="257A1681">
            <w:pPr>
              <w:spacing w:before="112"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DA001</w:t>
            </w:r>
          </w:p>
        </w:tc>
        <w:tc>
          <w:tcPr>
            <w:tcW w:w="598" w:type="dxa"/>
            <w:vAlign w:val="top"/>
          </w:tcPr>
          <w:p w14:paraId="12F63388">
            <w:pPr>
              <w:spacing w:before="112"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4D6AE9E4">
            <w:pPr>
              <w:rPr>
                <w:rFonts w:ascii="Arial"/>
                <w:sz w:val="21"/>
              </w:rPr>
            </w:pPr>
          </w:p>
        </w:tc>
      </w:tr>
      <w:tr w14:paraId="4C897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5" w:type="dxa"/>
            <w:vMerge w:val="continue"/>
            <w:tcBorders>
              <w:top w:val="nil"/>
              <w:left w:val="single" w:color="000000" w:sz="6" w:space="0"/>
              <w:bottom w:val="nil"/>
            </w:tcBorders>
            <w:vAlign w:val="top"/>
          </w:tcPr>
          <w:p w14:paraId="0ECCD7C9">
            <w:pPr>
              <w:rPr>
                <w:rFonts w:ascii="Arial"/>
                <w:sz w:val="21"/>
              </w:rPr>
            </w:pPr>
          </w:p>
        </w:tc>
        <w:tc>
          <w:tcPr>
            <w:tcW w:w="66" w:type="dxa"/>
            <w:tcBorders>
              <w:top w:val="nil"/>
              <w:bottom w:val="nil"/>
            </w:tcBorders>
            <w:vAlign w:val="top"/>
          </w:tcPr>
          <w:p w14:paraId="4C1C51E6">
            <w:pPr>
              <w:rPr>
                <w:rFonts w:ascii="Arial"/>
                <w:sz w:val="21"/>
              </w:rPr>
            </w:pPr>
          </w:p>
        </w:tc>
        <w:tc>
          <w:tcPr>
            <w:tcW w:w="810" w:type="dxa"/>
            <w:vMerge w:val="continue"/>
            <w:tcBorders>
              <w:top w:val="nil"/>
              <w:bottom w:val="nil"/>
            </w:tcBorders>
            <w:vAlign w:val="top"/>
          </w:tcPr>
          <w:p w14:paraId="2A90E980">
            <w:pPr>
              <w:rPr>
                <w:rFonts w:ascii="Arial"/>
                <w:sz w:val="21"/>
              </w:rPr>
            </w:pPr>
          </w:p>
        </w:tc>
        <w:tc>
          <w:tcPr>
            <w:tcW w:w="854" w:type="dxa"/>
            <w:vMerge w:val="continue"/>
            <w:tcBorders>
              <w:top w:val="nil"/>
            </w:tcBorders>
            <w:vAlign w:val="top"/>
          </w:tcPr>
          <w:p w14:paraId="416D92FB">
            <w:pPr>
              <w:rPr>
                <w:rFonts w:ascii="Arial"/>
                <w:sz w:val="21"/>
              </w:rPr>
            </w:pPr>
          </w:p>
        </w:tc>
        <w:tc>
          <w:tcPr>
            <w:tcW w:w="872" w:type="dxa"/>
            <w:vAlign w:val="top"/>
          </w:tcPr>
          <w:p w14:paraId="4164EAAC">
            <w:pPr>
              <w:pStyle w:val="6"/>
              <w:spacing w:before="85" w:line="220" w:lineRule="auto"/>
              <w:ind w:left="167"/>
              <w:rPr>
                <w:sz w:val="18"/>
                <w:szCs w:val="18"/>
              </w:rPr>
            </w:pPr>
            <w:r>
              <w:rPr>
                <w:spacing w:val="-3"/>
                <w:sz w:val="18"/>
                <w:szCs w:val="18"/>
              </w:rPr>
              <w:t>无组织</w:t>
            </w:r>
          </w:p>
        </w:tc>
        <w:tc>
          <w:tcPr>
            <w:tcW w:w="779" w:type="dxa"/>
            <w:vMerge w:val="continue"/>
            <w:tcBorders>
              <w:top w:val="nil"/>
              <w:bottom w:val="nil"/>
            </w:tcBorders>
            <w:vAlign w:val="top"/>
          </w:tcPr>
          <w:p w14:paraId="3A290290">
            <w:pPr>
              <w:rPr>
                <w:rFonts w:ascii="Arial"/>
                <w:sz w:val="21"/>
              </w:rPr>
            </w:pPr>
          </w:p>
        </w:tc>
        <w:tc>
          <w:tcPr>
            <w:tcW w:w="614" w:type="dxa"/>
            <w:vMerge w:val="continue"/>
            <w:tcBorders>
              <w:top w:val="nil"/>
              <w:bottom w:val="nil"/>
            </w:tcBorders>
            <w:vAlign w:val="top"/>
          </w:tcPr>
          <w:p w14:paraId="724CD790">
            <w:pPr>
              <w:rPr>
                <w:rFonts w:ascii="Arial"/>
                <w:sz w:val="21"/>
              </w:rPr>
            </w:pPr>
          </w:p>
        </w:tc>
        <w:tc>
          <w:tcPr>
            <w:tcW w:w="868" w:type="dxa"/>
            <w:vAlign w:val="top"/>
          </w:tcPr>
          <w:p w14:paraId="617FA3A1">
            <w:pPr>
              <w:spacing w:before="113"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3689B4E6">
            <w:pPr>
              <w:spacing w:before="113"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6B5349C4">
            <w:pPr>
              <w:spacing w:before="117"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0.3856</w:t>
            </w:r>
          </w:p>
        </w:tc>
        <w:tc>
          <w:tcPr>
            <w:tcW w:w="1154" w:type="dxa"/>
            <w:vAlign w:val="top"/>
          </w:tcPr>
          <w:p w14:paraId="1FC6C81D">
            <w:pPr>
              <w:pStyle w:val="6"/>
              <w:spacing w:before="86" w:line="224" w:lineRule="auto"/>
              <w:ind w:left="535"/>
              <w:rPr>
                <w:sz w:val="18"/>
                <w:szCs w:val="18"/>
              </w:rPr>
            </w:pPr>
            <w:r>
              <w:rPr>
                <w:sz w:val="18"/>
                <w:szCs w:val="18"/>
              </w:rPr>
              <w:t>/</w:t>
            </w:r>
          </w:p>
        </w:tc>
        <w:tc>
          <w:tcPr>
            <w:tcW w:w="644" w:type="dxa"/>
            <w:vAlign w:val="top"/>
          </w:tcPr>
          <w:p w14:paraId="41A97831">
            <w:pPr>
              <w:spacing w:before="113"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bottom w:val="nil"/>
            </w:tcBorders>
            <w:vAlign w:val="top"/>
          </w:tcPr>
          <w:p w14:paraId="0022D755">
            <w:pPr>
              <w:rPr>
                <w:rFonts w:ascii="Arial"/>
                <w:sz w:val="21"/>
              </w:rPr>
            </w:pPr>
          </w:p>
        </w:tc>
        <w:tc>
          <w:tcPr>
            <w:tcW w:w="779" w:type="dxa"/>
            <w:vAlign w:val="top"/>
          </w:tcPr>
          <w:p w14:paraId="222F4DEE">
            <w:pPr>
              <w:spacing w:before="113"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622A4F70">
            <w:pPr>
              <w:spacing w:before="113"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670B52EA">
            <w:pPr>
              <w:spacing w:before="117"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0.3856</w:t>
            </w:r>
          </w:p>
        </w:tc>
        <w:tc>
          <w:tcPr>
            <w:tcW w:w="799" w:type="dxa"/>
            <w:vAlign w:val="top"/>
          </w:tcPr>
          <w:p w14:paraId="47D7C717">
            <w:pPr>
              <w:spacing w:before="113"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3039A0C3">
            <w:pPr>
              <w:spacing w:before="117"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7337E323">
            <w:pPr>
              <w:rPr>
                <w:rFonts w:ascii="Arial"/>
                <w:sz w:val="21"/>
              </w:rPr>
            </w:pPr>
          </w:p>
        </w:tc>
      </w:tr>
      <w:tr w14:paraId="6AD2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5" w:type="dxa"/>
            <w:vMerge w:val="continue"/>
            <w:tcBorders>
              <w:top w:val="nil"/>
              <w:left w:val="single" w:color="000000" w:sz="6" w:space="0"/>
              <w:bottom w:val="nil"/>
            </w:tcBorders>
            <w:vAlign w:val="top"/>
          </w:tcPr>
          <w:p w14:paraId="4A9383DA">
            <w:pPr>
              <w:rPr>
                <w:rFonts w:ascii="Arial"/>
                <w:sz w:val="21"/>
              </w:rPr>
            </w:pPr>
          </w:p>
        </w:tc>
        <w:tc>
          <w:tcPr>
            <w:tcW w:w="66" w:type="dxa"/>
            <w:tcBorders>
              <w:top w:val="nil"/>
              <w:bottom w:val="nil"/>
            </w:tcBorders>
            <w:vAlign w:val="top"/>
          </w:tcPr>
          <w:p w14:paraId="6944AFB0">
            <w:pPr>
              <w:rPr>
                <w:rFonts w:ascii="Arial"/>
                <w:sz w:val="21"/>
              </w:rPr>
            </w:pPr>
          </w:p>
        </w:tc>
        <w:tc>
          <w:tcPr>
            <w:tcW w:w="810" w:type="dxa"/>
            <w:vMerge w:val="continue"/>
            <w:tcBorders>
              <w:top w:val="nil"/>
              <w:bottom w:val="nil"/>
            </w:tcBorders>
            <w:vAlign w:val="top"/>
          </w:tcPr>
          <w:p w14:paraId="50974B3A">
            <w:pPr>
              <w:rPr>
                <w:rFonts w:ascii="Arial"/>
                <w:sz w:val="21"/>
              </w:rPr>
            </w:pPr>
          </w:p>
        </w:tc>
        <w:tc>
          <w:tcPr>
            <w:tcW w:w="854" w:type="dxa"/>
            <w:vMerge w:val="restart"/>
            <w:tcBorders>
              <w:bottom w:val="nil"/>
            </w:tcBorders>
            <w:vAlign w:val="top"/>
          </w:tcPr>
          <w:p w14:paraId="761CD5BC">
            <w:pPr>
              <w:pStyle w:val="6"/>
              <w:spacing w:before="261" w:line="219" w:lineRule="auto"/>
              <w:ind w:left="155"/>
              <w:rPr>
                <w:sz w:val="18"/>
                <w:szCs w:val="18"/>
              </w:rPr>
            </w:pPr>
            <w:r>
              <w:rPr>
                <w:spacing w:val="-3"/>
                <w:sz w:val="18"/>
                <w:szCs w:val="18"/>
              </w:rPr>
              <w:t>烘干机</w:t>
            </w:r>
          </w:p>
        </w:tc>
        <w:tc>
          <w:tcPr>
            <w:tcW w:w="872" w:type="dxa"/>
            <w:vAlign w:val="top"/>
          </w:tcPr>
          <w:p w14:paraId="59C04434">
            <w:pPr>
              <w:pStyle w:val="6"/>
              <w:spacing w:before="86" w:line="220" w:lineRule="auto"/>
              <w:ind w:left="166"/>
              <w:rPr>
                <w:sz w:val="18"/>
                <w:szCs w:val="18"/>
              </w:rPr>
            </w:pPr>
            <w:r>
              <w:rPr>
                <w:spacing w:val="-3"/>
                <w:sz w:val="18"/>
                <w:szCs w:val="18"/>
              </w:rPr>
              <w:t>有组织</w:t>
            </w:r>
          </w:p>
        </w:tc>
        <w:tc>
          <w:tcPr>
            <w:tcW w:w="779" w:type="dxa"/>
            <w:vMerge w:val="continue"/>
            <w:tcBorders>
              <w:top w:val="nil"/>
              <w:bottom w:val="nil"/>
            </w:tcBorders>
            <w:vAlign w:val="top"/>
          </w:tcPr>
          <w:p w14:paraId="2FBB4244">
            <w:pPr>
              <w:rPr>
                <w:rFonts w:ascii="Arial"/>
                <w:sz w:val="21"/>
              </w:rPr>
            </w:pPr>
          </w:p>
        </w:tc>
        <w:tc>
          <w:tcPr>
            <w:tcW w:w="614" w:type="dxa"/>
            <w:vMerge w:val="continue"/>
            <w:tcBorders>
              <w:top w:val="nil"/>
              <w:bottom w:val="nil"/>
            </w:tcBorders>
            <w:vAlign w:val="top"/>
          </w:tcPr>
          <w:p w14:paraId="76AEB5C5">
            <w:pPr>
              <w:rPr>
                <w:rFonts w:ascii="Arial"/>
                <w:sz w:val="21"/>
              </w:rPr>
            </w:pPr>
          </w:p>
        </w:tc>
        <w:tc>
          <w:tcPr>
            <w:tcW w:w="868" w:type="dxa"/>
            <w:vAlign w:val="top"/>
          </w:tcPr>
          <w:p w14:paraId="04A7074C">
            <w:pPr>
              <w:spacing w:before="117" w:line="188"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34" w:type="dxa"/>
            <w:vAlign w:val="top"/>
          </w:tcPr>
          <w:p w14:paraId="017A82CD">
            <w:pPr>
              <w:spacing w:before="117"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10.44</w:t>
            </w:r>
          </w:p>
        </w:tc>
        <w:tc>
          <w:tcPr>
            <w:tcW w:w="764" w:type="dxa"/>
            <w:vAlign w:val="top"/>
          </w:tcPr>
          <w:p w14:paraId="17F14167">
            <w:pPr>
              <w:spacing w:before="117"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0.2088</w:t>
            </w:r>
          </w:p>
        </w:tc>
        <w:tc>
          <w:tcPr>
            <w:tcW w:w="1154" w:type="dxa"/>
            <w:vAlign w:val="top"/>
          </w:tcPr>
          <w:p w14:paraId="39AECB8D">
            <w:pPr>
              <w:pStyle w:val="6"/>
              <w:spacing w:before="85" w:line="219" w:lineRule="auto"/>
              <w:ind w:left="136"/>
              <w:rPr>
                <w:sz w:val="18"/>
                <w:szCs w:val="18"/>
              </w:rPr>
            </w:pPr>
            <w:r>
              <w:rPr>
                <w:spacing w:val="-2"/>
                <w:sz w:val="18"/>
                <w:szCs w:val="18"/>
              </w:rPr>
              <w:t>活性炭吸附</w:t>
            </w:r>
          </w:p>
        </w:tc>
        <w:tc>
          <w:tcPr>
            <w:tcW w:w="644" w:type="dxa"/>
            <w:vAlign w:val="top"/>
          </w:tcPr>
          <w:p w14:paraId="79C9647D">
            <w:pPr>
              <w:spacing w:before="120"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continue"/>
            <w:tcBorders>
              <w:top w:val="nil"/>
              <w:bottom w:val="nil"/>
            </w:tcBorders>
            <w:vAlign w:val="top"/>
          </w:tcPr>
          <w:p w14:paraId="6AB10AEF">
            <w:pPr>
              <w:rPr>
                <w:rFonts w:ascii="Arial"/>
                <w:sz w:val="21"/>
              </w:rPr>
            </w:pPr>
          </w:p>
        </w:tc>
        <w:tc>
          <w:tcPr>
            <w:tcW w:w="779" w:type="dxa"/>
            <w:vAlign w:val="top"/>
          </w:tcPr>
          <w:p w14:paraId="01F5DDB7">
            <w:pPr>
              <w:spacing w:before="117" w:line="188"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04" w:type="dxa"/>
            <w:vAlign w:val="top"/>
          </w:tcPr>
          <w:p w14:paraId="2E9CB8CB">
            <w:pPr>
              <w:spacing w:before="117"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2.61</w:t>
            </w:r>
          </w:p>
        </w:tc>
        <w:tc>
          <w:tcPr>
            <w:tcW w:w="837" w:type="dxa"/>
            <w:vAlign w:val="top"/>
          </w:tcPr>
          <w:p w14:paraId="3C5DFEC6">
            <w:pPr>
              <w:spacing w:before="117"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0.0522</w:t>
            </w:r>
          </w:p>
        </w:tc>
        <w:tc>
          <w:tcPr>
            <w:tcW w:w="799" w:type="dxa"/>
            <w:vAlign w:val="top"/>
          </w:tcPr>
          <w:p w14:paraId="6AEBE7BB">
            <w:pPr>
              <w:spacing w:before="117"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DA001</w:t>
            </w:r>
          </w:p>
        </w:tc>
        <w:tc>
          <w:tcPr>
            <w:tcW w:w="598" w:type="dxa"/>
            <w:vAlign w:val="top"/>
          </w:tcPr>
          <w:p w14:paraId="6FFDDED2">
            <w:pPr>
              <w:spacing w:before="117"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44286157">
            <w:pPr>
              <w:rPr>
                <w:rFonts w:ascii="Arial"/>
                <w:sz w:val="21"/>
              </w:rPr>
            </w:pPr>
          </w:p>
        </w:tc>
      </w:tr>
      <w:tr w14:paraId="7061E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55" w:type="dxa"/>
            <w:vMerge w:val="continue"/>
            <w:tcBorders>
              <w:top w:val="nil"/>
              <w:left w:val="single" w:color="000000" w:sz="6" w:space="0"/>
              <w:bottom w:val="nil"/>
            </w:tcBorders>
            <w:vAlign w:val="top"/>
          </w:tcPr>
          <w:p w14:paraId="139A3BD7">
            <w:pPr>
              <w:rPr>
                <w:rFonts w:ascii="Arial"/>
                <w:sz w:val="21"/>
              </w:rPr>
            </w:pPr>
          </w:p>
        </w:tc>
        <w:tc>
          <w:tcPr>
            <w:tcW w:w="66" w:type="dxa"/>
            <w:tcBorders>
              <w:top w:val="nil"/>
              <w:bottom w:val="nil"/>
            </w:tcBorders>
            <w:vAlign w:val="top"/>
          </w:tcPr>
          <w:p w14:paraId="798C2DBF">
            <w:pPr>
              <w:rPr>
                <w:rFonts w:ascii="Arial"/>
                <w:sz w:val="21"/>
              </w:rPr>
            </w:pPr>
          </w:p>
        </w:tc>
        <w:tc>
          <w:tcPr>
            <w:tcW w:w="810" w:type="dxa"/>
            <w:vMerge w:val="continue"/>
            <w:tcBorders>
              <w:top w:val="nil"/>
            </w:tcBorders>
            <w:vAlign w:val="top"/>
          </w:tcPr>
          <w:p w14:paraId="79E53C61">
            <w:pPr>
              <w:rPr>
                <w:rFonts w:ascii="Arial"/>
                <w:sz w:val="21"/>
              </w:rPr>
            </w:pPr>
          </w:p>
        </w:tc>
        <w:tc>
          <w:tcPr>
            <w:tcW w:w="854" w:type="dxa"/>
            <w:vMerge w:val="continue"/>
            <w:tcBorders>
              <w:top w:val="nil"/>
            </w:tcBorders>
            <w:vAlign w:val="top"/>
          </w:tcPr>
          <w:p w14:paraId="0CF66E61">
            <w:pPr>
              <w:rPr>
                <w:rFonts w:ascii="Arial"/>
                <w:sz w:val="21"/>
              </w:rPr>
            </w:pPr>
          </w:p>
        </w:tc>
        <w:tc>
          <w:tcPr>
            <w:tcW w:w="872" w:type="dxa"/>
            <w:vAlign w:val="top"/>
          </w:tcPr>
          <w:p w14:paraId="4AE3379D">
            <w:pPr>
              <w:pStyle w:val="6"/>
              <w:spacing w:before="86" w:line="220" w:lineRule="auto"/>
              <w:ind w:left="167"/>
              <w:rPr>
                <w:sz w:val="18"/>
                <w:szCs w:val="18"/>
              </w:rPr>
            </w:pPr>
            <w:r>
              <w:rPr>
                <w:spacing w:val="-3"/>
                <w:sz w:val="18"/>
                <w:szCs w:val="18"/>
              </w:rPr>
              <w:t>无组织</w:t>
            </w:r>
          </w:p>
        </w:tc>
        <w:tc>
          <w:tcPr>
            <w:tcW w:w="779" w:type="dxa"/>
            <w:vMerge w:val="continue"/>
            <w:tcBorders>
              <w:top w:val="nil"/>
            </w:tcBorders>
            <w:vAlign w:val="top"/>
          </w:tcPr>
          <w:p w14:paraId="16C259EC">
            <w:pPr>
              <w:rPr>
                <w:rFonts w:ascii="Arial"/>
                <w:sz w:val="21"/>
              </w:rPr>
            </w:pPr>
          </w:p>
        </w:tc>
        <w:tc>
          <w:tcPr>
            <w:tcW w:w="614" w:type="dxa"/>
            <w:vMerge w:val="continue"/>
            <w:tcBorders>
              <w:top w:val="nil"/>
            </w:tcBorders>
            <w:vAlign w:val="top"/>
          </w:tcPr>
          <w:p w14:paraId="124459C3">
            <w:pPr>
              <w:rPr>
                <w:rFonts w:ascii="Arial"/>
                <w:sz w:val="21"/>
              </w:rPr>
            </w:pPr>
          </w:p>
        </w:tc>
        <w:tc>
          <w:tcPr>
            <w:tcW w:w="868" w:type="dxa"/>
            <w:vAlign w:val="top"/>
          </w:tcPr>
          <w:p w14:paraId="779056F8">
            <w:pPr>
              <w:spacing w:before="112"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3B5750FA">
            <w:pPr>
              <w:spacing w:before="112"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63F59ED5">
            <w:pPr>
              <w:spacing w:before="115"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0.1125</w:t>
            </w:r>
          </w:p>
        </w:tc>
        <w:tc>
          <w:tcPr>
            <w:tcW w:w="1154" w:type="dxa"/>
            <w:vAlign w:val="top"/>
          </w:tcPr>
          <w:p w14:paraId="0AF0C144">
            <w:pPr>
              <w:pStyle w:val="6"/>
              <w:spacing w:before="86" w:line="224" w:lineRule="auto"/>
              <w:ind w:left="535"/>
              <w:rPr>
                <w:sz w:val="18"/>
                <w:szCs w:val="18"/>
              </w:rPr>
            </w:pPr>
            <w:r>
              <w:rPr>
                <w:sz w:val="18"/>
                <w:szCs w:val="18"/>
              </w:rPr>
              <w:t>/</w:t>
            </w:r>
          </w:p>
        </w:tc>
        <w:tc>
          <w:tcPr>
            <w:tcW w:w="644" w:type="dxa"/>
            <w:vAlign w:val="top"/>
          </w:tcPr>
          <w:p w14:paraId="4769C731">
            <w:pPr>
              <w:spacing w:before="112"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tcBorders>
            <w:vAlign w:val="top"/>
          </w:tcPr>
          <w:p w14:paraId="7ACCEFD3">
            <w:pPr>
              <w:rPr>
                <w:rFonts w:ascii="Arial"/>
                <w:sz w:val="21"/>
              </w:rPr>
            </w:pPr>
          </w:p>
        </w:tc>
        <w:tc>
          <w:tcPr>
            <w:tcW w:w="779" w:type="dxa"/>
            <w:vAlign w:val="top"/>
          </w:tcPr>
          <w:p w14:paraId="67127F7F">
            <w:pPr>
              <w:spacing w:before="112"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57CDE984">
            <w:pPr>
              <w:spacing w:before="112"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51ABB752">
            <w:pPr>
              <w:spacing w:before="115"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0.1125</w:t>
            </w:r>
          </w:p>
        </w:tc>
        <w:tc>
          <w:tcPr>
            <w:tcW w:w="799" w:type="dxa"/>
            <w:vAlign w:val="top"/>
          </w:tcPr>
          <w:p w14:paraId="4CD82543">
            <w:pPr>
              <w:spacing w:before="112"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56518995">
            <w:pPr>
              <w:spacing w:before="115"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28899D9F">
            <w:pPr>
              <w:rPr>
                <w:rFonts w:ascii="Arial"/>
                <w:sz w:val="21"/>
              </w:rPr>
            </w:pPr>
          </w:p>
        </w:tc>
      </w:tr>
      <w:tr w14:paraId="2E3D7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5" w:type="dxa"/>
            <w:vMerge w:val="continue"/>
            <w:tcBorders>
              <w:top w:val="nil"/>
              <w:left w:val="single" w:color="000000" w:sz="6" w:space="0"/>
              <w:bottom w:val="nil"/>
            </w:tcBorders>
            <w:vAlign w:val="top"/>
          </w:tcPr>
          <w:p w14:paraId="02765320">
            <w:pPr>
              <w:rPr>
                <w:rFonts w:ascii="Arial"/>
                <w:sz w:val="21"/>
              </w:rPr>
            </w:pPr>
          </w:p>
        </w:tc>
        <w:tc>
          <w:tcPr>
            <w:tcW w:w="66" w:type="dxa"/>
            <w:tcBorders>
              <w:top w:val="nil"/>
              <w:bottom w:val="nil"/>
            </w:tcBorders>
            <w:vAlign w:val="top"/>
          </w:tcPr>
          <w:p w14:paraId="5A6F6CEB">
            <w:pPr>
              <w:rPr>
                <w:rFonts w:ascii="Arial"/>
                <w:sz w:val="21"/>
              </w:rPr>
            </w:pPr>
          </w:p>
        </w:tc>
        <w:tc>
          <w:tcPr>
            <w:tcW w:w="810" w:type="dxa"/>
            <w:vMerge w:val="restart"/>
            <w:tcBorders>
              <w:bottom w:val="nil"/>
            </w:tcBorders>
            <w:vAlign w:val="top"/>
          </w:tcPr>
          <w:p w14:paraId="52B021F2">
            <w:pPr>
              <w:spacing w:line="316" w:lineRule="auto"/>
              <w:rPr>
                <w:rFonts w:ascii="Arial"/>
                <w:sz w:val="21"/>
              </w:rPr>
            </w:pPr>
          </w:p>
          <w:p w14:paraId="11B8333F">
            <w:pPr>
              <w:pStyle w:val="6"/>
              <w:spacing w:before="58"/>
              <w:ind w:left="148" w:right="158" w:firstLine="7"/>
              <w:jc w:val="both"/>
              <w:rPr>
                <w:sz w:val="18"/>
                <w:szCs w:val="18"/>
              </w:rPr>
            </w:pPr>
            <w:r>
              <w:rPr>
                <w:rFonts w:ascii="Times New Roman" w:hAnsi="Times New Roman" w:eastAsia="Times New Roman" w:cs="Times New Roman"/>
                <w:spacing w:val="-7"/>
                <w:sz w:val="18"/>
                <w:szCs w:val="18"/>
              </w:rPr>
              <w:t>5</w:t>
            </w:r>
            <w:r>
              <w:rPr>
                <w:rFonts w:ascii="Times New Roman" w:hAnsi="Times New Roman" w:eastAsia="Times New Roman" w:cs="Times New Roman"/>
                <w:spacing w:val="13"/>
                <w:sz w:val="18"/>
                <w:szCs w:val="18"/>
              </w:rPr>
              <w:t xml:space="preserve"> </w:t>
            </w:r>
            <w:r>
              <w:rPr>
                <w:spacing w:val="-7"/>
                <w:sz w:val="18"/>
                <w:szCs w:val="18"/>
              </w:rPr>
              <w:t>号楼</w:t>
            </w:r>
            <w:r>
              <w:rPr>
                <w:sz w:val="18"/>
                <w:szCs w:val="18"/>
              </w:rPr>
              <w:t xml:space="preserve"> </w:t>
            </w:r>
            <w:r>
              <w:rPr>
                <w:rFonts w:ascii="Times New Roman" w:hAnsi="Times New Roman" w:eastAsia="Times New Roman" w:cs="Times New Roman"/>
                <w:spacing w:val="-3"/>
                <w:sz w:val="18"/>
                <w:szCs w:val="18"/>
              </w:rPr>
              <w:t>2~3</w:t>
            </w:r>
            <w:r>
              <w:rPr>
                <w:rFonts w:ascii="Times New Roman" w:hAnsi="Times New Roman" w:eastAsia="Times New Roman" w:cs="Times New Roman"/>
                <w:spacing w:val="6"/>
                <w:sz w:val="18"/>
                <w:szCs w:val="18"/>
              </w:rPr>
              <w:t xml:space="preserve"> </w:t>
            </w:r>
            <w:r>
              <w:rPr>
                <w:spacing w:val="-3"/>
                <w:sz w:val="18"/>
                <w:szCs w:val="18"/>
              </w:rPr>
              <w:t>层</w:t>
            </w:r>
            <w:r>
              <w:rPr>
                <w:sz w:val="18"/>
                <w:szCs w:val="18"/>
              </w:rPr>
              <w:t xml:space="preserve"> </w:t>
            </w:r>
            <w:r>
              <w:rPr>
                <w:spacing w:val="32"/>
                <w:sz w:val="18"/>
                <w:szCs w:val="18"/>
              </w:rPr>
              <w:t>车间</w:t>
            </w:r>
          </w:p>
        </w:tc>
        <w:tc>
          <w:tcPr>
            <w:tcW w:w="854" w:type="dxa"/>
            <w:vMerge w:val="restart"/>
            <w:tcBorders>
              <w:bottom w:val="nil"/>
            </w:tcBorders>
            <w:vAlign w:val="top"/>
          </w:tcPr>
          <w:p w14:paraId="29392981">
            <w:pPr>
              <w:pStyle w:val="6"/>
              <w:spacing w:before="260" w:line="219" w:lineRule="auto"/>
              <w:ind w:left="157"/>
              <w:rPr>
                <w:sz w:val="18"/>
                <w:szCs w:val="18"/>
              </w:rPr>
            </w:pPr>
            <w:r>
              <w:rPr>
                <w:spacing w:val="-4"/>
                <w:sz w:val="18"/>
                <w:szCs w:val="18"/>
              </w:rPr>
              <w:t>真空机</w:t>
            </w:r>
          </w:p>
        </w:tc>
        <w:tc>
          <w:tcPr>
            <w:tcW w:w="872" w:type="dxa"/>
            <w:vAlign w:val="top"/>
          </w:tcPr>
          <w:p w14:paraId="04737CBE">
            <w:pPr>
              <w:pStyle w:val="6"/>
              <w:spacing w:before="86" w:line="220" w:lineRule="auto"/>
              <w:ind w:left="166"/>
              <w:rPr>
                <w:sz w:val="18"/>
                <w:szCs w:val="18"/>
              </w:rPr>
            </w:pPr>
            <w:r>
              <w:rPr>
                <w:spacing w:val="-3"/>
                <w:sz w:val="18"/>
                <w:szCs w:val="18"/>
              </w:rPr>
              <w:t>有组织</w:t>
            </w:r>
          </w:p>
        </w:tc>
        <w:tc>
          <w:tcPr>
            <w:tcW w:w="779" w:type="dxa"/>
            <w:vMerge w:val="restart"/>
            <w:tcBorders>
              <w:bottom w:val="nil"/>
            </w:tcBorders>
            <w:vAlign w:val="top"/>
          </w:tcPr>
          <w:p w14:paraId="002AC757">
            <w:pPr>
              <w:spacing w:line="433" w:lineRule="auto"/>
              <w:rPr>
                <w:rFonts w:ascii="Arial"/>
                <w:sz w:val="21"/>
              </w:rPr>
            </w:pPr>
          </w:p>
          <w:p w14:paraId="774AF541">
            <w:pPr>
              <w:pStyle w:val="6"/>
              <w:spacing w:before="58" w:line="241" w:lineRule="auto"/>
              <w:ind w:left="215" w:right="121" w:hanging="93"/>
              <w:rPr>
                <w:sz w:val="18"/>
                <w:szCs w:val="18"/>
              </w:rPr>
            </w:pPr>
            <w:r>
              <w:rPr>
                <w:spacing w:val="-4"/>
                <w:sz w:val="18"/>
                <w:szCs w:val="18"/>
              </w:rPr>
              <w:t>非甲烷</w:t>
            </w:r>
            <w:r>
              <w:rPr>
                <w:spacing w:val="1"/>
                <w:sz w:val="18"/>
                <w:szCs w:val="18"/>
              </w:rPr>
              <w:t xml:space="preserve"> </w:t>
            </w:r>
            <w:r>
              <w:rPr>
                <w:spacing w:val="-6"/>
                <w:sz w:val="18"/>
                <w:szCs w:val="18"/>
              </w:rPr>
              <w:t>总烃</w:t>
            </w:r>
          </w:p>
        </w:tc>
        <w:tc>
          <w:tcPr>
            <w:tcW w:w="614" w:type="dxa"/>
            <w:vMerge w:val="restart"/>
            <w:tcBorders>
              <w:bottom w:val="nil"/>
            </w:tcBorders>
            <w:vAlign w:val="top"/>
          </w:tcPr>
          <w:p w14:paraId="52988DF5">
            <w:pPr>
              <w:spacing w:line="316" w:lineRule="auto"/>
              <w:rPr>
                <w:rFonts w:ascii="Arial"/>
                <w:sz w:val="21"/>
              </w:rPr>
            </w:pPr>
          </w:p>
          <w:p w14:paraId="412AC7C8">
            <w:pPr>
              <w:pStyle w:val="6"/>
              <w:spacing w:before="58" w:line="219" w:lineRule="auto"/>
              <w:ind w:left="127"/>
              <w:rPr>
                <w:sz w:val="18"/>
                <w:szCs w:val="18"/>
              </w:rPr>
            </w:pPr>
            <w:r>
              <w:rPr>
                <w:spacing w:val="-4"/>
                <w:sz w:val="18"/>
                <w:szCs w:val="18"/>
              </w:rPr>
              <w:t>产污</w:t>
            </w:r>
          </w:p>
          <w:p w14:paraId="572FA953">
            <w:pPr>
              <w:pStyle w:val="6"/>
              <w:spacing w:before="18" w:line="244" w:lineRule="auto"/>
              <w:ind w:left="219" w:right="128" w:hanging="88"/>
              <w:rPr>
                <w:sz w:val="18"/>
                <w:szCs w:val="18"/>
              </w:rPr>
            </w:pPr>
            <w:r>
              <w:rPr>
                <w:spacing w:val="-6"/>
                <w:sz w:val="18"/>
                <w:szCs w:val="18"/>
              </w:rPr>
              <w:t>系数</w:t>
            </w:r>
            <w:r>
              <w:rPr>
                <w:sz w:val="18"/>
                <w:szCs w:val="18"/>
              </w:rPr>
              <w:t xml:space="preserve"> 法</w:t>
            </w:r>
          </w:p>
        </w:tc>
        <w:tc>
          <w:tcPr>
            <w:tcW w:w="868" w:type="dxa"/>
            <w:vAlign w:val="top"/>
          </w:tcPr>
          <w:p w14:paraId="31BB2EED">
            <w:pPr>
              <w:spacing w:before="114"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6415D97C">
            <w:pPr>
              <w:spacing w:before="114"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35.80</w:t>
            </w:r>
          </w:p>
        </w:tc>
        <w:tc>
          <w:tcPr>
            <w:tcW w:w="764" w:type="dxa"/>
            <w:vAlign w:val="top"/>
          </w:tcPr>
          <w:p w14:paraId="1E07AE30">
            <w:pPr>
              <w:spacing w:before="114"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1.4321</w:t>
            </w:r>
          </w:p>
        </w:tc>
        <w:tc>
          <w:tcPr>
            <w:tcW w:w="1154" w:type="dxa"/>
            <w:vAlign w:val="top"/>
          </w:tcPr>
          <w:p w14:paraId="0B1C5194">
            <w:pPr>
              <w:pStyle w:val="6"/>
              <w:spacing w:before="85" w:line="219" w:lineRule="auto"/>
              <w:ind w:left="136"/>
              <w:rPr>
                <w:sz w:val="18"/>
                <w:szCs w:val="18"/>
              </w:rPr>
            </w:pPr>
            <w:r>
              <w:rPr>
                <w:spacing w:val="-2"/>
                <w:sz w:val="18"/>
                <w:szCs w:val="18"/>
              </w:rPr>
              <w:t>活性炭吸附</w:t>
            </w:r>
          </w:p>
        </w:tc>
        <w:tc>
          <w:tcPr>
            <w:tcW w:w="644" w:type="dxa"/>
            <w:vAlign w:val="top"/>
          </w:tcPr>
          <w:p w14:paraId="04D558FF">
            <w:pPr>
              <w:spacing w:before="117"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restart"/>
            <w:tcBorders>
              <w:bottom w:val="nil"/>
            </w:tcBorders>
            <w:vAlign w:val="top"/>
          </w:tcPr>
          <w:p w14:paraId="56A489D7">
            <w:pPr>
              <w:spacing w:line="316" w:lineRule="auto"/>
              <w:rPr>
                <w:rFonts w:ascii="Arial"/>
                <w:sz w:val="21"/>
              </w:rPr>
            </w:pPr>
          </w:p>
          <w:p w14:paraId="1F6E2828">
            <w:pPr>
              <w:pStyle w:val="6"/>
              <w:spacing w:before="58" w:line="219" w:lineRule="auto"/>
              <w:ind w:left="164"/>
              <w:rPr>
                <w:sz w:val="18"/>
                <w:szCs w:val="18"/>
              </w:rPr>
            </w:pPr>
            <w:r>
              <w:rPr>
                <w:spacing w:val="-4"/>
                <w:sz w:val="18"/>
                <w:szCs w:val="18"/>
              </w:rPr>
              <w:t>产污</w:t>
            </w:r>
          </w:p>
          <w:p w14:paraId="2B64096A">
            <w:pPr>
              <w:pStyle w:val="6"/>
              <w:spacing w:before="18" w:line="244" w:lineRule="auto"/>
              <w:ind w:left="255" w:right="152" w:hanging="88"/>
              <w:rPr>
                <w:sz w:val="18"/>
                <w:szCs w:val="18"/>
              </w:rPr>
            </w:pPr>
            <w:r>
              <w:rPr>
                <w:spacing w:val="-6"/>
                <w:sz w:val="18"/>
                <w:szCs w:val="18"/>
              </w:rPr>
              <w:t>系数</w:t>
            </w:r>
            <w:r>
              <w:rPr>
                <w:sz w:val="18"/>
                <w:szCs w:val="18"/>
              </w:rPr>
              <w:t xml:space="preserve"> 法</w:t>
            </w:r>
          </w:p>
        </w:tc>
        <w:tc>
          <w:tcPr>
            <w:tcW w:w="779" w:type="dxa"/>
            <w:vAlign w:val="top"/>
          </w:tcPr>
          <w:p w14:paraId="73B3CFCC">
            <w:pPr>
              <w:spacing w:before="114"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6C48B488">
            <w:pPr>
              <w:spacing w:before="114"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8.95</w:t>
            </w:r>
          </w:p>
        </w:tc>
        <w:tc>
          <w:tcPr>
            <w:tcW w:w="837" w:type="dxa"/>
            <w:vAlign w:val="top"/>
          </w:tcPr>
          <w:p w14:paraId="7829AB97">
            <w:pPr>
              <w:spacing w:before="114"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0.3580</w:t>
            </w:r>
          </w:p>
        </w:tc>
        <w:tc>
          <w:tcPr>
            <w:tcW w:w="799" w:type="dxa"/>
            <w:vAlign w:val="top"/>
          </w:tcPr>
          <w:p w14:paraId="2C0AAD7C">
            <w:pPr>
              <w:spacing w:before="114"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DA002</w:t>
            </w:r>
          </w:p>
        </w:tc>
        <w:tc>
          <w:tcPr>
            <w:tcW w:w="598" w:type="dxa"/>
            <w:vAlign w:val="top"/>
          </w:tcPr>
          <w:p w14:paraId="0DB44581">
            <w:pPr>
              <w:spacing w:before="114"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696C3D57">
            <w:pPr>
              <w:rPr>
                <w:rFonts w:ascii="Arial"/>
                <w:sz w:val="21"/>
              </w:rPr>
            </w:pPr>
          </w:p>
        </w:tc>
      </w:tr>
      <w:tr w14:paraId="7EF7B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55" w:type="dxa"/>
            <w:vMerge w:val="continue"/>
            <w:tcBorders>
              <w:top w:val="nil"/>
              <w:left w:val="single" w:color="000000" w:sz="6" w:space="0"/>
              <w:bottom w:val="nil"/>
            </w:tcBorders>
            <w:vAlign w:val="top"/>
          </w:tcPr>
          <w:p w14:paraId="3F0F23EA">
            <w:pPr>
              <w:rPr>
                <w:rFonts w:ascii="Arial"/>
                <w:sz w:val="21"/>
              </w:rPr>
            </w:pPr>
          </w:p>
        </w:tc>
        <w:tc>
          <w:tcPr>
            <w:tcW w:w="66" w:type="dxa"/>
            <w:tcBorders>
              <w:top w:val="nil"/>
              <w:bottom w:val="nil"/>
            </w:tcBorders>
            <w:vAlign w:val="top"/>
          </w:tcPr>
          <w:p w14:paraId="076006F2">
            <w:pPr>
              <w:rPr>
                <w:rFonts w:ascii="Arial"/>
                <w:sz w:val="21"/>
              </w:rPr>
            </w:pPr>
          </w:p>
        </w:tc>
        <w:tc>
          <w:tcPr>
            <w:tcW w:w="810" w:type="dxa"/>
            <w:vMerge w:val="continue"/>
            <w:tcBorders>
              <w:top w:val="nil"/>
              <w:bottom w:val="nil"/>
            </w:tcBorders>
            <w:vAlign w:val="top"/>
          </w:tcPr>
          <w:p w14:paraId="05E188C8">
            <w:pPr>
              <w:rPr>
                <w:rFonts w:ascii="Arial"/>
                <w:sz w:val="21"/>
              </w:rPr>
            </w:pPr>
          </w:p>
        </w:tc>
        <w:tc>
          <w:tcPr>
            <w:tcW w:w="854" w:type="dxa"/>
            <w:vMerge w:val="continue"/>
            <w:tcBorders>
              <w:top w:val="nil"/>
            </w:tcBorders>
            <w:vAlign w:val="top"/>
          </w:tcPr>
          <w:p w14:paraId="1E26EEB0">
            <w:pPr>
              <w:rPr>
                <w:rFonts w:ascii="Arial"/>
                <w:sz w:val="21"/>
              </w:rPr>
            </w:pPr>
          </w:p>
        </w:tc>
        <w:tc>
          <w:tcPr>
            <w:tcW w:w="872" w:type="dxa"/>
            <w:vAlign w:val="top"/>
          </w:tcPr>
          <w:p w14:paraId="122068A2">
            <w:pPr>
              <w:pStyle w:val="6"/>
              <w:spacing w:before="87" w:line="220" w:lineRule="auto"/>
              <w:ind w:left="167"/>
              <w:rPr>
                <w:sz w:val="18"/>
                <w:szCs w:val="18"/>
              </w:rPr>
            </w:pPr>
            <w:r>
              <w:rPr>
                <w:spacing w:val="-3"/>
                <w:sz w:val="18"/>
                <w:szCs w:val="18"/>
              </w:rPr>
              <w:t>无组织</w:t>
            </w:r>
          </w:p>
        </w:tc>
        <w:tc>
          <w:tcPr>
            <w:tcW w:w="779" w:type="dxa"/>
            <w:vMerge w:val="continue"/>
            <w:tcBorders>
              <w:top w:val="nil"/>
              <w:bottom w:val="nil"/>
            </w:tcBorders>
            <w:vAlign w:val="top"/>
          </w:tcPr>
          <w:p w14:paraId="68CA2C2E">
            <w:pPr>
              <w:rPr>
                <w:rFonts w:ascii="Arial"/>
                <w:sz w:val="21"/>
              </w:rPr>
            </w:pPr>
          </w:p>
        </w:tc>
        <w:tc>
          <w:tcPr>
            <w:tcW w:w="614" w:type="dxa"/>
            <w:vMerge w:val="continue"/>
            <w:tcBorders>
              <w:top w:val="nil"/>
              <w:bottom w:val="nil"/>
            </w:tcBorders>
            <w:vAlign w:val="top"/>
          </w:tcPr>
          <w:p w14:paraId="57717E43">
            <w:pPr>
              <w:rPr>
                <w:rFonts w:ascii="Arial"/>
                <w:sz w:val="21"/>
              </w:rPr>
            </w:pPr>
          </w:p>
        </w:tc>
        <w:tc>
          <w:tcPr>
            <w:tcW w:w="868" w:type="dxa"/>
            <w:vAlign w:val="top"/>
          </w:tcPr>
          <w:p w14:paraId="093B5A52">
            <w:pPr>
              <w:spacing w:before="112"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4FA38752">
            <w:pPr>
              <w:spacing w:before="112"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2715BFE3">
            <w:pPr>
              <w:spacing w:before="116"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1154" w:type="dxa"/>
            <w:vAlign w:val="top"/>
          </w:tcPr>
          <w:p w14:paraId="44B5E538">
            <w:pPr>
              <w:pStyle w:val="6"/>
              <w:spacing w:before="87" w:line="224" w:lineRule="auto"/>
              <w:ind w:left="535"/>
              <w:rPr>
                <w:sz w:val="18"/>
                <w:szCs w:val="18"/>
              </w:rPr>
            </w:pPr>
            <w:r>
              <w:rPr>
                <w:sz w:val="18"/>
                <w:szCs w:val="18"/>
              </w:rPr>
              <w:t>/</w:t>
            </w:r>
          </w:p>
        </w:tc>
        <w:tc>
          <w:tcPr>
            <w:tcW w:w="644" w:type="dxa"/>
            <w:vAlign w:val="top"/>
          </w:tcPr>
          <w:p w14:paraId="210C519F">
            <w:pPr>
              <w:spacing w:before="112"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bottom w:val="nil"/>
            </w:tcBorders>
            <w:vAlign w:val="top"/>
          </w:tcPr>
          <w:p w14:paraId="682E7A73">
            <w:pPr>
              <w:rPr>
                <w:rFonts w:ascii="Arial"/>
                <w:sz w:val="21"/>
              </w:rPr>
            </w:pPr>
          </w:p>
        </w:tc>
        <w:tc>
          <w:tcPr>
            <w:tcW w:w="779" w:type="dxa"/>
            <w:vAlign w:val="top"/>
          </w:tcPr>
          <w:p w14:paraId="61F9E935">
            <w:pPr>
              <w:spacing w:before="112"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7A20BEDD">
            <w:pPr>
              <w:spacing w:before="112"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7C68ADBC">
            <w:pPr>
              <w:spacing w:before="116"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799" w:type="dxa"/>
            <w:vAlign w:val="top"/>
          </w:tcPr>
          <w:p w14:paraId="7E7ECDB3">
            <w:pPr>
              <w:spacing w:before="112"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5C5E0B54">
            <w:pPr>
              <w:spacing w:before="116"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64AF0AF7">
            <w:pPr>
              <w:rPr>
                <w:rFonts w:ascii="Arial"/>
                <w:sz w:val="21"/>
              </w:rPr>
            </w:pPr>
          </w:p>
        </w:tc>
      </w:tr>
      <w:tr w14:paraId="21FCC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5" w:type="dxa"/>
            <w:vMerge w:val="continue"/>
            <w:tcBorders>
              <w:top w:val="nil"/>
              <w:left w:val="single" w:color="000000" w:sz="6" w:space="0"/>
              <w:bottom w:val="nil"/>
            </w:tcBorders>
            <w:vAlign w:val="top"/>
          </w:tcPr>
          <w:p w14:paraId="19D52C05">
            <w:pPr>
              <w:rPr>
                <w:rFonts w:ascii="Arial"/>
                <w:sz w:val="21"/>
              </w:rPr>
            </w:pPr>
          </w:p>
        </w:tc>
        <w:tc>
          <w:tcPr>
            <w:tcW w:w="66" w:type="dxa"/>
            <w:tcBorders>
              <w:top w:val="nil"/>
              <w:bottom w:val="nil"/>
            </w:tcBorders>
            <w:vAlign w:val="top"/>
          </w:tcPr>
          <w:p w14:paraId="544DB497">
            <w:pPr>
              <w:rPr>
                <w:rFonts w:ascii="Arial"/>
                <w:sz w:val="21"/>
              </w:rPr>
            </w:pPr>
          </w:p>
        </w:tc>
        <w:tc>
          <w:tcPr>
            <w:tcW w:w="810" w:type="dxa"/>
            <w:vMerge w:val="continue"/>
            <w:tcBorders>
              <w:top w:val="nil"/>
              <w:bottom w:val="nil"/>
            </w:tcBorders>
            <w:vAlign w:val="top"/>
          </w:tcPr>
          <w:p w14:paraId="6CC8ABF0">
            <w:pPr>
              <w:rPr>
                <w:rFonts w:ascii="Arial"/>
                <w:sz w:val="21"/>
              </w:rPr>
            </w:pPr>
          </w:p>
        </w:tc>
        <w:tc>
          <w:tcPr>
            <w:tcW w:w="854" w:type="dxa"/>
            <w:vMerge w:val="restart"/>
            <w:tcBorders>
              <w:bottom w:val="nil"/>
            </w:tcBorders>
            <w:vAlign w:val="top"/>
          </w:tcPr>
          <w:p w14:paraId="41B7CF85">
            <w:pPr>
              <w:pStyle w:val="6"/>
              <w:spacing w:before="266" w:line="219" w:lineRule="auto"/>
              <w:ind w:left="155"/>
              <w:rPr>
                <w:sz w:val="18"/>
                <w:szCs w:val="18"/>
              </w:rPr>
            </w:pPr>
            <w:r>
              <w:rPr>
                <w:spacing w:val="-3"/>
                <w:sz w:val="18"/>
                <w:szCs w:val="18"/>
              </w:rPr>
              <w:t>烘干机</w:t>
            </w:r>
          </w:p>
        </w:tc>
        <w:tc>
          <w:tcPr>
            <w:tcW w:w="872" w:type="dxa"/>
            <w:vAlign w:val="top"/>
          </w:tcPr>
          <w:p w14:paraId="0D63C8FF">
            <w:pPr>
              <w:pStyle w:val="6"/>
              <w:spacing w:before="91" w:line="220" w:lineRule="auto"/>
              <w:ind w:left="166"/>
              <w:rPr>
                <w:sz w:val="18"/>
                <w:szCs w:val="18"/>
              </w:rPr>
            </w:pPr>
            <w:r>
              <w:rPr>
                <w:spacing w:val="-3"/>
                <w:sz w:val="18"/>
                <w:szCs w:val="18"/>
              </w:rPr>
              <w:t>有组织</w:t>
            </w:r>
          </w:p>
        </w:tc>
        <w:tc>
          <w:tcPr>
            <w:tcW w:w="779" w:type="dxa"/>
            <w:vMerge w:val="continue"/>
            <w:tcBorders>
              <w:top w:val="nil"/>
              <w:bottom w:val="nil"/>
            </w:tcBorders>
            <w:vAlign w:val="top"/>
          </w:tcPr>
          <w:p w14:paraId="60282FF7">
            <w:pPr>
              <w:rPr>
                <w:rFonts w:ascii="Arial"/>
                <w:sz w:val="21"/>
              </w:rPr>
            </w:pPr>
          </w:p>
        </w:tc>
        <w:tc>
          <w:tcPr>
            <w:tcW w:w="614" w:type="dxa"/>
            <w:vMerge w:val="continue"/>
            <w:tcBorders>
              <w:top w:val="nil"/>
              <w:bottom w:val="nil"/>
            </w:tcBorders>
            <w:vAlign w:val="top"/>
          </w:tcPr>
          <w:p w14:paraId="6D425594">
            <w:pPr>
              <w:rPr>
                <w:rFonts w:ascii="Arial"/>
                <w:sz w:val="21"/>
              </w:rPr>
            </w:pPr>
          </w:p>
        </w:tc>
        <w:tc>
          <w:tcPr>
            <w:tcW w:w="868" w:type="dxa"/>
            <w:vAlign w:val="top"/>
          </w:tcPr>
          <w:p w14:paraId="134C855D">
            <w:pPr>
              <w:spacing w:before="122"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7A2701E1">
            <w:pPr>
              <w:spacing w:before="122"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10.44</w:t>
            </w:r>
          </w:p>
        </w:tc>
        <w:tc>
          <w:tcPr>
            <w:tcW w:w="764" w:type="dxa"/>
            <w:vAlign w:val="top"/>
          </w:tcPr>
          <w:p w14:paraId="442ECC7F">
            <w:pPr>
              <w:spacing w:before="12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0.4177</w:t>
            </w:r>
          </w:p>
        </w:tc>
        <w:tc>
          <w:tcPr>
            <w:tcW w:w="1154" w:type="dxa"/>
            <w:vAlign w:val="top"/>
          </w:tcPr>
          <w:p w14:paraId="00A069AC">
            <w:pPr>
              <w:pStyle w:val="6"/>
              <w:spacing w:before="91" w:line="219" w:lineRule="auto"/>
              <w:ind w:left="136"/>
              <w:rPr>
                <w:sz w:val="18"/>
                <w:szCs w:val="18"/>
              </w:rPr>
            </w:pPr>
            <w:r>
              <w:rPr>
                <w:spacing w:val="-2"/>
                <w:sz w:val="18"/>
                <w:szCs w:val="18"/>
              </w:rPr>
              <w:t>活性炭吸附</w:t>
            </w:r>
          </w:p>
        </w:tc>
        <w:tc>
          <w:tcPr>
            <w:tcW w:w="644" w:type="dxa"/>
            <w:vAlign w:val="top"/>
          </w:tcPr>
          <w:p w14:paraId="43130341">
            <w:pPr>
              <w:spacing w:before="125"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continue"/>
            <w:tcBorders>
              <w:top w:val="nil"/>
              <w:bottom w:val="nil"/>
            </w:tcBorders>
            <w:vAlign w:val="top"/>
          </w:tcPr>
          <w:p w14:paraId="0375D223">
            <w:pPr>
              <w:rPr>
                <w:rFonts w:ascii="Arial"/>
                <w:sz w:val="21"/>
              </w:rPr>
            </w:pPr>
          </w:p>
        </w:tc>
        <w:tc>
          <w:tcPr>
            <w:tcW w:w="779" w:type="dxa"/>
            <w:vAlign w:val="top"/>
          </w:tcPr>
          <w:p w14:paraId="4E22C32B">
            <w:pPr>
              <w:spacing w:before="122"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68145E14">
            <w:pPr>
              <w:spacing w:before="12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2.61</w:t>
            </w:r>
          </w:p>
        </w:tc>
        <w:tc>
          <w:tcPr>
            <w:tcW w:w="837" w:type="dxa"/>
            <w:vAlign w:val="top"/>
          </w:tcPr>
          <w:p w14:paraId="1C474CCA">
            <w:pPr>
              <w:spacing w:before="122"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0.1044</w:t>
            </w:r>
          </w:p>
        </w:tc>
        <w:tc>
          <w:tcPr>
            <w:tcW w:w="799" w:type="dxa"/>
            <w:vAlign w:val="top"/>
          </w:tcPr>
          <w:p w14:paraId="07A36619">
            <w:pPr>
              <w:spacing w:before="122"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DA002</w:t>
            </w:r>
          </w:p>
        </w:tc>
        <w:tc>
          <w:tcPr>
            <w:tcW w:w="598" w:type="dxa"/>
            <w:vAlign w:val="top"/>
          </w:tcPr>
          <w:p w14:paraId="793C0602">
            <w:pPr>
              <w:spacing w:before="122"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6A27C53C">
            <w:pPr>
              <w:rPr>
                <w:rFonts w:ascii="Arial"/>
                <w:sz w:val="21"/>
              </w:rPr>
            </w:pPr>
          </w:p>
        </w:tc>
      </w:tr>
      <w:tr w14:paraId="0415B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55" w:type="dxa"/>
            <w:vMerge w:val="continue"/>
            <w:tcBorders>
              <w:top w:val="nil"/>
              <w:left w:val="single" w:color="000000" w:sz="6" w:space="0"/>
              <w:bottom w:val="nil"/>
            </w:tcBorders>
            <w:vAlign w:val="top"/>
          </w:tcPr>
          <w:p w14:paraId="339A96A2">
            <w:pPr>
              <w:rPr>
                <w:rFonts w:ascii="Arial"/>
                <w:sz w:val="21"/>
              </w:rPr>
            </w:pPr>
          </w:p>
        </w:tc>
        <w:tc>
          <w:tcPr>
            <w:tcW w:w="66" w:type="dxa"/>
            <w:tcBorders>
              <w:top w:val="nil"/>
              <w:bottom w:val="nil"/>
            </w:tcBorders>
            <w:vAlign w:val="top"/>
          </w:tcPr>
          <w:p w14:paraId="12027F79">
            <w:pPr>
              <w:rPr>
                <w:rFonts w:ascii="Arial"/>
                <w:sz w:val="21"/>
              </w:rPr>
            </w:pPr>
          </w:p>
        </w:tc>
        <w:tc>
          <w:tcPr>
            <w:tcW w:w="810" w:type="dxa"/>
            <w:vMerge w:val="continue"/>
            <w:tcBorders>
              <w:top w:val="nil"/>
            </w:tcBorders>
            <w:vAlign w:val="top"/>
          </w:tcPr>
          <w:p w14:paraId="4E6B3701">
            <w:pPr>
              <w:rPr>
                <w:rFonts w:ascii="Arial"/>
                <w:sz w:val="21"/>
              </w:rPr>
            </w:pPr>
          </w:p>
        </w:tc>
        <w:tc>
          <w:tcPr>
            <w:tcW w:w="854" w:type="dxa"/>
            <w:vMerge w:val="continue"/>
            <w:tcBorders>
              <w:top w:val="nil"/>
            </w:tcBorders>
            <w:vAlign w:val="top"/>
          </w:tcPr>
          <w:p w14:paraId="068531C6">
            <w:pPr>
              <w:rPr>
                <w:rFonts w:ascii="Arial"/>
                <w:sz w:val="21"/>
              </w:rPr>
            </w:pPr>
          </w:p>
        </w:tc>
        <w:tc>
          <w:tcPr>
            <w:tcW w:w="872" w:type="dxa"/>
            <w:vAlign w:val="top"/>
          </w:tcPr>
          <w:p w14:paraId="2DE2B51F">
            <w:pPr>
              <w:pStyle w:val="6"/>
              <w:spacing w:before="91" w:line="220" w:lineRule="auto"/>
              <w:ind w:left="167"/>
              <w:rPr>
                <w:sz w:val="18"/>
                <w:szCs w:val="18"/>
              </w:rPr>
            </w:pPr>
            <w:r>
              <w:rPr>
                <w:spacing w:val="-3"/>
                <w:sz w:val="18"/>
                <w:szCs w:val="18"/>
              </w:rPr>
              <w:t>无组织</w:t>
            </w:r>
          </w:p>
        </w:tc>
        <w:tc>
          <w:tcPr>
            <w:tcW w:w="779" w:type="dxa"/>
            <w:vMerge w:val="continue"/>
            <w:tcBorders>
              <w:top w:val="nil"/>
            </w:tcBorders>
            <w:vAlign w:val="top"/>
          </w:tcPr>
          <w:p w14:paraId="60105189">
            <w:pPr>
              <w:rPr>
                <w:rFonts w:ascii="Arial"/>
                <w:sz w:val="21"/>
              </w:rPr>
            </w:pPr>
          </w:p>
        </w:tc>
        <w:tc>
          <w:tcPr>
            <w:tcW w:w="614" w:type="dxa"/>
            <w:vMerge w:val="continue"/>
            <w:tcBorders>
              <w:top w:val="nil"/>
            </w:tcBorders>
            <w:vAlign w:val="top"/>
          </w:tcPr>
          <w:p w14:paraId="02D8C36A">
            <w:pPr>
              <w:rPr>
                <w:rFonts w:ascii="Arial"/>
                <w:sz w:val="21"/>
              </w:rPr>
            </w:pPr>
          </w:p>
        </w:tc>
        <w:tc>
          <w:tcPr>
            <w:tcW w:w="868" w:type="dxa"/>
            <w:vAlign w:val="top"/>
          </w:tcPr>
          <w:p w14:paraId="6C108EB1">
            <w:pPr>
              <w:spacing w:before="119"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2AB5B05B">
            <w:pPr>
              <w:spacing w:before="119"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31DAF899">
            <w:pPr>
              <w:spacing w:before="123"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1154" w:type="dxa"/>
            <w:vAlign w:val="top"/>
          </w:tcPr>
          <w:p w14:paraId="283144B2">
            <w:pPr>
              <w:pStyle w:val="6"/>
              <w:spacing w:before="92" w:line="224" w:lineRule="auto"/>
              <w:ind w:left="535"/>
              <w:rPr>
                <w:sz w:val="18"/>
                <w:szCs w:val="18"/>
              </w:rPr>
            </w:pPr>
            <w:r>
              <w:rPr>
                <w:sz w:val="18"/>
                <w:szCs w:val="18"/>
              </w:rPr>
              <w:t>/</w:t>
            </w:r>
          </w:p>
        </w:tc>
        <w:tc>
          <w:tcPr>
            <w:tcW w:w="644" w:type="dxa"/>
            <w:vAlign w:val="top"/>
          </w:tcPr>
          <w:p w14:paraId="6D7F90C9">
            <w:pPr>
              <w:spacing w:before="119"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tcBorders>
            <w:vAlign w:val="top"/>
          </w:tcPr>
          <w:p w14:paraId="704B601F">
            <w:pPr>
              <w:rPr>
                <w:rFonts w:ascii="Arial"/>
                <w:sz w:val="21"/>
              </w:rPr>
            </w:pPr>
          </w:p>
        </w:tc>
        <w:tc>
          <w:tcPr>
            <w:tcW w:w="779" w:type="dxa"/>
            <w:vAlign w:val="top"/>
          </w:tcPr>
          <w:p w14:paraId="2EC4A6A5">
            <w:pPr>
              <w:spacing w:before="119"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4E6EB840">
            <w:pPr>
              <w:spacing w:before="119"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776E1CF0">
            <w:pPr>
              <w:spacing w:before="123"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799" w:type="dxa"/>
            <w:vAlign w:val="top"/>
          </w:tcPr>
          <w:p w14:paraId="0176E7CC">
            <w:pPr>
              <w:spacing w:before="119"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0B470D19">
            <w:pPr>
              <w:spacing w:before="123"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100F1F69">
            <w:pPr>
              <w:rPr>
                <w:rFonts w:ascii="Arial"/>
                <w:sz w:val="21"/>
              </w:rPr>
            </w:pPr>
          </w:p>
        </w:tc>
      </w:tr>
      <w:tr w14:paraId="09239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5" w:type="dxa"/>
            <w:vMerge w:val="continue"/>
            <w:tcBorders>
              <w:top w:val="nil"/>
              <w:left w:val="single" w:color="000000" w:sz="6" w:space="0"/>
              <w:bottom w:val="nil"/>
            </w:tcBorders>
            <w:vAlign w:val="top"/>
          </w:tcPr>
          <w:p w14:paraId="782B94E6">
            <w:pPr>
              <w:rPr>
                <w:rFonts w:ascii="Arial"/>
                <w:sz w:val="21"/>
              </w:rPr>
            </w:pPr>
          </w:p>
        </w:tc>
        <w:tc>
          <w:tcPr>
            <w:tcW w:w="66" w:type="dxa"/>
            <w:tcBorders>
              <w:top w:val="nil"/>
              <w:bottom w:val="nil"/>
            </w:tcBorders>
            <w:vAlign w:val="top"/>
          </w:tcPr>
          <w:p w14:paraId="5080157E">
            <w:pPr>
              <w:rPr>
                <w:rFonts w:ascii="Arial"/>
                <w:sz w:val="21"/>
              </w:rPr>
            </w:pPr>
          </w:p>
        </w:tc>
        <w:tc>
          <w:tcPr>
            <w:tcW w:w="810" w:type="dxa"/>
            <w:vMerge w:val="restart"/>
            <w:tcBorders>
              <w:bottom w:val="nil"/>
            </w:tcBorders>
            <w:vAlign w:val="top"/>
          </w:tcPr>
          <w:p w14:paraId="756E2FDE">
            <w:pPr>
              <w:spacing w:line="317" w:lineRule="auto"/>
              <w:rPr>
                <w:rFonts w:ascii="Arial"/>
                <w:sz w:val="21"/>
              </w:rPr>
            </w:pPr>
          </w:p>
          <w:p w14:paraId="00DB8611">
            <w:pPr>
              <w:pStyle w:val="6"/>
              <w:spacing w:before="59"/>
              <w:ind w:left="148" w:right="158" w:firstLine="8"/>
              <w:jc w:val="both"/>
              <w:rPr>
                <w:sz w:val="18"/>
                <w:szCs w:val="18"/>
              </w:rPr>
            </w:pPr>
            <w:r>
              <w:rPr>
                <w:rFonts w:ascii="Times New Roman" w:hAnsi="Times New Roman" w:eastAsia="Times New Roman" w:cs="Times New Roman"/>
                <w:spacing w:val="-7"/>
                <w:sz w:val="18"/>
                <w:szCs w:val="18"/>
              </w:rPr>
              <w:t>5</w:t>
            </w:r>
            <w:r>
              <w:rPr>
                <w:rFonts w:ascii="Times New Roman" w:hAnsi="Times New Roman" w:eastAsia="Times New Roman" w:cs="Times New Roman"/>
                <w:spacing w:val="13"/>
                <w:sz w:val="18"/>
                <w:szCs w:val="18"/>
              </w:rPr>
              <w:t xml:space="preserve"> </w:t>
            </w:r>
            <w:r>
              <w:rPr>
                <w:spacing w:val="-7"/>
                <w:sz w:val="18"/>
                <w:szCs w:val="18"/>
              </w:rPr>
              <w:t>号楼</w:t>
            </w:r>
            <w:r>
              <w:rPr>
                <w:sz w:val="18"/>
                <w:szCs w:val="18"/>
              </w:rPr>
              <w:t xml:space="preserve"> </w:t>
            </w:r>
            <w:r>
              <w:rPr>
                <w:rFonts w:ascii="Times New Roman" w:hAnsi="Times New Roman" w:eastAsia="Times New Roman" w:cs="Times New Roman"/>
                <w:spacing w:val="-3"/>
                <w:sz w:val="18"/>
                <w:szCs w:val="18"/>
              </w:rPr>
              <w:t>4~5</w:t>
            </w:r>
            <w:r>
              <w:rPr>
                <w:rFonts w:ascii="Times New Roman" w:hAnsi="Times New Roman" w:eastAsia="Times New Roman" w:cs="Times New Roman"/>
                <w:spacing w:val="7"/>
                <w:sz w:val="18"/>
                <w:szCs w:val="18"/>
              </w:rPr>
              <w:t xml:space="preserve"> </w:t>
            </w:r>
            <w:r>
              <w:rPr>
                <w:spacing w:val="-3"/>
                <w:sz w:val="18"/>
                <w:szCs w:val="18"/>
              </w:rPr>
              <w:t>层</w:t>
            </w:r>
            <w:r>
              <w:rPr>
                <w:sz w:val="18"/>
                <w:szCs w:val="18"/>
              </w:rPr>
              <w:t xml:space="preserve"> </w:t>
            </w:r>
            <w:r>
              <w:rPr>
                <w:spacing w:val="33"/>
                <w:sz w:val="18"/>
                <w:szCs w:val="18"/>
              </w:rPr>
              <w:t>车间</w:t>
            </w:r>
          </w:p>
        </w:tc>
        <w:tc>
          <w:tcPr>
            <w:tcW w:w="854" w:type="dxa"/>
            <w:vMerge w:val="restart"/>
            <w:tcBorders>
              <w:bottom w:val="nil"/>
            </w:tcBorders>
            <w:vAlign w:val="top"/>
          </w:tcPr>
          <w:p w14:paraId="61D8D206">
            <w:pPr>
              <w:pStyle w:val="6"/>
              <w:spacing w:before="262" w:line="219" w:lineRule="auto"/>
              <w:ind w:left="157"/>
              <w:rPr>
                <w:sz w:val="18"/>
                <w:szCs w:val="18"/>
              </w:rPr>
            </w:pPr>
            <w:r>
              <w:rPr>
                <w:spacing w:val="-4"/>
                <w:sz w:val="18"/>
                <w:szCs w:val="18"/>
              </w:rPr>
              <w:t>真空机</w:t>
            </w:r>
          </w:p>
        </w:tc>
        <w:tc>
          <w:tcPr>
            <w:tcW w:w="872" w:type="dxa"/>
            <w:vAlign w:val="top"/>
          </w:tcPr>
          <w:p w14:paraId="2C4019BC">
            <w:pPr>
              <w:pStyle w:val="6"/>
              <w:spacing w:before="87" w:line="220" w:lineRule="auto"/>
              <w:ind w:left="166"/>
              <w:rPr>
                <w:sz w:val="18"/>
                <w:szCs w:val="18"/>
              </w:rPr>
            </w:pPr>
            <w:r>
              <w:rPr>
                <w:spacing w:val="-3"/>
                <w:sz w:val="18"/>
                <w:szCs w:val="18"/>
              </w:rPr>
              <w:t>有组织</w:t>
            </w:r>
          </w:p>
        </w:tc>
        <w:tc>
          <w:tcPr>
            <w:tcW w:w="779" w:type="dxa"/>
            <w:vMerge w:val="restart"/>
            <w:tcBorders>
              <w:bottom w:val="nil"/>
            </w:tcBorders>
            <w:vAlign w:val="top"/>
          </w:tcPr>
          <w:p w14:paraId="183ED5E2">
            <w:pPr>
              <w:spacing w:line="434" w:lineRule="auto"/>
              <w:rPr>
                <w:rFonts w:ascii="Arial"/>
                <w:sz w:val="21"/>
              </w:rPr>
            </w:pPr>
          </w:p>
          <w:p w14:paraId="771641E9">
            <w:pPr>
              <w:pStyle w:val="6"/>
              <w:spacing w:before="58" w:line="241" w:lineRule="auto"/>
              <w:ind w:left="215" w:right="121" w:hanging="93"/>
              <w:rPr>
                <w:sz w:val="18"/>
                <w:szCs w:val="18"/>
              </w:rPr>
            </w:pPr>
            <w:r>
              <w:rPr>
                <w:spacing w:val="-4"/>
                <w:sz w:val="18"/>
                <w:szCs w:val="18"/>
              </w:rPr>
              <w:t>非甲烷</w:t>
            </w:r>
            <w:r>
              <w:rPr>
                <w:spacing w:val="1"/>
                <w:sz w:val="18"/>
                <w:szCs w:val="18"/>
              </w:rPr>
              <w:t xml:space="preserve"> </w:t>
            </w:r>
            <w:r>
              <w:rPr>
                <w:spacing w:val="-6"/>
                <w:sz w:val="18"/>
                <w:szCs w:val="18"/>
              </w:rPr>
              <w:t>总烃</w:t>
            </w:r>
          </w:p>
        </w:tc>
        <w:tc>
          <w:tcPr>
            <w:tcW w:w="614" w:type="dxa"/>
            <w:vMerge w:val="restart"/>
            <w:tcBorders>
              <w:bottom w:val="nil"/>
            </w:tcBorders>
            <w:vAlign w:val="top"/>
          </w:tcPr>
          <w:p w14:paraId="60F6A31B">
            <w:pPr>
              <w:spacing w:line="317" w:lineRule="auto"/>
              <w:rPr>
                <w:rFonts w:ascii="Arial"/>
                <w:sz w:val="21"/>
              </w:rPr>
            </w:pPr>
          </w:p>
          <w:p w14:paraId="7D6D60D2">
            <w:pPr>
              <w:pStyle w:val="6"/>
              <w:spacing w:before="58" w:line="219" w:lineRule="auto"/>
              <w:ind w:left="127"/>
              <w:rPr>
                <w:sz w:val="18"/>
                <w:szCs w:val="18"/>
              </w:rPr>
            </w:pPr>
            <w:r>
              <w:rPr>
                <w:spacing w:val="-4"/>
                <w:sz w:val="18"/>
                <w:szCs w:val="18"/>
              </w:rPr>
              <w:t>产污</w:t>
            </w:r>
          </w:p>
          <w:p w14:paraId="179FACAA">
            <w:pPr>
              <w:pStyle w:val="6"/>
              <w:spacing w:before="18" w:line="244" w:lineRule="auto"/>
              <w:ind w:left="219" w:right="128" w:hanging="88"/>
              <w:rPr>
                <w:sz w:val="18"/>
                <w:szCs w:val="18"/>
              </w:rPr>
            </w:pPr>
            <w:r>
              <w:rPr>
                <w:spacing w:val="-6"/>
                <w:sz w:val="18"/>
                <w:szCs w:val="18"/>
              </w:rPr>
              <w:t>系数</w:t>
            </w:r>
            <w:r>
              <w:rPr>
                <w:sz w:val="18"/>
                <w:szCs w:val="18"/>
              </w:rPr>
              <w:t xml:space="preserve"> 法</w:t>
            </w:r>
          </w:p>
        </w:tc>
        <w:tc>
          <w:tcPr>
            <w:tcW w:w="868" w:type="dxa"/>
            <w:vAlign w:val="top"/>
          </w:tcPr>
          <w:p w14:paraId="31D36D8C">
            <w:pPr>
              <w:spacing w:before="118"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687E5801">
            <w:pPr>
              <w:spacing w:before="118"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35.80</w:t>
            </w:r>
          </w:p>
        </w:tc>
        <w:tc>
          <w:tcPr>
            <w:tcW w:w="764" w:type="dxa"/>
            <w:vAlign w:val="top"/>
          </w:tcPr>
          <w:p w14:paraId="5D5E5070">
            <w:pPr>
              <w:spacing w:before="118"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1.4321</w:t>
            </w:r>
          </w:p>
        </w:tc>
        <w:tc>
          <w:tcPr>
            <w:tcW w:w="1154" w:type="dxa"/>
            <w:vAlign w:val="top"/>
          </w:tcPr>
          <w:p w14:paraId="5DC4752E">
            <w:pPr>
              <w:pStyle w:val="6"/>
              <w:spacing w:before="86" w:line="219" w:lineRule="auto"/>
              <w:ind w:left="136"/>
              <w:rPr>
                <w:sz w:val="18"/>
                <w:szCs w:val="18"/>
              </w:rPr>
            </w:pPr>
            <w:r>
              <w:rPr>
                <w:spacing w:val="-2"/>
                <w:sz w:val="18"/>
                <w:szCs w:val="18"/>
              </w:rPr>
              <w:t>活性炭吸附</w:t>
            </w:r>
          </w:p>
        </w:tc>
        <w:tc>
          <w:tcPr>
            <w:tcW w:w="644" w:type="dxa"/>
            <w:vAlign w:val="top"/>
          </w:tcPr>
          <w:p w14:paraId="687E6929">
            <w:pPr>
              <w:spacing w:before="121"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restart"/>
            <w:tcBorders>
              <w:bottom w:val="nil"/>
            </w:tcBorders>
            <w:vAlign w:val="top"/>
          </w:tcPr>
          <w:p w14:paraId="5040E739">
            <w:pPr>
              <w:spacing w:line="317" w:lineRule="auto"/>
              <w:rPr>
                <w:rFonts w:ascii="Arial"/>
                <w:sz w:val="21"/>
              </w:rPr>
            </w:pPr>
          </w:p>
          <w:p w14:paraId="2184F582">
            <w:pPr>
              <w:pStyle w:val="6"/>
              <w:spacing w:before="58" w:line="219" w:lineRule="auto"/>
              <w:ind w:left="164"/>
              <w:rPr>
                <w:sz w:val="18"/>
                <w:szCs w:val="18"/>
              </w:rPr>
            </w:pPr>
            <w:r>
              <w:rPr>
                <w:spacing w:val="-4"/>
                <w:sz w:val="18"/>
                <w:szCs w:val="18"/>
              </w:rPr>
              <w:t>产污</w:t>
            </w:r>
          </w:p>
          <w:p w14:paraId="4FBD0C5D">
            <w:pPr>
              <w:pStyle w:val="6"/>
              <w:spacing w:before="18" w:line="244" w:lineRule="auto"/>
              <w:ind w:left="255" w:right="152" w:hanging="88"/>
              <w:rPr>
                <w:sz w:val="18"/>
                <w:szCs w:val="18"/>
              </w:rPr>
            </w:pPr>
            <w:r>
              <w:rPr>
                <w:spacing w:val="-6"/>
                <w:sz w:val="18"/>
                <w:szCs w:val="18"/>
              </w:rPr>
              <w:t>系数</w:t>
            </w:r>
            <w:r>
              <w:rPr>
                <w:sz w:val="18"/>
                <w:szCs w:val="18"/>
              </w:rPr>
              <w:t xml:space="preserve"> 法</w:t>
            </w:r>
          </w:p>
        </w:tc>
        <w:tc>
          <w:tcPr>
            <w:tcW w:w="779" w:type="dxa"/>
            <w:vAlign w:val="top"/>
          </w:tcPr>
          <w:p w14:paraId="482114A9">
            <w:pPr>
              <w:spacing w:before="118"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29394DF4">
            <w:pPr>
              <w:spacing w:before="118"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8.95</w:t>
            </w:r>
          </w:p>
        </w:tc>
        <w:tc>
          <w:tcPr>
            <w:tcW w:w="837" w:type="dxa"/>
            <w:vAlign w:val="top"/>
          </w:tcPr>
          <w:p w14:paraId="291D2794">
            <w:pPr>
              <w:spacing w:before="118"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0.3580</w:t>
            </w:r>
          </w:p>
        </w:tc>
        <w:tc>
          <w:tcPr>
            <w:tcW w:w="799" w:type="dxa"/>
            <w:vAlign w:val="top"/>
          </w:tcPr>
          <w:p w14:paraId="28477FCD">
            <w:pPr>
              <w:spacing w:before="118"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DA003</w:t>
            </w:r>
          </w:p>
        </w:tc>
        <w:tc>
          <w:tcPr>
            <w:tcW w:w="598" w:type="dxa"/>
            <w:vAlign w:val="top"/>
          </w:tcPr>
          <w:p w14:paraId="3FC2CBF3">
            <w:pPr>
              <w:spacing w:before="118"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6F262D50">
            <w:pPr>
              <w:rPr>
                <w:rFonts w:ascii="Arial"/>
                <w:sz w:val="21"/>
              </w:rPr>
            </w:pPr>
          </w:p>
        </w:tc>
      </w:tr>
      <w:tr w14:paraId="7DEE1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55" w:type="dxa"/>
            <w:vMerge w:val="continue"/>
            <w:tcBorders>
              <w:top w:val="nil"/>
              <w:left w:val="single" w:color="000000" w:sz="6" w:space="0"/>
              <w:bottom w:val="nil"/>
            </w:tcBorders>
            <w:vAlign w:val="top"/>
          </w:tcPr>
          <w:p w14:paraId="397BD04E">
            <w:pPr>
              <w:rPr>
                <w:rFonts w:ascii="Arial"/>
                <w:sz w:val="21"/>
              </w:rPr>
            </w:pPr>
          </w:p>
        </w:tc>
        <w:tc>
          <w:tcPr>
            <w:tcW w:w="66" w:type="dxa"/>
            <w:tcBorders>
              <w:top w:val="nil"/>
              <w:bottom w:val="nil"/>
            </w:tcBorders>
            <w:vAlign w:val="top"/>
          </w:tcPr>
          <w:p w14:paraId="7C39F7FF">
            <w:pPr>
              <w:rPr>
                <w:rFonts w:ascii="Arial"/>
                <w:sz w:val="21"/>
              </w:rPr>
            </w:pPr>
          </w:p>
        </w:tc>
        <w:tc>
          <w:tcPr>
            <w:tcW w:w="810" w:type="dxa"/>
            <w:vMerge w:val="continue"/>
            <w:tcBorders>
              <w:top w:val="nil"/>
              <w:bottom w:val="nil"/>
            </w:tcBorders>
            <w:vAlign w:val="top"/>
          </w:tcPr>
          <w:p w14:paraId="6B09C865">
            <w:pPr>
              <w:rPr>
                <w:rFonts w:ascii="Arial"/>
                <w:sz w:val="21"/>
              </w:rPr>
            </w:pPr>
          </w:p>
        </w:tc>
        <w:tc>
          <w:tcPr>
            <w:tcW w:w="854" w:type="dxa"/>
            <w:vMerge w:val="continue"/>
            <w:tcBorders>
              <w:top w:val="nil"/>
            </w:tcBorders>
            <w:vAlign w:val="top"/>
          </w:tcPr>
          <w:p w14:paraId="3E4FBF9D">
            <w:pPr>
              <w:rPr>
                <w:rFonts w:ascii="Arial"/>
                <w:sz w:val="21"/>
              </w:rPr>
            </w:pPr>
          </w:p>
        </w:tc>
        <w:tc>
          <w:tcPr>
            <w:tcW w:w="872" w:type="dxa"/>
            <w:vAlign w:val="top"/>
          </w:tcPr>
          <w:p w14:paraId="27EE23F7">
            <w:pPr>
              <w:pStyle w:val="6"/>
              <w:spacing w:before="92" w:line="220" w:lineRule="auto"/>
              <w:ind w:left="167"/>
              <w:rPr>
                <w:sz w:val="18"/>
                <w:szCs w:val="18"/>
              </w:rPr>
            </w:pPr>
            <w:r>
              <w:rPr>
                <w:spacing w:val="-3"/>
                <w:sz w:val="18"/>
                <w:szCs w:val="18"/>
              </w:rPr>
              <w:t>无组织</w:t>
            </w:r>
          </w:p>
        </w:tc>
        <w:tc>
          <w:tcPr>
            <w:tcW w:w="779" w:type="dxa"/>
            <w:vMerge w:val="continue"/>
            <w:tcBorders>
              <w:top w:val="nil"/>
              <w:bottom w:val="nil"/>
            </w:tcBorders>
            <w:vAlign w:val="top"/>
          </w:tcPr>
          <w:p w14:paraId="4F7869B8">
            <w:pPr>
              <w:rPr>
                <w:rFonts w:ascii="Arial"/>
                <w:sz w:val="21"/>
              </w:rPr>
            </w:pPr>
          </w:p>
        </w:tc>
        <w:tc>
          <w:tcPr>
            <w:tcW w:w="614" w:type="dxa"/>
            <w:vMerge w:val="continue"/>
            <w:tcBorders>
              <w:top w:val="nil"/>
              <w:bottom w:val="nil"/>
            </w:tcBorders>
            <w:vAlign w:val="top"/>
          </w:tcPr>
          <w:p w14:paraId="71E87EB4">
            <w:pPr>
              <w:rPr>
                <w:rFonts w:ascii="Arial"/>
                <w:sz w:val="21"/>
              </w:rPr>
            </w:pPr>
          </w:p>
        </w:tc>
        <w:tc>
          <w:tcPr>
            <w:tcW w:w="868" w:type="dxa"/>
            <w:vAlign w:val="top"/>
          </w:tcPr>
          <w:p w14:paraId="79F0BC38">
            <w:pPr>
              <w:spacing w:before="118"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0CED7D0D">
            <w:pPr>
              <w:spacing w:before="118"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039F9747">
            <w:pPr>
              <w:spacing w:before="12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1154" w:type="dxa"/>
            <w:vAlign w:val="top"/>
          </w:tcPr>
          <w:p w14:paraId="674168FF">
            <w:pPr>
              <w:pStyle w:val="6"/>
              <w:spacing w:before="92" w:line="224" w:lineRule="auto"/>
              <w:ind w:left="535"/>
              <w:rPr>
                <w:sz w:val="18"/>
                <w:szCs w:val="18"/>
              </w:rPr>
            </w:pPr>
            <w:r>
              <w:rPr>
                <w:sz w:val="18"/>
                <w:szCs w:val="18"/>
              </w:rPr>
              <w:t>/</w:t>
            </w:r>
          </w:p>
        </w:tc>
        <w:tc>
          <w:tcPr>
            <w:tcW w:w="644" w:type="dxa"/>
            <w:vAlign w:val="top"/>
          </w:tcPr>
          <w:p w14:paraId="0AFF36C2">
            <w:pPr>
              <w:spacing w:before="118"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bottom w:val="nil"/>
            </w:tcBorders>
            <w:vAlign w:val="top"/>
          </w:tcPr>
          <w:p w14:paraId="30B6A8DE">
            <w:pPr>
              <w:rPr>
                <w:rFonts w:ascii="Arial"/>
                <w:sz w:val="21"/>
              </w:rPr>
            </w:pPr>
          </w:p>
        </w:tc>
        <w:tc>
          <w:tcPr>
            <w:tcW w:w="779" w:type="dxa"/>
            <w:vAlign w:val="top"/>
          </w:tcPr>
          <w:p w14:paraId="0D1802D7">
            <w:pPr>
              <w:spacing w:before="118"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0CADBD4E">
            <w:pPr>
              <w:spacing w:before="118"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201888E3">
            <w:pPr>
              <w:spacing w:before="121"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799" w:type="dxa"/>
            <w:vAlign w:val="top"/>
          </w:tcPr>
          <w:p w14:paraId="4C52D497">
            <w:pPr>
              <w:spacing w:before="118"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559276A0">
            <w:pPr>
              <w:spacing w:before="121"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14F8FDB3">
            <w:pPr>
              <w:rPr>
                <w:rFonts w:ascii="Arial"/>
                <w:sz w:val="21"/>
              </w:rPr>
            </w:pPr>
          </w:p>
        </w:tc>
      </w:tr>
      <w:tr w14:paraId="3028E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5" w:type="dxa"/>
            <w:vMerge w:val="continue"/>
            <w:tcBorders>
              <w:top w:val="nil"/>
              <w:left w:val="single" w:color="000000" w:sz="6" w:space="0"/>
              <w:bottom w:val="nil"/>
            </w:tcBorders>
            <w:vAlign w:val="top"/>
          </w:tcPr>
          <w:p w14:paraId="5DCCDC1C">
            <w:pPr>
              <w:rPr>
                <w:rFonts w:ascii="Arial"/>
                <w:sz w:val="21"/>
              </w:rPr>
            </w:pPr>
          </w:p>
        </w:tc>
        <w:tc>
          <w:tcPr>
            <w:tcW w:w="66" w:type="dxa"/>
            <w:tcBorders>
              <w:top w:val="nil"/>
              <w:bottom w:val="nil"/>
            </w:tcBorders>
            <w:vAlign w:val="top"/>
          </w:tcPr>
          <w:p w14:paraId="1E169090">
            <w:pPr>
              <w:rPr>
                <w:rFonts w:ascii="Arial"/>
                <w:sz w:val="21"/>
              </w:rPr>
            </w:pPr>
          </w:p>
        </w:tc>
        <w:tc>
          <w:tcPr>
            <w:tcW w:w="810" w:type="dxa"/>
            <w:vMerge w:val="continue"/>
            <w:tcBorders>
              <w:top w:val="nil"/>
              <w:bottom w:val="nil"/>
            </w:tcBorders>
            <w:vAlign w:val="top"/>
          </w:tcPr>
          <w:p w14:paraId="6DF7012A">
            <w:pPr>
              <w:rPr>
                <w:rFonts w:ascii="Arial"/>
                <w:sz w:val="21"/>
              </w:rPr>
            </w:pPr>
          </w:p>
        </w:tc>
        <w:tc>
          <w:tcPr>
            <w:tcW w:w="854" w:type="dxa"/>
            <w:vMerge w:val="restart"/>
            <w:tcBorders>
              <w:bottom w:val="nil"/>
            </w:tcBorders>
            <w:vAlign w:val="top"/>
          </w:tcPr>
          <w:p w14:paraId="5B357390">
            <w:pPr>
              <w:pStyle w:val="6"/>
              <w:spacing w:before="266" w:line="219" w:lineRule="auto"/>
              <w:ind w:left="155"/>
              <w:rPr>
                <w:sz w:val="18"/>
                <w:szCs w:val="18"/>
              </w:rPr>
            </w:pPr>
            <w:r>
              <w:rPr>
                <w:spacing w:val="-3"/>
                <w:sz w:val="18"/>
                <w:szCs w:val="18"/>
              </w:rPr>
              <w:t>烘干机</w:t>
            </w:r>
          </w:p>
        </w:tc>
        <w:tc>
          <w:tcPr>
            <w:tcW w:w="872" w:type="dxa"/>
            <w:vAlign w:val="top"/>
          </w:tcPr>
          <w:p w14:paraId="376A8D27">
            <w:pPr>
              <w:pStyle w:val="6"/>
              <w:spacing w:before="92" w:line="220" w:lineRule="auto"/>
              <w:ind w:left="166"/>
              <w:rPr>
                <w:sz w:val="18"/>
                <w:szCs w:val="18"/>
              </w:rPr>
            </w:pPr>
            <w:r>
              <w:rPr>
                <w:spacing w:val="-3"/>
                <w:sz w:val="18"/>
                <w:szCs w:val="18"/>
              </w:rPr>
              <w:t>有组织</w:t>
            </w:r>
          </w:p>
        </w:tc>
        <w:tc>
          <w:tcPr>
            <w:tcW w:w="779" w:type="dxa"/>
            <w:vMerge w:val="continue"/>
            <w:tcBorders>
              <w:top w:val="nil"/>
              <w:bottom w:val="nil"/>
            </w:tcBorders>
            <w:vAlign w:val="top"/>
          </w:tcPr>
          <w:p w14:paraId="7E25005E">
            <w:pPr>
              <w:rPr>
                <w:rFonts w:ascii="Arial"/>
                <w:sz w:val="21"/>
              </w:rPr>
            </w:pPr>
          </w:p>
        </w:tc>
        <w:tc>
          <w:tcPr>
            <w:tcW w:w="614" w:type="dxa"/>
            <w:vMerge w:val="continue"/>
            <w:tcBorders>
              <w:top w:val="nil"/>
              <w:bottom w:val="nil"/>
            </w:tcBorders>
            <w:vAlign w:val="top"/>
          </w:tcPr>
          <w:p w14:paraId="527AD144">
            <w:pPr>
              <w:rPr>
                <w:rFonts w:ascii="Arial"/>
                <w:sz w:val="21"/>
              </w:rPr>
            </w:pPr>
          </w:p>
        </w:tc>
        <w:tc>
          <w:tcPr>
            <w:tcW w:w="868" w:type="dxa"/>
            <w:vAlign w:val="top"/>
          </w:tcPr>
          <w:p w14:paraId="2A93E036">
            <w:pPr>
              <w:spacing w:before="120"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67697EA2">
            <w:pPr>
              <w:spacing w:before="120"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10.44</w:t>
            </w:r>
          </w:p>
        </w:tc>
        <w:tc>
          <w:tcPr>
            <w:tcW w:w="764" w:type="dxa"/>
            <w:vAlign w:val="top"/>
          </w:tcPr>
          <w:p w14:paraId="2A0490BE">
            <w:pPr>
              <w:spacing w:before="120"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0.4177</w:t>
            </w:r>
          </w:p>
        </w:tc>
        <w:tc>
          <w:tcPr>
            <w:tcW w:w="1154" w:type="dxa"/>
            <w:vAlign w:val="top"/>
          </w:tcPr>
          <w:p w14:paraId="38FCCDF2">
            <w:pPr>
              <w:pStyle w:val="6"/>
              <w:spacing w:before="91" w:line="219" w:lineRule="auto"/>
              <w:ind w:left="136"/>
              <w:rPr>
                <w:sz w:val="18"/>
                <w:szCs w:val="18"/>
              </w:rPr>
            </w:pPr>
            <w:r>
              <w:rPr>
                <w:spacing w:val="-2"/>
                <w:sz w:val="18"/>
                <w:szCs w:val="18"/>
              </w:rPr>
              <w:t>活性炭吸附</w:t>
            </w:r>
          </w:p>
        </w:tc>
        <w:tc>
          <w:tcPr>
            <w:tcW w:w="644" w:type="dxa"/>
            <w:vAlign w:val="top"/>
          </w:tcPr>
          <w:p w14:paraId="442BDF43">
            <w:pPr>
              <w:spacing w:before="123"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continue"/>
            <w:tcBorders>
              <w:top w:val="nil"/>
              <w:bottom w:val="nil"/>
            </w:tcBorders>
            <w:vAlign w:val="top"/>
          </w:tcPr>
          <w:p w14:paraId="5C907A26">
            <w:pPr>
              <w:rPr>
                <w:rFonts w:ascii="Arial"/>
                <w:sz w:val="21"/>
              </w:rPr>
            </w:pPr>
          </w:p>
        </w:tc>
        <w:tc>
          <w:tcPr>
            <w:tcW w:w="779" w:type="dxa"/>
            <w:vAlign w:val="top"/>
          </w:tcPr>
          <w:p w14:paraId="3627B7E0">
            <w:pPr>
              <w:spacing w:before="120"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2C92D634">
            <w:pPr>
              <w:spacing w:before="120"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2.61</w:t>
            </w:r>
          </w:p>
        </w:tc>
        <w:tc>
          <w:tcPr>
            <w:tcW w:w="837" w:type="dxa"/>
            <w:vAlign w:val="top"/>
          </w:tcPr>
          <w:p w14:paraId="6B684451">
            <w:pPr>
              <w:spacing w:before="120"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0.1044</w:t>
            </w:r>
          </w:p>
        </w:tc>
        <w:tc>
          <w:tcPr>
            <w:tcW w:w="799" w:type="dxa"/>
            <w:vAlign w:val="top"/>
          </w:tcPr>
          <w:p w14:paraId="1D754A37">
            <w:pPr>
              <w:spacing w:before="120"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DA003</w:t>
            </w:r>
          </w:p>
        </w:tc>
        <w:tc>
          <w:tcPr>
            <w:tcW w:w="598" w:type="dxa"/>
            <w:vAlign w:val="top"/>
          </w:tcPr>
          <w:p w14:paraId="240EA247">
            <w:pPr>
              <w:spacing w:before="120"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64BABE78">
            <w:pPr>
              <w:rPr>
                <w:rFonts w:ascii="Arial"/>
                <w:sz w:val="21"/>
              </w:rPr>
            </w:pPr>
          </w:p>
        </w:tc>
      </w:tr>
      <w:tr w14:paraId="2EF4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55" w:type="dxa"/>
            <w:vMerge w:val="continue"/>
            <w:tcBorders>
              <w:top w:val="nil"/>
              <w:left w:val="single" w:color="000000" w:sz="6" w:space="0"/>
              <w:bottom w:val="nil"/>
            </w:tcBorders>
            <w:vAlign w:val="top"/>
          </w:tcPr>
          <w:p w14:paraId="15A54806">
            <w:pPr>
              <w:rPr>
                <w:rFonts w:ascii="Arial"/>
                <w:sz w:val="21"/>
              </w:rPr>
            </w:pPr>
          </w:p>
        </w:tc>
        <w:tc>
          <w:tcPr>
            <w:tcW w:w="66" w:type="dxa"/>
            <w:tcBorders>
              <w:top w:val="nil"/>
              <w:bottom w:val="nil"/>
            </w:tcBorders>
            <w:vAlign w:val="top"/>
          </w:tcPr>
          <w:p w14:paraId="0662BD88">
            <w:pPr>
              <w:rPr>
                <w:rFonts w:ascii="Arial"/>
                <w:sz w:val="21"/>
              </w:rPr>
            </w:pPr>
          </w:p>
        </w:tc>
        <w:tc>
          <w:tcPr>
            <w:tcW w:w="810" w:type="dxa"/>
            <w:vMerge w:val="continue"/>
            <w:tcBorders>
              <w:top w:val="nil"/>
            </w:tcBorders>
            <w:vAlign w:val="top"/>
          </w:tcPr>
          <w:p w14:paraId="17808F4A">
            <w:pPr>
              <w:rPr>
                <w:rFonts w:ascii="Arial"/>
                <w:sz w:val="21"/>
              </w:rPr>
            </w:pPr>
          </w:p>
        </w:tc>
        <w:tc>
          <w:tcPr>
            <w:tcW w:w="854" w:type="dxa"/>
            <w:vMerge w:val="continue"/>
            <w:tcBorders>
              <w:top w:val="nil"/>
            </w:tcBorders>
            <w:vAlign w:val="top"/>
          </w:tcPr>
          <w:p w14:paraId="40E25F20">
            <w:pPr>
              <w:rPr>
                <w:rFonts w:ascii="Arial"/>
                <w:sz w:val="21"/>
              </w:rPr>
            </w:pPr>
          </w:p>
        </w:tc>
        <w:tc>
          <w:tcPr>
            <w:tcW w:w="872" w:type="dxa"/>
            <w:vAlign w:val="top"/>
          </w:tcPr>
          <w:p w14:paraId="1287323C">
            <w:pPr>
              <w:pStyle w:val="6"/>
              <w:spacing w:before="92" w:line="220" w:lineRule="auto"/>
              <w:ind w:left="167"/>
              <w:rPr>
                <w:sz w:val="18"/>
                <w:szCs w:val="18"/>
              </w:rPr>
            </w:pPr>
            <w:r>
              <w:rPr>
                <w:spacing w:val="-3"/>
                <w:sz w:val="18"/>
                <w:szCs w:val="18"/>
              </w:rPr>
              <w:t>无组织</w:t>
            </w:r>
          </w:p>
        </w:tc>
        <w:tc>
          <w:tcPr>
            <w:tcW w:w="779" w:type="dxa"/>
            <w:vMerge w:val="continue"/>
            <w:tcBorders>
              <w:top w:val="nil"/>
            </w:tcBorders>
            <w:vAlign w:val="top"/>
          </w:tcPr>
          <w:p w14:paraId="4782D692">
            <w:pPr>
              <w:rPr>
                <w:rFonts w:ascii="Arial"/>
                <w:sz w:val="21"/>
              </w:rPr>
            </w:pPr>
          </w:p>
        </w:tc>
        <w:tc>
          <w:tcPr>
            <w:tcW w:w="614" w:type="dxa"/>
            <w:vMerge w:val="continue"/>
            <w:tcBorders>
              <w:top w:val="nil"/>
            </w:tcBorders>
            <w:vAlign w:val="top"/>
          </w:tcPr>
          <w:p w14:paraId="4F656F8B">
            <w:pPr>
              <w:rPr>
                <w:rFonts w:ascii="Arial"/>
                <w:sz w:val="21"/>
              </w:rPr>
            </w:pPr>
          </w:p>
        </w:tc>
        <w:tc>
          <w:tcPr>
            <w:tcW w:w="868" w:type="dxa"/>
            <w:vAlign w:val="top"/>
          </w:tcPr>
          <w:p w14:paraId="60D1D0CA">
            <w:pPr>
              <w:spacing w:before="117"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1A3FD401">
            <w:pPr>
              <w:spacing w:before="117"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5AA5FD7C">
            <w:pPr>
              <w:spacing w:before="12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1154" w:type="dxa"/>
            <w:vAlign w:val="top"/>
          </w:tcPr>
          <w:p w14:paraId="22F672A1">
            <w:pPr>
              <w:pStyle w:val="6"/>
              <w:spacing w:before="92" w:line="224" w:lineRule="auto"/>
              <w:ind w:left="535"/>
              <w:rPr>
                <w:sz w:val="18"/>
                <w:szCs w:val="18"/>
              </w:rPr>
            </w:pPr>
            <w:r>
              <w:rPr>
                <w:sz w:val="18"/>
                <w:szCs w:val="18"/>
              </w:rPr>
              <w:t>/</w:t>
            </w:r>
          </w:p>
        </w:tc>
        <w:tc>
          <w:tcPr>
            <w:tcW w:w="644" w:type="dxa"/>
            <w:vAlign w:val="top"/>
          </w:tcPr>
          <w:p w14:paraId="34048BAE">
            <w:pPr>
              <w:spacing w:before="117"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tcBorders>
            <w:vAlign w:val="top"/>
          </w:tcPr>
          <w:p w14:paraId="38C25103">
            <w:pPr>
              <w:rPr>
                <w:rFonts w:ascii="Arial"/>
                <w:sz w:val="21"/>
              </w:rPr>
            </w:pPr>
          </w:p>
        </w:tc>
        <w:tc>
          <w:tcPr>
            <w:tcW w:w="779" w:type="dxa"/>
            <w:vAlign w:val="top"/>
          </w:tcPr>
          <w:p w14:paraId="726622B6">
            <w:pPr>
              <w:spacing w:before="117"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5E2B5C18">
            <w:pPr>
              <w:spacing w:before="117"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6030313A">
            <w:pPr>
              <w:spacing w:before="121"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799" w:type="dxa"/>
            <w:vAlign w:val="top"/>
          </w:tcPr>
          <w:p w14:paraId="7AB07CFD">
            <w:pPr>
              <w:spacing w:before="117"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51224B44">
            <w:pPr>
              <w:spacing w:before="121"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16473B13">
            <w:pPr>
              <w:rPr>
                <w:rFonts w:ascii="Arial"/>
                <w:sz w:val="21"/>
              </w:rPr>
            </w:pPr>
          </w:p>
        </w:tc>
      </w:tr>
      <w:tr w14:paraId="4D660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55" w:type="dxa"/>
            <w:vMerge w:val="continue"/>
            <w:tcBorders>
              <w:top w:val="nil"/>
              <w:left w:val="single" w:color="000000" w:sz="6" w:space="0"/>
              <w:bottom w:val="nil"/>
            </w:tcBorders>
            <w:vAlign w:val="top"/>
          </w:tcPr>
          <w:p w14:paraId="2B820C23">
            <w:pPr>
              <w:rPr>
                <w:rFonts w:ascii="Arial"/>
                <w:sz w:val="21"/>
              </w:rPr>
            </w:pPr>
          </w:p>
        </w:tc>
        <w:tc>
          <w:tcPr>
            <w:tcW w:w="66" w:type="dxa"/>
            <w:tcBorders>
              <w:top w:val="nil"/>
              <w:bottom w:val="nil"/>
            </w:tcBorders>
            <w:vAlign w:val="top"/>
          </w:tcPr>
          <w:p w14:paraId="55C4CA43">
            <w:pPr>
              <w:rPr>
                <w:rFonts w:ascii="Arial"/>
                <w:sz w:val="21"/>
              </w:rPr>
            </w:pPr>
          </w:p>
        </w:tc>
        <w:tc>
          <w:tcPr>
            <w:tcW w:w="810" w:type="dxa"/>
            <w:vMerge w:val="restart"/>
            <w:tcBorders>
              <w:bottom w:val="nil"/>
            </w:tcBorders>
            <w:vAlign w:val="top"/>
          </w:tcPr>
          <w:p w14:paraId="64BE676B">
            <w:pPr>
              <w:spacing w:line="321" w:lineRule="auto"/>
              <w:rPr>
                <w:rFonts w:ascii="Arial"/>
                <w:sz w:val="21"/>
              </w:rPr>
            </w:pPr>
          </w:p>
          <w:p w14:paraId="3D1C88F1">
            <w:pPr>
              <w:pStyle w:val="6"/>
              <w:spacing w:before="58"/>
              <w:ind w:left="152" w:right="158" w:firstLine="3"/>
              <w:jc w:val="both"/>
              <w:rPr>
                <w:sz w:val="18"/>
                <w:szCs w:val="18"/>
              </w:rPr>
            </w:pPr>
            <w:r>
              <w:rPr>
                <w:rFonts w:ascii="Times New Roman" w:hAnsi="Times New Roman" w:eastAsia="Times New Roman" w:cs="Times New Roman"/>
                <w:spacing w:val="-7"/>
                <w:sz w:val="18"/>
                <w:szCs w:val="18"/>
              </w:rPr>
              <w:t>5</w:t>
            </w:r>
            <w:r>
              <w:rPr>
                <w:rFonts w:ascii="Times New Roman" w:hAnsi="Times New Roman" w:eastAsia="Times New Roman" w:cs="Times New Roman"/>
                <w:spacing w:val="13"/>
                <w:sz w:val="18"/>
                <w:szCs w:val="18"/>
              </w:rPr>
              <w:t xml:space="preserve"> </w:t>
            </w:r>
            <w:r>
              <w:rPr>
                <w:spacing w:val="-7"/>
                <w:sz w:val="18"/>
                <w:szCs w:val="18"/>
              </w:rPr>
              <w:t>号楼</w:t>
            </w:r>
            <w:r>
              <w:rPr>
                <w:sz w:val="18"/>
                <w:szCs w:val="18"/>
              </w:rPr>
              <w:t xml:space="preserve"> </w:t>
            </w:r>
            <w:r>
              <w:rPr>
                <w:rFonts w:ascii="Times New Roman" w:hAnsi="Times New Roman" w:eastAsia="Times New Roman" w:cs="Times New Roman"/>
                <w:spacing w:val="-4"/>
                <w:sz w:val="18"/>
                <w:szCs w:val="18"/>
              </w:rPr>
              <w:t>6~7</w:t>
            </w:r>
            <w:r>
              <w:rPr>
                <w:rFonts w:ascii="Times New Roman" w:hAnsi="Times New Roman" w:eastAsia="Times New Roman" w:cs="Times New Roman"/>
                <w:spacing w:val="6"/>
                <w:sz w:val="18"/>
                <w:szCs w:val="18"/>
              </w:rPr>
              <w:t xml:space="preserve"> </w:t>
            </w:r>
            <w:r>
              <w:rPr>
                <w:spacing w:val="-4"/>
                <w:sz w:val="18"/>
                <w:szCs w:val="18"/>
              </w:rPr>
              <w:t>层</w:t>
            </w:r>
            <w:r>
              <w:rPr>
                <w:sz w:val="18"/>
                <w:szCs w:val="18"/>
              </w:rPr>
              <w:t xml:space="preserve"> </w:t>
            </w:r>
            <w:r>
              <w:rPr>
                <w:spacing w:val="30"/>
                <w:sz w:val="18"/>
                <w:szCs w:val="18"/>
              </w:rPr>
              <w:t>车间</w:t>
            </w:r>
          </w:p>
        </w:tc>
        <w:tc>
          <w:tcPr>
            <w:tcW w:w="854" w:type="dxa"/>
            <w:vMerge w:val="restart"/>
            <w:tcBorders>
              <w:bottom w:val="nil"/>
            </w:tcBorders>
            <w:vAlign w:val="top"/>
          </w:tcPr>
          <w:p w14:paraId="7486DA40">
            <w:pPr>
              <w:pStyle w:val="6"/>
              <w:spacing w:before="263" w:line="219" w:lineRule="auto"/>
              <w:ind w:left="157"/>
              <w:rPr>
                <w:sz w:val="18"/>
                <w:szCs w:val="18"/>
              </w:rPr>
            </w:pPr>
            <w:r>
              <w:rPr>
                <w:spacing w:val="-4"/>
                <w:sz w:val="18"/>
                <w:szCs w:val="18"/>
              </w:rPr>
              <w:t>真空机</w:t>
            </w:r>
          </w:p>
        </w:tc>
        <w:tc>
          <w:tcPr>
            <w:tcW w:w="872" w:type="dxa"/>
            <w:vAlign w:val="top"/>
          </w:tcPr>
          <w:p w14:paraId="5C49397B">
            <w:pPr>
              <w:pStyle w:val="6"/>
              <w:spacing w:before="88" w:line="220" w:lineRule="auto"/>
              <w:ind w:left="166"/>
              <w:rPr>
                <w:sz w:val="18"/>
                <w:szCs w:val="18"/>
              </w:rPr>
            </w:pPr>
            <w:r>
              <w:rPr>
                <w:spacing w:val="-3"/>
                <w:sz w:val="18"/>
                <w:szCs w:val="18"/>
              </w:rPr>
              <w:t>有组织</w:t>
            </w:r>
          </w:p>
        </w:tc>
        <w:tc>
          <w:tcPr>
            <w:tcW w:w="779" w:type="dxa"/>
            <w:vMerge w:val="restart"/>
            <w:tcBorders>
              <w:bottom w:val="nil"/>
            </w:tcBorders>
            <w:vAlign w:val="top"/>
          </w:tcPr>
          <w:p w14:paraId="3902E1D3">
            <w:pPr>
              <w:spacing w:line="435" w:lineRule="auto"/>
              <w:rPr>
                <w:rFonts w:ascii="Arial"/>
                <w:sz w:val="21"/>
              </w:rPr>
            </w:pPr>
          </w:p>
          <w:p w14:paraId="3AA8515A">
            <w:pPr>
              <w:pStyle w:val="6"/>
              <w:spacing w:before="59" w:line="241" w:lineRule="auto"/>
              <w:ind w:left="215" w:right="121" w:hanging="93"/>
              <w:rPr>
                <w:sz w:val="18"/>
                <w:szCs w:val="18"/>
              </w:rPr>
            </w:pPr>
            <w:r>
              <w:rPr>
                <w:spacing w:val="-4"/>
                <w:sz w:val="18"/>
                <w:szCs w:val="18"/>
              </w:rPr>
              <w:t>非甲烷</w:t>
            </w:r>
            <w:r>
              <w:rPr>
                <w:spacing w:val="1"/>
                <w:sz w:val="18"/>
                <w:szCs w:val="18"/>
              </w:rPr>
              <w:t xml:space="preserve"> </w:t>
            </w:r>
            <w:r>
              <w:rPr>
                <w:spacing w:val="-6"/>
                <w:sz w:val="18"/>
                <w:szCs w:val="18"/>
              </w:rPr>
              <w:t>总烃</w:t>
            </w:r>
          </w:p>
        </w:tc>
        <w:tc>
          <w:tcPr>
            <w:tcW w:w="614" w:type="dxa"/>
            <w:vMerge w:val="restart"/>
            <w:tcBorders>
              <w:bottom w:val="nil"/>
            </w:tcBorders>
            <w:vAlign w:val="top"/>
          </w:tcPr>
          <w:p w14:paraId="06EA7161">
            <w:pPr>
              <w:spacing w:line="321" w:lineRule="auto"/>
              <w:rPr>
                <w:rFonts w:ascii="Arial"/>
                <w:sz w:val="21"/>
              </w:rPr>
            </w:pPr>
          </w:p>
          <w:p w14:paraId="408347DD">
            <w:pPr>
              <w:pStyle w:val="6"/>
              <w:spacing w:before="58" w:line="219" w:lineRule="auto"/>
              <w:ind w:left="127"/>
              <w:rPr>
                <w:sz w:val="18"/>
                <w:szCs w:val="18"/>
              </w:rPr>
            </w:pPr>
            <w:r>
              <w:rPr>
                <w:spacing w:val="-4"/>
                <w:sz w:val="18"/>
                <w:szCs w:val="18"/>
              </w:rPr>
              <w:t>产污</w:t>
            </w:r>
          </w:p>
          <w:p w14:paraId="2FEC1110">
            <w:pPr>
              <w:pStyle w:val="6"/>
              <w:spacing w:before="18" w:line="244" w:lineRule="auto"/>
              <w:ind w:left="219" w:right="128" w:hanging="88"/>
              <w:rPr>
                <w:sz w:val="18"/>
                <w:szCs w:val="18"/>
              </w:rPr>
            </w:pPr>
            <w:r>
              <w:rPr>
                <w:spacing w:val="-6"/>
                <w:sz w:val="18"/>
                <w:szCs w:val="18"/>
              </w:rPr>
              <w:t>系数</w:t>
            </w:r>
            <w:r>
              <w:rPr>
                <w:sz w:val="18"/>
                <w:szCs w:val="18"/>
              </w:rPr>
              <w:t xml:space="preserve"> 法</w:t>
            </w:r>
          </w:p>
        </w:tc>
        <w:tc>
          <w:tcPr>
            <w:tcW w:w="868" w:type="dxa"/>
            <w:vAlign w:val="top"/>
          </w:tcPr>
          <w:p w14:paraId="3262C481">
            <w:pPr>
              <w:spacing w:before="119"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149C6C06">
            <w:pPr>
              <w:spacing w:before="119"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35.80</w:t>
            </w:r>
          </w:p>
        </w:tc>
        <w:tc>
          <w:tcPr>
            <w:tcW w:w="764" w:type="dxa"/>
            <w:vAlign w:val="top"/>
          </w:tcPr>
          <w:p w14:paraId="38290A65">
            <w:pPr>
              <w:spacing w:before="119"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1.4321</w:t>
            </w:r>
          </w:p>
        </w:tc>
        <w:tc>
          <w:tcPr>
            <w:tcW w:w="1154" w:type="dxa"/>
            <w:vAlign w:val="top"/>
          </w:tcPr>
          <w:p w14:paraId="2A69F7B8">
            <w:pPr>
              <w:pStyle w:val="6"/>
              <w:spacing w:before="88" w:line="219" w:lineRule="auto"/>
              <w:ind w:left="136"/>
              <w:rPr>
                <w:sz w:val="18"/>
                <w:szCs w:val="18"/>
              </w:rPr>
            </w:pPr>
            <w:r>
              <w:rPr>
                <w:spacing w:val="-2"/>
                <w:sz w:val="18"/>
                <w:szCs w:val="18"/>
              </w:rPr>
              <w:t>活性炭吸附</w:t>
            </w:r>
          </w:p>
        </w:tc>
        <w:tc>
          <w:tcPr>
            <w:tcW w:w="644" w:type="dxa"/>
            <w:vAlign w:val="top"/>
          </w:tcPr>
          <w:p w14:paraId="2C523B61">
            <w:pPr>
              <w:spacing w:before="122"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restart"/>
            <w:tcBorders>
              <w:bottom w:val="nil"/>
            </w:tcBorders>
            <w:vAlign w:val="top"/>
          </w:tcPr>
          <w:p w14:paraId="62A0AFB1">
            <w:pPr>
              <w:spacing w:line="321" w:lineRule="auto"/>
              <w:rPr>
                <w:rFonts w:ascii="Arial"/>
                <w:sz w:val="21"/>
              </w:rPr>
            </w:pPr>
          </w:p>
          <w:p w14:paraId="79150086">
            <w:pPr>
              <w:pStyle w:val="6"/>
              <w:spacing w:before="58" w:line="219" w:lineRule="auto"/>
              <w:ind w:left="164"/>
              <w:rPr>
                <w:sz w:val="18"/>
                <w:szCs w:val="18"/>
              </w:rPr>
            </w:pPr>
            <w:r>
              <w:rPr>
                <w:spacing w:val="-4"/>
                <w:sz w:val="18"/>
                <w:szCs w:val="18"/>
              </w:rPr>
              <w:t>产污</w:t>
            </w:r>
          </w:p>
          <w:p w14:paraId="6DFD23D5">
            <w:pPr>
              <w:pStyle w:val="6"/>
              <w:spacing w:before="18" w:line="244" w:lineRule="auto"/>
              <w:ind w:left="255" w:right="152" w:hanging="88"/>
              <w:rPr>
                <w:sz w:val="18"/>
                <w:szCs w:val="18"/>
              </w:rPr>
            </w:pPr>
            <w:r>
              <w:rPr>
                <w:spacing w:val="-6"/>
                <w:sz w:val="18"/>
                <w:szCs w:val="18"/>
              </w:rPr>
              <w:t>系数</w:t>
            </w:r>
            <w:r>
              <w:rPr>
                <w:sz w:val="18"/>
                <w:szCs w:val="18"/>
              </w:rPr>
              <w:t xml:space="preserve"> 法</w:t>
            </w:r>
          </w:p>
        </w:tc>
        <w:tc>
          <w:tcPr>
            <w:tcW w:w="779" w:type="dxa"/>
            <w:vAlign w:val="top"/>
          </w:tcPr>
          <w:p w14:paraId="5871A2FD">
            <w:pPr>
              <w:spacing w:before="119"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0BD9A5A5">
            <w:pPr>
              <w:spacing w:before="119"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8.95</w:t>
            </w:r>
          </w:p>
        </w:tc>
        <w:tc>
          <w:tcPr>
            <w:tcW w:w="837" w:type="dxa"/>
            <w:vAlign w:val="top"/>
          </w:tcPr>
          <w:p w14:paraId="660FC0C2">
            <w:pPr>
              <w:spacing w:before="119"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0.3580</w:t>
            </w:r>
          </w:p>
        </w:tc>
        <w:tc>
          <w:tcPr>
            <w:tcW w:w="799" w:type="dxa"/>
            <w:vAlign w:val="top"/>
          </w:tcPr>
          <w:p w14:paraId="63F63C8D">
            <w:pPr>
              <w:spacing w:before="119"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DA004</w:t>
            </w:r>
          </w:p>
        </w:tc>
        <w:tc>
          <w:tcPr>
            <w:tcW w:w="598" w:type="dxa"/>
            <w:vAlign w:val="top"/>
          </w:tcPr>
          <w:p w14:paraId="7F7A7577">
            <w:pPr>
              <w:spacing w:before="119"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68FC27DA">
            <w:pPr>
              <w:rPr>
                <w:rFonts w:ascii="Arial"/>
                <w:sz w:val="21"/>
              </w:rPr>
            </w:pPr>
          </w:p>
        </w:tc>
      </w:tr>
      <w:tr w14:paraId="106CD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5" w:type="dxa"/>
            <w:vMerge w:val="continue"/>
            <w:tcBorders>
              <w:top w:val="nil"/>
              <w:left w:val="single" w:color="000000" w:sz="6" w:space="0"/>
              <w:bottom w:val="nil"/>
            </w:tcBorders>
            <w:vAlign w:val="top"/>
          </w:tcPr>
          <w:p w14:paraId="5483AB0A">
            <w:pPr>
              <w:rPr>
                <w:rFonts w:ascii="Arial"/>
                <w:sz w:val="21"/>
              </w:rPr>
            </w:pPr>
          </w:p>
        </w:tc>
        <w:tc>
          <w:tcPr>
            <w:tcW w:w="66" w:type="dxa"/>
            <w:tcBorders>
              <w:top w:val="nil"/>
              <w:bottom w:val="nil"/>
            </w:tcBorders>
            <w:vAlign w:val="top"/>
          </w:tcPr>
          <w:p w14:paraId="22D2CEB3">
            <w:pPr>
              <w:rPr>
                <w:rFonts w:ascii="Arial"/>
                <w:sz w:val="21"/>
              </w:rPr>
            </w:pPr>
          </w:p>
        </w:tc>
        <w:tc>
          <w:tcPr>
            <w:tcW w:w="810" w:type="dxa"/>
            <w:vMerge w:val="continue"/>
            <w:tcBorders>
              <w:top w:val="nil"/>
              <w:bottom w:val="nil"/>
            </w:tcBorders>
            <w:vAlign w:val="top"/>
          </w:tcPr>
          <w:p w14:paraId="659E668F">
            <w:pPr>
              <w:rPr>
                <w:rFonts w:ascii="Arial"/>
                <w:sz w:val="21"/>
              </w:rPr>
            </w:pPr>
          </w:p>
        </w:tc>
        <w:tc>
          <w:tcPr>
            <w:tcW w:w="854" w:type="dxa"/>
            <w:vMerge w:val="continue"/>
            <w:tcBorders>
              <w:top w:val="nil"/>
            </w:tcBorders>
            <w:vAlign w:val="top"/>
          </w:tcPr>
          <w:p w14:paraId="1DCFB2A7">
            <w:pPr>
              <w:rPr>
                <w:rFonts w:ascii="Arial"/>
                <w:sz w:val="21"/>
              </w:rPr>
            </w:pPr>
          </w:p>
        </w:tc>
        <w:tc>
          <w:tcPr>
            <w:tcW w:w="872" w:type="dxa"/>
            <w:vAlign w:val="top"/>
          </w:tcPr>
          <w:p w14:paraId="13659490">
            <w:pPr>
              <w:pStyle w:val="6"/>
              <w:spacing w:before="90" w:line="220" w:lineRule="auto"/>
              <w:ind w:left="167"/>
              <w:rPr>
                <w:sz w:val="18"/>
                <w:szCs w:val="18"/>
              </w:rPr>
            </w:pPr>
            <w:r>
              <w:rPr>
                <w:spacing w:val="-3"/>
                <w:sz w:val="18"/>
                <w:szCs w:val="18"/>
              </w:rPr>
              <w:t>无组织</w:t>
            </w:r>
          </w:p>
        </w:tc>
        <w:tc>
          <w:tcPr>
            <w:tcW w:w="779" w:type="dxa"/>
            <w:vMerge w:val="continue"/>
            <w:tcBorders>
              <w:top w:val="nil"/>
              <w:bottom w:val="nil"/>
            </w:tcBorders>
            <w:vAlign w:val="top"/>
          </w:tcPr>
          <w:p w14:paraId="70DD2CCB">
            <w:pPr>
              <w:rPr>
                <w:rFonts w:ascii="Arial"/>
                <w:sz w:val="21"/>
              </w:rPr>
            </w:pPr>
          </w:p>
        </w:tc>
        <w:tc>
          <w:tcPr>
            <w:tcW w:w="614" w:type="dxa"/>
            <w:vMerge w:val="continue"/>
            <w:tcBorders>
              <w:top w:val="nil"/>
              <w:bottom w:val="nil"/>
            </w:tcBorders>
            <w:vAlign w:val="top"/>
          </w:tcPr>
          <w:p w14:paraId="11992DEF">
            <w:pPr>
              <w:rPr>
                <w:rFonts w:ascii="Arial"/>
                <w:sz w:val="21"/>
              </w:rPr>
            </w:pPr>
          </w:p>
        </w:tc>
        <w:tc>
          <w:tcPr>
            <w:tcW w:w="868" w:type="dxa"/>
            <w:vAlign w:val="top"/>
          </w:tcPr>
          <w:p w14:paraId="6C51217D">
            <w:pPr>
              <w:spacing w:before="118"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662A2810">
            <w:pPr>
              <w:spacing w:before="118"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30778840">
            <w:pPr>
              <w:spacing w:before="12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1154" w:type="dxa"/>
            <w:vAlign w:val="top"/>
          </w:tcPr>
          <w:p w14:paraId="4DE2BB31">
            <w:pPr>
              <w:pStyle w:val="6"/>
              <w:spacing w:before="91" w:line="224" w:lineRule="auto"/>
              <w:ind w:left="535"/>
              <w:rPr>
                <w:sz w:val="18"/>
                <w:szCs w:val="18"/>
              </w:rPr>
            </w:pPr>
            <w:r>
              <w:rPr>
                <w:sz w:val="18"/>
                <w:szCs w:val="18"/>
              </w:rPr>
              <w:t>/</w:t>
            </w:r>
          </w:p>
        </w:tc>
        <w:tc>
          <w:tcPr>
            <w:tcW w:w="644" w:type="dxa"/>
            <w:vAlign w:val="top"/>
          </w:tcPr>
          <w:p w14:paraId="105FB976">
            <w:pPr>
              <w:spacing w:before="118"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bottom w:val="nil"/>
            </w:tcBorders>
            <w:vAlign w:val="top"/>
          </w:tcPr>
          <w:p w14:paraId="59C07173">
            <w:pPr>
              <w:rPr>
                <w:rFonts w:ascii="Arial"/>
                <w:sz w:val="21"/>
              </w:rPr>
            </w:pPr>
          </w:p>
        </w:tc>
        <w:tc>
          <w:tcPr>
            <w:tcW w:w="779" w:type="dxa"/>
            <w:vAlign w:val="top"/>
          </w:tcPr>
          <w:p w14:paraId="00125C36">
            <w:pPr>
              <w:spacing w:before="118"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07055322">
            <w:pPr>
              <w:spacing w:before="118"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02DBF522">
            <w:pPr>
              <w:spacing w:before="122"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799" w:type="dxa"/>
            <w:vAlign w:val="top"/>
          </w:tcPr>
          <w:p w14:paraId="38D80FCA">
            <w:pPr>
              <w:spacing w:before="118"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453FD333">
            <w:pPr>
              <w:spacing w:before="122"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7CD07BDA">
            <w:pPr>
              <w:rPr>
                <w:rFonts w:ascii="Arial"/>
                <w:sz w:val="21"/>
              </w:rPr>
            </w:pPr>
          </w:p>
        </w:tc>
      </w:tr>
      <w:tr w14:paraId="64E83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55" w:type="dxa"/>
            <w:vMerge w:val="continue"/>
            <w:tcBorders>
              <w:top w:val="nil"/>
              <w:left w:val="single" w:color="000000" w:sz="6" w:space="0"/>
              <w:bottom w:val="nil"/>
            </w:tcBorders>
            <w:vAlign w:val="top"/>
          </w:tcPr>
          <w:p w14:paraId="1DECA85E">
            <w:pPr>
              <w:rPr>
                <w:rFonts w:ascii="Arial"/>
                <w:sz w:val="21"/>
              </w:rPr>
            </w:pPr>
          </w:p>
        </w:tc>
        <w:tc>
          <w:tcPr>
            <w:tcW w:w="66" w:type="dxa"/>
            <w:tcBorders>
              <w:top w:val="nil"/>
              <w:bottom w:val="nil"/>
            </w:tcBorders>
            <w:vAlign w:val="top"/>
          </w:tcPr>
          <w:p w14:paraId="36FCD37F">
            <w:pPr>
              <w:rPr>
                <w:rFonts w:ascii="Arial"/>
                <w:sz w:val="21"/>
              </w:rPr>
            </w:pPr>
          </w:p>
        </w:tc>
        <w:tc>
          <w:tcPr>
            <w:tcW w:w="810" w:type="dxa"/>
            <w:vMerge w:val="continue"/>
            <w:tcBorders>
              <w:top w:val="nil"/>
              <w:bottom w:val="nil"/>
            </w:tcBorders>
            <w:vAlign w:val="top"/>
          </w:tcPr>
          <w:p w14:paraId="22632317">
            <w:pPr>
              <w:rPr>
                <w:rFonts w:ascii="Arial"/>
                <w:sz w:val="21"/>
              </w:rPr>
            </w:pPr>
          </w:p>
        </w:tc>
        <w:tc>
          <w:tcPr>
            <w:tcW w:w="854" w:type="dxa"/>
            <w:vMerge w:val="restart"/>
            <w:tcBorders>
              <w:bottom w:val="nil"/>
            </w:tcBorders>
            <w:vAlign w:val="top"/>
          </w:tcPr>
          <w:p w14:paraId="6AFC1472">
            <w:pPr>
              <w:pStyle w:val="6"/>
              <w:spacing w:before="266" w:line="219" w:lineRule="auto"/>
              <w:ind w:left="155"/>
              <w:rPr>
                <w:sz w:val="18"/>
                <w:szCs w:val="18"/>
              </w:rPr>
            </w:pPr>
            <w:r>
              <w:rPr>
                <w:spacing w:val="-3"/>
                <w:sz w:val="18"/>
                <w:szCs w:val="18"/>
              </w:rPr>
              <w:t>烘干机</w:t>
            </w:r>
          </w:p>
        </w:tc>
        <w:tc>
          <w:tcPr>
            <w:tcW w:w="872" w:type="dxa"/>
            <w:vAlign w:val="top"/>
          </w:tcPr>
          <w:p w14:paraId="78216A43">
            <w:pPr>
              <w:pStyle w:val="6"/>
              <w:spacing w:before="91" w:line="220" w:lineRule="auto"/>
              <w:ind w:left="166"/>
              <w:rPr>
                <w:sz w:val="18"/>
                <w:szCs w:val="18"/>
              </w:rPr>
            </w:pPr>
            <w:r>
              <w:rPr>
                <w:spacing w:val="-3"/>
                <w:sz w:val="18"/>
                <w:szCs w:val="18"/>
              </w:rPr>
              <w:t>有组织</w:t>
            </w:r>
          </w:p>
        </w:tc>
        <w:tc>
          <w:tcPr>
            <w:tcW w:w="779" w:type="dxa"/>
            <w:vMerge w:val="continue"/>
            <w:tcBorders>
              <w:top w:val="nil"/>
              <w:bottom w:val="nil"/>
            </w:tcBorders>
            <w:vAlign w:val="top"/>
          </w:tcPr>
          <w:p w14:paraId="414D8F13">
            <w:pPr>
              <w:rPr>
                <w:rFonts w:ascii="Arial"/>
                <w:sz w:val="21"/>
              </w:rPr>
            </w:pPr>
          </w:p>
        </w:tc>
        <w:tc>
          <w:tcPr>
            <w:tcW w:w="614" w:type="dxa"/>
            <w:vMerge w:val="continue"/>
            <w:tcBorders>
              <w:top w:val="nil"/>
              <w:bottom w:val="nil"/>
            </w:tcBorders>
            <w:vAlign w:val="top"/>
          </w:tcPr>
          <w:p w14:paraId="06AD46ED">
            <w:pPr>
              <w:rPr>
                <w:rFonts w:ascii="Arial"/>
                <w:sz w:val="21"/>
              </w:rPr>
            </w:pPr>
          </w:p>
        </w:tc>
        <w:tc>
          <w:tcPr>
            <w:tcW w:w="868" w:type="dxa"/>
            <w:vAlign w:val="top"/>
          </w:tcPr>
          <w:p w14:paraId="638F368A">
            <w:pPr>
              <w:spacing w:before="122"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4279BA9E">
            <w:pPr>
              <w:spacing w:before="122"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10.44</w:t>
            </w:r>
          </w:p>
        </w:tc>
        <w:tc>
          <w:tcPr>
            <w:tcW w:w="764" w:type="dxa"/>
            <w:vAlign w:val="top"/>
          </w:tcPr>
          <w:p w14:paraId="6BE27894">
            <w:pPr>
              <w:spacing w:before="12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0.4177</w:t>
            </w:r>
          </w:p>
        </w:tc>
        <w:tc>
          <w:tcPr>
            <w:tcW w:w="1154" w:type="dxa"/>
            <w:vAlign w:val="top"/>
          </w:tcPr>
          <w:p w14:paraId="4F92155C">
            <w:pPr>
              <w:pStyle w:val="6"/>
              <w:spacing w:before="90" w:line="219" w:lineRule="auto"/>
              <w:ind w:left="136"/>
              <w:rPr>
                <w:sz w:val="18"/>
                <w:szCs w:val="18"/>
              </w:rPr>
            </w:pPr>
            <w:r>
              <w:rPr>
                <w:spacing w:val="-2"/>
                <w:sz w:val="18"/>
                <w:szCs w:val="18"/>
              </w:rPr>
              <w:t>活性炭吸附</w:t>
            </w:r>
          </w:p>
        </w:tc>
        <w:tc>
          <w:tcPr>
            <w:tcW w:w="644" w:type="dxa"/>
            <w:vAlign w:val="top"/>
          </w:tcPr>
          <w:p w14:paraId="14574AAF">
            <w:pPr>
              <w:spacing w:before="125"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continue"/>
            <w:tcBorders>
              <w:top w:val="nil"/>
              <w:bottom w:val="nil"/>
            </w:tcBorders>
            <w:vAlign w:val="top"/>
          </w:tcPr>
          <w:p w14:paraId="5BFF82C1">
            <w:pPr>
              <w:rPr>
                <w:rFonts w:ascii="Arial"/>
                <w:sz w:val="21"/>
              </w:rPr>
            </w:pPr>
          </w:p>
        </w:tc>
        <w:tc>
          <w:tcPr>
            <w:tcW w:w="779" w:type="dxa"/>
            <w:vAlign w:val="top"/>
          </w:tcPr>
          <w:p w14:paraId="47D48B11">
            <w:pPr>
              <w:spacing w:before="122"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48712BC4">
            <w:pPr>
              <w:spacing w:before="12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2.61</w:t>
            </w:r>
          </w:p>
        </w:tc>
        <w:tc>
          <w:tcPr>
            <w:tcW w:w="837" w:type="dxa"/>
            <w:vAlign w:val="top"/>
          </w:tcPr>
          <w:p w14:paraId="0740212C">
            <w:pPr>
              <w:spacing w:before="122"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0.1044</w:t>
            </w:r>
          </w:p>
        </w:tc>
        <w:tc>
          <w:tcPr>
            <w:tcW w:w="799" w:type="dxa"/>
            <w:vAlign w:val="top"/>
          </w:tcPr>
          <w:p w14:paraId="13130A9D">
            <w:pPr>
              <w:spacing w:before="122"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DA004</w:t>
            </w:r>
          </w:p>
        </w:tc>
        <w:tc>
          <w:tcPr>
            <w:tcW w:w="598" w:type="dxa"/>
            <w:vAlign w:val="top"/>
          </w:tcPr>
          <w:p w14:paraId="4B7C52A9">
            <w:pPr>
              <w:spacing w:before="122"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184EC8FF">
            <w:pPr>
              <w:rPr>
                <w:rFonts w:ascii="Arial"/>
                <w:sz w:val="21"/>
              </w:rPr>
            </w:pPr>
          </w:p>
        </w:tc>
      </w:tr>
      <w:tr w14:paraId="64525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55" w:type="dxa"/>
            <w:vMerge w:val="continue"/>
            <w:tcBorders>
              <w:top w:val="nil"/>
              <w:left w:val="single" w:color="000000" w:sz="6" w:space="0"/>
              <w:bottom w:val="nil"/>
            </w:tcBorders>
            <w:vAlign w:val="top"/>
          </w:tcPr>
          <w:p w14:paraId="51695617">
            <w:pPr>
              <w:rPr>
                <w:rFonts w:ascii="Arial"/>
                <w:sz w:val="21"/>
              </w:rPr>
            </w:pPr>
          </w:p>
        </w:tc>
        <w:tc>
          <w:tcPr>
            <w:tcW w:w="66" w:type="dxa"/>
            <w:tcBorders>
              <w:top w:val="nil"/>
              <w:bottom w:val="nil"/>
            </w:tcBorders>
            <w:vAlign w:val="top"/>
          </w:tcPr>
          <w:p w14:paraId="4FFDD4B2">
            <w:pPr>
              <w:rPr>
                <w:rFonts w:ascii="Arial"/>
                <w:sz w:val="21"/>
              </w:rPr>
            </w:pPr>
          </w:p>
        </w:tc>
        <w:tc>
          <w:tcPr>
            <w:tcW w:w="810" w:type="dxa"/>
            <w:vMerge w:val="continue"/>
            <w:tcBorders>
              <w:top w:val="nil"/>
            </w:tcBorders>
            <w:vAlign w:val="top"/>
          </w:tcPr>
          <w:p w14:paraId="60C9D9A5">
            <w:pPr>
              <w:rPr>
                <w:rFonts w:ascii="Arial"/>
                <w:sz w:val="21"/>
              </w:rPr>
            </w:pPr>
          </w:p>
        </w:tc>
        <w:tc>
          <w:tcPr>
            <w:tcW w:w="854" w:type="dxa"/>
            <w:vMerge w:val="continue"/>
            <w:tcBorders>
              <w:top w:val="nil"/>
            </w:tcBorders>
            <w:vAlign w:val="top"/>
          </w:tcPr>
          <w:p w14:paraId="444DA36D">
            <w:pPr>
              <w:rPr>
                <w:rFonts w:ascii="Arial"/>
                <w:sz w:val="21"/>
              </w:rPr>
            </w:pPr>
          </w:p>
        </w:tc>
        <w:tc>
          <w:tcPr>
            <w:tcW w:w="872" w:type="dxa"/>
            <w:vAlign w:val="top"/>
          </w:tcPr>
          <w:p w14:paraId="5296BBF7">
            <w:pPr>
              <w:pStyle w:val="6"/>
              <w:spacing w:before="98" w:line="220" w:lineRule="auto"/>
              <w:ind w:left="167"/>
              <w:rPr>
                <w:sz w:val="18"/>
                <w:szCs w:val="18"/>
              </w:rPr>
            </w:pPr>
            <w:r>
              <w:rPr>
                <w:spacing w:val="-3"/>
                <w:sz w:val="18"/>
                <w:szCs w:val="18"/>
              </w:rPr>
              <w:t>无组织</w:t>
            </w:r>
          </w:p>
        </w:tc>
        <w:tc>
          <w:tcPr>
            <w:tcW w:w="779" w:type="dxa"/>
            <w:vMerge w:val="continue"/>
            <w:tcBorders>
              <w:top w:val="nil"/>
            </w:tcBorders>
            <w:vAlign w:val="top"/>
          </w:tcPr>
          <w:p w14:paraId="01361EE4">
            <w:pPr>
              <w:rPr>
                <w:rFonts w:ascii="Arial"/>
                <w:sz w:val="21"/>
              </w:rPr>
            </w:pPr>
          </w:p>
        </w:tc>
        <w:tc>
          <w:tcPr>
            <w:tcW w:w="614" w:type="dxa"/>
            <w:vMerge w:val="continue"/>
            <w:tcBorders>
              <w:top w:val="nil"/>
            </w:tcBorders>
            <w:vAlign w:val="top"/>
          </w:tcPr>
          <w:p w14:paraId="413A3AB8">
            <w:pPr>
              <w:rPr>
                <w:rFonts w:ascii="Arial"/>
                <w:sz w:val="21"/>
              </w:rPr>
            </w:pPr>
          </w:p>
        </w:tc>
        <w:tc>
          <w:tcPr>
            <w:tcW w:w="868" w:type="dxa"/>
            <w:vAlign w:val="top"/>
          </w:tcPr>
          <w:p w14:paraId="1C15357D">
            <w:pPr>
              <w:spacing w:before="124"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3960490B">
            <w:pPr>
              <w:spacing w:before="124"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03003F0D">
            <w:pPr>
              <w:spacing w:before="127"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1154" w:type="dxa"/>
            <w:vAlign w:val="top"/>
          </w:tcPr>
          <w:p w14:paraId="515105F3">
            <w:pPr>
              <w:pStyle w:val="6"/>
              <w:spacing w:before="98" w:line="224" w:lineRule="auto"/>
              <w:ind w:left="535"/>
              <w:rPr>
                <w:sz w:val="18"/>
                <w:szCs w:val="18"/>
              </w:rPr>
            </w:pPr>
            <w:r>
              <w:rPr>
                <w:sz w:val="18"/>
                <w:szCs w:val="18"/>
              </w:rPr>
              <w:t>/</w:t>
            </w:r>
          </w:p>
        </w:tc>
        <w:tc>
          <w:tcPr>
            <w:tcW w:w="644" w:type="dxa"/>
            <w:vAlign w:val="top"/>
          </w:tcPr>
          <w:p w14:paraId="1B42533C">
            <w:pPr>
              <w:spacing w:before="124"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tcBorders>
            <w:vAlign w:val="top"/>
          </w:tcPr>
          <w:p w14:paraId="55BD04CA">
            <w:pPr>
              <w:rPr>
                <w:rFonts w:ascii="Arial"/>
                <w:sz w:val="21"/>
              </w:rPr>
            </w:pPr>
          </w:p>
        </w:tc>
        <w:tc>
          <w:tcPr>
            <w:tcW w:w="779" w:type="dxa"/>
            <w:vAlign w:val="top"/>
          </w:tcPr>
          <w:p w14:paraId="4604C9C4">
            <w:pPr>
              <w:spacing w:before="124"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072C6578">
            <w:pPr>
              <w:spacing w:before="124"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322DDDA1">
            <w:pPr>
              <w:spacing w:before="127"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799" w:type="dxa"/>
            <w:vAlign w:val="top"/>
          </w:tcPr>
          <w:p w14:paraId="1C42C020">
            <w:pPr>
              <w:spacing w:before="124"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3C83C2DA">
            <w:pPr>
              <w:spacing w:before="127"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0437DD36">
            <w:pPr>
              <w:rPr>
                <w:rFonts w:ascii="Arial"/>
                <w:sz w:val="21"/>
              </w:rPr>
            </w:pPr>
          </w:p>
        </w:tc>
      </w:tr>
      <w:tr w14:paraId="09EE1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55" w:type="dxa"/>
            <w:vMerge w:val="continue"/>
            <w:tcBorders>
              <w:top w:val="nil"/>
              <w:left w:val="single" w:color="000000" w:sz="6" w:space="0"/>
              <w:bottom w:val="nil"/>
            </w:tcBorders>
            <w:vAlign w:val="top"/>
          </w:tcPr>
          <w:p w14:paraId="402E3811">
            <w:pPr>
              <w:rPr>
                <w:rFonts w:ascii="Arial"/>
                <w:sz w:val="21"/>
              </w:rPr>
            </w:pPr>
          </w:p>
        </w:tc>
        <w:tc>
          <w:tcPr>
            <w:tcW w:w="66" w:type="dxa"/>
            <w:tcBorders>
              <w:top w:val="nil"/>
              <w:bottom w:val="nil"/>
            </w:tcBorders>
            <w:vAlign w:val="top"/>
          </w:tcPr>
          <w:p w14:paraId="43563FC0">
            <w:pPr>
              <w:rPr>
                <w:rFonts w:ascii="Arial"/>
                <w:sz w:val="21"/>
              </w:rPr>
            </w:pPr>
          </w:p>
        </w:tc>
        <w:tc>
          <w:tcPr>
            <w:tcW w:w="810" w:type="dxa"/>
            <w:vMerge w:val="restart"/>
            <w:tcBorders>
              <w:bottom w:val="nil"/>
            </w:tcBorders>
            <w:vAlign w:val="top"/>
          </w:tcPr>
          <w:p w14:paraId="5174C0F2">
            <w:pPr>
              <w:spacing w:line="323" w:lineRule="auto"/>
              <w:rPr>
                <w:rFonts w:ascii="Arial"/>
                <w:sz w:val="21"/>
              </w:rPr>
            </w:pPr>
          </w:p>
          <w:p w14:paraId="7BC5384C">
            <w:pPr>
              <w:pStyle w:val="6"/>
              <w:spacing w:before="58"/>
              <w:ind w:left="156" w:right="158"/>
              <w:jc w:val="both"/>
              <w:rPr>
                <w:sz w:val="18"/>
                <w:szCs w:val="18"/>
              </w:rPr>
            </w:pPr>
            <w:r>
              <w:rPr>
                <w:rFonts w:ascii="Times New Roman" w:hAnsi="Times New Roman" w:eastAsia="Times New Roman" w:cs="Times New Roman"/>
                <w:spacing w:val="-7"/>
                <w:sz w:val="18"/>
                <w:szCs w:val="18"/>
              </w:rPr>
              <w:t>5</w:t>
            </w:r>
            <w:r>
              <w:rPr>
                <w:rFonts w:ascii="Times New Roman" w:hAnsi="Times New Roman" w:eastAsia="Times New Roman" w:cs="Times New Roman"/>
                <w:spacing w:val="13"/>
                <w:sz w:val="18"/>
                <w:szCs w:val="18"/>
              </w:rPr>
              <w:t xml:space="preserve"> </w:t>
            </w:r>
            <w:r>
              <w:rPr>
                <w:spacing w:val="-7"/>
                <w:sz w:val="18"/>
                <w:szCs w:val="18"/>
              </w:rPr>
              <w:t>号楼</w:t>
            </w:r>
            <w:r>
              <w:rPr>
                <w:sz w:val="18"/>
                <w:szCs w:val="18"/>
              </w:rPr>
              <w:t xml:space="preserve"> </w:t>
            </w:r>
            <w:r>
              <w:rPr>
                <w:rFonts w:ascii="Times New Roman" w:hAnsi="Times New Roman" w:eastAsia="Times New Roman" w:cs="Times New Roman"/>
                <w:spacing w:val="-5"/>
                <w:sz w:val="18"/>
                <w:szCs w:val="18"/>
              </w:rPr>
              <w:t>8~9</w:t>
            </w:r>
            <w:r>
              <w:rPr>
                <w:rFonts w:ascii="Times New Roman" w:hAnsi="Times New Roman" w:eastAsia="Times New Roman" w:cs="Times New Roman"/>
                <w:spacing w:val="7"/>
                <w:sz w:val="18"/>
                <w:szCs w:val="18"/>
              </w:rPr>
              <w:t xml:space="preserve"> </w:t>
            </w:r>
            <w:r>
              <w:rPr>
                <w:spacing w:val="-5"/>
                <w:sz w:val="18"/>
                <w:szCs w:val="18"/>
              </w:rPr>
              <w:t>层</w:t>
            </w:r>
            <w:r>
              <w:rPr>
                <w:sz w:val="18"/>
                <w:szCs w:val="18"/>
              </w:rPr>
              <w:t xml:space="preserve"> </w:t>
            </w:r>
            <w:r>
              <w:rPr>
                <w:spacing w:val="29"/>
                <w:sz w:val="18"/>
                <w:szCs w:val="18"/>
              </w:rPr>
              <w:t>车间</w:t>
            </w:r>
          </w:p>
        </w:tc>
        <w:tc>
          <w:tcPr>
            <w:tcW w:w="854" w:type="dxa"/>
            <w:vMerge w:val="restart"/>
            <w:tcBorders>
              <w:bottom w:val="nil"/>
            </w:tcBorders>
            <w:vAlign w:val="top"/>
          </w:tcPr>
          <w:p w14:paraId="23D27A88">
            <w:pPr>
              <w:pStyle w:val="6"/>
              <w:spacing w:before="267" w:line="219" w:lineRule="auto"/>
              <w:ind w:left="157"/>
              <w:rPr>
                <w:sz w:val="18"/>
                <w:szCs w:val="18"/>
              </w:rPr>
            </w:pPr>
            <w:r>
              <w:rPr>
                <w:spacing w:val="-4"/>
                <w:sz w:val="18"/>
                <w:szCs w:val="18"/>
              </w:rPr>
              <w:t>真空机</w:t>
            </w:r>
          </w:p>
        </w:tc>
        <w:tc>
          <w:tcPr>
            <w:tcW w:w="872" w:type="dxa"/>
            <w:vAlign w:val="top"/>
          </w:tcPr>
          <w:p w14:paraId="255B0B78">
            <w:pPr>
              <w:pStyle w:val="6"/>
              <w:spacing w:before="93" w:line="220" w:lineRule="auto"/>
              <w:ind w:left="166"/>
              <w:rPr>
                <w:sz w:val="18"/>
                <w:szCs w:val="18"/>
              </w:rPr>
            </w:pPr>
            <w:r>
              <w:rPr>
                <w:spacing w:val="-3"/>
                <w:sz w:val="18"/>
                <w:szCs w:val="18"/>
              </w:rPr>
              <w:t>有组织</w:t>
            </w:r>
          </w:p>
        </w:tc>
        <w:tc>
          <w:tcPr>
            <w:tcW w:w="779" w:type="dxa"/>
            <w:vMerge w:val="restart"/>
            <w:tcBorders>
              <w:bottom w:val="nil"/>
            </w:tcBorders>
            <w:vAlign w:val="top"/>
          </w:tcPr>
          <w:p w14:paraId="4C64165B">
            <w:pPr>
              <w:spacing w:line="440" w:lineRule="auto"/>
              <w:rPr>
                <w:rFonts w:ascii="Arial"/>
                <w:sz w:val="21"/>
              </w:rPr>
            </w:pPr>
          </w:p>
          <w:p w14:paraId="505AD046">
            <w:pPr>
              <w:pStyle w:val="6"/>
              <w:spacing w:before="58" w:line="241" w:lineRule="auto"/>
              <w:ind w:left="215" w:right="121" w:hanging="93"/>
              <w:rPr>
                <w:sz w:val="18"/>
                <w:szCs w:val="18"/>
              </w:rPr>
            </w:pPr>
            <w:r>
              <w:rPr>
                <w:spacing w:val="-4"/>
                <w:sz w:val="18"/>
                <w:szCs w:val="18"/>
              </w:rPr>
              <w:t>非甲烷</w:t>
            </w:r>
            <w:r>
              <w:rPr>
                <w:spacing w:val="1"/>
                <w:sz w:val="18"/>
                <w:szCs w:val="18"/>
              </w:rPr>
              <w:t xml:space="preserve"> </w:t>
            </w:r>
            <w:r>
              <w:rPr>
                <w:spacing w:val="-6"/>
                <w:sz w:val="18"/>
                <w:szCs w:val="18"/>
              </w:rPr>
              <w:t>总烃</w:t>
            </w:r>
          </w:p>
        </w:tc>
        <w:tc>
          <w:tcPr>
            <w:tcW w:w="614" w:type="dxa"/>
            <w:vMerge w:val="restart"/>
            <w:tcBorders>
              <w:bottom w:val="nil"/>
            </w:tcBorders>
            <w:vAlign w:val="top"/>
          </w:tcPr>
          <w:p w14:paraId="10CA730C">
            <w:pPr>
              <w:spacing w:line="323" w:lineRule="auto"/>
              <w:rPr>
                <w:rFonts w:ascii="Arial"/>
                <w:sz w:val="21"/>
              </w:rPr>
            </w:pPr>
          </w:p>
          <w:p w14:paraId="7020AAC1">
            <w:pPr>
              <w:pStyle w:val="6"/>
              <w:spacing w:before="58" w:line="219" w:lineRule="auto"/>
              <w:ind w:left="127"/>
              <w:rPr>
                <w:sz w:val="18"/>
                <w:szCs w:val="18"/>
              </w:rPr>
            </w:pPr>
            <w:r>
              <w:rPr>
                <w:spacing w:val="-4"/>
                <w:sz w:val="18"/>
                <w:szCs w:val="18"/>
              </w:rPr>
              <w:t>产污</w:t>
            </w:r>
          </w:p>
          <w:p w14:paraId="6499198E">
            <w:pPr>
              <w:pStyle w:val="6"/>
              <w:spacing w:before="18" w:line="244" w:lineRule="auto"/>
              <w:ind w:left="219" w:right="128" w:hanging="88"/>
              <w:rPr>
                <w:sz w:val="18"/>
                <w:szCs w:val="18"/>
              </w:rPr>
            </w:pPr>
            <w:r>
              <w:rPr>
                <w:spacing w:val="-6"/>
                <w:sz w:val="18"/>
                <w:szCs w:val="18"/>
              </w:rPr>
              <w:t>系数</w:t>
            </w:r>
            <w:r>
              <w:rPr>
                <w:sz w:val="18"/>
                <w:szCs w:val="18"/>
              </w:rPr>
              <w:t xml:space="preserve"> 法</w:t>
            </w:r>
          </w:p>
        </w:tc>
        <w:tc>
          <w:tcPr>
            <w:tcW w:w="868" w:type="dxa"/>
            <w:vAlign w:val="top"/>
          </w:tcPr>
          <w:p w14:paraId="76278905">
            <w:pPr>
              <w:spacing w:before="121"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7B10C961">
            <w:pPr>
              <w:spacing w:before="121"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35.80</w:t>
            </w:r>
          </w:p>
        </w:tc>
        <w:tc>
          <w:tcPr>
            <w:tcW w:w="764" w:type="dxa"/>
            <w:vAlign w:val="top"/>
          </w:tcPr>
          <w:p w14:paraId="7EEB8F5D">
            <w:pPr>
              <w:spacing w:before="121"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1.4321</w:t>
            </w:r>
          </w:p>
        </w:tc>
        <w:tc>
          <w:tcPr>
            <w:tcW w:w="1154" w:type="dxa"/>
            <w:vAlign w:val="top"/>
          </w:tcPr>
          <w:p w14:paraId="469FCD06">
            <w:pPr>
              <w:pStyle w:val="6"/>
              <w:spacing w:before="92" w:line="219" w:lineRule="auto"/>
              <w:ind w:left="136"/>
              <w:rPr>
                <w:sz w:val="18"/>
                <w:szCs w:val="18"/>
              </w:rPr>
            </w:pPr>
            <w:r>
              <w:rPr>
                <w:spacing w:val="-2"/>
                <w:sz w:val="18"/>
                <w:szCs w:val="18"/>
              </w:rPr>
              <w:t>活性炭吸附</w:t>
            </w:r>
          </w:p>
        </w:tc>
        <w:tc>
          <w:tcPr>
            <w:tcW w:w="644" w:type="dxa"/>
            <w:vAlign w:val="top"/>
          </w:tcPr>
          <w:p w14:paraId="572871B7">
            <w:pPr>
              <w:spacing w:before="124"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restart"/>
            <w:tcBorders>
              <w:bottom w:val="nil"/>
            </w:tcBorders>
            <w:vAlign w:val="top"/>
          </w:tcPr>
          <w:p w14:paraId="7759CDF3">
            <w:pPr>
              <w:spacing w:line="323" w:lineRule="auto"/>
              <w:rPr>
                <w:rFonts w:ascii="Arial"/>
                <w:sz w:val="21"/>
              </w:rPr>
            </w:pPr>
          </w:p>
          <w:p w14:paraId="50C118E6">
            <w:pPr>
              <w:pStyle w:val="6"/>
              <w:spacing w:before="58" w:line="219" w:lineRule="auto"/>
              <w:ind w:left="164"/>
              <w:rPr>
                <w:sz w:val="18"/>
                <w:szCs w:val="18"/>
              </w:rPr>
            </w:pPr>
            <w:r>
              <w:rPr>
                <w:spacing w:val="-4"/>
                <w:sz w:val="18"/>
                <w:szCs w:val="18"/>
              </w:rPr>
              <w:t>产污</w:t>
            </w:r>
          </w:p>
          <w:p w14:paraId="08220A7E">
            <w:pPr>
              <w:pStyle w:val="6"/>
              <w:spacing w:before="18" w:line="244" w:lineRule="auto"/>
              <w:ind w:left="255" w:right="152" w:hanging="88"/>
              <w:rPr>
                <w:sz w:val="18"/>
                <w:szCs w:val="18"/>
              </w:rPr>
            </w:pPr>
            <w:r>
              <w:rPr>
                <w:spacing w:val="-6"/>
                <w:sz w:val="18"/>
                <w:szCs w:val="18"/>
              </w:rPr>
              <w:t>系数</w:t>
            </w:r>
            <w:r>
              <w:rPr>
                <w:sz w:val="18"/>
                <w:szCs w:val="18"/>
              </w:rPr>
              <w:t xml:space="preserve"> 法</w:t>
            </w:r>
          </w:p>
        </w:tc>
        <w:tc>
          <w:tcPr>
            <w:tcW w:w="779" w:type="dxa"/>
            <w:vAlign w:val="top"/>
          </w:tcPr>
          <w:p w14:paraId="010D5E5A">
            <w:pPr>
              <w:spacing w:before="121"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1A9DC66A">
            <w:pPr>
              <w:spacing w:before="121"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8.95</w:t>
            </w:r>
          </w:p>
        </w:tc>
        <w:tc>
          <w:tcPr>
            <w:tcW w:w="837" w:type="dxa"/>
            <w:vAlign w:val="top"/>
          </w:tcPr>
          <w:p w14:paraId="60C2FF27">
            <w:pPr>
              <w:spacing w:before="121"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0.3580</w:t>
            </w:r>
          </w:p>
        </w:tc>
        <w:tc>
          <w:tcPr>
            <w:tcW w:w="799" w:type="dxa"/>
            <w:vAlign w:val="top"/>
          </w:tcPr>
          <w:p w14:paraId="11C05CE4">
            <w:pPr>
              <w:spacing w:before="121"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DA005</w:t>
            </w:r>
          </w:p>
        </w:tc>
        <w:tc>
          <w:tcPr>
            <w:tcW w:w="598" w:type="dxa"/>
            <w:vAlign w:val="top"/>
          </w:tcPr>
          <w:p w14:paraId="7FF862FC">
            <w:pPr>
              <w:spacing w:before="121"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32031E89">
            <w:pPr>
              <w:rPr>
                <w:rFonts w:ascii="Arial"/>
                <w:sz w:val="21"/>
              </w:rPr>
            </w:pPr>
          </w:p>
        </w:tc>
      </w:tr>
      <w:tr w14:paraId="0649E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55" w:type="dxa"/>
            <w:vMerge w:val="continue"/>
            <w:tcBorders>
              <w:top w:val="nil"/>
              <w:left w:val="single" w:color="000000" w:sz="6" w:space="0"/>
              <w:bottom w:val="nil"/>
            </w:tcBorders>
            <w:vAlign w:val="top"/>
          </w:tcPr>
          <w:p w14:paraId="475A92B0">
            <w:pPr>
              <w:rPr>
                <w:rFonts w:ascii="Arial"/>
                <w:sz w:val="21"/>
              </w:rPr>
            </w:pPr>
          </w:p>
        </w:tc>
        <w:tc>
          <w:tcPr>
            <w:tcW w:w="66" w:type="dxa"/>
            <w:tcBorders>
              <w:top w:val="nil"/>
              <w:bottom w:val="nil"/>
            </w:tcBorders>
            <w:vAlign w:val="top"/>
          </w:tcPr>
          <w:p w14:paraId="0A11846B">
            <w:pPr>
              <w:rPr>
                <w:rFonts w:ascii="Arial"/>
                <w:sz w:val="21"/>
              </w:rPr>
            </w:pPr>
          </w:p>
        </w:tc>
        <w:tc>
          <w:tcPr>
            <w:tcW w:w="810" w:type="dxa"/>
            <w:vMerge w:val="continue"/>
            <w:tcBorders>
              <w:top w:val="nil"/>
              <w:bottom w:val="nil"/>
            </w:tcBorders>
            <w:vAlign w:val="top"/>
          </w:tcPr>
          <w:p w14:paraId="7CFBCC17">
            <w:pPr>
              <w:rPr>
                <w:rFonts w:ascii="Arial"/>
                <w:sz w:val="21"/>
              </w:rPr>
            </w:pPr>
          </w:p>
        </w:tc>
        <w:tc>
          <w:tcPr>
            <w:tcW w:w="854" w:type="dxa"/>
            <w:vMerge w:val="continue"/>
            <w:tcBorders>
              <w:top w:val="nil"/>
            </w:tcBorders>
            <w:vAlign w:val="top"/>
          </w:tcPr>
          <w:p w14:paraId="61927909">
            <w:pPr>
              <w:rPr>
                <w:rFonts w:ascii="Arial"/>
                <w:sz w:val="21"/>
              </w:rPr>
            </w:pPr>
          </w:p>
        </w:tc>
        <w:tc>
          <w:tcPr>
            <w:tcW w:w="872" w:type="dxa"/>
            <w:vAlign w:val="top"/>
          </w:tcPr>
          <w:p w14:paraId="3CCAC22D">
            <w:pPr>
              <w:pStyle w:val="6"/>
              <w:spacing w:before="99" w:line="220" w:lineRule="auto"/>
              <w:ind w:left="167"/>
              <w:rPr>
                <w:sz w:val="18"/>
                <w:szCs w:val="18"/>
              </w:rPr>
            </w:pPr>
            <w:r>
              <w:rPr>
                <w:spacing w:val="-3"/>
                <w:sz w:val="18"/>
                <w:szCs w:val="18"/>
              </w:rPr>
              <w:t>无组织</w:t>
            </w:r>
          </w:p>
        </w:tc>
        <w:tc>
          <w:tcPr>
            <w:tcW w:w="779" w:type="dxa"/>
            <w:vMerge w:val="continue"/>
            <w:tcBorders>
              <w:top w:val="nil"/>
              <w:bottom w:val="nil"/>
            </w:tcBorders>
            <w:vAlign w:val="top"/>
          </w:tcPr>
          <w:p w14:paraId="5ABF1123">
            <w:pPr>
              <w:rPr>
                <w:rFonts w:ascii="Arial"/>
                <w:sz w:val="21"/>
              </w:rPr>
            </w:pPr>
          </w:p>
        </w:tc>
        <w:tc>
          <w:tcPr>
            <w:tcW w:w="614" w:type="dxa"/>
            <w:vMerge w:val="continue"/>
            <w:tcBorders>
              <w:top w:val="nil"/>
              <w:bottom w:val="nil"/>
            </w:tcBorders>
            <w:vAlign w:val="top"/>
          </w:tcPr>
          <w:p w14:paraId="21C132B0">
            <w:pPr>
              <w:rPr>
                <w:rFonts w:ascii="Arial"/>
                <w:sz w:val="21"/>
              </w:rPr>
            </w:pPr>
          </w:p>
        </w:tc>
        <w:tc>
          <w:tcPr>
            <w:tcW w:w="868" w:type="dxa"/>
            <w:vAlign w:val="top"/>
          </w:tcPr>
          <w:p w14:paraId="79159ECE">
            <w:pPr>
              <w:spacing w:before="124"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0E867CD2">
            <w:pPr>
              <w:spacing w:before="124"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4814B72F">
            <w:pPr>
              <w:spacing w:before="128"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1154" w:type="dxa"/>
            <w:vAlign w:val="top"/>
          </w:tcPr>
          <w:p w14:paraId="3EBC541B">
            <w:pPr>
              <w:pStyle w:val="6"/>
              <w:spacing w:before="99" w:line="224" w:lineRule="auto"/>
              <w:ind w:left="535"/>
              <w:rPr>
                <w:sz w:val="18"/>
                <w:szCs w:val="18"/>
              </w:rPr>
            </w:pPr>
            <w:r>
              <w:rPr>
                <w:sz w:val="18"/>
                <w:szCs w:val="18"/>
              </w:rPr>
              <w:t>/</w:t>
            </w:r>
          </w:p>
        </w:tc>
        <w:tc>
          <w:tcPr>
            <w:tcW w:w="644" w:type="dxa"/>
            <w:vAlign w:val="top"/>
          </w:tcPr>
          <w:p w14:paraId="6C1BC957">
            <w:pPr>
              <w:spacing w:before="124"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bottom w:val="nil"/>
            </w:tcBorders>
            <w:vAlign w:val="top"/>
          </w:tcPr>
          <w:p w14:paraId="43B9C5E0">
            <w:pPr>
              <w:rPr>
                <w:rFonts w:ascii="Arial"/>
                <w:sz w:val="21"/>
              </w:rPr>
            </w:pPr>
          </w:p>
        </w:tc>
        <w:tc>
          <w:tcPr>
            <w:tcW w:w="779" w:type="dxa"/>
            <w:vAlign w:val="top"/>
          </w:tcPr>
          <w:p w14:paraId="647D0E7F">
            <w:pPr>
              <w:spacing w:before="124"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60E3E05E">
            <w:pPr>
              <w:spacing w:before="124"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75CD59BF">
            <w:pPr>
              <w:spacing w:before="128"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0.7711</w:t>
            </w:r>
          </w:p>
        </w:tc>
        <w:tc>
          <w:tcPr>
            <w:tcW w:w="799" w:type="dxa"/>
            <w:vAlign w:val="top"/>
          </w:tcPr>
          <w:p w14:paraId="18C02C20">
            <w:pPr>
              <w:spacing w:before="124"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7B101447">
            <w:pPr>
              <w:spacing w:before="128"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77" w:type="dxa"/>
            <w:tcBorders>
              <w:top w:val="nil"/>
              <w:bottom w:val="nil"/>
              <w:right w:val="single" w:color="000000" w:sz="6" w:space="0"/>
            </w:tcBorders>
            <w:vAlign w:val="top"/>
          </w:tcPr>
          <w:p w14:paraId="2345D037">
            <w:pPr>
              <w:rPr>
                <w:rFonts w:ascii="Arial"/>
                <w:sz w:val="21"/>
              </w:rPr>
            </w:pPr>
          </w:p>
        </w:tc>
      </w:tr>
      <w:tr w14:paraId="0F048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5" w:type="dxa"/>
            <w:vMerge w:val="continue"/>
            <w:tcBorders>
              <w:top w:val="nil"/>
              <w:left w:val="single" w:color="000000" w:sz="6" w:space="0"/>
              <w:bottom w:val="nil"/>
            </w:tcBorders>
            <w:vAlign w:val="top"/>
          </w:tcPr>
          <w:p w14:paraId="52BAD5FA">
            <w:pPr>
              <w:rPr>
                <w:rFonts w:ascii="Arial"/>
                <w:sz w:val="21"/>
              </w:rPr>
            </w:pPr>
          </w:p>
        </w:tc>
        <w:tc>
          <w:tcPr>
            <w:tcW w:w="66" w:type="dxa"/>
            <w:tcBorders>
              <w:top w:val="nil"/>
              <w:bottom w:val="nil"/>
            </w:tcBorders>
            <w:vAlign w:val="top"/>
          </w:tcPr>
          <w:p w14:paraId="79F0D0A9">
            <w:pPr>
              <w:rPr>
                <w:rFonts w:ascii="Arial"/>
                <w:sz w:val="21"/>
              </w:rPr>
            </w:pPr>
          </w:p>
        </w:tc>
        <w:tc>
          <w:tcPr>
            <w:tcW w:w="810" w:type="dxa"/>
            <w:vMerge w:val="continue"/>
            <w:tcBorders>
              <w:top w:val="nil"/>
              <w:bottom w:val="nil"/>
            </w:tcBorders>
            <w:vAlign w:val="top"/>
          </w:tcPr>
          <w:p w14:paraId="7D8DA01F">
            <w:pPr>
              <w:rPr>
                <w:rFonts w:ascii="Arial"/>
                <w:sz w:val="21"/>
              </w:rPr>
            </w:pPr>
          </w:p>
        </w:tc>
        <w:tc>
          <w:tcPr>
            <w:tcW w:w="854" w:type="dxa"/>
            <w:vMerge w:val="restart"/>
            <w:tcBorders>
              <w:bottom w:val="nil"/>
            </w:tcBorders>
            <w:vAlign w:val="top"/>
          </w:tcPr>
          <w:p w14:paraId="62AC8126">
            <w:pPr>
              <w:pStyle w:val="6"/>
              <w:spacing w:before="271" w:line="219" w:lineRule="auto"/>
              <w:ind w:left="155"/>
              <w:rPr>
                <w:sz w:val="18"/>
                <w:szCs w:val="18"/>
              </w:rPr>
            </w:pPr>
            <w:r>
              <w:rPr>
                <w:spacing w:val="-3"/>
                <w:sz w:val="18"/>
                <w:szCs w:val="18"/>
              </w:rPr>
              <w:t>烘干机</w:t>
            </w:r>
          </w:p>
        </w:tc>
        <w:tc>
          <w:tcPr>
            <w:tcW w:w="872" w:type="dxa"/>
            <w:vAlign w:val="top"/>
          </w:tcPr>
          <w:p w14:paraId="702A7BFE">
            <w:pPr>
              <w:pStyle w:val="6"/>
              <w:spacing w:before="96" w:line="220" w:lineRule="auto"/>
              <w:ind w:left="166"/>
              <w:rPr>
                <w:sz w:val="18"/>
                <w:szCs w:val="18"/>
              </w:rPr>
            </w:pPr>
            <w:r>
              <w:rPr>
                <w:spacing w:val="-3"/>
                <w:sz w:val="18"/>
                <w:szCs w:val="18"/>
              </w:rPr>
              <w:t>有组织</w:t>
            </w:r>
          </w:p>
        </w:tc>
        <w:tc>
          <w:tcPr>
            <w:tcW w:w="779" w:type="dxa"/>
            <w:vMerge w:val="continue"/>
            <w:tcBorders>
              <w:top w:val="nil"/>
              <w:bottom w:val="nil"/>
            </w:tcBorders>
            <w:vAlign w:val="top"/>
          </w:tcPr>
          <w:p w14:paraId="164D12C8">
            <w:pPr>
              <w:rPr>
                <w:rFonts w:ascii="Arial"/>
                <w:sz w:val="21"/>
              </w:rPr>
            </w:pPr>
          </w:p>
        </w:tc>
        <w:tc>
          <w:tcPr>
            <w:tcW w:w="614" w:type="dxa"/>
            <w:vMerge w:val="continue"/>
            <w:tcBorders>
              <w:top w:val="nil"/>
              <w:bottom w:val="nil"/>
            </w:tcBorders>
            <w:vAlign w:val="top"/>
          </w:tcPr>
          <w:p w14:paraId="21654D45">
            <w:pPr>
              <w:rPr>
                <w:rFonts w:ascii="Arial"/>
                <w:sz w:val="21"/>
              </w:rPr>
            </w:pPr>
          </w:p>
        </w:tc>
        <w:tc>
          <w:tcPr>
            <w:tcW w:w="868" w:type="dxa"/>
            <w:vAlign w:val="top"/>
          </w:tcPr>
          <w:p w14:paraId="250F24D3">
            <w:pPr>
              <w:spacing w:before="127"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34" w:type="dxa"/>
            <w:vAlign w:val="top"/>
          </w:tcPr>
          <w:p w14:paraId="48A63C3F">
            <w:pPr>
              <w:spacing w:before="127"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10.44</w:t>
            </w:r>
          </w:p>
        </w:tc>
        <w:tc>
          <w:tcPr>
            <w:tcW w:w="764" w:type="dxa"/>
            <w:vAlign w:val="top"/>
          </w:tcPr>
          <w:p w14:paraId="69A97740">
            <w:pPr>
              <w:spacing w:before="127"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0.4177</w:t>
            </w:r>
          </w:p>
        </w:tc>
        <w:tc>
          <w:tcPr>
            <w:tcW w:w="1154" w:type="dxa"/>
            <w:vAlign w:val="top"/>
          </w:tcPr>
          <w:p w14:paraId="439FED59">
            <w:pPr>
              <w:pStyle w:val="6"/>
              <w:spacing w:before="96" w:line="219" w:lineRule="auto"/>
              <w:ind w:left="136"/>
              <w:rPr>
                <w:sz w:val="18"/>
                <w:szCs w:val="18"/>
              </w:rPr>
            </w:pPr>
            <w:r>
              <w:rPr>
                <w:spacing w:val="-2"/>
                <w:sz w:val="18"/>
                <w:szCs w:val="18"/>
              </w:rPr>
              <w:t>活性炭吸附</w:t>
            </w:r>
          </w:p>
        </w:tc>
        <w:tc>
          <w:tcPr>
            <w:tcW w:w="644" w:type="dxa"/>
            <w:vAlign w:val="top"/>
          </w:tcPr>
          <w:p w14:paraId="7D2C90D9">
            <w:pPr>
              <w:spacing w:before="130" w:line="185"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74" w:type="dxa"/>
            <w:vMerge w:val="continue"/>
            <w:tcBorders>
              <w:top w:val="nil"/>
              <w:bottom w:val="nil"/>
            </w:tcBorders>
            <w:vAlign w:val="top"/>
          </w:tcPr>
          <w:p w14:paraId="752E7711">
            <w:pPr>
              <w:rPr>
                <w:rFonts w:ascii="Arial"/>
                <w:sz w:val="21"/>
              </w:rPr>
            </w:pPr>
          </w:p>
        </w:tc>
        <w:tc>
          <w:tcPr>
            <w:tcW w:w="779" w:type="dxa"/>
            <w:vAlign w:val="top"/>
          </w:tcPr>
          <w:p w14:paraId="524D6D9E">
            <w:pPr>
              <w:spacing w:before="127" w:line="188"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40000</w:t>
            </w:r>
          </w:p>
        </w:tc>
        <w:tc>
          <w:tcPr>
            <w:tcW w:w="704" w:type="dxa"/>
            <w:vAlign w:val="top"/>
          </w:tcPr>
          <w:p w14:paraId="023D2096">
            <w:pPr>
              <w:spacing w:before="127"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2.61</w:t>
            </w:r>
          </w:p>
        </w:tc>
        <w:tc>
          <w:tcPr>
            <w:tcW w:w="837" w:type="dxa"/>
            <w:vAlign w:val="top"/>
          </w:tcPr>
          <w:p w14:paraId="7181FC7F">
            <w:pPr>
              <w:spacing w:before="127"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0.1044</w:t>
            </w:r>
          </w:p>
        </w:tc>
        <w:tc>
          <w:tcPr>
            <w:tcW w:w="799" w:type="dxa"/>
            <w:vAlign w:val="top"/>
          </w:tcPr>
          <w:p w14:paraId="5A809709">
            <w:pPr>
              <w:spacing w:before="127"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DA005</w:t>
            </w:r>
          </w:p>
        </w:tc>
        <w:tc>
          <w:tcPr>
            <w:tcW w:w="598" w:type="dxa"/>
            <w:vAlign w:val="top"/>
          </w:tcPr>
          <w:p w14:paraId="512D1D44">
            <w:pPr>
              <w:spacing w:before="127"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019F5889">
            <w:pPr>
              <w:rPr>
                <w:rFonts w:ascii="Arial"/>
                <w:sz w:val="21"/>
              </w:rPr>
            </w:pPr>
          </w:p>
        </w:tc>
      </w:tr>
      <w:tr w14:paraId="41D0E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55" w:type="dxa"/>
            <w:vMerge w:val="continue"/>
            <w:tcBorders>
              <w:top w:val="nil"/>
              <w:left w:val="single" w:color="000000" w:sz="6" w:space="0"/>
              <w:bottom w:val="nil"/>
            </w:tcBorders>
            <w:vAlign w:val="top"/>
          </w:tcPr>
          <w:p w14:paraId="7536BF40">
            <w:pPr>
              <w:rPr>
                <w:rFonts w:ascii="Arial"/>
                <w:sz w:val="21"/>
              </w:rPr>
            </w:pPr>
          </w:p>
        </w:tc>
        <w:tc>
          <w:tcPr>
            <w:tcW w:w="66" w:type="dxa"/>
            <w:tcBorders>
              <w:top w:val="nil"/>
              <w:bottom w:val="nil"/>
            </w:tcBorders>
            <w:vAlign w:val="top"/>
          </w:tcPr>
          <w:p w14:paraId="6A4648BA">
            <w:pPr>
              <w:rPr>
                <w:rFonts w:ascii="Arial"/>
                <w:sz w:val="21"/>
              </w:rPr>
            </w:pPr>
          </w:p>
        </w:tc>
        <w:tc>
          <w:tcPr>
            <w:tcW w:w="810" w:type="dxa"/>
            <w:vMerge w:val="continue"/>
            <w:tcBorders>
              <w:top w:val="nil"/>
            </w:tcBorders>
            <w:vAlign w:val="top"/>
          </w:tcPr>
          <w:p w14:paraId="7F99146F">
            <w:pPr>
              <w:rPr>
                <w:rFonts w:ascii="Arial"/>
                <w:sz w:val="21"/>
              </w:rPr>
            </w:pPr>
          </w:p>
        </w:tc>
        <w:tc>
          <w:tcPr>
            <w:tcW w:w="854" w:type="dxa"/>
            <w:vMerge w:val="continue"/>
            <w:tcBorders>
              <w:top w:val="nil"/>
            </w:tcBorders>
            <w:vAlign w:val="top"/>
          </w:tcPr>
          <w:p w14:paraId="392ED4E1">
            <w:pPr>
              <w:rPr>
                <w:rFonts w:ascii="Arial"/>
                <w:sz w:val="21"/>
              </w:rPr>
            </w:pPr>
          </w:p>
        </w:tc>
        <w:tc>
          <w:tcPr>
            <w:tcW w:w="872" w:type="dxa"/>
            <w:vAlign w:val="top"/>
          </w:tcPr>
          <w:p w14:paraId="1986B2FD">
            <w:pPr>
              <w:pStyle w:val="6"/>
              <w:spacing w:before="96" w:line="220" w:lineRule="auto"/>
              <w:ind w:left="167"/>
              <w:rPr>
                <w:sz w:val="18"/>
                <w:szCs w:val="18"/>
              </w:rPr>
            </w:pPr>
            <w:r>
              <w:rPr>
                <w:spacing w:val="-3"/>
                <w:sz w:val="18"/>
                <w:szCs w:val="18"/>
              </w:rPr>
              <w:t>无组织</w:t>
            </w:r>
          </w:p>
        </w:tc>
        <w:tc>
          <w:tcPr>
            <w:tcW w:w="779" w:type="dxa"/>
            <w:vMerge w:val="continue"/>
            <w:tcBorders>
              <w:top w:val="nil"/>
            </w:tcBorders>
            <w:vAlign w:val="top"/>
          </w:tcPr>
          <w:p w14:paraId="35C9DBDF">
            <w:pPr>
              <w:rPr>
                <w:rFonts w:ascii="Arial"/>
                <w:sz w:val="21"/>
              </w:rPr>
            </w:pPr>
          </w:p>
        </w:tc>
        <w:tc>
          <w:tcPr>
            <w:tcW w:w="614" w:type="dxa"/>
            <w:vMerge w:val="continue"/>
            <w:tcBorders>
              <w:top w:val="nil"/>
            </w:tcBorders>
            <w:vAlign w:val="top"/>
          </w:tcPr>
          <w:p w14:paraId="5BA17961">
            <w:pPr>
              <w:rPr>
                <w:rFonts w:ascii="Arial"/>
                <w:sz w:val="21"/>
              </w:rPr>
            </w:pPr>
          </w:p>
        </w:tc>
        <w:tc>
          <w:tcPr>
            <w:tcW w:w="868" w:type="dxa"/>
            <w:vAlign w:val="top"/>
          </w:tcPr>
          <w:p w14:paraId="4C02BF6D">
            <w:pPr>
              <w:spacing w:before="124" w:line="192" w:lineRule="auto"/>
              <w:ind w:left="4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4" w:type="dxa"/>
            <w:vAlign w:val="top"/>
          </w:tcPr>
          <w:p w14:paraId="1F2905D7">
            <w:pPr>
              <w:spacing w:before="124" w:line="192"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4" w:type="dxa"/>
            <w:vAlign w:val="top"/>
          </w:tcPr>
          <w:p w14:paraId="0B563900">
            <w:pPr>
              <w:spacing w:before="128"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1154" w:type="dxa"/>
            <w:vAlign w:val="top"/>
          </w:tcPr>
          <w:p w14:paraId="7B5CE215">
            <w:pPr>
              <w:pStyle w:val="6"/>
              <w:spacing w:before="97" w:line="224" w:lineRule="auto"/>
              <w:ind w:left="535"/>
              <w:rPr>
                <w:sz w:val="18"/>
                <w:szCs w:val="18"/>
              </w:rPr>
            </w:pPr>
            <w:r>
              <w:rPr>
                <w:sz w:val="18"/>
                <w:szCs w:val="18"/>
              </w:rPr>
              <w:t>/</w:t>
            </w:r>
          </w:p>
        </w:tc>
        <w:tc>
          <w:tcPr>
            <w:tcW w:w="644" w:type="dxa"/>
            <w:vAlign w:val="top"/>
          </w:tcPr>
          <w:p w14:paraId="2135AFED">
            <w:pPr>
              <w:spacing w:before="124"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Merge w:val="continue"/>
            <w:tcBorders>
              <w:top w:val="nil"/>
            </w:tcBorders>
            <w:vAlign w:val="top"/>
          </w:tcPr>
          <w:p w14:paraId="4D006947">
            <w:pPr>
              <w:rPr>
                <w:rFonts w:ascii="Arial"/>
                <w:sz w:val="21"/>
              </w:rPr>
            </w:pPr>
          </w:p>
        </w:tc>
        <w:tc>
          <w:tcPr>
            <w:tcW w:w="779" w:type="dxa"/>
            <w:vAlign w:val="top"/>
          </w:tcPr>
          <w:p w14:paraId="752D9866">
            <w:pPr>
              <w:spacing w:before="124"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4" w:type="dxa"/>
            <w:vAlign w:val="top"/>
          </w:tcPr>
          <w:p w14:paraId="4381180D">
            <w:pPr>
              <w:spacing w:before="124"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vAlign w:val="top"/>
          </w:tcPr>
          <w:p w14:paraId="7202096D">
            <w:pPr>
              <w:spacing w:before="128"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0.2249</w:t>
            </w:r>
          </w:p>
        </w:tc>
        <w:tc>
          <w:tcPr>
            <w:tcW w:w="799" w:type="dxa"/>
            <w:vAlign w:val="top"/>
          </w:tcPr>
          <w:p w14:paraId="31E0EACA">
            <w:pPr>
              <w:spacing w:before="124" w:line="192" w:lineRule="auto"/>
              <w:ind w:left="37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8" w:type="dxa"/>
            <w:vAlign w:val="top"/>
          </w:tcPr>
          <w:p w14:paraId="7314BCEC">
            <w:pPr>
              <w:spacing w:before="128"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77" w:type="dxa"/>
            <w:tcBorders>
              <w:top w:val="nil"/>
              <w:bottom w:val="nil"/>
              <w:right w:val="single" w:color="000000" w:sz="6" w:space="0"/>
            </w:tcBorders>
            <w:vAlign w:val="top"/>
          </w:tcPr>
          <w:p w14:paraId="6E77BC41">
            <w:pPr>
              <w:rPr>
                <w:rFonts w:ascii="Arial"/>
                <w:sz w:val="21"/>
              </w:rPr>
            </w:pPr>
          </w:p>
        </w:tc>
      </w:tr>
      <w:tr w14:paraId="46802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 w:hRule="atLeast"/>
        </w:trPr>
        <w:tc>
          <w:tcPr>
            <w:tcW w:w="755" w:type="dxa"/>
            <w:vMerge w:val="continue"/>
            <w:tcBorders>
              <w:top w:val="nil"/>
              <w:left w:val="single" w:color="000000" w:sz="6" w:space="0"/>
              <w:bottom w:val="single" w:color="000000" w:sz="6" w:space="0"/>
            </w:tcBorders>
            <w:vAlign w:val="top"/>
          </w:tcPr>
          <w:p w14:paraId="0E0DDC09">
            <w:pPr>
              <w:rPr>
                <w:rFonts w:ascii="Arial"/>
                <w:sz w:val="21"/>
              </w:rPr>
            </w:pPr>
          </w:p>
        </w:tc>
        <w:tc>
          <w:tcPr>
            <w:tcW w:w="66" w:type="dxa"/>
            <w:tcBorders>
              <w:top w:val="nil"/>
              <w:bottom w:val="single" w:color="000000" w:sz="6" w:space="0"/>
              <w:right w:val="nil"/>
            </w:tcBorders>
            <w:vAlign w:val="top"/>
          </w:tcPr>
          <w:p w14:paraId="7FF15862">
            <w:pPr>
              <w:spacing w:line="115" w:lineRule="exact"/>
              <w:rPr>
                <w:rFonts w:ascii="Arial"/>
                <w:sz w:val="10"/>
              </w:rPr>
            </w:pPr>
          </w:p>
        </w:tc>
        <w:tc>
          <w:tcPr>
            <w:tcW w:w="810" w:type="dxa"/>
            <w:tcBorders>
              <w:left w:val="nil"/>
              <w:bottom w:val="single" w:color="000000" w:sz="6" w:space="0"/>
              <w:right w:val="nil"/>
            </w:tcBorders>
            <w:vAlign w:val="top"/>
          </w:tcPr>
          <w:p w14:paraId="3C86CCB9">
            <w:pPr>
              <w:spacing w:line="115" w:lineRule="exact"/>
              <w:rPr>
                <w:rFonts w:ascii="Arial"/>
                <w:sz w:val="10"/>
              </w:rPr>
            </w:pPr>
          </w:p>
        </w:tc>
        <w:tc>
          <w:tcPr>
            <w:tcW w:w="854" w:type="dxa"/>
            <w:tcBorders>
              <w:left w:val="nil"/>
              <w:bottom w:val="single" w:color="000000" w:sz="6" w:space="0"/>
              <w:right w:val="nil"/>
            </w:tcBorders>
            <w:vAlign w:val="top"/>
          </w:tcPr>
          <w:p w14:paraId="6F8C52DE">
            <w:pPr>
              <w:spacing w:line="115" w:lineRule="exact"/>
              <w:rPr>
                <w:rFonts w:ascii="Arial"/>
                <w:sz w:val="10"/>
              </w:rPr>
            </w:pPr>
          </w:p>
        </w:tc>
        <w:tc>
          <w:tcPr>
            <w:tcW w:w="872" w:type="dxa"/>
            <w:tcBorders>
              <w:left w:val="nil"/>
              <w:bottom w:val="single" w:color="000000" w:sz="6" w:space="0"/>
              <w:right w:val="nil"/>
            </w:tcBorders>
            <w:vAlign w:val="top"/>
          </w:tcPr>
          <w:p w14:paraId="06F7E856">
            <w:pPr>
              <w:spacing w:line="115" w:lineRule="exact"/>
              <w:rPr>
                <w:rFonts w:ascii="Arial"/>
                <w:sz w:val="10"/>
              </w:rPr>
            </w:pPr>
          </w:p>
        </w:tc>
        <w:tc>
          <w:tcPr>
            <w:tcW w:w="779" w:type="dxa"/>
            <w:tcBorders>
              <w:left w:val="nil"/>
              <w:bottom w:val="single" w:color="000000" w:sz="6" w:space="0"/>
              <w:right w:val="nil"/>
            </w:tcBorders>
            <w:vAlign w:val="top"/>
          </w:tcPr>
          <w:p w14:paraId="71A4CFAE">
            <w:pPr>
              <w:spacing w:line="115" w:lineRule="exact"/>
              <w:rPr>
                <w:rFonts w:ascii="Arial"/>
                <w:sz w:val="10"/>
              </w:rPr>
            </w:pPr>
          </w:p>
        </w:tc>
        <w:tc>
          <w:tcPr>
            <w:tcW w:w="614" w:type="dxa"/>
            <w:tcBorders>
              <w:left w:val="nil"/>
              <w:bottom w:val="single" w:color="000000" w:sz="6" w:space="0"/>
              <w:right w:val="nil"/>
            </w:tcBorders>
            <w:vAlign w:val="top"/>
          </w:tcPr>
          <w:p w14:paraId="2EE92BBB">
            <w:pPr>
              <w:spacing w:line="115" w:lineRule="exact"/>
              <w:rPr>
                <w:rFonts w:ascii="Arial"/>
                <w:sz w:val="10"/>
              </w:rPr>
            </w:pPr>
          </w:p>
        </w:tc>
        <w:tc>
          <w:tcPr>
            <w:tcW w:w="868" w:type="dxa"/>
            <w:tcBorders>
              <w:left w:val="nil"/>
              <w:bottom w:val="single" w:color="000000" w:sz="6" w:space="0"/>
              <w:right w:val="nil"/>
            </w:tcBorders>
            <w:vAlign w:val="top"/>
          </w:tcPr>
          <w:p w14:paraId="708EAB75">
            <w:pPr>
              <w:spacing w:line="115" w:lineRule="exact"/>
              <w:rPr>
                <w:rFonts w:ascii="Arial"/>
                <w:sz w:val="10"/>
              </w:rPr>
            </w:pPr>
          </w:p>
        </w:tc>
        <w:tc>
          <w:tcPr>
            <w:tcW w:w="734" w:type="dxa"/>
            <w:tcBorders>
              <w:left w:val="nil"/>
              <w:bottom w:val="single" w:color="000000" w:sz="6" w:space="0"/>
              <w:right w:val="nil"/>
            </w:tcBorders>
            <w:vAlign w:val="top"/>
          </w:tcPr>
          <w:p w14:paraId="4CAAC096">
            <w:pPr>
              <w:spacing w:line="115" w:lineRule="exact"/>
              <w:rPr>
                <w:rFonts w:ascii="Arial"/>
                <w:sz w:val="10"/>
              </w:rPr>
            </w:pPr>
          </w:p>
        </w:tc>
        <w:tc>
          <w:tcPr>
            <w:tcW w:w="764" w:type="dxa"/>
            <w:tcBorders>
              <w:left w:val="nil"/>
              <w:bottom w:val="single" w:color="000000" w:sz="6" w:space="0"/>
              <w:right w:val="nil"/>
            </w:tcBorders>
            <w:vAlign w:val="top"/>
          </w:tcPr>
          <w:p w14:paraId="7BC17466">
            <w:pPr>
              <w:spacing w:line="115" w:lineRule="exact"/>
              <w:rPr>
                <w:rFonts w:ascii="Arial"/>
                <w:sz w:val="10"/>
              </w:rPr>
            </w:pPr>
          </w:p>
        </w:tc>
        <w:tc>
          <w:tcPr>
            <w:tcW w:w="1154" w:type="dxa"/>
            <w:tcBorders>
              <w:left w:val="nil"/>
              <w:bottom w:val="single" w:color="000000" w:sz="6" w:space="0"/>
              <w:right w:val="nil"/>
            </w:tcBorders>
            <w:vAlign w:val="top"/>
          </w:tcPr>
          <w:p w14:paraId="0910AD41">
            <w:pPr>
              <w:spacing w:line="115" w:lineRule="exact"/>
              <w:rPr>
                <w:rFonts w:ascii="Arial"/>
                <w:sz w:val="10"/>
              </w:rPr>
            </w:pPr>
          </w:p>
        </w:tc>
        <w:tc>
          <w:tcPr>
            <w:tcW w:w="644" w:type="dxa"/>
            <w:tcBorders>
              <w:left w:val="nil"/>
              <w:bottom w:val="single" w:color="000000" w:sz="6" w:space="0"/>
              <w:right w:val="nil"/>
            </w:tcBorders>
            <w:vAlign w:val="top"/>
          </w:tcPr>
          <w:p w14:paraId="1E981687">
            <w:pPr>
              <w:spacing w:line="115" w:lineRule="exact"/>
              <w:rPr>
                <w:rFonts w:ascii="Arial"/>
                <w:sz w:val="10"/>
              </w:rPr>
            </w:pPr>
          </w:p>
        </w:tc>
        <w:tc>
          <w:tcPr>
            <w:tcW w:w="674" w:type="dxa"/>
            <w:tcBorders>
              <w:left w:val="nil"/>
              <w:bottom w:val="single" w:color="000000" w:sz="6" w:space="0"/>
              <w:right w:val="nil"/>
            </w:tcBorders>
            <w:vAlign w:val="top"/>
          </w:tcPr>
          <w:p w14:paraId="1F33543E">
            <w:pPr>
              <w:spacing w:line="115" w:lineRule="exact"/>
              <w:rPr>
                <w:rFonts w:ascii="Arial"/>
                <w:sz w:val="10"/>
              </w:rPr>
            </w:pPr>
          </w:p>
        </w:tc>
        <w:tc>
          <w:tcPr>
            <w:tcW w:w="779" w:type="dxa"/>
            <w:tcBorders>
              <w:left w:val="nil"/>
              <w:bottom w:val="single" w:color="000000" w:sz="6" w:space="0"/>
              <w:right w:val="nil"/>
            </w:tcBorders>
            <w:vAlign w:val="top"/>
          </w:tcPr>
          <w:p w14:paraId="37454155">
            <w:pPr>
              <w:spacing w:line="115" w:lineRule="exact"/>
              <w:rPr>
                <w:rFonts w:ascii="Arial"/>
                <w:sz w:val="10"/>
              </w:rPr>
            </w:pPr>
          </w:p>
        </w:tc>
        <w:tc>
          <w:tcPr>
            <w:tcW w:w="704" w:type="dxa"/>
            <w:tcBorders>
              <w:left w:val="nil"/>
              <w:bottom w:val="single" w:color="000000" w:sz="6" w:space="0"/>
              <w:right w:val="nil"/>
            </w:tcBorders>
            <w:vAlign w:val="top"/>
          </w:tcPr>
          <w:p w14:paraId="211FBA41">
            <w:pPr>
              <w:spacing w:line="115" w:lineRule="exact"/>
              <w:rPr>
                <w:rFonts w:ascii="Arial"/>
                <w:sz w:val="10"/>
              </w:rPr>
            </w:pPr>
          </w:p>
        </w:tc>
        <w:tc>
          <w:tcPr>
            <w:tcW w:w="837" w:type="dxa"/>
            <w:tcBorders>
              <w:left w:val="nil"/>
              <w:bottom w:val="single" w:color="000000" w:sz="6" w:space="0"/>
              <w:right w:val="nil"/>
            </w:tcBorders>
            <w:vAlign w:val="top"/>
          </w:tcPr>
          <w:p w14:paraId="57EB490D">
            <w:pPr>
              <w:spacing w:line="115" w:lineRule="exact"/>
              <w:rPr>
                <w:rFonts w:ascii="Arial"/>
                <w:sz w:val="10"/>
              </w:rPr>
            </w:pPr>
          </w:p>
        </w:tc>
        <w:tc>
          <w:tcPr>
            <w:tcW w:w="799" w:type="dxa"/>
            <w:tcBorders>
              <w:left w:val="nil"/>
              <w:bottom w:val="single" w:color="000000" w:sz="6" w:space="0"/>
              <w:right w:val="nil"/>
            </w:tcBorders>
            <w:vAlign w:val="top"/>
          </w:tcPr>
          <w:p w14:paraId="2ED30DF8">
            <w:pPr>
              <w:spacing w:line="115" w:lineRule="exact"/>
              <w:rPr>
                <w:rFonts w:ascii="Arial"/>
                <w:sz w:val="10"/>
              </w:rPr>
            </w:pPr>
          </w:p>
        </w:tc>
        <w:tc>
          <w:tcPr>
            <w:tcW w:w="598" w:type="dxa"/>
            <w:tcBorders>
              <w:left w:val="nil"/>
              <w:bottom w:val="single" w:color="000000" w:sz="6" w:space="0"/>
              <w:right w:val="nil"/>
            </w:tcBorders>
            <w:vAlign w:val="top"/>
          </w:tcPr>
          <w:p w14:paraId="54C4F21C">
            <w:pPr>
              <w:spacing w:line="115" w:lineRule="exact"/>
              <w:rPr>
                <w:rFonts w:ascii="Arial"/>
                <w:sz w:val="10"/>
              </w:rPr>
            </w:pPr>
          </w:p>
        </w:tc>
        <w:tc>
          <w:tcPr>
            <w:tcW w:w="77" w:type="dxa"/>
            <w:tcBorders>
              <w:top w:val="nil"/>
              <w:left w:val="nil"/>
              <w:bottom w:val="single" w:color="000000" w:sz="6" w:space="0"/>
              <w:right w:val="single" w:color="000000" w:sz="6" w:space="0"/>
            </w:tcBorders>
            <w:vAlign w:val="top"/>
          </w:tcPr>
          <w:p w14:paraId="5E830C14">
            <w:pPr>
              <w:spacing w:line="115" w:lineRule="exact"/>
              <w:rPr>
                <w:rFonts w:ascii="Arial"/>
                <w:sz w:val="10"/>
              </w:rPr>
            </w:pPr>
          </w:p>
        </w:tc>
      </w:tr>
    </w:tbl>
    <w:p w14:paraId="6D970326">
      <w:pPr>
        <w:rPr>
          <w:rFonts w:ascii="Arial"/>
          <w:sz w:val="21"/>
        </w:rPr>
      </w:pPr>
    </w:p>
    <w:p w14:paraId="63B73194">
      <w:pPr>
        <w:rPr>
          <w:rFonts w:ascii="Arial" w:hAnsi="Arial" w:eastAsia="Arial" w:cs="Arial"/>
          <w:sz w:val="21"/>
          <w:szCs w:val="21"/>
        </w:rPr>
        <w:sectPr>
          <w:footerReference r:id="rId69" w:type="default"/>
          <w:pgSz w:w="16840" w:h="11907"/>
          <w:pgMar w:top="400" w:right="1721" w:bottom="1241" w:left="1721" w:header="0" w:footer="1079" w:gutter="0"/>
          <w:cols w:space="720" w:num="1"/>
        </w:sectPr>
      </w:pPr>
    </w:p>
    <w:p w14:paraId="253EBA09">
      <w:pPr>
        <w:spacing w:before="13"/>
      </w:pPr>
    </w:p>
    <w:p w14:paraId="255A3499">
      <w:pPr>
        <w:spacing w:before="13"/>
      </w:pPr>
    </w:p>
    <w:p w14:paraId="5281642D">
      <w:pPr>
        <w:spacing w:before="13"/>
      </w:pPr>
    </w:p>
    <w:p w14:paraId="52057C1B">
      <w:pPr>
        <w:spacing w:before="12"/>
      </w:pPr>
    </w:p>
    <w:tbl>
      <w:tblPr>
        <w:tblStyle w:val="5"/>
        <w:tblW w:w="133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12627"/>
      </w:tblGrid>
      <w:tr w14:paraId="74357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48" w:hRule="atLeast"/>
        </w:trPr>
        <w:tc>
          <w:tcPr>
            <w:tcW w:w="755" w:type="dxa"/>
            <w:tcBorders>
              <w:right w:val="single" w:color="000000" w:sz="2" w:space="0"/>
            </w:tcBorders>
            <w:vAlign w:val="top"/>
          </w:tcPr>
          <w:p w14:paraId="44DDB7D3">
            <w:pPr>
              <w:rPr>
                <w:rFonts w:ascii="Arial"/>
                <w:sz w:val="21"/>
              </w:rPr>
            </w:pPr>
          </w:p>
        </w:tc>
        <w:tc>
          <w:tcPr>
            <w:tcW w:w="12627" w:type="dxa"/>
            <w:tcBorders>
              <w:left w:val="single" w:color="000000" w:sz="2" w:space="0"/>
            </w:tcBorders>
            <w:vAlign w:val="top"/>
          </w:tcPr>
          <w:p w14:paraId="3443426A">
            <w:pPr>
              <w:spacing w:before="158" w:line="358" w:lineRule="auto"/>
              <w:ind w:left="103" w:right="40" w:firstLine="496"/>
              <w:jc w:val="both"/>
              <w:rPr>
                <w:rFonts w:ascii="楷体" w:hAnsi="楷体" w:eastAsia="楷体" w:cs="楷体"/>
                <w:sz w:val="24"/>
                <w:szCs w:val="24"/>
              </w:rPr>
            </w:pPr>
            <w:r>
              <w:rPr>
                <w:rFonts w:ascii="楷体" w:hAnsi="楷体" w:eastAsia="楷体" w:cs="楷体"/>
                <w:sz w:val="24"/>
                <w:szCs w:val="24"/>
              </w:rPr>
              <w:t>注：根据《挥发性有机物无组织排放控制标</w:t>
            </w:r>
            <w:r>
              <w:rPr>
                <w:rFonts w:ascii="楷体" w:hAnsi="楷体" w:eastAsia="楷体" w:cs="楷体"/>
                <w:spacing w:val="-1"/>
                <w:sz w:val="24"/>
                <w:szCs w:val="24"/>
              </w:rPr>
              <w:t>准》（GB37822—2019）的要求，“收集的废气中NMHC</w:t>
            </w:r>
            <w:r>
              <w:rPr>
                <w:rFonts w:ascii="楷体" w:hAnsi="楷体" w:eastAsia="楷体" w:cs="楷体"/>
                <w:spacing w:val="-50"/>
                <w:sz w:val="24"/>
                <w:szCs w:val="24"/>
              </w:rPr>
              <w:t xml:space="preserve"> </w:t>
            </w:r>
            <w:r>
              <w:rPr>
                <w:rFonts w:ascii="楷体" w:hAnsi="楷体" w:eastAsia="楷体" w:cs="楷体"/>
                <w:spacing w:val="-1"/>
                <w:sz w:val="24"/>
                <w:szCs w:val="24"/>
              </w:rPr>
              <w:t>初始排放速率≥</w:t>
            </w:r>
            <w:r>
              <w:rPr>
                <w:rFonts w:ascii="楷体" w:hAnsi="楷体" w:eastAsia="楷体" w:cs="楷体"/>
                <w:sz w:val="24"/>
                <w:szCs w:val="24"/>
              </w:rPr>
              <w:t xml:space="preserve"> </w:t>
            </w:r>
            <w:r>
              <w:rPr>
                <w:rFonts w:ascii="楷体" w:hAnsi="楷体" w:eastAsia="楷体" w:cs="楷体"/>
                <w:spacing w:val="-3"/>
                <w:sz w:val="24"/>
                <w:szCs w:val="24"/>
              </w:rPr>
              <w:t>3kg/h</w:t>
            </w:r>
            <w:r>
              <w:rPr>
                <w:rFonts w:ascii="楷体" w:hAnsi="楷体" w:eastAsia="楷体" w:cs="楷体"/>
                <w:spacing w:val="-36"/>
                <w:sz w:val="24"/>
                <w:szCs w:val="24"/>
              </w:rPr>
              <w:t xml:space="preserve"> </w:t>
            </w:r>
            <w:r>
              <w:rPr>
                <w:rFonts w:ascii="楷体" w:hAnsi="楷体" w:eastAsia="楷体" w:cs="楷体"/>
                <w:spacing w:val="-3"/>
                <w:sz w:val="24"/>
                <w:szCs w:val="24"/>
              </w:rPr>
              <w:t>时，应配置VOCs</w:t>
            </w:r>
            <w:r>
              <w:rPr>
                <w:rFonts w:ascii="楷体" w:hAnsi="楷体" w:eastAsia="楷体" w:cs="楷体"/>
                <w:spacing w:val="-49"/>
                <w:sz w:val="24"/>
                <w:szCs w:val="24"/>
              </w:rPr>
              <w:t xml:space="preserve"> </w:t>
            </w:r>
            <w:r>
              <w:rPr>
                <w:rFonts w:ascii="楷体" w:hAnsi="楷体" w:eastAsia="楷体" w:cs="楷体"/>
                <w:spacing w:val="-3"/>
                <w:sz w:val="24"/>
                <w:szCs w:val="24"/>
              </w:rPr>
              <w:t>处理设施，处理效率不应低于</w:t>
            </w:r>
            <w:r>
              <w:rPr>
                <w:rFonts w:ascii="楷体" w:hAnsi="楷体" w:eastAsia="楷体" w:cs="楷体"/>
                <w:spacing w:val="-54"/>
                <w:sz w:val="24"/>
                <w:szCs w:val="24"/>
              </w:rPr>
              <w:t xml:space="preserve"> </w:t>
            </w:r>
            <w:r>
              <w:rPr>
                <w:rFonts w:ascii="楷体" w:hAnsi="楷体" w:eastAsia="楷体" w:cs="楷体"/>
                <w:spacing w:val="-3"/>
                <w:sz w:val="24"/>
                <w:szCs w:val="24"/>
              </w:rPr>
              <w:t>80%;对于重点</w:t>
            </w:r>
            <w:r>
              <w:rPr>
                <w:rFonts w:ascii="楷体" w:hAnsi="楷体" w:eastAsia="楷体" w:cs="楷体"/>
                <w:spacing w:val="-4"/>
                <w:sz w:val="24"/>
                <w:szCs w:val="24"/>
              </w:rPr>
              <w:t>地区，收集的废气中</w:t>
            </w:r>
            <w:r>
              <w:rPr>
                <w:rFonts w:ascii="楷体" w:hAnsi="楷体" w:eastAsia="楷体" w:cs="楷体"/>
                <w:spacing w:val="-51"/>
                <w:sz w:val="24"/>
                <w:szCs w:val="24"/>
              </w:rPr>
              <w:t xml:space="preserve"> </w:t>
            </w:r>
            <w:r>
              <w:rPr>
                <w:rFonts w:ascii="楷体" w:hAnsi="楷体" w:eastAsia="楷体" w:cs="楷体"/>
                <w:spacing w:val="-4"/>
                <w:sz w:val="24"/>
                <w:szCs w:val="24"/>
              </w:rPr>
              <w:t>NMHC</w:t>
            </w:r>
            <w:r>
              <w:rPr>
                <w:rFonts w:ascii="楷体" w:hAnsi="楷体" w:eastAsia="楷体" w:cs="楷体"/>
                <w:spacing w:val="-49"/>
                <w:sz w:val="24"/>
                <w:szCs w:val="24"/>
              </w:rPr>
              <w:t xml:space="preserve"> </w:t>
            </w:r>
            <w:r>
              <w:rPr>
                <w:rFonts w:ascii="楷体" w:hAnsi="楷体" w:eastAsia="楷体" w:cs="楷体"/>
                <w:spacing w:val="-4"/>
                <w:sz w:val="24"/>
                <w:szCs w:val="24"/>
              </w:rPr>
              <w:t>初始排放速率≥2kg/h</w:t>
            </w:r>
            <w:r>
              <w:rPr>
                <w:rFonts w:ascii="楷体" w:hAnsi="楷体" w:eastAsia="楷体" w:cs="楷体"/>
                <w:spacing w:val="-36"/>
                <w:sz w:val="24"/>
                <w:szCs w:val="24"/>
              </w:rPr>
              <w:t xml:space="preserve"> </w:t>
            </w:r>
            <w:r>
              <w:rPr>
                <w:rFonts w:ascii="楷体" w:hAnsi="楷体" w:eastAsia="楷体" w:cs="楷体"/>
                <w:spacing w:val="-4"/>
                <w:sz w:val="24"/>
                <w:szCs w:val="24"/>
              </w:rPr>
              <w:t>时，</w:t>
            </w:r>
            <w:r>
              <w:rPr>
                <w:rFonts w:ascii="楷体" w:hAnsi="楷体" w:eastAsia="楷体" w:cs="楷体"/>
                <w:sz w:val="24"/>
                <w:szCs w:val="24"/>
              </w:rPr>
              <w:t xml:space="preserve"> </w:t>
            </w:r>
            <w:r>
              <w:rPr>
                <w:rFonts w:ascii="楷体" w:hAnsi="楷体" w:eastAsia="楷体" w:cs="楷体"/>
                <w:spacing w:val="4"/>
                <w:sz w:val="24"/>
                <w:szCs w:val="24"/>
              </w:rPr>
              <w:t>应配置</w:t>
            </w:r>
            <w:r>
              <w:rPr>
                <w:rFonts w:ascii="楷体" w:hAnsi="楷体" w:eastAsia="楷体" w:cs="楷体"/>
                <w:sz w:val="24"/>
                <w:szCs w:val="24"/>
              </w:rPr>
              <w:t>VOCs</w:t>
            </w:r>
            <w:r>
              <w:rPr>
                <w:rFonts w:ascii="楷体" w:hAnsi="楷体" w:eastAsia="楷体" w:cs="楷体"/>
                <w:spacing w:val="4"/>
                <w:sz w:val="24"/>
                <w:szCs w:val="24"/>
              </w:rPr>
              <w:t>处理设施，处理效率不应低于</w:t>
            </w:r>
            <w:r>
              <w:rPr>
                <w:rFonts w:ascii="楷体" w:hAnsi="楷体" w:eastAsia="楷体" w:cs="楷体"/>
                <w:spacing w:val="-51"/>
                <w:sz w:val="24"/>
                <w:szCs w:val="24"/>
              </w:rPr>
              <w:t xml:space="preserve"> </w:t>
            </w:r>
            <w:r>
              <w:rPr>
                <w:rFonts w:ascii="楷体" w:hAnsi="楷体" w:eastAsia="楷体" w:cs="楷体"/>
                <w:spacing w:val="4"/>
                <w:sz w:val="24"/>
                <w:szCs w:val="24"/>
              </w:rPr>
              <w:t>80%;采用的原辅材料符合国家有关低</w:t>
            </w:r>
            <w:r>
              <w:rPr>
                <w:rFonts w:ascii="楷体" w:hAnsi="楷体" w:eastAsia="楷体" w:cs="楷体"/>
                <w:spacing w:val="-58"/>
                <w:sz w:val="24"/>
                <w:szCs w:val="24"/>
              </w:rPr>
              <w:t xml:space="preserve"> </w:t>
            </w:r>
            <w:r>
              <w:rPr>
                <w:rFonts w:ascii="楷体" w:hAnsi="楷体" w:eastAsia="楷体" w:cs="楷体"/>
                <w:sz w:val="24"/>
                <w:szCs w:val="24"/>
              </w:rPr>
              <w:t>VOCs</w:t>
            </w:r>
            <w:r>
              <w:rPr>
                <w:rFonts w:ascii="楷体" w:hAnsi="楷体" w:eastAsia="楷体" w:cs="楷体"/>
                <w:spacing w:val="-58"/>
                <w:sz w:val="24"/>
                <w:szCs w:val="24"/>
              </w:rPr>
              <w:t xml:space="preserve"> </w:t>
            </w:r>
            <w:r>
              <w:rPr>
                <w:rFonts w:ascii="楷体" w:hAnsi="楷体" w:eastAsia="楷体" w:cs="楷体"/>
                <w:spacing w:val="4"/>
                <w:sz w:val="24"/>
                <w:szCs w:val="24"/>
              </w:rPr>
              <w:t>含量产</w:t>
            </w:r>
            <w:r>
              <w:rPr>
                <w:rFonts w:ascii="楷体" w:hAnsi="楷体" w:eastAsia="楷体" w:cs="楷体"/>
                <w:spacing w:val="3"/>
                <w:sz w:val="24"/>
                <w:szCs w:val="24"/>
              </w:rPr>
              <w:t>品规定的除外。</w:t>
            </w:r>
            <w:r>
              <w:rPr>
                <w:rFonts w:ascii="楷体" w:hAnsi="楷体" w:eastAsia="楷体" w:cs="楷体"/>
                <w:spacing w:val="-85"/>
                <w:sz w:val="24"/>
                <w:szCs w:val="24"/>
              </w:rPr>
              <w:t xml:space="preserve"> </w:t>
            </w:r>
            <w:r>
              <w:rPr>
                <w:rFonts w:ascii="楷体" w:hAnsi="楷体" w:eastAsia="楷体" w:cs="楷体"/>
                <w:spacing w:val="3"/>
                <w:sz w:val="24"/>
                <w:szCs w:val="24"/>
              </w:rPr>
              <w:t>”本项目</w:t>
            </w:r>
            <w:r>
              <w:rPr>
                <w:rFonts w:ascii="楷体" w:hAnsi="楷体" w:eastAsia="楷体" w:cs="楷体"/>
                <w:sz w:val="24"/>
                <w:szCs w:val="24"/>
              </w:rPr>
              <w:t xml:space="preserve"> 收集的废气中</w:t>
            </w:r>
            <w:r>
              <w:rPr>
                <w:rFonts w:ascii="楷体" w:hAnsi="楷体" w:eastAsia="楷体" w:cs="楷体"/>
                <w:spacing w:val="-46"/>
                <w:sz w:val="24"/>
                <w:szCs w:val="24"/>
              </w:rPr>
              <w:t xml:space="preserve"> </w:t>
            </w:r>
            <w:r>
              <w:rPr>
                <w:rFonts w:ascii="楷体" w:hAnsi="楷体" w:eastAsia="楷体" w:cs="楷体"/>
                <w:sz w:val="24"/>
                <w:szCs w:val="24"/>
              </w:rPr>
              <w:t>NMHC</w:t>
            </w:r>
            <w:r>
              <w:rPr>
                <w:rFonts w:ascii="楷体" w:hAnsi="楷体" w:eastAsia="楷体" w:cs="楷体"/>
                <w:spacing w:val="-31"/>
                <w:sz w:val="24"/>
                <w:szCs w:val="24"/>
              </w:rPr>
              <w:t xml:space="preserve"> </w:t>
            </w:r>
            <w:r>
              <w:rPr>
                <w:rFonts w:ascii="楷体" w:hAnsi="楷体" w:eastAsia="楷体" w:cs="楷体"/>
                <w:sz w:val="24"/>
                <w:szCs w:val="24"/>
              </w:rPr>
              <w:t>小于2kg/h，处理效率设计为</w:t>
            </w:r>
            <w:r>
              <w:rPr>
                <w:rFonts w:ascii="楷体" w:hAnsi="楷体" w:eastAsia="楷体" w:cs="楷体"/>
                <w:spacing w:val="-49"/>
                <w:sz w:val="24"/>
                <w:szCs w:val="24"/>
              </w:rPr>
              <w:t xml:space="preserve"> </w:t>
            </w:r>
            <w:r>
              <w:rPr>
                <w:rFonts w:ascii="楷体" w:hAnsi="楷体" w:eastAsia="楷体" w:cs="楷体"/>
                <w:sz w:val="24"/>
                <w:szCs w:val="24"/>
              </w:rPr>
              <w:t>75%，是符合要求的。</w:t>
            </w:r>
          </w:p>
          <w:p w14:paraId="274C25F9">
            <w:pPr>
              <w:pStyle w:val="6"/>
              <w:spacing w:before="126" w:line="219" w:lineRule="auto"/>
              <w:ind w:left="588"/>
            </w:pPr>
            <w:r>
              <w:rPr>
                <w:spacing w:val="-1"/>
              </w:rPr>
              <w:t>本项目有机废气处理设施活性炭吸附塔安置于</w:t>
            </w:r>
            <w:r>
              <w:rPr>
                <w:spacing w:val="-43"/>
              </w:rPr>
              <w:t xml:space="preserve"> </w:t>
            </w:r>
            <w:r>
              <w:rPr>
                <w:rFonts w:ascii="Times New Roman" w:hAnsi="Times New Roman" w:eastAsia="Times New Roman" w:cs="Times New Roman"/>
                <w:spacing w:val="-1"/>
              </w:rPr>
              <w:t>5#</w:t>
            </w:r>
            <w:r>
              <w:rPr>
                <w:spacing w:val="-1"/>
              </w:rPr>
              <w:t>楼楼顶。有机废气经处理后尾气</w:t>
            </w:r>
            <w:r>
              <w:rPr>
                <w:spacing w:val="-56"/>
              </w:rPr>
              <w:t xml:space="preserve"> </w:t>
            </w:r>
            <w:r>
              <w:rPr>
                <w:rFonts w:ascii="Times New Roman" w:hAnsi="Times New Roman" w:eastAsia="Times New Roman" w:cs="Times New Roman"/>
                <w:spacing w:val="-1"/>
              </w:rPr>
              <w:t>40m</w:t>
            </w:r>
            <w:r>
              <w:rPr>
                <w:rFonts w:ascii="Times New Roman" w:hAnsi="Times New Roman" w:eastAsia="Times New Roman" w:cs="Times New Roman"/>
                <w:spacing w:val="17"/>
              </w:rPr>
              <w:t xml:space="preserve"> </w:t>
            </w:r>
            <w:r>
              <w:rPr>
                <w:spacing w:val="-1"/>
              </w:rPr>
              <w:t>高的排气筒达标排放。</w:t>
            </w:r>
          </w:p>
        </w:tc>
      </w:tr>
    </w:tbl>
    <w:p w14:paraId="0278B2C9">
      <w:pPr>
        <w:rPr>
          <w:rFonts w:ascii="Arial"/>
          <w:sz w:val="21"/>
        </w:rPr>
      </w:pPr>
    </w:p>
    <w:p w14:paraId="545BA654">
      <w:pPr>
        <w:rPr>
          <w:rFonts w:ascii="Arial" w:hAnsi="Arial" w:eastAsia="Arial" w:cs="Arial"/>
          <w:sz w:val="21"/>
          <w:szCs w:val="21"/>
        </w:rPr>
        <w:sectPr>
          <w:footerReference r:id="rId70" w:type="default"/>
          <w:pgSz w:w="16840" w:h="11907"/>
          <w:pgMar w:top="400" w:right="1721" w:bottom="1241" w:left="1721" w:header="0" w:footer="1079" w:gutter="0"/>
          <w:cols w:space="720" w:num="1"/>
        </w:sectPr>
      </w:pPr>
    </w:p>
    <w:p w14:paraId="6C419A78">
      <w:pPr>
        <w:spacing w:before="19"/>
      </w:pPr>
      <w:r>
        <w:pict>
          <v:shape id="_x0000_s1042" o:spid="_x0000_s1042" style="position:absolute;left:0pt;margin-left:118.4pt;margin-top:558.85pt;height:182.35pt;width:0.5pt;mso-position-horizontal-relative:page;mso-position-vertical-relative:page;z-index:251674624;mso-width-relative:page;mso-height-relative:page;" filled="f" stroked="t" coordsize="10,3647" o:allowincell="f" path="m4,0l4,3646e">
            <v:fill on="f" focussize="0,0"/>
            <v:stroke weight="0.48pt" color="#000000" miterlimit="2" joinstyle="bevel"/>
            <v:imagedata o:title=""/>
            <o:lock v:ext="edit"/>
          </v:shape>
        </w:pict>
      </w:r>
    </w:p>
    <w:p w14:paraId="39910509">
      <w:pPr>
        <w:spacing w:before="19"/>
      </w:pPr>
    </w:p>
    <w:p w14:paraId="556A5751">
      <w:pPr>
        <w:spacing w:before="19"/>
      </w:pPr>
    </w:p>
    <w:p w14:paraId="62A2594D">
      <w:pPr>
        <w:spacing w:before="18"/>
      </w:pPr>
    </w:p>
    <w:p w14:paraId="297827EB">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574"/>
        <w:gridCol w:w="407"/>
        <w:gridCol w:w="531"/>
        <w:gridCol w:w="377"/>
        <w:gridCol w:w="511"/>
        <w:gridCol w:w="605"/>
        <w:gridCol w:w="605"/>
        <w:gridCol w:w="574"/>
        <w:gridCol w:w="517"/>
        <w:gridCol w:w="496"/>
        <w:gridCol w:w="570"/>
        <w:gridCol w:w="642"/>
        <w:gridCol w:w="485"/>
        <w:gridCol w:w="575"/>
        <w:gridCol w:w="552"/>
        <w:gridCol w:w="118"/>
      </w:tblGrid>
      <w:tr w14:paraId="63390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6" w:hRule="atLeast"/>
        </w:trPr>
        <w:tc>
          <w:tcPr>
            <w:tcW w:w="754" w:type="dxa"/>
            <w:vMerge w:val="restart"/>
            <w:tcBorders>
              <w:top w:val="single" w:color="000000" w:sz="6" w:space="0"/>
              <w:left w:val="single" w:color="000000" w:sz="6" w:space="0"/>
              <w:bottom w:val="nil"/>
            </w:tcBorders>
            <w:vAlign w:val="top"/>
          </w:tcPr>
          <w:p w14:paraId="292E6FA6">
            <w:pPr>
              <w:rPr>
                <w:rFonts w:ascii="Arial"/>
                <w:sz w:val="21"/>
              </w:rPr>
            </w:pPr>
          </w:p>
        </w:tc>
        <w:tc>
          <w:tcPr>
            <w:tcW w:w="8139" w:type="dxa"/>
            <w:gridSpan w:val="16"/>
            <w:tcBorders>
              <w:top w:val="single" w:color="000000" w:sz="6" w:space="0"/>
              <w:bottom w:val="single" w:color="000000" w:sz="4" w:space="0"/>
              <w:right w:val="single" w:color="000000" w:sz="6" w:space="0"/>
            </w:tcBorders>
            <w:vAlign w:val="top"/>
          </w:tcPr>
          <w:p w14:paraId="325F3487">
            <w:pPr>
              <w:pStyle w:val="6"/>
              <w:spacing w:before="159" w:line="219" w:lineRule="auto"/>
              <w:ind w:left="601"/>
            </w:pPr>
            <w:r>
              <w:rPr>
                <w:spacing w:val="-3"/>
              </w:rPr>
              <w:t>（</w:t>
            </w:r>
            <w:r>
              <w:rPr>
                <w:rFonts w:ascii="Times New Roman" w:hAnsi="Times New Roman" w:eastAsia="Times New Roman" w:cs="Times New Roman"/>
                <w:spacing w:val="-3"/>
              </w:rPr>
              <w:t>3</w:t>
            </w:r>
            <w:r>
              <w:rPr>
                <w:spacing w:val="-3"/>
              </w:rPr>
              <w:t>）燃烧废气</w:t>
            </w:r>
          </w:p>
          <w:p w14:paraId="7EB5B270">
            <w:pPr>
              <w:pStyle w:val="6"/>
              <w:spacing w:before="182" w:line="359" w:lineRule="auto"/>
              <w:ind w:left="108" w:right="51" w:firstLine="457"/>
            </w:pPr>
            <w:r>
              <w:rPr>
                <w:spacing w:val="-14"/>
              </w:rPr>
              <w:t>本项目在配胶过程中有时需要稍微加热以使树脂有更好的流态，加热设备为</w:t>
            </w:r>
            <w:r>
              <w:rPr>
                <w:spacing w:val="11"/>
              </w:rPr>
              <w:t xml:space="preserve"> </w:t>
            </w:r>
            <w:r>
              <w:rPr>
                <w:spacing w:val="13"/>
              </w:rPr>
              <w:t>为普通石油气炉</w:t>
            </w:r>
            <w:r>
              <w:rPr>
                <w:spacing w:val="-57"/>
              </w:rPr>
              <w:t xml:space="preserve"> </w:t>
            </w:r>
            <w:r>
              <w:rPr>
                <w:spacing w:val="13"/>
              </w:rPr>
              <w:t>，燃料为瓶装液化石油气</w:t>
            </w:r>
            <w:r>
              <w:rPr>
                <w:spacing w:val="-67"/>
              </w:rPr>
              <w:t xml:space="preserve"> </w:t>
            </w:r>
            <w:r>
              <w:rPr>
                <w:spacing w:val="13"/>
              </w:rPr>
              <w:t>，最大使用量约为</w:t>
            </w:r>
            <w:r>
              <w:rPr>
                <w:rFonts w:ascii="Times New Roman" w:hAnsi="Times New Roman" w:eastAsia="Times New Roman" w:cs="Times New Roman"/>
                <w:spacing w:val="13"/>
              </w:rPr>
              <w:t>4009.5m³/a</w:t>
            </w:r>
            <w:r>
              <w:rPr>
                <w:rFonts w:ascii="Times New Roman" w:hAnsi="Times New Roman" w:eastAsia="Times New Roman" w:cs="Times New Roman"/>
              </w:rPr>
              <w:t xml:space="preserve">  </w:t>
            </w:r>
            <w:r>
              <w:rPr>
                <w:spacing w:val="-3"/>
              </w:rPr>
              <w:t>（</w:t>
            </w:r>
            <w:r>
              <w:rPr>
                <w:rFonts w:ascii="Times New Roman" w:hAnsi="Times New Roman" w:eastAsia="Times New Roman" w:cs="Times New Roman"/>
                <w:spacing w:val="-3"/>
              </w:rPr>
              <w:t>10023.75kg/a</w:t>
            </w:r>
            <w:r>
              <w:rPr>
                <w:spacing w:val="-3"/>
              </w:rPr>
              <w:t>）。液化石油气是一种清洁的燃料，参照《排放源统计调查产</w:t>
            </w:r>
            <w:r>
              <w:rPr>
                <w:spacing w:val="2"/>
              </w:rPr>
              <w:t xml:space="preserve"> </w:t>
            </w:r>
            <w:r>
              <w:rPr>
                <w:spacing w:val="-3"/>
              </w:rPr>
              <w:t>排污核算方法和系数手册》中</w:t>
            </w:r>
            <w:r>
              <w:rPr>
                <w:rFonts w:ascii="Times New Roman" w:hAnsi="Times New Roman" w:eastAsia="Times New Roman" w:cs="Times New Roman"/>
                <w:spacing w:val="-3"/>
              </w:rPr>
              <w:t>“33</w:t>
            </w:r>
            <w:r>
              <w:rPr>
                <w:spacing w:val="-3"/>
              </w:rPr>
              <w:t>、金属制品业、</w:t>
            </w:r>
            <w:r>
              <w:rPr>
                <w:rFonts w:ascii="Times New Roman" w:hAnsi="Times New Roman" w:eastAsia="Times New Roman" w:cs="Times New Roman"/>
                <w:spacing w:val="-3"/>
              </w:rPr>
              <w:t>34</w:t>
            </w:r>
            <w:r>
              <w:rPr>
                <w:spacing w:val="-3"/>
              </w:rPr>
              <w:t>通用设备制造业、</w:t>
            </w:r>
            <w:r>
              <w:rPr>
                <w:rFonts w:ascii="Times New Roman" w:hAnsi="Times New Roman" w:eastAsia="Times New Roman" w:cs="Times New Roman"/>
                <w:spacing w:val="-3"/>
              </w:rPr>
              <w:t>35</w:t>
            </w:r>
            <w:r>
              <w:rPr>
                <w:spacing w:val="-3"/>
              </w:rPr>
              <w:t>专用</w:t>
            </w:r>
            <w:r>
              <w:t xml:space="preserve"> 设备制造业、</w:t>
            </w:r>
            <w:r>
              <w:rPr>
                <w:rFonts w:ascii="Times New Roman" w:hAnsi="Times New Roman" w:eastAsia="Times New Roman" w:cs="Times New Roman"/>
              </w:rPr>
              <w:t>36</w:t>
            </w:r>
            <w:r>
              <w:t>汽车制造业、</w:t>
            </w:r>
            <w:r>
              <w:rPr>
                <w:rFonts w:ascii="Times New Roman" w:hAnsi="Times New Roman" w:eastAsia="Times New Roman" w:cs="Times New Roman"/>
              </w:rPr>
              <w:t>37</w:t>
            </w:r>
            <w:r>
              <w:t>铁路、船舶、航空航天和其他运输设</w:t>
            </w:r>
            <w:r>
              <w:rPr>
                <w:spacing w:val="-1"/>
              </w:rPr>
              <w:t>备制造</w:t>
            </w:r>
            <w:r>
              <w:t xml:space="preserve"> 业、</w:t>
            </w:r>
            <w:r>
              <w:rPr>
                <w:rFonts w:ascii="Times New Roman" w:hAnsi="Times New Roman" w:eastAsia="Times New Roman" w:cs="Times New Roman"/>
              </w:rPr>
              <w:t>431</w:t>
            </w:r>
            <w:r>
              <w:t>金属制品修理、</w:t>
            </w:r>
            <w:r>
              <w:rPr>
                <w:rFonts w:ascii="Times New Roman" w:hAnsi="Times New Roman" w:eastAsia="Times New Roman" w:cs="Times New Roman"/>
              </w:rPr>
              <w:t>432</w:t>
            </w:r>
            <w:r>
              <w:t>通用设备修理、</w:t>
            </w:r>
            <w:r>
              <w:rPr>
                <w:rFonts w:ascii="Times New Roman" w:hAnsi="Times New Roman" w:eastAsia="Times New Roman" w:cs="Times New Roman"/>
              </w:rPr>
              <w:t>433</w:t>
            </w:r>
            <w:r>
              <w:t>专用设备修理、</w:t>
            </w:r>
            <w:r>
              <w:rPr>
                <w:rFonts w:ascii="Times New Roman" w:hAnsi="Times New Roman" w:eastAsia="Times New Roman" w:cs="Times New Roman"/>
              </w:rPr>
              <w:t>43</w:t>
            </w:r>
            <w:r>
              <w:rPr>
                <w:rFonts w:ascii="Times New Roman" w:hAnsi="Times New Roman" w:eastAsia="Times New Roman" w:cs="Times New Roman"/>
                <w:spacing w:val="-1"/>
              </w:rPr>
              <w:t>4</w:t>
            </w:r>
            <w:r>
              <w:rPr>
                <w:spacing w:val="-1"/>
              </w:rPr>
              <w:t>铁路、船</w:t>
            </w:r>
            <w:r>
              <w:t xml:space="preserve"> </w:t>
            </w:r>
            <w:r>
              <w:rPr>
                <w:spacing w:val="4"/>
              </w:rPr>
              <w:t>舶、航空航天等运输设备修理（不包括电镀</w:t>
            </w:r>
            <w:r>
              <w:rPr>
                <w:spacing w:val="3"/>
              </w:rPr>
              <w:t>工艺</w:t>
            </w:r>
            <w:r>
              <w:rPr>
                <w:rFonts w:ascii="Times New Roman" w:hAnsi="Times New Roman" w:eastAsia="Times New Roman" w:cs="Times New Roman"/>
                <w:spacing w:val="3"/>
              </w:rPr>
              <w:t>)</w:t>
            </w:r>
            <w:r>
              <w:rPr>
                <w:spacing w:val="3"/>
              </w:rPr>
              <w:t>行业系数手册</w:t>
            </w:r>
            <w:r>
              <w:rPr>
                <w:rFonts w:ascii="Times New Roman" w:hAnsi="Times New Roman" w:eastAsia="Times New Roman" w:cs="Times New Roman"/>
                <w:spacing w:val="3"/>
              </w:rPr>
              <w:t>”</w:t>
            </w:r>
            <w:r>
              <w:rPr>
                <w:spacing w:val="3"/>
              </w:rPr>
              <w:t>中</w:t>
            </w:r>
            <w:r>
              <w:rPr>
                <w:rFonts w:ascii="Times New Roman" w:hAnsi="Times New Roman" w:eastAsia="Times New Roman" w:cs="Times New Roman"/>
                <w:spacing w:val="3"/>
              </w:rPr>
              <w:t>“14</w:t>
            </w:r>
            <w:r>
              <w:rPr>
                <w:spacing w:val="3"/>
              </w:rPr>
              <w:t>涂装</w:t>
            </w:r>
            <w:r>
              <w:rPr>
                <w:rFonts w:ascii="Times New Roman" w:hAnsi="Times New Roman" w:eastAsia="Times New Roman" w:cs="Times New Roman"/>
                <w:spacing w:val="3"/>
              </w:rPr>
              <w:t>”</w:t>
            </w:r>
            <w:r>
              <w:rPr>
                <w:rFonts w:ascii="Times New Roman" w:hAnsi="Times New Roman" w:eastAsia="Times New Roman" w:cs="Times New Roman"/>
              </w:rPr>
              <w:t xml:space="preserve"> </w:t>
            </w:r>
            <w:r>
              <w:t>中原料为液化石油气，工艺为液化石油气工业炉</w:t>
            </w:r>
            <w:r>
              <w:rPr>
                <w:spacing w:val="-1"/>
              </w:rPr>
              <w:t>窑，产污系数见下表：</w:t>
            </w:r>
          </w:p>
          <w:p w14:paraId="38CCBFEF">
            <w:pPr>
              <w:pStyle w:val="6"/>
              <w:spacing w:before="121" w:line="219" w:lineRule="auto"/>
              <w:ind w:left="1229"/>
            </w:pPr>
            <w:r>
              <w:rPr>
                <w:b/>
                <w:bCs/>
                <w:spacing w:val="-2"/>
              </w:rPr>
              <w:t>表</w:t>
            </w:r>
            <w:r>
              <w:rPr>
                <w:spacing w:val="-48"/>
              </w:rPr>
              <w:t xml:space="preserve"> </w:t>
            </w:r>
            <w:r>
              <w:rPr>
                <w:rFonts w:ascii="Times New Roman" w:hAnsi="Times New Roman" w:eastAsia="Times New Roman" w:cs="Times New Roman"/>
                <w:b/>
                <w:bCs/>
                <w:spacing w:val="-2"/>
              </w:rPr>
              <w:t xml:space="preserve">4-6    </w:t>
            </w:r>
            <w:r>
              <w:rPr>
                <w:b/>
                <w:bCs/>
                <w:spacing w:val="-2"/>
              </w:rPr>
              <w:t>本项目石油气炉的废气产排污系数表（摘录）</w:t>
            </w:r>
          </w:p>
        </w:tc>
      </w:tr>
      <w:tr w14:paraId="6E616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9" w:hRule="atLeast"/>
        </w:trPr>
        <w:tc>
          <w:tcPr>
            <w:tcW w:w="754" w:type="dxa"/>
            <w:vMerge w:val="continue"/>
            <w:tcBorders>
              <w:top w:val="nil"/>
              <w:left w:val="single" w:color="000000" w:sz="6" w:space="0"/>
              <w:bottom w:val="nil"/>
            </w:tcBorders>
            <w:vAlign w:val="top"/>
          </w:tcPr>
          <w:p w14:paraId="0D6C6810">
            <w:pPr>
              <w:rPr>
                <w:rFonts w:ascii="Arial"/>
                <w:sz w:val="21"/>
              </w:rPr>
            </w:pPr>
          </w:p>
        </w:tc>
        <w:tc>
          <w:tcPr>
            <w:tcW w:w="8139" w:type="dxa"/>
            <w:gridSpan w:val="16"/>
            <w:tcBorders>
              <w:top w:val="single" w:color="000000" w:sz="4" w:space="0"/>
              <w:right w:val="single" w:color="000000" w:sz="6" w:space="0"/>
            </w:tcBorders>
            <w:vAlign w:val="top"/>
          </w:tcPr>
          <w:tbl>
            <w:tblPr>
              <w:tblStyle w:val="5"/>
              <w:tblW w:w="7811" w:type="dxa"/>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790"/>
              <w:gridCol w:w="1131"/>
              <w:gridCol w:w="1426"/>
              <w:gridCol w:w="1157"/>
              <w:gridCol w:w="1296"/>
              <w:gridCol w:w="1300"/>
            </w:tblGrid>
            <w:tr w14:paraId="785CB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711" w:type="dxa"/>
                  <w:tcBorders>
                    <w:top w:val="nil"/>
                  </w:tcBorders>
                  <w:vAlign w:val="top"/>
                </w:tcPr>
                <w:p w14:paraId="75B4F52D">
                  <w:pPr>
                    <w:pStyle w:val="6"/>
                    <w:spacing w:before="45" w:line="228" w:lineRule="auto"/>
                    <w:ind w:left="143"/>
                    <w:rPr>
                      <w:sz w:val="20"/>
                      <w:szCs w:val="20"/>
                    </w:rPr>
                  </w:pPr>
                  <w:r>
                    <w:rPr>
                      <w:b/>
                      <w:bCs/>
                      <w:spacing w:val="5"/>
                      <w:sz w:val="20"/>
                      <w:szCs w:val="20"/>
                    </w:rPr>
                    <w:t>原料</w:t>
                  </w:r>
                </w:p>
                <w:p w14:paraId="063F7B89">
                  <w:pPr>
                    <w:pStyle w:val="6"/>
                    <w:spacing w:before="23" w:line="218" w:lineRule="auto"/>
                    <w:ind w:left="140"/>
                    <w:rPr>
                      <w:sz w:val="20"/>
                      <w:szCs w:val="20"/>
                    </w:rPr>
                  </w:pPr>
                  <w:r>
                    <w:rPr>
                      <w:b/>
                      <w:bCs/>
                      <w:spacing w:val="6"/>
                      <w:sz w:val="20"/>
                      <w:szCs w:val="20"/>
                    </w:rPr>
                    <w:t>名称</w:t>
                  </w:r>
                </w:p>
              </w:tc>
              <w:tc>
                <w:tcPr>
                  <w:tcW w:w="790" w:type="dxa"/>
                  <w:tcBorders>
                    <w:top w:val="nil"/>
                  </w:tcBorders>
                  <w:vAlign w:val="top"/>
                </w:tcPr>
                <w:p w14:paraId="5BC7C8C5">
                  <w:pPr>
                    <w:pStyle w:val="6"/>
                    <w:spacing w:before="45" w:line="237" w:lineRule="auto"/>
                    <w:ind w:left="178"/>
                    <w:rPr>
                      <w:sz w:val="20"/>
                      <w:szCs w:val="20"/>
                    </w:rPr>
                  </w:pPr>
                  <w:r>
                    <w:rPr>
                      <w:b/>
                      <w:bCs/>
                      <w:spacing w:val="6"/>
                      <w:sz w:val="20"/>
                      <w:szCs w:val="20"/>
                    </w:rPr>
                    <w:t>工艺</w:t>
                  </w:r>
                </w:p>
                <w:p w14:paraId="0AD17479">
                  <w:pPr>
                    <w:pStyle w:val="6"/>
                    <w:spacing w:before="13" w:line="218" w:lineRule="auto"/>
                    <w:ind w:left="178"/>
                    <w:rPr>
                      <w:sz w:val="20"/>
                      <w:szCs w:val="20"/>
                    </w:rPr>
                  </w:pPr>
                  <w:r>
                    <w:rPr>
                      <w:b/>
                      <w:bCs/>
                      <w:spacing w:val="6"/>
                      <w:sz w:val="20"/>
                      <w:szCs w:val="20"/>
                    </w:rPr>
                    <w:t>名称</w:t>
                  </w:r>
                </w:p>
              </w:tc>
              <w:tc>
                <w:tcPr>
                  <w:tcW w:w="1131" w:type="dxa"/>
                  <w:tcBorders>
                    <w:top w:val="nil"/>
                  </w:tcBorders>
                  <w:vAlign w:val="top"/>
                </w:tcPr>
                <w:p w14:paraId="394841E4">
                  <w:pPr>
                    <w:pStyle w:val="6"/>
                    <w:spacing w:before="45" w:line="234" w:lineRule="auto"/>
                    <w:ind w:left="347" w:right="245" w:hanging="108"/>
                    <w:rPr>
                      <w:sz w:val="20"/>
                      <w:szCs w:val="20"/>
                    </w:rPr>
                  </w:pPr>
                  <w:r>
                    <w:rPr>
                      <w:b/>
                      <w:bCs/>
                      <w:spacing w:val="9"/>
                      <w:sz w:val="20"/>
                      <w:szCs w:val="20"/>
                    </w:rPr>
                    <w:t>污染物</w:t>
                  </w:r>
                  <w:r>
                    <w:rPr>
                      <w:spacing w:val="1"/>
                      <w:sz w:val="20"/>
                      <w:szCs w:val="20"/>
                    </w:rPr>
                    <w:t xml:space="preserve"> </w:t>
                  </w:r>
                  <w:r>
                    <w:rPr>
                      <w:b/>
                      <w:bCs/>
                      <w:spacing w:val="6"/>
                      <w:sz w:val="20"/>
                      <w:szCs w:val="20"/>
                    </w:rPr>
                    <w:t>指标</w:t>
                  </w:r>
                </w:p>
              </w:tc>
              <w:tc>
                <w:tcPr>
                  <w:tcW w:w="1426" w:type="dxa"/>
                  <w:tcBorders>
                    <w:top w:val="nil"/>
                  </w:tcBorders>
                  <w:vAlign w:val="top"/>
                </w:tcPr>
                <w:p w14:paraId="2E0426F3">
                  <w:pPr>
                    <w:pStyle w:val="6"/>
                    <w:spacing w:before="179" w:line="228" w:lineRule="auto"/>
                    <w:ind w:left="498"/>
                    <w:rPr>
                      <w:sz w:val="20"/>
                      <w:szCs w:val="20"/>
                    </w:rPr>
                  </w:pPr>
                  <w:r>
                    <w:rPr>
                      <w:b/>
                      <w:bCs/>
                      <w:spacing w:val="6"/>
                      <w:sz w:val="20"/>
                      <w:szCs w:val="20"/>
                    </w:rPr>
                    <w:t>单位</w:t>
                  </w:r>
                </w:p>
              </w:tc>
              <w:tc>
                <w:tcPr>
                  <w:tcW w:w="1157" w:type="dxa"/>
                  <w:tcBorders>
                    <w:top w:val="nil"/>
                  </w:tcBorders>
                  <w:vAlign w:val="top"/>
                </w:tcPr>
                <w:p w14:paraId="070C36A5">
                  <w:pPr>
                    <w:pStyle w:val="6"/>
                    <w:spacing w:before="179" w:line="227" w:lineRule="auto"/>
                    <w:ind w:left="145"/>
                    <w:rPr>
                      <w:sz w:val="20"/>
                      <w:szCs w:val="20"/>
                    </w:rPr>
                  </w:pPr>
                  <w:r>
                    <w:rPr>
                      <w:b/>
                      <w:bCs/>
                      <w:spacing w:val="12"/>
                      <w:sz w:val="20"/>
                      <w:szCs w:val="20"/>
                    </w:rPr>
                    <w:t>产污系数</w:t>
                  </w:r>
                </w:p>
              </w:tc>
              <w:tc>
                <w:tcPr>
                  <w:tcW w:w="1296" w:type="dxa"/>
                  <w:tcBorders>
                    <w:top w:val="nil"/>
                  </w:tcBorders>
                  <w:vAlign w:val="top"/>
                </w:tcPr>
                <w:p w14:paraId="74AF5A14">
                  <w:pPr>
                    <w:pStyle w:val="6"/>
                    <w:spacing w:before="45" w:line="234" w:lineRule="auto"/>
                    <w:ind w:left="437" w:right="322" w:hanging="111"/>
                    <w:rPr>
                      <w:sz w:val="20"/>
                      <w:szCs w:val="20"/>
                    </w:rPr>
                  </w:pPr>
                  <w:r>
                    <w:rPr>
                      <w:b/>
                      <w:bCs/>
                      <w:spacing w:val="10"/>
                      <w:sz w:val="20"/>
                      <w:szCs w:val="20"/>
                    </w:rPr>
                    <w:t>本项目</w:t>
                  </w:r>
                  <w:r>
                    <w:rPr>
                      <w:sz w:val="20"/>
                      <w:szCs w:val="20"/>
                    </w:rPr>
                    <w:t xml:space="preserve"> </w:t>
                  </w:r>
                  <w:r>
                    <w:rPr>
                      <w:b/>
                      <w:bCs/>
                      <w:spacing w:val="6"/>
                      <w:sz w:val="20"/>
                      <w:szCs w:val="20"/>
                    </w:rPr>
                    <w:t>用量</w:t>
                  </w:r>
                </w:p>
              </w:tc>
              <w:tc>
                <w:tcPr>
                  <w:tcW w:w="1300" w:type="dxa"/>
                  <w:tcBorders>
                    <w:top w:val="nil"/>
                  </w:tcBorders>
                  <w:vAlign w:val="top"/>
                </w:tcPr>
                <w:p w14:paraId="34250D3F">
                  <w:pPr>
                    <w:pStyle w:val="6"/>
                    <w:spacing w:before="179" w:line="227" w:lineRule="auto"/>
                    <w:ind w:left="325"/>
                    <w:rPr>
                      <w:sz w:val="20"/>
                      <w:szCs w:val="20"/>
                    </w:rPr>
                  </w:pPr>
                  <w:r>
                    <w:rPr>
                      <w:b/>
                      <w:bCs/>
                      <w:spacing w:val="10"/>
                      <w:sz w:val="20"/>
                      <w:szCs w:val="20"/>
                    </w:rPr>
                    <w:t>产污量</w:t>
                  </w:r>
                </w:p>
              </w:tc>
            </w:tr>
            <w:tr w14:paraId="7BF20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11" w:type="dxa"/>
                  <w:vMerge w:val="restart"/>
                  <w:tcBorders>
                    <w:bottom w:val="nil"/>
                  </w:tcBorders>
                  <w:vAlign w:val="top"/>
                </w:tcPr>
                <w:p w14:paraId="5EB58FF2">
                  <w:pPr>
                    <w:spacing w:line="263" w:lineRule="auto"/>
                    <w:rPr>
                      <w:rFonts w:ascii="Arial"/>
                      <w:sz w:val="21"/>
                    </w:rPr>
                  </w:pPr>
                </w:p>
                <w:p w14:paraId="116A7458">
                  <w:pPr>
                    <w:spacing w:line="263" w:lineRule="auto"/>
                    <w:rPr>
                      <w:rFonts w:ascii="Arial"/>
                      <w:sz w:val="21"/>
                    </w:rPr>
                  </w:pPr>
                </w:p>
                <w:p w14:paraId="52B2380A">
                  <w:pPr>
                    <w:pStyle w:val="6"/>
                    <w:spacing w:before="65" w:line="228" w:lineRule="auto"/>
                    <w:ind w:left="140"/>
                    <w:rPr>
                      <w:sz w:val="20"/>
                      <w:szCs w:val="20"/>
                    </w:rPr>
                  </w:pPr>
                  <w:r>
                    <w:rPr>
                      <w:spacing w:val="8"/>
                      <w:sz w:val="20"/>
                      <w:szCs w:val="20"/>
                    </w:rPr>
                    <w:t>液化</w:t>
                  </w:r>
                </w:p>
                <w:p w14:paraId="7E948716">
                  <w:pPr>
                    <w:pStyle w:val="6"/>
                    <w:spacing w:before="23" w:line="254" w:lineRule="auto"/>
                    <w:ind w:left="249" w:right="143" w:hanging="110"/>
                    <w:rPr>
                      <w:sz w:val="20"/>
                      <w:szCs w:val="20"/>
                    </w:rPr>
                  </w:pPr>
                  <w:r>
                    <w:rPr>
                      <w:spacing w:val="9"/>
                      <w:sz w:val="20"/>
                      <w:szCs w:val="20"/>
                    </w:rPr>
                    <w:t>石油</w:t>
                  </w:r>
                  <w:r>
                    <w:rPr>
                      <w:sz w:val="20"/>
                      <w:szCs w:val="20"/>
                    </w:rPr>
                    <w:t xml:space="preserve"> 气</w:t>
                  </w:r>
                </w:p>
              </w:tc>
              <w:tc>
                <w:tcPr>
                  <w:tcW w:w="790" w:type="dxa"/>
                  <w:vMerge w:val="restart"/>
                  <w:tcBorders>
                    <w:bottom w:val="nil"/>
                  </w:tcBorders>
                  <w:vAlign w:val="top"/>
                </w:tcPr>
                <w:p w14:paraId="50E5E493">
                  <w:pPr>
                    <w:spacing w:line="258" w:lineRule="auto"/>
                    <w:rPr>
                      <w:rFonts w:ascii="Arial"/>
                      <w:sz w:val="21"/>
                    </w:rPr>
                  </w:pPr>
                </w:p>
                <w:p w14:paraId="50F29DDD">
                  <w:pPr>
                    <w:pStyle w:val="6"/>
                    <w:spacing w:before="65" w:line="228" w:lineRule="auto"/>
                    <w:ind w:left="177"/>
                    <w:rPr>
                      <w:sz w:val="20"/>
                      <w:szCs w:val="20"/>
                    </w:rPr>
                  </w:pPr>
                  <w:r>
                    <w:rPr>
                      <w:spacing w:val="8"/>
                      <w:sz w:val="20"/>
                      <w:szCs w:val="20"/>
                    </w:rPr>
                    <w:t>液化</w:t>
                  </w:r>
                </w:p>
                <w:p w14:paraId="124738E8">
                  <w:pPr>
                    <w:pStyle w:val="6"/>
                    <w:spacing w:before="23" w:line="230" w:lineRule="auto"/>
                    <w:ind w:left="176"/>
                    <w:rPr>
                      <w:sz w:val="20"/>
                      <w:szCs w:val="20"/>
                    </w:rPr>
                  </w:pPr>
                  <w:r>
                    <w:rPr>
                      <w:spacing w:val="9"/>
                      <w:sz w:val="20"/>
                      <w:szCs w:val="20"/>
                    </w:rPr>
                    <w:t>石油</w:t>
                  </w:r>
                </w:p>
                <w:p w14:paraId="3D73497A">
                  <w:pPr>
                    <w:pStyle w:val="6"/>
                    <w:spacing w:before="21" w:line="228" w:lineRule="auto"/>
                    <w:ind w:left="176"/>
                    <w:rPr>
                      <w:sz w:val="20"/>
                      <w:szCs w:val="20"/>
                    </w:rPr>
                  </w:pPr>
                  <w:r>
                    <w:rPr>
                      <w:spacing w:val="9"/>
                      <w:sz w:val="20"/>
                      <w:szCs w:val="20"/>
                    </w:rPr>
                    <w:t>气工</w:t>
                  </w:r>
                </w:p>
                <w:p w14:paraId="361B64CD">
                  <w:pPr>
                    <w:pStyle w:val="6"/>
                    <w:spacing w:before="24" w:line="253" w:lineRule="auto"/>
                    <w:ind w:left="288" w:right="184" w:hanging="113"/>
                    <w:rPr>
                      <w:sz w:val="20"/>
                      <w:szCs w:val="20"/>
                    </w:rPr>
                  </w:pPr>
                  <w:r>
                    <w:rPr>
                      <w:spacing w:val="10"/>
                      <w:sz w:val="20"/>
                      <w:szCs w:val="20"/>
                    </w:rPr>
                    <w:t>业炉</w:t>
                  </w:r>
                  <w:r>
                    <w:rPr>
                      <w:sz w:val="20"/>
                      <w:szCs w:val="20"/>
                    </w:rPr>
                    <w:t xml:space="preserve"> 窑</w:t>
                  </w:r>
                </w:p>
              </w:tc>
              <w:tc>
                <w:tcPr>
                  <w:tcW w:w="1131" w:type="dxa"/>
                  <w:vAlign w:val="top"/>
                </w:tcPr>
                <w:p w14:paraId="028C33D3">
                  <w:pPr>
                    <w:pStyle w:val="6"/>
                    <w:spacing w:before="30" w:line="228" w:lineRule="auto"/>
                    <w:ind w:left="132"/>
                    <w:rPr>
                      <w:sz w:val="20"/>
                      <w:szCs w:val="20"/>
                    </w:rPr>
                  </w:pPr>
                  <w:r>
                    <w:rPr>
                      <w:spacing w:val="12"/>
                      <w:sz w:val="20"/>
                      <w:szCs w:val="20"/>
                    </w:rPr>
                    <w:t>工业废气</w:t>
                  </w:r>
                </w:p>
                <w:p w14:paraId="6C9940C7">
                  <w:pPr>
                    <w:pStyle w:val="6"/>
                    <w:spacing w:before="23" w:line="217" w:lineRule="auto"/>
                    <w:ind w:left="456"/>
                    <w:rPr>
                      <w:sz w:val="20"/>
                      <w:szCs w:val="20"/>
                    </w:rPr>
                  </w:pPr>
                  <w:r>
                    <w:rPr>
                      <w:sz w:val="20"/>
                      <w:szCs w:val="20"/>
                    </w:rPr>
                    <w:t>量</w:t>
                  </w:r>
                </w:p>
              </w:tc>
              <w:tc>
                <w:tcPr>
                  <w:tcW w:w="1426" w:type="dxa"/>
                  <w:vAlign w:val="top"/>
                </w:tcPr>
                <w:p w14:paraId="0F345A23">
                  <w:pPr>
                    <w:pStyle w:val="6"/>
                    <w:spacing w:before="30" w:line="227" w:lineRule="auto"/>
                    <w:ind w:left="139"/>
                    <w:rPr>
                      <w:sz w:val="20"/>
                      <w:szCs w:val="20"/>
                    </w:rPr>
                  </w:pPr>
                  <w:r>
                    <w:rPr>
                      <w:spacing w:val="13"/>
                      <w:sz w:val="20"/>
                      <w:szCs w:val="20"/>
                    </w:rPr>
                    <w:t>立方米</w:t>
                  </w:r>
                  <w:r>
                    <w:rPr>
                      <w:rFonts w:ascii="Times New Roman" w:hAnsi="Times New Roman" w:eastAsia="Times New Roman" w:cs="Times New Roman"/>
                      <w:spacing w:val="13"/>
                      <w:sz w:val="20"/>
                      <w:szCs w:val="20"/>
                    </w:rPr>
                    <w:t>/</w:t>
                  </w:r>
                  <w:r>
                    <w:rPr>
                      <w:spacing w:val="13"/>
                      <w:sz w:val="20"/>
                      <w:szCs w:val="20"/>
                    </w:rPr>
                    <w:t>立方</w:t>
                  </w:r>
                </w:p>
                <w:p w14:paraId="054ECE01">
                  <w:pPr>
                    <w:pStyle w:val="6"/>
                    <w:spacing w:before="24" w:line="217" w:lineRule="auto"/>
                    <w:ind w:left="350"/>
                    <w:rPr>
                      <w:sz w:val="20"/>
                      <w:szCs w:val="20"/>
                    </w:rPr>
                  </w:pPr>
                  <w:r>
                    <w:rPr>
                      <w:spacing w:val="11"/>
                      <w:sz w:val="20"/>
                      <w:szCs w:val="20"/>
                    </w:rPr>
                    <w:t>米</w:t>
                  </w:r>
                  <w:r>
                    <w:rPr>
                      <w:rFonts w:ascii="Times New Roman" w:hAnsi="Times New Roman" w:eastAsia="Times New Roman" w:cs="Times New Roman"/>
                      <w:spacing w:val="11"/>
                      <w:sz w:val="20"/>
                      <w:szCs w:val="20"/>
                    </w:rPr>
                    <w:t>-</w:t>
                  </w:r>
                  <w:r>
                    <w:rPr>
                      <w:spacing w:val="11"/>
                      <w:sz w:val="20"/>
                      <w:szCs w:val="20"/>
                    </w:rPr>
                    <w:t>原料</w:t>
                  </w:r>
                </w:p>
              </w:tc>
              <w:tc>
                <w:tcPr>
                  <w:tcW w:w="1157" w:type="dxa"/>
                  <w:vAlign w:val="top"/>
                </w:tcPr>
                <w:p w14:paraId="0B1C26F7">
                  <w:pPr>
                    <w:spacing w:before="203" w:line="194"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33.4</w:t>
                  </w:r>
                </w:p>
              </w:tc>
              <w:tc>
                <w:tcPr>
                  <w:tcW w:w="1296" w:type="dxa"/>
                  <w:vAlign w:val="top"/>
                </w:tcPr>
                <w:p w14:paraId="44F401A2">
                  <w:pPr>
                    <w:spacing w:before="199" w:line="198"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247.5m³/a</w:t>
                  </w:r>
                </w:p>
              </w:tc>
              <w:tc>
                <w:tcPr>
                  <w:tcW w:w="1300" w:type="dxa"/>
                  <w:vAlign w:val="top"/>
                </w:tcPr>
                <w:p w14:paraId="3B1A7C0E">
                  <w:pPr>
                    <w:spacing w:before="199" w:line="198"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8266.5m³/a</w:t>
                  </w:r>
                </w:p>
              </w:tc>
            </w:tr>
            <w:tr w14:paraId="45892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711" w:type="dxa"/>
                  <w:vMerge w:val="continue"/>
                  <w:tcBorders>
                    <w:top w:val="nil"/>
                    <w:bottom w:val="nil"/>
                  </w:tcBorders>
                  <w:vAlign w:val="top"/>
                </w:tcPr>
                <w:p w14:paraId="262BE142">
                  <w:pPr>
                    <w:rPr>
                      <w:rFonts w:ascii="Arial"/>
                      <w:sz w:val="21"/>
                    </w:rPr>
                  </w:pPr>
                </w:p>
              </w:tc>
              <w:tc>
                <w:tcPr>
                  <w:tcW w:w="790" w:type="dxa"/>
                  <w:vMerge w:val="continue"/>
                  <w:tcBorders>
                    <w:top w:val="nil"/>
                    <w:bottom w:val="nil"/>
                  </w:tcBorders>
                  <w:vAlign w:val="top"/>
                </w:tcPr>
                <w:p w14:paraId="77D089E2">
                  <w:pPr>
                    <w:rPr>
                      <w:rFonts w:ascii="Arial"/>
                      <w:sz w:val="21"/>
                    </w:rPr>
                  </w:pPr>
                </w:p>
              </w:tc>
              <w:tc>
                <w:tcPr>
                  <w:tcW w:w="1131" w:type="dxa"/>
                  <w:vAlign w:val="top"/>
                </w:tcPr>
                <w:p w14:paraId="3972DE82">
                  <w:pPr>
                    <w:pStyle w:val="6"/>
                    <w:spacing w:before="122" w:line="228" w:lineRule="auto"/>
                    <w:ind w:left="237"/>
                    <w:rPr>
                      <w:sz w:val="20"/>
                      <w:szCs w:val="20"/>
                    </w:rPr>
                  </w:pPr>
                  <w:r>
                    <w:rPr>
                      <w:spacing w:val="12"/>
                      <w:sz w:val="20"/>
                      <w:szCs w:val="20"/>
                    </w:rPr>
                    <w:t>颗粒物</w:t>
                  </w:r>
                </w:p>
              </w:tc>
              <w:tc>
                <w:tcPr>
                  <w:tcW w:w="1426" w:type="dxa"/>
                  <w:vAlign w:val="top"/>
                </w:tcPr>
                <w:p w14:paraId="7E1269C2">
                  <w:pPr>
                    <w:pStyle w:val="6"/>
                    <w:spacing w:before="123" w:line="220" w:lineRule="auto"/>
                    <w:ind w:left="192"/>
                    <w:rPr>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13"/>
                      <w:sz w:val="20"/>
                      <w:szCs w:val="20"/>
                    </w:rPr>
                    <w:t>/m</w:t>
                  </w:r>
                  <w:r>
                    <w:rPr>
                      <w:rFonts w:ascii="Times New Roman" w:hAnsi="Times New Roman" w:eastAsia="Times New Roman" w:cs="Times New Roman"/>
                      <w:spacing w:val="13"/>
                      <w:position w:val="6"/>
                      <w:sz w:val="13"/>
                      <w:szCs w:val="13"/>
                    </w:rPr>
                    <w:t>3</w:t>
                  </w:r>
                  <w:r>
                    <w:rPr>
                      <w:rFonts w:ascii="Times New Roman" w:hAnsi="Times New Roman" w:eastAsia="Times New Roman" w:cs="Times New Roman"/>
                      <w:spacing w:val="13"/>
                      <w:sz w:val="20"/>
                      <w:szCs w:val="20"/>
                    </w:rPr>
                    <w:t>-</w:t>
                  </w:r>
                  <w:r>
                    <w:rPr>
                      <w:spacing w:val="13"/>
                      <w:sz w:val="20"/>
                      <w:szCs w:val="20"/>
                    </w:rPr>
                    <w:t>原料</w:t>
                  </w:r>
                </w:p>
              </w:tc>
              <w:tc>
                <w:tcPr>
                  <w:tcW w:w="1157" w:type="dxa"/>
                  <w:vAlign w:val="top"/>
                </w:tcPr>
                <w:p w14:paraId="5DFC0ECB">
                  <w:pPr>
                    <w:spacing w:before="159" w:line="194"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0.000220</w:t>
                  </w:r>
                </w:p>
              </w:tc>
              <w:tc>
                <w:tcPr>
                  <w:tcW w:w="1296" w:type="dxa"/>
                  <w:vAlign w:val="top"/>
                </w:tcPr>
                <w:p w14:paraId="4EEB51DB">
                  <w:pPr>
                    <w:spacing w:before="155" w:line="198"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247.5m³/a</w:t>
                  </w:r>
                </w:p>
              </w:tc>
              <w:tc>
                <w:tcPr>
                  <w:tcW w:w="1300" w:type="dxa"/>
                  <w:vAlign w:val="top"/>
                </w:tcPr>
                <w:p w14:paraId="432C25D8">
                  <w:pPr>
                    <w:spacing w:before="155" w:line="200"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0.05445</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r>
            <w:tr w14:paraId="4946B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711" w:type="dxa"/>
                  <w:vMerge w:val="continue"/>
                  <w:tcBorders>
                    <w:top w:val="nil"/>
                    <w:bottom w:val="nil"/>
                  </w:tcBorders>
                  <w:vAlign w:val="top"/>
                </w:tcPr>
                <w:p w14:paraId="66F87469">
                  <w:pPr>
                    <w:rPr>
                      <w:rFonts w:ascii="Arial"/>
                      <w:sz w:val="21"/>
                    </w:rPr>
                  </w:pPr>
                </w:p>
              </w:tc>
              <w:tc>
                <w:tcPr>
                  <w:tcW w:w="790" w:type="dxa"/>
                  <w:vMerge w:val="continue"/>
                  <w:tcBorders>
                    <w:top w:val="nil"/>
                    <w:bottom w:val="nil"/>
                  </w:tcBorders>
                  <w:vAlign w:val="top"/>
                </w:tcPr>
                <w:p w14:paraId="56052EE0">
                  <w:pPr>
                    <w:rPr>
                      <w:rFonts w:ascii="Arial"/>
                      <w:sz w:val="21"/>
                    </w:rPr>
                  </w:pPr>
                </w:p>
              </w:tc>
              <w:tc>
                <w:tcPr>
                  <w:tcW w:w="1131" w:type="dxa"/>
                  <w:vAlign w:val="top"/>
                </w:tcPr>
                <w:p w14:paraId="3A7100F2">
                  <w:pPr>
                    <w:pStyle w:val="6"/>
                    <w:spacing w:before="123" w:line="226" w:lineRule="auto"/>
                    <w:ind w:left="133"/>
                    <w:rPr>
                      <w:sz w:val="20"/>
                      <w:szCs w:val="20"/>
                    </w:rPr>
                  </w:pPr>
                  <w:r>
                    <w:rPr>
                      <w:spacing w:val="12"/>
                      <w:sz w:val="20"/>
                      <w:szCs w:val="20"/>
                    </w:rPr>
                    <w:t>二氧化硫</w:t>
                  </w:r>
                </w:p>
              </w:tc>
              <w:tc>
                <w:tcPr>
                  <w:tcW w:w="1426" w:type="dxa"/>
                  <w:vAlign w:val="top"/>
                </w:tcPr>
                <w:p w14:paraId="4B61F2D9">
                  <w:pPr>
                    <w:pStyle w:val="6"/>
                    <w:spacing w:before="123" w:line="220" w:lineRule="auto"/>
                    <w:ind w:left="192"/>
                    <w:rPr>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13"/>
                      <w:sz w:val="20"/>
                      <w:szCs w:val="20"/>
                    </w:rPr>
                    <w:t>/m</w:t>
                  </w:r>
                  <w:r>
                    <w:rPr>
                      <w:rFonts w:ascii="Times New Roman" w:hAnsi="Times New Roman" w:eastAsia="Times New Roman" w:cs="Times New Roman"/>
                      <w:spacing w:val="13"/>
                      <w:position w:val="6"/>
                      <w:sz w:val="13"/>
                      <w:szCs w:val="13"/>
                    </w:rPr>
                    <w:t>3</w:t>
                  </w:r>
                  <w:r>
                    <w:rPr>
                      <w:rFonts w:ascii="Times New Roman" w:hAnsi="Times New Roman" w:eastAsia="Times New Roman" w:cs="Times New Roman"/>
                      <w:spacing w:val="13"/>
                      <w:sz w:val="20"/>
                      <w:szCs w:val="20"/>
                    </w:rPr>
                    <w:t>-</w:t>
                  </w:r>
                  <w:r>
                    <w:rPr>
                      <w:spacing w:val="13"/>
                      <w:sz w:val="20"/>
                      <w:szCs w:val="20"/>
                    </w:rPr>
                    <w:t>原料</w:t>
                  </w:r>
                </w:p>
              </w:tc>
              <w:tc>
                <w:tcPr>
                  <w:tcW w:w="1157" w:type="dxa"/>
                  <w:vAlign w:val="top"/>
                </w:tcPr>
                <w:p w14:paraId="0289CA93">
                  <w:pPr>
                    <w:spacing w:before="161" w:line="194"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0.000002S</w:t>
                  </w:r>
                </w:p>
              </w:tc>
              <w:tc>
                <w:tcPr>
                  <w:tcW w:w="1296" w:type="dxa"/>
                  <w:vAlign w:val="top"/>
                </w:tcPr>
                <w:p w14:paraId="7D041B8F">
                  <w:pPr>
                    <w:spacing w:before="158" w:line="198"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247.5m³/a</w:t>
                  </w:r>
                </w:p>
              </w:tc>
              <w:tc>
                <w:tcPr>
                  <w:tcW w:w="1300" w:type="dxa"/>
                  <w:vAlign w:val="top"/>
                </w:tcPr>
                <w:p w14:paraId="2789DE3F">
                  <w:pPr>
                    <w:spacing w:before="157" w:line="200"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1"/>
                      <w:sz w:val="20"/>
                      <w:szCs w:val="20"/>
                    </w:rPr>
                    <w:t>169785</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/a</w:t>
                  </w:r>
                </w:p>
              </w:tc>
            </w:tr>
            <w:tr w14:paraId="1DA84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711" w:type="dxa"/>
                  <w:vMerge w:val="continue"/>
                  <w:tcBorders>
                    <w:top w:val="nil"/>
                  </w:tcBorders>
                  <w:vAlign w:val="top"/>
                </w:tcPr>
                <w:p w14:paraId="68344B68">
                  <w:pPr>
                    <w:rPr>
                      <w:rFonts w:ascii="Arial"/>
                      <w:sz w:val="21"/>
                    </w:rPr>
                  </w:pPr>
                </w:p>
              </w:tc>
              <w:tc>
                <w:tcPr>
                  <w:tcW w:w="790" w:type="dxa"/>
                  <w:vMerge w:val="continue"/>
                  <w:tcBorders>
                    <w:top w:val="nil"/>
                  </w:tcBorders>
                  <w:vAlign w:val="top"/>
                </w:tcPr>
                <w:p w14:paraId="5D780F07">
                  <w:pPr>
                    <w:rPr>
                      <w:rFonts w:ascii="Arial"/>
                      <w:sz w:val="21"/>
                    </w:rPr>
                  </w:pPr>
                </w:p>
              </w:tc>
              <w:tc>
                <w:tcPr>
                  <w:tcW w:w="1131" w:type="dxa"/>
                  <w:vAlign w:val="top"/>
                </w:tcPr>
                <w:p w14:paraId="6B87E9AC">
                  <w:pPr>
                    <w:pStyle w:val="6"/>
                    <w:spacing w:before="126" w:line="226" w:lineRule="auto"/>
                    <w:ind w:left="128"/>
                    <w:rPr>
                      <w:sz w:val="20"/>
                      <w:szCs w:val="20"/>
                    </w:rPr>
                  </w:pPr>
                  <w:r>
                    <w:rPr>
                      <w:spacing w:val="13"/>
                      <w:sz w:val="20"/>
                      <w:szCs w:val="20"/>
                    </w:rPr>
                    <w:t>氮氧化物</w:t>
                  </w:r>
                </w:p>
              </w:tc>
              <w:tc>
                <w:tcPr>
                  <w:tcW w:w="1426" w:type="dxa"/>
                  <w:vAlign w:val="top"/>
                </w:tcPr>
                <w:p w14:paraId="7190DBB6">
                  <w:pPr>
                    <w:pStyle w:val="6"/>
                    <w:spacing w:before="126" w:line="220" w:lineRule="auto"/>
                    <w:ind w:left="192"/>
                    <w:rPr>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13"/>
                      <w:sz w:val="20"/>
                      <w:szCs w:val="20"/>
                    </w:rPr>
                    <w:t>/m</w:t>
                  </w:r>
                  <w:r>
                    <w:rPr>
                      <w:rFonts w:ascii="Times New Roman" w:hAnsi="Times New Roman" w:eastAsia="Times New Roman" w:cs="Times New Roman"/>
                      <w:spacing w:val="13"/>
                      <w:position w:val="6"/>
                      <w:sz w:val="13"/>
                      <w:szCs w:val="13"/>
                    </w:rPr>
                    <w:t>3</w:t>
                  </w:r>
                  <w:r>
                    <w:rPr>
                      <w:rFonts w:ascii="Times New Roman" w:hAnsi="Times New Roman" w:eastAsia="Times New Roman" w:cs="Times New Roman"/>
                      <w:spacing w:val="13"/>
                      <w:sz w:val="20"/>
                      <w:szCs w:val="20"/>
                    </w:rPr>
                    <w:t>-</w:t>
                  </w:r>
                  <w:r>
                    <w:rPr>
                      <w:spacing w:val="13"/>
                      <w:sz w:val="20"/>
                      <w:szCs w:val="20"/>
                    </w:rPr>
                    <w:t>原料</w:t>
                  </w:r>
                </w:p>
              </w:tc>
              <w:tc>
                <w:tcPr>
                  <w:tcW w:w="1157" w:type="dxa"/>
                  <w:vAlign w:val="top"/>
                </w:tcPr>
                <w:p w14:paraId="29FF6706">
                  <w:pPr>
                    <w:spacing w:before="162" w:line="194"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0.00596</w:t>
                  </w:r>
                </w:p>
              </w:tc>
              <w:tc>
                <w:tcPr>
                  <w:tcW w:w="1296" w:type="dxa"/>
                  <w:vAlign w:val="top"/>
                </w:tcPr>
                <w:p w14:paraId="6842AE42">
                  <w:pPr>
                    <w:spacing w:before="158" w:line="198"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247.5m³/a</w:t>
                  </w:r>
                </w:p>
              </w:tc>
              <w:tc>
                <w:tcPr>
                  <w:tcW w:w="1300" w:type="dxa"/>
                  <w:vAlign w:val="top"/>
                </w:tcPr>
                <w:p w14:paraId="42B49A29">
                  <w:pPr>
                    <w:spacing w:before="158" w:line="200"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1.4751</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/a</w:t>
                  </w:r>
                </w:p>
              </w:tc>
            </w:tr>
            <w:tr w14:paraId="16CAC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7811" w:type="dxa"/>
                  <w:gridSpan w:val="7"/>
                  <w:vAlign w:val="top"/>
                </w:tcPr>
                <w:p w14:paraId="4E7E0B5D">
                  <w:pPr>
                    <w:pStyle w:val="6"/>
                    <w:spacing w:before="37" w:line="239" w:lineRule="auto"/>
                    <w:ind w:left="7" w:right="7"/>
                    <w:jc w:val="both"/>
                    <w:rPr>
                      <w:sz w:val="20"/>
                      <w:szCs w:val="20"/>
                    </w:rPr>
                  </w:pPr>
                  <w:r>
                    <w:rPr>
                      <w:spacing w:val="16"/>
                      <w:sz w:val="20"/>
                      <w:szCs w:val="20"/>
                    </w:rPr>
                    <w:t>注：产排污系数表中二氧化硫的产排污系数是以含硫量（</w:t>
                  </w:r>
                  <w:r>
                    <w:rPr>
                      <w:rFonts w:ascii="Times New Roman" w:hAnsi="Times New Roman" w:eastAsia="Times New Roman" w:cs="Times New Roman"/>
                      <w:spacing w:val="16"/>
                      <w:sz w:val="20"/>
                      <w:szCs w:val="20"/>
                    </w:rPr>
                    <w:t>S)</w:t>
                  </w:r>
                  <w:r>
                    <w:rPr>
                      <w:spacing w:val="16"/>
                      <w:sz w:val="20"/>
                      <w:szCs w:val="20"/>
                    </w:rPr>
                    <w:t>的形式表示的，其中含</w:t>
                  </w:r>
                  <w:r>
                    <w:rPr>
                      <w:spacing w:val="13"/>
                      <w:sz w:val="20"/>
                      <w:szCs w:val="20"/>
                    </w:rPr>
                    <w:t xml:space="preserve"> </w:t>
                  </w:r>
                  <w:r>
                    <w:rPr>
                      <w:spacing w:val="16"/>
                      <w:sz w:val="20"/>
                      <w:szCs w:val="20"/>
                    </w:rPr>
                    <w:t>硫量（</w:t>
                  </w:r>
                  <w:r>
                    <w:rPr>
                      <w:rFonts w:ascii="Times New Roman" w:hAnsi="Times New Roman" w:eastAsia="Times New Roman" w:cs="Times New Roman"/>
                      <w:spacing w:val="16"/>
                      <w:sz w:val="20"/>
                      <w:szCs w:val="20"/>
                    </w:rPr>
                    <w:t>S)</w:t>
                  </w:r>
                  <w:r>
                    <w:rPr>
                      <w:spacing w:val="16"/>
                      <w:sz w:val="20"/>
                      <w:szCs w:val="20"/>
                    </w:rPr>
                    <w:t>是指燃气收到基硫分含量，单位为毫克</w:t>
                  </w:r>
                  <w:r>
                    <w:rPr>
                      <w:rFonts w:ascii="Times New Roman" w:hAnsi="Times New Roman" w:eastAsia="Times New Roman" w:cs="Times New Roman"/>
                      <w:spacing w:val="16"/>
                      <w:sz w:val="20"/>
                      <w:szCs w:val="20"/>
                    </w:rPr>
                    <w:t>/</w:t>
                  </w:r>
                  <w:r>
                    <w:rPr>
                      <w:spacing w:val="16"/>
                      <w:sz w:val="20"/>
                      <w:szCs w:val="20"/>
                    </w:rPr>
                    <w:t>立方米。根据《液化石油气》</w:t>
                  </w:r>
                  <w:r>
                    <w:rPr>
                      <w:rFonts w:ascii="Times New Roman" w:hAnsi="Times New Roman" w:eastAsia="Times New Roman" w:cs="Times New Roman"/>
                      <w:spacing w:val="1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11"/>
                      <w:sz w:val="20"/>
                      <w:szCs w:val="20"/>
                    </w:rPr>
                    <w:t>11174-2011)</w:t>
                  </w:r>
                  <w:r>
                    <w:rPr>
                      <w:rFonts w:ascii="Times New Roman" w:hAnsi="Times New Roman" w:eastAsia="Times New Roman" w:cs="Times New Roman"/>
                      <w:spacing w:val="-20"/>
                      <w:sz w:val="20"/>
                      <w:szCs w:val="20"/>
                    </w:rPr>
                    <w:t xml:space="preserve"> </w:t>
                  </w:r>
                  <w:r>
                    <w:rPr>
                      <w:spacing w:val="11"/>
                      <w:sz w:val="20"/>
                      <w:szCs w:val="20"/>
                    </w:rPr>
                    <w:t>，液化石油气含硫量不得大于</w:t>
                  </w:r>
                  <w:r>
                    <w:rPr>
                      <w:spacing w:val="-27"/>
                      <w:sz w:val="20"/>
                      <w:szCs w:val="20"/>
                    </w:rPr>
                    <w:t xml:space="preserve"> </w:t>
                  </w:r>
                  <w:r>
                    <w:rPr>
                      <w:rFonts w:ascii="Times New Roman" w:hAnsi="Times New Roman" w:eastAsia="Times New Roman" w:cs="Times New Roman"/>
                      <w:spacing w:val="11"/>
                      <w:sz w:val="20"/>
                      <w:szCs w:val="20"/>
                    </w:rPr>
                    <w:t>343</w:t>
                  </w:r>
                  <w:r>
                    <w:rPr>
                      <w:rFonts w:ascii="Times New Roman" w:hAnsi="Times New Roman" w:eastAsia="Times New Roman" w:cs="Times New Roman"/>
                      <w:sz w:val="20"/>
                      <w:szCs w:val="20"/>
                    </w:rPr>
                    <w:t>mg</w:t>
                  </w:r>
                  <w:r>
                    <w:rPr>
                      <w:rFonts w:ascii="Times New Roman" w:hAnsi="Times New Roman" w:eastAsia="Times New Roman" w:cs="Times New Roman"/>
                      <w:spacing w:val="11"/>
                      <w:sz w:val="20"/>
                      <w:szCs w:val="20"/>
                    </w:rPr>
                    <w:t>/m³</w:t>
                  </w:r>
                  <w:r>
                    <w:rPr>
                      <w:rFonts w:ascii="Times New Roman" w:hAnsi="Times New Roman" w:eastAsia="Times New Roman" w:cs="Times New Roman"/>
                      <w:spacing w:val="-17"/>
                      <w:sz w:val="20"/>
                      <w:szCs w:val="20"/>
                    </w:rPr>
                    <w:t xml:space="preserve"> </w:t>
                  </w:r>
                  <w:r>
                    <w:rPr>
                      <w:spacing w:val="11"/>
                      <w:sz w:val="20"/>
                      <w:szCs w:val="20"/>
                    </w:rPr>
                    <w:t>。因此，表中</w:t>
                  </w:r>
                  <w:r>
                    <w:rPr>
                      <w:spacing w:val="-22"/>
                      <w:sz w:val="20"/>
                      <w:szCs w:val="20"/>
                    </w:rPr>
                    <w:t xml:space="preserve"> </w:t>
                  </w:r>
                  <w:r>
                    <w:rPr>
                      <w:rFonts w:ascii="Times New Roman" w:hAnsi="Times New Roman" w:eastAsia="Times New Roman" w:cs="Times New Roman"/>
                      <w:spacing w:val="11"/>
                      <w:sz w:val="20"/>
                      <w:szCs w:val="20"/>
                    </w:rPr>
                    <w:t>S</w:t>
                  </w:r>
                  <w:r>
                    <w:rPr>
                      <w:rFonts w:ascii="Times New Roman" w:hAnsi="Times New Roman" w:eastAsia="Times New Roman" w:cs="Times New Roman"/>
                      <w:spacing w:val="19"/>
                      <w:w w:val="101"/>
                      <w:sz w:val="20"/>
                      <w:szCs w:val="20"/>
                    </w:rPr>
                    <w:t xml:space="preserve"> </w:t>
                  </w:r>
                  <w:r>
                    <w:rPr>
                      <w:spacing w:val="11"/>
                      <w:sz w:val="20"/>
                      <w:szCs w:val="20"/>
                    </w:rPr>
                    <w:t>取值为</w:t>
                  </w:r>
                  <w:r>
                    <w:rPr>
                      <w:spacing w:val="-29"/>
                      <w:sz w:val="20"/>
                      <w:szCs w:val="20"/>
                    </w:rPr>
                    <w:t xml:space="preserve"> </w:t>
                  </w:r>
                  <w:r>
                    <w:rPr>
                      <w:rFonts w:ascii="Times New Roman" w:hAnsi="Times New Roman" w:eastAsia="Times New Roman" w:cs="Times New Roman"/>
                      <w:spacing w:val="11"/>
                      <w:sz w:val="20"/>
                      <w:szCs w:val="20"/>
                    </w:rPr>
                    <w:t>343</w:t>
                  </w:r>
                  <w:r>
                    <w:rPr>
                      <w:spacing w:val="11"/>
                      <w:sz w:val="20"/>
                      <w:szCs w:val="20"/>
                    </w:rPr>
                    <w:t>。</w:t>
                  </w:r>
                </w:p>
              </w:tc>
            </w:tr>
          </w:tbl>
          <w:p w14:paraId="10FE3036">
            <w:pPr>
              <w:pStyle w:val="6"/>
              <w:spacing w:before="155" w:line="219" w:lineRule="auto"/>
              <w:ind w:left="589"/>
            </w:pPr>
            <w:r>
              <w:rPr>
                <w:spacing w:val="-2"/>
              </w:rPr>
              <w:t>根据上表，本项目烟气量和</w:t>
            </w:r>
            <w:r>
              <w:rPr>
                <w:spacing w:val="-45"/>
              </w:rP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0"/>
                <w:position w:val="-1"/>
                <w:sz w:val="15"/>
                <w:szCs w:val="15"/>
              </w:rPr>
              <w:t xml:space="preserve"> </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2"/>
                <w:w w:val="101"/>
                <w:position w:val="-1"/>
                <w:sz w:val="15"/>
                <w:szCs w:val="15"/>
              </w:rPr>
              <w:t xml:space="preserve"> </w:t>
            </w:r>
            <w:r>
              <w:rPr>
                <w:spacing w:val="-2"/>
              </w:rPr>
              <w:t>等产排情况见</w:t>
            </w:r>
            <w:r>
              <w:rPr>
                <w:spacing w:val="-3"/>
              </w:rPr>
              <w:t>下表：</w:t>
            </w:r>
          </w:p>
          <w:p w14:paraId="4ACB5A1D">
            <w:pPr>
              <w:pStyle w:val="6"/>
              <w:spacing w:before="303" w:line="219" w:lineRule="auto"/>
              <w:ind w:left="1712"/>
            </w:pPr>
            <w:r>
              <w:rPr>
                <w:b/>
                <w:bCs/>
                <w:spacing w:val="-2"/>
              </w:rPr>
              <w:t>表</w:t>
            </w:r>
            <w:r>
              <w:rPr>
                <w:spacing w:val="-51"/>
              </w:rPr>
              <w:t xml:space="preserve"> </w:t>
            </w:r>
            <w:r>
              <w:rPr>
                <w:rFonts w:ascii="Times New Roman" w:hAnsi="Times New Roman" w:eastAsia="Times New Roman" w:cs="Times New Roman"/>
                <w:b/>
                <w:bCs/>
                <w:spacing w:val="-2"/>
              </w:rPr>
              <w:t xml:space="preserve">4-7    </w:t>
            </w:r>
            <w:r>
              <w:rPr>
                <w:b/>
                <w:bCs/>
                <w:spacing w:val="-2"/>
              </w:rPr>
              <w:t>燃料燃烧大气污染物产生情况一览表</w:t>
            </w:r>
          </w:p>
        </w:tc>
      </w:tr>
      <w:tr w14:paraId="6B085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754" w:type="dxa"/>
            <w:vMerge w:val="continue"/>
            <w:tcBorders>
              <w:top w:val="nil"/>
              <w:left w:val="single" w:color="000000" w:sz="6" w:space="0"/>
              <w:bottom w:val="nil"/>
            </w:tcBorders>
            <w:vAlign w:val="top"/>
          </w:tcPr>
          <w:p w14:paraId="6DE25480">
            <w:pPr>
              <w:rPr>
                <w:rFonts w:ascii="Arial"/>
                <w:sz w:val="21"/>
              </w:rPr>
            </w:pPr>
          </w:p>
        </w:tc>
        <w:tc>
          <w:tcPr>
            <w:tcW w:w="574" w:type="dxa"/>
            <w:vMerge w:val="restart"/>
            <w:tcBorders>
              <w:bottom w:val="nil"/>
            </w:tcBorders>
            <w:vAlign w:val="top"/>
          </w:tcPr>
          <w:p w14:paraId="7A67CE7C">
            <w:pPr>
              <w:pStyle w:val="6"/>
              <w:spacing w:before="211" w:line="221" w:lineRule="auto"/>
              <w:ind w:left="140"/>
              <w:rPr>
                <w:rFonts w:ascii="Times New Roman" w:hAnsi="Times New Roman" w:eastAsia="Times New Roman" w:cs="Times New Roman"/>
                <w:sz w:val="18"/>
                <w:szCs w:val="18"/>
              </w:rPr>
            </w:pPr>
            <w:r>
              <w:rPr>
                <w:spacing w:val="-3"/>
                <w:sz w:val="18"/>
                <w:szCs w:val="18"/>
              </w:rPr>
              <w:t>工序</w:t>
            </w:r>
            <w:r>
              <w:rPr>
                <w:rFonts w:ascii="Times New Roman" w:hAnsi="Times New Roman" w:eastAsia="Times New Roman" w:cs="Times New Roman"/>
                <w:spacing w:val="-3"/>
                <w:sz w:val="18"/>
                <w:szCs w:val="18"/>
              </w:rPr>
              <w:t>/</w:t>
            </w:r>
          </w:p>
          <w:p w14:paraId="560D2A3E">
            <w:pPr>
              <w:pStyle w:val="6"/>
              <w:spacing w:before="17" w:line="219" w:lineRule="auto"/>
              <w:ind w:left="166"/>
              <w:rPr>
                <w:sz w:val="18"/>
                <w:szCs w:val="18"/>
              </w:rPr>
            </w:pPr>
            <w:r>
              <w:rPr>
                <w:spacing w:val="-5"/>
                <w:sz w:val="18"/>
                <w:szCs w:val="18"/>
              </w:rPr>
              <w:t>生产</w:t>
            </w:r>
          </w:p>
          <w:p w14:paraId="7860B1E6">
            <w:pPr>
              <w:pStyle w:val="6"/>
              <w:spacing w:before="19" w:line="220" w:lineRule="auto"/>
              <w:ind w:left="256"/>
              <w:rPr>
                <w:sz w:val="18"/>
                <w:szCs w:val="18"/>
              </w:rPr>
            </w:pPr>
            <w:r>
              <w:rPr>
                <w:sz w:val="18"/>
                <w:szCs w:val="18"/>
              </w:rPr>
              <w:t>线</w:t>
            </w:r>
          </w:p>
        </w:tc>
        <w:tc>
          <w:tcPr>
            <w:tcW w:w="407" w:type="dxa"/>
            <w:vMerge w:val="restart"/>
            <w:tcBorders>
              <w:bottom w:val="nil"/>
            </w:tcBorders>
            <w:textDirection w:val="tbRlV"/>
            <w:vAlign w:val="top"/>
          </w:tcPr>
          <w:p w14:paraId="1AAE7F1D">
            <w:pPr>
              <w:pStyle w:val="6"/>
              <w:spacing w:before="114" w:line="210" w:lineRule="auto"/>
              <w:ind w:left="327"/>
              <w:rPr>
                <w:sz w:val="18"/>
                <w:szCs w:val="18"/>
              </w:rPr>
            </w:pPr>
            <w:r>
              <w:rPr>
                <w:spacing w:val="-1"/>
                <w:sz w:val="18"/>
                <w:szCs w:val="18"/>
              </w:rPr>
              <w:t>装</w:t>
            </w:r>
            <w:r>
              <w:rPr>
                <w:spacing w:val="-34"/>
                <w:sz w:val="18"/>
                <w:szCs w:val="18"/>
              </w:rPr>
              <w:t xml:space="preserve"> </w:t>
            </w:r>
            <w:r>
              <w:rPr>
                <w:spacing w:val="-1"/>
                <w:sz w:val="18"/>
                <w:szCs w:val="18"/>
              </w:rPr>
              <w:t>置</w:t>
            </w:r>
          </w:p>
        </w:tc>
        <w:tc>
          <w:tcPr>
            <w:tcW w:w="531" w:type="dxa"/>
            <w:vMerge w:val="restart"/>
            <w:tcBorders>
              <w:bottom w:val="nil"/>
            </w:tcBorders>
            <w:textDirection w:val="tbRlV"/>
            <w:vAlign w:val="top"/>
          </w:tcPr>
          <w:p w14:paraId="22D663FC">
            <w:pPr>
              <w:pStyle w:val="6"/>
              <w:spacing w:before="177" w:line="209" w:lineRule="auto"/>
              <w:ind w:left="211"/>
              <w:rPr>
                <w:sz w:val="18"/>
                <w:szCs w:val="18"/>
              </w:rPr>
            </w:pPr>
            <w:r>
              <w:rPr>
                <w:spacing w:val="35"/>
                <w:sz w:val="18"/>
                <w:szCs w:val="18"/>
              </w:rPr>
              <w:t>污染源</w:t>
            </w:r>
          </w:p>
        </w:tc>
        <w:tc>
          <w:tcPr>
            <w:tcW w:w="377" w:type="dxa"/>
            <w:vMerge w:val="restart"/>
            <w:tcBorders>
              <w:bottom w:val="nil"/>
            </w:tcBorders>
            <w:vAlign w:val="top"/>
          </w:tcPr>
          <w:p w14:paraId="6DE8A08C">
            <w:pPr>
              <w:spacing w:line="267" w:lineRule="auto"/>
              <w:rPr>
                <w:rFonts w:ascii="Arial"/>
                <w:sz w:val="21"/>
              </w:rPr>
            </w:pPr>
          </w:p>
          <w:p w14:paraId="1A74B596">
            <w:pPr>
              <w:pStyle w:val="6"/>
              <w:spacing w:before="58" w:line="244" w:lineRule="auto"/>
              <w:ind w:left="99" w:right="9" w:hanging="89"/>
              <w:rPr>
                <w:sz w:val="18"/>
                <w:szCs w:val="18"/>
              </w:rPr>
            </w:pPr>
            <w:r>
              <w:rPr>
                <w:spacing w:val="-5"/>
                <w:sz w:val="18"/>
                <w:szCs w:val="18"/>
              </w:rPr>
              <w:t>污染</w:t>
            </w:r>
            <w:r>
              <w:rPr>
                <w:sz w:val="18"/>
                <w:szCs w:val="18"/>
              </w:rPr>
              <w:t xml:space="preserve"> 物</w:t>
            </w:r>
          </w:p>
        </w:tc>
        <w:tc>
          <w:tcPr>
            <w:tcW w:w="2295" w:type="dxa"/>
            <w:gridSpan w:val="4"/>
            <w:vAlign w:val="top"/>
          </w:tcPr>
          <w:p w14:paraId="329B6926">
            <w:pPr>
              <w:pStyle w:val="6"/>
              <w:spacing w:before="68" w:line="219" w:lineRule="auto"/>
              <w:ind w:left="701"/>
              <w:rPr>
                <w:sz w:val="18"/>
                <w:szCs w:val="18"/>
              </w:rPr>
            </w:pPr>
            <w:r>
              <w:rPr>
                <w:spacing w:val="-2"/>
                <w:sz w:val="18"/>
                <w:szCs w:val="18"/>
              </w:rPr>
              <w:t>污染物产生</w:t>
            </w:r>
          </w:p>
        </w:tc>
        <w:tc>
          <w:tcPr>
            <w:tcW w:w="1013" w:type="dxa"/>
            <w:gridSpan w:val="2"/>
            <w:vAlign w:val="top"/>
          </w:tcPr>
          <w:p w14:paraId="25BD42BD">
            <w:pPr>
              <w:pStyle w:val="6"/>
              <w:spacing w:before="68" w:line="220" w:lineRule="auto"/>
              <w:ind w:left="156"/>
              <w:rPr>
                <w:sz w:val="18"/>
                <w:szCs w:val="18"/>
              </w:rPr>
            </w:pPr>
            <w:r>
              <w:rPr>
                <w:spacing w:val="-3"/>
                <w:sz w:val="18"/>
                <w:szCs w:val="18"/>
              </w:rPr>
              <w:t>治理措施</w:t>
            </w:r>
          </w:p>
        </w:tc>
        <w:tc>
          <w:tcPr>
            <w:tcW w:w="2272" w:type="dxa"/>
            <w:gridSpan w:val="4"/>
            <w:vAlign w:val="top"/>
          </w:tcPr>
          <w:p w14:paraId="0490C09F">
            <w:pPr>
              <w:pStyle w:val="6"/>
              <w:spacing w:before="68" w:line="220" w:lineRule="auto"/>
              <w:ind w:left="696"/>
              <w:rPr>
                <w:sz w:val="18"/>
                <w:szCs w:val="18"/>
              </w:rPr>
            </w:pPr>
            <w:r>
              <w:rPr>
                <w:spacing w:val="-2"/>
                <w:sz w:val="18"/>
                <w:szCs w:val="18"/>
              </w:rPr>
              <w:t>污染物排放</w:t>
            </w:r>
          </w:p>
        </w:tc>
        <w:tc>
          <w:tcPr>
            <w:tcW w:w="552" w:type="dxa"/>
            <w:vMerge w:val="restart"/>
            <w:tcBorders>
              <w:bottom w:val="nil"/>
            </w:tcBorders>
            <w:vAlign w:val="top"/>
          </w:tcPr>
          <w:p w14:paraId="16E5A385">
            <w:pPr>
              <w:pStyle w:val="6"/>
              <w:spacing w:before="223" w:line="221" w:lineRule="auto"/>
              <w:ind w:left="107"/>
              <w:rPr>
                <w:sz w:val="18"/>
                <w:szCs w:val="18"/>
              </w:rPr>
            </w:pPr>
            <w:r>
              <w:rPr>
                <w:spacing w:val="-4"/>
                <w:sz w:val="18"/>
                <w:szCs w:val="18"/>
              </w:rPr>
              <w:t>排放</w:t>
            </w:r>
          </w:p>
          <w:p w14:paraId="32748479">
            <w:pPr>
              <w:pStyle w:val="6"/>
              <w:spacing w:before="18" w:line="221" w:lineRule="auto"/>
              <w:ind w:left="115"/>
              <w:rPr>
                <w:sz w:val="18"/>
                <w:szCs w:val="18"/>
              </w:rPr>
            </w:pPr>
            <w:r>
              <w:rPr>
                <w:spacing w:val="-8"/>
                <w:sz w:val="18"/>
                <w:szCs w:val="18"/>
              </w:rPr>
              <w:t>时间</w:t>
            </w:r>
          </w:p>
          <w:p w14:paraId="72B15FEF">
            <w:pPr>
              <w:spacing w:before="30" w:line="192" w:lineRule="auto"/>
              <w:ind w:left="210"/>
              <w:rPr>
                <w:rFonts w:ascii="Times New Roman" w:hAnsi="Times New Roman" w:eastAsia="Times New Roman" w:cs="Times New Roman"/>
                <w:sz w:val="18"/>
                <w:szCs w:val="18"/>
              </w:rPr>
            </w:pPr>
            <w:r>
              <w:rPr>
                <w:rFonts w:ascii="Times New Roman" w:hAnsi="Times New Roman" w:eastAsia="Times New Roman" w:cs="Times New Roman"/>
                <w:sz w:val="18"/>
                <w:szCs w:val="18"/>
              </w:rPr>
              <w:t>/h</w:t>
            </w:r>
          </w:p>
        </w:tc>
        <w:tc>
          <w:tcPr>
            <w:tcW w:w="118" w:type="dxa"/>
            <w:vMerge w:val="restart"/>
            <w:tcBorders>
              <w:top w:val="nil"/>
              <w:bottom w:val="nil"/>
              <w:right w:val="single" w:color="000000" w:sz="6" w:space="0"/>
            </w:tcBorders>
            <w:vAlign w:val="top"/>
          </w:tcPr>
          <w:p w14:paraId="3479F98B">
            <w:pPr>
              <w:rPr>
                <w:rFonts w:ascii="Arial"/>
                <w:sz w:val="21"/>
              </w:rPr>
            </w:pPr>
          </w:p>
        </w:tc>
      </w:tr>
      <w:tr w14:paraId="7A5EA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754" w:type="dxa"/>
            <w:vMerge w:val="continue"/>
            <w:tcBorders>
              <w:top w:val="nil"/>
              <w:left w:val="single" w:color="000000" w:sz="6" w:space="0"/>
              <w:bottom w:val="nil"/>
            </w:tcBorders>
            <w:vAlign w:val="top"/>
          </w:tcPr>
          <w:p w14:paraId="6C0FC837">
            <w:pPr>
              <w:rPr>
                <w:rFonts w:ascii="Arial"/>
                <w:sz w:val="21"/>
              </w:rPr>
            </w:pPr>
          </w:p>
        </w:tc>
        <w:tc>
          <w:tcPr>
            <w:tcW w:w="574" w:type="dxa"/>
            <w:vMerge w:val="continue"/>
            <w:tcBorders>
              <w:top w:val="nil"/>
            </w:tcBorders>
            <w:vAlign w:val="top"/>
          </w:tcPr>
          <w:p w14:paraId="0B6EBE29">
            <w:pPr>
              <w:rPr>
                <w:rFonts w:ascii="Arial"/>
                <w:sz w:val="21"/>
              </w:rPr>
            </w:pPr>
          </w:p>
        </w:tc>
        <w:tc>
          <w:tcPr>
            <w:tcW w:w="407" w:type="dxa"/>
            <w:vMerge w:val="continue"/>
            <w:tcBorders>
              <w:top w:val="nil"/>
            </w:tcBorders>
            <w:textDirection w:val="tbRlV"/>
            <w:vAlign w:val="top"/>
          </w:tcPr>
          <w:p w14:paraId="308F5759">
            <w:pPr>
              <w:rPr>
                <w:rFonts w:ascii="Arial"/>
                <w:sz w:val="21"/>
              </w:rPr>
            </w:pPr>
          </w:p>
        </w:tc>
        <w:tc>
          <w:tcPr>
            <w:tcW w:w="531" w:type="dxa"/>
            <w:vMerge w:val="continue"/>
            <w:tcBorders>
              <w:top w:val="nil"/>
            </w:tcBorders>
            <w:textDirection w:val="tbRlV"/>
            <w:vAlign w:val="top"/>
          </w:tcPr>
          <w:p w14:paraId="67058D26">
            <w:pPr>
              <w:rPr>
                <w:rFonts w:ascii="Arial"/>
                <w:sz w:val="21"/>
              </w:rPr>
            </w:pPr>
          </w:p>
        </w:tc>
        <w:tc>
          <w:tcPr>
            <w:tcW w:w="377" w:type="dxa"/>
            <w:vMerge w:val="continue"/>
            <w:tcBorders>
              <w:top w:val="nil"/>
            </w:tcBorders>
            <w:vAlign w:val="top"/>
          </w:tcPr>
          <w:p w14:paraId="16645BBC">
            <w:pPr>
              <w:rPr>
                <w:rFonts w:ascii="Arial"/>
                <w:sz w:val="21"/>
              </w:rPr>
            </w:pPr>
          </w:p>
        </w:tc>
        <w:tc>
          <w:tcPr>
            <w:tcW w:w="511" w:type="dxa"/>
            <w:vAlign w:val="top"/>
          </w:tcPr>
          <w:p w14:paraId="415DFE5B">
            <w:pPr>
              <w:pStyle w:val="6"/>
              <w:spacing w:before="174" w:line="219" w:lineRule="auto"/>
              <w:ind w:left="80"/>
              <w:rPr>
                <w:sz w:val="18"/>
                <w:szCs w:val="18"/>
              </w:rPr>
            </w:pPr>
            <w:r>
              <w:rPr>
                <w:spacing w:val="-5"/>
                <w:sz w:val="18"/>
                <w:szCs w:val="18"/>
              </w:rPr>
              <w:t>核算</w:t>
            </w:r>
          </w:p>
          <w:p w14:paraId="52831B76">
            <w:pPr>
              <w:pStyle w:val="6"/>
              <w:spacing w:before="18" w:line="221" w:lineRule="auto"/>
              <w:ind w:left="79"/>
              <w:rPr>
                <w:sz w:val="18"/>
                <w:szCs w:val="18"/>
              </w:rPr>
            </w:pPr>
            <w:r>
              <w:rPr>
                <w:spacing w:val="-4"/>
                <w:sz w:val="18"/>
                <w:szCs w:val="18"/>
              </w:rPr>
              <w:t>方法</w:t>
            </w:r>
          </w:p>
        </w:tc>
        <w:tc>
          <w:tcPr>
            <w:tcW w:w="605" w:type="dxa"/>
            <w:vAlign w:val="top"/>
          </w:tcPr>
          <w:p w14:paraId="10DDACF1">
            <w:pPr>
              <w:pStyle w:val="6"/>
              <w:spacing w:before="69" w:line="237" w:lineRule="auto"/>
              <w:ind w:left="124" w:right="31" w:hanging="90"/>
              <w:rPr>
                <w:rFonts w:ascii="Times New Roman" w:hAnsi="Times New Roman" w:eastAsia="Times New Roman" w:cs="Times New Roman"/>
                <w:sz w:val="18"/>
                <w:szCs w:val="18"/>
              </w:rPr>
            </w:pPr>
            <w:r>
              <w:rPr>
                <w:spacing w:val="-3"/>
                <w:sz w:val="18"/>
                <w:szCs w:val="18"/>
              </w:rPr>
              <w:t>废气产</w:t>
            </w:r>
            <w:r>
              <w:rPr>
                <w:spacing w:val="1"/>
                <w:sz w:val="18"/>
                <w:szCs w:val="18"/>
              </w:rPr>
              <w:t xml:space="preserve"> </w:t>
            </w:r>
            <w:r>
              <w:rPr>
                <w:spacing w:val="-5"/>
                <w:sz w:val="18"/>
                <w:szCs w:val="18"/>
              </w:rPr>
              <w:t>生量</w:t>
            </w:r>
            <w:r>
              <w:rPr>
                <w:sz w:val="18"/>
                <w:szCs w:val="18"/>
              </w:rPr>
              <w:t xml:space="preserve">  </w:t>
            </w:r>
            <w:r>
              <w:rPr>
                <w:rFonts w:ascii="Times New Roman" w:hAnsi="Times New Roman" w:eastAsia="Times New Roman" w:cs="Times New Roman"/>
                <w:spacing w:val="1"/>
                <w:sz w:val="18"/>
                <w:szCs w:val="18"/>
              </w:rPr>
              <w:t>m³/h</w:t>
            </w:r>
          </w:p>
        </w:tc>
        <w:tc>
          <w:tcPr>
            <w:tcW w:w="605" w:type="dxa"/>
            <w:vAlign w:val="top"/>
          </w:tcPr>
          <w:p w14:paraId="72E2E106">
            <w:pPr>
              <w:pStyle w:val="6"/>
              <w:spacing w:before="70" w:line="219" w:lineRule="auto"/>
              <w:ind w:left="35"/>
              <w:rPr>
                <w:sz w:val="18"/>
                <w:szCs w:val="18"/>
              </w:rPr>
            </w:pPr>
            <w:r>
              <w:rPr>
                <w:spacing w:val="-3"/>
                <w:sz w:val="18"/>
                <w:szCs w:val="18"/>
              </w:rPr>
              <w:t>产生浓</w:t>
            </w:r>
          </w:p>
          <w:p w14:paraId="0F3317C0">
            <w:pPr>
              <w:pStyle w:val="6"/>
              <w:spacing w:before="19" w:line="220" w:lineRule="auto"/>
              <w:ind w:left="238"/>
              <w:rPr>
                <w:sz w:val="18"/>
                <w:szCs w:val="18"/>
              </w:rPr>
            </w:pPr>
            <w:r>
              <w:rPr>
                <w:sz w:val="18"/>
                <w:szCs w:val="18"/>
              </w:rPr>
              <w:t>度</w:t>
            </w:r>
          </w:p>
          <w:p w14:paraId="50D3F1C4">
            <w:pPr>
              <w:spacing w:before="34" w:line="192" w:lineRule="auto"/>
              <w:ind w:left="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mg/m³</w:t>
            </w:r>
          </w:p>
        </w:tc>
        <w:tc>
          <w:tcPr>
            <w:tcW w:w="574" w:type="dxa"/>
            <w:vAlign w:val="top"/>
          </w:tcPr>
          <w:p w14:paraId="06CBFE16">
            <w:pPr>
              <w:pStyle w:val="6"/>
              <w:spacing w:before="187" w:line="245" w:lineRule="auto"/>
              <w:ind w:left="124" w:right="27" w:hanging="116"/>
              <w:rPr>
                <w:rFonts w:ascii="Times New Roman" w:hAnsi="Times New Roman" w:eastAsia="Times New Roman" w:cs="Times New Roman"/>
                <w:sz w:val="18"/>
                <w:szCs w:val="18"/>
              </w:rPr>
            </w:pPr>
            <w:r>
              <w:rPr>
                <w:spacing w:val="-3"/>
                <w:sz w:val="18"/>
                <w:szCs w:val="18"/>
              </w:rPr>
              <w:t>产生量</w:t>
            </w:r>
            <w:r>
              <w:rPr>
                <w:sz w:val="18"/>
                <w:szCs w:val="18"/>
              </w:rPr>
              <w:t xml:space="preserve"> </w:t>
            </w:r>
            <w:r>
              <w:rPr>
                <w:rFonts w:ascii="Times New Roman" w:hAnsi="Times New Roman" w:eastAsia="Times New Roman" w:cs="Times New Roman"/>
                <w:spacing w:val="-1"/>
                <w:sz w:val="18"/>
                <w:szCs w:val="18"/>
              </w:rPr>
              <w:t>kg/h</w:t>
            </w:r>
          </w:p>
        </w:tc>
        <w:tc>
          <w:tcPr>
            <w:tcW w:w="517" w:type="dxa"/>
            <w:textDirection w:val="tbRlV"/>
            <w:vAlign w:val="top"/>
          </w:tcPr>
          <w:p w14:paraId="5E404B4E">
            <w:pPr>
              <w:pStyle w:val="6"/>
              <w:spacing w:before="165" w:line="215" w:lineRule="auto"/>
              <w:ind w:left="173"/>
              <w:rPr>
                <w:sz w:val="18"/>
                <w:szCs w:val="18"/>
              </w:rPr>
            </w:pPr>
            <w:r>
              <w:rPr>
                <w:spacing w:val="26"/>
                <w:sz w:val="18"/>
                <w:szCs w:val="18"/>
              </w:rPr>
              <w:t>工艺</w:t>
            </w:r>
          </w:p>
        </w:tc>
        <w:tc>
          <w:tcPr>
            <w:tcW w:w="496" w:type="dxa"/>
            <w:vAlign w:val="top"/>
          </w:tcPr>
          <w:p w14:paraId="378896A7">
            <w:pPr>
              <w:pStyle w:val="6"/>
              <w:spacing w:before="188" w:line="219" w:lineRule="auto"/>
              <w:ind w:left="78"/>
              <w:rPr>
                <w:sz w:val="18"/>
                <w:szCs w:val="18"/>
              </w:rPr>
            </w:pPr>
            <w:r>
              <w:rPr>
                <w:spacing w:val="-6"/>
                <w:sz w:val="18"/>
                <w:szCs w:val="18"/>
              </w:rPr>
              <w:t>效率</w:t>
            </w:r>
          </w:p>
          <w:p w14:paraId="0B7B18C0">
            <w:pPr>
              <w:spacing w:before="32" w:line="192" w:lineRule="auto"/>
              <w:ind w:left="14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0" w:type="dxa"/>
            <w:vAlign w:val="top"/>
          </w:tcPr>
          <w:p w14:paraId="765163BE">
            <w:pPr>
              <w:pStyle w:val="6"/>
              <w:spacing w:before="173" w:line="244" w:lineRule="auto"/>
              <w:ind w:left="202" w:right="9" w:hanging="178"/>
              <w:rPr>
                <w:sz w:val="18"/>
                <w:szCs w:val="18"/>
              </w:rPr>
            </w:pPr>
            <w:r>
              <w:rPr>
                <w:spacing w:val="-4"/>
                <w:sz w:val="18"/>
                <w:szCs w:val="18"/>
              </w:rPr>
              <w:t>核算方</w:t>
            </w:r>
            <w:r>
              <w:rPr>
                <w:spacing w:val="1"/>
                <w:sz w:val="18"/>
                <w:szCs w:val="18"/>
              </w:rPr>
              <w:t xml:space="preserve"> </w:t>
            </w:r>
            <w:r>
              <w:rPr>
                <w:sz w:val="18"/>
                <w:szCs w:val="18"/>
              </w:rPr>
              <w:t>法</w:t>
            </w:r>
          </w:p>
        </w:tc>
        <w:tc>
          <w:tcPr>
            <w:tcW w:w="642" w:type="dxa"/>
            <w:vAlign w:val="top"/>
          </w:tcPr>
          <w:p w14:paraId="32C8C2F7">
            <w:pPr>
              <w:pStyle w:val="6"/>
              <w:spacing w:before="69" w:line="237" w:lineRule="auto"/>
              <w:ind w:left="148" w:right="44" w:hanging="89"/>
              <w:rPr>
                <w:rFonts w:ascii="Times New Roman" w:hAnsi="Times New Roman" w:eastAsia="Times New Roman" w:cs="Times New Roman"/>
                <w:sz w:val="18"/>
                <w:szCs w:val="18"/>
              </w:rPr>
            </w:pPr>
            <w:r>
              <w:rPr>
                <w:spacing w:val="-3"/>
                <w:sz w:val="18"/>
                <w:szCs w:val="18"/>
              </w:rPr>
              <w:t>废气排</w:t>
            </w:r>
            <w:r>
              <w:rPr>
                <w:spacing w:val="1"/>
                <w:sz w:val="18"/>
                <w:szCs w:val="18"/>
              </w:rPr>
              <w:t xml:space="preserve"> </w:t>
            </w:r>
            <w:r>
              <w:rPr>
                <w:spacing w:val="-4"/>
                <w:sz w:val="18"/>
                <w:szCs w:val="18"/>
              </w:rPr>
              <w:t>放量</w:t>
            </w:r>
            <w:r>
              <w:rPr>
                <w:sz w:val="18"/>
                <w:szCs w:val="18"/>
              </w:rPr>
              <w:t xml:space="preserve">  </w:t>
            </w:r>
            <w:r>
              <w:rPr>
                <w:rFonts w:ascii="Times New Roman" w:hAnsi="Times New Roman" w:eastAsia="Times New Roman" w:cs="Times New Roman"/>
                <w:spacing w:val="1"/>
                <w:sz w:val="18"/>
                <w:szCs w:val="18"/>
              </w:rPr>
              <w:t>m³/h</w:t>
            </w:r>
          </w:p>
        </w:tc>
        <w:tc>
          <w:tcPr>
            <w:tcW w:w="485" w:type="dxa"/>
            <w:vAlign w:val="top"/>
          </w:tcPr>
          <w:p w14:paraId="48C15509">
            <w:pPr>
              <w:pStyle w:val="6"/>
              <w:spacing w:before="187" w:line="245" w:lineRule="auto"/>
              <w:ind w:left="9" w:firstLine="62"/>
              <w:rPr>
                <w:rFonts w:ascii="Times New Roman" w:hAnsi="Times New Roman" w:eastAsia="Times New Roman" w:cs="Times New Roman"/>
                <w:sz w:val="18"/>
                <w:szCs w:val="18"/>
              </w:rPr>
            </w:pPr>
            <w:r>
              <w:rPr>
                <w:spacing w:val="-5"/>
                <w:sz w:val="18"/>
                <w:szCs w:val="18"/>
              </w:rPr>
              <w:t>浓度</w:t>
            </w:r>
            <w:r>
              <w:rPr>
                <w:sz w:val="18"/>
                <w:szCs w:val="18"/>
              </w:rPr>
              <w:t xml:space="preserve"> </w:t>
            </w:r>
            <w:r>
              <w:rPr>
                <w:rFonts w:ascii="Times New Roman" w:hAnsi="Times New Roman" w:eastAsia="Times New Roman" w:cs="Times New Roman"/>
                <w:spacing w:val="-1"/>
                <w:sz w:val="18"/>
                <w:szCs w:val="18"/>
              </w:rPr>
              <w:t>mg/m³</w:t>
            </w:r>
          </w:p>
        </w:tc>
        <w:tc>
          <w:tcPr>
            <w:tcW w:w="575" w:type="dxa"/>
            <w:vAlign w:val="top"/>
          </w:tcPr>
          <w:p w14:paraId="2F77306E">
            <w:pPr>
              <w:pStyle w:val="6"/>
              <w:spacing w:before="187" w:line="245" w:lineRule="auto"/>
              <w:ind w:left="131" w:right="21" w:hanging="116"/>
              <w:rPr>
                <w:rFonts w:ascii="Times New Roman" w:hAnsi="Times New Roman" w:eastAsia="Times New Roman" w:cs="Times New Roman"/>
                <w:sz w:val="18"/>
                <w:szCs w:val="18"/>
              </w:rPr>
            </w:pPr>
            <w:r>
              <w:rPr>
                <w:spacing w:val="-3"/>
                <w:sz w:val="18"/>
                <w:szCs w:val="18"/>
              </w:rPr>
              <w:t>排放量</w:t>
            </w:r>
            <w:r>
              <w:rPr>
                <w:sz w:val="18"/>
                <w:szCs w:val="18"/>
              </w:rPr>
              <w:t xml:space="preserve"> </w:t>
            </w:r>
            <w:r>
              <w:rPr>
                <w:rFonts w:ascii="Times New Roman" w:hAnsi="Times New Roman" w:eastAsia="Times New Roman" w:cs="Times New Roman"/>
                <w:spacing w:val="-1"/>
                <w:sz w:val="18"/>
                <w:szCs w:val="18"/>
              </w:rPr>
              <w:t>kg/h</w:t>
            </w:r>
          </w:p>
        </w:tc>
        <w:tc>
          <w:tcPr>
            <w:tcW w:w="552" w:type="dxa"/>
            <w:vMerge w:val="continue"/>
            <w:tcBorders>
              <w:top w:val="nil"/>
            </w:tcBorders>
            <w:vAlign w:val="top"/>
          </w:tcPr>
          <w:p w14:paraId="0809C0B8">
            <w:pPr>
              <w:rPr>
                <w:rFonts w:ascii="Arial"/>
                <w:sz w:val="21"/>
              </w:rPr>
            </w:pPr>
          </w:p>
        </w:tc>
        <w:tc>
          <w:tcPr>
            <w:tcW w:w="118" w:type="dxa"/>
            <w:vMerge w:val="continue"/>
            <w:tcBorders>
              <w:top w:val="nil"/>
              <w:bottom w:val="nil"/>
              <w:right w:val="single" w:color="000000" w:sz="6" w:space="0"/>
            </w:tcBorders>
            <w:vAlign w:val="top"/>
          </w:tcPr>
          <w:p w14:paraId="5EC7B78C">
            <w:pPr>
              <w:rPr>
                <w:rFonts w:ascii="Arial"/>
                <w:sz w:val="21"/>
              </w:rPr>
            </w:pPr>
          </w:p>
        </w:tc>
      </w:tr>
      <w:tr w14:paraId="723C6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754" w:type="dxa"/>
            <w:vMerge w:val="continue"/>
            <w:tcBorders>
              <w:top w:val="nil"/>
              <w:left w:val="single" w:color="000000" w:sz="6" w:space="0"/>
              <w:bottom w:val="nil"/>
            </w:tcBorders>
            <w:vAlign w:val="top"/>
          </w:tcPr>
          <w:p w14:paraId="77436912">
            <w:pPr>
              <w:rPr>
                <w:rFonts w:ascii="Arial"/>
                <w:sz w:val="21"/>
              </w:rPr>
            </w:pPr>
          </w:p>
        </w:tc>
        <w:tc>
          <w:tcPr>
            <w:tcW w:w="574" w:type="dxa"/>
            <w:vMerge w:val="restart"/>
            <w:tcBorders>
              <w:bottom w:val="nil"/>
            </w:tcBorders>
            <w:textDirection w:val="tbRlV"/>
            <w:vAlign w:val="top"/>
          </w:tcPr>
          <w:p w14:paraId="7EE78DF0">
            <w:pPr>
              <w:pStyle w:val="6"/>
              <w:spacing w:before="141" w:line="209" w:lineRule="auto"/>
              <w:ind w:left="855"/>
              <w:rPr>
                <w:sz w:val="18"/>
                <w:szCs w:val="18"/>
              </w:rPr>
            </w:pPr>
            <w:r>
              <w:rPr>
                <w:spacing w:val="40"/>
                <w:sz w:val="18"/>
                <w:szCs w:val="18"/>
              </w:rPr>
              <w:t>注胶车间</w:t>
            </w:r>
          </w:p>
        </w:tc>
        <w:tc>
          <w:tcPr>
            <w:tcW w:w="407" w:type="dxa"/>
            <w:vMerge w:val="restart"/>
            <w:tcBorders>
              <w:bottom w:val="nil"/>
            </w:tcBorders>
            <w:vAlign w:val="top"/>
          </w:tcPr>
          <w:p w14:paraId="552905C9">
            <w:pPr>
              <w:spacing w:line="255" w:lineRule="auto"/>
              <w:rPr>
                <w:rFonts w:ascii="Arial"/>
                <w:sz w:val="21"/>
              </w:rPr>
            </w:pPr>
          </w:p>
          <w:p w14:paraId="7073201C">
            <w:pPr>
              <w:spacing w:line="256" w:lineRule="auto"/>
              <w:rPr>
                <w:rFonts w:ascii="Arial"/>
                <w:sz w:val="21"/>
              </w:rPr>
            </w:pPr>
          </w:p>
          <w:p w14:paraId="0BC4F604">
            <w:pPr>
              <w:spacing w:line="256" w:lineRule="auto"/>
              <w:rPr>
                <w:rFonts w:ascii="Arial"/>
                <w:sz w:val="21"/>
              </w:rPr>
            </w:pPr>
          </w:p>
          <w:p w14:paraId="1E766C8C">
            <w:pPr>
              <w:spacing w:line="256" w:lineRule="auto"/>
              <w:rPr>
                <w:rFonts w:ascii="Arial"/>
                <w:sz w:val="21"/>
              </w:rPr>
            </w:pPr>
          </w:p>
          <w:p w14:paraId="56A30A2E">
            <w:pPr>
              <w:pStyle w:val="6"/>
              <w:spacing w:before="59" w:line="241" w:lineRule="auto"/>
              <w:ind w:left="115" w:right="25" w:hanging="92"/>
              <w:rPr>
                <w:sz w:val="18"/>
                <w:szCs w:val="18"/>
              </w:rPr>
            </w:pPr>
            <w:r>
              <w:rPr>
                <w:spacing w:val="-4"/>
                <w:sz w:val="18"/>
                <w:szCs w:val="18"/>
              </w:rPr>
              <w:t>燃气</w:t>
            </w:r>
            <w:r>
              <w:rPr>
                <w:sz w:val="18"/>
                <w:szCs w:val="18"/>
              </w:rPr>
              <w:t xml:space="preserve"> 炉</w:t>
            </w:r>
          </w:p>
        </w:tc>
        <w:tc>
          <w:tcPr>
            <w:tcW w:w="531" w:type="dxa"/>
            <w:vMerge w:val="restart"/>
            <w:tcBorders>
              <w:bottom w:val="nil"/>
            </w:tcBorders>
            <w:vAlign w:val="top"/>
          </w:tcPr>
          <w:p w14:paraId="2A0454CA">
            <w:pPr>
              <w:spacing w:line="297" w:lineRule="auto"/>
              <w:rPr>
                <w:rFonts w:ascii="Arial"/>
                <w:sz w:val="21"/>
              </w:rPr>
            </w:pPr>
          </w:p>
          <w:p w14:paraId="01E1F667">
            <w:pPr>
              <w:spacing w:line="298" w:lineRule="auto"/>
              <w:rPr>
                <w:rFonts w:ascii="Arial"/>
                <w:sz w:val="21"/>
              </w:rPr>
            </w:pPr>
          </w:p>
          <w:p w14:paraId="230DD5B1">
            <w:pPr>
              <w:pStyle w:val="6"/>
              <w:spacing w:before="59" w:line="242" w:lineRule="auto"/>
              <w:ind w:left="174" w:right="86" w:hanging="89"/>
              <w:rPr>
                <w:sz w:val="18"/>
                <w:szCs w:val="18"/>
              </w:rPr>
            </w:pPr>
            <w:r>
              <w:rPr>
                <w:spacing w:val="-4"/>
                <w:sz w:val="18"/>
                <w:szCs w:val="18"/>
              </w:rPr>
              <w:t>颗粒</w:t>
            </w:r>
            <w:r>
              <w:rPr>
                <w:sz w:val="18"/>
                <w:szCs w:val="18"/>
              </w:rPr>
              <w:t xml:space="preserve"> 物</w:t>
            </w:r>
          </w:p>
        </w:tc>
        <w:tc>
          <w:tcPr>
            <w:tcW w:w="377" w:type="dxa"/>
            <w:textDirection w:val="tbRlV"/>
            <w:vAlign w:val="top"/>
          </w:tcPr>
          <w:p w14:paraId="3F66F0F5">
            <w:pPr>
              <w:pStyle w:val="6"/>
              <w:spacing w:before="98" w:line="208" w:lineRule="auto"/>
              <w:ind w:left="111"/>
              <w:rPr>
                <w:sz w:val="18"/>
                <w:szCs w:val="18"/>
              </w:rPr>
            </w:pPr>
            <w:r>
              <w:rPr>
                <w:spacing w:val="35"/>
                <w:sz w:val="18"/>
                <w:szCs w:val="18"/>
              </w:rPr>
              <w:t>有组织</w:t>
            </w:r>
          </w:p>
        </w:tc>
        <w:tc>
          <w:tcPr>
            <w:tcW w:w="511" w:type="dxa"/>
            <w:vAlign w:val="top"/>
          </w:tcPr>
          <w:p w14:paraId="066DBD4F">
            <w:pPr>
              <w:pStyle w:val="6"/>
              <w:spacing w:before="111" w:line="219" w:lineRule="auto"/>
              <w:ind w:left="78"/>
              <w:rPr>
                <w:sz w:val="18"/>
                <w:szCs w:val="18"/>
              </w:rPr>
            </w:pPr>
            <w:r>
              <w:rPr>
                <w:spacing w:val="-4"/>
                <w:sz w:val="18"/>
                <w:szCs w:val="18"/>
              </w:rPr>
              <w:t>产污</w:t>
            </w:r>
          </w:p>
          <w:p w14:paraId="5EDF15CA">
            <w:pPr>
              <w:pStyle w:val="6"/>
              <w:spacing w:before="18" w:line="244" w:lineRule="auto"/>
              <w:ind w:left="167" w:right="74" w:hanging="85"/>
              <w:rPr>
                <w:sz w:val="18"/>
                <w:szCs w:val="18"/>
              </w:rPr>
            </w:pPr>
            <w:r>
              <w:rPr>
                <w:spacing w:val="-6"/>
                <w:sz w:val="18"/>
                <w:szCs w:val="18"/>
              </w:rPr>
              <w:t>系数</w:t>
            </w:r>
            <w:r>
              <w:rPr>
                <w:sz w:val="18"/>
                <w:szCs w:val="18"/>
              </w:rPr>
              <w:t xml:space="preserve"> 法</w:t>
            </w:r>
          </w:p>
        </w:tc>
        <w:tc>
          <w:tcPr>
            <w:tcW w:w="605" w:type="dxa"/>
            <w:vAlign w:val="top"/>
          </w:tcPr>
          <w:p w14:paraId="46681383">
            <w:pPr>
              <w:spacing w:line="321" w:lineRule="auto"/>
              <w:rPr>
                <w:rFonts w:ascii="Arial"/>
                <w:sz w:val="21"/>
              </w:rPr>
            </w:pPr>
          </w:p>
          <w:p w14:paraId="3E96C471">
            <w:pPr>
              <w:spacing w:before="52" w:line="188" w:lineRule="auto"/>
              <w:ind w:left="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446.4</w:t>
            </w:r>
          </w:p>
        </w:tc>
        <w:tc>
          <w:tcPr>
            <w:tcW w:w="605" w:type="dxa"/>
            <w:vAlign w:val="top"/>
          </w:tcPr>
          <w:p w14:paraId="40EC7D10">
            <w:pPr>
              <w:spacing w:line="321" w:lineRule="auto"/>
              <w:rPr>
                <w:rFonts w:ascii="Arial"/>
                <w:sz w:val="21"/>
              </w:rPr>
            </w:pPr>
          </w:p>
          <w:p w14:paraId="47FE2522">
            <w:pPr>
              <w:spacing w:before="52" w:line="188"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4.28</w:t>
            </w:r>
          </w:p>
        </w:tc>
        <w:tc>
          <w:tcPr>
            <w:tcW w:w="574" w:type="dxa"/>
            <w:vAlign w:val="top"/>
          </w:tcPr>
          <w:p w14:paraId="03AB708A">
            <w:pPr>
              <w:spacing w:before="272" w:line="188" w:lineRule="auto"/>
              <w:ind w:left="6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1.91E-</w:t>
            </w:r>
          </w:p>
          <w:p w14:paraId="0669F7EA">
            <w:pPr>
              <w:spacing w:before="44"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17" w:type="dxa"/>
            <w:vAlign w:val="top"/>
          </w:tcPr>
          <w:p w14:paraId="090702B7">
            <w:pPr>
              <w:spacing w:line="318" w:lineRule="auto"/>
              <w:rPr>
                <w:rFonts w:ascii="Arial"/>
                <w:sz w:val="21"/>
              </w:rPr>
            </w:pPr>
          </w:p>
          <w:p w14:paraId="16D67D9A">
            <w:pPr>
              <w:spacing w:before="52" w:line="192" w:lineRule="auto"/>
              <w:ind w:left="2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6" w:type="dxa"/>
            <w:vAlign w:val="top"/>
          </w:tcPr>
          <w:p w14:paraId="45A66EDE">
            <w:pPr>
              <w:spacing w:line="318" w:lineRule="auto"/>
              <w:rPr>
                <w:rFonts w:ascii="Arial"/>
                <w:sz w:val="21"/>
              </w:rPr>
            </w:pPr>
          </w:p>
          <w:p w14:paraId="25AFE9CD">
            <w:pPr>
              <w:spacing w:before="52" w:line="192"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0" w:type="dxa"/>
            <w:vAlign w:val="top"/>
          </w:tcPr>
          <w:p w14:paraId="52525D0B">
            <w:pPr>
              <w:pStyle w:val="6"/>
              <w:spacing w:before="228" w:line="241" w:lineRule="auto"/>
              <w:ind w:left="112" w:right="9" w:hanging="90"/>
              <w:rPr>
                <w:sz w:val="18"/>
                <w:szCs w:val="18"/>
              </w:rPr>
            </w:pPr>
            <w:r>
              <w:rPr>
                <w:spacing w:val="-3"/>
                <w:sz w:val="18"/>
                <w:szCs w:val="18"/>
              </w:rPr>
              <w:t>产污系</w:t>
            </w:r>
            <w:r>
              <w:rPr>
                <w:sz w:val="18"/>
                <w:szCs w:val="18"/>
              </w:rPr>
              <w:t xml:space="preserve"> </w:t>
            </w:r>
            <w:r>
              <w:rPr>
                <w:spacing w:val="-5"/>
                <w:sz w:val="18"/>
                <w:szCs w:val="18"/>
              </w:rPr>
              <w:t>数法</w:t>
            </w:r>
          </w:p>
        </w:tc>
        <w:tc>
          <w:tcPr>
            <w:tcW w:w="642" w:type="dxa"/>
            <w:vAlign w:val="top"/>
          </w:tcPr>
          <w:p w14:paraId="635956CF">
            <w:pPr>
              <w:spacing w:line="321" w:lineRule="auto"/>
              <w:rPr>
                <w:rFonts w:ascii="Arial"/>
                <w:sz w:val="21"/>
              </w:rPr>
            </w:pPr>
          </w:p>
          <w:p w14:paraId="197EBD55">
            <w:pPr>
              <w:spacing w:before="52" w:line="188" w:lineRule="auto"/>
              <w:ind w:left="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180000</w:t>
            </w:r>
          </w:p>
        </w:tc>
        <w:tc>
          <w:tcPr>
            <w:tcW w:w="485" w:type="dxa"/>
            <w:vAlign w:val="top"/>
          </w:tcPr>
          <w:p w14:paraId="087A05E4">
            <w:pPr>
              <w:spacing w:line="321" w:lineRule="auto"/>
              <w:rPr>
                <w:rFonts w:ascii="Arial"/>
                <w:sz w:val="21"/>
              </w:rPr>
            </w:pPr>
          </w:p>
          <w:p w14:paraId="49BCE818">
            <w:pPr>
              <w:spacing w:before="52"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0.011</w:t>
            </w:r>
          </w:p>
        </w:tc>
        <w:tc>
          <w:tcPr>
            <w:tcW w:w="575" w:type="dxa"/>
            <w:vAlign w:val="top"/>
          </w:tcPr>
          <w:p w14:paraId="2EBB62F7">
            <w:pPr>
              <w:spacing w:before="272" w:line="188" w:lineRule="auto"/>
              <w:ind w:left="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1.91E-</w:t>
            </w:r>
          </w:p>
          <w:p w14:paraId="7408A100">
            <w:pPr>
              <w:spacing w:before="4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52" w:type="dxa"/>
            <w:vMerge w:val="restart"/>
            <w:tcBorders>
              <w:bottom w:val="nil"/>
            </w:tcBorders>
            <w:vAlign w:val="top"/>
          </w:tcPr>
          <w:p w14:paraId="3E9603F4">
            <w:pPr>
              <w:spacing w:line="294" w:lineRule="auto"/>
              <w:rPr>
                <w:rFonts w:ascii="Arial"/>
                <w:sz w:val="21"/>
              </w:rPr>
            </w:pPr>
          </w:p>
          <w:p w14:paraId="34866C3E">
            <w:pPr>
              <w:spacing w:line="294" w:lineRule="auto"/>
              <w:rPr>
                <w:rFonts w:ascii="Arial"/>
                <w:sz w:val="21"/>
              </w:rPr>
            </w:pPr>
          </w:p>
          <w:p w14:paraId="4E57223B">
            <w:pPr>
              <w:spacing w:line="295" w:lineRule="auto"/>
              <w:rPr>
                <w:rFonts w:ascii="Arial"/>
                <w:sz w:val="21"/>
              </w:rPr>
            </w:pPr>
          </w:p>
          <w:p w14:paraId="346BB4D9">
            <w:pPr>
              <w:spacing w:line="295" w:lineRule="auto"/>
              <w:rPr>
                <w:rFonts w:ascii="Arial"/>
                <w:sz w:val="21"/>
              </w:rPr>
            </w:pPr>
          </w:p>
          <w:p w14:paraId="773186F5">
            <w:pPr>
              <w:spacing w:before="52"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118" w:type="dxa"/>
            <w:vMerge w:val="continue"/>
            <w:tcBorders>
              <w:top w:val="nil"/>
              <w:bottom w:val="nil"/>
              <w:right w:val="single" w:color="000000" w:sz="6" w:space="0"/>
            </w:tcBorders>
            <w:vAlign w:val="top"/>
          </w:tcPr>
          <w:p w14:paraId="601812F0">
            <w:pPr>
              <w:rPr>
                <w:rFonts w:ascii="Arial"/>
                <w:sz w:val="21"/>
              </w:rPr>
            </w:pPr>
          </w:p>
        </w:tc>
      </w:tr>
      <w:tr w14:paraId="5053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754" w:type="dxa"/>
            <w:vMerge w:val="continue"/>
            <w:tcBorders>
              <w:top w:val="nil"/>
              <w:left w:val="single" w:color="000000" w:sz="6" w:space="0"/>
              <w:bottom w:val="nil"/>
            </w:tcBorders>
            <w:vAlign w:val="top"/>
          </w:tcPr>
          <w:p w14:paraId="5F44DF22">
            <w:pPr>
              <w:rPr>
                <w:rFonts w:ascii="Arial"/>
                <w:sz w:val="21"/>
              </w:rPr>
            </w:pPr>
          </w:p>
        </w:tc>
        <w:tc>
          <w:tcPr>
            <w:tcW w:w="574" w:type="dxa"/>
            <w:vMerge w:val="continue"/>
            <w:tcBorders>
              <w:top w:val="nil"/>
              <w:bottom w:val="nil"/>
            </w:tcBorders>
            <w:textDirection w:val="tbRlV"/>
            <w:vAlign w:val="top"/>
          </w:tcPr>
          <w:p w14:paraId="75AD5B75">
            <w:pPr>
              <w:rPr>
                <w:rFonts w:ascii="Arial"/>
                <w:sz w:val="21"/>
              </w:rPr>
            </w:pPr>
          </w:p>
        </w:tc>
        <w:tc>
          <w:tcPr>
            <w:tcW w:w="407" w:type="dxa"/>
            <w:vMerge w:val="continue"/>
            <w:tcBorders>
              <w:top w:val="nil"/>
              <w:bottom w:val="nil"/>
            </w:tcBorders>
            <w:vAlign w:val="top"/>
          </w:tcPr>
          <w:p w14:paraId="57F8AF33">
            <w:pPr>
              <w:rPr>
                <w:rFonts w:ascii="Arial"/>
                <w:sz w:val="21"/>
              </w:rPr>
            </w:pPr>
          </w:p>
        </w:tc>
        <w:tc>
          <w:tcPr>
            <w:tcW w:w="531" w:type="dxa"/>
            <w:vMerge w:val="continue"/>
            <w:tcBorders>
              <w:top w:val="nil"/>
            </w:tcBorders>
            <w:vAlign w:val="top"/>
          </w:tcPr>
          <w:p w14:paraId="6706014F">
            <w:pPr>
              <w:rPr>
                <w:rFonts w:ascii="Arial"/>
                <w:sz w:val="21"/>
              </w:rPr>
            </w:pPr>
          </w:p>
        </w:tc>
        <w:tc>
          <w:tcPr>
            <w:tcW w:w="377" w:type="dxa"/>
            <w:textDirection w:val="tbRlV"/>
            <w:vAlign w:val="top"/>
          </w:tcPr>
          <w:p w14:paraId="3845AF36">
            <w:pPr>
              <w:pStyle w:val="6"/>
              <w:spacing w:before="98" w:line="207" w:lineRule="auto"/>
              <w:ind w:left="114"/>
              <w:rPr>
                <w:sz w:val="18"/>
                <w:szCs w:val="18"/>
              </w:rPr>
            </w:pPr>
            <w:r>
              <w:rPr>
                <w:spacing w:val="35"/>
                <w:sz w:val="18"/>
                <w:szCs w:val="18"/>
              </w:rPr>
              <w:t>无组织</w:t>
            </w:r>
          </w:p>
        </w:tc>
        <w:tc>
          <w:tcPr>
            <w:tcW w:w="511" w:type="dxa"/>
            <w:vAlign w:val="top"/>
          </w:tcPr>
          <w:p w14:paraId="7942972C">
            <w:pPr>
              <w:pStyle w:val="6"/>
              <w:spacing w:before="114" w:line="219" w:lineRule="auto"/>
              <w:ind w:left="78"/>
              <w:rPr>
                <w:sz w:val="18"/>
                <w:szCs w:val="18"/>
              </w:rPr>
            </w:pPr>
            <w:r>
              <w:rPr>
                <w:spacing w:val="-4"/>
                <w:sz w:val="18"/>
                <w:szCs w:val="18"/>
              </w:rPr>
              <w:t>产污</w:t>
            </w:r>
          </w:p>
          <w:p w14:paraId="35B1E475">
            <w:pPr>
              <w:pStyle w:val="6"/>
              <w:spacing w:before="18" w:line="244" w:lineRule="auto"/>
              <w:ind w:left="167" w:right="74" w:hanging="85"/>
              <w:rPr>
                <w:sz w:val="18"/>
                <w:szCs w:val="18"/>
              </w:rPr>
            </w:pPr>
            <w:r>
              <w:rPr>
                <w:spacing w:val="-6"/>
                <w:sz w:val="18"/>
                <w:szCs w:val="18"/>
              </w:rPr>
              <w:t>系数</w:t>
            </w:r>
            <w:r>
              <w:rPr>
                <w:sz w:val="18"/>
                <w:szCs w:val="18"/>
              </w:rPr>
              <w:t xml:space="preserve"> 法</w:t>
            </w:r>
          </w:p>
        </w:tc>
        <w:tc>
          <w:tcPr>
            <w:tcW w:w="605" w:type="dxa"/>
            <w:vAlign w:val="top"/>
          </w:tcPr>
          <w:p w14:paraId="7AE92464">
            <w:pPr>
              <w:spacing w:line="321" w:lineRule="auto"/>
              <w:rPr>
                <w:rFonts w:ascii="Arial"/>
                <w:sz w:val="21"/>
              </w:rPr>
            </w:pPr>
          </w:p>
          <w:p w14:paraId="7CF05992">
            <w:pPr>
              <w:spacing w:before="51" w:line="192" w:lineRule="auto"/>
              <w:ind w:left="27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5" w:type="dxa"/>
            <w:vAlign w:val="top"/>
          </w:tcPr>
          <w:p w14:paraId="79BA3C17">
            <w:pPr>
              <w:spacing w:line="321" w:lineRule="auto"/>
              <w:rPr>
                <w:rFonts w:ascii="Arial"/>
                <w:sz w:val="21"/>
              </w:rPr>
            </w:pPr>
          </w:p>
          <w:p w14:paraId="114B0F10">
            <w:pPr>
              <w:spacing w:before="51" w:line="192"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4" w:type="dxa"/>
            <w:vAlign w:val="top"/>
          </w:tcPr>
          <w:p w14:paraId="5D4E7DC8">
            <w:pPr>
              <w:spacing w:before="275" w:line="188" w:lineRule="auto"/>
              <w:ind w:left="6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1.03E-</w:t>
            </w:r>
          </w:p>
          <w:p w14:paraId="72602F2C">
            <w:pPr>
              <w:spacing w:before="44"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17" w:type="dxa"/>
            <w:vAlign w:val="top"/>
          </w:tcPr>
          <w:p w14:paraId="6578E539">
            <w:pPr>
              <w:spacing w:line="321" w:lineRule="auto"/>
              <w:rPr>
                <w:rFonts w:ascii="Arial"/>
                <w:sz w:val="21"/>
              </w:rPr>
            </w:pPr>
          </w:p>
          <w:p w14:paraId="20A24A72">
            <w:pPr>
              <w:spacing w:before="51" w:line="192" w:lineRule="auto"/>
              <w:ind w:left="2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6" w:type="dxa"/>
            <w:vAlign w:val="top"/>
          </w:tcPr>
          <w:p w14:paraId="13D717AC">
            <w:pPr>
              <w:spacing w:line="321" w:lineRule="auto"/>
              <w:rPr>
                <w:rFonts w:ascii="Arial"/>
                <w:sz w:val="21"/>
              </w:rPr>
            </w:pPr>
          </w:p>
          <w:p w14:paraId="6C1F7DA9">
            <w:pPr>
              <w:spacing w:before="51" w:line="192"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0" w:type="dxa"/>
            <w:vAlign w:val="top"/>
          </w:tcPr>
          <w:p w14:paraId="4977E2A3">
            <w:pPr>
              <w:pStyle w:val="6"/>
              <w:spacing w:before="229" w:line="241" w:lineRule="auto"/>
              <w:ind w:left="112" w:right="9" w:hanging="90"/>
              <w:rPr>
                <w:sz w:val="18"/>
                <w:szCs w:val="18"/>
              </w:rPr>
            </w:pPr>
            <w:r>
              <w:rPr>
                <w:spacing w:val="-3"/>
                <w:sz w:val="18"/>
                <w:szCs w:val="18"/>
              </w:rPr>
              <w:t>产污系</w:t>
            </w:r>
            <w:r>
              <w:rPr>
                <w:sz w:val="18"/>
                <w:szCs w:val="18"/>
              </w:rPr>
              <w:t xml:space="preserve"> </w:t>
            </w:r>
            <w:r>
              <w:rPr>
                <w:spacing w:val="-5"/>
                <w:sz w:val="18"/>
                <w:szCs w:val="18"/>
              </w:rPr>
              <w:t>数法</w:t>
            </w:r>
          </w:p>
        </w:tc>
        <w:tc>
          <w:tcPr>
            <w:tcW w:w="642" w:type="dxa"/>
            <w:vAlign w:val="top"/>
          </w:tcPr>
          <w:p w14:paraId="677D812F">
            <w:pPr>
              <w:spacing w:line="321" w:lineRule="auto"/>
              <w:rPr>
                <w:rFonts w:ascii="Arial"/>
                <w:sz w:val="21"/>
              </w:rPr>
            </w:pPr>
          </w:p>
          <w:p w14:paraId="0C90B2B9">
            <w:pPr>
              <w:spacing w:before="51"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14:paraId="52F0209E">
            <w:pPr>
              <w:spacing w:line="321" w:lineRule="auto"/>
              <w:rPr>
                <w:rFonts w:ascii="Arial"/>
                <w:sz w:val="21"/>
              </w:rPr>
            </w:pPr>
          </w:p>
          <w:p w14:paraId="252A1F2F">
            <w:pPr>
              <w:spacing w:before="51" w:line="192" w:lineRule="auto"/>
              <w:ind w:left="21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5" w:type="dxa"/>
            <w:vAlign w:val="top"/>
          </w:tcPr>
          <w:p w14:paraId="00EA9A9E">
            <w:pPr>
              <w:spacing w:before="275" w:line="188" w:lineRule="auto"/>
              <w:ind w:left="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1.03E-</w:t>
            </w:r>
          </w:p>
          <w:p w14:paraId="74075E95">
            <w:pPr>
              <w:spacing w:before="4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52" w:type="dxa"/>
            <w:vMerge w:val="continue"/>
            <w:tcBorders>
              <w:top w:val="nil"/>
              <w:bottom w:val="nil"/>
            </w:tcBorders>
            <w:vAlign w:val="top"/>
          </w:tcPr>
          <w:p w14:paraId="074FF897">
            <w:pPr>
              <w:rPr>
                <w:rFonts w:ascii="Arial"/>
                <w:sz w:val="21"/>
              </w:rPr>
            </w:pPr>
          </w:p>
        </w:tc>
        <w:tc>
          <w:tcPr>
            <w:tcW w:w="118" w:type="dxa"/>
            <w:vMerge w:val="continue"/>
            <w:tcBorders>
              <w:top w:val="nil"/>
              <w:bottom w:val="nil"/>
              <w:right w:val="single" w:color="000000" w:sz="6" w:space="0"/>
            </w:tcBorders>
            <w:vAlign w:val="top"/>
          </w:tcPr>
          <w:p w14:paraId="2E3C43DD">
            <w:pPr>
              <w:rPr>
                <w:rFonts w:ascii="Arial"/>
                <w:sz w:val="21"/>
              </w:rPr>
            </w:pPr>
          </w:p>
        </w:tc>
      </w:tr>
      <w:tr w14:paraId="5A9C9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trPr>
        <w:tc>
          <w:tcPr>
            <w:tcW w:w="754" w:type="dxa"/>
            <w:vMerge w:val="continue"/>
            <w:tcBorders>
              <w:top w:val="nil"/>
              <w:left w:val="single" w:color="000000" w:sz="6" w:space="0"/>
              <w:bottom w:val="single" w:color="000000" w:sz="6" w:space="0"/>
            </w:tcBorders>
            <w:vAlign w:val="top"/>
          </w:tcPr>
          <w:p w14:paraId="6ED70406">
            <w:pPr>
              <w:rPr>
                <w:rFonts w:ascii="Arial"/>
                <w:sz w:val="21"/>
              </w:rPr>
            </w:pPr>
          </w:p>
        </w:tc>
        <w:tc>
          <w:tcPr>
            <w:tcW w:w="574" w:type="dxa"/>
            <w:vMerge w:val="continue"/>
            <w:tcBorders>
              <w:top w:val="nil"/>
              <w:bottom w:val="single" w:color="000000" w:sz="6" w:space="0"/>
            </w:tcBorders>
            <w:textDirection w:val="tbRlV"/>
            <w:vAlign w:val="top"/>
          </w:tcPr>
          <w:p w14:paraId="5FB2E462">
            <w:pPr>
              <w:rPr>
                <w:rFonts w:ascii="Arial"/>
                <w:sz w:val="21"/>
              </w:rPr>
            </w:pPr>
          </w:p>
        </w:tc>
        <w:tc>
          <w:tcPr>
            <w:tcW w:w="407" w:type="dxa"/>
            <w:vMerge w:val="continue"/>
            <w:tcBorders>
              <w:top w:val="nil"/>
              <w:bottom w:val="single" w:color="000000" w:sz="6" w:space="0"/>
            </w:tcBorders>
            <w:vAlign w:val="top"/>
          </w:tcPr>
          <w:p w14:paraId="288CAA24">
            <w:pPr>
              <w:rPr>
                <w:rFonts w:ascii="Arial"/>
                <w:sz w:val="21"/>
              </w:rPr>
            </w:pPr>
          </w:p>
        </w:tc>
        <w:tc>
          <w:tcPr>
            <w:tcW w:w="531" w:type="dxa"/>
            <w:tcBorders>
              <w:bottom w:val="single" w:color="000000" w:sz="6" w:space="0"/>
            </w:tcBorders>
            <w:vAlign w:val="top"/>
          </w:tcPr>
          <w:p w14:paraId="6F2D8209">
            <w:pPr>
              <w:spacing w:line="324" w:lineRule="auto"/>
              <w:rPr>
                <w:rFonts w:ascii="Arial"/>
                <w:sz w:val="21"/>
              </w:rPr>
            </w:pPr>
          </w:p>
          <w:p w14:paraId="53188C6E">
            <w:pPr>
              <w:spacing w:before="51" w:line="194" w:lineRule="auto"/>
              <w:ind w:left="126"/>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377" w:type="dxa"/>
            <w:tcBorders>
              <w:bottom w:val="single" w:color="000000" w:sz="6" w:space="0"/>
            </w:tcBorders>
            <w:textDirection w:val="tbRlV"/>
            <w:vAlign w:val="top"/>
          </w:tcPr>
          <w:p w14:paraId="3AD47E6F">
            <w:pPr>
              <w:pStyle w:val="6"/>
              <w:spacing w:before="98" w:line="208" w:lineRule="auto"/>
              <w:ind w:left="114"/>
              <w:rPr>
                <w:sz w:val="18"/>
                <w:szCs w:val="18"/>
              </w:rPr>
            </w:pPr>
            <w:r>
              <w:rPr>
                <w:spacing w:val="35"/>
                <w:sz w:val="18"/>
                <w:szCs w:val="18"/>
              </w:rPr>
              <w:t>有组织</w:t>
            </w:r>
          </w:p>
        </w:tc>
        <w:tc>
          <w:tcPr>
            <w:tcW w:w="511" w:type="dxa"/>
            <w:tcBorders>
              <w:bottom w:val="single" w:color="000000" w:sz="6" w:space="0"/>
            </w:tcBorders>
            <w:vAlign w:val="top"/>
          </w:tcPr>
          <w:p w14:paraId="1DEFB71B">
            <w:pPr>
              <w:pStyle w:val="6"/>
              <w:spacing w:before="114" w:line="219" w:lineRule="auto"/>
              <w:ind w:left="78"/>
              <w:rPr>
                <w:sz w:val="18"/>
                <w:szCs w:val="18"/>
              </w:rPr>
            </w:pPr>
            <w:r>
              <w:rPr>
                <w:spacing w:val="-4"/>
                <w:sz w:val="18"/>
                <w:szCs w:val="18"/>
              </w:rPr>
              <w:t>产污</w:t>
            </w:r>
          </w:p>
          <w:p w14:paraId="523CD9F0">
            <w:pPr>
              <w:pStyle w:val="6"/>
              <w:spacing w:before="18" w:line="244" w:lineRule="auto"/>
              <w:ind w:left="167" w:right="74" w:hanging="85"/>
              <w:rPr>
                <w:sz w:val="18"/>
                <w:szCs w:val="18"/>
              </w:rPr>
            </w:pPr>
            <w:r>
              <w:rPr>
                <w:spacing w:val="-6"/>
                <w:sz w:val="18"/>
                <w:szCs w:val="18"/>
              </w:rPr>
              <w:t>系数</w:t>
            </w:r>
            <w:r>
              <w:rPr>
                <w:sz w:val="18"/>
                <w:szCs w:val="18"/>
              </w:rPr>
              <w:t xml:space="preserve"> 法</w:t>
            </w:r>
          </w:p>
        </w:tc>
        <w:tc>
          <w:tcPr>
            <w:tcW w:w="605" w:type="dxa"/>
            <w:tcBorders>
              <w:bottom w:val="single" w:color="000000" w:sz="6" w:space="0"/>
            </w:tcBorders>
            <w:vAlign w:val="top"/>
          </w:tcPr>
          <w:p w14:paraId="522111A1">
            <w:pPr>
              <w:spacing w:line="324" w:lineRule="auto"/>
              <w:rPr>
                <w:rFonts w:ascii="Arial"/>
                <w:sz w:val="21"/>
              </w:rPr>
            </w:pPr>
          </w:p>
          <w:p w14:paraId="330160F6">
            <w:pPr>
              <w:spacing w:before="52" w:line="188" w:lineRule="auto"/>
              <w:ind w:left="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446.4</w:t>
            </w:r>
          </w:p>
        </w:tc>
        <w:tc>
          <w:tcPr>
            <w:tcW w:w="605" w:type="dxa"/>
            <w:tcBorders>
              <w:bottom w:val="single" w:color="000000" w:sz="6" w:space="0"/>
            </w:tcBorders>
            <w:vAlign w:val="top"/>
          </w:tcPr>
          <w:p w14:paraId="5317EB86">
            <w:pPr>
              <w:spacing w:line="324" w:lineRule="auto"/>
              <w:rPr>
                <w:rFonts w:ascii="Arial"/>
                <w:sz w:val="21"/>
              </w:rPr>
            </w:pPr>
          </w:p>
          <w:p w14:paraId="1FD934D7">
            <w:pPr>
              <w:spacing w:before="52" w:line="188" w:lineRule="auto"/>
              <w:ind w:left="1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13.35</w:t>
            </w:r>
          </w:p>
        </w:tc>
        <w:tc>
          <w:tcPr>
            <w:tcW w:w="574" w:type="dxa"/>
            <w:tcBorders>
              <w:bottom w:val="single" w:color="000000" w:sz="6" w:space="0"/>
            </w:tcBorders>
            <w:vAlign w:val="top"/>
          </w:tcPr>
          <w:p w14:paraId="1E41D4D9">
            <w:pPr>
              <w:spacing w:before="275" w:line="188" w:lineRule="auto"/>
              <w:ind w:left="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5.96E-</w:t>
            </w:r>
          </w:p>
          <w:p w14:paraId="121C3F9D">
            <w:pPr>
              <w:spacing w:before="44"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17" w:type="dxa"/>
            <w:tcBorders>
              <w:bottom w:val="single" w:color="000000" w:sz="6" w:space="0"/>
            </w:tcBorders>
            <w:vAlign w:val="top"/>
          </w:tcPr>
          <w:p w14:paraId="6885A146">
            <w:pPr>
              <w:spacing w:line="321" w:lineRule="auto"/>
              <w:rPr>
                <w:rFonts w:ascii="Arial"/>
                <w:sz w:val="21"/>
              </w:rPr>
            </w:pPr>
          </w:p>
          <w:p w14:paraId="1AF49813">
            <w:pPr>
              <w:spacing w:before="52" w:line="192" w:lineRule="auto"/>
              <w:ind w:left="2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6" w:type="dxa"/>
            <w:tcBorders>
              <w:bottom w:val="single" w:color="000000" w:sz="6" w:space="0"/>
            </w:tcBorders>
            <w:vAlign w:val="top"/>
          </w:tcPr>
          <w:p w14:paraId="17AC0A0B">
            <w:pPr>
              <w:spacing w:line="321" w:lineRule="auto"/>
              <w:rPr>
                <w:rFonts w:ascii="Arial"/>
                <w:sz w:val="21"/>
              </w:rPr>
            </w:pPr>
          </w:p>
          <w:p w14:paraId="6D5A7065">
            <w:pPr>
              <w:spacing w:before="52" w:line="192"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0" w:type="dxa"/>
            <w:tcBorders>
              <w:bottom w:val="single" w:color="000000" w:sz="6" w:space="0"/>
            </w:tcBorders>
            <w:vAlign w:val="top"/>
          </w:tcPr>
          <w:p w14:paraId="68F1D075">
            <w:pPr>
              <w:pStyle w:val="6"/>
              <w:spacing w:before="231" w:line="241" w:lineRule="auto"/>
              <w:ind w:left="112" w:right="9" w:hanging="90"/>
              <w:rPr>
                <w:sz w:val="18"/>
                <w:szCs w:val="18"/>
              </w:rPr>
            </w:pPr>
            <w:r>
              <w:rPr>
                <w:spacing w:val="-3"/>
                <w:sz w:val="18"/>
                <w:szCs w:val="18"/>
              </w:rPr>
              <w:t>产污系</w:t>
            </w:r>
            <w:r>
              <w:rPr>
                <w:sz w:val="18"/>
                <w:szCs w:val="18"/>
              </w:rPr>
              <w:t xml:space="preserve"> </w:t>
            </w:r>
            <w:r>
              <w:rPr>
                <w:spacing w:val="-5"/>
                <w:sz w:val="18"/>
                <w:szCs w:val="18"/>
              </w:rPr>
              <w:t>数法</w:t>
            </w:r>
          </w:p>
        </w:tc>
        <w:tc>
          <w:tcPr>
            <w:tcW w:w="642" w:type="dxa"/>
            <w:tcBorders>
              <w:bottom w:val="single" w:color="000000" w:sz="6" w:space="0"/>
            </w:tcBorders>
            <w:vAlign w:val="top"/>
          </w:tcPr>
          <w:p w14:paraId="57F00247">
            <w:pPr>
              <w:spacing w:line="324" w:lineRule="auto"/>
              <w:rPr>
                <w:rFonts w:ascii="Arial"/>
                <w:sz w:val="21"/>
              </w:rPr>
            </w:pPr>
          </w:p>
          <w:p w14:paraId="5CD2153B">
            <w:pPr>
              <w:spacing w:before="52" w:line="188" w:lineRule="auto"/>
              <w:ind w:left="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180000</w:t>
            </w:r>
          </w:p>
        </w:tc>
        <w:tc>
          <w:tcPr>
            <w:tcW w:w="485" w:type="dxa"/>
            <w:tcBorders>
              <w:bottom w:val="single" w:color="000000" w:sz="6" w:space="0"/>
            </w:tcBorders>
            <w:vAlign w:val="top"/>
          </w:tcPr>
          <w:p w14:paraId="33AB1E75">
            <w:pPr>
              <w:spacing w:line="324" w:lineRule="auto"/>
              <w:rPr>
                <w:rFonts w:ascii="Arial"/>
                <w:sz w:val="21"/>
              </w:rPr>
            </w:pPr>
          </w:p>
          <w:p w14:paraId="069B6B97">
            <w:pPr>
              <w:spacing w:before="52" w:line="188" w:lineRule="auto"/>
              <w:ind w:left="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0.033</w:t>
            </w:r>
          </w:p>
        </w:tc>
        <w:tc>
          <w:tcPr>
            <w:tcW w:w="575" w:type="dxa"/>
            <w:tcBorders>
              <w:bottom w:val="single" w:color="000000" w:sz="6" w:space="0"/>
            </w:tcBorders>
            <w:vAlign w:val="top"/>
          </w:tcPr>
          <w:p w14:paraId="30574A03">
            <w:pPr>
              <w:spacing w:before="275" w:line="188" w:lineRule="auto"/>
              <w:ind w:left="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5.96E-</w:t>
            </w:r>
          </w:p>
          <w:p w14:paraId="270732C5">
            <w:pPr>
              <w:spacing w:before="4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52" w:type="dxa"/>
            <w:vMerge w:val="continue"/>
            <w:tcBorders>
              <w:top w:val="nil"/>
              <w:bottom w:val="single" w:color="000000" w:sz="6" w:space="0"/>
            </w:tcBorders>
            <w:vAlign w:val="top"/>
          </w:tcPr>
          <w:p w14:paraId="7F04EF33">
            <w:pPr>
              <w:rPr>
                <w:rFonts w:ascii="Arial"/>
                <w:sz w:val="21"/>
              </w:rPr>
            </w:pPr>
          </w:p>
        </w:tc>
        <w:tc>
          <w:tcPr>
            <w:tcW w:w="118" w:type="dxa"/>
            <w:vMerge w:val="continue"/>
            <w:tcBorders>
              <w:top w:val="nil"/>
              <w:bottom w:val="single" w:color="000000" w:sz="6" w:space="0"/>
              <w:right w:val="single" w:color="000000" w:sz="6" w:space="0"/>
            </w:tcBorders>
            <w:vAlign w:val="top"/>
          </w:tcPr>
          <w:p w14:paraId="78BE676D">
            <w:pPr>
              <w:rPr>
                <w:rFonts w:ascii="Arial"/>
                <w:sz w:val="21"/>
              </w:rPr>
            </w:pPr>
          </w:p>
        </w:tc>
      </w:tr>
    </w:tbl>
    <w:p w14:paraId="55591EE2">
      <w:pPr>
        <w:rPr>
          <w:rFonts w:ascii="Arial"/>
          <w:sz w:val="21"/>
        </w:rPr>
      </w:pPr>
    </w:p>
    <w:p w14:paraId="522C14E8">
      <w:pPr>
        <w:rPr>
          <w:rFonts w:ascii="Arial" w:hAnsi="Arial" w:eastAsia="Arial" w:cs="Arial"/>
          <w:sz w:val="21"/>
          <w:szCs w:val="21"/>
        </w:rPr>
        <w:sectPr>
          <w:footerReference r:id="rId71" w:type="default"/>
          <w:pgSz w:w="11907" w:h="16840"/>
          <w:pgMar w:top="400" w:right="1499" w:bottom="1240" w:left="1499" w:header="0" w:footer="1077" w:gutter="0"/>
          <w:cols w:space="720" w:num="1"/>
        </w:sectPr>
      </w:pPr>
    </w:p>
    <w:p w14:paraId="6F4C765F">
      <w:pPr>
        <w:spacing w:before="19"/>
      </w:pPr>
    </w:p>
    <w:p w14:paraId="70D07C0B">
      <w:pPr>
        <w:spacing w:before="19"/>
      </w:pPr>
    </w:p>
    <w:p w14:paraId="19EE622C">
      <w:pPr>
        <w:spacing w:before="19"/>
      </w:pPr>
    </w:p>
    <w:p w14:paraId="62B9D3C7">
      <w:pPr>
        <w:spacing w:before="18"/>
      </w:pPr>
    </w:p>
    <w:p w14:paraId="134E69FE">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18"/>
        <w:gridCol w:w="456"/>
        <w:gridCol w:w="407"/>
        <w:gridCol w:w="531"/>
        <w:gridCol w:w="377"/>
        <w:gridCol w:w="511"/>
        <w:gridCol w:w="605"/>
        <w:gridCol w:w="605"/>
        <w:gridCol w:w="574"/>
        <w:gridCol w:w="517"/>
        <w:gridCol w:w="496"/>
        <w:gridCol w:w="570"/>
        <w:gridCol w:w="642"/>
        <w:gridCol w:w="485"/>
        <w:gridCol w:w="575"/>
        <w:gridCol w:w="552"/>
        <w:gridCol w:w="118"/>
      </w:tblGrid>
      <w:tr w14:paraId="07FDF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54" w:type="dxa"/>
            <w:vMerge w:val="restart"/>
            <w:tcBorders>
              <w:top w:val="single" w:color="000000" w:sz="6" w:space="0"/>
              <w:left w:val="single" w:color="000000" w:sz="6" w:space="0"/>
              <w:bottom w:val="nil"/>
            </w:tcBorders>
            <w:vAlign w:val="top"/>
          </w:tcPr>
          <w:p w14:paraId="656E1899">
            <w:pPr>
              <w:rPr>
                <w:rFonts w:ascii="Arial"/>
                <w:sz w:val="21"/>
              </w:rPr>
            </w:pPr>
          </w:p>
        </w:tc>
        <w:tc>
          <w:tcPr>
            <w:tcW w:w="118" w:type="dxa"/>
            <w:tcBorders>
              <w:top w:val="single" w:color="000000" w:sz="6" w:space="0"/>
              <w:bottom w:val="nil"/>
            </w:tcBorders>
            <w:vAlign w:val="top"/>
          </w:tcPr>
          <w:p w14:paraId="7DD57EA8">
            <w:pPr>
              <w:rPr>
                <w:rFonts w:ascii="Arial"/>
                <w:sz w:val="21"/>
              </w:rPr>
            </w:pPr>
          </w:p>
        </w:tc>
        <w:tc>
          <w:tcPr>
            <w:tcW w:w="456" w:type="dxa"/>
            <w:vMerge w:val="restart"/>
            <w:tcBorders>
              <w:top w:val="single" w:color="000000" w:sz="6" w:space="0"/>
              <w:bottom w:val="nil"/>
            </w:tcBorders>
            <w:vAlign w:val="top"/>
          </w:tcPr>
          <w:p w14:paraId="17C8DD9C">
            <w:pPr>
              <w:rPr>
                <w:rFonts w:ascii="Arial"/>
                <w:sz w:val="21"/>
              </w:rPr>
            </w:pPr>
          </w:p>
        </w:tc>
        <w:tc>
          <w:tcPr>
            <w:tcW w:w="407" w:type="dxa"/>
            <w:vMerge w:val="restart"/>
            <w:tcBorders>
              <w:top w:val="single" w:color="000000" w:sz="6" w:space="0"/>
              <w:bottom w:val="nil"/>
            </w:tcBorders>
            <w:vAlign w:val="top"/>
          </w:tcPr>
          <w:p w14:paraId="35EAB6A7">
            <w:pPr>
              <w:rPr>
                <w:rFonts w:ascii="Arial"/>
                <w:sz w:val="21"/>
              </w:rPr>
            </w:pPr>
          </w:p>
        </w:tc>
        <w:tc>
          <w:tcPr>
            <w:tcW w:w="531" w:type="dxa"/>
            <w:tcBorders>
              <w:top w:val="single" w:color="000000" w:sz="6" w:space="0"/>
            </w:tcBorders>
            <w:vAlign w:val="top"/>
          </w:tcPr>
          <w:p w14:paraId="4F63312A">
            <w:pPr>
              <w:rPr>
                <w:rFonts w:ascii="Arial"/>
                <w:sz w:val="21"/>
              </w:rPr>
            </w:pPr>
          </w:p>
        </w:tc>
        <w:tc>
          <w:tcPr>
            <w:tcW w:w="377" w:type="dxa"/>
            <w:tcBorders>
              <w:top w:val="single" w:color="000000" w:sz="6" w:space="0"/>
            </w:tcBorders>
            <w:textDirection w:val="tbRlV"/>
            <w:vAlign w:val="top"/>
          </w:tcPr>
          <w:p w14:paraId="2679DF91">
            <w:pPr>
              <w:pStyle w:val="6"/>
              <w:spacing w:before="98" w:line="207" w:lineRule="auto"/>
              <w:ind w:left="115"/>
              <w:rPr>
                <w:sz w:val="18"/>
                <w:szCs w:val="18"/>
              </w:rPr>
            </w:pPr>
            <w:r>
              <w:rPr>
                <w:spacing w:val="36"/>
                <w:sz w:val="18"/>
                <w:szCs w:val="18"/>
              </w:rPr>
              <w:t>无组织</w:t>
            </w:r>
          </w:p>
        </w:tc>
        <w:tc>
          <w:tcPr>
            <w:tcW w:w="511" w:type="dxa"/>
            <w:tcBorders>
              <w:top w:val="single" w:color="000000" w:sz="6" w:space="0"/>
            </w:tcBorders>
            <w:vAlign w:val="top"/>
          </w:tcPr>
          <w:p w14:paraId="2C718C44">
            <w:pPr>
              <w:pStyle w:val="6"/>
              <w:spacing w:before="115" w:line="219" w:lineRule="auto"/>
              <w:ind w:left="78"/>
              <w:rPr>
                <w:sz w:val="18"/>
                <w:szCs w:val="18"/>
              </w:rPr>
            </w:pPr>
            <w:r>
              <w:rPr>
                <w:spacing w:val="-4"/>
                <w:sz w:val="18"/>
                <w:szCs w:val="18"/>
              </w:rPr>
              <w:t>产污</w:t>
            </w:r>
          </w:p>
          <w:p w14:paraId="59BBEF54">
            <w:pPr>
              <w:pStyle w:val="6"/>
              <w:spacing w:before="20" w:line="244" w:lineRule="auto"/>
              <w:ind w:left="167" w:right="74" w:hanging="85"/>
              <w:rPr>
                <w:sz w:val="18"/>
                <w:szCs w:val="18"/>
              </w:rPr>
            </w:pPr>
            <w:r>
              <w:rPr>
                <w:spacing w:val="-6"/>
                <w:sz w:val="18"/>
                <w:szCs w:val="18"/>
              </w:rPr>
              <w:t>系数</w:t>
            </w:r>
            <w:r>
              <w:rPr>
                <w:sz w:val="18"/>
                <w:szCs w:val="18"/>
              </w:rPr>
              <w:t xml:space="preserve"> 法</w:t>
            </w:r>
          </w:p>
        </w:tc>
        <w:tc>
          <w:tcPr>
            <w:tcW w:w="605" w:type="dxa"/>
            <w:tcBorders>
              <w:top w:val="single" w:color="000000" w:sz="6" w:space="0"/>
            </w:tcBorders>
            <w:vAlign w:val="top"/>
          </w:tcPr>
          <w:p w14:paraId="68674E58">
            <w:pPr>
              <w:spacing w:line="324" w:lineRule="auto"/>
              <w:rPr>
                <w:rFonts w:ascii="Arial"/>
                <w:sz w:val="21"/>
              </w:rPr>
            </w:pPr>
          </w:p>
          <w:p w14:paraId="00DE6659">
            <w:pPr>
              <w:spacing w:before="52" w:line="192" w:lineRule="auto"/>
              <w:ind w:left="27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5" w:type="dxa"/>
            <w:tcBorders>
              <w:top w:val="single" w:color="000000" w:sz="6" w:space="0"/>
            </w:tcBorders>
            <w:vAlign w:val="top"/>
          </w:tcPr>
          <w:p w14:paraId="15F8D7B7">
            <w:pPr>
              <w:spacing w:line="324" w:lineRule="auto"/>
              <w:rPr>
                <w:rFonts w:ascii="Arial"/>
                <w:sz w:val="21"/>
              </w:rPr>
            </w:pPr>
          </w:p>
          <w:p w14:paraId="4D19162F">
            <w:pPr>
              <w:spacing w:before="52" w:line="192"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4" w:type="dxa"/>
            <w:tcBorders>
              <w:top w:val="single" w:color="000000" w:sz="6" w:space="0"/>
            </w:tcBorders>
            <w:vAlign w:val="top"/>
          </w:tcPr>
          <w:p w14:paraId="54D25A51">
            <w:pPr>
              <w:spacing w:before="278" w:line="188" w:lineRule="auto"/>
              <w:ind w:left="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3.21E-</w:t>
            </w:r>
          </w:p>
          <w:p w14:paraId="2B2209DF">
            <w:pPr>
              <w:spacing w:before="41"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17" w:type="dxa"/>
            <w:tcBorders>
              <w:top w:val="single" w:color="000000" w:sz="6" w:space="0"/>
            </w:tcBorders>
            <w:vAlign w:val="top"/>
          </w:tcPr>
          <w:p w14:paraId="77D68734">
            <w:pPr>
              <w:spacing w:line="324" w:lineRule="auto"/>
              <w:rPr>
                <w:rFonts w:ascii="Arial"/>
                <w:sz w:val="21"/>
              </w:rPr>
            </w:pPr>
          </w:p>
          <w:p w14:paraId="0E8318A9">
            <w:pPr>
              <w:spacing w:before="52" w:line="192" w:lineRule="auto"/>
              <w:ind w:left="2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6" w:type="dxa"/>
            <w:tcBorders>
              <w:top w:val="single" w:color="000000" w:sz="6" w:space="0"/>
            </w:tcBorders>
            <w:vAlign w:val="top"/>
          </w:tcPr>
          <w:p w14:paraId="106E0C76">
            <w:pPr>
              <w:spacing w:line="324" w:lineRule="auto"/>
              <w:rPr>
                <w:rFonts w:ascii="Arial"/>
                <w:sz w:val="21"/>
              </w:rPr>
            </w:pPr>
          </w:p>
          <w:p w14:paraId="7E48824E">
            <w:pPr>
              <w:spacing w:before="52" w:line="192"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0" w:type="dxa"/>
            <w:tcBorders>
              <w:top w:val="single" w:color="000000" w:sz="6" w:space="0"/>
            </w:tcBorders>
            <w:vAlign w:val="top"/>
          </w:tcPr>
          <w:p w14:paraId="25CA4A6D">
            <w:pPr>
              <w:pStyle w:val="6"/>
              <w:spacing w:before="232" w:line="241" w:lineRule="auto"/>
              <w:ind w:left="112" w:right="9" w:hanging="90"/>
              <w:rPr>
                <w:sz w:val="18"/>
                <w:szCs w:val="18"/>
              </w:rPr>
            </w:pPr>
            <w:r>
              <w:rPr>
                <w:spacing w:val="-3"/>
                <w:sz w:val="18"/>
                <w:szCs w:val="18"/>
              </w:rPr>
              <w:t>产污系</w:t>
            </w:r>
            <w:r>
              <w:rPr>
                <w:sz w:val="18"/>
                <w:szCs w:val="18"/>
              </w:rPr>
              <w:t xml:space="preserve"> </w:t>
            </w:r>
            <w:r>
              <w:rPr>
                <w:spacing w:val="-5"/>
                <w:sz w:val="18"/>
                <w:szCs w:val="18"/>
              </w:rPr>
              <w:t>数法</w:t>
            </w:r>
          </w:p>
        </w:tc>
        <w:tc>
          <w:tcPr>
            <w:tcW w:w="642" w:type="dxa"/>
            <w:tcBorders>
              <w:top w:val="single" w:color="000000" w:sz="6" w:space="0"/>
            </w:tcBorders>
            <w:vAlign w:val="top"/>
          </w:tcPr>
          <w:p w14:paraId="229EF18B">
            <w:pPr>
              <w:spacing w:line="324" w:lineRule="auto"/>
              <w:rPr>
                <w:rFonts w:ascii="Arial"/>
                <w:sz w:val="21"/>
              </w:rPr>
            </w:pPr>
          </w:p>
          <w:p w14:paraId="119402B6">
            <w:pPr>
              <w:spacing w:before="52"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tcBorders>
              <w:top w:val="single" w:color="000000" w:sz="6" w:space="0"/>
            </w:tcBorders>
            <w:vAlign w:val="top"/>
          </w:tcPr>
          <w:p w14:paraId="3E2DC661">
            <w:pPr>
              <w:spacing w:line="324" w:lineRule="auto"/>
              <w:rPr>
                <w:rFonts w:ascii="Arial"/>
                <w:sz w:val="21"/>
              </w:rPr>
            </w:pPr>
          </w:p>
          <w:p w14:paraId="044D83A0">
            <w:pPr>
              <w:spacing w:before="52" w:line="192" w:lineRule="auto"/>
              <w:ind w:left="21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5" w:type="dxa"/>
            <w:tcBorders>
              <w:top w:val="single" w:color="000000" w:sz="6" w:space="0"/>
            </w:tcBorders>
            <w:vAlign w:val="top"/>
          </w:tcPr>
          <w:p w14:paraId="196CA7BC">
            <w:pPr>
              <w:spacing w:before="278" w:line="188" w:lineRule="auto"/>
              <w:ind w:left="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3.21E-</w:t>
            </w:r>
          </w:p>
          <w:p w14:paraId="0E464AC9">
            <w:pPr>
              <w:spacing w:before="41"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52" w:type="dxa"/>
            <w:vMerge w:val="restart"/>
            <w:tcBorders>
              <w:top w:val="single" w:color="000000" w:sz="6" w:space="0"/>
              <w:bottom w:val="nil"/>
            </w:tcBorders>
            <w:vAlign w:val="top"/>
          </w:tcPr>
          <w:p w14:paraId="0A71F109">
            <w:pPr>
              <w:rPr>
                <w:rFonts w:ascii="Arial"/>
                <w:sz w:val="21"/>
              </w:rPr>
            </w:pPr>
          </w:p>
        </w:tc>
        <w:tc>
          <w:tcPr>
            <w:tcW w:w="118" w:type="dxa"/>
            <w:tcBorders>
              <w:top w:val="single" w:color="000000" w:sz="6" w:space="0"/>
              <w:bottom w:val="nil"/>
              <w:right w:val="single" w:color="000000" w:sz="6" w:space="0"/>
            </w:tcBorders>
            <w:vAlign w:val="top"/>
          </w:tcPr>
          <w:p w14:paraId="0D28D800">
            <w:pPr>
              <w:rPr>
                <w:rFonts w:ascii="Arial"/>
                <w:sz w:val="21"/>
              </w:rPr>
            </w:pPr>
          </w:p>
        </w:tc>
      </w:tr>
      <w:tr w14:paraId="6F5C6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754" w:type="dxa"/>
            <w:vMerge w:val="continue"/>
            <w:tcBorders>
              <w:top w:val="nil"/>
              <w:left w:val="single" w:color="000000" w:sz="6" w:space="0"/>
              <w:bottom w:val="nil"/>
            </w:tcBorders>
            <w:vAlign w:val="top"/>
          </w:tcPr>
          <w:p w14:paraId="60D69D2D">
            <w:pPr>
              <w:rPr>
                <w:rFonts w:ascii="Arial"/>
                <w:sz w:val="21"/>
              </w:rPr>
            </w:pPr>
          </w:p>
        </w:tc>
        <w:tc>
          <w:tcPr>
            <w:tcW w:w="118" w:type="dxa"/>
            <w:tcBorders>
              <w:top w:val="nil"/>
              <w:bottom w:val="nil"/>
            </w:tcBorders>
            <w:vAlign w:val="top"/>
          </w:tcPr>
          <w:p w14:paraId="7973CB6F">
            <w:pPr>
              <w:rPr>
                <w:rFonts w:ascii="Arial"/>
                <w:sz w:val="21"/>
              </w:rPr>
            </w:pPr>
          </w:p>
        </w:tc>
        <w:tc>
          <w:tcPr>
            <w:tcW w:w="456" w:type="dxa"/>
            <w:vMerge w:val="continue"/>
            <w:tcBorders>
              <w:top w:val="nil"/>
              <w:bottom w:val="nil"/>
            </w:tcBorders>
            <w:vAlign w:val="top"/>
          </w:tcPr>
          <w:p w14:paraId="32DDF2E4">
            <w:pPr>
              <w:rPr>
                <w:rFonts w:ascii="Arial"/>
                <w:sz w:val="21"/>
              </w:rPr>
            </w:pPr>
          </w:p>
        </w:tc>
        <w:tc>
          <w:tcPr>
            <w:tcW w:w="407" w:type="dxa"/>
            <w:vMerge w:val="continue"/>
            <w:tcBorders>
              <w:top w:val="nil"/>
              <w:bottom w:val="nil"/>
            </w:tcBorders>
            <w:vAlign w:val="top"/>
          </w:tcPr>
          <w:p w14:paraId="47C2098D">
            <w:pPr>
              <w:rPr>
                <w:rFonts w:ascii="Arial"/>
                <w:sz w:val="21"/>
              </w:rPr>
            </w:pPr>
          </w:p>
        </w:tc>
        <w:tc>
          <w:tcPr>
            <w:tcW w:w="531" w:type="dxa"/>
            <w:vMerge w:val="restart"/>
            <w:tcBorders>
              <w:bottom w:val="nil"/>
            </w:tcBorders>
            <w:vAlign w:val="top"/>
          </w:tcPr>
          <w:p w14:paraId="60069545">
            <w:pPr>
              <w:spacing w:line="248" w:lineRule="auto"/>
              <w:rPr>
                <w:rFonts w:ascii="Arial"/>
                <w:sz w:val="21"/>
              </w:rPr>
            </w:pPr>
          </w:p>
          <w:p w14:paraId="6F2EB4F7">
            <w:pPr>
              <w:spacing w:line="249" w:lineRule="auto"/>
              <w:rPr>
                <w:rFonts w:ascii="Arial"/>
                <w:sz w:val="21"/>
              </w:rPr>
            </w:pPr>
          </w:p>
          <w:p w14:paraId="4B4529CD">
            <w:pPr>
              <w:spacing w:line="249" w:lineRule="auto"/>
              <w:rPr>
                <w:rFonts w:ascii="Arial"/>
                <w:sz w:val="21"/>
              </w:rPr>
            </w:pPr>
          </w:p>
          <w:p w14:paraId="40F68D3D">
            <w:pPr>
              <w:spacing w:before="52" w:line="194" w:lineRule="auto"/>
              <w:ind w:left="8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NO</w:t>
            </w:r>
            <w:r>
              <w:rPr>
                <w:rFonts w:ascii="Times New Roman" w:hAnsi="Times New Roman" w:eastAsia="Times New Roman" w:cs="Times New Roman"/>
                <w:spacing w:val="1"/>
                <w:position w:val="-1"/>
                <w:sz w:val="11"/>
                <w:szCs w:val="11"/>
              </w:rPr>
              <w:t>X</w:t>
            </w:r>
          </w:p>
        </w:tc>
        <w:tc>
          <w:tcPr>
            <w:tcW w:w="377" w:type="dxa"/>
            <w:textDirection w:val="tbRlV"/>
            <w:vAlign w:val="top"/>
          </w:tcPr>
          <w:p w14:paraId="4E963938">
            <w:pPr>
              <w:pStyle w:val="6"/>
              <w:spacing w:before="98" w:line="208" w:lineRule="auto"/>
              <w:ind w:left="109"/>
              <w:rPr>
                <w:sz w:val="18"/>
                <w:szCs w:val="18"/>
              </w:rPr>
            </w:pPr>
            <w:r>
              <w:rPr>
                <w:spacing w:val="35"/>
                <w:sz w:val="18"/>
                <w:szCs w:val="18"/>
              </w:rPr>
              <w:t>有组织</w:t>
            </w:r>
          </w:p>
        </w:tc>
        <w:tc>
          <w:tcPr>
            <w:tcW w:w="511" w:type="dxa"/>
            <w:vAlign w:val="top"/>
          </w:tcPr>
          <w:p w14:paraId="0872B4B4">
            <w:pPr>
              <w:pStyle w:val="6"/>
              <w:spacing w:before="110" w:line="219" w:lineRule="auto"/>
              <w:ind w:left="78"/>
              <w:rPr>
                <w:sz w:val="18"/>
                <w:szCs w:val="18"/>
              </w:rPr>
            </w:pPr>
            <w:r>
              <w:rPr>
                <w:spacing w:val="-4"/>
                <w:sz w:val="18"/>
                <w:szCs w:val="18"/>
              </w:rPr>
              <w:t>产污</w:t>
            </w:r>
          </w:p>
          <w:p w14:paraId="6170A6DD">
            <w:pPr>
              <w:pStyle w:val="6"/>
              <w:spacing w:before="18" w:line="244" w:lineRule="auto"/>
              <w:ind w:left="167" w:right="74" w:hanging="85"/>
              <w:rPr>
                <w:sz w:val="18"/>
                <w:szCs w:val="18"/>
              </w:rPr>
            </w:pPr>
            <w:r>
              <w:rPr>
                <w:spacing w:val="-6"/>
                <w:sz w:val="18"/>
                <w:szCs w:val="18"/>
              </w:rPr>
              <w:t>系数</w:t>
            </w:r>
            <w:r>
              <w:rPr>
                <w:sz w:val="18"/>
                <w:szCs w:val="18"/>
              </w:rPr>
              <w:t xml:space="preserve"> 法</w:t>
            </w:r>
          </w:p>
        </w:tc>
        <w:tc>
          <w:tcPr>
            <w:tcW w:w="605" w:type="dxa"/>
            <w:vAlign w:val="top"/>
          </w:tcPr>
          <w:p w14:paraId="09F568E9">
            <w:pPr>
              <w:spacing w:line="320" w:lineRule="auto"/>
              <w:rPr>
                <w:rFonts w:ascii="Arial"/>
                <w:sz w:val="21"/>
              </w:rPr>
            </w:pPr>
          </w:p>
          <w:p w14:paraId="382C6092">
            <w:pPr>
              <w:spacing w:before="51" w:line="188" w:lineRule="auto"/>
              <w:ind w:left="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446.4</w:t>
            </w:r>
          </w:p>
        </w:tc>
        <w:tc>
          <w:tcPr>
            <w:tcW w:w="605" w:type="dxa"/>
            <w:vAlign w:val="top"/>
          </w:tcPr>
          <w:p w14:paraId="26051572">
            <w:pPr>
              <w:spacing w:line="320" w:lineRule="auto"/>
              <w:rPr>
                <w:rFonts w:ascii="Arial"/>
                <w:sz w:val="21"/>
              </w:rPr>
            </w:pPr>
          </w:p>
          <w:p w14:paraId="570E3048">
            <w:pPr>
              <w:spacing w:before="51" w:line="188" w:lineRule="auto"/>
              <w:ind w:left="7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115.98</w:t>
            </w:r>
          </w:p>
        </w:tc>
        <w:tc>
          <w:tcPr>
            <w:tcW w:w="574" w:type="dxa"/>
            <w:vAlign w:val="top"/>
          </w:tcPr>
          <w:p w14:paraId="7B407BD5">
            <w:pPr>
              <w:spacing w:before="270" w:line="188" w:lineRule="auto"/>
              <w:ind w:left="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5"/>
                <w:sz w:val="18"/>
                <w:szCs w:val="18"/>
              </w:rPr>
              <w:t>18E-</w:t>
            </w:r>
          </w:p>
          <w:p w14:paraId="1FAAFBBF">
            <w:pPr>
              <w:spacing w:before="44"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02</w:t>
            </w:r>
          </w:p>
        </w:tc>
        <w:tc>
          <w:tcPr>
            <w:tcW w:w="517" w:type="dxa"/>
            <w:vAlign w:val="top"/>
          </w:tcPr>
          <w:p w14:paraId="69FC99A2">
            <w:pPr>
              <w:spacing w:line="316" w:lineRule="auto"/>
              <w:rPr>
                <w:rFonts w:ascii="Arial"/>
                <w:sz w:val="21"/>
              </w:rPr>
            </w:pPr>
          </w:p>
          <w:p w14:paraId="582F98B0">
            <w:pPr>
              <w:spacing w:before="52" w:line="192" w:lineRule="auto"/>
              <w:ind w:left="2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6" w:type="dxa"/>
            <w:vAlign w:val="top"/>
          </w:tcPr>
          <w:p w14:paraId="0742F481">
            <w:pPr>
              <w:spacing w:line="316" w:lineRule="auto"/>
              <w:rPr>
                <w:rFonts w:ascii="Arial"/>
                <w:sz w:val="21"/>
              </w:rPr>
            </w:pPr>
          </w:p>
          <w:p w14:paraId="3FD61DAA">
            <w:pPr>
              <w:spacing w:before="52" w:line="192"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0" w:type="dxa"/>
            <w:vAlign w:val="top"/>
          </w:tcPr>
          <w:p w14:paraId="5485AC65">
            <w:pPr>
              <w:pStyle w:val="6"/>
              <w:spacing w:before="227" w:line="241" w:lineRule="auto"/>
              <w:ind w:left="112" w:right="9" w:hanging="90"/>
              <w:rPr>
                <w:sz w:val="18"/>
                <w:szCs w:val="18"/>
              </w:rPr>
            </w:pPr>
            <w:r>
              <w:rPr>
                <w:spacing w:val="-3"/>
                <w:sz w:val="18"/>
                <w:szCs w:val="18"/>
              </w:rPr>
              <w:t>产污系</w:t>
            </w:r>
            <w:r>
              <w:rPr>
                <w:sz w:val="18"/>
                <w:szCs w:val="18"/>
              </w:rPr>
              <w:t xml:space="preserve"> </w:t>
            </w:r>
            <w:r>
              <w:rPr>
                <w:spacing w:val="-5"/>
                <w:sz w:val="18"/>
                <w:szCs w:val="18"/>
              </w:rPr>
              <w:t>数法</w:t>
            </w:r>
          </w:p>
        </w:tc>
        <w:tc>
          <w:tcPr>
            <w:tcW w:w="642" w:type="dxa"/>
            <w:vAlign w:val="top"/>
          </w:tcPr>
          <w:p w14:paraId="220F75CF">
            <w:pPr>
              <w:spacing w:line="320" w:lineRule="auto"/>
              <w:rPr>
                <w:rFonts w:ascii="Arial"/>
                <w:sz w:val="21"/>
              </w:rPr>
            </w:pPr>
          </w:p>
          <w:p w14:paraId="105241D8">
            <w:pPr>
              <w:spacing w:before="51" w:line="188" w:lineRule="auto"/>
              <w:ind w:left="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180000</w:t>
            </w:r>
          </w:p>
        </w:tc>
        <w:tc>
          <w:tcPr>
            <w:tcW w:w="485" w:type="dxa"/>
            <w:vAlign w:val="top"/>
          </w:tcPr>
          <w:p w14:paraId="1C131FDB">
            <w:pPr>
              <w:spacing w:line="320" w:lineRule="auto"/>
              <w:rPr>
                <w:rFonts w:ascii="Arial"/>
                <w:sz w:val="21"/>
              </w:rPr>
            </w:pPr>
          </w:p>
          <w:p w14:paraId="4ED5644C">
            <w:pPr>
              <w:spacing w:before="51" w:line="188" w:lineRule="auto"/>
              <w:ind w:left="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0.288</w:t>
            </w:r>
          </w:p>
        </w:tc>
        <w:tc>
          <w:tcPr>
            <w:tcW w:w="575" w:type="dxa"/>
            <w:vAlign w:val="top"/>
          </w:tcPr>
          <w:p w14:paraId="7D7F84AD">
            <w:pPr>
              <w:spacing w:before="270" w:line="188" w:lineRule="auto"/>
              <w:ind w:left="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18E-</w:t>
            </w:r>
          </w:p>
          <w:p w14:paraId="770E5D8A">
            <w:pPr>
              <w:spacing w:before="4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02</w:t>
            </w:r>
          </w:p>
        </w:tc>
        <w:tc>
          <w:tcPr>
            <w:tcW w:w="552" w:type="dxa"/>
            <w:vMerge w:val="continue"/>
            <w:tcBorders>
              <w:top w:val="nil"/>
              <w:bottom w:val="nil"/>
            </w:tcBorders>
            <w:vAlign w:val="top"/>
          </w:tcPr>
          <w:p w14:paraId="25575420">
            <w:pPr>
              <w:rPr>
                <w:rFonts w:ascii="Arial"/>
                <w:sz w:val="21"/>
              </w:rPr>
            </w:pPr>
          </w:p>
        </w:tc>
        <w:tc>
          <w:tcPr>
            <w:tcW w:w="118" w:type="dxa"/>
            <w:tcBorders>
              <w:top w:val="nil"/>
              <w:bottom w:val="nil"/>
              <w:right w:val="single" w:color="000000" w:sz="6" w:space="0"/>
            </w:tcBorders>
            <w:vAlign w:val="top"/>
          </w:tcPr>
          <w:p w14:paraId="1A50F688">
            <w:pPr>
              <w:rPr>
                <w:rFonts w:ascii="Arial"/>
                <w:sz w:val="21"/>
              </w:rPr>
            </w:pPr>
          </w:p>
        </w:tc>
      </w:tr>
      <w:tr w14:paraId="68340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754" w:type="dxa"/>
            <w:vMerge w:val="continue"/>
            <w:tcBorders>
              <w:top w:val="nil"/>
              <w:left w:val="single" w:color="000000" w:sz="6" w:space="0"/>
              <w:bottom w:val="nil"/>
            </w:tcBorders>
            <w:vAlign w:val="top"/>
          </w:tcPr>
          <w:p w14:paraId="2F54A1E9">
            <w:pPr>
              <w:rPr>
                <w:rFonts w:ascii="Arial"/>
                <w:sz w:val="21"/>
              </w:rPr>
            </w:pPr>
          </w:p>
        </w:tc>
        <w:tc>
          <w:tcPr>
            <w:tcW w:w="118" w:type="dxa"/>
            <w:tcBorders>
              <w:top w:val="nil"/>
              <w:bottom w:val="nil"/>
            </w:tcBorders>
            <w:vAlign w:val="top"/>
          </w:tcPr>
          <w:p w14:paraId="01C38167">
            <w:pPr>
              <w:rPr>
                <w:rFonts w:ascii="Arial"/>
                <w:sz w:val="21"/>
              </w:rPr>
            </w:pPr>
          </w:p>
        </w:tc>
        <w:tc>
          <w:tcPr>
            <w:tcW w:w="456" w:type="dxa"/>
            <w:vMerge w:val="continue"/>
            <w:tcBorders>
              <w:top w:val="nil"/>
            </w:tcBorders>
            <w:vAlign w:val="top"/>
          </w:tcPr>
          <w:p w14:paraId="6401506C">
            <w:pPr>
              <w:rPr>
                <w:rFonts w:ascii="Arial"/>
                <w:sz w:val="21"/>
              </w:rPr>
            </w:pPr>
          </w:p>
        </w:tc>
        <w:tc>
          <w:tcPr>
            <w:tcW w:w="407" w:type="dxa"/>
            <w:vMerge w:val="continue"/>
            <w:tcBorders>
              <w:top w:val="nil"/>
            </w:tcBorders>
            <w:vAlign w:val="top"/>
          </w:tcPr>
          <w:p w14:paraId="5830E181">
            <w:pPr>
              <w:rPr>
                <w:rFonts w:ascii="Arial"/>
                <w:sz w:val="21"/>
              </w:rPr>
            </w:pPr>
          </w:p>
        </w:tc>
        <w:tc>
          <w:tcPr>
            <w:tcW w:w="531" w:type="dxa"/>
            <w:vMerge w:val="continue"/>
            <w:tcBorders>
              <w:top w:val="nil"/>
            </w:tcBorders>
            <w:vAlign w:val="top"/>
          </w:tcPr>
          <w:p w14:paraId="1A9AD2C9">
            <w:pPr>
              <w:rPr>
                <w:rFonts w:ascii="Arial"/>
                <w:sz w:val="21"/>
              </w:rPr>
            </w:pPr>
          </w:p>
        </w:tc>
        <w:tc>
          <w:tcPr>
            <w:tcW w:w="377" w:type="dxa"/>
            <w:textDirection w:val="tbRlV"/>
            <w:vAlign w:val="top"/>
          </w:tcPr>
          <w:p w14:paraId="0FA269DB">
            <w:pPr>
              <w:pStyle w:val="6"/>
              <w:spacing w:before="98" w:line="207" w:lineRule="auto"/>
              <w:ind w:left="113"/>
              <w:rPr>
                <w:sz w:val="18"/>
                <w:szCs w:val="18"/>
              </w:rPr>
            </w:pPr>
            <w:r>
              <w:rPr>
                <w:spacing w:val="35"/>
                <w:sz w:val="18"/>
                <w:szCs w:val="18"/>
              </w:rPr>
              <w:t>无组织</w:t>
            </w:r>
          </w:p>
        </w:tc>
        <w:tc>
          <w:tcPr>
            <w:tcW w:w="511" w:type="dxa"/>
            <w:vAlign w:val="top"/>
          </w:tcPr>
          <w:p w14:paraId="169D0767">
            <w:pPr>
              <w:pStyle w:val="6"/>
              <w:spacing w:before="114" w:line="219" w:lineRule="auto"/>
              <w:ind w:left="78"/>
              <w:rPr>
                <w:sz w:val="18"/>
                <w:szCs w:val="18"/>
              </w:rPr>
            </w:pPr>
            <w:r>
              <w:rPr>
                <w:spacing w:val="-4"/>
                <w:sz w:val="18"/>
                <w:szCs w:val="18"/>
              </w:rPr>
              <w:t>产污</w:t>
            </w:r>
          </w:p>
          <w:p w14:paraId="5BA0078F">
            <w:pPr>
              <w:pStyle w:val="6"/>
              <w:spacing w:before="18" w:line="244" w:lineRule="auto"/>
              <w:ind w:left="167" w:right="74" w:hanging="85"/>
              <w:rPr>
                <w:sz w:val="18"/>
                <w:szCs w:val="18"/>
              </w:rPr>
            </w:pPr>
            <w:r>
              <w:rPr>
                <w:spacing w:val="-6"/>
                <w:sz w:val="18"/>
                <w:szCs w:val="18"/>
              </w:rPr>
              <w:t>系数</w:t>
            </w:r>
            <w:r>
              <w:rPr>
                <w:sz w:val="18"/>
                <w:szCs w:val="18"/>
              </w:rPr>
              <w:t xml:space="preserve"> 法</w:t>
            </w:r>
          </w:p>
        </w:tc>
        <w:tc>
          <w:tcPr>
            <w:tcW w:w="605" w:type="dxa"/>
            <w:vAlign w:val="top"/>
          </w:tcPr>
          <w:p w14:paraId="45647A80">
            <w:pPr>
              <w:spacing w:line="320" w:lineRule="auto"/>
              <w:rPr>
                <w:rFonts w:ascii="Arial"/>
                <w:sz w:val="21"/>
              </w:rPr>
            </w:pPr>
          </w:p>
          <w:p w14:paraId="347A174F">
            <w:pPr>
              <w:spacing w:before="52" w:line="192" w:lineRule="auto"/>
              <w:ind w:left="27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5" w:type="dxa"/>
            <w:vAlign w:val="top"/>
          </w:tcPr>
          <w:p w14:paraId="288E0BFC">
            <w:pPr>
              <w:spacing w:line="320" w:lineRule="auto"/>
              <w:rPr>
                <w:rFonts w:ascii="Arial"/>
                <w:sz w:val="21"/>
              </w:rPr>
            </w:pPr>
          </w:p>
          <w:p w14:paraId="620C9E8B">
            <w:pPr>
              <w:spacing w:before="52" w:line="192"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4" w:type="dxa"/>
            <w:vAlign w:val="top"/>
          </w:tcPr>
          <w:p w14:paraId="47DE3D0F">
            <w:pPr>
              <w:spacing w:before="274" w:line="188" w:lineRule="auto"/>
              <w:ind w:left="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2.79E-</w:t>
            </w:r>
          </w:p>
          <w:p w14:paraId="41C1F947">
            <w:pPr>
              <w:spacing w:before="44"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02</w:t>
            </w:r>
          </w:p>
        </w:tc>
        <w:tc>
          <w:tcPr>
            <w:tcW w:w="517" w:type="dxa"/>
            <w:vAlign w:val="top"/>
          </w:tcPr>
          <w:p w14:paraId="6D32358E">
            <w:pPr>
              <w:spacing w:line="320" w:lineRule="auto"/>
              <w:rPr>
                <w:rFonts w:ascii="Arial"/>
                <w:sz w:val="21"/>
              </w:rPr>
            </w:pPr>
          </w:p>
          <w:p w14:paraId="4154C8B1">
            <w:pPr>
              <w:spacing w:before="52" w:line="192" w:lineRule="auto"/>
              <w:ind w:left="2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6" w:type="dxa"/>
            <w:vAlign w:val="top"/>
          </w:tcPr>
          <w:p w14:paraId="6732DE88">
            <w:pPr>
              <w:spacing w:line="320" w:lineRule="auto"/>
              <w:rPr>
                <w:rFonts w:ascii="Arial"/>
                <w:sz w:val="21"/>
              </w:rPr>
            </w:pPr>
          </w:p>
          <w:p w14:paraId="5715EE3C">
            <w:pPr>
              <w:spacing w:before="52" w:line="192"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0" w:type="dxa"/>
            <w:vAlign w:val="top"/>
          </w:tcPr>
          <w:p w14:paraId="0073F38C">
            <w:pPr>
              <w:pStyle w:val="6"/>
              <w:spacing w:before="231" w:line="241" w:lineRule="auto"/>
              <w:ind w:left="112" w:right="9" w:hanging="90"/>
              <w:rPr>
                <w:sz w:val="18"/>
                <w:szCs w:val="18"/>
              </w:rPr>
            </w:pPr>
            <w:r>
              <w:rPr>
                <w:spacing w:val="-3"/>
                <w:sz w:val="18"/>
                <w:szCs w:val="18"/>
              </w:rPr>
              <w:t>产污系</w:t>
            </w:r>
            <w:r>
              <w:rPr>
                <w:sz w:val="18"/>
                <w:szCs w:val="18"/>
              </w:rPr>
              <w:t xml:space="preserve"> </w:t>
            </w:r>
            <w:r>
              <w:rPr>
                <w:spacing w:val="-5"/>
                <w:sz w:val="18"/>
                <w:szCs w:val="18"/>
              </w:rPr>
              <w:t>数法</w:t>
            </w:r>
          </w:p>
        </w:tc>
        <w:tc>
          <w:tcPr>
            <w:tcW w:w="642" w:type="dxa"/>
            <w:vAlign w:val="top"/>
          </w:tcPr>
          <w:p w14:paraId="4DD77D9B">
            <w:pPr>
              <w:spacing w:line="320" w:lineRule="auto"/>
              <w:rPr>
                <w:rFonts w:ascii="Arial"/>
                <w:sz w:val="21"/>
              </w:rPr>
            </w:pPr>
          </w:p>
          <w:p w14:paraId="7AC53129">
            <w:pPr>
              <w:spacing w:before="52"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14:paraId="50242AC0">
            <w:pPr>
              <w:spacing w:line="320" w:lineRule="auto"/>
              <w:rPr>
                <w:rFonts w:ascii="Arial"/>
                <w:sz w:val="21"/>
              </w:rPr>
            </w:pPr>
          </w:p>
          <w:p w14:paraId="7F34AB8C">
            <w:pPr>
              <w:spacing w:before="52" w:line="192" w:lineRule="auto"/>
              <w:ind w:left="21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5" w:type="dxa"/>
            <w:vAlign w:val="top"/>
          </w:tcPr>
          <w:p w14:paraId="01118DC2">
            <w:pPr>
              <w:spacing w:before="274" w:line="188" w:lineRule="auto"/>
              <w:ind w:left="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2.79E-</w:t>
            </w:r>
          </w:p>
          <w:p w14:paraId="4C873464">
            <w:pPr>
              <w:spacing w:before="4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02</w:t>
            </w:r>
          </w:p>
        </w:tc>
        <w:tc>
          <w:tcPr>
            <w:tcW w:w="552" w:type="dxa"/>
            <w:vMerge w:val="continue"/>
            <w:tcBorders>
              <w:top w:val="nil"/>
            </w:tcBorders>
            <w:vAlign w:val="top"/>
          </w:tcPr>
          <w:p w14:paraId="0F17ED65">
            <w:pPr>
              <w:rPr>
                <w:rFonts w:ascii="Arial"/>
                <w:sz w:val="21"/>
              </w:rPr>
            </w:pPr>
          </w:p>
        </w:tc>
        <w:tc>
          <w:tcPr>
            <w:tcW w:w="118" w:type="dxa"/>
            <w:tcBorders>
              <w:top w:val="nil"/>
              <w:bottom w:val="nil"/>
              <w:right w:val="single" w:color="000000" w:sz="6" w:space="0"/>
            </w:tcBorders>
            <w:vAlign w:val="top"/>
          </w:tcPr>
          <w:p w14:paraId="0794D75D">
            <w:pPr>
              <w:rPr>
                <w:rFonts w:ascii="Arial"/>
                <w:sz w:val="21"/>
              </w:rPr>
            </w:pPr>
          </w:p>
        </w:tc>
      </w:tr>
      <w:tr w14:paraId="6E76A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9" w:hRule="atLeast"/>
        </w:trPr>
        <w:tc>
          <w:tcPr>
            <w:tcW w:w="754" w:type="dxa"/>
            <w:vMerge w:val="continue"/>
            <w:tcBorders>
              <w:top w:val="nil"/>
              <w:left w:val="single" w:color="000000" w:sz="6" w:space="0"/>
              <w:bottom w:val="single" w:color="000000" w:sz="6" w:space="0"/>
            </w:tcBorders>
            <w:vAlign w:val="top"/>
          </w:tcPr>
          <w:p w14:paraId="183787EF">
            <w:pPr>
              <w:rPr>
                <w:rFonts w:ascii="Arial"/>
                <w:sz w:val="21"/>
              </w:rPr>
            </w:pPr>
          </w:p>
        </w:tc>
        <w:tc>
          <w:tcPr>
            <w:tcW w:w="8139" w:type="dxa"/>
            <w:gridSpan w:val="17"/>
            <w:tcBorders>
              <w:bottom w:val="single" w:color="000000" w:sz="6" w:space="0"/>
              <w:right w:val="single" w:color="000000" w:sz="6" w:space="0"/>
            </w:tcBorders>
            <w:vAlign w:val="top"/>
          </w:tcPr>
          <w:p w14:paraId="2A60C937">
            <w:pPr>
              <w:pStyle w:val="6"/>
              <w:spacing w:before="160" w:line="359" w:lineRule="auto"/>
              <w:ind w:left="108" w:right="101" w:firstLine="481"/>
              <w:jc w:val="both"/>
            </w:pPr>
            <w:r>
              <w:t>本项目石油气炉使用是在注胶车间，与配胶工序同步，配胶</w:t>
            </w:r>
            <w:r>
              <w:rPr>
                <w:spacing w:val="-1"/>
              </w:rPr>
              <w:t>废气产于燃</w:t>
            </w:r>
            <w:r>
              <w:t xml:space="preserve"> 烧废气上面，二者同时产生，不可分割，实际中只能合并收集处</w:t>
            </w:r>
            <w:r>
              <w:rPr>
                <w:spacing w:val="-1"/>
              </w:rPr>
              <w:t>理，处在同</w:t>
            </w:r>
            <w:r>
              <w:t xml:space="preserve"> </w:t>
            </w:r>
            <w:r>
              <w:rPr>
                <w:spacing w:val="-2"/>
              </w:rPr>
              <w:t>一个收集罩中，产生的烟气会即刻吸入罩内。配胶废气收集率为</w:t>
            </w:r>
            <w:r>
              <w:rPr>
                <w:spacing w:val="-45"/>
              </w:rPr>
              <w:t xml:space="preserve"> </w:t>
            </w:r>
            <w:r>
              <w:rPr>
                <w:rFonts w:ascii="Times New Roman" w:hAnsi="Times New Roman" w:eastAsia="Times New Roman" w:cs="Times New Roman"/>
                <w:spacing w:val="-2"/>
              </w:rPr>
              <w:t>65%</w:t>
            </w:r>
            <w:r>
              <w:rPr>
                <w:rFonts w:ascii="Times New Roman" w:hAnsi="Times New Roman" w:eastAsia="Times New Roman" w:cs="Times New Roman"/>
                <w:spacing w:val="-32"/>
              </w:rPr>
              <w:t xml:space="preserve"> </w:t>
            </w:r>
            <w:r>
              <w:rPr>
                <w:spacing w:val="-2"/>
              </w:rPr>
              <w:t>，年作</w:t>
            </w:r>
            <w:r>
              <w:t xml:space="preserve"> </w:t>
            </w:r>
            <w:r>
              <w:rPr>
                <w:spacing w:val="-3"/>
              </w:rPr>
              <w:t>业时间约为</w:t>
            </w:r>
            <w:r>
              <w:rPr>
                <w:spacing w:val="-46"/>
              </w:rPr>
              <w:t xml:space="preserve"> </w:t>
            </w:r>
            <w:r>
              <w:rPr>
                <w:rFonts w:ascii="Times New Roman" w:hAnsi="Times New Roman" w:eastAsia="Times New Roman" w:cs="Times New Roman"/>
                <w:spacing w:val="-3"/>
              </w:rPr>
              <w:t>300</w:t>
            </w:r>
            <w:r>
              <w:rPr>
                <w:rFonts w:ascii="Times New Roman" w:hAnsi="Times New Roman" w:eastAsia="Times New Roman" w:cs="Times New Roman"/>
                <w:spacing w:val="15"/>
                <w:w w:val="101"/>
              </w:rPr>
              <w:t xml:space="preserve"> </w:t>
            </w:r>
            <w:r>
              <w:rPr>
                <w:spacing w:val="-3"/>
              </w:rPr>
              <w:t>小时，配胶工序废气收集风量总共为</w:t>
            </w:r>
            <w:r>
              <w:rPr>
                <w:spacing w:val="-32"/>
              </w:rPr>
              <w:t xml:space="preserve"> </w:t>
            </w:r>
            <w:r>
              <w:rPr>
                <w:rFonts w:ascii="Times New Roman" w:hAnsi="Times New Roman" w:eastAsia="Times New Roman" w:cs="Times New Roman"/>
                <w:spacing w:val="-3"/>
              </w:rPr>
              <w:t>180000m³/h</w:t>
            </w:r>
            <w:r>
              <w:rPr>
                <w:rFonts w:ascii="Times New Roman" w:hAnsi="Times New Roman" w:eastAsia="Times New Roman" w:cs="Times New Roman"/>
                <w:spacing w:val="-31"/>
              </w:rPr>
              <w:t xml:space="preserve"> </w:t>
            </w:r>
            <w:r>
              <w:rPr>
                <w:spacing w:val="-3"/>
              </w:rPr>
              <w:t>，因此液化</w:t>
            </w:r>
            <w:r>
              <w:t xml:space="preserve"> </w:t>
            </w:r>
            <w:r>
              <w:rPr>
                <w:spacing w:val="43"/>
              </w:rPr>
              <w:t>石油燃烧产生的废气通过车间的有机废气处</w:t>
            </w:r>
            <w:r>
              <w:rPr>
                <w:spacing w:val="42"/>
              </w:rPr>
              <w:t>理系统外排的风量为</w:t>
            </w:r>
            <w:r>
              <w:t xml:space="preserve"> </w:t>
            </w:r>
            <w:r>
              <w:rPr>
                <w:rFonts w:ascii="Times New Roman" w:hAnsi="Times New Roman" w:eastAsia="Times New Roman" w:cs="Times New Roman"/>
              </w:rPr>
              <w:t>180000m³/a</w:t>
            </w:r>
            <w:r>
              <w:rPr>
                <w:rFonts w:ascii="Times New Roman" w:hAnsi="Times New Roman" w:eastAsia="Times New Roman" w:cs="Times New Roman"/>
                <w:spacing w:val="-17"/>
              </w:rPr>
              <w:t xml:space="preserve"> </w:t>
            </w:r>
            <w:r>
              <w:t xml:space="preserve">，燃烧废气未对配胶产生的有机废气进行稀释，污染物排放浓度 </w:t>
            </w:r>
            <w:r>
              <w:rPr>
                <w:spacing w:val="2"/>
              </w:rPr>
              <w:t>执行《工业炉窑大气污染物排放标准》（</w:t>
            </w:r>
            <w:r>
              <w:rPr>
                <w:rFonts w:ascii="Times New Roman" w:hAnsi="Times New Roman" w:eastAsia="Times New Roman" w:cs="Times New Roman"/>
              </w:rPr>
              <w:t>GB</w:t>
            </w:r>
            <w:r>
              <w:rPr>
                <w:rFonts w:ascii="Times New Roman" w:hAnsi="Times New Roman" w:eastAsia="Times New Roman" w:cs="Times New Roman"/>
                <w:spacing w:val="2"/>
              </w:rPr>
              <w:t>9078-19</w:t>
            </w:r>
            <w:r>
              <w:rPr>
                <w:rFonts w:ascii="Times New Roman" w:hAnsi="Times New Roman" w:eastAsia="Times New Roman" w:cs="Times New Roman"/>
                <w:spacing w:val="1"/>
              </w:rPr>
              <w:t>96</w:t>
            </w:r>
            <w:r>
              <w:rPr>
                <w:spacing w:val="1"/>
              </w:rPr>
              <w:t>）相关污染物排放浓</w:t>
            </w:r>
            <w:r>
              <w:t xml:space="preserve"> </w:t>
            </w:r>
            <w:r>
              <w:rPr>
                <w:spacing w:val="-1"/>
              </w:rPr>
              <w:t>度限值，与配胶废气尾气一并通过楼顶排气筒达标排放。</w:t>
            </w:r>
          </w:p>
          <w:p w14:paraId="3C42D9B5">
            <w:pPr>
              <w:pStyle w:val="6"/>
              <w:spacing w:line="220" w:lineRule="auto"/>
              <w:ind w:left="601"/>
            </w:pPr>
            <w:r>
              <w:rPr>
                <w:spacing w:val="-3"/>
              </w:rPr>
              <w:t>（</w:t>
            </w:r>
            <w:r>
              <w:rPr>
                <w:rFonts w:ascii="Times New Roman" w:hAnsi="Times New Roman" w:eastAsia="Times New Roman" w:cs="Times New Roman"/>
                <w:spacing w:val="-3"/>
              </w:rPr>
              <w:t>3</w:t>
            </w:r>
            <w:r>
              <w:rPr>
                <w:spacing w:val="-3"/>
              </w:rPr>
              <w:t>）酸雾废气</w:t>
            </w:r>
          </w:p>
          <w:p w14:paraId="47E68993">
            <w:pPr>
              <w:pStyle w:val="6"/>
              <w:spacing w:before="179" w:line="359" w:lineRule="auto"/>
              <w:ind w:left="109" w:right="101" w:firstLine="480"/>
            </w:pPr>
            <w:r>
              <w:t>本项目配酸（含换酸）、泡酸工序使用的原辅料主要有盐酸</w:t>
            </w:r>
            <w:r>
              <w:rPr>
                <w:spacing w:val="-1"/>
              </w:rPr>
              <w:t>、草酸、氢</w:t>
            </w:r>
            <w:r>
              <w:t xml:space="preserve"> 氟酸、硫酸、硝酸和水等，因酸的挥发，会产生少量的酸雾废</w:t>
            </w:r>
            <w:r>
              <w:rPr>
                <w:spacing w:val="-1"/>
              </w:rPr>
              <w:t>气。泡碱工序</w:t>
            </w:r>
            <w:r>
              <w:t xml:space="preserve"> 使用的原辅料主要为中和粉（碳酸钠）、片碱（氢氧化钠）和</w:t>
            </w:r>
            <w:r>
              <w:rPr>
                <w:spacing w:val="-1"/>
              </w:rPr>
              <w:t>水，碳酸钠和</w:t>
            </w:r>
            <w:r>
              <w:t xml:space="preserve"> </w:t>
            </w:r>
            <w:r>
              <w:rPr>
                <w:spacing w:val="-1"/>
              </w:rPr>
              <w:t>氢氧化钠在低浓度下不具有挥发性，因此泡碱过程无废气产生。</w:t>
            </w:r>
          </w:p>
          <w:p w14:paraId="1755E454">
            <w:pPr>
              <w:pStyle w:val="6"/>
              <w:spacing w:line="359" w:lineRule="auto"/>
              <w:ind w:left="109" w:right="23" w:firstLine="480"/>
              <w:jc w:val="both"/>
            </w:pPr>
            <w:r>
              <w:t>本项目泡酸时胶桶加盖密封，泡酸挥发出来的酸雾通过桶盖</w:t>
            </w:r>
            <w:r>
              <w:rPr>
                <w:spacing w:val="-1"/>
              </w:rPr>
              <w:t>上的换气管</w:t>
            </w:r>
            <w:r>
              <w:t xml:space="preserve"> </w:t>
            </w:r>
            <w:r>
              <w:rPr>
                <w:spacing w:val="-5"/>
              </w:rPr>
              <w:t>连接的通风管道输送至酸雾废气处理装置。本项目每批次浸泡酸液（含配酸、</w:t>
            </w:r>
            <w:r>
              <w:rPr>
                <w:spacing w:val="4"/>
              </w:rPr>
              <w:t xml:space="preserve"> </w:t>
            </w:r>
            <w:r>
              <w:rPr>
                <w:spacing w:val="-1"/>
              </w:rPr>
              <w:t>换酸）时间为</w:t>
            </w:r>
            <w:r>
              <w:rPr>
                <w:spacing w:val="-45"/>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7"/>
              </w:rPr>
              <w:t xml:space="preserve"> </w:t>
            </w:r>
            <w:r>
              <w:rPr>
                <w:spacing w:val="-1"/>
              </w:rPr>
              <w:t>天，每批次生产周期约</w:t>
            </w:r>
            <w:r>
              <w:rPr>
                <w:spacing w:val="-55"/>
              </w:rPr>
              <w:t xml:space="preserve"> </w:t>
            </w:r>
            <w:r>
              <w:rPr>
                <w:rFonts w:ascii="Times New Roman" w:hAnsi="Times New Roman" w:eastAsia="Times New Roman" w:cs="Times New Roman"/>
                <w:spacing w:val="-1"/>
              </w:rPr>
              <w:t>21</w:t>
            </w:r>
            <w:r>
              <w:rPr>
                <w:rFonts w:ascii="Times New Roman" w:hAnsi="Times New Roman" w:eastAsia="Times New Roman" w:cs="Times New Roman"/>
                <w:spacing w:val="16"/>
                <w:w w:val="101"/>
              </w:rPr>
              <w:t xml:space="preserve"> </w:t>
            </w:r>
            <w:r>
              <w:rPr>
                <w:spacing w:val="-1"/>
              </w:rPr>
              <w:t>天，年生产</w:t>
            </w:r>
            <w:r>
              <w:rPr>
                <w:spacing w:val="-48"/>
              </w:rPr>
              <w:t xml:space="preserve"> </w:t>
            </w:r>
            <w:r>
              <w:rPr>
                <w:rFonts w:ascii="Times New Roman" w:hAnsi="Times New Roman" w:eastAsia="Times New Roman" w:cs="Times New Roman"/>
                <w:spacing w:val="-1"/>
              </w:rPr>
              <w:t>300</w:t>
            </w:r>
            <w:r>
              <w:rPr>
                <w:rFonts w:ascii="Times New Roman" w:hAnsi="Times New Roman" w:eastAsia="Times New Roman" w:cs="Times New Roman"/>
                <w:spacing w:val="17"/>
              </w:rPr>
              <w:t xml:space="preserve"> </w:t>
            </w:r>
            <w:r>
              <w:rPr>
                <w:spacing w:val="-1"/>
              </w:rPr>
              <w:t>天</w:t>
            </w:r>
            <w:r>
              <w:rPr>
                <w:rFonts w:ascii="Times New Roman" w:hAnsi="Times New Roman" w:eastAsia="Times New Roman" w:cs="Times New Roman"/>
                <w:spacing w:val="-1"/>
              </w:rPr>
              <w:t>/</w:t>
            </w:r>
            <w:r>
              <w:rPr>
                <w:spacing w:val="-1"/>
              </w:rPr>
              <w:t>年，即全年生</w:t>
            </w:r>
            <w:r>
              <w:t xml:space="preserve"> </w:t>
            </w:r>
            <w:r>
              <w:rPr>
                <w:spacing w:val="-2"/>
              </w:rPr>
              <w:t>产</w:t>
            </w:r>
            <w:r>
              <w:rPr>
                <w:spacing w:val="-17"/>
              </w:rPr>
              <w:t xml:space="preserve"> </w:t>
            </w:r>
            <w:r>
              <w:rPr>
                <w:rFonts w:ascii="Times New Roman" w:hAnsi="Times New Roman" w:eastAsia="Times New Roman" w:cs="Times New Roman"/>
                <w:spacing w:val="-2"/>
              </w:rPr>
              <w:t xml:space="preserve">14 </w:t>
            </w:r>
            <w:r>
              <w:rPr>
                <w:spacing w:val="-2"/>
              </w:rPr>
              <w:t>批次，则年配酸（含换酸）、泡酸作业时间为</w:t>
            </w:r>
            <w:r>
              <w:rPr>
                <w:spacing w:val="-32"/>
              </w:rPr>
              <w:t xml:space="preserve"> </w:t>
            </w:r>
            <w:r>
              <w:rPr>
                <w:rFonts w:ascii="Times New Roman" w:hAnsi="Times New Roman" w:eastAsia="Times New Roman" w:cs="Times New Roman"/>
                <w:spacing w:val="-2"/>
              </w:rPr>
              <w:t>10×14×24=3360h/a</w:t>
            </w:r>
            <w:r>
              <w:rPr>
                <w:spacing w:val="-2"/>
              </w:rPr>
              <w:t>。</w:t>
            </w:r>
          </w:p>
          <w:p w14:paraId="275D2335">
            <w:pPr>
              <w:pStyle w:val="6"/>
              <w:spacing w:before="1" w:line="348" w:lineRule="auto"/>
              <w:ind w:left="111" w:right="101" w:firstLine="478"/>
              <w:jc w:val="both"/>
            </w:pPr>
            <w:r>
              <w:rPr>
                <w:spacing w:val="-1"/>
              </w:rPr>
              <w:t>根据物质的</w:t>
            </w:r>
            <w:r>
              <w:rPr>
                <w:spacing w:val="-55"/>
              </w:rPr>
              <w:t xml:space="preserve"> </w:t>
            </w:r>
            <w:r>
              <w:rPr>
                <w:rFonts w:ascii="Times New Roman" w:hAnsi="Times New Roman" w:eastAsia="Times New Roman" w:cs="Times New Roman"/>
                <w:spacing w:val="-1"/>
              </w:rPr>
              <w:t>MSDS</w:t>
            </w:r>
            <w:r>
              <w:rPr>
                <w:rFonts w:ascii="Times New Roman" w:hAnsi="Times New Roman" w:eastAsia="Times New Roman" w:cs="Times New Roman"/>
                <w:spacing w:val="-30"/>
              </w:rPr>
              <w:t xml:space="preserve"> </w:t>
            </w:r>
            <w:r>
              <w:rPr>
                <w:spacing w:val="-1"/>
              </w:rPr>
              <w:t>，项目使用的草酸不会挥发，盐酸、氢氟酸、硫酸和</w:t>
            </w:r>
            <w:r>
              <w:t xml:space="preserve"> 硝酸在泡酸过程中会有少量酸雾挥发出来，参照《环境统</w:t>
            </w:r>
            <w:r>
              <w:rPr>
                <w:spacing w:val="-1"/>
              </w:rPr>
              <w:t>计手册》中酸雾计</w:t>
            </w:r>
            <w:r>
              <w:t xml:space="preserve"> </w:t>
            </w:r>
            <w:r>
              <w:rPr>
                <w:spacing w:val="-2"/>
              </w:rPr>
              <w:t>算经验公式：</w:t>
            </w:r>
          </w:p>
          <w:p w14:paraId="579130D2">
            <w:pPr>
              <w:pStyle w:val="6"/>
              <w:spacing w:line="322" w:lineRule="exact"/>
              <w:ind w:left="588"/>
              <w:rPr>
                <w:rFonts w:ascii="Times New Roman" w:hAnsi="Times New Roman" w:eastAsia="Times New Roman" w:cs="Times New Roman"/>
              </w:rPr>
            </w:pPr>
            <w:r>
              <w:rPr>
                <w:rFonts w:ascii="Times New Roman" w:hAnsi="Times New Roman" w:eastAsia="Times New Roman" w:cs="Times New Roman"/>
                <w:spacing w:val="-1"/>
                <w:position w:val="1"/>
              </w:rPr>
              <w:t>Gz=M</w:t>
            </w:r>
            <w:r>
              <w:rPr>
                <w:spacing w:val="-1"/>
                <w:position w:val="1"/>
              </w:rPr>
              <w:t>（</w:t>
            </w:r>
            <w:r>
              <w:rPr>
                <w:rFonts w:ascii="Times New Roman" w:hAnsi="Times New Roman" w:eastAsia="Times New Roman" w:cs="Times New Roman"/>
                <w:spacing w:val="-1"/>
                <w:position w:val="1"/>
              </w:rPr>
              <w:t>0.000352+0.000786V</w:t>
            </w:r>
            <w:r>
              <w:rPr>
                <w:spacing w:val="-1"/>
                <w:position w:val="1"/>
              </w:rPr>
              <w:t>）</w:t>
            </w:r>
            <w:r>
              <w:rPr>
                <w:rFonts w:ascii="Times New Roman" w:hAnsi="Times New Roman" w:eastAsia="Times New Roman" w:cs="Times New Roman"/>
                <w:spacing w:val="-1"/>
                <w:position w:val="1"/>
              </w:rPr>
              <w:t>P•F</w:t>
            </w:r>
          </w:p>
          <w:p w14:paraId="2E953EA6">
            <w:pPr>
              <w:pStyle w:val="6"/>
              <w:spacing w:before="189" w:line="210" w:lineRule="auto"/>
              <w:ind w:left="594"/>
            </w:pPr>
            <w:r>
              <w:rPr>
                <w:spacing w:val="-1"/>
              </w:rPr>
              <w:t>式中：</w:t>
            </w:r>
            <w:r>
              <w:rPr>
                <w:rFonts w:ascii="Times New Roman" w:hAnsi="Times New Roman" w:eastAsia="Times New Roman" w:cs="Times New Roman"/>
                <w:spacing w:val="-1"/>
              </w:rPr>
              <w:t>Gz—</w:t>
            </w:r>
            <w:r>
              <w:rPr>
                <w:spacing w:val="-1"/>
              </w:rPr>
              <w:t>溶液的蒸发量，</w:t>
            </w:r>
            <w:r>
              <w:rPr>
                <w:rFonts w:ascii="Times New Roman" w:hAnsi="Times New Roman" w:eastAsia="Times New Roman" w:cs="Times New Roman"/>
                <w:spacing w:val="-1"/>
              </w:rPr>
              <w:t>kg/h</w:t>
            </w:r>
            <w:r>
              <w:rPr>
                <w:spacing w:val="-1"/>
              </w:rPr>
              <w:t>。</w:t>
            </w:r>
          </w:p>
        </w:tc>
      </w:tr>
    </w:tbl>
    <w:p w14:paraId="1F07142B">
      <w:pPr>
        <w:rPr>
          <w:rFonts w:ascii="Arial"/>
          <w:sz w:val="21"/>
        </w:rPr>
      </w:pPr>
    </w:p>
    <w:p w14:paraId="69A24A6B">
      <w:pPr>
        <w:rPr>
          <w:rFonts w:ascii="Arial" w:hAnsi="Arial" w:eastAsia="Arial" w:cs="Arial"/>
          <w:sz w:val="21"/>
          <w:szCs w:val="21"/>
        </w:rPr>
        <w:sectPr>
          <w:footerReference r:id="rId72" w:type="default"/>
          <w:pgSz w:w="11907" w:h="16840"/>
          <w:pgMar w:top="400" w:right="1499" w:bottom="1240" w:left="1499" w:header="0" w:footer="1077" w:gutter="0"/>
          <w:cols w:space="720" w:num="1"/>
        </w:sectPr>
      </w:pPr>
    </w:p>
    <w:p w14:paraId="7FBCE01B">
      <w:pPr>
        <w:spacing w:before="19"/>
      </w:pPr>
    </w:p>
    <w:p w14:paraId="138C7A3A">
      <w:pPr>
        <w:spacing w:before="19"/>
      </w:pPr>
    </w:p>
    <w:p w14:paraId="2AF214BF">
      <w:pPr>
        <w:spacing w:before="19"/>
      </w:pPr>
    </w:p>
    <w:p w14:paraId="688732B5">
      <w:pPr>
        <w:spacing w:before="18"/>
      </w:pPr>
    </w:p>
    <w:p w14:paraId="5A89CFD3">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93"/>
        <w:gridCol w:w="967"/>
        <w:gridCol w:w="973"/>
        <w:gridCol w:w="1160"/>
        <w:gridCol w:w="1897"/>
        <w:gridCol w:w="1048"/>
        <w:gridCol w:w="924"/>
        <w:gridCol w:w="949"/>
        <w:gridCol w:w="128"/>
      </w:tblGrid>
      <w:tr w14:paraId="53974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8" w:hRule="atLeast"/>
        </w:trPr>
        <w:tc>
          <w:tcPr>
            <w:tcW w:w="754" w:type="dxa"/>
            <w:vMerge w:val="restart"/>
            <w:tcBorders>
              <w:top w:val="single" w:color="000000" w:sz="6" w:space="0"/>
              <w:left w:val="single" w:color="000000" w:sz="6" w:space="0"/>
              <w:bottom w:val="nil"/>
            </w:tcBorders>
            <w:vAlign w:val="top"/>
          </w:tcPr>
          <w:p w14:paraId="646C55CC">
            <w:pPr>
              <w:rPr>
                <w:rFonts w:ascii="Arial"/>
                <w:sz w:val="21"/>
              </w:rPr>
            </w:pPr>
          </w:p>
        </w:tc>
        <w:tc>
          <w:tcPr>
            <w:tcW w:w="8139" w:type="dxa"/>
            <w:gridSpan w:val="9"/>
            <w:tcBorders>
              <w:top w:val="single" w:color="000000" w:sz="6" w:space="0"/>
              <w:right w:val="single" w:color="000000" w:sz="6" w:space="0"/>
            </w:tcBorders>
            <w:vAlign w:val="top"/>
          </w:tcPr>
          <w:p w14:paraId="59FB4207">
            <w:pPr>
              <w:pStyle w:val="6"/>
              <w:spacing w:before="39" w:line="359" w:lineRule="auto"/>
              <w:ind w:left="109" w:right="101" w:firstLine="474"/>
            </w:pPr>
            <w:r>
              <w:rPr>
                <w:rFonts w:ascii="Times New Roman" w:hAnsi="Times New Roman" w:eastAsia="Times New Roman" w:cs="Times New Roman"/>
                <w:spacing w:val="1"/>
              </w:rPr>
              <w:t>M—</w:t>
            </w:r>
            <w:r>
              <w:rPr>
                <w:spacing w:val="1"/>
              </w:rPr>
              <w:t>分子量，根据物料的理化性质，盐酸、氢氟酸、硫酸和硝酸</w:t>
            </w:r>
            <w:r>
              <w:t xml:space="preserve">的分子 </w:t>
            </w:r>
            <w:r>
              <w:rPr>
                <w:spacing w:val="-6"/>
              </w:rPr>
              <w:t>量分别为</w:t>
            </w:r>
            <w:r>
              <w:rPr>
                <w:spacing w:val="-41"/>
              </w:rPr>
              <w:t xml:space="preserve"> </w:t>
            </w:r>
            <w:r>
              <w:rPr>
                <w:rFonts w:ascii="Times New Roman" w:hAnsi="Times New Roman" w:eastAsia="Times New Roman" w:cs="Times New Roman"/>
                <w:spacing w:val="-6"/>
              </w:rPr>
              <w:t>36.5</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20</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98</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63</w:t>
            </w:r>
            <w:r>
              <w:rPr>
                <w:spacing w:val="-6"/>
              </w:rPr>
              <w:t>。</w:t>
            </w:r>
          </w:p>
          <w:p w14:paraId="3C984B73">
            <w:pPr>
              <w:pStyle w:val="6"/>
              <w:spacing w:line="359" w:lineRule="auto"/>
              <w:ind w:left="112" w:right="103" w:firstLine="469"/>
            </w:pPr>
            <w:r>
              <w:rPr>
                <w:rFonts w:ascii="Times New Roman" w:hAnsi="Times New Roman" w:eastAsia="Times New Roman" w:cs="Times New Roman"/>
                <w:spacing w:val="-1"/>
              </w:rPr>
              <w:t>V—</w:t>
            </w:r>
            <w:r>
              <w:rPr>
                <w:spacing w:val="-1"/>
              </w:rPr>
              <w:t>溶液表面上的空气流速（</w:t>
            </w:r>
            <w:r>
              <w:rPr>
                <w:rFonts w:ascii="Times New Roman" w:hAnsi="Times New Roman" w:eastAsia="Times New Roman" w:cs="Times New Roman"/>
                <w:spacing w:val="-1"/>
              </w:rPr>
              <w:t>m/s</w:t>
            </w:r>
            <w:r>
              <w:rPr>
                <w:spacing w:val="-4"/>
              </w:rPr>
              <w:t>），</w:t>
            </w:r>
            <w:r>
              <w:rPr>
                <w:spacing w:val="-1"/>
              </w:rPr>
              <w:t>本项目溶液表面上的废气收集流速</w:t>
            </w:r>
            <w:r>
              <w:t xml:space="preserve"> </w:t>
            </w:r>
            <w:r>
              <w:rPr>
                <w:spacing w:val="-3"/>
              </w:rPr>
              <w:t>取</w:t>
            </w:r>
            <w:r>
              <w:rPr>
                <w:spacing w:val="-49"/>
              </w:rPr>
              <w:t xml:space="preserve"> </w:t>
            </w:r>
            <w:r>
              <w:rPr>
                <w:rFonts w:ascii="Times New Roman" w:hAnsi="Times New Roman" w:eastAsia="Times New Roman" w:cs="Times New Roman"/>
                <w:spacing w:val="-3"/>
              </w:rPr>
              <w:t>0.4m/s</w:t>
            </w:r>
            <w:r>
              <w:rPr>
                <w:spacing w:val="-3"/>
              </w:rPr>
              <w:t>。</w:t>
            </w:r>
          </w:p>
          <w:p w14:paraId="4DFCA615">
            <w:pPr>
              <w:pStyle w:val="6"/>
              <w:spacing w:before="3" w:line="356" w:lineRule="auto"/>
              <w:ind w:left="109" w:right="103" w:firstLine="475"/>
            </w:pPr>
            <w:r>
              <w:rPr>
                <w:rFonts w:ascii="Times New Roman" w:hAnsi="Times New Roman" w:eastAsia="Times New Roman" w:cs="Times New Roman"/>
                <w:spacing w:val="-1"/>
              </w:rPr>
              <w:t>P—</w:t>
            </w:r>
            <w:r>
              <w:rPr>
                <w:spacing w:val="-1"/>
              </w:rPr>
              <w:t>相应于液体温度下空气中的饱和蒸汽压力（</w:t>
            </w:r>
            <w:r>
              <w:rPr>
                <w:rFonts w:ascii="Times New Roman" w:hAnsi="Times New Roman" w:eastAsia="Times New Roman" w:cs="Times New Roman"/>
                <w:spacing w:val="-1"/>
              </w:rPr>
              <w:t>m</w:t>
            </w:r>
            <w:r>
              <w:rPr>
                <w:rFonts w:ascii="Times New Roman" w:hAnsi="Times New Roman" w:eastAsia="Times New Roman" w:cs="Times New Roman"/>
                <w:spacing w:val="-2"/>
              </w:rPr>
              <w:t>mHg</w:t>
            </w:r>
            <w:r>
              <w:rPr>
                <w:spacing w:val="-21"/>
              </w:rPr>
              <w:t>），</w:t>
            </w:r>
            <w:r>
              <w:rPr>
                <w:spacing w:val="-2"/>
              </w:rPr>
              <w:t>浸泡液温度为</w:t>
            </w:r>
            <w:r>
              <w:rPr>
                <w:spacing w:val="1"/>
              </w:rPr>
              <w:t xml:space="preserve"> </w:t>
            </w:r>
            <w:r>
              <w:rPr>
                <w:spacing w:val="-5"/>
              </w:rPr>
              <w:t>常温</w:t>
            </w:r>
            <w:r>
              <w:rPr>
                <w:spacing w:val="-55"/>
              </w:rPr>
              <w:t xml:space="preserve"> </w:t>
            </w:r>
            <w:r>
              <w:rPr>
                <w:rFonts w:ascii="Times New Roman" w:hAnsi="Times New Roman" w:eastAsia="Times New Roman" w:cs="Times New Roman"/>
                <w:spacing w:val="-5"/>
              </w:rPr>
              <w:t>25℃</w:t>
            </w:r>
            <w:r>
              <w:rPr>
                <w:rFonts w:ascii="Times New Roman" w:hAnsi="Times New Roman" w:eastAsia="Times New Roman" w:cs="Times New Roman"/>
                <w:spacing w:val="-31"/>
              </w:rPr>
              <w:t xml:space="preserve"> </w:t>
            </w:r>
            <w:r>
              <w:rPr>
                <w:spacing w:val="-5"/>
              </w:rPr>
              <w:t>,</w:t>
            </w:r>
            <w:r>
              <w:rPr>
                <w:spacing w:val="65"/>
              </w:rPr>
              <w:t xml:space="preserve"> </w:t>
            </w:r>
            <w:r>
              <w:rPr>
                <w:spacing w:val="-5"/>
              </w:rPr>
              <w:t>盐酸、氢氟酸、硫酸和硝酸的饱和蒸汽压力分别为</w:t>
            </w:r>
            <w:r>
              <w:rPr>
                <w:spacing w:val="-32"/>
              </w:rPr>
              <w:t xml:space="preserve"> </w:t>
            </w:r>
            <w:r>
              <w:rPr>
                <w:rFonts w:ascii="Times New Roman" w:hAnsi="Times New Roman" w:eastAsia="Times New Roman" w:cs="Times New Roman"/>
                <w:spacing w:val="-5"/>
              </w:rPr>
              <w:t>1.49</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0.27</w:t>
            </w:r>
            <w:r>
              <w:rPr>
                <w:rFonts w:ascii="Times New Roman" w:hAnsi="Times New Roman" w:eastAsia="Times New Roman" w:cs="Times New Roman"/>
                <w:spacing w:val="-34"/>
              </w:rPr>
              <w:t xml:space="preserve"> </w:t>
            </w:r>
            <w:r>
              <w:rPr>
                <w:spacing w:val="-5"/>
              </w:rPr>
              <w:t>、</w:t>
            </w:r>
            <w:r>
              <w:t xml:space="preserve"> </w:t>
            </w:r>
            <w:r>
              <w:rPr>
                <w:rFonts w:ascii="Times New Roman" w:hAnsi="Times New Roman" w:eastAsia="Times New Roman" w:cs="Times New Roman"/>
                <w:spacing w:val="-5"/>
              </w:rPr>
              <w:t>0.008</w:t>
            </w:r>
            <w:r>
              <w:rPr>
                <w:rFonts w:ascii="Times New Roman" w:hAnsi="Times New Roman" w:eastAsia="Times New Roman" w:cs="Times New Roman"/>
                <w:spacing w:val="-23"/>
              </w:rPr>
              <w:t xml:space="preserve"> </w:t>
            </w:r>
            <w:r>
              <w:rPr>
                <w:spacing w:val="-5"/>
              </w:rPr>
              <w:t>、</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17mmHg</w:t>
            </w:r>
            <w:r>
              <w:rPr>
                <w:spacing w:val="-5"/>
              </w:rPr>
              <w:t>。</w:t>
            </w:r>
          </w:p>
          <w:p w14:paraId="1D644C3B">
            <w:pPr>
              <w:pStyle w:val="6"/>
              <w:spacing w:before="9" w:line="359" w:lineRule="auto"/>
              <w:ind w:left="124" w:right="154" w:firstLine="460"/>
            </w:pPr>
            <w:r>
              <w:rPr>
                <w:rFonts w:ascii="Times New Roman" w:hAnsi="Times New Roman" w:eastAsia="Times New Roman" w:cs="Times New Roman"/>
                <w:spacing w:val="3"/>
              </w:rPr>
              <w:t>F—</w:t>
            </w:r>
            <w:r>
              <w:rPr>
                <w:spacing w:val="3"/>
              </w:rPr>
              <w:t>溶液蒸发面的表面积，㎡</w:t>
            </w:r>
            <w:r>
              <w:rPr>
                <w:spacing w:val="-69"/>
              </w:rPr>
              <w:t xml:space="preserve"> </w:t>
            </w:r>
            <w:r>
              <w:rPr>
                <w:spacing w:val="3"/>
              </w:rPr>
              <w:t>，</w:t>
            </w:r>
            <w:r>
              <w:rPr>
                <w:spacing w:val="3"/>
                <w:sz w:val="20"/>
                <w:szCs w:val="20"/>
              </w:rPr>
              <w:t>本项目使用的带盖胶桶规格为</w:t>
            </w:r>
            <w:r>
              <w:rPr>
                <w:rFonts w:ascii="Times New Roman" w:hAnsi="Times New Roman" w:eastAsia="Times New Roman" w:cs="Times New Roman"/>
                <w:spacing w:val="3"/>
                <w:sz w:val="20"/>
                <w:szCs w:val="20"/>
              </w:rPr>
              <w:t>Φ0.58×0.92m,</w:t>
            </w:r>
            <w:r>
              <w:rPr>
                <w:spacing w:val="3"/>
                <w:sz w:val="20"/>
                <w:szCs w:val="20"/>
              </w:rPr>
              <w:t>，</w:t>
            </w:r>
            <w:r>
              <w:rPr>
                <w:sz w:val="20"/>
                <w:szCs w:val="20"/>
              </w:rPr>
              <w:t xml:space="preserve"> 敞口面积约为</w:t>
            </w:r>
            <w:r>
              <w:rPr>
                <w:spacing w:val="-30"/>
                <w:sz w:val="20"/>
                <w:szCs w:val="20"/>
              </w:rPr>
              <w:t xml:space="preserve"> </w:t>
            </w:r>
            <w:r>
              <w:rPr>
                <w:rFonts w:ascii="Times New Roman" w:hAnsi="Times New Roman" w:eastAsia="Times New Roman" w:cs="Times New Roman"/>
                <w:sz w:val="20"/>
                <w:szCs w:val="20"/>
              </w:rPr>
              <w:t>0.264</w:t>
            </w:r>
            <w:r>
              <w:rPr>
                <w:rFonts w:ascii="Times New Roman" w:hAnsi="Times New Roman" w:eastAsia="Times New Roman" w:cs="Times New Roman"/>
                <w:spacing w:val="21"/>
                <w:w w:val="101"/>
                <w:sz w:val="20"/>
                <w:szCs w:val="20"/>
              </w:rPr>
              <w:t xml:space="preserve"> </w:t>
            </w:r>
            <w:r>
              <w:t>㎡。</w:t>
            </w:r>
          </w:p>
          <w:p w14:paraId="6B9B3469">
            <w:pPr>
              <w:pStyle w:val="6"/>
              <w:spacing w:line="219" w:lineRule="auto"/>
              <w:ind w:left="589"/>
            </w:pPr>
            <w:r>
              <w:rPr>
                <w:spacing w:val="-1"/>
              </w:rPr>
              <w:t>根据上式，可计算得到各酸液的蒸发速率蒸发量，如下表所示：</w:t>
            </w:r>
          </w:p>
          <w:p w14:paraId="5D3A0EC1">
            <w:pPr>
              <w:pStyle w:val="6"/>
              <w:spacing w:before="301" w:line="219" w:lineRule="auto"/>
              <w:ind w:left="1834"/>
            </w:pPr>
            <w:r>
              <w:rPr>
                <w:b/>
                <w:bCs/>
                <w:spacing w:val="-2"/>
              </w:rPr>
              <w:t>表</w:t>
            </w:r>
            <w:r>
              <w:rPr>
                <w:spacing w:val="-53"/>
              </w:rPr>
              <w:t xml:space="preserve"> </w:t>
            </w:r>
            <w:r>
              <w:rPr>
                <w:rFonts w:ascii="Times New Roman" w:hAnsi="Times New Roman" w:eastAsia="Times New Roman" w:cs="Times New Roman"/>
                <w:b/>
                <w:bCs/>
                <w:spacing w:val="-2"/>
              </w:rPr>
              <w:t xml:space="preserve">4-8    </w:t>
            </w:r>
            <w:r>
              <w:rPr>
                <w:b/>
                <w:bCs/>
                <w:spacing w:val="-2"/>
              </w:rPr>
              <w:t>泡酸废气蒸发速率核算过程汇总表</w:t>
            </w:r>
          </w:p>
          <w:p w14:paraId="05650CB5">
            <w:pPr>
              <w:spacing w:line="149" w:lineRule="exact"/>
            </w:pPr>
          </w:p>
          <w:tbl>
            <w:tblPr>
              <w:tblStyle w:val="5"/>
              <w:tblW w:w="7868"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644"/>
              <w:gridCol w:w="911"/>
              <w:gridCol w:w="924"/>
              <w:gridCol w:w="750"/>
              <w:gridCol w:w="799"/>
              <w:gridCol w:w="800"/>
              <w:gridCol w:w="837"/>
              <w:gridCol w:w="1041"/>
            </w:tblGrid>
            <w:tr w14:paraId="634F2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1162" w:type="dxa"/>
                  <w:tcBorders>
                    <w:tl2br w:val="single" w:color="000000" w:sz="4" w:space="0"/>
                  </w:tcBorders>
                  <w:vAlign w:val="top"/>
                </w:tcPr>
                <w:p w14:paraId="219EE33E">
                  <w:pPr>
                    <w:pStyle w:val="6"/>
                    <w:spacing w:before="34" w:line="228" w:lineRule="auto"/>
                    <w:ind w:left="639"/>
                    <w:rPr>
                      <w:sz w:val="20"/>
                      <w:szCs w:val="20"/>
                    </w:rPr>
                  </w:pPr>
                  <w:r>
                    <w:rPr>
                      <w:spacing w:val="3"/>
                      <w:sz w:val="20"/>
                      <w:szCs w:val="20"/>
                    </w:rPr>
                    <w:t>参数</w:t>
                  </w:r>
                </w:p>
                <w:p w14:paraId="3C06BD9C">
                  <w:pPr>
                    <w:pStyle w:val="6"/>
                    <w:spacing w:before="298" w:line="234" w:lineRule="auto"/>
                    <w:ind w:left="114" w:right="632"/>
                    <w:rPr>
                      <w:sz w:val="20"/>
                      <w:szCs w:val="20"/>
                    </w:rPr>
                  </w:pPr>
                  <w:r>
                    <w:rPr>
                      <w:spacing w:val="4"/>
                      <w:sz w:val="20"/>
                      <w:szCs w:val="20"/>
                    </w:rPr>
                    <w:t>酸雾</w:t>
                  </w:r>
                  <w:r>
                    <w:rPr>
                      <w:sz w:val="20"/>
                      <w:szCs w:val="20"/>
                    </w:rPr>
                    <w:t xml:space="preserve"> </w:t>
                  </w:r>
                  <w:r>
                    <w:rPr>
                      <w:spacing w:val="4"/>
                      <w:sz w:val="20"/>
                      <w:szCs w:val="20"/>
                    </w:rPr>
                    <w:t>种类</w:t>
                  </w:r>
                </w:p>
              </w:tc>
              <w:tc>
                <w:tcPr>
                  <w:tcW w:w="644" w:type="dxa"/>
                  <w:vAlign w:val="top"/>
                </w:tcPr>
                <w:p w14:paraId="1C849AD4">
                  <w:pPr>
                    <w:rPr>
                      <w:rFonts w:ascii="Arial"/>
                      <w:sz w:val="21"/>
                    </w:rPr>
                  </w:pPr>
                </w:p>
                <w:p w14:paraId="44FFED50">
                  <w:pPr>
                    <w:pStyle w:val="6"/>
                    <w:spacing w:before="65" w:line="255" w:lineRule="auto"/>
                    <w:ind w:left="219" w:right="112" w:hanging="100"/>
                    <w:rPr>
                      <w:sz w:val="20"/>
                      <w:szCs w:val="20"/>
                    </w:rPr>
                  </w:pPr>
                  <w:r>
                    <w:rPr>
                      <w:spacing w:val="3"/>
                      <w:sz w:val="20"/>
                      <w:szCs w:val="20"/>
                    </w:rPr>
                    <w:t>分子</w:t>
                  </w:r>
                  <w:r>
                    <w:rPr>
                      <w:sz w:val="20"/>
                      <w:szCs w:val="20"/>
                    </w:rPr>
                    <w:t xml:space="preserve"> 量</w:t>
                  </w:r>
                </w:p>
              </w:tc>
              <w:tc>
                <w:tcPr>
                  <w:tcW w:w="911" w:type="dxa"/>
                  <w:vAlign w:val="top"/>
                </w:tcPr>
                <w:p w14:paraId="35C1ECC3">
                  <w:pPr>
                    <w:pStyle w:val="6"/>
                    <w:spacing w:before="185" w:line="228" w:lineRule="auto"/>
                    <w:ind w:left="143"/>
                    <w:rPr>
                      <w:sz w:val="20"/>
                      <w:szCs w:val="20"/>
                    </w:rPr>
                  </w:pPr>
                  <w:r>
                    <w:rPr>
                      <w:spacing w:val="7"/>
                      <w:sz w:val="20"/>
                      <w:szCs w:val="20"/>
                    </w:rPr>
                    <w:t>废气收</w:t>
                  </w:r>
                </w:p>
                <w:p w14:paraId="0949E0BC">
                  <w:pPr>
                    <w:pStyle w:val="6"/>
                    <w:spacing w:before="26" w:line="228" w:lineRule="auto"/>
                    <w:ind w:left="144"/>
                    <w:rPr>
                      <w:sz w:val="20"/>
                      <w:szCs w:val="20"/>
                    </w:rPr>
                  </w:pPr>
                  <w:r>
                    <w:rPr>
                      <w:spacing w:val="6"/>
                      <w:sz w:val="20"/>
                      <w:szCs w:val="20"/>
                    </w:rPr>
                    <w:t>集风速</w:t>
                  </w:r>
                </w:p>
                <w:p w14:paraId="292F34B9">
                  <w:pPr>
                    <w:spacing w:before="42" w:line="199"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m/s</w:t>
                  </w:r>
                </w:p>
              </w:tc>
              <w:tc>
                <w:tcPr>
                  <w:tcW w:w="924" w:type="dxa"/>
                  <w:vAlign w:val="top"/>
                </w:tcPr>
                <w:p w14:paraId="38F83C6E">
                  <w:pPr>
                    <w:pStyle w:val="6"/>
                    <w:spacing w:before="185" w:line="230" w:lineRule="auto"/>
                    <w:ind w:left="152"/>
                    <w:rPr>
                      <w:sz w:val="20"/>
                      <w:szCs w:val="20"/>
                    </w:rPr>
                  </w:pPr>
                  <w:r>
                    <w:rPr>
                      <w:spacing w:val="7"/>
                      <w:sz w:val="20"/>
                      <w:szCs w:val="20"/>
                    </w:rPr>
                    <w:t>饱和蒸</w:t>
                  </w:r>
                </w:p>
                <w:p w14:paraId="7BC65889">
                  <w:pPr>
                    <w:pStyle w:val="6"/>
                    <w:spacing w:before="24" w:line="262" w:lineRule="auto"/>
                    <w:ind w:left="169" w:right="145" w:hanging="17"/>
                    <w:rPr>
                      <w:rFonts w:ascii="Times New Roman" w:hAnsi="Times New Roman" w:eastAsia="Times New Roman" w:cs="Times New Roman"/>
                      <w:sz w:val="20"/>
                      <w:szCs w:val="20"/>
                    </w:rPr>
                  </w:pPr>
                  <w:r>
                    <w:rPr>
                      <w:spacing w:val="6"/>
                      <w:sz w:val="20"/>
                      <w:szCs w:val="20"/>
                    </w:rPr>
                    <w:t>汽压力</w:t>
                  </w:r>
                  <w:r>
                    <w:rPr>
                      <w:spacing w:val="1"/>
                      <w:sz w:val="20"/>
                      <w:szCs w:val="20"/>
                    </w:rPr>
                    <w:t xml:space="preserve"> </w:t>
                  </w:r>
                  <w:r>
                    <w:rPr>
                      <w:rFonts w:ascii="Times New Roman" w:hAnsi="Times New Roman" w:eastAsia="Times New Roman" w:cs="Times New Roman"/>
                      <w:spacing w:val="5"/>
                      <w:sz w:val="20"/>
                      <w:szCs w:val="20"/>
                    </w:rPr>
                    <w:t>mmHg</w:t>
                  </w:r>
                </w:p>
              </w:tc>
              <w:tc>
                <w:tcPr>
                  <w:tcW w:w="750" w:type="dxa"/>
                  <w:vAlign w:val="top"/>
                </w:tcPr>
                <w:p w14:paraId="4DEB5568">
                  <w:pPr>
                    <w:pStyle w:val="6"/>
                    <w:spacing w:before="171" w:line="228" w:lineRule="auto"/>
                    <w:ind w:left="185"/>
                    <w:rPr>
                      <w:sz w:val="20"/>
                      <w:szCs w:val="20"/>
                    </w:rPr>
                  </w:pPr>
                  <w:r>
                    <w:rPr>
                      <w:spacing w:val="-3"/>
                      <w:sz w:val="20"/>
                      <w:szCs w:val="20"/>
                    </w:rPr>
                    <w:t>敞口</w:t>
                  </w:r>
                </w:p>
                <w:p w14:paraId="33546DBF">
                  <w:pPr>
                    <w:pStyle w:val="6"/>
                    <w:spacing w:before="23" w:line="265" w:lineRule="auto"/>
                    <w:ind w:left="283" w:right="165" w:hanging="113"/>
                    <w:rPr>
                      <w:sz w:val="20"/>
                      <w:szCs w:val="20"/>
                    </w:rPr>
                  </w:pPr>
                  <w:r>
                    <w:rPr>
                      <w:spacing w:val="4"/>
                      <w:sz w:val="20"/>
                      <w:szCs w:val="20"/>
                    </w:rPr>
                    <w:t>面积</w:t>
                  </w:r>
                  <w:r>
                    <w:rPr>
                      <w:sz w:val="20"/>
                      <w:szCs w:val="20"/>
                    </w:rPr>
                    <w:t xml:space="preserve"> ㎡</w:t>
                  </w:r>
                </w:p>
              </w:tc>
              <w:tc>
                <w:tcPr>
                  <w:tcW w:w="799" w:type="dxa"/>
                  <w:vAlign w:val="top"/>
                </w:tcPr>
                <w:p w14:paraId="43672FC8">
                  <w:pPr>
                    <w:pStyle w:val="6"/>
                    <w:spacing w:before="186" w:line="228" w:lineRule="auto"/>
                    <w:ind w:left="197"/>
                    <w:rPr>
                      <w:sz w:val="20"/>
                      <w:szCs w:val="20"/>
                    </w:rPr>
                  </w:pPr>
                  <w:r>
                    <w:rPr>
                      <w:spacing w:val="3"/>
                      <w:sz w:val="20"/>
                      <w:szCs w:val="20"/>
                    </w:rPr>
                    <w:t>蒸发</w:t>
                  </w:r>
                </w:p>
                <w:p w14:paraId="6AF6D089">
                  <w:pPr>
                    <w:pStyle w:val="6"/>
                    <w:spacing w:before="26" w:line="259" w:lineRule="auto"/>
                    <w:ind w:left="212" w:right="187" w:hanging="18"/>
                    <w:rPr>
                      <w:rFonts w:ascii="Times New Roman" w:hAnsi="Times New Roman" w:eastAsia="Times New Roman" w:cs="Times New Roman"/>
                      <w:sz w:val="20"/>
                      <w:szCs w:val="20"/>
                    </w:rPr>
                  </w:pPr>
                  <w:r>
                    <w:rPr>
                      <w:spacing w:val="6"/>
                      <w:sz w:val="20"/>
                      <w:szCs w:val="20"/>
                    </w:rPr>
                    <w:t>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800" w:type="dxa"/>
                  <w:vAlign w:val="top"/>
                </w:tcPr>
                <w:p w14:paraId="40BEEF67">
                  <w:pPr>
                    <w:pStyle w:val="6"/>
                    <w:spacing w:before="171" w:line="228" w:lineRule="auto"/>
                    <w:ind w:left="196"/>
                    <w:rPr>
                      <w:sz w:val="20"/>
                      <w:szCs w:val="20"/>
                    </w:rPr>
                  </w:pPr>
                  <w:r>
                    <w:rPr>
                      <w:spacing w:val="5"/>
                      <w:sz w:val="20"/>
                      <w:szCs w:val="20"/>
                    </w:rPr>
                    <w:t>胶桶</w:t>
                  </w:r>
                </w:p>
                <w:p w14:paraId="6FF82EFB">
                  <w:pPr>
                    <w:pStyle w:val="6"/>
                    <w:spacing w:before="24" w:line="252" w:lineRule="auto"/>
                    <w:ind w:left="146" w:right="135" w:firstLine="68"/>
                    <w:rPr>
                      <w:sz w:val="20"/>
                      <w:szCs w:val="20"/>
                    </w:rPr>
                  </w:pPr>
                  <w:r>
                    <w:rPr>
                      <w:spacing w:val="-4"/>
                      <w:sz w:val="20"/>
                      <w:szCs w:val="20"/>
                    </w:rPr>
                    <w:t>的总</w:t>
                  </w:r>
                  <w:r>
                    <w:rPr>
                      <w:sz w:val="20"/>
                      <w:szCs w:val="20"/>
                    </w:rPr>
                    <w:t xml:space="preserve"> </w:t>
                  </w:r>
                  <w:r>
                    <w:rPr>
                      <w:spacing w:val="4"/>
                      <w:sz w:val="20"/>
                      <w:szCs w:val="20"/>
                    </w:rPr>
                    <w:t>数/个</w:t>
                  </w:r>
                </w:p>
              </w:tc>
              <w:tc>
                <w:tcPr>
                  <w:tcW w:w="837" w:type="dxa"/>
                  <w:vAlign w:val="top"/>
                </w:tcPr>
                <w:p w14:paraId="6A0D950F">
                  <w:pPr>
                    <w:spacing w:line="241" w:lineRule="auto"/>
                    <w:rPr>
                      <w:rFonts w:ascii="Arial"/>
                      <w:sz w:val="21"/>
                    </w:rPr>
                  </w:pPr>
                </w:p>
                <w:p w14:paraId="60238794">
                  <w:pPr>
                    <w:pStyle w:val="6"/>
                    <w:spacing w:before="65" w:line="253" w:lineRule="auto"/>
                    <w:ind w:left="146" w:right="126" w:firstLine="71"/>
                    <w:rPr>
                      <w:sz w:val="20"/>
                      <w:szCs w:val="20"/>
                    </w:rPr>
                  </w:pPr>
                  <w:r>
                    <w:rPr>
                      <w:spacing w:val="3"/>
                      <w:sz w:val="20"/>
                      <w:szCs w:val="20"/>
                    </w:rPr>
                    <w:t>蒸发</w:t>
                  </w:r>
                  <w:r>
                    <w:rPr>
                      <w:sz w:val="20"/>
                      <w:szCs w:val="20"/>
                    </w:rPr>
                    <w:t xml:space="preserve">  </w:t>
                  </w:r>
                  <w:r>
                    <w:rPr>
                      <w:spacing w:val="19"/>
                      <w:sz w:val="20"/>
                      <w:szCs w:val="20"/>
                    </w:rPr>
                    <w:t>时间h</w:t>
                  </w:r>
                </w:p>
              </w:tc>
              <w:tc>
                <w:tcPr>
                  <w:tcW w:w="1041" w:type="dxa"/>
                  <w:vAlign w:val="top"/>
                </w:tcPr>
                <w:p w14:paraId="0D94686A">
                  <w:pPr>
                    <w:spacing w:line="242" w:lineRule="auto"/>
                    <w:rPr>
                      <w:rFonts w:ascii="Arial"/>
                      <w:sz w:val="21"/>
                    </w:rPr>
                  </w:pPr>
                </w:p>
                <w:p w14:paraId="7FC99751">
                  <w:pPr>
                    <w:pStyle w:val="6"/>
                    <w:spacing w:before="65" w:line="254" w:lineRule="auto"/>
                    <w:ind w:left="235" w:right="203" w:hanging="21"/>
                    <w:rPr>
                      <w:sz w:val="20"/>
                      <w:szCs w:val="20"/>
                    </w:rPr>
                  </w:pPr>
                  <w:r>
                    <w:rPr>
                      <w:spacing w:val="6"/>
                      <w:sz w:val="20"/>
                      <w:szCs w:val="20"/>
                    </w:rPr>
                    <w:t>蒸发总</w:t>
                  </w:r>
                  <w:r>
                    <w:rPr>
                      <w:sz w:val="20"/>
                      <w:szCs w:val="20"/>
                    </w:rPr>
                    <w:t xml:space="preserve"> 量</w:t>
                  </w:r>
                  <w:r>
                    <w:rPr>
                      <w:spacing w:val="-30"/>
                      <w:sz w:val="20"/>
                      <w:szCs w:val="20"/>
                    </w:rPr>
                    <w:t xml:space="preserve"> </w:t>
                  </w:r>
                  <w:r>
                    <w:rPr>
                      <w:sz w:val="20"/>
                      <w:szCs w:val="20"/>
                    </w:rPr>
                    <w:t>t/a</w:t>
                  </w:r>
                </w:p>
              </w:tc>
            </w:tr>
            <w:tr w14:paraId="33B58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62" w:type="dxa"/>
                  <w:vAlign w:val="top"/>
                </w:tcPr>
                <w:p w14:paraId="6873D759">
                  <w:pPr>
                    <w:pStyle w:val="6"/>
                    <w:spacing w:before="94" w:line="229" w:lineRule="auto"/>
                    <w:ind w:left="274"/>
                    <w:rPr>
                      <w:sz w:val="20"/>
                      <w:szCs w:val="20"/>
                    </w:rPr>
                  </w:pPr>
                  <w:r>
                    <w:rPr>
                      <w:spacing w:val="5"/>
                      <w:sz w:val="20"/>
                      <w:szCs w:val="20"/>
                    </w:rPr>
                    <w:t>氯化氢</w:t>
                  </w:r>
                </w:p>
              </w:tc>
              <w:tc>
                <w:tcPr>
                  <w:tcW w:w="644" w:type="dxa"/>
                  <w:vAlign w:val="top"/>
                </w:tcPr>
                <w:p w14:paraId="3A6214DA">
                  <w:pPr>
                    <w:spacing w:before="130"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c>
                <w:tcPr>
                  <w:tcW w:w="911" w:type="dxa"/>
                  <w:vAlign w:val="top"/>
                </w:tcPr>
                <w:p w14:paraId="4C1C4A3B">
                  <w:pPr>
                    <w:spacing w:before="130"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924" w:type="dxa"/>
                  <w:vAlign w:val="top"/>
                </w:tcPr>
                <w:p w14:paraId="5C7DB8F3">
                  <w:pPr>
                    <w:spacing w:before="13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750" w:type="dxa"/>
                  <w:vAlign w:val="top"/>
                </w:tcPr>
                <w:p w14:paraId="5EAF5BF1">
                  <w:pPr>
                    <w:spacing w:before="130"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0.264</w:t>
                  </w:r>
                </w:p>
              </w:tc>
              <w:tc>
                <w:tcPr>
                  <w:tcW w:w="799" w:type="dxa"/>
                  <w:vAlign w:val="top"/>
                </w:tcPr>
                <w:p w14:paraId="423CA980">
                  <w:pPr>
                    <w:spacing w:before="130"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0.0096</w:t>
                  </w:r>
                </w:p>
              </w:tc>
              <w:tc>
                <w:tcPr>
                  <w:tcW w:w="800" w:type="dxa"/>
                  <w:vMerge w:val="restart"/>
                  <w:tcBorders>
                    <w:bottom w:val="nil"/>
                  </w:tcBorders>
                  <w:vAlign w:val="top"/>
                </w:tcPr>
                <w:p w14:paraId="0513E851">
                  <w:pPr>
                    <w:spacing w:line="274" w:lineRule="auto"/>
                    <w:rPr>
                      <w:rFonts w:ascii="Arial"/>
                      <w:sz w:val="21"/>
                    </w:rPr>
                  </w:pPr>
                </w:p>
                <w:p w14:paraId="33ED3A50">
                  <w:pPr>
                    <w:spacing w:line="274" w:lineRule="auto"/>
                    <w:rPr>
                      <w:rFonts w:ascii="Arial"/>
                      <w:sz w:val="21"/>
                    </w:rPr>
                  </w:pPr>
                </w:p>
                <w:p w14:paraId="02952D5E">
                  <w:pPr>
                    <w:spacing w:line="274" w:lineRule="auto"/>
                    <w:rPr>
                      <w:rFonts w:ascii="Arial"/>
                      <w:sz w:val="21"/>
                    </w:rPr>
                  </w:pPr>
                </w:p>
                <w:p w14:paraId="7812CA0E">
                  <w:pPr>
                    <w:spacing w:line="275" w:lineRule="auto"/>
                    <w:rPr>
                      <w:rFonts w:ascii="Arial"/>
                      <w:sz w:val="21"/>
                    </w:rPr>
                  </w:pPr>
                </w:p>
                <w:p w14:paraId="70549B11">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5236</w:t>
                  </w:r>
                </w:p>
              </w:tc>
              <w:tc>
                <w:tcPr>
                  <w:tcW w:w="837" w:type="dxa"/>
                  <w:vMerge w:val="restart"/>
                  <w:tcBorders>
                    <w:bottom w:val="nil"/>
                  </w:tcBorders>
                  <w:vAlign w:val="top"/>
                </w:tcPr>
                <w:p w14:paraId="00F82728">
                  <w:pPr>
                    <w:spacing w:line="274" w:lineRule="auto"/>
                    <w:rPr>
                      <w:rFonts w:ascii="Arial"/>
                      <w:sz w:val="21"/>
                    </w:rPr>
                  </w:pPr>
                </w:p>
                <w:p w14:paraId="2805E140">
                  <w:pPr>
                    <w:spacing w:line="274" w:lineRule="auto"/>
                    <w:rPr>
                      <w:rFonts w:ascii="Arial"/>
                      <w:sz w:val="21"/>
                    </w:rPr>
                  </w:pPr>
                </w:p>
                <w:p w14:paraId="08FB5F78">
                  <w:pPr>
                    <w:spacing w:line="274" w:lineRule="auto"/>
                    <w:rPr>
                      <w:rFonts w:ascii="Arial"/>
                      <w:sz w:val="21"/>
                    </w:rPr>
                  </w:pPr>
                </w:p>
                <w:p w14:paraId="532907DE">
                  <w:pPr>
                    <w:spacing w:line="275" w:lineRule="auto"/>
                    <w:rPr>
                      <w:rFonts w:ascii="Arial"/>
                      <w:sz w:val="21"/>
                    </w:rPr>
                  </w:pPr>
                </w:p>
                <w:p w14:paraId="39502A22">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041" w:type="dxa"/>
                  <w:vAlign w:val="top"/>
                </w:tcPr>
                <w:p w14:paraId="115C4EF2">
                  <w:pPr>
                    <w:spacing w:before="13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168.3282</w:t>
                  </w:r>
                </w:p>
              </w:tc>
            </w:tr>
            <w:tr w14:paraId="62544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62" w:type="dxa"/>
                  <w:vAlign w:val="top"/>
                </w:tcPr>
                <w:p w14:paraId="5EE0E52F">
                  <w:pPr>
                    <w:pStyle w:val="6"/>
                    <w:spacing w:before="34" w:line="239" w:lineRule="auto"/>
                    <w:ind w:left="177" w:right="159" w:firstLine="93"/>
                    <w:rPr>
                      <w:sz w:val="20"/>
                      <w:szCs w:val="20"/>
                    </w:rPr>
                  </w:pPr>
                  <w:r>
                    <w:rPr>
                      <w:spacing w:val="6"/>
                      <w:sz w:val="20"/>
                      <w:szCs w:val="20"/>
                    </w:rPr>
                    <w:t>氟化氢</w:t>
                  </w:r>
                  <w:r>
                    <w:rPr>
                      <w:sz w:val="20"/>
                      <w:szCs w:val="20"/>
                    </w:rPr>
                    <w:t xml:space="preserve">  </w:t>
                  </w:r>
                  <w:r>
                    <w:rPr>
                      <w:spacing w:val="4"/>
                      <w:sz w:val="20"/>
                      <w:szCs w:val="20"/>
                    </w:rPr>
                    <w:t>（以氟化</w:t>
                  </w:r>
                  <w:r>
                    <w:rPr>
                      <w:spacing w:val="2"/>
                      <w:sz w:val="20"/>
                      <w:szCs w:val="20"/>
                    </w:rPr>
                    <w:t xml:space="preserve"> </w:t>
                  </w:r>
                  <w:r>
                    <w:rPr>
                      <w:spacing w:val="34"/>
                      <w:sz w:val="20"/>
                      <w:szCs w:val="20"/>
                    </w:rPr>
                    <w:t>物计）</w:t>
                  </w:r>
                </w:p>
              </w:tc>
              <w:tc>
                <w:tcPr>
                  <w:tcW w:w="644" w:type="dxa"/>
                  <w:vAlign w:val="top"/>
                </w:tcPr>
                <w:p w14:paraId="5E4B8BCF">
                  <w:pPr>
                    <w:spacing w:line="284" w:lineRule="auto"/>
                    <w:rPr>
                      <w:rFonts w:ascii="Arial"/>
                      <w:sz w:val="21"/>
                    </w:rPr>
                  </w:pPr>
                </w:p>
                <w:p w14:paraId="6160D361">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11" w:type="dxa"/>
                  <w:vAlign w:val="top"/>
                </w:tcPr>
                <w:p w14:paraId="0F2C704C">
                  <w:pPr>
                    <w:spacing w:line="284" w:lineRule="auto"/>
                    <w:rPr>
                      <w:rFonts w:ascii="Arial"/>
                      <w:sz w:val="21"/>
                    </w:rPr>
                  </w:pPr>
                </w:p>
                <w:p w14:paraId="45505473">
                  <w:pPr>
                    <w:spacing w:before="5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924" w:type="dxa"/>
                  <w:vAlign w:val="top"/>
                </w:tcPr>
                <w:p w14:paraId="2C2BEF13">
                  <w:pPr>
                    <w:spacing w:line="284" w:lineRule="auto"/>
                    <w:rPr>
                      <w:rFonts w:ascii="Arial"/>
                      <w:sz w:val="21"/>
                    </w:rPr>
                  </w:pPr>
                </w:p>
                <w:p w14:paraId="2BE6226B">
                  <w:pPr>
                    <w:spacing w:before="5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750" w:type="dxa"/>
                  <w:vAlign w:val="top"/>
                </w:tcPr>
                <w:p w14:paraId="623312E8">
                  <w:pPr>
                    <w:spacing w:line="284" w:lineRule="auto"/>
                    <w:rPr>
                      <w:rFonts w:ascii="Arial"/>
                      <w:sz w:val="21"/>
                    </w:rPr>
                  </w:pPr>
                </w:p>
                <w:p w14:paraId="73113D32">
                  <w:pPr>
                    <w:spacing w:before="5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0.264</w:t>
                  </w:r>
                </w:p>
              </w:tc>
              <w:tc>
                <w:tcPr>
                  <w:tcW w:w="799" w:type="dxa"/>
                  <w:vAlign w:val="top"/>
                </w:tcPr>
                <w:p w14:paraId="2D0BEBED">
                  <w:pPr>
                    <w:spacing w:line="284" w:lineRule="auto"/>
                    <w:rPr>
                      <w:rFonts w:ascii="Arial"/>
                      <w:sz w:val="21"/>
                    </w:rPr>
                  </w:pPr>
                </w:p>
                <w:p w14:paraId="70DE32D0">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0.0010</w:t>
                  </w:r>
                </w:p>
              </w:tc>
              <w:tc>
                <w:tcPr>
                  <w:tcW w:w="800" w:type="dxa"/>
                  <w:vMerge w:val="continue"/>
                  <w:tcBorders>
                    <w:top w:val="nil"/>
                    <w:bottom w:val="nil"/>
                  </w:tcBorders>
                  <w:vAlign w:val="top"/>
                </w:tcPr>
                <w:p w14:paraId="5327C00E">
                  <w:pPr>
                    <w:rPr>
                      <w:rFonts w:ascii="Arial"/>
                      <w:sz w:val="21"/>
                    </w:rPr>
                  </w:pPr>
                </w:p>
              </w:tc>
              <w:tc>
                <w:tcPr>
                  <w:tcW w:w="837" w:type="dxa"/>
                  <w:vMerge w:val="continue"/>
                  <w:tcBorders>
                    <w:top w:val="nil"/>
                    <w:bottom w:val="nil"/>
                  </w:tcBorders>
                  <w:vAlign w:val="top"/>
                </w:tcPr>
                <w:p w14:paraId="29E84979">
                  <w:pPr>
                    <w:rPr>
                      <w:rFonts w:ascii="Arial"/>
                      <w:sz w:val="21"/>
                    </w:rPr>
                  </w:pPr>
                </w:p>
              </w:tc>
              <w:tc>
                <w:tcPr>
                  <w:tcW w:w="1041" w:type="dxa"/>
                  <w:vAlign w:val="top"/>
                </w:tcPr>
                <w:p w14:paraId="3D253DEE">
                  <w:pPr>
                    <w:spacing w:line="284" w:lineRule="auto"/>
                    <w:rPr>
                      <w:rFonts w:ascii="Arial"/>
                      <w:sz w:val="21"/>
                    </w:rPr>
                  </w:pPr>
                </w:p>
                <w:p w14:paraId="233D892B">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16.7137</w:t>
                  </w:r>
                </w:p>
              </w:tc>
            </w:tr>
            <w:tr w14:paraId="0B8A3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62" w:type="dxa"/>
                  <w:vAlign w:val="top"/>
                </w:tcPr>
                <w:p w14:paraId="6597BB6D">
                  <w:pPr>
                    <w:pStyle w:val="6"/>
                    <w:spacing w:before="98" w:line="229" w:lineRule="auto"/>
                    <w:ind w:left="269"/>
                    <w:rPr>
                      <w:sz w:val="20"/>
                      <w:szCs w:val="20"/>
                    </w:rPr>
                  </w:pPr>
                  <w:r>
                    <w:rPr>
                      <w:spacing w:val="7"/>
                      <w:sz w:val="20"/>
                      <w:szCs w:val="20"/>
                    </w:rPr>
                    <w:t>硫酸雾</w:t>
                  </w:r>
                </w:p>
              </w:tc>
              <w:tc>
                <w:tcPr>
                  <w:tcW w:w="644" w:type="dxa"/>
                  <w:vAlign w:val="top"/>
                </w:tcPr>
                <w:p w14:paraId="04237A6E">
                  <w:pPr>
                    <w:spacing w:before="134"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911" w:type="dxa"/>
                  <w:vAlign w:val="top"/>
                </w:tcPr>
                <w:p w14:paraId="266858B9">
                  <w:pPr>
                    <w:spacing w:before="134"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924" w:type="dxa"/>
                  <w:vAlign w:val="top"/>
                </w:tcPr>
                <w:p w14:paraId="3CF238F5">
                  <w:pPr>
                    <w:spacing w:before="13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750" w:type="dxa"/>
                  <w:vAlign w:val="top"/>
                </w:tcPr>
                <w:p w14:paraId="1AE99D49">
                  <w:pPr>
                    <w:spacing w:before="134"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0.264</w:t>
                  </w:r>
                </w:p>
              </w:tc>
              <w:tc>
                <w:tcPr>
                  <w:tcW w:w="799" w:type="dxa"/>
                  <w:vAlign w:val="top"/>
                </w:tcPr>
                <w:p w14:paraId="7D1B3E35">
                  <w:pPr>
                    <w:spacing w:before="134"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800" w:type="dxa"/>
                  <w:vMerge w:val="continue"/>
                  <w:tcBorders>
                    <w:top w:val="nil"/>
                    <w:bottom w:val="nil"/>
                  </w:tcBorders>
                  <w:vAlign w:val="top"/>
                </w:tcPr>
                <w:p w14:paraId="59F78482">
                  <w:pPr>
                    <w:rPr>
                      <w:rFonts w:ascii="Arial"/>
                      <w:sz w:val="21"/>
                    </w:rPr>
                  </w:pPr>
                </w:p>
              </w:tc>
              <w:tc>
                <w:tcPr>
                  <w:tcW w:w="837" w:type="dxa"/>
                  <w:vMerge w:val="continue"/>
                  <w:tcBorders>
                    <w:top w:val="nil"/>
                    <w:bottom w:val="nil"/>
                  </w:tcBorders>
                  <w:vAlign w:val="top"/>
                </w:tcPr>
                <w:p w14:paraId="0D0CC565">
                  <w:pPr>
                    <w:rPr>
                      <w:rFonts w:ascii="Arial"/>
                      <w:sz w:val="21"/>
                    </w:rPr>
                  </w:pPr>
                </w:p>
              </w:tc>
              <w:tc>
                <w:tcPr>
                  <w:tcW w:w="1041" w:type="dxa"/>
                  <w:vAlign w:val="top"/>
                </w:tcPr>
                <w:p w14:paraId="5BF4029F">
                  <w:pPr>
                    <w:spacing w:before="13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2.4266</w:t>
                  </w:r>
                </w:p>
              </w:tc>
            </w:tr>
            <w:tr w14:paraId="4D36E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162" w:type="dxa"/>
                  <w:vAlign w:val="top"/>
                </w:tcPr>
                <w:p w14:paraId="0F14CD3E">
                  <w:pPr>
                    <w:pStyle w:val="6"/>
                    <w:spacing w:before="35"/>
                    <w:ind w:left="204" w:right="185" w:firstLine="68"/>
                    <w:jc w:val="both"/>
                    <w:rPr>
                      <w:sz w:val="20"/>
                      <w:szCs w:val="20"/>
                    </w:rPr>
                  </w:pPr>
                  <w:r>
                    <w:rPr>
                      <w:spacing w:val="6"/>
                      <w:sz w:val="20"/>
                      <w:szCs w:val="20"/>
                    </w:rPr>
                    <w:t>硝酸雾</w:t>
                  </w:r>
                  <w:r>
                    <w:rPr>
                      <w:sz w:val="20"/>
                      <w:szCs w:val="20"/>
                    </w:rPr>
                    <w:t xml:space="preserve">  </w:t>
                  </w:r>
                  <w:r>
                    <w:rPr>
                      <w:spacing w:val="6"/>
                      <w:sz w:val="20"/>
                      <w:szCs w:val="20"/>
                    </w:rPr>
                    <w:t>（以</w:t>
                  </w:r>
                  <w:r>
                    <w:rPr>
                      <w:spacing w:val="-46"/>
                      <w:sz w:val="20"/>
                      <w:szCs w:val="20"/>
                    </w:rPr>
                    <w:t xml:space="preserve"> </w:t>
                  </w:r>
                  <w:r>
                    <w:rPr>
                      <w:sz w:val="20"/>
                      <w:szCs w:val="20"/>
                    </w:rPr>
                    <w:t xml:space="preserve">NOx </w:t>
                  </w:r>
                  <w:r>
                    <w:rPr>
                      <w:spacing w:val="36"/>
                      <w:w w:val="125"/>
                      <w:sz w:val="20"/>
                      <w:szCs w:val="20"/>
                    </w:rPr>
                    <w:t>计）</w:t>
                  </w:r>
                </w:p>
              </w:tc>
              <w:tc>
                <w:tcPr>
                  <w:tcW w:w="644" w:type="dxa"/>
                  <w:vAlign w:val="top"/>
                </w:tcPr>
                <w:p w14:paraId="18041C37">
                  <w:pPr>
                    <w:spacing w:line="285" w:lineRule="auto"/>
                    <w:rPr>
                      <w:rFonts w:ascii="Arial"/>
                      <w:sz w:val="21"/>
                    </w:rPr>
                  </w:pPr>
                </w:p>
                <w:p w14:paraId="218649E3">
                  <w:pPr>
                    <w:spacing w:before="5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911" w:type="dxa"/>
                  <w:vAlign w:val="top"/>
                </w:tcPr>
                <w:p w14:paraId="1D7536F5">
                  <w:pPr>
                    <w:spacing w:line="285" w:lineRule="auto"/>
                    <w:rPr>
                      <w:rFonts w:ascii="Arial"/>
                      <w:sz w:val="21"/>
                    </w:rPr>
                  </w:pPr>
                </w:p>
                <w:p w14:paraId="60FEB644">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924" w:type="dxa"/>
                  <w:vAlign w:val="top"/>
                </w:tcPr>
                <w:p w14:paraId="5042A748">
                  <w:pPr>
                    <w:spacing w:line="285" w:lineRule="auto"/>
                    <w:rPr>
                      <w:rFonts w:ascii="Arial"/>
                      <w:sz w:val="21"/>
                    </w:rPr>
                  </w:pPr>
                </w:p>
                <w:p w14:paraId="49000295">
                  <w:pPr>
                    <w:spacing w:before="5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750" w:type="dxa"/>
                  <w:vAlign w:val="top"/>
                </w:tcPr>
                <w:p w14:paraId="1FADD3C8">
                  <w:pPr>
                    <w:spacing w:line="285" w:lineRule="auto"/>
                    <w:rPr>
                      <w:rFonts w:ascii="Arial"/>
                      <w:sz w:val="21"/>
                    </w:rPr>
                  </w:pPr>
                </w:p>
                <w:p w14:paraId="11E0BAA9">
                  <w:pPr>
                    <w:spacing w:before="5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0.264</w:t>
                  </w:r>
                </w:p>
              </w:tc>
              <w:tc>
                <w:tcPr>
                  <w:tcW w:w="799" w:type="dxa"/>
                  <w:vAlign w:val="top"/>
                </w:tcPr>
                <w:p w14:paraId="0ABAF5D6">
                  <w:pPr>
                    <w:spacing w:line="285" w:lineRule="auto"/>
                    <w:rPr>
                      <w:rFonts w:ascii="Arial"/>
                      <w:sz w:val="21"/>
                    </w:rPr>
                  </w:pPr>
                </w:p>
                <w:p w14:paraId="371AF634">
                  <w:pPr>
                    <w:spacing w:before="58"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0.0019</w:t>
                  </w:r>
                </w:p>
              </w:tc>
              <w:tc>
                <w:tcPr>
                  <w:tcW w:w="800" w:type="dxa"/>
                  <w:vMerge w:val="continue"/>
                  <w:tcBorders>
                    <w:top w:val="nil"/>
                  </w:tcBorders>
                  <w:vAlign w:val="top"/>
                </w:tcPr>
                <w:p w14:paraId="0F2CCF60">
                  <w:pPr>
                    <w:rPr>
                      <w:rFonts w:ascii="Arial"/>
                      <w:sz w:val="21"/>
                    </w:rPr>
                  </w:pPr>
                </w:p>
              </w:tc>
              <w:tc>
                <w:tcPr>
                  <w:tcW w:w="837" w:type="dxa"/>
                  <w:vMerge w:val="continue"/>
                  <w:tcBorders>
                    <w:top w:val="nil"/>
                  </w:tcBorders>
                  <w:vAlign w:val="top"/>
                </w:tcPr>
                <w:p w14:paraId="5971A458">
                  <w:pPr>
                    <w:rPr>
                      <w:rFonts w:ascii="Arial"/>
                      <w:sz w:val="21"/>
                    </w:rPr>
                  </w:pPr>
                </w:p>
              </w:tc>
              <w:tc>
                <w:tcPr>
                  <w:tcW w:w="1041" w:type="dxa"/>
                  <w:vAlign w:val="top"/>
                </w:tcPr>
                <w:p w14:paraId="2C99804A">
                  <w:pPr>
                    <w:spacing w:line="281" w:lineRule="auto"/>
                    <w:rPr>
                      <w:rFonts w:ascii="Arial"/>
                      <w:sz w:val="21"/>
                    </w:rPr>
                  </w:pPr>
                </w:p>
                <w:p w14:paraId="30411F5D">
                  <w:pPr>
                    <w:spacing w:before="58" w:line="199"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1488*</w:t>
                  </w:r>
                </w:p>
              </w:tc>
            </w:tr>
          </w:tbl>
          <w:p w14:paraId="09F2DDA5">
            <w:pPr>
              <w:spacing w:before="150" w:line="250" w:lineRule="auto"/>
              <w:ind w:left="112" w:right="104" w:firstLine="427"/>
              <w:jc w:val="both"/>
              <w:rPr>
                <w:rFonts w:ascii="楷体" w:hAnsi="楷体" w:eastAsia="楷体" w:cs="楷体"/>
                <w:sz w:val="20"/>
                <w:szCs w:val="20"/>
              </w:rPr>
            </w:pPr>
            <w:r>
              <w:rPr>
                <w:rFonts w:ascii="楷体" w:hAnsi="楷体" w:eastAsia="楷体" w:cs="楷体"/>
                <w:spacing w:val="4"/>
                <w:sz w:val="20"/>
                <w:szCs w:val="20"/>
              </w:rPr>
              <w:t>注：本项目建成后整体项目硝酸总用量为</w:t>
            </w:r>
            <w:r>
              <w:rPr>
                <w:rFonts w:ascii="楷体" w:hAnsi="楷体" w:eastAsia="楷体" w:cs="楷体"/>
                <w:spacing w:val="-26"/>
                <w:sz w:val="20"/>
                <w:szCs w:val="20"/>
              </w:rPr>
              <w:t xml:space="preserve"> </w:t>
            </w:r>
            <w:r>
              <w:rPr>
                <w:rFonts w:ascii="楷体" w:hAnsi="楷体" w:eastAsia="楷体" w:cs="楷体"/>
                <w:spacing w:val="4"/>
                <w:sz w:val="20"/>
                <w:szCs w:val="20"/>
              </w:rPr>
              <w:t>12.2t/a，根据上表计算得硝酸</w:t>
            </w:r>
            <w:r>
              <w:rPr>
                <w:rFonts w:ascii="楷体" w:hAnsi="楷体" w:eastAsia="楷体" w:cs="楷体"/>
                <w:spacing w:val="3"/>
                <w:sz w:val="20"/>
                <w:szCs w:val="20"/>
              </w:rPr>
              <w:t>雾（以</w:t>
            </w:r>
            <w:r>
              <w:rPr>
                <w:rFonts w:ascii="楷体" w:hAnsi="楷体" w:eastAsia="楷体" w:cs="楷体"/>
                <w:spacing w:val="-40"/>
                <w:sz w:val="20"/>
                <w:szCs w:val="20"/>
              </w:rPr>
              <w:t xml:space="preserve"> </w:t>
            </w:r>
            <w:r>
              <w:rPr>
                <w:rFonts w:ascii="楷体" w:hAnsi="楷体" w:eastAsia="楷体" w:cs="楷体"/>
                <w:sz w:val="20"/>
                <w:szCs w:val="20"/>
              </w:rPr>
              <w:t xml:space="preserve">NOx </w:t>
            </w:r>
            <w:r>
              <w:rPr>
                <w:rFonts w:ascii="楷体" w:hAnsi="楷体" w:eastAsia="楷体" w:cs="楷体"/>
                <w:spacing w:val="7"/>
                <w:sz w:val="20"/>
                <w:szCs w:val="20"/>
              </w:rPr>
              <w:t>计）的量为33.1488t/a，存在不合理，原因在于不是每一次泡酸都加有硝酸。按污染源</w:t>
            </w:r>
            <w:r>
              <w:rPr>
                <w:rFonts w:ascii="楷体" w:hAnsi="楷体" w:eastAsia="楷体" w:cs="楷体"/>
                <w:spacing w:val="9"/>
                <w:sz w:val="20"/>
                <w:szCs w:val="20"/>
              </w:rPr>
              <w:t xml:space="preserve"> </w:t>
            </w:r>
            <w:r>
              <w:rPr>
                <w:rFonts w:ascii="楷体" w:hAnsi="楷体" w:eastAsia="楷体" w:cs="楷体"/>
                <w:spacing w:val="5"/>
                <w:sz w:val="20"/>
                <w:szCs w:val="20"/>
              </w:rPr>
              <w:t>强最大的情况核算，硝酸雾（</w:t>
            </w:r>
            <w:r>
              <w:rPr>
                <w:rFonts w:ascii="楷体" w:hAnsi="楷体" w:eastAsia="楷体" w:cs="楷体"/>
                <w:spacing w:val="-38"/>
                <w:sz w:val="20"/>
                <w:szCs w:val="20"/>
              </w:rPr>
              <w:t xml:space="preserve"> </w:t>
            </w:r>
            <w:r>
              <w:rPr>
                <w:rFonts w:ascii="楷体" w:hAnsi="楷体" w:eastAsia="楷体" w:cs="楷体"/>
                <w:spacing w:val="5"/>
                <w:sz w:val="20"/>
                <w:szCs w:val="20"/>
              </w:rPr>
              <w:t>以</w:t>
            </w:r>
            <w:r>
              <w:rPr>
                <w:rFonts w:ascii="楷体" w:hAnsi="楷体" w:eastAsia="楷体" w:cs="楷体"/>
                <w:spacing w:val="-40"/>
                <w:sz w:val="20"/>
                <w:szCs w:val="20"/>
              </w:rPr>
              <w:t xml:space="preserve"> </w:t>
            </w:r>
            <w:r>
              <w:rPr>
                <w:rFonts w:ascii="楷体" w:hAnsi="楷体" w:eastAsia="楷体" w:cs="楷体"/>
                <w:sz w:val="20"/>
                <w:szCs w:val="20"/>
              </w:rPr>
              <w:t>NOx</w:t>
            </w:r>
            <w:r>
              <w:rPr>
                <w:rFonts w:ascii="楷体" w:hAnsi="楷体" w:eastAsia="楷体" w:cs="楷体"/>
                <w:spacing w:val="-34"/>
                <w:sz w:val="20"/>
                <w:szCs w:val="20"/>
              </w:rPr>
              <w:t xml:space="preserve"> </w:t>
            </w:r>
            <w:r>
              <w:rPr>
                <w:rFonts w:ascii="楷体" w:hAnsi="楷体" w:eastAsia="楷体" w:cs="楷体"/>
                <w:spacing w:val="5"/>
                <w:sz w:val="20"/>
                <w:szCs w:val="20"/>
              </w:rPr>
              <w:t>计）的量最大为</w:t>
            </w:r>
            <w:r>
              <w:rPr>
                <w:rFonts w:ascii="楷体" w:hAnsi="楷体" w:eastAsia="楷体" w:cs="楷体"/>
                <w:spacing w:val="-29"/>
                <w:sz w:val="20"/>
                <w:szCs w:val="20"/>
              </w:rPr>
              <w:t xml:space="preserve"> </w:t>
            </w:r>
            <w:r>
              <w:rPr>
                <w:rFonts w:ascii="楷体" w:hAnsi="楷体" w:eastAsia="楷体" w:cs="楷体"/>
                <w:spacing w:val="5"/>
                <w:sz w:val="20"/>
                <w:szCs w:val="20"/>
              </w:rPr>
              <w:t>12.2t/a。</w:t>
            </w:r>
          </w:p>
          <w:p w14:paraId="1F5AB25B">
            <w:pPr>
              <w:pStyle w:val="6"/>
              <w:spacing w:before="130" w:line="360" w:lineRule="auto"/>
              <w:ind w:left="112" w:right="159" w:firstLine="477"/>
            </w:pPr>
            <w:r>
              <w:rPr>
                <w:spacing w:val="-2"/>
              </w:rPr>
              <w:t>根据项目的废气收集处理方案，宝石泡酸加工车间废气分区收集处理，</w:t>
            </w:r>
            <w:r>
              <w:t xml:space="preserve"> </w:t>
            </w:r>
            <w:r>
              <w:rPr>
                <w:spacing w:val="-1"/>
              </w:rPr>
              <w:t>各处理系统收集的废气的源强详见下表：</w:t>
            </w:r>
          </w:p>
          <w:p w14:paraId="6F0C9281">
            <w:pPr>
              <w:pStyle w:val="6"/>
              <w:spacing w:before="117" w:line="220" w:lineRule="auto"/>
              <w:ind w:left="2074"/>
            </w:pPr>
            <w:r>
              <w:rPr>
                <w:b/>
                <w:bCs/>
                <w:spacing w:val="-2"/>
              </w:rPr>
              <w:t>表</w:t>
            </w:r>
            <w:r>
              <w:rPr>
                <w:spacing w:val="-52"/>
              </w:rPr>
              <w:t xml:space="preserve"> </w:t>
            </w:r>
            <w:r>
              <w:rPr>
                <w:rFonts w:ascii="Times New Roman" w:hAnsi="Times New Roman" w:eastAsia="Times New Roman" w:cs="Times New Roman"/>
                <w:b/>
                <w:bCs/>
                <w:spacing w:val="-2"/>
              </w:rPr>
              <w:t xml:space="preserve">4-9    </w:t>
            </w:r>
            <w:r>
              <w:rPr>
                <w:b/>
                <w:bCs/>
                <w:spacing w:val="-2"/>
              </w:rPr>
              <w:t>各处理单元各污染物源强汇总</w:t>
            </w:r>
          </w:p>
        </w:tc>
      </w:tr>
      <w:tr w14:paraId="5BCF9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4" w:type="dxa"/>
            <w:vMerge w:val="continue"/>
            <w:tcBorders>
              <w:top w:val="nil"/>
              <w:left w:val="single" w:color="000000" w:sz="6" w:space="0"/>
              <w:bottom w:val="nil"/>
            </w:tcBorders>
            <w:vAlign w:val="top"/>
          </w:tcPr>
          <w:p w14:paraId="410A90A8">
            <w:pPr>
              <w:rPr>
                <w:rFonts w:ascii="Arial"/>
                <w:sz w:val="21"/>
              </w:rPr>
            </w:pPr>
          </w:p>
        </w:tc>
        <w:tc>
          <w:tcPr>
            <w:tcW w:w="93" w:type="dxa"/>
            <w:tcBorders>
              <w:top w:val="nil"/>
              <w:bottom w:val="nil"/>
            </w:tcBorders>
            <w:vAlign w:val="top"/>
          </w:tcPr>
          <w:p w14:paraId="31B39C18">
            <w:pPr>
              <w:rPr>
                <w:rFonts w:ascii="Arial"/>
                <w:sz w:val="21"/>
              </w:rPr>
            </w:pPr>
          </w:p>
        </w:tc>
        <w:tc>
          <w:tcPr>
            <w:tcW w:w="967" w:type="dxa"/>
            <w:vAlign w:val="top"/>
          </w:tcPr>
          <w:p w14:paraId="58C62D8E">
            <w:pPr>
              <w:pStyle w:val="6"/>
              <w:spacing w:before="43" w:line="228" w:lineRule="auto"/>
              <w:ind w:left="378" w:right="171" w:hanging="202"/>
              <w:rPr>
                <w:sz w:val="20"/>
                <w:szCs w:val="20"/>
              </w:rPr>
            </w:pPr>
            <w:r>
              <w:rPr>
                <w:spacing w:val="4"/>
                <w:sz w:val="20"/>
                <w:szCs w:val="20"/>
              </w:rPr>
              <w:t>收集区</w:t>
            </w:r>
            <w:r>
              <w:rPr>
                <w:sz w:val="20"/>
                <w:szCs w:val="20"/>
              </w:rPr>
              <w:t xml:space="preserve"> 域</w:t>
            </w:r>
          </w:p>
        </w:tc>
        <w:tc>
          <w:tcPr>
            <w:tcW w:w="973" w:type="dxa"/>
            <w:vAlign w:val="top"/>
          </w:tcPr>
          <w:p w14:paraId="55E80890">
            <w:pPr>
              <w:pStyle w:val="6"/>
              <w:spacing w:before="43" w:line="228" w:lineRule="auto"/>
              <w:ind w:left="176"/>
              <w:rPr>
                <w:sz w:val="20"/>
                <w:szCs w:val="20"/>
              </w:rPr>
            </w:pPr>
            <w:r>
              <w:rPr>
                <w:spacing w:val="6"/>
                <w:sz w:val="20"/>
                <w:szCs w:val="20"/>
              </w:rPr>
              <w:t>车间数</w:t>
            </w:r>
          </w:p>
          <w:p w14:paraId="6B081511">
            <w:pPr>
              <w:pStyle w:val="6"/>
              <w:spacing w:before="24" w:line="206" w:lineRule="auto"/>
              <w:ind w:left="248"/>
              <w:rPr>
                <w:sz w:val="20"/>
                <w:szCs w:val="20"/>
              </w:rPr>
            </w:pPr>
            <w:r>
              <w:rPr>
                <w:spacing w:val="4"/>
                <w:sz w:val="20"/>
                <w:szCs w:val="20"/>
              </w:rPr>
              <w:t>量</w:t>
            </w:r>
            <w:r>
              <w:rPr>
                <w:rFonts w:ascii="Times New Roman" w:hAnsi="Times New Roman" w:eastAsia="Times New Roman" w:cs="Times New Roman"/>
                <w:spacing w:val="4"/>
                <w:sz w:val="20"/>
                <w:szCs w:val="20"/>
              </w:rPr>
              <w:t>/</w:t>
            </w:r>
            <w:r>
              <w:rPr>
                <w:spacing w:val="4"/>
                <w:sz w:val="20"/>
                <w:szCs w:val="20"/>
              </w:rPr>
              <w:t>个</w:t>
            </w:r>
          </w:p>
        </w:tc>
        <w:tc>
          <w:tcPr>
            <w:tcW w:w="1160" w:type="dxa"/>
            <w:vAlign w:val="top"/>
          </w:tcPr>
          <w:p w14:paraId="2A951596">
            <w:pPr>
              <w:pStyle w:val="6"/>
              <w:spacing w:before="43" w:line="228" w:lineRule="auto"/>
              <w:ind w:left="165"/>
              <w:rPr>
                <w:sz w:val="20"/>
                <w:szCs w:val="20"/>
              </w:rPr>
            </w:pPr>
            <w:r>
              <w:rPr>
                <w:spacing w:val="6"/>
                <w:sz w:val="20"/>
                <w:szCs w:val="20"/>
              </w:rPr>
              <w:t>车间合计</w:t>
            </w:r>
          </w:p>
          <w:p w14:paraId="71E49BF3">
            <w:pPr>
              <w:pStyle w:val="6"/>
              <w:spacing w:before="24" w:line="206" w:lineRule="auto"/>
              <w:ind w:left="136"/>
              <w:rPr>
                <w:sz w:val="20"/>
                <w:szCs w:val="20"/>
              </w:rPr>
            </w:pPr>
            <w:r>
              <w:rPr>
                <w:spacing w:val="6"/>
                <w:sz w:val="20"/>
                <w:szCs w:val="20"/>
              </w:rPr>
              <w:t>泡酸桶</w:t>
            </w:r>
            <w:r>
              <w:rPr>
                <w:rFonts w:ascii="Times New Roman" w:hAnsi="Times New Roman" w:eastAsia="Times New Roman" w:cs="Times New Roman"/>
                <w:spacing w:val="6"/>
                <w:sz w:val="20"/>
                <w:szCs w:val="20"/>
              </w:rPr>
              <w:t>/</w:t>
            </w:r>
            <w:r>
              <w:rPr>
                <w:spacing w:val="6"/>
                <w:sz w:val="20"/>
                <w:szCs w:val="20"/>
              </w:rPr>
              <w:t>个</w:t>
            </w:r>
          </w:p>
        </w:tc>
        <w:tc>
          <w:tcPr>
            <w:tcW w:w="1897" w:type="dxa"/>
            <w:vAlign w:val="top"/>
          </w:tcPr>
          <w:p w14:paraId="044CA283">
            <w:pPr>
              <w:pStyle w:val="6"/>
              <w:spacing w:before="178" w:line="228" w:lineRule="auto"/>
              <w:ind w:left="642"/>
              <w:rPr>
                <w:sz w:val="20"/>
                <w:szCs w:val="20"/>
              </w:rPr>
            </w:pPr>
            <w:r>
              <w:rPr>
                <w:spacing w:val="6"/>
                <w:sz w:val="20"/>
                <w:szCs w:val="20"/>
              </w:rPr>
              <w:t>污染物</w:t>
            </w:r>
          </w:p>
        </w:tc>
        <w:tc>
          <w:tcPr>
            <w:tcW w:w="1048" w:type="dxa"/>
            <w:vAlign w:val="top"/>
          </w:tcPr>
          <w:p w14:paraId="7824C261">
            <w:pPr>
              <w:pStyle w:val="6"/>
              <w:spacing w:before="43" w:line="228" w:lineRule="auto"/>
              <w:ind w:left="216" w:right="201" w:firstLine="3"/>
              <w:rPr>
                <w:rFonts w:ascii="Times New Roman" w:hAnsi="Times New Roman" w:eastAsia="Times New Roman" w:cs="Times New Roman"/>
                <w:sz w:val="20"/>
                <w:szCs w:val="20"/>
              </w:rPr>
            </w:pPr>
            <w:r>
              <w:rPr>
                <w:spacing w:val="6"/>
                <w:sz w:val="20"/>
                <w:szCs w:val="20"/>
              </w:rPr>
              <w:t>产生速</w:t>
            </w:r>
            <w:r>
              <w:rPr>
                <w:spacing w:val="1"/>
                <w:sz w:val="20"/>
                <w:szCs w:val="20"/>
              </w:rPr>
              <w:t xml:space="preserve"> </w:t>
            </w:r>
            <w:r>
              <w:rPr>
                <w:spacing w:val="4"/>
                <w:sz w:val="20"/>
                <w:szCs w:val="20"/>
              </w:rPr>
              <w:t>率</w:t>
            </w:r>
            <w:r>
              <w:rPr>
                <w:spacing w:val="-44"/>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924" w:type="dxa"/>
            <w:vAlign w:val="top"/>
          </w:tcPr>
          <w:p w14:paraId="029680F3">
            <w:pPr>
              <w:pStyle w:val="6"/>
              <w:spacing w:before="57" w:line="228" w:lineRule="auto"/>
              <w:ind w:left="157"/>
              <w:rPr>
                <w:sz w:val="20"/>
                <w:szCs w:val="20"/>
              </w:rPr>
            </w:pPr>
            <w:r>
              <w:rPr>
                <w:spacing w:val="6"/>
                <w:sz w:val="20"/>
                <w:szCs w:val="20"/>
              </w:rPr>
              <w:t>产生量</w:t>
            </w:r>
          </w:p>
          <w:p w14:paraId="409A0B9C">
            <w:pPr>
              <w:spacing w:before="42" w:line="199"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949" w:type="dxa"/>
            <w:vAlign w:val="top"/>
          </w:tcPr>
          <w:p w14:paraId="468998F1">
            <w:pPr>
              <w:pStyle w:val="6"/>
              <w:spacing w:before="43" w:line="228" w:lineRule="auto"/>
              <w:ind w:left="267" w:right="150" w:hanging="95"/>
              <w:rPr>
                <w:rFonts w:ascii="Times New Roman" w:hAnsi="Times New Roman" w:eastAsia="Times New Roman" w:cs="Times New Roman"/>
                <w:sz w:val="20"/>
                <w:szCs w:val="20"/>
              </w:rPr>
            </w:pPr>
            <w:r>
              <w:rPr>
                <w:spacing w:val="6"/>
                <w:sz w:val="20"/>
                <w:szCs w:val="20"/>
              </w:rPr>
              <w:t>产生时</w:t>
            </w:r>
            <w:r>
              <w:rPr>
                <w:spacing w:val="1"/>
                <w:sz w:val="20"/>
                <w:szCs w:val="20"/>
              </w:rPr>
              <w:t xml:space="preserve"> </w:t>
            </w:r>
            <w:r>
              <w:rPr>
                <w:spacing w:val="-3"/>
                <w:sz w:val="20"/>
                <w:szCs w:val="20"/>
              </w:rPr>
              <w:t>间</w:t>
            </w:r>
            <w:r>
              <w:rPr>
                <w:spacing w:val="-44"/>
                <w:sz w:val="20"/>
                <w:szCs w:val="20"/>
              </w:rPr>
              <w:t xml:space="preserve"> </w:t>
            </w:r>
            <w:r>
              <w:rPr>
                <w:rFonts w:ascii="Times New Roman" w:hAnsi="Times New Roman" w:eastAsia="Times New Roman" w:cs="Times New Roman"/>
                <w:spacing w:val="-3"/>
                <w:sz w:val="20"/>
                <w:szCs w:val="20"/>
              </w:rPr>
              <w:t>t/a</w:t>
            </w:r>
          </w:p>
        </w:tc>
        <w:tc>
          <w:tcPr>
            <w:tcW w:w="128" w:type="dxa"/>
            <w:vMerge w:val="restart"/>
            <w:tcBorders>
              <w:top w:val="nil"/>
              <w:bottom w:val="nil"/>
              <w:right w:val="single" w:color="000000" w:sz="6" w:space="0"/>
            </w:tcBorders>
            <w:vAlign w:val="top"/>
          </w:tcPr>
          <w:p w14:paraId="0CEA4FAD">
            <w:pPr>
              <w:rPr>
                <w:rFonts w:ascii="Arial"/>
                <w:sz w:val="21"/>
              </w:rPr>
            </w:pPr>
          </w:p>
        </w:tc>
      </w:tr>
      <w:tr w14:paraId="46D33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54" w:type="dxa"/>
            <w:vMerge w:val="continue"/>
            <w:tcBorders>
              <w:top w:val="nil"/>
              <w:left w:val="single" w:color="000000" w:sz="6" w:space="0"/>
              <w:bottom w:val="nil"/>
            </w:tcBorders>
            <w:vAlign w:val="top"/>
          </w:tcPr>
          <w:p w14:paraId="5A9D7162">
            <w:pPr>
              <w:rPr>
                <w:rFonts w:ascii="Arial"/>
                <w:sz w:val="21"/>
              </w:rPr>
            </w:pPr>
          </w:p>
        </w:tc>
        <w:tc>
          <w:tcPr>
            <w:tcW w:w="93" w:type="dxa"/>
            <w:tcBorders>
              <w:top w:val="nil"/>
              <w:bottom w:val="nil"/>
            </w:tcBorders>
            <w:vAlign w:val="top"/>
          </w:tcPr>
          <w:p w14:paraId="7CA6B996">
            <w:pPr>
              <w:rPr>
                <w:rFonts w:ascii="Arial"/>
                <w:sz w:val="21"/>
              </w:rPr>
            </w:pPr>
          </w:p>
        </w:tc>
        <w:tc>
          <w:tcPr>
            <w:tcW w:w="967" w:type="dxa"/>
            <w:vMerge w:val="restart"/>
            <w:tcBorders>
              <w:bottom w:val="nil"/>
            </w:tcBorders>
            <w:vAlign w:val="top"/>
          </w:tcPr>
          <w:p w14:paraId="48655F9F">
            <w:pPr>
              <w:spacing w:line="461" w:lineRule="auto"/>
              <w:rPr>
                <w:rFonts w:ascii="Arial"/>
                <w:sz w:val="21"/>
              </w:rPr>
            </w:pPr>
          </w:p>
          <w:p w14:paraId="16869352">
            <w:pPr>
              <w:pStyle w:val="6"/>
              <w:spacing w:before="65" w:line="228"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3"/>
                <w:sz w:val="20"/>
                <w:szCs w:val="20"/>
              </w:rPr>
              <w:t xml:space="preserve"> </w:t>
            </w:r>
            <w:r>
              <w:rPr>
                <w:spacing w:val="2"/>
                <w:sz w:val="20"/>
                <w:szCs w:val="20"/>
              </w:rPr>
              <w:t>层</w:t>
            </w:r>
            <w:r>
              <w:rPr>
                <w:rFonts w:ascii="Times New Roman" w:hAnsi="Times New Roman" w:eastAsia="Times New Roman" w:cs="Times New Roman"/>
                <w:spacing w:val="2"/>
                <w:sz w:val="20"/>
                <w:szCs w:val="20"/>
              </w:rPr>
              <w:t>-A</w:t>
            </w:r>
          </w:p>
        </w:tc>
        <w:tc>
          <w:tcPr>
            <w:tcW w:w="973" w:type="dxa"/>
            <w:vMerge w:val="restart"/>
            <w:tcBorders>
              <w:bottom w:val="nil"/>
            </w:tcBorders>
            <w:vAlign w:val="top"/>
          </w:tcPr>
          <w:p w14:paraId="091D4C63">
            <w:pPr>
              <w:spacing w:line="253" w:lineRule="auto"/>
              <w:rPr>
                <w:rFonts w:ascii="Arial"/>
                <w:sz w:val="21"/>
              </w:rPr>
            </w:pPr>
          </w:p>
          <w:p w14:paraId="2A7B6EEA">
            <w:pPr>
              <w:spacing w:line="254" w:lineRule="auto"/>
              <w:rPr>
                <w:rFonts w:ascii="Arial"/>
                <w:sz w:val="21"/>
              </w:rPr>
            </w:pPr>
          </w:p>
          <w:p w14:paraId="7F7DF789">
            <w:pPr>
              <w:spacing w:before="58"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60" w:type="dxa"/>
            <w:vMerge w:val="restart"/>
            <w:tcBorders>
              <w:bottom w:val="nil"/>
            </w:tcBorders>
            <w:vAlign w:val="top"/>
          </w:tcPr>
          <w:p w14:paraId="47B6886F">
            <w:pPr>
              <w:spacing w:line="253" w:lineRule="auto"/>
              <w:rPr>
                <w:rFonts w:ascii="Arial"/>
                <w:sz w:val="21"/>
              </w:rPr>
            </w:pPr>
          </w:p>
          <w:p w14:paraId="096CBC10">
            <w:pPr>
              <w:spacing w:line="254" w:lineRule="auto"/>
              <w:rPr>
                <w:rFonts w:ascii="Arial"/>
                <w:sz w:val="21"/>
              </w:rPr>
            </w:pPr>
          </w:p>
          <w:p w14:paraId="7D1C12D4">
            <w:pPr>
              <w:spacing w:before="58"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w:t>
            </w:r>
          </w:p>
        </w:tc>
        <w:tc>
          <w:tcPr>
            <w:tcW w:w="1897" w:type="dxa"/>
            <w:vAlign w:val="top"/>
          </w:tcPr>
          <w:p w14:paraId="11242B28">
            <w:pPr>
              <w:pStyle w:val="6"/>
              <w:spacing w:before="78" w:line="229" w:lineRule="auto"/>
              <w:ind w:left="643"/>
              <w:rPr>
                <w:sz w:val="20"/>
                <w:szCs w:val="20"/>
              </w:rPr>
            </w:pPr>
            <w:r>
              <w:rPr>
                <w:spacing w:val="5"/>
                <w:sz w:val="20"/>
                <w:szCs w:val="20"/>
              </w:rPr>
              <w:t>氯化氢</w:t>
            </w:r>
          </w:p>
        </w:tc>
        <w:tc>
          <w:tcPr>
            <w:tcW w:w="1048" w:type="dxa"/>
            <w:vAlign w:val="top"/>
          </w:tcPr>
          <w:p w14:paraId="503AEE2D">
            <w:pPr>
              <w:spacing w:before="114"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3.2148</w:t>
            </w:r>
          </w:p>
        </w:tc>
        <w:tc>
          <w:tcPr>
            <w:tcW w:w="924" w:type="dxa"/>
            <w:vAlign w:val="top"/>
          </w:tcPr>
          <w:p w14:paraId="3C5D4AA6">
            <w:pPr>
              <w:spacing w:before="11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10.8018</w:t>
            </w:r>
          </w:p>
        </w:tc>
        <w:tc>
          <w:tcPr>
            <w:tcW w:w="949" w:type="dxa"/>
            <w:vMerge w:val="restart"/>
            <w:tcBorders>
              <w:bottom w:val="nil"/>
            </w:tcBorders>
            <w:vAlign w:val="top"/>
          </w:tcPr>
          <w:p w14:paraId="20A89287">
            <w:pPr>
              <w:spacing w:line="253" w:lineRule="auto"/>
              <w:rPr>
                <w:rFonts w:ascii="Arial"/>
                <w:sz w:val="21"/>
              </w:rPr>
            </w:pPr>
          </w:p>
          <w:p w14:paraId="1703F0D6">
            <w:pPr>
              <w:spacing w:line="254" w:lineRule="auto"/>
              <w:rPr>
                <w:rFonts w:ascii="Arial"/>
                <w:sz w:val="21"/>
              </w:rPr>
            </w:pPr>
          </w:p>
          <w:p w14:paraId="3F6C814D">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3CC79044">
            <w:pPr>
              <w:rPr>
                <w:rFonts w:ascii="Arial"/>
                <w:sz w:val="21"/>
              </w:rPr>
            </w:pPr>
          </w:p>
        </w:tc>
      </w:tr>
      <w:tr w14:paraId="17A8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4" w:type="dxa"/>
            <w:vMerge w:val="continue"/>
            <w:tcBorders>
              <w:top w:val="nil"/>
              <w:left w:val="single" w:color="000000" w:sz="6" w:space="0"/>
              <w:bottom w:val="nil"/>
            </w:tcBorders>
            <w:vAlign w:val="top"/>
          </w:tcPr>
          <w:p w14:paraId="2316CD5D">
            <w:pPr>
              <w:rPr>
                <w:rFonts w:ascii="Arial"/>
                <w:sz w:val="21"/>
              </w:rPr>
            </w:pPr>
          </w:p>
        </w:tc>
        <w:tc>
          <w:tcPr>
            <w:tcW w:w="93" w:type="dxa"/>
            <w:tcBorders>
              <w:top w:val="nil"/>
              <w:bottom w:val="nil"/>
            </w:tcBorders>
            <w:vAlign w:val="top"/>
          </w:tcPr>
          <w:p w14:paraId="581C61AE">
            <w:pPr>
              <w:rPr>
                <w:rFonts w:ascii="Arial"/>
                <w:sz w:val="21"/>
              </w:rPr>
            </w:pPr>
          </w:p>
        </w:tc>
        <w:tc>
          <w:tcPr>
            <w:tcW w:w="967" w:type="dxa"/>
            <w:vMerge w:val="continue"/>
            <w:tcBorders>
              <w:top w:val="nil"/>
              <w:bottom w:val="nil"/>
            </w:tcBorders>
            <w:vAlign w:val="top"/>
          </w:tcPr>
          <w:p w14:paraId="7FA7F09C">
            <w:pPr>
              <w:rPr>
                <w:rFonts w:ascii="Arial"/>
                <w:sz w:val="21"/>
              </w:rPr>
            </w:pPr>
          </w:p>
        </w:tc>
        <w:tc>
          <w:tcPr>
            <w:tcW w:w="973" w:type="dxa"/>
            <w:vMerge w:val="continue"/>
            <w:tcBorders>
              <w:top w:val="nil"/>
              <w:bottom w:val="nil"/>
            </w:tcBorders>
            <w:vAlign w:val="top"/>
          </w:tcPr>
          <w:p w14:paraId="2726D1F3">
            <w:pPr>
              <w:rPr>
                <w:rFonts w:ascii="Arial"/>
                <w:sz w:val="21"/>
              </w:rPr>
            </w:pPr>
          </w:p>
        </w:tc>
        <w:tc>
          <w:tcPr>
            <w:tcW w:w="1160" w:type="dxa"/>
            <w:vMerge w:val="continue"/>
            <w:tcBorders>
              <w:top w:val="nil"/>
              <w:bottom w:val="nil"/>
            </w:tcBorders>
            <w:vAlign w:val="top"/>
          </w:tcPr>
          <w:p w14:paraId="6CAAF819">
            <w:pPr>
              <w:rPr>
                <w:rFonts w:ascii="Arial"/>
                <w:sz w:val="21"/>
              </w:rPr>
            </w:pPr>
          </w:p>
        </w:tc>
        <w:tc>
          <w:tcPr>
            <w:tcW w:w="1897" w:type="dxa"/>
            <w:vAlign w:val="top"/>
          </w:tcPr>
          <w:p w14:paraId="2FD2DD2B">
            <w:pPr>
              <w:pStyle w:val="6"/>
              <w:spacing w:before="52" w:line="228" w:lineRule="auto"/>
              <w:ind w:left="641"/>
              <w:rPr>
                <w:sz w:val="20"/>
                <w:szCs w:val="20"/>
              </w:rPr>
            </w:pPr>
            <w:r>
              <w:rPr>
                <w:spacing w:val="6"/>
                <w:sz w:val="20"/>
                <w:szCs w:val="20"/>
              </w:rPr>
              <w:t>氟化氢</w:t>
            </w:r>
          </w:p>
          <w:p w14:paraId="03580005">
            <w:pPr>
              <w:pStyle w:val="6"/>
              <w:spacing w:before="24" w:line="198" w:lineRule="auto"/>
              <w:ind w:left="230"/>
              <w:rPr>
                <w:sz w:val="20"/>
                <w:szCs w:val="20"/>
              </w:rPr>
            </w:pPr>
            <w:r>
              <w:rPr>
                <w:spacing w:val="5"/>
                <w:sz w:val="20"/>
                <w:szCs w:val="20"/>
              </w:rPr>
              <w:t>（以氟化物计）</w:t>
            </w:r>
          </w:p>
        </w:tc>
        <w:tc>
          <w:tcPr>
            <w:tcW w:w="1048" w:type="dxa"/>
            <w:vAlign w:val="top"/>
          </w:tcPr>
          <w:p w14:paraId="57D21C58">
            <w:pPr>
              <w:spacing w:before="22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0.3192</w:t>
            </w:r>
          </w:p>
        </w:tc>
        <w:tc>
          <w:tcPr>
            <w:tcW w:w="924" w:type="dxa"/>
            <w:vAlign w:val="top"/>
          </w:tcPr>
          <w:p w14:paraId="7CDC8EB3">
            <w:pPr>
              <w:spacing w:before="225"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1.0725</w:t>
            </w:r>
          </w:p>
        </w:tc>
        <w:tc>
          <w:tcPr>
            <w:tcW w:w="949" w:type="dxa"/>
            <w:vMerge w:val="continue"/>
            <w:tcBorders>
              <w:top w:val="nil"/>
              <w:bottom w:val="nil"/>
            </w:tcBorders>
            <w:vAlign w:val="top"/>
          </w:tcPr>
          <w:p w14:paraId="56D23F71">
            <w:pPr>
              <w:rPr>
                <w:rFonts w:ascii="Arial"/>
                <w:sz w:val="21"/>
              </w:rPr>
            </w:pPr>
          </w:p>
        </w:tc>
        <w:tc>
          <w:tcPr>
            <w:tcW w:w="128" w:type="dxa"/>
            <w:vMerge w:val="continue"/>
            <w:tcBorders>
              <w:top w:val="nil"/>
              <w:bottom w:val="nil"/>
              <w:right w:val="single" w:color="000000" w:sz="6" w:space="0"/>
            </w:tcBorders>
            <w:vAlign w:val="top"/>
          </w:tcPr>
          <w:p w14:paraId="74A8CA8D">
            <w:pPr>
              <w:rPr>
                <w:rFonts w:ascii="Arial"/>
                <w:sz w:val="21"/>
              </w:rPr>
            </w:pPr>
          </w:p>
        </w:tc>
      </w:tr>
      <w:tr w14:paraId="40A95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54" w:type="dxa"/>
            <w:vMerge w:val="continue"/>
            <w:tcBorders>
              <w:top w:val="nil"/>
              <w:left w:val="single" w:color="000000" w:sz="6" w:space="0"/>
              <w:bottom w:val="single" w:color="000000" w:sz="6" w:space="0"/>
            </w:tcBorders>
            <w:vAlign w:val="top"/>
          </w:tcPr>
          <w:p w14:paraId="6DF63641">
            <w:pPr>
              <w:rPr>
                <w:rFonts w:ascii="Arial"/>
                <w:sz w:val="21"/>
              </w:rPr>
            </w:pPr>
          </w:p>
        </w:tc>
        <w:tc>
          <w:tcPr>
            <w:tcW w:w="93" w:type="dxa"/>
            <w:tcBorders>
              <w:top w:val="nil"/>
              <w:bottom w:val="single" w:color="000000" w:sz="6" w:space="0"/>
            </w:tcBorders>
            <w:vAlign w:val="top"/>
          </w:tcPr>
          <w:p w14:paraId="3E87BCF8">
            <w:pPr>
              <w:rPr>
                <w:rFonts w:ascii="Arial"/>
                <w:sz w:val="21"/>
              </w:rPr>
            </w:pPr>
          </w:p>
        </w:tc>
        <w:tc>
          <w:tcPr>
            <w:tcW w:w="967" w:type="dxa"/>
            <w:vMerge w:val="continue"/>
            <w:tcBorders>
              <w:top w:val="nil"/>
              <w:bottom w:val="single" w:color="000000" w:sz="6" w:space="0"/>
            </w:tcBorders>
            <w:vAlign w:val="top"/>
          </w:tcPr>
          <w:p w14:paraId="1CD895D4">
            <w:pPr>
              <w:rPr>
                <w:rFonts w:ascii="Arial"/>
                <w:sz w:val="21"/>
              </w:rPr>
            </w:pPr>
          </w:p>
        </w:tc>
        <w:tc>
          <w:tcPr>
            <w:tcW w:w="973" w:type="dxa"/>
            <w:vMerge w:val="continue"/>
            <w:tcBorders>
              <w:top w:val="nil"/>
              <w:bottom w:val="single" w:color="000000" w:sz="6" w:space="0"/>
            </w:tcBorders>
            <w:vAlign w:val="top"/>
          </w:tcPr>
          <w:p w14:paraId="158E569B">
            <w:pPr>
              <w:rPr>
                <w:rFonts w:ascii="Arial"/>
                <w:sz w:val="21"/>
              </w:rPr>
            </w:pPr>
          </w:p>
        </w:tc>
        <w:tc>
          <w:tcPr>
            <w:tcW w:w="1160" w:type="dxa"/>
            <w:vMerge w:val="continue"/>
            <w:tcBorders>
              <w:top w:val="nil"/>
              <w:bottom w:val="single" w:color="000000" w:sz="6" w:space="0"/>
            </w:tcBorders>
            <w:vAlign w:val="top"/>
          </w:tcPr>
          <w:p w14:paraId="798438C5">
            <w:pPr>
              <w:rPr>
                <w:rFonts w:ascii="Arial"/>
                <w:sz w:val="21"/>
              </w:rPr>
            </w:pPr>
          </w:p>
        </w:tc>
        <w:tc>
          <w:tcPr>
            <w:tcW w:w="1897" w:type="dxa"/>
            <w:tcBorders>
              <w:bottom w:val="single" w:color="000000" w:sz="6" w:space="0"/>
            </w:tcBorders>
            <w:vAlign w:val="top"/>
          </w:tcPr>
          <w:p w14:paraId="16F46024">
            <w:pPr>
              <w:pStyle w:val="6"/>
              <w:spacing w:before="87" w:line="229" w:lineRule="auto"/>
              <w:ind w:left="639"/>
              <w:rPr>
                <w:sz w:val="20"/>
                <w:szCs w:val="20"/>
              </w:rPr>
            </w:pPr>
            <w:r>
              <w:rPr>
                <w:spacing w:val="7"/>
                <w:sz w:val="20"/>
                <w:szCs w:val="20"/>
              </w:rPr>
              <w:t>硫酸雾</w:t>
            </w:r>
          </w:p>
        </w:tc>
        <w:tc>
          <w:tcPr>
            <w:tcW w:w="1048" w:type="dxa"/>
            <w:tcBorders>
              <w:bottom w:val="single" w:color="000000" w:sz="6" w:space="0"/>
            </w:tcBorders>
            <w:vAlign w:val="top"/>
          </w:tcPr>
          <w:p w14:paraId="1FFC0A0E">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0.0463</w:t>
            </w:r>
          </w:p>
        </w:tc>
        <w:tc>
          <w:tcPr>
            <w:tcW w:w="924" w:type="dxa"/>
            <w:tcBorders>
              <w:bottom w:val="single" w:color="000000" w:sz="6" w:space="0"/>
            </w:tcBorders>
            <w:vAlign w:val="top"/>
          </w:tcPr>
          <w:p w14:paraId="67F58765">
            <w:pPr>
              <w:spacing w:before="12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0.1557</w:t>
            </w:r>
          </w:p>
        </w:tc>
        <w:tc>
          <w:tcPr>
            <w:tcW w:w="949" w:type="dxa"/>
            <w:vMerge w:val="continue"/>
            <w:tcBorders>
              <w:top w:val="nil"/>
              <w:bottom w:val="single" w:color="000000" w:sz="6" w:space="0"/>
            </w:tcBorders>
            <w:vAlign w:val="top"/>
          </w:tcPr>
          <w:p w14:paraId="1E3C17AE">
            <w:pPr>
              <w:rPr>
                <w:rFonts w:ascii="Arial"/>
                <w:sz w:val="21"/>
              </w:rPr>
            </w:pPr>
          </w:p>
        </w:tc>
        <w:tc>
          <w:tcPr>
            <w:tcW w:w="128" w:type="dxa"/>
            <w:vMerge w:val="continue"/>
            <w:tcBorders>
              <w:top w:val="nil"/>
              <w:bottom w:val="single" w:color="000000" w:sz="6" w:space="0"/>
              <w:right w:val="single" w:color="000000" w:sz="6" w:space="0"/>
            </w:tcBorders>
            <w:vAlign w:val="top"/>
          </w:tcPr>
          <w:p w14:paraId="6BEDFAA8">
            <w:pPr>
              <w:rPr>
                <w:rFonts w:ascii="Arial"/>
                <w:sz w:val="21"/>
              </w:rPr>
            </w:pPr>
          </w:p>
        </w:tc>
      </w:tr>
    </w:tbl>
    <w:p w14:paraId="72CE2C6D">
      <w:pPr>
        <w:rPr>
          <w:rFonts w:ascii="Arial"/>
          <w:sz w:val="21"/>
        </w:rPr>
      </w:pPr>
    </w:p>
    <w:p w14:paraId="2FC75320">
      <w:pPr>
        <w:rPr>
          <w:rFonts w:ascii="Arial" w:hAnsi="Arial" w:eastAsia="Arial" w:cs="Arial"/>
          <w:sz w:val="21"/>
          <w:szCs w:val="21"/>
        </w:rPr>
        <w:sectPr>
          <w:footerReference r:id="rId73" w:type="default"/>
          <w:pgSz w:w="11907" w:h="16840"/>
          <w:pgMar w:top="400" w:right="1499" w:bottom="1240" w:left="1499" w:header="0" w:footer="1077" w:gutter="0"/>
          <w:cols w:space="720" w:num="1"/>
        </w:sectPr>
      </w:pPr>
    </w:p>
    <w:p w14:paraId="65D1F9ED">
      <w:pPr>
        <w:spacing w:before="19"/>
      </w:pPr>
      <w:r>
        <w:pict>
          <v:shape id="_x0000_s1043" o:spid="_x0000_s1043" style="position:absolute;left:0pt;margin-left:117.15pt;margin-top:747.05pt;height:0.5pt;width:397.05pt;mso-position-horizontal-relative:page;mso-position-vertical-relative:page;z-index:-251640832;mso-width-relative:page;mso-height-relative:page;" filled="f" stroked="t" coordsize="7940,10" o:allowincell="f" path="m0,4l7940,4e">
            <v:fill on="f" focussize="0,0"/>
            <v:stroke weight="0.48pt" color="#000000" miterlimit="2" joinstyle="bevel"/>
            <v:imagedata o:title=""/>
            <o:lock v:ext="edit"/>
          </v:shape>
        </w:pict>
      </w:r>
    </w:p>
    <w:p w14:paraId="3A2241D1">
      <w:pPr>
        <w:spacing w:before="19"/>
      </w:pPr>
    </w:p>
    <w:p w14:paraId="6A4B93A2">
      <w:pPr>
        <w:spacing w:before="19"/>
      </w:pPr>
    </w:p>
    <w:p w14:paraId="170588D9">
      <w:pPr>
        <w:spacing w:before="18"/>
      </w:pPr>
    </w:p>
    <w:p w14:paraId="67586EDA">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93"/>
        <w:gridCol w:w="967"/>
        <w:gridCol w:w="973"/>
        <w:gridCol w:w="1160"/>
        <w:gridCol w:w="1897"/>
        <w:gridCol w:w="1048"/>
        <w:gridCol w:w="924"/>
        <w:gridCol w:w="949"/>
        <w:gridCol w:w="128"/>
      </w:tblGrid>
      <w:tr w14:paraId="02BA4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54" w:type="dxa"/>
            <w:vMerge w:val="restart"/>
            <w:tcBorders>
              <w:top w:val="single" w:color="000000" w:sz="6" w:space="0"/>
              <w:left w:val="single" w:color="000000" w:sz="6" w:space="0"/>
              <w:bottom w:val="nil"/>
            </w:tcBorders>
            <w:vAlign w:val="top"/>
          </w:tcPr>
          <w:p w14:paraId="22861ADE">
            <w:pPr>
              <w:rPr>
                <w:rFonts w:ascii="Arial"/>
                <w:sz w:val="21"/>
              </w:rPr>
            </w:pPr>
          </w:p>
        </w:tc>
        <w:tc>
          <w:tcPr>
            <w:tcW w:w="93" w:type="dxa"/>
            <w:tcBorders>
              <w:top w:val="single" w:color="000000" w:sz="6" w:space="0"/>
              <w:bottom w:val="nil"/>
            </w:tcBorders>
            <w:vAlign w:val="top"/>
          </w:tcPr>
          <w:p w14:paraId="669C7DD9">
            <w:pPr>
              <w:rPr>
                <w:rFonts w:ascii="Arial"/>
                <w:sz w:val="21"/>
              </w:rPr>
            </w:pPr>
          </w:p>
        </w:tc>
        <w:tc>
          <w:tcPr>
            <w:tcW w:w="967" w:type="dxa"/>
            <w:tcBorders>
              <w:top w:val="single" w:color="000000" w:sz="6" w:space="0"/>
            </w:tcBorders>
            <w:vAlign w:val="top"/>
          </w:tcPr>
          <w:p w14:paraId="3AE686C1">
            <w:pPr>
              <w:rPr>
                <w:rFonts w:ascii="Arial"/>
                <w:sz w:val="21"/>
              </w:rPr>
            </w:pPr>
          </w:p>
        </w:tc>
        <w:tc>
          <w:tcPr>
            <w:tcW w:w="973" w:type="dxa"/>
            <w:tcBorders>
              <w:top w:val="single" w:color="000000" w:sz="6" w:space="0"/>
            </w:tcBorders>
            <w:vAlign w:val="top"/>
          </w:tcPr>
          <w:p w14:paraId="6AAD3659">
            <w:pPr>
              <w:rPr>
                <w:rFonts w:ascii="Arial"/>
                <w:sz w:val="21"/>
              </w:rPr>
            </w:pPr>
          </w:p>
        </w:tc>
        <w:tc>
          <w:tcPr>
            <w:tcW w:w="1160" w:type="dxa"/>
            <w:tcBorders>
              <w:top w:val="single" w:color="000000" w:sz="6" w:space="0"/>
            </w:tcBorders>
            <w:vAlign w:val="top"/>
          </w:tcPr>
          <w:p w14:paraId="62FEB816">
            <w:pPr>
              <w:rPr>
                <w:rFonts w:ascii="Arial"/>
                <w:sz w:val="21"/>
              </w:rPr>
            </w:pPr>
          </w:p>
        </w:tc>
        <w:tc>
          <w:tcPr>
            <w:tcW w:w="1897" w:type="dxa"/>
            <w:tcBorders>
              <w:top w:val="single" w:color="000000" w:sz="6" w:space="0"/>
            </w:tcBorders>
            <w:vAlign w:val="top"/>
          </w:tcPr>
          <w:p w14:paraId="5AAA8D6E">
            <w:pPr>
              <w:pStyle w:val="6"/>
              <w:spacing w:before="47" w:line="229" w:lineRule="auto"/>
              <w:ind w:left="642"/>
              <w:rPr>
                <w:sz w:val="20"/>
                <w:szCs w:val="20"/>
              </w:rPr>
            </w:pPr>
            <w:r>
              <w:rPr>
                <w:spacing w:val="6"/>
                <w:sz w:val="20"/>
                <w:szCs w:val="20"/>
              </w:rPr>
              <w:t>硝酸雾</w:t>
            </w:r>
          </w:p>
          <w:p w14:paraId="7D8D7E4A">
            <w:pPr>
              <w:pStyle w:val="6"/>
              <w:spacing w:before="22" w:line="218"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tcBorders>
              <w:top w:val="single" w:color="000000" w:sz="6" w:space="0"/>
            </w:tcBorders>
            <w:vAlign w:val="top"/>
          </w:tcPr>
          <w:p w14:paraId="74B455C6">
            <w:pPr>
              <w:spacing w:before="222"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0.2330</w:t>
            </w:r>
          </w:p>
        </w:tc>
        <w:tc>
          <w:tcPr>
            <w:tcW w:w="924" w:type="dxa"/>
            <w:tcBorders>
              <w:top w:val="single" w:color="000000" w:sz="6" w:space="0"/>
            </w:tcBorders>
            <w:vAlign w:val="top"/>
          </w:tcPr>
          <w:p w14:paraId="63B114E2">
            <w:pPr>
              <w:spacing w:before="222" w:line="195" w:lineRule="auto"/>
              <w:ind w:left="27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0.7829</w:t>
            </w:r>
          </w:p>
        </w:tc>
        <w:tc>
          <w:tcPr>
            <w:tcW w:w="949" w:type="dxa"/>
            <w:tcBorders>
              <w:top w:val="single" w:color="000000" w:sz="6" w:space="0"/>
            </w:tcBorders>
            <w:vAlign w:val="top"/>
          </w:tcPr>
          <w:p w14:paraId="38CDD44B">
            <w:pPr>
              <w:rPr>
                <w:rFonts w:ascii="Arial"/>
                <w:sz w:val="21"/>
              </w:rPr>
            </w:pPr>
          </w:p>
        </w:tc>
        <w:tc>
          <w:tcPr>
            <w:tcW w:w="128" w:type="dxa"/>
            <w:vMerge w:val="restart"/>
            <w:tcBorders>
              <w:top w:val="single" w:color="000000" w:sz="6" w:space="0"/>
              <w:bottom w:val="nil"/>
              <w:right w:val="single" w:color="000000" w:sz="6" w:space="0"/>
            </w:tcBorders>
            <w:vAlign w:val="top"/>
          </w:tcPr>
          <w:p w14:paraId="0FD8672E">
            <w:pPr>
              <w:rPr>
                <w:rFonts w:ascii="Arial"/>
                <w:sz w:val="21"/>
              </w:rPr>
            </w:pPr>
          </w:p>
        </w:tc>
      </w:tr>
      <w:tr w14:paraId="2E8E7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4" w:type="dxa"/>
            <w:vMerge w:val="continue"/>
            <w:tcBorders>
              <w:top w:val="nil"/>
              <w:left w:val="single" w:color="000000" w:sz="6" w:space="0"/>
              <w:bottom w:val="nil"/>
            </w:tcBorders>
            <w:vAlign w:val="top"/>
          </w:tcPr>
          <w:p w14:paraId="3487B37E">
            <w:pPr>
              <w:rPr>
                <w:rFonts w:ascii="Arial"/>
                <w:sz w:val="21"/>
              </w:rPr>
            </w:pPr>
          </w:p>
        </w:tc>
        <w:tc>
          <w:tcPr>
            <w:tcW w:w="93" w:type="dxa"/>
            <w:tcBorders>
              <w:top w:val="nil"/>
              <w:bottom w:val="nil"/>
            </w:tcBorders>
            <w:vAlign w:val="top"/>
          </w:tcPr>
          <w:p w14:paraId="6D8B64C3">
            <w:pPr>
              <w:rPr>
                <w:rFonts w:ascii="Arial"/>
                <w:sz w:val="21"/>
              </w:rPr>
            </w:pPr>
          </w:p>
        </w:tc>
        <w:tc>
          <w:tcPr>
            <w:tcW w:w="967" w:type="dxa"/>
            <w:vMerge w:val="restart"/>
            <w:tcBorders>
              <w:bottom w:val="nil"/>
            </w:tcBorders>
            <w:vAlign w:val="top"/>
          </w:tcPr>
          <w:p w14:paraId="49E9CC1D">
            <w:pPr>
              <w:spacing w:line="241" w:lineRule="auto"/>
              <w:rPr>
                <w:rFonts w:ascii="Arial"/>
                <w:sz w:val="21"/>
              </w:rPr>
            </w:pPr>
          </w:p>
          <w:p w14:paraId="370DB1FA">
            <w:pPr>
              <w:spacing w:line="241" w:lineRule="auto"/>
              <w:rPr>
                <w:rFonts w:ascii="Arial"/>
                <w:sz w:val="21"/>
              </w:rPr>
            </w:pPr>
          </w:p>
          <w:p w14:paraId="30D43D38">
            <w:pPr>
              <w:spacing w:line="241" w:lineRule="auto"/>
              <w:rPr>
                <w:rFonts w:ascii="Arial"/>
                <w:sz w:val="21"/>
              </w:rPr>
            </w:pPr>
          </w:p>
          <w:p w14:paraId="5C2747DE">
            <w:pPr>
              <w:pStyle w:val="6"/>
              <w:spacing w:before="65" w:line="228"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0"/>
                <w:sz w:val="20"/>
                <w:szCs w:val="20"/>
              </w:rPr>
              <w:t xml:space="preserve"> </w:t>
            </w:r>
            <w:r>
              <w:rPr>
                <w:spacing w:val="2"/>
                <w:sz w:val="20"/>
                <w:szCs w:val="20"/>
              </w:rPr>
              <w:t>层</w:t>
            </w:r>
            <w:r>
              <w:rPr>
                <w:rFonts w:ascii="Times New Roman" w:hAnsi="Times New Roman" w:eastAsia="Times New Roman" w:cs="Times New Roman"/>
                <w:spacing w:val="2"/>
                <w:sz w:val="20"/>
                <w:szCs w:val="20"/>
              </w:rPr>
              <w:t>-B</w:t>
            </w:r>
          </w:p>
        </w:tc>
        <w:tc>
          <w:tcPr>
            <w:tcW w:w="973" w:type="dxa"/>
            <w:vMerge w:val="restart"/>
            <w:tcBorders>
              <w:bottom w:val="nil"/>
            </w:tcBorders>
            <w:vAlign w:val="top"/>
          </w:tcPr>
          <w:p w14:paraId="618A1324">
            <w:pPr>
              <w:spacing w:line="255" w:lineRule="auto"/>
              <w:rPr>
                <w:rFonts w:ascii="Arial"/>
                <w:sz w:val="21"/>
              </w:rPr>
            </w:pPr>
          </w:p>
          <w:p w14:paraId="2207A0A7">
            <w:pPr>
              <w:spacing w:line="255" w:lineRule="auto"/>
              <w:rPr>
                <w:rFonts w:ascii="Arial"/>
                <w:sz w:val="21"/>
              </w:rPr>
            </w:pPr>
          </w:p>
          <w:p w14:paraId="4BA69E65">
            <w:pPr>
              <w:spacing w:line="256" w:lineRule="auto"/>
              <w:rPr>
                <w:rFonts w:ascii="Arial"/>
                <w:sz w:val="21"/>
              </w:rPr>
            </w:pPr>
          </w:p>
          <w:p w14:paraId="5D6A9282">
            <w:pPr>
              <w:spacing w:before="5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0" w:type="dxa"/>
            <w:vMerge w:val="restart"/>
            <w:tcBorders>
              <w:bottom w:val="nil"/>
            </w:tcBorders>
            <w:vAlign w:val="top"/>
          </w:tcPr>
          <w:p w14:paraId="50051F0B">
            <w:pPr>
              <w:spacing w:line="255" w:lineRule="auto"/>
              <w:rPr>
                <w:rFonts w:ascii="Arial"/>
                <w:sz w:val="21"/>
              </w:rPr>
            </w:pPr>
          </w:p>
          <w:p w14:paraId="34317A56">
            <w:pPr>
              <w:spacing w:line="255" w:lineRule="auto"/>
              <w:rPr>
                <w:rFonts w:ascii="Arial"/>
                <w:sz w:val="21"/>
              </w:rPr>
            </w:pPr>
          </w:p>
          <w:p w14:paraId="100AF020">
            <w:pPr>
              <w:spacing w:line="256" w:lineRule="auto"/>
              <w:rPr>
                <w:rFonts w:ascii="Arial"/>
                <w:sz w:val="21"/>
              </w:rPr>
            </w:pPr>
          </w:p>
          <w:p w14:paraId="6B70336A">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7" w:type="dxa"/>
            <w:vAlign w:val="top"/>
          </w:tcPr>
          <w:p w14:paraId="3066FA78">
            <w:pPr>
              <w:pStyle w:val="6"/>
              <w:spacing w:before="63" w:line="228" w:lineRule="auto"/>
              <w:ind w:left="643"/>
              <w:rPr>
                <w:sz w:val="20"/>
                <w:szCs w:val="20"/>
              </w:rPr>
            </w:pPr>
            <w:r>
              <w:rPr>
                <w:spacing w:val="5"/>
                <w:sz w:val="20"/>
                <w:szCs w:val="20"/>
              </w:rPr>
              <w:t>氯化氢</w:t>
            </w:r>
          </w:p>
        </w:tc>
        <w:tc>
          <w:tcPr>
            <w:tcW w:w="1048" w:type="dxa"/>
            <w:vAlign w:val="top"/>
          </w:tcPr>
          <w:p w14:paraId="7BE1FD15">
            <w:pPr>
              <w:spacing w:before="101"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6.6976</w:t>
            </w:r>
          </w:p>
        </w:tc>
        <w:tc>
          <w:tcPr>
            <w:tcW w:w="924" w:type="dxa"/>
            <w:vAlign w:val="top"/>
          </w:tcPr>
          <w:p w14:paraId="29343F74">
            <w:pPr>
              <w:spacing w:before="10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22.5038</w:t>
            </w:r>
          </w:p>
        </w:tc>
        <w:tc>
          <w:tcPr>
            <w:tcW w:w="949" w:type="dxa"/>
            <w:vMerge w:val="restart"/>
            <w:tcBorders>
              <w:bottom w:val="nil"/>
            </w:tcBorders>
            <w:vAlign w:val="top"/>
          </w:tcPr>
          <w:p w14:paraId="08E2736B">
            <w:pPr>
              <w:spacing w:line="255" w:lineRule="auto"/>
              <w:rPr>
                <w:rFonts w:ascii="Arial"/>
                <w:sz w:val="21"/>
              </w:rPr>
            </w:pPr>
          </w:p>
          <w:p w14:paraId="60CAA2AA">
            <w:pPr>
              <w:spacing w:line="255" w:lineRule="auto"/>
              <w:rPr>
                <w:rFonts w:ascii="Arial"/>
                <w:sz w:val="21"/>
              </w:rPr>
            </w:pPr>
          </w:p>
          <w:p w14:paraId="3B6D067B">
            <w:pPr>
              <w:spacing w:line="256" w:lineRule="auto"/>
              <w:rPr>
                <w:rFonts w:ascii="Arial"/>
                <w:sz w:val="21"/>
              </w:rPr>
            </w:pPr>
          </w:p>
          <w:p w14:paraId="566C7A28">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03453152">
            <w:pPr>
              <w:rPr>
                <w:rFonts w:ascii="Arial"/>
                <w:sz w:val="21"/>
              </w:rPr>
            </w:pPr>
          </w:p>
        </w:tc>
      </w:tr>
      <w:tr w14:paraId="5E557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54" w:type="dxa"/>
            <w:vMerge w:val="continue"/>
            <w:tcBorders>
              <w:top w:val="nil"/>
              <w:left w:val="single" w:color="000000" w:sz="6" w:space="0"/>
              <w:bottom w:val="nil"/>
            </w:tcBorders>
            <w:vAlign w:val="top"/>
          </w:tcPr>
          <w:p w14:paraId="319AB010">
            <w:pPr>
              <w:rPr>
                <w:rFonts w:ascii="Arial"/>
                <w:sz w:val="21"/>
              </w:rPr>
            </w:pPr>
          </w:p>
        </w:tc>
        <w:tc>
          <w:tcPr>
            <w:tcW w:w="93" w:type="dxa"/>
            <w:tcBorders>
              <w:top w:val="nil"/>
              <w:bottom w:val="nil"/>
            </w:tcBorders>
            <w:vAlign w:val="top"/>
          </w:tcPr>
          <w:p w14:paraId="6AEC05D1">
            <w:pPr>
              <w:rPr>
                <w:rFonts w:ascii="Arial"/>
                <w:sz w:val="21"/>
              </w:rPr>
            </w:pPr>
          </w:p>
        </w:tc>
        <w:tc>
          <w:tcPr>
            <w:tcW w:w="967" w:type="dxa"/>
            <w:vMerge w:val="continue"/>
            <w:tcBorders>
              <w:top w:val="nil"/>
              <w:bottom w:val="nil"/>
            </w:tcBorders>
            <w:vAlign w:val="top"/>
          </w:tcPr>
          <w:p w14:paraId="2AFBC8FA">
            <w:pPr>
              <w:rPr>
                <w:rFonts w:ascii="Arial"/>
                <w:sz w:val="21"/>
              </w:rPr>
            </w:pPr>
          </w:p>
        </w:tc>
        <w:tc>
          <w:tcPr>
            <w:tcW w:w="973" w:type="dxa"/>
            <w:vMerge w:val="continue"/>
            <w:tcBorders>
              <w:top w:val="nil"/>
              <w:bottom w:val="nil"/>
            </w:tcBorders>
            <w:vAlign w:val="top"/>
          </w:tcPr>
          <w:p w14:paraId="74199002">
            <w:pPr>
              <w:rPr>
                <w:rFonts w:ascii="Arial"/>
                <w:sz w:val="21"/>
              </w:rPr>
            </w:pPr>
          </w:p>
        </w:tc>
        <w:tc>
          <w:tcPr>
            <w:tcW w:w="1160" w:type="dxa"/>
            <w:vMerge w:val="continue"/>
            <w:tcBorders>
              <w:top w:val="nil"/>
              <w:bottom w:val="nil"/>
            </w:tcBorders>
            <w:vAlign w:val="top"/>
          </w:tcPr>
          <w:p w14:paraId="3FEF567A">
            <w:pPr>
              <w:rPr>
                <w:rFonts w:ascii="Arial"/>
                <w:sz w:val="21"/>
              </w:rPr>
            </w:pPr>
          </w:p>
        </w:tc>
        <w:tc>
          <w:tcPr>
            <w:tcW w:w="1897" w:type="dxa"/>
            <w:vAlign w:val="top"/>
          </w:tcPr>
          <w:p w14:paraId="3EA1D686">
            <w:pPr>
              <w:pStyle w:val="6"/>
              <w:spacing w:before="54" w:line="228" w:lineRule="auto"/>
              <w:ind w:left="641"/>
              <w:rPr>
                <w:sz w:val="20"/>
                <w:szCs w:val="20"/>
              </w:rPr>
            </w:pPr>
            <w:r>
              <w:rPr>
                <w:spacing w:val="6"/>
                <w:sz w:val="20"/>
                <w:szCs w:val="20"/>
              </w:rPr>
              <w:t>氟化氢</w:t>
            </w:r>
          </w:p>
          <w:p w14:paraId="0630442D">
            <w:pPr>
              <w:pStyle w:val="6"/>
              <w:spacing w:before="27" w:line="211" w:lineRule="auto"/>
              <w:ind w:left="230"/>
              <w:rPr>
                <w:sz w:val="20"/>
                <w:szCs w:val="20"/>
              </w:rPr>
            </w:pPr>
            <w:r>
              <w:rPr>
                <w:spacing w:val="5"/>
                <w:sz w:val="20"/>
                <w:szCs w:val="20"/>
              </w:rPr>
              <w:t>（以氟化物计）</w:t>
            </w:r>
          </w:p>
        </w:tc>
        <w:tc>
          <w:tcPr>
            <w:tcW w:w="1048" w:type="dxa"/>
            <w:vAlign w:val="top"/>
          </w:tcPr>
          <w:p w14:paraId="6DF06C1A">
            <w:pPr>
              <w:spacing w:before="22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0.6650</w:t>
            </w:r>
          </w:p>
        </w:tc>
        <w:tc>
          <w:tcPr>
            <w:tcW w:w="924" w:type="dxa"/>
            <w:vAlign w:val="top"/>
          </w:tcPr>
          <w:p w14:paraId="15BEC3DA">
            <w:pPr>
              <w:spacing w:before="22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949" w:type="dxa"/>
            <w:vMerge w:val="continue"/>
            <w:tcBorders>
              <w:top w:val="nil"/>
              <w:bottom w:val="nil"/>
            </w:tcBorders>
            <w:vAlign w:val="top"/>
          </w:tcPr>
          <w:p w14:paraId="24346183">
            <w:pPr>
              <w:rPr>
                <w:rFonts w:ascii="Arial"/>
                <w:sz w:val="21"/>
              </w:rPr>
            </w:pPr>
          </w:p>
        </w:tc>
        <w:tc>
          <w:tcPr>
            <w:tcW w:w="128" w:type="dxa"/>
            <w:vMerge w:val="continue"/>
            <w:tcBorders>
              <w:top w:val="nil"/>
              <w:bottom w:val="nil"/>
              <w:right w:val="single" w:color="000000" w:sz="6" w:space="0"/>
            </w:tcBorders>
            <w:vAlign w:val="top"/>
          </w:tcPr>
          <w:p w14:paraId="38E44C1B">
            <w:pPr>
              <w:rPr>
                <w:rFonts w:ascii="Arial"/>
                <w:sz w:val="21"/>
              </w:rPr>
            </w:pPr>
          </w:p>
        </w:tc>
      </w:tr>
      <w:tr w14:paraId="7C3E1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54" w:type="dxa"/>
            <w:vMerge w:val="continue"/>
            <w:tcBorders>
              <w:top w:val="nil"/>
              <w:left w:val="single" w:color="000000" w:sz="6" w:space="0"/>
              <w:bottom w:val="nil"/>
            </w:tcBorders>
            <w:vAlign w:val="top"/>
          </w:tcPr>
          <w:p w14:paraId="1576E968">
            <w:pPr>
              <w:rPr>
                <w:rFonts w:ascii="Arial"/>
                <w:sz w:val="21"/>
              </w:rPr>
            </w:pPr>
          </w:p>
        </w:tc>
        <w:tc>
          <w:tcPr>
            <w:tcW w:w="93" w:type="dxa"/>
            <w:tcBorders>
              <w:top w:val="nil"/>
              <w:bottom w:val="nil"/>
            </w:tcBorders>
            <w:vAlign w:val="top"/>
          </w:tcPr>
          <w:p w14:paraId="7A179BB7">
            <w:pPr>
              <w:rPr>
                <w:rFonts w:ascii="Arial"/>
                <w:sz w:val="21"/>
              </w:rPr>
            </w:pPr>
          </w:p>
        </w:tc>
        <w:tc>
          <w:tcPr>
            <w:tcW w:w="967" w:type="dxa"/>
            <w:vMerge w:val="continue"/>
            <w:tcBorders>
              <w:top w:val="nil"/>
              <w:bottom w:val="nil"/>
            </w:tcBorders>
            <w:vAlign w:val="top"/>
          </w:tcPr>
          <w:p w14:paraId="653D3460">
            <w:pPr>
              <w:rPr>
                <w:rFonts w:ascii="Arial"/>
                <w:sz w:val="21"/>
              </w:rPr>
            </w:pPr>
          </w:p>
        </w:tc>
        <w:tc>
          <w:tcPr>
            <w:tcW w:w="973" w:type="dxa"/>
            <w:vMerge w:val="continue"/>
            <w:tcBorders>
              <w:top w:val="nil"/>
              <w:bottom w:val="nil"/>
            </w:tcBorders>
            <w:vAlign w:val="top"/>
          </w:tcPr>
          <w:p w14:paraId="714321F2">
            <w:pPr>
              <w:rPr>
                <w:rFonts w:ascii="Arial"/>
                <w:sz w:val="21"/>
              </w:rPr>
            </w:pPr>
          </w:p>
        </w:tc>
        <w:tc>
          <w:tcPr>
            <w:tcW w:w="1160" w:type="dxa"/>
            <w:vMerge w:val="continue"/>
            <w:tcBorders>
              <w:top w:val="nil"/>
              <w:bottom w:val="nil"/>
            </w:tcBorders>
            <w:vAlign w:val="top"/>
          </w:tcPr>
          <w:p w14:paraId="5EC5B6BB">
            <w:pPr>
              <w:rPr>
                <w:rFonts w:ascii="Arial"/>
                <w:sz w:val="21"/>
              </w:rPr>
            </w:pPr>
          </w:p>
        </w:tc>
        <w:tc>
          <w:tcPr>
            <w:tcW w:w="1897" w:type="dxa"/>
            <w:vAlign w:val="top"/>
          </w:tcPr>
          <w:p w14:paraId="2D28CB80">
            <w:pPr>
              <w:pStyle w:val="6"/>
              <w:spacing w:before="70" w:line="229" w:lineRule="auto"/>
              <w:ind w:left="639"/>
              <w:rPr>
                <w:sz w:val="20"/>
                <w:szCs w:val="20"/>
              </w:rPr>
            </w:pPr>
            <w:r>
              <w:rPr>
                <w:spacing w:val="7"/>
                <w:sz w:val="20"/>
                <w:szCs w:val="20"/>
              </w:rPr>
              <w:t>硫酸雾</w:t>
            </w:r>
          </w:p>
        </w:tc>
        <w:tc>
          <w:tcPr>
            <w:tcW w:w="1048" w:type="dxa"/>
            <w:vAlign w:val="top"/>
          </w:tcPr>
          <w:p w14:paraId="3DB7813B">
            <w:pPr>
              <w:spacing w:before="10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0.0966</w:t>
            </w:r>
          </w:p>
        </w:tc>
        <w:tc>
          <w:tcPr>
            <w:tcW w:w="924" w:type="dxa"/>
            <w:vAlign w:val="top"/>
          </w:tcPr>
          <w:p w14:paraId="5190101E">
            <w:pPr>
              <w:spacing w:before="10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0.3244</w:t>
            </w:r>
          </w:p>
        </w:tc>
        <w:tc>
          <w:tcPr>
            <w:tcW w:w="949" w:type="dxa"/>
            <w:vMerge w:val="continue"/>
            <w:tcBorders>
              <w:top w:val="nil"/>
              <w:bottom w:val="nil"/>
            </w:tcBorders>
            <w:vAlign w:val="top"/>
          </w:tcPr>
          <w:p w14:paraId="022C40AE">
            <w:pPr>
              <w:rPr>
                <w:rFonts w:ascii="Arial"/>
                <w:sz w:val="21"/>
              </w:rPr>
            </w:pPr>
          </w:p>
        </w:tc>
        <w:tc>
          <w:tcPr>
            <w:tcW w:w="128" w:type="dxa"/>
            <w:vMerge w:val="continue"/>
            <w:tcBorders>
              <w:top w:val="nil"/>
              <w:bottom w:val="nil"/>
              <w:right w:val="single" w:color="000000" w:sz="6" w:space="0"/>
            </w:tcBorders>
            <w:vAlign w:val="top"/>
          </w:tcPr>
          <w:p w14:paraId="252957F7">
            <w:pPr>
              <w:rPr>
                <w:rFonts w:ascii="Arial"/>
                <w:sz w:val="21"/>
              </w:rPr>
            </w:pPr>
          </w:p>
        </w:tc>
      </w:tr>
      <w:tr w14:paraId="1D674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54" w:type="dxa"/>
            <w:vMerge w:val="continue"/>
            <w:tcBorders>
              <w:top w:val="nil"/>
              <w:left w:val="single" w:color="000000" w:sz="6" w:space="0"/>
              <w:bottom w:val="nil"/>
            </w:tcBorders>
            <w:vAlign w:val="top"/>
          </w:tcPr>
          <w:p w14:paraId="39E1C921">
            <w:pPr>
              <w:rPr>
                <w:rFonts w:ascii="Arial"/>
                <w:sz w:val="21"/>
              </w:rPr>
            </w:pPr>
          </w:p>
        </w:tc>
        <w:tc>
          <w:tcPr>
            <w:tcW w:w="93" w:type="dxa"/>
            <w:tcBorders>
              <w:top w:val="nil"/>
              <w:bottom w:val="nil"/>
            </w:tcBorders>
            <w:vAlign w:val="top"/>
          </w:tcPr>
          <w:p w14:paraId="3D9E5A8B">
            <w:pPr>
              <w:rPr>
                <w:rFonts w:ascii="Arial"/>
                <w:sz w:val="21"/>
              </w:rPr>
            </w:pPr>
          </w:p>
        </w:tc>
        <w:tc>
          <w:tcPr>
            <w:tcW w:w="967" w:type="dxa"/>
            <w:vMerge w:val="continue"/>
            <w:tcBorders>
              <w:top w:val="nil"/>
            </w:tcBorders>
            <w:vAlign w:val="top"/>
          </w:tcPr>
          <w:p w14:paraId="6D2876D7">
            <w:pPr>
              <w:rPr>
                <w:rFonts w:ascii="Arial"/>
                <w:sz w:val="21"/>
              </w:rPr>
            </w:pPr>
          </w:p>
        </w:tc>
        <w:tc>
          <w:tcPr>
            <w:tcW w:w="973" w:type="dxa"/>
            <w:vMerge w:val="continue"/>
            <w:tcBorders>
              <w:top w:val="nil"/>
            </w:tcBorders>
            <w:vAlign w:val="top"/>
          </w:tcPr>
          <w:p w14:paraId="3D0271C4">
            <w:pPr>
              <w:rPr>
                <w:rFonts w:ascii="Arial"/>
                <w:sz w:val="21"/>
              </w:rPr>
            </w:pPr>
          </w:p>
        </w:tc>
        <w:tc>
          <w:tcPr>
            <w:tcW w:w="1160" w:type="dxa"/>
            <w:vMerge w:val="continue"/>
            <w:tcBorders>
              <w:top w:val="nil"/>
            </w:tcBorders>
            <w:vAlign w:val="top"/>
          </w:tcPr>
          <w:p w14:paraId="67718EFA">
            <w:pPr>
              <w:rPr>
                <w:rFonts w:ascii="Arial"/>
                <w:sz w:val="21"/>
              </w:rPr>
            </w:pPr>
          </w:p>
        </w:tc>
        <w:tc>
          <w:tcPr>
            <w:tcW w:w="1897" w:type="dxa"/>
            <w:vAlign w:val="top"/>
          </w:tcPr>
          <w:p w14:paraId="6991FEA4">
            <w:pPr>
              <w:pStyle w:val="6"/>
              <w:spacing w:before="47" w:line="229" w:lineRule="auto"/>
              <w:ind w:left="642"/>
              <w:rPr>
                <w:sz w:val="20"/>
                <w:szCs w:val="20"/>
              </w:rPr>
            </w:pPr>
            <w:r>
              <w:rPr>
                <w:spacing w:val="6"/>
                <w:sz w:val="20"/>
                <w:szCs w:val="20"/>
              </w:rPr>
              <w:t>硝酸雾</w:t>
            </w:r>
          </w:p>
          <w:p w14:paraId="649886BE">
            <w:pPr>
              <w:pStyle w:val="6"/>
              <w:spacing w:before="25" w:line="215"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vAlign w:val="top"/>
          </w:tcPr>
          <w:p w14:paraId="1EC28454">
            <w:pPr>
              <w:spacing w:before="224"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0.4854</w:t>
            </w:r>
          </w:p>
        </w:tc>
        <w:tc>
          <w:tcPr>
            <w:tcW w:w="924" w:type="dxa"/>
            <w:vAlign w:val="top"/>
          </w:tcPr>
          <w:p w14:paraId="3E3A2210">
            <w:pPr>
              <w:spacing w:before="224" w:line="195" w:lineRule="auto"/>
              <w:ind w:left="293"/>
              <w:rPr>
                <w:rFonts w:ascii="Times New Roman" w:hAnsi="Times New Roman" w:eastAsia="Times New Roman" w:cs="Times New Roman"/>
                <w:sz w:val="19"/>
                <w:szCs w:val="19"/>
              </w:rPr>
            </w:pPr>
            <w:r>
              <w:rPr>
                <w:rFonts w:ascii="Times New Roman" w:hAnsi="Times New Roman" w:eastAsia="Times New Roman" w:cs="Times New Roman"/>
                <w:sz w:val="19"/>
                <w:szCs w:val="19"/>
              </w:rPr>
              <w:t>1.6310</w:t>
            </w:r>
          </w:p>
        </w:tc>
        <w:tc>
          <w:tcPr>
            <w:tcW w:w="949" w:type="dxa"/>
            <w:vMerge w:val="continue"/>
            <w:tcBorders>
              <w:top w:val="nil"/>
            </w:tcBorders>
            <w:vAlign w:val="top"/>
          </w:tcPr>
          <w:p w14:paraId="7A77BFCB">
            <w:pPr>
              <w:rPr>
                <w:rFonts w:ascii="Arial"/>
                <w:sz w:val="21"/>
              </w:rPr>
            </w:pPr>
          </w:p>
        </w:tc>
        <w:tc>
          <w:tcPr>
            <w:tcW w:w="128" w:type="dxa"/>
            <w:vMerge w:val="continue"/>
            <w:tcBorders>
              <w:top w:val="nil"/>
              <w:bottom w:val="nil"/>
              <w:right w:val="single" w:color="000000" w:sz="6" w:space="0"/>
            </w:tcBorders>
            <w:vAlign w:val="top"/>
          </w:tcPr>
          <w:p w14:paraId="5188F99C">
            <w:pPr>
              <w:rPr>
                <w:rFonts w:ascii="Arial"/>
                <w:sz w:val="21"/>
              </w:rPr>
            </w:pPr>
          </w:p>
        </w:tc>
      </w:tr>
      <w:tr w14:paraId="74CD7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54" w:type="dxa"/>
            <w:vMerge w:val="continue"/>
            <w:tcBorders>
              <w:top w:val="nil"/>
              <w:left w:val="single" w:color="000000" w:sz="6" w:space="0"/>
              <w:bottom w:val="nil"/>
            </w:tcBorders>
            <w:vAlign w:val="top"/>
          </w:tcPr>
          <w:p w14:paraId="0F86AD23">
            <w:pPr>
              <w:rPr>
                <w:rFonts w:ascii="Arial"/>
                <w:sz w:val="21"/>
              </w:rPr>
            </w:pPr>
          </w:p>
        </w:tc>
        <w:tc>
          <w:tcPr>
            <w:tcW w:w="93" w:type="dxa"/>
            <w:tcBorders>
              <w:top w:val="nil"/>
              <w:bottom w:val="nil"/>
            </w:tcBorders>
            <w:vAlign w:val="top"/>
          </w:tcPr>
          <w:p w14:paraId="6C449130">
            <w:pPr>
              <w:rPr>
                <w:rFonts w:ascii="Arial"/>
                <w:sz w:val="21"/>
              </w:rPr>
            </w:pPr>
          </w:p>
        </w:tc>
        <w:tc>
          <w:tcPr>
            <w:tcW w:w="967" w:type="dxa"/>
            <w:vMerge w:val="restart"/>
            <w:tcBorders>
              <w:bottom w:val="nil"/>
            </w:tcBorders>
            <w:vAlign w:val="top"/>
          </w:tcPr>
          <w:p w14:paraId="3C917E6A">
            <w:pPr>
              <w:spacing w:line="242" w:lineRule="auto"/>
              <w:rPr>
                <w:rFonts w:ascii="Arial"/>
                <w:sz w:val="21"/>
              </w:rPr>
            </w:pPr>
          </w:p>
          <w:p w14:paraId="34E1535D">
            <w:pPr>
              <w:spacing w:line="243" w:lineRule="auto"/>
              <w:rPr>
                <w:rFonts w:ascii="Arial"/>
                <w:sz w:val="21"/>
              </w:rPr>
            </w:pPr>
          </w:p>
          <w:p w14:paraId="5B2F9D56">
            <w:pPr>
              <w:spacing w:line="243" w:lineRule="auto"/>
              <w:rPr>
                <w:rFonts w:ascii="Arial"/>
                <w:sz w:val="21"/>
              </w:rPr>
            </w:pPr>
          </w:p>
          <w:p w14:paraId="3EF5E35B">
            <w:pPr>
              <w:pStyle w:val="6"/>
              <w:spacing w:before="65" w:line="228"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3"/>
                <w:sz w:val="20"/>
                <w:szCs w:val="20"/>
              </w:rPr>
              <w:t xml:space="preserve"> </w:t>
            </w:r>
            <w:r>
              <w:rPr>
                <w:spacing w:val="1"/>
                <w:sz w:val="20"/>
                <w:szCs w:val="20"/>
              </w:rPr>
              <w:t>层</w:t>
            </w:r>
            <w:r>
              <w:rPr>
                <w:rFonts w:ascii="Times New Roman" w:hAnsi="Times New Roman" w:eastAsia="Times New Roman" w:cs="Times New Roman"/>
                <w:spacing w:val="1"/>
                <w:sz w:val="20"/>
                <w:szCs w:val="20"/>
              </w:rPr>
              <w:t>-A</w:t>
            </w:r>
          </w:p>
        </w:tc>
        <w:tc>
          <w:tcPr>
            <w:tcW w:w="973" w:type="dxa"/>
            <w:vMerge w:val="restart"/>
            <w:tcBorders>
              <w:bottom w:val="nil"/>
            </w:tcBorders>
            <w:vAlign w:val="top"/>
          </w:tcPr>
          <w:p w14:paraId="5F976068">
            <w:pPr>
              <w:spacing w:line="257" w:lineRule="auto"/>
              <w:rPr>
                <w:rFonts w:ascii="Arial"/>
                <w:sz w:val="21"/>
              </w:rPr>
            </w:pPr>
          </w:p>
          <w:p w14:paraId="1245DE96">
            <w:pPr>
              <w:spacing w:line="257" w:lineRule="auto"/>
              <w:rPr>
                <w:rFonts w:ascii="Arial"/>
                <w:sz w:val="21"/>
              </w:rPr>
            </w:pPr>
          </w:p>
          <w:p w14:paraId="675FDAB3">
            <w:pPr>
              <w:spacing w:line="257" w:lineRule="auto"/>
              <w:rPr>
                <w:rFonts w:ascii="Arial"/>
                <w:sz w:val="21"/>
              </w:rPr>
            </w:pPr>
          </w:p>
          <w:p w14:paraId="67FAF3E2">
            <w:pPr>
              <w:spacing w:before="5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0" w:type="dxa"/>
            <w:vMerge w:val="restart"/>
            <w:tcBorders>
              <w:bottom w:val="nil"/>
            </w:tcBorders>
            <w:vAlign w:val="top"/>
          </w:tcPr>
          <w:p w14:paraId="697989E5">
            <w:pPr>
              <w:spacing w:line="257" w:lineRule="auto"/>
              <w:rPr>
                <w:rFonts w:ascii="Arial"/>
                <w:sz w:val="21"/>
              </w:rPr>
            </w:pPr>
          </w:p>
          <w:p w14:paraId="3352CA0A">
            <w:pPr>
              <w:spacing w:line="257" w:lineRule="auto"/>
              <w:rPr>
                <w:rFonts w:ascii="Arial"/>
                <w:sz w:val="21"/>
              </w:rPr>
            </w:pPr>
          </w:p>
          <w:p w14:paraId="7F49A77E">
            <w:pPr>
              <w:spacing w:line="257" w:lineRule="auto"/>
              <w:rPr>
                <w:rFonts w:ascii="Arial"/>
                <w:sz w:val="21"/>
              </w:rPr>
            </w:pPr>
          </w:p>
          <w:p w14:paraId="3A3BA810">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7" w:type="dxa"/>
            <w:vAlign w:val="top"/>
          </w:tcPr>
          <w:p w14:paraId="1757DEA9">
            <w:pPr>
              <w:pStyle w:val="6"/>
              <w:spacing w:before="66" w:line="229" w:lineRule="auto"/>
              <w:ind w:left="643"/>
              <w:rPr>
                <w:sz w:val="20"/>
                <w:szCs w:val="20"/>
              </w:rPr>
            </w:pPr>
            <w:r>
              <w:rPr>
                <w:spacing w:val="5"/>
                <w:sz w:val="20"/>
                <w:szCs w:val="20"/>
              </w:rPr>
              <w:t>氯化氢</w:t>
            </w:r>
          </w:p>
        </w:tc>
        <w:tc>
          <w:tcPr>
            <w:tcW w:w="1048" w:type="dxa"/>
            <w:vAlign w:val="top"/>
          </w:tcPr>
          <w:p w14:paraId="144BBCB9">
            <w:pPr>
              <w:spacing w:before="10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6.6976</w:t>
            </w:r>
          </w:p>
        </w:tc>
        <w:tc>
          <w:tcPr>
            <w:tcW w:w="924" w:type="dxa"/>
            <w:vAlign w:val="top"/>
          </w:tcPr>
          <w:p w14:paraId="7F6999CF">
            <w:pPr>
              <w:spacing w:before="104"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22.5038</w:t>
            </w:r>
          </w:p>
        </w:tc>
        <w:tc>
          <w:tcPr>
            <w:tcW w:w="949" w:type="dxa"/>
            <w:vMerge w:val="restart"/>
            <w:tcBorders>
              <w:bottom w:val="nil"/>
            </w:tcBorders>
            <w:vAlign w:val="top"/>
          </w:tcPr>
          <w:p w14:paraId="2C12B499">
            <w:pPr>
              <w:spacing w:line="257" w:lineRule="auto"/>
              <w:rPr>
                <w:rFonts w:ascii="Arial"/>
                <w:sz w:val="21"/>
              </w:rPr>
            </w:pPr>
          </w:p>
          <w:p w14:paraId="13BD0CD1">
            <w:pPr>
              <w:spacing w:line="257" w:lineRule="auto"/>
              <w:rPr>
                <w:rFonts w:ascii="Arial"/>
                <w:sz w:val="21"/>
              </w:rPr>
            </w:pPr>
          </w:p>
          <w:p w14:paraId="43598CAD">
            <w:pPr>
              <w:spacing w:line="257" w:lineRule="auto"/>
              <w:rPr>
                <w:rFonts w:ascii="Arial"/>
                <w:sz w:val="21"/>
              </w:rPr>
            </w:pPr>
          </w:p>
          <w:p w14:paraId="2466D2C2">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69A8C201">
            <w:pPr>
              <w:rPr>
                <w:rFonts w:ascii="Arial"/>
                <w:sz w:val="21"/>
              </w:rPr>
            </w:pPr>
          </w:p>
        </w:tc>
      </w:tr>
      <w:tr w14:paraId="3ACEE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54" w:type="dxa"/>
            <w:vMerge w:val="continue"/>
            <w:tcBorders>
              <w:top w:val="nil"/>
              <w:left w:val="single" w:color="000000" w:sz="6" w:space="0"/>
              <w:bottom w:val="nil"/>
            </w:tcBorders>
            <w:vAlign w:val="top"/>
          </w:tcPr>
          <w:p w14:paraId="3D762C8B">
            <w:pPr>
              <w:rPr>
                <w:rFonts w:ascii="Arial"/>
                <w:sz w:val="21"/>
              </w:rPr>
            </w:pPr>
          </w:p>
        </w:tc>
        <w:tc>
          <w:tcPr>
            <w:tcW w:w="93" w:type="dxa"/>
            <w:tcBorders>
              <w:top w:val="nil"/>
              <w:bottom w:val="nil"/>
            </w:tcBorders>
            <w:vAlign w:val="top"/>
          </w:tcPr>
          <w:p w14:paraId="22D82DB9">
            <w:pPr>
              <w:rPr>
                <w:rFonts w:ascii="Arial"/>
                <w:sz w:val="21"/>
              </w:rPr>
            </w:pPr>
          </w:p>
        </w:tc>
        <w:tc>
          <w:tcPr>
            <w:tcW w:w="967" w:type="dxa"/>
            <w:vMerge w:val="continue"/>
            <w:tcBorders>
              <w:top w:val="nil"/>
              <w:bottom w:val="nil"/>
            </w:tcBorders>
            <w:vAlign w:val="top"/>
          </w:tcPr>
          <w:p w14:paraId="650599A0">
            <w:pPr>
              <w:rPr>
                <w:rFonts w:ascii="Arial"/>
                <w:sz w:val="21"/>
              </w:rPr>
            </w:pPr>
          </w:p>
        </w:tc>
        <w:tc>
          <w:tcPr>
            <w:tcW w:w="973" w:type="dxa"/>
            <w:vMerge w:val="continue"/>
            <w:tcBorders>
              <w:top w:val="nil"/>
              <w:bottom w:val="nil"/>
            </w:tcBorders>
            <w:vAlign w:val="top"/>
          </w:tcPr>
          <w:p w14:paraId="599EC294">
            <w:pPr>
              <w:rPr>
                <w:rFonts w:ascii="Arial"/>
                <w:sz w:val="21"/>
              </w:rPr>
            </w:pPr>
          </w:p>
        </w:tc>
        <w:tc>
          <w:tcPr>
            <w:tcW w:w="1160" w:type="dxa"/>
            <w:vMerge w:val="continue"/>
            <w:tcBorders>
              <w:top w:val="nil"/>
              <w:bottom w:val="nil"/>
            </w:tcBorders>
            <w:vAlign w:val="top"/>
          </w:tcPr>
          <w:p w14:paraId="4D4E4F70">
            <w:pPr>
              <w:rPr>
                <w:rFonts w:ascii="Arial"/>
                <w:sz w:val="21"/>
              </w:rPr>
            </w:pPr>
          </w:p>
        </w:tc>
        <w:tc>
          <w:tcPr>
            <w:tcW w:w="1897" w:type="dxa"/>
            <w:vAlign w:val="top"/>
          </w:tcPr>
          <w:p w14:paraId="786E5B65">
            <w:pPr>
              <w:pStyle w:val="6"/>
              <w:spacing w:before="41" w:line="228" w:lineRule="auto"/>
              <w:ind w:left="641"/>
              <w:rPr>
                <w:sz w:val="20"/>
                <w:szCs w:val="20"/>
              </w:rPr>
            </w:pPr>
            <w:r>
              <w:rPr>
                <w:spacing w:val="6"/>
                <w:sz w:val="20"/>
                <w:szCs w:val="20"/>
              </w:rPr>
              <w:t>氟化氢</w:t>
            </w:r>
          </w:p>
          <w:p w14:paraId="6F8334F7">
            <w:pPr>
              <w:pStyle w:val="6"/>
              <w:spacing w:before="24" w:line="202" w:lineRule="auto"/>
              <w:ind w:left="230"/>
              <w:rPr>
                <w:sz w:val="20"/>
                <w:szCs w:val="20"/>
              </w:rPr>
            </w:pPr>
            <w:r>
              <w:rPr>
                <w:spacing w:val="5"/>
                <w:sz w:val="20"/>
                <w:szCs w:val="20"/>
              </w:rPr>
              <w:t>（以氟化物计）</w:t>
            </w:r>
          </w:p>
        </w:tc>
        <w:tc>
          <w:tcPr>
            <w:tcW w:w="1048" w:type="dxa"/>
            <w:vAlign w:val="top"/>
          </w:tcPr>
          <w:p w14:paraId="331AF009">
            <w:pPr>
              <w:spacing w:before="21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0.6650</w:t>
            </w:r>
          </w:p>
        </w:tc>
        <w:tc>
          <w:tcPr>
            <w:tcW w:w="924" w:type="dxa"/>
            <w:vAlign w:val="top"/>
          </w:tcPr>
          <w:p w14:paraId="678E8C28">
            <w:pPr>
              <w:spacing w:before="211"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949" w:type="dxa"/>
            <w:vMerge w:val="continue"/>
            <w:tcBorders>
              <w:top w:val="nil"/>
              <w:bottom w:val="nil"/>
            </w:tcBorders>
            <w:vAlign w:val="top"/>
          </w:tcPr>
          <w:p w14:paraId="6CF39BAF">
            <w:pPr>
              <w:rPr>
                <w:rFonts w:ascii="Arial"/>
                <w:sz w:val="21"/>
              </w:rPr>
            </w:pPr>
          </w:p>
        </w:tc>
        <w:tc>
          <w:tcPr>
            <w:tcW w:w="128" w:type="dxa"/>
            <w:vMerge w:val="continue"/>
            <w:tcBorders>
              <w:top w:val="nil"/>
              <w:bottom w:val="nil"/>
              <w:right w:val="single" w:color="000000" w:sz="6" w:space="0"/>
            </w:tcBorders>
            <w:vAlign w:val="top"/>
          </w:tcPr>
          <w:p w14:paraId="10F19A1C">
            <w:pPr>
              <w:rPr>
                <w:rFonts w:ascii="Arial"/>
                <w:sz w:val="21"/>
              </w:rPr>
            </w:pPr>
          </w:p>
        </w:tc>
      </w:tr>
      <w:tr w14:paraId="696E9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54" w:type="dxa"/>
            <w:vMerge w:val="continue"/>
            <w:tcBorders>
              <w:top w:val="nil"/>
              <w:left w:val="single" w:color="000000" w:sz="6" w:space="0"/>
              <w:bottom w:val="nil"/>
            </w:tcBorders>
            <w:vAlign w:val="top"/>
          </w:tcPr>
          <w:p w14:paraId="519A6F1D">
            <w:pPr>
              <w:rPr>
                <w:rFonts w:ascii="Arial"/>
                <w:sz w:val="21"/>
              </w:rPr>
            </w:pPr>
          </w:p>
        </w:tc>
        <w:tc>
          <w:tcPr>
            <w:tcW w:w="93" w:type="dxa"/>
            <w:tcBorders>
              <w:top w:val="nil"/>
              <w:bottom w:val="nil"/>
            </w:tcBorders>
            <w:vAlign w:val="top"/>
          </w:tcPr>
          <w:p w14:paraId="4A1CC745">
            <w:pPr>
              <w:rPr>
                <w:rFonts w:ascii="Arial"/>
                <w:sz w:val="21"/>
              </w:rPr>
            </w:pPr>
          </w:p>
        </w:tc>
        <w:tc>
          <w:tcPr>
            <w:tcW w:w="967" w:type="dxa"/>
            <w:vMerge w:val="continue"/>
            <w:tcBorders>
              <w:top w:val="nil"/>
              <w:bottom w:val="nil"/>
            </w:tcBorders>
            <w:vAlign w:val="top"/>
          </w:tcPr>
          <w:p w14:paraId="2A044C2B">
            <w:pPr>
              <w:rPr>
                <w:rFonts w:ascii="Arial"/>
                <w:sz w:val="21"/>
              </w:rPr>
            </w:pPr>
          </w:p>
        </w:tc>
        <w:tc>
          <w:tcPr>
            <w:tcW w:w="973" w:type="dxa"/>
            <w:vMerge w:val="continue"/>
            <w:tcBorders>
              <w:top w:val="nil"/>
              <w:bottom w:val="nil"/>
            </w:tcBorders>
            <w:vAlign w:val="top"/>
          </w:tcPr>
          <w:p w14:paraId="6BE830F2">
            <w:pPr>
              <w:rPr>
                <w:rFonts w:ascii="Arial"/>
                <w:sz w:val="21"/>
              </w:rPr>
            </w:pPr>
          </w:p>
        </w:tc>
        <w:tc>
          <w:tcPr>
            <w:tcW w:w="1160" w:type="dxa"/>
            <w:vMerge w:val="continue"/>
            <w:tcBorders>
              <w:top w:val="nil"/>
              <w:bottom w:val="nil"/>
            </w:tcBorders>
            <w:vAlign w:val="top"/>
          </w:tcPr>
          <w:p w14:paraId="67F5A485">
            <w:pPr>
              <w:rPr>
                <w:rFonts w:ascii="Arial"/>
                <w:sz w:val="21"/>
              </w:rPr>
            </w:pPr>
          </w:p>
        </w:tc>
        <w:tc>
          <w:tcPr>
            <w:tcW w:w="1897" w:type="dxa"/>
            <w:vAlign w:val="top"/>
          </w:tcPr>
          <w:p w14:paraId="19BF5E09">
            <w:pPr>
              <w:pStyle w:val="6"/>
              <w:spacing w:before="81" w:line="226" w:lineRule="auto"/>
              <w:ind w:left="639"/>
              <w:rPr>
                <w:sz w:val="20"/>
                <w:szCs w:val="20"/>
              </w:rPr>
            </w:pPr>
            <w:r>
              <w:rPr>
                <w:spacing w:val="7"/>
                <w:sz w:val="20"/>
                <w:szCs w:val="20"/>
              </w:rPr>
              <w:t>硫酸雾</w:t>
            </w:r>
          </w:p>
        </w:tc>
        <w:tc>
          <w:tcPr>
            <w:tcW w:w="1048" w:type="dxa"/>
            <w:vAlign w:val="top"/>
          </w:tcPr>
          <w:p w14:paraId="6E688C85">
            <w:pPr>
              <w:spacing w:before="119"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0.0966</w:t>
            </w:r>
          </w:p>
        </w:tc>
        <w:tc>
          <w:tcPr>
            <w:tcW w:w="924" w:type="dxa"/>
            <w:vAlign w:val="top"/>
          </w:tcPr>
          <w:p w14:paraId="4BA4586A">
            <w:pPr>
              <w:spacing w:before="119"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0.3244</w:t>
            </w:r>
          </w:p>
        </w:tc>
        <w:tc>
          <w:tcPr>
            <w:tcW w:w="949" w:type="dxa"/>
            <w:vMerge w:val="continue"/>
            <w:tcBorders>
              <w:top w:val="nil"/>
              <w:bottom w:val="nil"/>
            </w:tcBorders>
            <w:vAlign w:val="top"/>
          </w:tcPr>
          <w:p w14:paraId="56351183">
            <w:pPr>
              <w:rPr>
                <w:rFonts w:ascii="Arial"/>
                <w:sz w:val="21"/>
              </w:rPr>
            </w:pPr>
          </w:p>
        </w:tc>
        <w:tc>
          <w:tcPr>
            <w:tcW w:w="128" w:type="dxa"/>
            <w:vMerge w:val="continue"/>
            <w:tcBorders>
              <w:top w:val="nil"/>
              <w:bottom w:val="nil"/>
              <w:right w:val="single" w:color="000000" w:sz="6" w:space="0"/>
            </w:tcBorders>
            <w:vAlign w:val="top"/>
          </w:tcPr>
          <w:p w14:paraId="1AB8CD01">
            <w:pPr>
              <w:rPr>
                <w:rFonts w:ascii="Arial"/>
                <w:sz w:val="21"/>
              </w:rPr>
            </w:pPr>
          </w:p>
        </w:tc>
      </w:tr>
      <w:tr w14:paraId="31D8D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4" w:type="dxa"/>
            <w:vMerge w:val="continue"/>
            <w:tcBorders>
              <w:top w:val="nil"/>
              <w:left w:val="single" w:color="000000" w:sz="6" w:space="0"/>
              <w:bottom w:val="nil"/>
            </w:tcBorders>
            <w:vAlign w:val="top"/>
          </w:tcPr>
          <w:p w14:paraId="2E79670F">
            <w:pPr>
              <w:rPr>
                <w:rFonts w:ascii="Arial"/>
                <w:sz w:val="21"/>
              </w:rPr>
            </w:pPr>
          </w:p>
        </w:tc>
        <w:tc>
          <w:tcPr>
            <w:tcW w:w="93" w:type="dxa"/>
            <w:tcBorders>
              <w:top w:val="nil"/>
              <w:bottom w:val="nil"/>
            </w:tcBorders>
            <w:vAlign w:val="top"/>
          </w:tcPr>
          <w:p w14:paraId="3AD0FEF4">
            <w:pPr>
              <w:rPr>
                <w:rFonts w:ascii="Arial"/>
                <w:sz w:val="21"/>
              </w:rPr>
            </w:pPr>
          </w:p>
        </w:tc>
        <w:tc>
          <w:tcPr>
            <w:tcW w:w="967" w:type="dxa"/>
            <w:vMerge w:val="continue"/>
            <w:tcBorders>
              <w:top w:val="nil"/>
            </w:tcBorders>
            <w:vAlign w:val="top"/>
          </w:tcPr>
          <w:p w14:paraId="235536B3">
            <w:pPr>
              <w:rPr>
                <w:rFonts w:ascii="Arial"/>
                <w:sz w:val="21"/>
              </w:rPr>
            </w:pPr>
          </w:p>
        </w:tc>
        <w:tc>
          <w:tcPr>
            <w:tcW w:w="973" w:type="dxa"/>
            <w:vMerge w:val="continue"/>
            <w:tcBorders>
              <w:top w:val="nil"/>
            </w:tcBorders>
            <w:vAlign w:val="top"/>
          </w:tcPr>
          <w:p w14:paraId="77D6ED36">
            <w:pPr>
              <w:rPr>
                <w:rFonts w:ascii="Arial"/>
                <w:sz w:val="21"/>
              </w:rPr>
            </w:pPr>
          </w:p>
        </w:tc>
        <w:tc>
          <w:tcPr>
            <w:tcW w:w="1160" w:type="dxa"/>
            <w:vMerge w:val="continue"/>
            <w:tcBorders>
              <w:top w:val="nil"/>
            </w:tcBorders>
            <w:vAlign w:val="top"/>
          </w:tcPr>
          <w:p w14:paraId="607C7AE6">
            <w:pPr>
              <w:rPr>
                <w:rFonts w:ascii="Arial"/>
                <w:sz w:val="21"/>
              </w:rPr>
            </w:pPr>
          </w:p>
        </w:tc>
        <w:tc>
          <w:tcPr>
            <w:tcW w:w="1897" w:type="dxa"/>
            <w:vAlign w:val="top"/>
          </w:tcPr>
          <w:p w14:paraId="05A4C809">
            <w:pPr>
              <w:pStyle w:val="6"/>
              <w:spacing w:before="56" w:line="229" w:lineRule="auto"/>
              <w:ind w:left="642"/>
              <w:rPr>
                <w:sz w:val="20"/>
                <w:szCs w:val="20"/>
              </w:rPr>
            </w:pPr>
            <w:r>
              <w:rPr>
                <w:spacing w:val="6"/>
                <w:sz w:val="20"/>
                <w:szCs w:val="20"/>
              </w:rPr>
              <w:t>硝酸雾</w:t>
            </w:r>
          </w:p>
          <w:p w14:paraId="269BDBE2">
            <w:pPr>
              <w:pStyle w:val="6"/>
              <w:spacing w:before="25" w:line="213"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vAlign w:val="top"/>
          </w:tcPr>
          <w:p w14:paraId="1A086ECB">
            <w:pPr>
              <w:spacing w:before="234"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0.4854</w:t>
            </w:r>
          </w:p>
        </w:tc>
        <w:tc>
          <w:tcPr>
            <w:tcW w:w="924" w:type="dxa"/>
            <w:vAlign w:val="top"/>
          </w:tcPr>
          <w:p w14:paraId="77C2697A">
            <w:pPr>
              <w:spacing w:before="234" w:line="195" w:lineRule="auto"/>
              <w:ind w:left="293"/>
              <w:rPr>
                <w:rFonts w:ascii="Times New Roman" w:hAnsi="Times New Roman" w:eastAsia="Times New Roman" w:cs="Times New Roman"/>
                <w:sz w:val="19"/>
                <w:szCs w:val="19"/>
              </w:rPr>
            </w:pPr>
            <w:r>
              <w:rPr>
                <w:rFonts w:ascii="Times New Roman" w:hAnsi="Times New Roman" w:eastAsia="Times New Roman" w:cs="Times New Roman"/>
                <w:sz w:val="19"/>
                <w:szCs w:val="19"/>
              </w:rPr>
              <w:t>1.6310</w:t>
            </w:r>
          </w:p>
        </w:tc>
        <w:tc>
          <w:tcPr>
            <w:tcW w:w="949" w:type="dxa"/>
            <w:vMerge w:val="continue"/>
            <w:tcBorders>
              <w:top w:val="nil"/>
            </w:tcBorders>
            <w:vAlign w:val="top"/>
          </w:tcPr>
          <w:p w14:paraId="556A5681">
            <w:pPr>
              <w:rPr>
                <w:rFonts w:ascii="Arial"/>
                <w:sz w:val="21"/>
              </w:rPr>
            </w:pPr>
          </w:p>
        </w:tc>
        <w:tc>
          <w:tcPr>
            <w:tcW w:w="128" w:type="dxa"/>
            <w:vMerge w:val="continue"/>
            <w:tcBorders>
              <w:top w:val="nil"/>
              <w:bottom w:val="nil"/>
              <w:right w:val="single" w:color="000000" w:sz="6" w:space="0"/>
            </w:tcBorders>
            <w:vAlign w:val="top"/>
          </w:tcPr>
          <w:p w14:paraId="6585A400">
            <w:pPr>
              <w:rPr>
                <w:rFonts w:ascii="Arial"/>
                <w:sz w:val="21"/>
              </w:rPr>
            </w:pPr>
          </w:p>
        </w:tc>
      </w:tr>
      <w:tr w14:paraId="3F1CE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54" w:type="dxa"/>
            <w:vMerge w:val="continue"/>
            <w:tcBorders>
              <w:top w:val="nil"/>
              <w:left w:val="single" w:color="000000" w:sz="6" w:space="0"/>
              <w:bottom w:val="nil"/>
            </w:tcBorders>
            <w:vAlign w:val="top"/>
          </w:tcPr>
          <w:p w14:paraId="4596BBC4">
            <w:pPr>
              <w:rPr>
                <w:rFonts w:ascii="Arial"/>
                <w:sz w:val="21"/>
              </w:rPr>
            </w:pPr>
          </w:p>
        </w:tc>
        <w:tc>
          <w:tcPr>
            <w:tcW w:w="93" w:type="dxa"/>
            <w:tcBorders>
              <w:top w:val="nil"/>
              <w:bottom w:val="nil"/>
            </w:tcBorders>
            <w:vAlign w:val="top"/>
          </w:tcPr>
          <w:p w14:paraId="71269C10">
            <w:pPr>
              <w:rPr>
                <w:rFonts w:ascii="Arial"/>
                <w:sz w:val="21"/>
              </w:rPr>
            </w:pPr>
          </w:p>
        </w:tc>
        <w:tc>
          <w:tcPr>
            <w:tcW w:w="967" w:type="dxa"/>
            <w:vMerge w:val="restart"/>
            <w:tcBorders>
              <w:bottom w:val="nil"/>
            </w:tcBorders>
            <w:vAlign w:val="top"/>
          </w:tcPr>
          <w:p w14:paraId="68A00420">
            <w:pPr>
              <w:spacing w:line="242" w:lineRule="auto"/>
              <w:rPr>
                <w:rFonts w:ascii="Arial"/>
                <w:sz w:val="21"/>
              </w:rPr>
            </w:pPr>
          </w:p>
          <w:p w14:paraId="2B677613">
            <w:pPr>
              <w:spacing w:line="243" w:lineRule="auto"/>
              <w:rPr>
                <w:rFonts w:ascii="Arial"/>
                <w:sz w:val="21"/>
              </w:rPr>
            </w:pPr>
          </w:p>
          <w:p w14:paraId="3FE48542">
            <w:pPr>
              <w:spacing w:line="243" w:lineRule="auto"/>
              <w:rPr>
                <w:rFonts w:ascii="Arial"/>
                <w:sz w:val="21"/>
              </w:rPr>
            </w:pPr>
          </w:p>
          <w:p w14:paraId="1DD9E30A">
            <w:pPr>
              <w:pStyle w:val="6"/>
              <w:spacing w:before="65" w:line="228"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spacing w:val="1"/>
                <w:sz w:val="20"/>
                <w:szCs w:val="20"/>
              </w:rPr>
              <w:t>层</w:t>
            </w:r>
            <w:r>
              <w:rPr>
                <w:rFonts w:ascii="Times New Roman" w:hAnsi="Times New Roman" w:eastAsia="Times New Roman" w:cs="Times New Roman"/>
                <w:spacing w:val="1"/>
                <w:sz w:val="20"/>
                <w:szCs w:val="20"/>
              </w:rPr>
              <w:t>-B</w:t>
            </w:r>
          </w:p>
        </w:tc>
        <w:tc>
          <w:tcPr>
            <w:tcW w:w="973" w:type="dxa"/>
            <w:vMerge w:val="restart"/>
            <w:tcBorders>
              <w:bottom w:val="nil"/>
            </w:tcBorders>
            <w:vAlign w:val="top"/>
          </w:tcPr>
          <w:p w14:paraId="41F74C13">
            <w:pPr>
              <w:spacing w:line="257" w:lineRule="auto"/>
              <w:rPr>
                <w:rFonts w:ascii="Arial"/>
                <w:sz w:val="21"/>
              </w:rPr>
            </w:pPr>
          </w:p>
          <w:p w14:paraId="6EF2E71B">
            <w:pPr>
              <w:spacing w:line="257" w:lineRule="auto"/>
              <w:rPr>
                <w:rFonts w:ascii="Arial"/>
                <w:sz w:val="21"/>
              </w:rPr>
            </w:pPr>
          </w:p>
          <w:p w14:paraId="74D5D09A">
            <w:pPr>
              <w:spacing w:line="258" w:lineRule="auto"/>
              <w:rPr>
                <w:rFonts w:ascii="Arial"/>
                <w:sz w:val="21"/>
              </w:rPr>
            </w:pPr>
          </w:p>
          <w:p w14:paraId="7145A220">
            <w:pPr>
              <w:spacing w:before="5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0" w:type="dxa"/>
            <w:vMerge w:val="restart"/>
            <w:tcBorders>
              <w:bottom w:val="nil"/>
            </w:tcBorders>
            <w:vAlign w:val="top"/>
          </w:tcPr>
          <w:p w14:paraId="7BF7F7BE">
            <w:pPr>
              <w:spacing w:line="257" w:lineRule="auto"/>
              <w:rPr>
                <w:rFonts w:ascii="Arial"/>
                <w:sz w:val="21"/>
              </w:rPr>
            </w:pPr>
          </w:p>
          <w:p w14:paraId="3F33774F">
            <w:pPr>
              <w:spacing w:line="257" w:lineRule="auto"/>
              <w:rPr>
                <w:rFonts w:ascii="Arial"/>
                <w:sz w:val="21"/>
              </w:rPr>
            </w:pPr>
          </w:p>
          <w:p w14:paraId="61BA2EAB">
            <w:pPr>
              <w:spacing w:line="258" w:lineRule="auto"/>
              <w:rPr>
                <w:rFonts w:ascii="Arial"/>
                <w:sz w:val="21"/>
              </w:rPr>
            </w:pPr>
          </w:p>
          <w:p w14:paraId="6A321F91">
            <w:pPr>
              <w:spacing w:before="5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7" w:type="dxa"/>
            <w:vAlign w:val="top"/>
          </w:tcPr>
          <w:p w14:paraId="75D5AF88">
            <w:pPr>
              <w:pStyle w:val="6"/>
              <w:spacing w:before="68" w:line="229" w:lineRule="auto"/>
              <w:ind w:left="643"/>
              <w:rPr>
                <w:sz w:val="20"/>
                <w:szCs w:val="20"/>
              </w:rPr>
            </w:pPr>
            <w:r>
              <w:rPr>
                <w:spacing w:val="5"/>
                <w:sz w:val="20"/>
                <w:szCs w:val="20"/>
              </w:rPr>
              <w:t>氯化氢</w:t>
            </w:r>
          </w:p>
        </w:tc>
        <w:tc>
          <w:tcPr>
            <w:tcW w:w="1048" w:type="dxa"/>
            <w:vAlign w:val="top"/>
          </w:tcPr>
          <w:p w14:paraId="3D5CCFEB">
            <w:pPr>
              <w:spacing w:before="10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6.6976</w:t>
            </w:r>
          </w:p>
        </w:tc>
        <w:tc>
          <w:tcPr>
            <w:tcW w:w="924" w:type="dxa"/>
            <w:vAlign w:val="top"/>
          </w:tcPr>
          <w:p w14:paraId="598263DA">
            <w:pPr>
              <w:spacing w:before="10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22.5038</w:t>
            </w:r>
          </w:p>
        </w:tc>
        <w:tc>
          <w:tcPr>
            <w:tcW w:w="949" w:type="dxa"/>
            <w:vMerge w:val="restart"/>
            <w:tcBorders>
              <w:bottom w:val="nil"/>
            </w:tcBorders>
            <w:vAlign w:val="top"/>
          </w:tcPr>
          <w:p w14:paraId="3A523D32">
            <w:pPr>
              <w:spacing w:line="257" w:lineRule="auto"/>
              <w:rPr>
                <w:rFonts w:ascii="Arial"/>
                <w:sz w:val="21"/>
              </w:rPr>
            </w:pPr>
          </w:p>
          <w:p w14:paraId="15076BCA">
            <w:pPr>
              <w:spacing w:line="257" w:lineRule="auto"/>
              <w:rPr>
                <w:rFonts w:ascii="Arial"/>
                <w:sz w:val="21"/>
              </w:rPr>
            </w:pPr>
          </w:p>
          <w:p w14:paraId="1DBA76E1">
            <w:pPr>
              <w:spacing w:line="258" w:lineRule="auto"/>
              <w:rPr>
                <w:rFonts w:ascii="Arial"/>
                <w:sz w:val="21"/>
              </w:rPr>
            </w:pPr>
          </w:p>
          <w:p w14:paraId="21E0C133">
            <w:pPr>
              <w:spacing w:before="5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218C7171">
            <w:pPr>
              <w:rPr>
                <w:rFonts w:ascii="Arial"/>
                <w:sz w:val="21"/>
              </w:rPr>
            </w:pPr>
          </w:p>
        </w:tc>
      </w:tr>
      <w:tr w14:paraId="03168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54" w:type="dxa"/>
            <w:vMerge w:val="continue"/>
            <w:tcBorders>
              <w:top w:val="nil"/>
              <w:left w:val="single" w:color="000000" w:sz="6" w:space="0"/>
              <w:bottom w:val="nil"/>
            </w:tcBorders>
            <w:vAlign w:val="top"/>
          </w:tcPr>
          <w:p w14:paraId="2FA08D39">
            <w:pPr>
              <w:rPr>
                <w:rFonts w:ascii="Arial"/>
                <w:sz w:val="21"/>
              </w:rPr>
            </w:pPr>
          </w:p>
        </w:tc>
        <w:tc>
          <w:tcPr>
            <w:tcW w:w="93" w:type="dxa"/>
            <w:tcBorders>
              <w:top w:val="nil"/>
              <w:bottom w:val="nil"/>
            </w:tcBorders>
            <w:vAlign w:val="top"/>
          </w:tcPr>
          <w:p w14:paraId="5E1E3D44">
            <w:pPr>
              <w:rPr>
                <w:rFonts w:ascii="Arial"/>
                <w:sz w:val="21"/>
              </w:rPr>
            </w:pPr>
          </w:p>
        </w:tc>
        <w:tc>
          <w:tcPr>
            <w:tcW w:w="967" w:type="dxa"/>
            <w:vMerge w:val="continue"/>
            <w:tcBorders>
              <w:top w:val="nil"/>
              <w:bottom w:val="nil"/>
            </w:tcBorders>
            <w:vAlign w:val="top"/>
          </w:tcPr>
          <w:p w14:paraId="3CCCB891">
            <w:pPr>
              <w:rPr>
                <w:rFonts w:ascii="Arial"/>
                <w:sz w:val="21"/>
              </w:rPr>
            </w:pPr>
          </w:p>
        </w:tc>
        <w:tc>
          <w:tcPr>
            <w:tcW w:w="973" w:type="dxa"/>
            <w:vMerge w:val="continue"/>
            <w:tcBorders>
              <w:top w:val="nil"/>
              <w:bottom w:val="nil"/>
            </w:tcBorders>
            <w:vAlign w:val="top"/>
          </w:tcPr>
          <w:p w14:paraId="4B5FBFC8">
            <w:pPr>
              <w:rPr>
                <w:rFonts w:ascii="Arial"/>
                <w:sz w:val="21"/>
              </w:rPr>
            </w:pPr>
          </w:p>
        </w:tc>
        <w:tc>
          <w:tcPr>
            <w:tcW w:w="1160" w:type="dxa"/>
            <w:vMerge w:val="continue"/>
            <w:tcBorders>
              <w:top w:val="nil"/>
              <w:bottom w:val="nil"/>
            </w:tcBorders>
            <w:vAlign w:val="top"/>
          </w:tcPr>
          <w:p w14:paraId="58059371">
            <w:pPr>
              <w:rPr>
                <w:rFonts w:ascii="Arial"/>
                <w:sz w:val="21"/>
              </w:rPr>
            </w:pPr>
          </w:p>
        </w:tc>
        <w:tc>
          <w:tcPr>
            <w:tcW w:w="1897" w:type="dxa"/>
            <w:vAlign w:val="top"/>
          </w:tcPr>
          <w:p w14:paraId="3DE28699">
            <w:pPr>
              <w:pStyle w:val="6"/>
              <w:spacing w:before="49" w:line="228" w:lineRule="auto"/>
              <w:ind w:left="641"/>
              <w:rPr>
                <w:sz w:val="20"/>
                <w:szCs w:val="20"/>
              </w:rPr>
            </w:pPr>
            <w:r>
              <w:rPr>
                <w:spacing w:val="6"/>
                <w:sz w:val="20"/>
                <w:szCs w:val="20"/>
              </w:rPr>
              <w:t>氟化氢</w:t>
            </w:r>
          </w:p>
          <w:p w14:paraId="4FD23D63">
            <w:pPr>
              <w:pStyle w:val="6"/>
              <w:spacing w:before="26" w:line="192" w:lineRule="auto"/>
              <w:ind w:left="230"/>
              <w:rPr>
                <w:sz w:val="20"/>
                <w:szCs w:val="20"/>
              </w:rPr>
            </w:pPr>
            <w:r>
              <w:rPr>
                <w:spacing w:val="5"/>
                <w:sz w:val="20"/>
                <w:szCs w:val="20"/>
              </w:rPr>
              <w:t>（以氟化物计）</w:t>
            </w:r>
          </w:p>
        </w:tc>
        <w:tc>
          <w:tcPr>
            <w:tcW w:w="1048" w:type="dxa"/>
            <w:vAlign w:val="top"/>
          </w:tcPr>
          <w:p w14:paraId="09C320E0">
            <w:pPr>
              <w:spacing w:before="22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0.6650</w:t>
            </w:r>
          </w:p>
        </w:tc>
        <w:tc>
          <w:tcPr>
            <w:tcW w:w="924" w:type="dxa"/>
            <w:vAlign w:val="top"/>
          </w:tcPr>
          <w:p w14:paraId="4E1AEC79">
            <w:pPr>
              <w:spacing w:before="222"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949" w:type="dxa"/>
            <w:vMerge w:val="continue"/>
            <w:tcBorders>
              <w:top w:val="nil"/>
              <w:bottom w:val="nil"/>
            </w:tcBorders>
            <w:vAlign w:val="top"/>
          </w:tcPr>
          <w:p w14:paraId="11E9C0F6">
            <w:pPr>
              <w:rPr>
                <w:rFonts w:ascii="Arial"/>
                <w:sz w:val="21"/>
              </w:rPr>
            </w:pPr>
          </w:p>
        </w:tc>
        <w:tc>
          <w:tcPr>
            <w:tcW w:w="128" w:type="dxa"/>
            <w:vMerge w:val="continue"/>
            <w:tcBorders>
              <w:top w:val="nil"/>
              <w:bottom w:val="nil"/>
              <w:right w:val="single" w:color="000000" w:sz="6" w:space="0"/>
            </w:tcBorders>
            <w:vAlign w:val="top"/>
          </w:tcPr>
          <w:p w14:paraId="59E1E0A7">
            <w:pPr>
              <w:rPr>
                <w:rFonts w:ascii="Arial"/>
                <w:sz w:val="21"/>
              </w:rPr>
            </w:pPr>
          </w:p>
        </w:tc>
      </w:tr>
      <w:tr w14:paraId="31C82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54" w:type="dxa"/>
            <w:vMerge w:val="continue"/>
            <w:tcBorders>
              <w:top w:val="nil"/>
              <w:left w:val="single" w:color="000000" w:sz="6" w:space="0"/>
              <w:bottom w:val="nil"/>
            </w:tcBorders>
            <w:vAlign w:val="top"/>
          </w:tcPr>
          <w:p w14:paraId="6154EE9E">
            <w:pPr>
              <w:rPr>
                <w:rFonts w:ascii="Arial"/>
                <w:sz w:val="21"/>
              </w:rPr>
            </w:pPr>
          </w:p>
        </w:tc>
        <w:tc>
          <w:tcPr>
            <w:tcW w:w="93" w:type="dxa"/>
            <w:tcBorders>
              <w:top w:val="nil"/>
              <w:bottom w:val="nil"/>
            </w:tcBorders>
            <w:vAlign w:val="top"/>
          </w:tcPr>
          <w:p w14:paraId="0CD48CF4">
            <w:pPr>
              <w:rPr>
                <w:rFonts w:ascii="Arial"/>
                <w:sz w:val="21"/>
              </w:rPr>
            </w:pPr>
          </w:p>
        </w:tc>
        <w:tc>
          <w:tcPr>
            <w:tcW w:w="967" w:type="dxa"/>
            <w:vMerge w:val="continue"/>
            <w:tcBorders>
              <w:top w:val="nil"/>
              <w:bottom w:val="nil"/>
            </w:tcBorders>
            <w:vAlign w:val="top"/>
          </w:tcPr>
          <w:p w14:paraId="199C7C04">
            <w:pPr>
              <w:rPr>
                <w:rFonts w:ascii="Arial"/>
                <w:sz w:val="21"/>
              </w:rPr>
            </w:pPr>
          </w:p>
        </w:tc>
        <w:tc>
          <w:tcPr>
            <w:tcW w:w="973" w:type="dxa"/>
            <w:vMerge w:val="continue"/>
            <w:tcBorders>
              <w:top w:val="nil"/>
              <w:bottom w:val="nil"/>
            </w:tcBorders>
            <w:vAlign w:val="top"/>
          </w:tcPr>
          <w:p w14:paraId="2B93EA1C">
            <w:pPr>
              <w:rPr>
                <w:rFonts w:ascii="Arial"/>
                <w:sz w:val="21"/>
              </w:rPr>
            </w:pPr>
          </w:p>
        </w:tc>
        <w:tc>
          <w:tcPr>
            <w:tcW w:w="1160" w:type="dxa"/>
            <w:vMerge w:val="continue"/>
            <w:tcBorders>
              <w:top w:val="nil"/>
              <w:bottom w:val="nil"/>
            </w:tcBorders>
            <w:vAlign w:val="top"/>
          </w:tcPr>
          <w:p w14:paraId="0CA8D929">
            <w:pPr>
              <w:rPr>
                <w:rFonts w:ascii="Arial"/>
                <w:sz w:val="21"/>
              </w:rPr>
            </w:pPr>
          </w:p>
        </w:tc>
        <w:tc>
          <w:tcPr>
            <w:tcW w:w="1897" w:type="dxa"/>
            <w:vAlign w:val="top"/>
          </w:tcPr>
          <w:p w14:paraId="025C2E08">
            <w:pPr>
              <w:pStyle w:val="6"/>
              <w:spacing w:before="91" w:line="229" w:lineRule="auto"/>
              <w:ind w:left="639"/>
              <w:rPr>
                <w:sz w:val="20"/>
                <w:szCs w:val="20"/>
              </w:rPr>
            </w:pPr>
            <w:r>
              <w:rPr>
                <w:spacing w:val="7"/>
                <w:sz w:val="20"/>
                <w:szCs w:val="20"/>
              </w:rPr>
              <w:t>硫酸雾</w:t>
            </w:r>
          </w:p>
        </w:tc>
        <w:tc>
          <w:tcPr>
            <w:tcW w:w="1048" w:type="dxa"/>
            <w:vAlign w:val="top"/>
          </w:tcPr>
          <w:p w14:paraId="23ABF8C0">
            <w:pPr>
              <w:spacing w:before="129"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0.0966</w:t>
            </w:r>
          </w:p>
        </w:tc>
        <w:tc>
          <w:tcPr>
            <w:tcW w:w="924" w:type="dxa"/>
            <w:vAlign w:val="top"/>
          </w:tcPr>
          <w:p w14:paraId="0C7B6100">
            <w:pPr>
              <w:spacing w:before="129"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0.3244</w:t>
            </w:r>
          </w:p>
        </w:tc>
        <w:tc>
          <w:tcPr>
            <w:tcW w:w="949" w:type="dxa"/>
            <w:vMerge w:val="continue"/>
            <w:tcBorders>
              <w:top w:val="nil"/>
              <w:bottom w:val="nil"/>
            </w:tcBorders>
            <w:vAlign w:val="top"/>
          </w:tcPr>
          <w:p w14:paraId="4A15A352">
            <w:pPr>
              <w:rPr>
                <w:rFonts w:ascii="Arial"/>
                <w:sz w:val="21"/>
              </w:rPr>
            </w:pPr>
          </w:p>
        </w:tc>
        <w:tc>
          <w:tcPr>
            <w:tcW w:w="128" w:type="dxa"/>
            <w:vMerge w:val="continue"/>
            <w:tcBorders>
              <w:top w:val="nil"/>
              <w:bottom w:val="nil"/>
              <w:right w:val="single" w:color="000000" w:sz="6" w:space="0"/>
            </w:tcBorders>
            <w:vAlign w:val="top"/>
          </w:tcPr>
          <w:p w14:paraId="3C7B8254">
            <w:pPr>
              <w:rPr>
                <w:rFonts w:ascii="Arial"/>
                <w:sz w:val="21"/>
              </w:rPr>
            </w:pPr>
          </w:p>
        </w:tc>
      </w:tr>
      <w:tr w14:paraId="0569F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54" w:type="dxa"/>
            <w:vMerge w:val="continue"/>
            <w:tcBorders>
              <w:top w:val="nil"/>
              <w:left w:val="single" w:color="000000" w:sz="6" w:space="0"/>
              <w:bottom w:val="nil"/>
            </w:tcBorders>
            <w:vAlign w:val="top"/>
          </w:tcPr>
          <w:p w14:paraId="405282E3">
            <w:pPr>
              <w:rPr>
                <w:rFonts w:ascii="Arial"/>
                <w:sz w:val="21"/>
              </w:rPr>
            </w:pPr>
          </w:p>
        </w:tc>
        <w:tc>
          <w:tcPr>
            <w:tcW w:w="93" w:type="dxa"/>
            <w:tcBorders>
              <w:top w:val="nil"/>
              <w:bottom w:val="nil"/>
            </w:tcBorders>
            <w:vAlign w:val="top"/>
          </w:tcPr>
          <w:p w14:paraId="4618337D">
            <w:pPr>
              <w:rPr>
                <w:rFonts w:ascii="Arial"/>
                <w:sz w:val="21"/>
              </w:rPr>
            </w:pPr>
          </w:p>
        </w:tc>
        <w:tc>
          <w:tcPr>
            <w:tcW w:w="967" w:type="dxa"/>
            <w:vMerge w:val="continue"/>
            <w:tcBorders>
              <w:top w:val="nil"/>
            </w:tcBorders>
            <w:vAlign w:val="top"/>
          </w:tcPr>
          <w:p w14:paraId="40D71F3B">
            <w:pPr>
              <w:rPr>
                <w:rFonts w:ascii="Arial"/>
                <w:sz w:val="21"/>
              </w:rPr>
            </w:pPr>
          </w:p>
        </w:tc>
        <w:tc>
          <w:tcPr>
            <w:tcW w:w="973" w:type="dxa"/>
            <w:vMerge w:val="continue"/>
            <w:tcBorders>
              <w:top w:val="nil"/>
            </w:tcBorders>
            <w:vAlign w:val="top"/>
          </w:tcPr>
          <w:p w14:paraId="581E8806">
            <w:pPr>
              <w:rPr>
                <w:rFonts w:ascii="Arial"/>
                <w:sz w:val="21"/>
              </w:rPr>
            </w:pPr>
          </w:p>
        </w:tc>
        <w:tc>
          <w:tcPr>
            <w:tcW w:w="1160" w:type="dxa"/>
            <w:vMerge w:val="continue"/>
            <w:tcBorders>
              <w:top w:val="nil"/>
            </w:tcBorders>
            <w:vAlign w:val="top"/>
          </w:tcPr>
          <w:p w14:paraId="13105A2F">
            <w:pPr>
              <w:rPr>
                <w:rFonts w:ascii="Arial"/>
                <w:sz w:val="21"/>
              </w:rPr>
            </w:pPr>
          </w:p>
        </w:tc>
        <w:tc>
          <w:tcPr>
            <w:tcW w:w="1897" w:type="dxa"/>
            <w:vAlign w:val="top"/>
          </w:tcPr>
          <w:p w14:paraId="1EBB7DBE">
            <w:pPr>
              <w:pStyle w:val="6"/>
              <w:spacing w:before="41" w:line="229" w:lineRule="auto"/>
              <w:ind w:left="642"/>
              <w:rPr>
                <w:sz w:val="20"/>
                <w:szCs w:val="20"/>
              </w:rPr>
            </w:pPr>
            <w:r>
              <w:rPr>
                <w:spacing w:val="6"/>
                <w:sz w:val="20"/>
                <w:szCs w:val="20"/>
              </w:rPr>
              <w:t>硝酸雾</w:t>
            </w:r>
          </w:p>
          <w:p w14:paraId="39AC36A3">
            <w:pPr>
              <w:pStyle w:val="6"/>
              <w:spacing w:before="25" w:line="211"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vAlign w:val="top"/>
          </w:tcPr>
          <w:p w14:paraId="71E1FA14">
            <w:pPr>
              <w:spacing w:before="218"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0.4854</w:t>
            </w:r>
          </w:p>
        </w:tc>
        <w:tc>
          <w:tcPr>
            <w:tcW w:w="924" w:type="dxa"/>
            <w:vAlign w:val="top"/>
          </w:tcPr>
          <w:p w14:paraId="64E0A0EF">
            <w:pPr>
              <w:spacing w:before="218" w:line="195" w:lineRule="auto"/>
              <w:ind w:left="293"/>
              <w:rPr>
                <w:rFonts w:ascii="Times New Roman" w:hAnsi="Times New Roman" w:eastAsia="Times New Roman" w:cs="Times New Roman"/>
                <w:sz w:val="19"/>
                <w:szCs w:val="19"/>
              </w:rPr>
            </w:pPr>
            <w:r>
              <w:rPr>
                <w:rFonts w:ascii="Times New Roman" w:hAnsi="Times New Roman" w:eastAsia="Times New Roman" w:cs="Times New Roman"/>
                <w:sz w:val="19"/>
                <w:szCs w:val="19"/>
              </w:rPr>
              <w:t>1.6310</w:t>
            </w:r>
          </w:p>
        </w:tc>
        <w:tc>
          <w:tcPr>
            <w:tcW w:w="949" w:type="dxa"/>
            <w:vMerge w:val="continue"/>
            <w:tcBorders>
              <w:top w:val="nil"/>
            </w:tcBorders>
            <w:vAlign w:val="top"/>
          </w:tcPr>
          <w:p w14:paraId="061EF9AD">
            <w:pPr>
              <w:rPr>
                <w:rFonts w:ascii="Arial"/>
                <w:sz w:val="21"/>
              </w:rPr>
            </w:pPr>
          </w:p>
        </w:tc>
        <w:tc>
          <w:tcPr>
            <w:tcW w:w="128" w:type="dxa"/>
            <w:vMerge w:val="continue"/>
            <w:tcBorders>
              <w:top w:val="nil"/>
              <w:bottom w:val="nil"/>
              <w:right w:val="single" w:color="000000" w:sz="6" w:space="0"/>
            </w:tcBorders>
            <w:vAlign w:val="top"/>
          </w:tcPr>
          <w:p w14:paraId="10540BBF">
            <w:pPr>
              <w:rPr>
                <w:rFonts w:ascii="Arial"/>
                <w:sz w:val="21"/>
              </w:rPr>
            </w:pPr>
          </w:p>
        </w:tc>
      </w:tr>
      <w:tr w14:paraId="358EB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754" w:type="dxa"/>
            <w:vMerge w:val="continue"/>
            <w:tcBorders>
              <w:top w:val="nil"/>
              <w:left w:val="single" w:color="000000" w:sz="6" w:space="0"/>
              <w:bottom w:val="nil"/>
            </w:tcBorders>
            <w:vAlign w:val="top"/>
          </w:tcPr>
          <w:p w14:paraId="69286ADA">
            <w:pPr>
              <w:rPr>
                <w:rFonts w:ascii="Arial"/>
                <w:sz w:val="21"/>
              </w:rPr>
            </w:pPr>
          </w:p>
        </w:tc>
        <w:tc>
          <w:tcPr>
            <w:tcW w:w="93" w:type="dxa"/>
            <w:tcBorders>
              <w:top w:val="nil"/>
              <w:bottom w:val="nil"/>
            </w:tcBorders>
            <w:vAlign w:val="top"/>
          </w:tcPr>
          <w:p w14:paraId="1B11DB39">
            <w:pPr>
              <w:rPr>
                <w:rFonts w:ascii="Arial"/>
                <w:sz w:val="21"/>
              </w:rPr>
            </w:pPr>
          </w:p>
        </w:tc>
        <w:tc>
          <w:tcPr>
            <w:tcW w:w="967" w:type="dxa"/>
            <w:vMerge w:val="restart"/>
            <w:tcBorders>
              <w:bottom w:val="nil"/>
            </w:tcBorders>
            <w:vAlign w:val="top"/>
          </w:tcPr>
          <w:p w14:paraId="7429CAE6">
            <w:pPr>
              <w:spacing w:line="243" w:lineRule="auto"/>
              <w:rPr>
                <w:rFonts w:ascii="Arial"/>
                <w:sz w:val="21"/>
              </w:rPr>
            </w:pPr>
          </w:p>
          <w:p w14:paraId="206DB8D8">
            <w:pPr>
              <w:spacing w:line="243" w:lineRule="auto"/>
              <w:rPr>
                <w:rFonts w:ascii="Arial"/>
                <w:sz w:val="21"/>
              </w:rPr>
            </w:pPr>
          </w:p>
          <w:p w14:paraId="52F7F656">
            <w:pPr>
              <w:spacing w:line="244" w:lineRule="auto"/>
              <w:rPr>
                <w:rFonts w:ascii="Arial"/>
                <w:sz w:val="21"/>
              </w:rPr>
            </w:pPr>
          </w:p>
          <w:p w14:paraId="785C9CC4">
            <w:pPr>
              <w:pStyle w:val="6"/>
              <w:spacing w:before="65" w:line="228"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w:t>
            </w:r>
            <w:r>
              <w:rPr>
                <w:rFonts w:ascii="Times New Roman" w:hAnsi="Times New Roman" w:eastAsia="Times New Roman" w:cs="Times New Roman"/>
                <w:spacing w:val="14"/>
                <w:sz w:val="20"/>
                <w:szCs w:val="20"/>
              </w:rPr>
              <w:t xml:space="preserve"> </w:t>
            </w:r>
            <w:r>
              <w:rPr>
                <w:spacing w:val="2"/>
                <w:sz w:val="20"/>
                <w:szCs w:val="20"/>
              </w:rPr>
              <w:t>层</w:t>
            </w:r>
            <w:r>
              <w:rPr>
                <w:rFonts w:ascii="Times New Roman" w:hAnsi="Times New Roman" w:eastAsia="Times New Roman" w:cs="Times New Roman"/>
                <w:spacing w:val="2"/>
                <w:sz w:val="20"/>
                <w:szCs w:val="20"/>
              </w:rPr>
              <w:t>-A</w:t>
            </w:r>
          </w:p>
        </w:tc>
        <w:tc>
          <w:tcPr>
            <w:tcW w:w="973" w:type="dxa"/>
            <w:vMerge w:val="restart"/>
            <w:tcBorders>
              <w:bottom w:val="nil"/>
            </w:tcBorders>
            <w:vAlign w:val="top"/>
          </w:tcPr>
          <w:p w14:paraId="5C1553A1">
            <w:pPr>
              <w:spacing w:line="257" w:lineRule="auto"/>
              <w:rPr>
                <w:rFonts w:ascii="Arial"/>
                <w:sz w:val="21"/>
              </w:rPr>
            </w:pPr>
          </w:p>
          <w:p w14:paraId="403809F5">
            <w:pPr>
              <w:spacing w:line="258" w:lineRule="auto"/>
              <w:rPr>
                <w:rFonts w:ascii="Arial"/>
                <w:sz w:val="21"/>
              </w:rPr>
            </w:pPr>
          </w:p>
          <w:p w14:paraId="0228B2C7">
            <w:pPr>
              <w:spacing w:line="258" w:lineRule="auto"/>
              <w:rPr>
                <w:rFonts w:ascii="Arial"/>
                <w:sz w:val="21"/>
              </w:rPr>
            </w:pPr>
          </w:p>
          <w:p w14:paraId="32C7C74C">
            <w:pPr>
              <w:spacing w:before="5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0" w:type="dxa"/>
            <w:vMerge w:val="restart"/>
            <w:tcBorders>
              <w:bottom w:val="nil"/>
            </w:tcBorders>
            <w:vAlign w:val="top"/>
          </w:tcPr>
          <w:p w14:paraId="6DC47EF0">
            <w:pPr>
              <w:spacing w:line="257" w:lineRule="auto"/>
              <w:rPr>
                <w:rFonts w:ascii="Arial"/>
                <w:sz w:val="21"/>
              </w:rPr>
            </w:pPr>
          </w:p>
          <w:p w14:paraId="527864ED">
            <w:pPr>
              <w:spacing w:line="258" w:lineRule="auto"/>
              <w:rPr>
                <w:rFonts w:ascii="Arial"/>
                <w:sz w:val="21"/>
              </w:rPr>
            </w:pPr>
          </w:p>
          <w:p w14:paraId="7DFE7B69">
            <w:pPr>
              <w:spacing w:line="258" w:lineRule="auto"/>
              <w:rPr>
                <w:rFonts w:ascii="Arial"/>
                <w:sz w:val="21"/>
              </w:rPr>
            </w:pPr>
          </w:p>
          <w:p w14:paraId="1A16405B">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7" w:type="dxa"/>
            <w:vAlign w:val="top"/>
          </w:tcPr>
          <w:p w14:paraId="46233E34">
            <w:pPr>
              <w:pStyle w:val="6"/>
              <w:spacing w:before="70" w:line="224" w:lineRule="auto"/>
              <w:ind w:left="643"/>
              <w:rPr>
                <w:sz w:val="20"/>
                <w:szCs w:val="20"/>
              </w:rPr>
            </w:pPr>
            <w:r>
              <w:rPr>
                <w:spacing w:val="5"/>
                <w:sz w:val="20"/>
                <w:szCs w:val="20"/>
              </w:rPr>
              <w:t>氯化氢</w:t>
            </w:r>
          </w:p>
        </w:tc>
        <w:tc>
          <w:tcPr>
            <w:tcW w:w="1048" w:type="dxa"/>
            <w:vAlign w:val="top"/>
          </w:tcPr>
          <w:p w14:paraId="1F099D67">
            <w:pPr>
              <w:spacing w:before="106"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6.6976</w:t>
            </w:r>
          </w:p>
        </w:tc>
        <w:tc>
          <w:tcPr>
            <w:tcW w:w="924" w:type="dxa"/>
            <w:vAlign w:val="top"/>
          </w:tcPr>
          <w:p w14:paraId="615265F9">
            <w:pPr>
              <w:spacing w:before="106"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22.5038</w:t>
            </w:r>
          </w:p>
        </w:tc>
        <w:tc>
          <w:tcPr>
            <w:tcW w:w="949" w:type="dxa"/>
            <w:vMerge w:val="restart"/>
            <w:tcBorders>
              <w:bottom w:val="nil"/>
            </w:tcBorders>
            <w:vAlign w:val="top"/>
          </w:tcPr>
          <w:p w14:paraId="2C5943A0">
            <w:pPr>
              <w:spacing w:line="257" w:lineRule="auto"/>
              <w:rPr>
                <w:rFonts w:ascii="Arial"/>
                <w:sz w:val="21"/>
              </w:rPr>
            </w:pPr>
          </w:p>
          <w:p w14:paraId="110971F6">
            <w:pPr>
              <w:spacing w:line="258" w:lineRule="auto"/>
              <w:rPr>
                <w:rFonts w:ascii="Arial"/>
                <w:sz w:val="21"/>
              </w:rPr>
            </w:pPr>
          </w:p>
          <w:p w14:paraId="47D07C3C">
            <w:pPr>
              <w:spacing w:line="258" w:lineRule="auto"/>
              <w:rPr>
                <w:rFonts w:ascii="Arial"/>
                <w:sz w:val="21"/>
              </w:rPr>
            </w:pPr>
          </w:p>
          <w:p w14:paraId="002E6045">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4FCF3958">
            <w:pPr>
              <w:rPr>
                <w:rFonts w:ascii="Arial"/>
                <w:sz w:val="21"/>
              </w:rPr>
            </w:pPr>
          </w:p>
        </w:tc>
      </w:tr>
      <w:tr w14:paraId="5B50D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54" w:type="dxa"/>
            <w:vMerge w:val="continue"/>
            <w:tcBorders>
              <w:top w:val="nil"/>
              <w:left w:val="single" w:color="000000" w:sz="6" w:space="0"/>
              <w:bottom w:val="nil"/>
            </w:tcBorders>
            <w:vAlign w:val="top"/>
          </w:tcPr>
          <w:p w14:paraId="23DECFF5">
            <w:pPr>
              <w:rPr>
                <w:rFonts w:ascii="Arial"/>
                <w:sz w:val="21"/>
              </w:rPr>
            </w:pPr>
          </w:p>
        </w:tc>
        <w:tc>
          <w:tcPr>
            <w:tcW w:w="93" w:type="dxa"/>
            <w:tcBorders>
              <w:top w:val="nil"/>
              <w:bottom w:val="nil"/>
            </w:tcBorders>
            <w:vAlign w:val="top"/>
          </w:tcPr>
          <w:p w14:paraId="0232B2EC">
            <w:pPr>
              <w:rPr>
                <w:rFonts w:ascii="Arial"/>
                <w:sz w:val="21"/>
              </w:rPr>
            </w:pPr>
          </w:p>
        </w:tc>
        <w:tc>
          <w:tcPr>
            <w:tcW w:w="967" w:type="dxa"/>
            <w:vMerge w:val="continue"/>
            <w:tcBorders>
              <w:top w:val="nil"/>
              <w:bottom w:val="nil"/>
            </w:tcBorders>
            <w:vAlign w:val="top"/>
          </w:tcPr>
          <w:p w14:paraId="506019A4">
            <w:pPr>
              <w:rPr>
                <w:rFonts w:ascii="Arial"/>
                <w:sz w:val="21"/>
              </w:rPr>
            </w:pPr>
          </w:p>
        </w:tc>
        <w:tc>
          <w:tcPr>
            <w:tcW w:w="973" w:type="dxa"/>
            <w:vMerge w:val="continue"/>
            <w:tcBorders>
              <w:top w:val="nil"/>
              <w:bottom w:val="nil"/>
            </w:tcBorders>
            <w:vAlign w:val="top"/>
          </w:tcPr>
          <w:p w14:paraId="300F583E">
            <w:pPr>
              <w:rPr>
                <w:rFonts w:ascii="Arial"/>
                <w:sz w:val="21"/>
              </w:rPr>
            </w:pPr>
          </w:p>
        </w:tc>
        <w:tc>
          <w:tcPr>
            <w:tcW w:w="1160" w:type="dxa"/>
            <w:vMerge w:val="continue"/>
            <w:tcBorders>
              <w:top w:val="nil"/>
              <w:bottom w:val="nil"/>
            </w:tcBorders>
            <w:vAlign w:val="top"/>
          </w:tcPr>
          <w:p w14:paraId="6A4C2364">
            <w:pPr>
              <w:rPr>
                <w:rFonts w:ascii="Arial"/>
                <w:sz w:val="21"/>
              </w:rPr>
            </w:pPr>
          </w:p>
        </w:tc>
        <w:tc>
          <w:tcPr>
            <w:tcW w:w="1897" w:type="dxa"/>
            <w:vAlign w:val="top"/>
          </w:tcPr>
          <w:p w14:paraId="6FABD1A6">
            <w:pPr>
              <w:pStyle w:val="6"/>
              <w:spacing w:before="58" w:line="228" w:lineRule="auto"/>
              <w:ind w:left="641"/>
              <w:rPr>
                <w:sz w:val="20"/>
                <w:szCs w:val="20"/>
              </w:rPr>
            </w:pPr>
            <w:r>
              <w:rPr>
                <w:spacing w:val="6"/>
                <w:sz w:val="20"/>
                <w:szCs w:val="20"/>
              </w:rPr>
              <w:t>氟化氢</w:t>
            </w:r>
          </w:p>
          <w:p w14:paraId="5902E1AB">
            <w:pPr>
              <w:pStyle w:val="6"/>
              <w:spacing w:before="24" w:line="209" w:lineRule="auto"/>
              <w:ind w:left="230"/>
              <w:rPr>
                <w:sz w:val="20"/>
                <w:szCs w:val="20"/>
              </w:rPr>
            </w:pPr>
            <w:r>
              <w:rPr>
                <w:spacing w:val="5"/>
                <w:sz w:val="20"/>
                <w:szCs w:val="20"/>
              </w:rPr>
              <w:t>（以氟化物计）</w:t>
            </w:r>
          </w:p>
        </w:tc>
        <w:tc>
          <w:tcPr>
            <w:tcW w:w="1048" w:type="dxa"/>
            <w:vAlign w:val="top"/>
          </w:tcPr>
          <w:p w14:paraId="7AB25508">
            <w:pPr>
              <w:spacing w:before="23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0.6650</w:t>
            </w:r>
          </w:p>
        </w:tc>
        <w:tc>
          <w:tcPr>
            <w:tcW w:w="924" w:type="dxa"/>
            <w:vAlign w:val="top"/>
          </w:tcPr>
          <w:p w14:paraId="58A9BAA2">
            <w:pPr>
              <w:spacing w:before="231"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949" w:type="dxa"/>
            <w:vMerge w:val="continue"/>
            <w:tcBorders>
              <w:top w:val="nil"/>
              <w:bottom w:val="nil"/>
            </w:tcBorders>
            <w:vAlign w:val="top"/>
          </w:tcPr>
          <w:p w14:paraId="343C8B5E">
            <w:pPr>
              <w:rPr>
                <w:rFonts w:ascii="Arial"/>
                <w:sz w:val="21"/>
              </w:rPr>
            </w:pPr>
          </w:p>
        </w:tc>
        <w:tc>
          <w:tcPr>
            <w:tcW w:w="128" w:type="dxa"/>
            <w:vMerge w:val="continue"/>
            <w:tcBorders>
              <w:top w:val="nil"/>
              <w:bottom w:val="nil"/>
              <w:right w:val="single" w:color="000000" w:sz="6" w:space="0"/>
            </w:tcBorders>
            <w:vAlign w:val="top"/>
          </w:tcPr>
          <w:p w14:paraId="1F5233EB">
            <w:pPr>
              <w:rPr>
                <w:rFonts w:ascii="Arial"/>
                <w:sz w:val="21"/>
              </w:rPr>
            </w:pPr>
          </w:p>
        </w:tc>
      </w:tr>
      <w:tr w14:paraId="38ED8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54" w:type="dxa"/>
            <w:vMerge w:val="continue"/>
            <w:tcBorders>
              <w:top w:val="nil"/>
              <w:left w:val="single" w:color="000000" w:sz="6" w:space="0"/>
              <w:bottom w:val="nil"/>
            </w:tcBorders>
            <w:vAlign w:val="top"/>
          </w:tcPr>
          <w:p w14:paraId="36A1A431">
            <w:pPr>
              <w:rPr>
                <w:rFonts w:ascii="Arial"/>
                <w:sz w:val="21"/>
              </w:rPr>
            </w:pPr>
          </w:p>
        </w:tc>
        <w:tc>
          <w:tcPr>
            <w:tcW w:w="93" w:type="dxa"/>
            <w:tcBorders>
              <w:top w:val="nil"/>
              <w:bottom w:val="nil"/>
            </w:tcBorders>
            <w:vAlign w:val="top"/>
          </w:tcPr>
          <w:p w14:paraId="290B8C67">
            <w:pPr>
              <w:rPr>
                <w:rFonts w:ascii="Arial"/>
                <w:sz w:val="21"/>
              </w:rPr>
            </w:pPr>
          </w:p>
        </w:tc>
        <w:tc>
          <w:tcPr>
            <w:tcW w:w="967" w:type="dxa"/>
            <w:vMerge w:val="continue"/>
            <w:tcBorders>
              <w:top w:val="nil"/>
              <w:bottom w:val="nil"/>
            </w:tcBorders>
            <w:vAlign w:val="top"/>
          </w:tcPr>
          <w:p w14:paraId="3108AA6D">
            <w:pPr>
              <w:rPr>
                <w:rFonts w:ascii="Arial"/>
                <w:sz w:val="21"/>
              </w:rPr>
            </w:pPr>
          </w:p>
        </w:tc>
        <w:tc>
          <w:tcPr>
            <w:tcW w:w="973" w:type="dxa"/>
            <w:vMerge w:val="continue"/>
            <w:tcBorders>
              <w:top w:val="nil"/>
              <w:bottom w:val="nil"/>
            </w:tcBorders>
            <w:vAlign w:val="top"/>
          </w:tcPr>
          <w:p w14:paraId="61A1BE46">
            <w:pPr>
              <w:rPr>
                <w:rFonts w:ascii="Arial"/>
                <w:sz w:val="21"/>
              </w:rPr>
            </w:pPr>
          </w:p>
        </w:tc>
        <w:tc>
          <w:tcPr>
            <w:tcW w:w="1160" w:type="dxa"/>
            <w:vMerge w:val="continue"/>
            <w:tcBorders>
              <w:top w:val="nil"/>
              <w:bottom w:val="nil"/>
            </w:tcBorders>
            <w:vAlign w:val="top"/>
          </w:tcPr>
          <w:p w14:paraId="41380489">
            <w:pPr>
              <w:rPr>
                <w:rFonts w:ascii="Arial"/>
                <w:sz w:val="21"/>
              </w:rPr>
            </w:pPr>
          </w:p>
        </w:tc>
        <w:tc>
          <w:tcPr>
            <w:tcW w:w="1897" w:type="dxa"/>
            <w:vAlign w:val="top"/>
          </w:tcPr>
          <w:p w14:paraId="23497E48">
            <w:pPr>
              <w:pStyle w:val="6"/>
              <w:spacing w:before="75" w:line="229" w:lineRule="auto"/>
              <w:ind w:left="639"/>
              <w:rPr>
                <w:sz w:val="20"/>
                <w:szCs w:val="20"/>
              </w:rPr>
            </w:pPr>
            <w:r>
              <w:rPr>
                <w:spacing w:val="7"/>
                <w:sz w:val="20"/>
                <w:szCs w:val="20"/>
              </w:rPr>
              <w:t>硫酸雾</w:t>
            </w:r>
          </w:p>
        </w:tc>
        <w:tc>
          <w:tcPr>
            <w:tcW w:w="1048" w:type="dxa"/>
            <w:vAlign w:val="top"/>
          </w:tcPr>
          <w:p w14:paraId="6AC3CEFF">
            <w:pPr>
              <w:spacing w:before="11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0.0966</w:t>
            </w:r>
          </w:p>
        </w:tc>
        <w:tc>
          <w:tcPr>
            <w:tcW w:w="924" w:type="dxa"/>
            <w:vAlign w:val="top"/>
          </w:tcPr>
          <w:p w14:paraId="148AE5B1">
            <w:pPr>
              <w:spacing w:before="111"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0.3244</w:t>
            </w:r>
          </w:p>
        </w:tc>
        <w:tc>
          <w:tcPr>
            <w:tcW w:w="949" w:type="dxa"/>
            <w:vMerge w:val="continue"/>
            <w:tcBorders>
              <w:top w:val="nil"/>
              <w:bottom w:val="nil"/>
            </w:tcBorders>
            <w:vAlign w:val="top"/>
          </w:tcPr>
          <w:p w14:paraId="07044B09">
            <w:pPr>
              <w:rPr>
                <w:rFonts w:ascii="Arial"/>
                <w:sz w:val="21"/>
              </w:rPr>
            </w:pPr>
          </w:p>
        </w:tc>
        <w:tc>
          <w:tcPr>
            <w:tcW w:w="128" w:type="dxa"/>
            <w:vMerge w:val="continue"/>
            <w:tcBorders>
              <w:top w:val="nil"/>
              <w:bottom w:val="nil"/>
              <w:right w:val="single" w:color="000000" w:sz="6" w:space="0"/>
            </w:tcBorders>
            <w:vAlign w:val="top"/>
          </w:tcPr>
          <w:p w14:paraId="723814C4">
            <w:pPr>
              <w:rPr>
                <w:rFonts w:ascii="Arial"/>
                <w:sz w:val="21"/>
              </w:rPr>
            </w:pPr>
          </w:p>
        </w:tc>
      </w:tr>
      <w:tr w14:paraId="6CB92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54" w:type="dxa"/>
            <w:vMerge w:val="continue"/>
            <w:tcBorders>
              <w:top w:val="nil"/>
              <w:left w:val="single" w:color="000000" w:sz="6" w:space="0"/>
              <w:bottom w:val="nil"/>
            </w:tcBorders>
            <w:vAlign w:val="top"/>
          </w:tcPr>
          <w:p w14:paraId="6182B2C6">
            <w:pPr>
              <w:rPr>
                <w:rFonts w:ascii="Arial"/>
                <w:sz w:val="21"/>
              </w:rPr>
            </w:pPr>
          </w:p>
        </w:tc>
        <w:tc>
          <w:tcPr>
            <w:tcW w:w="93" w:type="dxa"/>
            <w:tcBorders>
              <w:top w:val="nil"/>
              <w:bottom w:val="nil"/>
            </w:tcBorders>
            <w:vAlign w:val="top"/>
          </w:tcPr>
          <w:p w14:paraId="0E9184D4">
            <w:pPr>
              <w:rPr>
                <w:rFonts w:ascii="Arial"/>
                <w:sz w:val="21"/>
              </w:rPr>
            </w:pPr>
          </w:p>
        </w:tc>
        <w:tc>
          <w:tcPr>
            <w:tcW w:w="967" w:type="dxa"/>
            <w:vMerge w:val="continue"/>
            <w:tcBorders>
              <w:top w:val="nil"/>
            </w:tcBorders>
            <w:vAlign w:val="top"/>
          </w:tcPr>
          <w:p w14:paraId="0A8AA8B7">
            <w:pPr>
              <w:rPr>
                <w:rFonts w:ascii="Arial"/>
                <w:sz w:val="21"/>
              </w:rPr>
            </w:pPr>
          </w:p>
        </w:tc>
        <w:tc>
          <w:tcPr>
            <w:tcW w:w="973" w:type="dxa"/>
            <w:vMerge w:val="continue"/>
            <w:tcBorders>
              <w:top w:val="nil"/>
            </w:tcBorders>
            <w:vAlign w:val="top"/>
          </w:tcPr>
          <w:p w14:paraId="635C6FFE">
            <w:pPr>
              <w:rPr>
                <w:rFonts w:ascii="Arial"/>
                <w:sz w:val="21"/>
              </w:rPr>
            </w:pPr>
          </w:p>
        </w:tc>
        <w:tc>
          <w:tcPr>
            <w:tcW w:w="1160" w:type="dxa"/>
            <w:vMerge w:val="continue"/>
            <w:tcBorders>
              <w:top w:val="nil"/>
            </w:tcBorders>
            <w:vAlign w:val="top"/>
          </w:tcPr>
          <w:p w14:paraId="4C52017E">
            <w:pPr>
              <w:rPr>
                <w:rFonts w:ascii="Arial"/>
                <w:sz w:val="21"/>
              </w:rPr>
            </w:pPr>
          </w:p>
        </w:tc>
        <w:tc>
          <w:tcPr>
            <w:tcW w:w="1897" w:type="dxa"/>
            <w:vAlign w:val="top"/>
          </w:tcPr>
          <w:p w14:paraId="326DF6EC">
            <w:pPr>
              <w:pStyle w:val="6"/>
              <w:spacing w:before="52" w:line="229" w:lineRule="auto"/>
              <w:ind w:left="642"/>
              <w:rPr>
                <w:sz w:val="20"/>
                <w:szCs w:val="20"/>
              </w:rPr>
            </w:pPr>
            <w:r>
              <w:rPr>
                <w:spacing w:val="6"/>
                <w:sz w:val="20"/>
                <w:szCs w:val="20"/>
              </w:rPr>
              <w:t>硝酸雾</w:t>
            </w:r>
          </w:p>
          <w:p w14:paraId="3FF65E3D">
            <w:pPr>
              <w:pStyle w:val="6"/>
              <w:spacing w:before="23" w:line="211"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vAlign w:val="top"/>
          </w:tcPr>
          <w:p w14:paraId="7D33D056">
            <w:pPr>
              <w:spacing w:before="229"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0.4854</w:t>
            </w:r>
          </w:p>
        </w:tc>
        <w:tc>
          <w:tcPr>
            <w:tcW w:w="924" w:type="dxa"/>
            <w:vAlign w:val="top"/>
          </w:tcPr>
          <w:p w14:paraId="395496C5">
            <w:pPr>
              <w:spacing w:before="229" w:line="195" w:lineRule="auto"/>
              <w:ind w:left="293"/>
              <w:rPr>
                <w:rFonts w:ascii="Times New Roman" w:hAnsi="Times New Roman" w:eastAsia="Times New Roman" w:cs="Times New Roman"/>
                <w:sz w:val="19"/>
                <w:szCs w:val="19"/>
              </w:rPr>
            </w:pPr>
            <w:r>
              <w:rPr>
                <w:rFonts w:ascii="Times New Roman" w:hAnsi="Times New Roman" w:eastAsia="Times New Roman" w:cs="Times New Roman"/>
                <w:sz w:val="19"/>
                <w:szCs w:val="19"/>
              </w:rPr>
              <w:t>1.6310</w:t>
            </w:r>
          </w:p>
        </w:tc>
        <w:tc>
          <w:tcPr>
            <w:tcW w:w="949" w:type="dxa"/>
            <w:vMerge w:val="continue"/>
            <w:tcBorders>
              <w:top w:val="nil"/>
            </w:tcBorders>
            <w:vAlign w:val="top"/>
          </w:tcPr>
          <w:p w14:paraId="47BFC31E">
            <w:pPr>
              <w:rPr>
                <w:rFonts w:ascii="Arial"/>
                <w:sz w:val="21"/>
              </w:rPr>
            </w:pPr>
          </w:p>
        </w:tc>
        <w:tc>
          <w:tcPr>
            <w:tcW w:w="128" w:type="dxa"/>
            <w:vMerge w:val="continue"/>
            <w:tcBorders>
              <w:top w:val="nil"/>
              <w:bottom w:val="nil"/>
              <w:right w:val="single" w:color="000000" w:sz="6" w:space="0"/>
            </w:tcBorders>
            <w:vAlign w:val="top"/>
          </w:tcPr>
          <w:p w14:paraId="4BE1F0E3">
            <w:pPr>
              <w:rPr>
                <w:rFonts w:ascii="Arial"/>
                <w:sz w:val="21"/>
              </w:rPr>
            </w:pPr>
          </w:p>
        </w:tc>
      </w:tr>
      <w:tr w14:paraId="1946F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54" w:type="dxa"/>
            <w:vMerge w:val="continue"/>
            <w:tcBorders>
              <w:top w:val="nil"/>
              <w:left w:val="single" w:color="000000" w:sz="6" w:space="0"/>
              <w:bottom w:val="nil"/>
            </w:tcBorders>
            <w:vAlign w:val="top"/>
          </w:tcPr>
          <w:p w14:paraId="7BA8BD64">
            <w:pPr>
              <w:rPr>
                <w:rFonts w:ascii="Arial"/>
                <w:sz w:val="21"/>
              </w:rPr>
            </w:pPr>
          </w:p>
        </w:tc>
        <w:tc>
          <w:tcPr>
            <w:tcW w:w="93" w:type="dxa"/>
            <w:tcBorders>
              <w:top w:val="nil"/>
              <w:bottom w:val="nil"/>
            </w:tcBorders>
            <w:vAlign w:val="top"/>
          </w:tcPr>
          <w:p w14:paraId="27285520">
            <w:pPr>
              <w:rPr>
                <w:rFonts w:ascii="Arial"/>
                <w:sz w:val="21"/>
              </w:rPr>
            </w:pPr>
          </w:p>
        </w:tc>
        <w:tc>
          <w:tcPr>
            <w:tcW w:w="967" w:type="dxa"/>
            <w:vMerge w:val="restart"/>
            <w:tcBorders>
              <w:bottom w:val="nil"/>
            </w:tcBorders>
            <w:vAlign w:val="top"/>
          </w:tcPr>
          <w:p w14:paraId="3DE94CD5">
            <w:pPr>
              <w:spacing w:line="244" w:lineRule="auto"/>
              <w:rPr>
                <w:rFonts w:ascii="Arial"/>
                <w:sz w:val="21"/>
              </w:rPr>
            </w:pPr>
          </w:p>
          <w:p w14:paraId="6CA3895A">
            <w:pPr>
              <w:spacing w:line="244" w:lineRule="auto"/>
              <w:rPr>
                <w:rFonts w:ascii="Arial"/>
                <w:sz w:val="21"/>
              </w:rPr>
            </w:pPr>
          </w:p>
          <w:p w14:paraId="5903329A">
            <w:pPr>
              <w:spacing w:line="244" w:lineRule="auto"/>
              <w:rPr>
                <w:rFonts w:ascii="Arial"/>
                <w:sz w:val="21"/>
              </w:rPr>
            </w:pPr>
          </w:p>
          <w:p w14:paraId="0213A338">
            <w:pPr>
              <w:pStyle w:val="6"/>
              <w:spacing w:before="65" w:line="228"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w:t>
            </w:r>
            <w:r>
              <w:rPr>
                <w:rFonts w:ascii="Times New Roman" w:hAnsi="Times New Roman" w:eastAsia="Times New Roman" w:cs="Times New Roman"/>
                <w:spacing w:val="11"/>
                <w:sz w:val="20"/>
                <w:szCs w:val="20"/>
              </w:rPr>
              <w:t xml:space="preserve"> </w:t>
            </w:r>
            <w:r>
              <w:rPr>
                <w:spacing w:val="2"/>
                <w:sz w:val="20"/>
                <w:szCs w:val="20"/>
              </w:rPr>
              <w:t>层</w:t>
            </w:r>
            <w:r>
              <w:rPr>
                <w:rFonts w:ascii="Times New Roman" w:hAnsi="Times New Roman" w:eastAsia="Times New Roman" w:cs="Times New Roman"/>
                <w:spacing w:val="2"/>
                <w:sz w:val="20"/>
                <w:szCs w:val="20"/>
              </w:rPr>
              <w:t>-B</w:t>
            </w:r>
          </w:p>
        </w:tc>
        <w:tc>
          <w:tcPr>
            <w:tcW w:w="973" w:type="dxa"/>
            <w:vMerge w:val="restart"/>
            <w:tcBorders>
              <w:bottom w:val="nil"/>
            </w:tcBorders>
            <w:vAlign w:val="top"/>
          </w:tcPr>
          <w:p w14:paraId="3A63D719">
            <w:pPr>
              <w:spacing w:line="258" w:lineRule="auto"/>
              <w:rPr>
                <w:rFonts w:ascii="Arial"/>
                <w:sz w:val="21"/>
              </w:rPr>
            </w:pPr>
          </w:p>
          <w:p w14:paraId="26E0F167">
            <w:pPr>
              <w:spacing w:line="259" w:lineRule="auto"/>
              <w:rPr>
                <w:rFonts w:ascii="Arial"/>
                <w:sz w:val="21"/>
              </w:rPr>
            </w:pPr>
          </w:p>
          <w:p w14:paraId="6F523FA0">
            <w:pPr>
              <w:spacing w:line="259" w:lineRule="auto"/>
              <w:rPr>
                <w:rFonts w:ascii="Arial"/>
                <w:sz w:val="21"/>
              </w:rPr>
            </w:pPr>
          </w:p>
          <w:p w14:paraId="5BDEED2E">
            <w:pPr>
              <w:spacing w:before="5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0" w:type="dxa"/>
            <w:vMerge w:val="restart"/>
            <w:tcBorders>
              <w:bottom w:val="nil"/>
            </w:tcBorders>
            <w:vAlign w:val="top"/>
          </w:tcPr>
          <w:p w14:paraId="10580DCA">
            <w:pPr>
              <w:spacing w:line="258" w:lineRule="auto"/>
              <w:rPr>
                <w:rFonts w:ascii="Arial"/>
                <w:sz w:val="21"/>
              </w:rPr>
            </w:pPr>
          </w:p>
          <w:p w14:paraId="054DF621">
            <w:pPr>
              <w:spacing w:line="259" w:lineRule="auto"/>
              <w:rPr>
                <w:rFonts w:ascii="Arial"/>
                <w:sz w:val="21"/>
              </w:rPr>
            </w:pPr>
          </w:p>
          <w:p w14:paraId="64E80326">
            <w:pPr>
              <w:spacing w:line="259" w:lineRule="auto"/>
              <w:rPr>
                <w:rFonts w:ascii="Arial"/>
                <w:sz w:val="21"/>
              </w:rPr>
            </w:pPr>
          </w:p>
          <w:p w14:paraId="1D3A02D6">
            <w:pPr>
              <w:spacing w:before="5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7" w:type="dxa"/>
            <w:vAlign w:val="top"/>
          </w:tcPr>
          <w:p w14:paraId="7B842028">
            <w:pPr>
              <w:pStyle w:val="6"/>
              <w:spacing w:before="73" w:line="229" w:lineRule="auto"/>
              <w:ind w:left="643"/>
              <w:rPr>
                <w:sz w:val="20"/>
                <w:szCs w:val="20"/>
              </w:rPr>
            </w:pPr>
            <w:r>
              <w:rPr>
                <w:spacing w:val="5"/>
                <w:sz w:val="20"/>
                <w:szCs w:val="20"/>
              </w:rPr>
              <w:t>氯化氢</w:t>
            </w:r>
          </w:p>
        </w:tc>
        <w:tc>
          <w:tcPr>
            <w:tcW w:w="1048" w:type="dxa"/>
            <w:vAlign w:val="top"/>
          </w:tcPr>
          <w:p w14:paraId="247B79C6">
            <w:pPr>
              <w:spacing w:before="111"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6.6976</w:t>
            </w:r>
          </w:p>
        </w:tc>
        <w:tc>
          <w:tcPr>
            <w:tcW w:w="924" w:type="dxa"/>
            <w:vAlign w:val="top"/>
          </w:tcPr>
          <w:p w14:paraId="5C10360B">
            <w:pPr>
              <w:spacing w:before="11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22.5038</w:t>
            </w:r>
          </w:p>
        </w:tc>
        <w:tc>
          <w:tcPr>
            <w:tcW w:w="949" w:type="dxa"/>
            <w:vMerge w:val="restart"/>
            <w:tcBorders>
              <w:bottom w:val="nil"/>
            </w:tcBorders>
            <w:vAlign w:val="top"/>
          </w:tcPr>
          <w:p w14:paraId="410DB2D6">
            <w:pPr>
              <w:spacing w:line="258" w:lineRule="auto"/>
              <w:rPr>
                <w:rFonts w:ascii="Arial"/>
                <w:sz w:val="21"/>
              </w:rPr>
            </w:pPr>
          </w:p>
          <w:p w14:paraId="623FF1FA">
            <w:pPr>
              <w:spacing w:line="259" w:lineRule="auto"/>
              <w:rPr>
                <w:rFonts w:ascii="Arial"/>
                <w:sz w:val="21"/>
              </w:rPr>
            </w:pPr>
          </w:p>
          <w:p w14:paraId="49113726">
            <w:pPr>
              <w:spacing w:line="259" w:lineRule="auto"/>
              <w:rPr>
                <w:rFonts w:ascii="Arial"/>
                <w:sz w:val="21"/>
              </w:rPr>
            </w:pPr>
          </w:p>
          <w:p w14:paraId="0B76CC37">
            <w:pPr>
              <w:spacing w:before="5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05F748DA">
            <w:pPr>
              <w:rPr>
                <w:rFonts w:ascii="Arial"/>
                <w:sz w:val="21"/>
              </w:rPr>
            </w:pPr>
          </w:p>
        </w:tc>
      </w:tr>
      <w:tr w14:paraId="42D73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54" w:type="dxa"/>
            <w:vMerge w:val="continue"/>
            <w:tcBorders>
              <w:top w:val="nil"/>
              <w:left w:val="single" w:color="000000" w:sz="6" w:space="0"/>
              <w:bottom w:val="nil"/>
            </w:tcBorders>
            <w:vAlign w:val="top"/>
          </w:tcPr>
          <w:p w14:paraId="6BC875CD">
            <w:pPr>
              <w:rPr>
                <w:rFonts w:ascii="Arial"/>
                <w:sz w:val="21"/>
              </w:rPr>
            </w:pPr>
          </w:p>
        </w:tc>
        <w:tc>
          <w:tcPr>
            <w:tcW w:w="93" w:type="dxa"/>
            <w:tcBorders>
              <w:top w:val="nil"/>
              <w:bottom w:val="nil"/>
            </w:tcBorders>
            <w:vAlign w:val="top"/>
          </w:tcPr>
          <w:p w14:paraId="7E3D605A">
            <w:pPr>
              <w:rPr>
                <w:rFonts w:ascii="Arial"/>
                <w:sz w:val="21"/>
              </w:rPr>
            </w:pPr>
          </w:p>
        </w:tc>
        <w:tc>
          <w:tcPr>
            <w:tcW w:w="967" w:type="dxa"/>
            <w:vMerge w:val="continue"/>
            <w:tcBorders>
              <w:top w:val="nil"/>
              <w:bottom w:val="nil"/>
            </w:tcBorders>
            <w:vAlign w:val="top"/>
          </w:tcPr>
          <w:p w14:paraId="13D373E3">
            <w:pPr>
              <w:rPr>
                <w:rFonts w:ascii="Arial"/>
                <w:sz w:val="21"/>
              </w:rPr>
            </w:pPr>
          </w:p>
        </w:tc>
        <w:tc>
          <w:tcPr>
            <w:tcW w:w="973" w:type="dxa"/>
            <w:vMerge w:val="continue"/>
            <w:tcBorders>
              <w:top w:val="nil"/>
              <w:bottom w:val="nil"/>
            </w:tcBorders>
            <w:vAlign w:val="top"/>
          </w:tcPr>
          <w:p w14:paraId="0FFEBDF8">
            <w:pPr>
              <w:rPr>
                <w:rFonts w:ascii="Arial"/>
                <w:sz w:val="21"/>
              </w:rPr>
            </w:pPr>
          </w:p>
        </w:tc>
        <w:tc>
          <w:tcPr>
            <w:tcW w:w="1160" w:type="dxa"/>
            <w:vMerge w:val="continue"/>
            <w:tcBorders>
              <w:top w:val="nil"/>
              <w:bottom w:val="nil"/>
            </w:tcBorders>
            <w:vAlign w:val="top"/>
          </w:tcPr>
          <w:p w14:paraId="26C12527">
            <w:pPr>
              <w:rPr>
                <w:rFonts w:ascii="Arial"/>
                <w:sz w:val="21"/>
              </w:rPr>
            </w:pPr>
          </w:p>
        </w:tc>
        <w:tc>
          <w:tcPr>
            <w:tcW w:w="1897" w:type="dxa"/>
            <w:vAlign w:val="top"/>
          </w:tcPr>
          <w:p w14:paraId="48B63DB6">
            <w:pPr>
              <w:pStyle w:val="6"/>
              <w:spacing w:before="44" w:line="228" w:lineRule="auto"/>
              <w:ind w:left="641"/>
              <w:rPr>
                <w:sz w:val="20"/>
                <w:szCs w:val="20"/>
              </w:rPr>
            </w:pPr>
            <w:r>
              <w:rPr>
                <w:spacing w:val="6"/>
                <w:sz w:val="20"/>
                <w:szCs w:val="20"/>
              </w:rPr>
              <w:t>氟化氢</w:t>
            </w:r>
          </w:p>
          <w:p w14:paraId="350739EF">
            <w:pPr>
              <w:pStyle w:val="6"/>
              <w:spacing w:before="27" w:line="196" w:lineRule="auto"/>
              <w:ind w:left="230"/>
              <w:rPr>
                <w:sz w:val="20"/>
                <w:szCs w:val="20"/>
              </w:rPr>
            </w:pPr>
            <w:r>
              <w:rPr>
                <w:spacing w:val="5"/>
                <w:sz w:val="20"/>
                <w:szCs w:val="20"/>
              </w:rPr>
              <w:t>（以氟化物计）</w:t>
            </w:r>
          </w:p>
        </w:tc>
        <w:tc>
          <w:tcPr>
            <w:tcW w:w="1048" w:type="dxa"/>
            <w:vAlign w:val="top"/>
          </w:tcPr>
          <w:p w14:paraId="6B0EFF2C">
            <w:pPr>
              <w:spacing w:before="21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0.6650</w:t>
            </w:r>
          </w:p>
        </w:tc>
        <w:tc>
          <w:tcPr>
            <w:tcW w:w="924" w:type="dxa"/>
            <w:vAlign w:val="top"/>
          </w:tcPr>
          <w:p w14:paraId="1ECC0227">
            <w:pPr>
              <w:spacing w:before="21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949" w:type="dxa"/>
            <w:vMerge w:val="continue"/>
            <w:tcBorders>
              <w:top w:val="nil"/>
              <w:bottom w:val="nil"/>
            </w:tcBorders>
            <w:vAlign w:val="top"/>
          </w:tcPr>
          <w:p w14:paraId="64B45CE5">
            <w:pPr>
              <w:rPr>
                <w:rFonts w:ascii="Arial"/>
                <w:sz w:val="21"/>
              </w:rPr>
            </w:pPr>
          </w:p>
        </w:tc>
        <w:tc>
          <w:tcPr>
            <w:tcW w:w="128" w:type="dxa"/>
            <w:vMerge w:val="continue"/>
            <w:tcBorders>
              <w:top w:val="nil"/>
              <w:bottom w:val="nil"/>
              <w:right w:val="single" w:color="000000" w:sz="6" w:space="0"/>
            </w:tcBorders>
            <w:vAlign w:val="top"/>
          </w:tcPr>
          <w:p w14:paraId="55FBD069">
            <w:pPr>
              <w:rPr>
                <w:rFonts w:ascii="Arial"/>
                <w:sz w:val="21"/>
              </w:rPr>
            </w:pPr>
          </w:p>
        </w:tc>
      </w:tr>
      <w:tr w14:paraId="4EDDA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54" w:type="dxa"/>
            <w:vMerge w:val="continue"/>
            <w:tcBorders>
              <w:top w:val="nil"/>
              <w:left w:val="single" w:color="000000" w:sz="6" w:space="0"/>
              <w:bottom w:val="nil"/>
            </w:tcBorders>
            <w:vAlign w:val="top"/>
          </w:tcPr>
          <w:p w14:paraId="0B14F5BD">
            <w:pPr>
              <w:rPr>
                <w:rFonts w:ascii="Arial"/>
                <w:sz w:val="21"/>
              </w:rPr>
            </w:pPr>
          </w:p>
        </w:tc>
        <w:tc>
          <w:tcPr>
            <w:tcW w:w="93" w:type="dxa"/>
            <w:tcBorders>
              <w:top w:val="nil"/>
              <w:bottom w:val="nil"/>
            </w:tcBorders>
            <w:vAlign w:val="top"/>
          </w:tcPr>
          <w:p w14:paraId="1A5E7921">
            <w:pPr>
              <w:rPr>
                <w:rFonts w:ascii="Arial"/>
                <w:sz w:val="21"/>
              </w:rPr>
            </w:pPr>
          </w:p>
        </w:tc>
        <w:tc>
          <w:tcPr>
            <w:tcW w:w="967" w:type="dxa"/>
            <w:vMerge w:val="continue"/>
            <w:tcBorders>
              <w:top w:val="nil"/>
              <w:bottom w:val="nil"/>
            </w:tcBorders>
            <w:vAlign w:val="top"/>
          </w:tcPr>
          <w:p w14:paraId="7FF710E9">
            <w:pPr>
              <w:rPr>
                <w:rFonts w:ascii="Arial"/>
                <w:sz w:val="21"/>
              </w:rPr>
            </w:pPr>
          </w:p>
        </w:tc>
        <w:tc>
          <w:tcPr>
            <w:tcW w:w="973" w:type="dxa"/>
            <w:vMerge w:val="continue"/>
            <w:tcBorders>
              <w:top w:val="nil"/>
              <w:bottom w:val="nil"/>
            </w:tcBorders>
            <w:vAlign w:val="top"/>
          </w:tcPr>
          <w:p w14:paraId="709BCA8D">
            <w:pPr>
              <w:rPr>
                <w:rFonts w:ascii="Arial"/>
                <w:sz w:val="21"/>
              </w:rPr>
            </w:pPr>
          </w:p>
        </w:tc>
        <w:tc>
          <w:tcPr>
            <w:tcW w:w="1160" w:type="dxa"/>
            <w:vMerge w:val="continue"/>
            <w:tcBorders>
              <w:top w:val="nil"/>
              <w:bottom w:val="nil"/>
            </w:tcBorders>
            <w:vAlign w:val="top"/>
          </w:tcPr>
          <w:p w14:paraId="65C9B54C">
            <w:pPr>
              <w:rPr>
                <w:rFonts w:ascii="Arial"/>
                <w:sz w:val="21"/>
              </w:rPr>
            </w:pPr>
          </w:p>
        </w:tc>
        <w:tc>
          <w:tcPr>
            <w:tcW w:w="1897" w:type="dxa"/>
            <w:vAlign w:val="top"/>
          </w:tcPr>
          <w:p w14:paraId="68D383F7">
            <w:pPr>
              <w:pStyle w:val="6"/>
              <w:spacing w:before="86" w:line="220" w:lineRule="auto"/>
              <w:ind w:left="639"/>
              <w:rPr>
                <w:sz w:val="20"/>
                <w:szCs w:val="20"/>
              </w:rPr>
            </w:pPr>
            <w:r>
              <w:rPr>
                <w:spacing w:val="7"/>
                <w:sz w:val="20"/>
                <w:szCs w:val="20"/>
              </w:rPr>
              <w:t>硫酸雾</w:t>
            </w:r>
          </w:p>
        </w:tc>
        <w:tc>
          <w:tcPr>
            <w:tcW w:w="1048" w:type="dxa"/>
            <w:vAlign w:val="top"/>
          </w:tcPr>
          <w:p w14:paraId="7B882536">
            <w:pPr>
              <w:spacing w:before="12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0.0966</w:t>
            </w:r>
          </w:p>
        </w:tc>
        <w:tc>
          <w:tcPr>
            <w:tcW w:w="924" w:type="dxa"/>
            <w:vAlign w:val="top"/>
          </w:tcPr>
          <w:p w14:paraId="3F7119C8">
            <w:pPr>
              <w:spacing w:before="122"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0.3244</w:t>
            </w:r>
          </w:p>
        </w:tc>
        <w:tc>
          <w:tcPr>
            <w:tcW w:w="949" w:type="dxa"/>
            <w:vMerge w:val="continue"/>
            <w:tcBorders>
              <w:top w:val="nil"/>
              <w:bottom w:val="nil"/>
            </w:tcBorders>
            <w:vAlign w:val="top"/>
          </w:tcPr>
          <w:p w14:paraId="39003E7B">
            <w:pPr>
              <w:rPr>
                <w:rFonts w:ascii="Arial"/>
                <w:sz w:val="21"/>
              </w:rPr>
            </w:pPr>
          </w:p>
        </w:tc>
        <w:tc>
          <w:tcPr>
            <w:tcW w:w="128" w:type="dxa"/>
            <w:vMerge w:val="continue"/>
            <w:tcBorders>
              <w:top w:val="nil"/>
              <w:bottom w:val="nil"/>
              <w:right w:val="single" w:color="000000" w:sz="6" w:space="0"/>
            </w:tcBorders>
            <w:vAlign w:val="top"/>
          </w:tcPr>
          <w:p w14:paraId="59F59F21">
            <w:pPr>
              <w:rPr>
                <w:rFonts w:ascii="Arial"/>
                <w:sz w:val="21"/>
              </w:rPr>
            </w:pPr>
          </w:p>
        </w:tc>
      </w:tr>
      <w:tr w14:paraId="45CF6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4" w:type="dxa"/>
            <w:vMerge w:val="continue"/>
            <w:tcBorders>
              <w:top w:val="nil"/>
              <w:left w:val="single" w:color="000000" w:sz="6" w:space="0"/>
              <w:bottom w:val="nil"/>
            </w:tcBorders>
            <w:vAlign w:val="top"/>
          </w:tcPr>
          <w:p w14:paraId="34275E00">
            <w:pPr>
              <w:rPr>
                <w:rFonts w:ascii="Arial"/>
                <w:sz w:val="21"/>
              </w:rPr>
            </w:pPr>
          </w:p>
        </w:tc>
        <w:tc>
          <w:tcPr>
            <w:tcW w:w="93" w:type="dxa"/>
            <w:tcBorders>
              <w:top w:val="nil"/>
              <w:bottom w:val="nil"/>
            </w:tcBorders>
            <w:vAlign w:val="top"/>
          </w:tcPr>
          <w:p w14:paraId="4D22D950">
            <w:pPr>
              <w:rPr>
                <w:rFonts w:ascii="Arial"/>
                <w:sz w:val="21"/>
              </w:rPr>
            </w:pPr>
          </w:p>
        </w:tc>
        <w:tc>
          <w:tcPr>
            <w:tcW w:w="967" w:type="dxa"/>
            <w:vMerge w:val="continue"/>
            <w:tcBorders>
              <w:top w:val="nil"/>
            </w:tcBorders>
            <w:vAlign w:val="top"/>
          </w:tcPr>
          <w:p w14:paraId="1A751BC3">
            <w:pPr>
              <w:rPr>
                <w:rFonts w:ascii="Arial"/>
                <w:sz w:val="21"/>
              </w:rPr>
            </w:pPr>
          </w:p>
        </w:tc>
        <w:tc>
          <w:tcPr>
            <w:tcW w:w="973" w:type="dxa"/>
            <w:vMerge w:val="continue"/>
            <w:tcBorders>
              <w:top w:val="nil"/>
            </w:tcBorders>
            <w:vAlign w:val="top"/>
          </w:tcPr>
          <w:p w14:paraId="4CE64777">
            <w:pPr>
              <w:rPr>
                <w:rFonts w:ascii="Arial"/>
                <w:sz w:val="21"/>
              </w:rPr>
            </w:pPr>
          </w:p>
        </w:tc>
        <w:tc>
          <w:tcPr>
            <w:tcW w:w="1160" w:type="dxa"/>
            <w:vMerge w:val="continue"/>
            <w:tcBorders>
              <w:top w:val="nil"/>
            </w:tcBorders>
            <w:vAlign w:val="top"/>
          </w:tcPr>
          <w:p w14:paraId="14138F69">
            <w:pPr>
              <w:rPr>
                <w:rFonts w:ascii="Arial"/>
                <w:sz w:val="21"/>
              </w:rPr>
            </w:pPr>
          </w:p>
        </w:tc>
        <w:tc>
          <w:tcPr>
            <w:tcW w:w="1897" w:type="dxa"/>
            <w:vAlign w:val="top"/>
          </w:tcPr>
          <w:p w14:paraId="4770EF41">
            <w:pPr>
              <w:pStyle w:val="6"/>
              <w:spacing w:before="63" w:line="229" w:lineRule="auto"/>
              <w:ind w:left="642"/>
              <w:rPr>
                <w:sz w:val="20"/>
                <w:szCs w:val="20"/>
              </w:rPr>
            </w:pPr>
            <w:r>
              <w:rPr>
                <w:spacing w:val="6"/>
                <w:sz w:val="20"/>
                <w:szCs w:val="20"/>
              </w:rPr>
              <w:t>硝酸雾</w:t>
            </w:r>
          </w:p>
          <w:p w14:paraId="44F94E7C">
            <w:pPr>
              <w:pStyle w:val="6"/>
              <w:spacing w:before="22" w:line="209"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vAlign w:val="top"/>
          </w:tcPr>
          <w:p w14:paraId="49889528">
            <w:pPr>
              <w:spacing w:before="238"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0.4854</w:t>
            </w:r>
          </w:p>
        </w:tc>
        <w:tc>
          <w:tcPr>
            <w:tcW w:w="924" w:type="dxa"/>
            <w:vAlign w:val="top"/>
          </w:tcPr>
          <w:p w14:paraId="5AC4BA3B">
            <w:pPr>
              <w:spacing w:before="238" w:line="195" w:lineRule="auto"/>
              <w:ind w:left="293"/>
              <w:rPr>
                <w:rFonts w:ascii="Times New Roman" w:hAnsi="Times New Roman" w:eastAsia="Times New Roman" w:cs="Times New Roman"/>
                <w:sz w:val="19"/>
                <w:szCs w:val="19"/>
              </w:rPr>
            </w:pPr>
            <w:r>
              <w:rPr>
                <w:rFonts w:ascii="Times New Roman" w:hAnsi="Times New Roman" w:eastAsia="Times New Roman" w:cs="Times New Roman"/>
                <w:sz w:val="19"/>
                <w:szCs w:val="19"/>
              </w:rPr>
              <w:t>1.6310</w:t>
            </w:r>
          </w:p>
        </w:tc>
        <w:tc>
          <w:tcPr>
            <w:tcW w:w="949" w:type="dxa"/>
            <w:vMerge w:val="continue"/>
            <w:tcBorders>
              <w:top w:val="nil"/>
            </w:tcBorders>
            <w:vAlign w:val="top"/>
          </w:tcPr>
          <w:p w14:paraId="5F2E7FED">
            <w:pPr>
              <w:rPr>
                <w:rFonts w:ascii="Arial"/>
                <w:sz w:val="21"/>
              </w:rPr>
            </w:pPr>
          </w:p>
        </w:tc>
        <w:tc>
          <w:tcPr>
            <w:tcW w:w="128" w:type="dxa"/>
            <w:vMerge w:val="continue"/>
            <w:tcBorders>
              <w:top w:val="nil"/>
              <w:bottom w:val="nil"/>
              <w:right w:val="single" w:color="000000" w:sz="6" w:space="0"/>
            </w:tcBorders>
            <w:vAlign w:val="top"/>
          </w:tcPr>
          <w:p w14:paraId="506EBD08">
            <w:pPr>
              <w:rPr>
                <w:rFonts w:ascii="Arial"/>
                <w:sz w:val="21"/>
              </w:rPr>
            </w:pPr>
          </w:p>
        </w:tc>
      </w:tr>
      <w:tr w14:paraId="71B11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754" w:type="dxa"/>
            <w:vMerge w:val="continue"/>
            <w:tcBorders>
              <w:top w:val="nil"/>
              <w:left w:val="single" w:color="000000" w:sz="6" w:space="0"/>
              <w:bottom w:val="nil"/>
            </w:tcBorders>
            <w:vAlign w:val="top"/>
          </w:tcPr>
          <w:p w14:paraId="6CE04D29">
            <w:pPr>
              <w:rPr>
                <w:rFonts w:ascii="Arial"/>
                <w:sz w:val="21"/>
              </w:rPr>
            </w:pPr>
          </w:p>
        </w:tc>
        <w:tc>
          <w:tcPr>
            <w:tcW w:w="93" w:type="dxa"/>
            <w:tcBorders>
              <w:top w:val="nil"/>
              <w:bottom w:val="nil"/>
            </w:tcBorders>
            <w:vAlign w:val="top"/>
          </w:tcPr>
          <w:p w14:paraId="57789A04">
            <w:pPr>
              <w:rPr>
                <w:rFonts w:ascii="Arial"/>
                <w:sz w:val="21"/>
              </w:rPr>
            </w:pPr>
          </w:p>
        </w:tc>
        <w:tc>
          <w:tcPr>
            <w:tcW w:w="967" w:type="dxa"/>
            <w:vMerge w:val="restart"/>
            <w:tcBorders>
              <w:bottom w:val="nil"/>
            </w:tcBorders>
            <w:vAlign w:val="top"/>
          </w:tcPr>
          <w:p w14:paraId="22E331CC">
            <w:pPr>
              <w:spacing w:line="245" w:lineRule="auto"/>
              <w:rPr>
                <w:rFonts w:ascii="Arial"/>
                <w:sz w:val="21"/>
              </w:rPr>
            </w:pPr>
          </w:p>
          <w:p w14:paraId="03CCC2E5">
            <w:pPr>
              <w:spacing w:line="245" w:lineRule="auto"/>
              <w:rPr>
                <w:rFonts w:ascii="Arial"/>
                <w:sz w:val="21"/>
              </w:rPr>
            </w:pPr>
          </w:p>
          <w:p w14:paraId="7A6ED261">
            <w:pPr>
              <w:spacing w:line="245" w:lineRule="auto"/>
              <w:rPr>
                <w:rFonts w:ascii="Arial"/>
                <w:sz w:val="21"/>
              </w:rPr>
            </w:pPr>
          </w:p>
          <w:p w14:paraId="1962DFEE">
            <w:pPr>
              <w:pStyle w:val="6"/>
              <w:spacing w:before="65" w:line="228"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pacing w:val="12"/>
                <w:sz w:val="20"/>
                <w:szCs w:val="20"/>
              </w:rPr>
              <w:t xml:space="preserve"> </w:t>
            </w:r>
            <w:r>
              <w:rPr>
                <w:spacing w:val="1"/>
                <w:sz w:val="20"/>
                <w:szCs w:val="20"/>
              </w:rPr>
              <w:t>层</w:t>
            </w:r>
            <w:r>
              <w:rPr>
                <w:rFonts w:ascii="Times New Roman" w:hAnsi="Times New Roman" w:eastAsia="Times New Roman" w:cs="Times New Roman"/>
                <w:spacing w:val="1"/>
                <w:sz w:val="20"/>
                <w:szCs w:val="20"/>
              </w:rPr>
              <w:t>-A</w:t>
            </w:r>
          </w:p>
        </w:tc>
        <w:tc>
          <w:tcPr>
            <w:tcW w:w="973" w:type="dxa"/>
            <w:vMerge w:val="restart"/>
            <w:tcBorders>
              <w:bottom w:val="nil"/>
            </w:tcBorders>
            <w:vAlign w:val="top"/>
          </w:tcPr>
          <w:p w14:paraId="4A9FA19B">
            <w:pPr>
              <w:spacing w:line="259" w:lineRule="auto"/>
              <w:rPr>
                <w:rFonts w:ascii="Arial"/>
                <w:sz w:val="21"/>
              </w:rPr>
            </w:pPr>
          </w:p>
          <w:p w14:paraId="0A599312">
            <w:pPr>
              <w:spacing w:line="259" w:lineRule="auto"/>
              <w:rPr>
                <w:rFonts w:ascii="Arial"/>
                <w:sz w:val="21"/>
              </w:rPr>
            </w:pPr>
          </w:p>
          <w:p w14:paraId="4F158ECB">
            <w:pPr>
              <w:spacing w:line="260" w:lineRule="auto"/>
              <w:rPr>
                <w:rFonts w:ascii="Arial"/>
                <w:sz w:val="21"/>
              </w:rPr>
            </w:pPr>
          </w:p>
          <w:p w14:paraId="57D15FFE">
            <w:pPr>
              <w:spacing w:before="5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0" w:type="dxa"/>
            <w:vMerge w:val="restart"/>
            <w:tcBorders>
              <w:bottom w:val="nil"/>
            </w:tcBorders>
            <w:vAlign w:val="top"/>
          </w:tcPr>
          <w:p w14:paraId="56D1D9E8">
            <w:pPr>
              <w:spacing w:line="259" w:lineRule="auto"/>
              <w:rPr>
                <w:rFonts w:ascii="Arial"/>
                <w:sz w:val="21"/>
              </w:rPr>
            </w:pPr>
          </w:p>
          <w:p w14:paraId="27BB5CBC">
            <w:pPr>
              <w:spacing w:line="259" w:lineRule="auto"/>
              <w:rPr>
                <w:rFonts w:ascii="Arial"/>
                <w:sz w:val="21"/>
              </w:rPr>
            </w:pPr>
          </w:p>
          <w:p w14:paraId="4BDFC6F6">
            <w:pPr>
              <w:spacing w:line="260" w:lineRule="auto"/>
              <w:rPr>
                <w:rFonts w:ascii="Arial"/>
                <w:sz w:val="21"/>
              </w:rPr>
            </w:pPr>
          </w:p>
          <w:p w14:paraId="720F0347">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7" w:type="dxa"/>
            <w:vAlign w:val="top"/>
          </w:tcPr>
          <w:p w14:paraId="38C7BADA">
            <w:pPr>
              <w:pStyle w:val="6"/>
              <w:spacing w:before="76" w:line="227" w:lineRule="auto"/>
              <w:ind w:left="643"/>
              <w:rPr>
                <w:sz w:val="20"/>
                <w:szCs w:val="20"/>
              </w:rPr>
            </w:pPr>
            <w:r>
              <w:rPr>
                <w:spacing w:val="5"/>
                <w:sz w:val="20"/>
                <w:szCs w:val="20"/>
              </w:rPr>
              <w:t>氯化氢</w:t>
            </w:r>
          </w:p>
        </w:tc>
        <w:tc>
          <w:tcPr>
            <w:tcW w:w="1048" w:type="dxa"/>
            <w:vAlign w:val="top"/>
          </w:tcPr>
          <w:p w14:paraId="4C206C2B">
            <w:pPr>
              <w:spacing w:before="111"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6.6976</w:t>
            </w:r>
          </w:p>
        </w:tc>
        <w:tc>
          <w:tcPr>
            <w:tcW w:w="924" w:type="dxa"/>
            <w:vAlign w:val="top"/>
          </w:tcPr>
          <w:p w14:paraId="2F249FFB">
            <w:pPr>
              <w:spacing w:before="11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22.5038</w:t>
            </w:r>
          </w:p>
        </w:tc>
        <w:tc>
          <w:tcPr>
            <w:tcW w:w="949" w:type="dxa"/>
            <w:vMerge w:val="restart"/>
            <w:tcBorders>
              <w:bottom w:val="nil"/>
            </w:tcBorders>
            <w:vAlign w:val="top"/>
          </w:tcPr>
          <w:p w14:paraId="7AD367E3">
            <w:pPr>
              <w:spacing w:line="259" w:lineRule="auto"/>
              <w:rPr>
                <w:rFonts w:ascii="Arial"/>
                <w:sz w:val="21"/>
              </w:rPr>
            </w:pPr>
          </w:p>
          <w:p w14:paraId="3496F82E">
            <w:pPr>
              <w:spacing w:line="259" w:lineRule="auto"/>
              <w:rPr>
                <w:rFonts w:ascii="Arial"/>
                <w:sz w:val="21"/>
              </w:rPr>
            </w:pPr>
          </w:p>
          <w:p w14:paraId="5099C22B">
            <w:pPr>
              <w:spacing w:line="260" w:lineRule="auto"/>
              <w:rPr>
                <w:rFonts w:ascii="Arial"/>
                <w:sz w:val="21"/>
              </w:rPr>
            </w:pPr>
          </w:p>
          <w:p w14:paraId="24A97924">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2C8A3835">
            <w:pPr>
              <w:rPr>
                <w:rFonts w:ascii="Arial"/>
                <w:sz w:val="21"/>
              </w:rPr>
            </w:pPr>
          </w:p>
        </w:tc>
      </w:tr>
      <w:tr w14:paraId="07330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54" w:type="dxa"/>
            <w:vMerge w:val="continue"/>
            <w:tcBorders>
              <w:top w:val="nil"/>
              <w:left w:val="single" w:color="000000" w:sz="6" w:space="0"/>
              <w:bottom w:val="nil"/>
            </w:tcBorders>
            <w:vAlign w:val="top"/>
          </w:tcPr>
          <w:p w14:paraId="06C8D689">
            <w:pPr>
              <w:rPr>
                <w:rFonts w:ascii="Arial"/>
                <w:sz w:val="21"/>
              </w:rPr>
            </w:pPr>
          </w:p>
        </w:tc>
        <w:tc>
          <w:tcPr>
            <w:tcW w:w="93" w:type="dxa"/>
            <w:tcBorders>
              <w:top w:val="nil"/>
              <w:bottom w:val="nil"/>
            </w:tcBorders>
            <w:vAlign w:val="top"/>
          </w:tcPr>
          <w:p w14:paraId="707B1398">
            <w:pPr>
              <w:rPr>
                <w:rFonts w:ascii="Arial"/>
                <w:sz w:val="21"/>
              </w:rPr>
            </w:pPr>
          </w:p>
        </w:tc>
        <w:tc>
          <w:tcPr>
            <w:tcW w:w="967" w:type="dxa"/>
            <w:vMerge w:val="continue"/>
            <w:tcBorders>
              <w:top w:val="nil"/>
              <w:bottom w:val="nil"/>
            </w:tcBorders>
            <w:vAlign w:val="top"/>
          </w:tcPr>
          <w:p w14:paraId="79CC2F71">
            <w:pPr>
              <w:rPr>
                <w:rFonts w:ascii="Arial"/>
                <w:sz w:val="21"/>
              </w:rPr>
            </w:pPr>
          </w:p>
        </w:tc>
        <w:tc>
          <w:tcPr>
            <w:tcW w:w="973" w:type="dxa"/>
            <w:vMerge w:val="continue"/>
            <w:tcBorders>
              <w:top w:val="nil"/>
              <w:bottom w:val="nil"/>
            </w:tcBorders>
            <w:vAlign w:val="top"/>
          </w:tcPr>
          <w:p w14:paraId="6E4F35BB">
            <w:pPr>
              <w:rPr>
                <w:rFonts w:ascii="Arial"/>
                <w:sz w:val="21"/>
              </w:rPr>
            </w:pPr>
          </w:p>
        </w:tc>
        <w:tc>
          <w:tcPr>
            <w:tcW w:w="1160" w:type="dxa"/>
            <w:vMerge w:val="continue"/>
            <w:tcBorders>
              <w:top w:val="nil"/>
              <w:bottom w:val="nil"/>
            </w:tcBorders>
            <w:vAlign w:val="top"/>
          </w:tcPr>
          <w:p w14:paraId="43FC2375">
            <w:pPr>
              <w:rPr>
                <w:rFonts w:ascii="Arial"/>
                <w:sz w:val="21"/>
              </w:rPr>
            </w:pPr>
          </w:p>
        </w:tc>
        <w:tc>
          <w:tcPr>
            <w:tcW w:w="1897" w:type="dxa"/>
            <w:vAlign w:val="top"/>
          </w:tcPr>
          <w:p w14:paraId="02457CA4">
            <w:pPr>
              <w:pStyle w:val="6"/>
              <w:spacing w:before="55" w:line="228" w:lineRule="auto"/>
              <w:ind w:left="641"/>
              <w:rPr>
                <w:sz w:val="20"/>
                <w:szCs w:val="20"/>
              </w:rPr>
            </w:pPr>
            <w:r>
              <w:rPr>
                <w:spacing w:val="6"/>
                <w:sz w:val="20"/>
                <w:szCs w:val="20"/>
              </w:rPr>
              <w:t>氟化氢</w:t>
            </w:r>
          </w:p>
          <w:p w14:paraId="45B45135">
            <w:pPr>
              <w:pStyle w:val="6"/>
              <w:spacing w:before="24" w:line="189" w:lineRule="auto"/>
              <w:ind w:left="230"/>
              <w:rPr>
                <w:sz w:val="20"/>
                <w:szCs w:val="20"/>
              </w:rPr>
            </w:pPr>
            <w:r>
              <w:rPr>
                <w:spacing w:val="5"/>
                <w:sz w:val="20"/>
                <w:szCs w:val="20"/>
              </w:rPr>
              <w:t>（以氟化物计）</w:t>
            </w:r>
          </w:p>
        </w:tc>
        <w:tc>
          <w:tcPr>
            <w:tcW w:w="1048" w:type="dxa"/>
            <w:vAlign w:val="top"/>
          </w:tcPr>
          <w:p w14:paraId="727457AE">
            <w:pPr>
              <w:spacing w:before="22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0.6650</w:t>
            </w:r>
          </w:p>
        </w:tc>
        <w:tc>
          <w:tcPr>
            <w:tcW w:w="924" w:type="dxa"/>
            <w:vAlign w:val="top"/>
          </w:tcPr>
          <w:p w14:paraId="6E8E82C2">
            <w:pPr>
              <w:spacing w:before="228"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949" w:type="dxa"/>
            <w:vMerge w:val="continue"/>
            <w:tcBorders>
              <w:top w:val="nil"/>
              <w:bottom w:val="nil"/>
            </w:tcBorders>
            <w:vAlign w:val="top"/>
          </w:tcPr>
          <w:p w14:paraId="326B3334">
            <w:pPr>
              <w:rPr>
                <w:rFonts w:ascii="Arial"/>
                <w:sz w:val="21"/>
              </w:rPr>
            </w:pPr>
          </w:p>
        </w:tc>
        <w:tc>
          <w:tcPr>
            <w:tcW w:w="128" w:type="dxa"/>
            <w:vMerge w:val="continue"/>
            <w:tcBorders>
              <w:top w:val="nil"/>
              <w:bottom w:val="nil"/>
              <w:right w:val="single" w:color="000000" w:sz="6" w:space="0"/>
            </w:tcBorders>
            <w:vAlign w:val="top"/>
          </w:tcPr>
          <w:p w14:paraId="526F2E44">
            <w:pPr>
              <w:rPr>
                <w:rFonts w:ascii="Arial"/>
                <w:sz w:val="21"/>
              </w:rPr>
            </w:pPr>
          </w:p>
        </w:tc>
      </w:tr>
      <w:tr w14:paraId="63534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54" w:type="dxa"/>
            <w:vMerge w:val="continue"/>
            <w:tcBorders>
              <w:top w:val="nil"/>
              <w:left w:val="single" w:color="000000" w:sz="6" w:space="0"/>
              <w:bottom w:val="nil"/>
            </w:tcBorders>
            <w:vAlign w:val="top"/>
          </w:tcPr>
          <w:p w14:paraId="68EE1E09">
            <w:pPr>
              <w:rPr>
                <w:rFonts w:ascii="Arial"/>
                <w:sz w:val="21"/>
              </w:rPr>
            </w:pPr>
          </w:p>
        </w:tc>
        <w:tc>
          <w:tcPr>
            <w:tcW w:w="93" w:type="dxa"/>
            <w:tcBorders>
              <w:top w:val="nil"/>
              <w:bottom w:val="nil"/>
            </w:tcBorders>
            <w:vAlign w:val="top"/>
          </w:tcPr>
          <w:p w14:paraId="792DBA91">
            <w:pPr>
              <w:rPr>
                <w:rFonts w:ascii="Arial"/>
                <w:sz w:val="21"/>
              </w:rPr>
            </w:pPr>
          </w:p>
        </w:tc>
        <w:tc>
          <w:tcPr>
            <w:tcW w:w="967" w:type="dxa"/>
            <w:vMerge w:val="continue"/>
            <w:tcBorders>
              <w:top w:val="nil"/>
              <w:bottom w:val="nil"/>
            </w:tcBorders>
            <w:vAlign w:val="top"/>
          </w:tcPr>
          <w:p w14:paraId="53AFB24F">
            <w:pPr>
              <w:rPr>
                <w:rFonts w:ascii="Arial"/>
                <w:sz w:val="21"/>
              </w:rPr>
            </w:pPr>
          </w:p>
        </w:tc>
        <w:tc>
          <w:tcPr>
            <w:tcW w:w="973" w:type="dxa"/>
            <w:vMerge w:val="continue"/>
            <w:tcBorders>
              <w:top w:val="nil"/>
              <w:bottom w:val="nil"/>
            </w:tcBorders>
            <w:vAlign w:val="top"/>
          </w:tcPr>
          <w:p w14:paraId="3DA282D6">
            <w:pPr>
              <w:rPr>
                <w:rFonts w:ascii="Arial"/>
                <w:sz w:val="21"/>
              </w:rPr>
            </w:pPr>
          </w:p>
        </w:tc>
        <w:tc>
          <w:tcPr>
            <w:tcW w:w="1160" w:type="dxa"/>
            <w:vMerge w:val="continue"/>
            <w:tcBorders>
              <w:top w:val="nil"/>
              <w:bottom w:val="nil"/>
            </w:tcBorders>
            <w:vAlign w:val="top"/>
          </w:tcPr>
          <w:p w14:paraId="3653DD93">
            <w:pPr>
              <w:rPr>
                <w:rFonts w:ascii="Arial"/>
                <w:sz w:val="21"/>
              </w:rPr>
            </w:pPr>
          </w:p>
        </w:tc>
        <w:tc>
          <w:tcPr>
            <w:tcW w:w="1897" w:type="dxa"/>
            <w:vAlign w:val="top"/>
          </w:tcPr>
          <w:p w14:paraId="5EBBED32">
            <w:pPr>
              <w:pStyle w:val="6"/>
              <w:spacing w:before="97" w:line="229" w:lineRule="auto"/>
              <w:ind w:left="639"/>
              <w:rPr>
                <w:sz w:val="20"/>
                <w:szCs w:val="20"/>
              </w:rPr>
            </w:pPr>
            <w:r>
              <w:rPr>
                <w:spacing w:val="7"/>
                <w:sz w:val="20"/>
                <w:szCs w:val="20"/>
              </w:rPr>
              <w:t>硫酸雾</w:t>
            </w:r>
          </w:p>
        </w:tc>
        <w:tc>
          <w:tcPr>
            <w:tcW w:w="1048" w:type="dxa"/>
            <w:vAlign w:val="top"/>
          </w:tcPr>
          <w:p w14:paraId="6C85DC0D">
            <w:pPr>
              <w:spacing w:before="13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0.0966</w:t>
            </w:r>
          </w:p>
        </w:tc>
        <w:tc>
          <w:tcPr>
            <w:tcW w:w="924" w:type="dxa"/>
            <w:vAlign w:val="top"/>
          </w:tcPr>
          <w:p w14:paraId="7CCB221D">
            <w:pPr>
              <w:spacing w:before="13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0.3244</w:t>
            </w:r>
          </w:p>
        </w:tc>
        <w:tc>
          <w:tcPr>
            <w:tcW w:w="949" w:type="dxa"/>
            <w:vMerge w:val="continue"/>
            <w:tcBorders>
              <w:top w:val="nil"/>
              <w:bottom w:val="nil"/>
            </w:tcBorders>
            <w:vAlign w:val="top"/>
          </w:tcPr>
          <w:p w14:paraId="3BF4C606">
            <w:pPr>
              <w:rPr>
                <w:rFonts w:ascii="Arial"/>
                <w:sz w:val="21"/>
              </w:rPr>
            </w:pPr>
          </w:p>
        </w:tc>
        <w:tc>
          <w:tcPr>
            <w:tcW w:w="128" w:type="dxa"/>
            <w:vMerge w:val="continue"/>
            <w:tcBorders>
              <w:top w:val="nil"/>
              <w:bottom w:val="nil"/>
              <w:right w:val="single" w:color="000000" w:sz="6" w:space="0"/>
            </w:tcBorders>
            <w:vAlign w:val="top"/>
          </w:tcPr>
          <w:p w14:paraId="014168E3">
            <w:pPr>
              <w:rPr>
                <w:rFonts w:ascii="Arial"/>
                <w:sz w:val="21"/>
              </w:rPr>
            </w:pPr>
          </w:p>
        </w:tc>
      </w:tr>
      <w:tr w14:paraId="04B27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54" w:type="dxa"/>
            <w:vMerge w:val="continue"/>
            <w:tcBorders>
              <w:top w:val="nil"/>
              <w:left w:val="single" w:color="000000" w:sz="6" w:space="0"/>
              <w:bottom w:val="nil"/>
            </w:tcBorders>
            <w:vAlign w:val="top"/>
          </w:tcPr>
          <w:p w14:paraId="70846C94">
            <w:pPr>
              <w:rPr>
                <w:rFonts w:ascii="Arial"/>
                <w:sz w:val="21"/>
              </w:rPr>
            </w:pPr>
          </w:p>
        </w:tc>
        <w:tc>
          <w:tcPr>
            <w:tcW w:w="93" w:type="dxa"/>
            <w:tcBorders>
              <w:top w:val="nil"/>
              <w:bottom w:val="nil"/>
            </w:tcBorders>
            <w:vAlign w:val="top"/>
          </w:tcPr>
          <w:p w14:paraId="154B1C92">
            <w:pPr>
              <w:rPr>
                <w:rFonts w:ascii="Arial"/>
                <w:sz w:val="21"/>
              </w:rPr>
            </w:pPr>
          </w:p>
        </w:tc>
        <w:tc>
          <w:tcPr>
            <w:tcW w:w="967" w:type="dxa"/>
            <w:vMerge w:val="continue"/>
            <w:tcBorders>
              <w:top w:val="nil"/>
            </w:tcBorders>
            <w:vAlign w:val="top"/>
          </w:tcPr>
          <w:p w14:paraId="120F3DFA">
            <w:pPr>
              <w:rPr>
                <w:rFonts w:ascii="Arial"/>
                <w:sz w:val="21"/>
              </w:rPr>
            </w:pPr>
          </w:p>
        </w:tc>
        <w:tc>
          <w:tcPr>
            <w:tcW w:w="973" w:type="dxa"/>
            <w:vMerge w:val="continue"/>
            <w:tcBorders>
              <w:top w:val="nil"/>
            </w:tcBorders>
            <w:vAlign w:val="top"/>
          </w:tcPr>
          <w:p w14:paraId="71C06168">
            <w:pPr>
              <w:rPr>
                <w:rFonts w:ascii="Arial"/>
                <w:sz w:val="21"/>
              </w:rPr>
            </w:pPr>
          </w:p>
        </w:tc>
        <w:tc>
          <w:tcPr>
            <w:tcW w:w="1160" w:type="dxa"/>
            <w:vMerge w:val="continue"/>
            <w:tcBorders>
              <w:top w:val="nil"/>
            </w:tcBorders>
            <w:vAlign w:val="top"/>
          </w:tcPr>
          <w:p w14:paraId="0F534F7D">
            <w:pPr>
              <w:rPr>
                <w:rFonts w:ascii="Arial"/>
                <w:sz w:val="21"/>
              </w:rPr>
            </w:pPr>
          </w:p>
        </w:tc>
        <w:tc>
          <w:tcPr>
            <w:tcW w:w="1897" w:type="dxa"/>
            <w:vAlign w:val="top"/>
          </w:tcPr>
          <w:p w14:paraId="0C58A735">
            <w:pPr>
              <w:pStyle w:val="6"/>
              <w:spacing w:before="47" w:line="229" w:lineRule="auto"/>
              <w:ind w:left="642"/>
              <w:rPr>
                <w:sz w:val="20"/>
                <w:szCs w:val="20"/>
              </w:rPr>
            </w:pPr>
            <w:r>
              <w:rPr>
                <w:spacing w:val="6"/>
                <w:sz w:val="20"/>
                <w:szCs w:val="20"/>
              </w:rPr>
              <w:t>硝酸雾</w:t>
            </w:r>
          </w:p>
          <w:p w14:paraId="1FD37CD3">
            <w:pPr>
              <w:pStyle w:val="6"/>
              <w:spacing w:before="23" w:line="207"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vAlign w:val="top"/>
          </w:tcPr>
          <w:p w14:paraId="03AC59E8">
            <w:pPr>
              <w:spacing w:before="222"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0.4854</w:t>
            </w:r>
          </w:p>
        </w:tc>
        <w:tc>
          <w:tcPr>
            <w:tcW w:w="924" w:type="dxa"/>
            <w:vAlign w:val="top"/>
          </w:tcPr>
          <w:p w14:paraId="38E48A2B">
            <w:pPr>
              <w:spacing w:before="222" w:line="195" w:lineRule="auto"/>
              <w:ind w:left="293"/>
              <w:rPr>
                <w:rFonts w:ascii="Times New Roman" w:hAnsi="Times New Roman" w:eastAsia="Times New Roman" w:cs="Times New Roman"/>
                <w:sz w:val="19"/>
                <w:szCs w:val="19"/>
              </w:rPr>
            </w:pPr>
            <w:r>
              <w:rPr>
                <w:rFonts w:ascii="Times New Roman" w:hAnsi="Times New Roman" w:eastAsia="Times New Roman" w:cs="Times New Roman"/>
                <w:sz w:val="19"/>
                <w:szCs w:val="19"/>
              </w:rPr>
              <w:t>1.6310</w:t>
            </w:r>
          </w:p>
        </w:tc>
        <w:tc>
          <w:tcPr>
            <w:tcW w:w="949" w:type="dxa"/>
            <w:vMerge w:val="continue"/>
            <w:tcBorders>
              <w:top w:val="nil"/>
            </w:tcBorders>
            <w:vAlign w:val="top"/>
          </w:tcPr>
          <w:p w14:paraId="3568FA69">
            <w:pPr>
              <w:rPr>
                <w:rFonts w:ascii="Arial"/>
                <w:sz w:val="21"/>
              </w:rPr>
            </w:pPr>
          </w:p>
        </w:tc>
        <w:tc>
          <w:tcPr>
            <w:tcW w:w="128" w:type="dxa"/>
            <w:vMerge w:val="continue"/>
            <w:tcBorders>
              <w:top w:val="nil"/>
              <w:bottom w:val="nil"/>
              <w:right w:val="single" w:color="000000" w:sz="6" w:space="0"/>
            </w:tcBorders>
            <w:vAlign w:val="top"/>
          </w:tcPr>
          <w:p w14:paraId="12B80BB9">
            <w:pPr>
              <w:rPr>
                <w:rFonts w:ascii="Arial"/>
                <w:sz w:val="21"/>
              </w:rPr>
            </w:pPr>
          </w:p>
        </w:tc>
      </w:tr>
      <w:tr w14:paraId="09DAA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54" w:type="dxa"/>
            <w:vMerge w:val="continue"/>
            <w:tcBorders>
              <w:top w:val="nil"/>
              <w:left w:val="single" w:color="000000" w:sz="6" w:space="0"/>
              <w:bottom w:val="nil"/>
            </w:tcBorders>
            <w:vAlign w:val="top"/>
          </w:tcPr>
          <w:p w14:paraId="2320CB9F">
            <w:pPr>
              <w:rPr>
                <w:rFonts w:ascii="Arial"/>
                <w:sz w:val="21"/>
              </w:rPr>
            </w:pPr>
          </w:p>
        </w:tc>
        <w:tc>
          <w:tcPr>
            <w:tcW w:w="93" w:type="dxa"/>
            <w:tcBorders>
              <w:top w:val="nil"/>
              <w:bottom w:val="nil"/>
            </w:tcBorders>
            <w:vAlign w:val="top"/>
          </w:tcPr>
          <w:p w14:paraId="41BF05CD">
            <w:pPr>
              <w:rPr>
                <w:rFonts w:ascii="Arial"/>
                <w:sz w:val="21"/>
              </w:rPr>
            </w:pPr>
          </w:p>
        </w:tc>
        <w:tc>
          <w:tcPr>
            <w:tcW w:w="967" w:type="dxa"/>
            <w:vMerge w:val="restart"/>
            <w:tcBorders>
              <w:bottom w:val="nil"/>
            </w:tcBorders>
            <w:vAlign w:val="top"/>
          </w:tcPr>
          <w:p w14:paraId="220C2E8A">
            <w:pPr>
              <w:spacing w:line="245" w:lineRule="auto"/>
              <w:rPr>
                <w:rFonts w:ascii="Arial"/>
                <w:sz w:val="21"/>
              </w:rPr>
            </w:pPr>
          </w:p>
          <w:p w14:paraId="1354AB06">
            <w:pPr>
              <w:spacing w:line="245" w:lineRule="auto"/>
              <w:rPr>
                <w:rFonts w:ascii="Arial"/>
                <w:sz w:val="21"/>
              </w:rPr>
            </w:pPr>
          </w:p>
          <w:p w14:paraId="457CEAAC">
            <w:pPr>
              <w:spacing w:line="246" w:lineRule="auto"/>
              <w:rPr>
                <w:rFonts w:ascii="Arial"/>
                <w:sz w:val="21"/>
              </w:rPr>
            </w:pPr>
          </w:p>
          <w:p w14:paraId="4B767FF4">
            <w:pPr>
              <w:pStyle w:val="6"/>
              <w:spacing w:before="65" w:line="228"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r>
              <w:rPr>
                <w:rFonts w:ascii="Times New Roman" w:hAnsi="Times New Roman" w:eastAsia="Times New Roman" w:cs="Times New Roman"/>
                <w:spacing w:val="12"/>
                <w:w w:val="101"/>
                <w:sz w:val="20"/>
                <w:szCs w:val="20"/>
              </w:rPr>
              <w:t xml:space="preserve"> </w:t>
            </w:r>
            <w:r>
              <w:rPr>
                <w:sz w:val="20"/>
                <w:szCs w:val="20"/>
              </w:rPr>
              <w:t>层</w:t>
            </w:r>
            <w:r>
              <w:rPr>
                <w:rFonts w:ascii="Times New Roman" w:hAnsi="Times New Roman" w:eastAsia="Times New Roman" w:cs="Times New Roman"/>
                <w:sz w:val="20"/>
                <w:szCs w:val="20"/>
              </w:rPr>
              <w:t>-B</w:t>
            </w:r>
          </w:p>
        </w:tc>
        <w:tc>
          <w:tcPr>
            <w:tcW w:w="973" w:type="dxa"/>
            <w:vMerge w:val="restart"/>
            <w:tcBorders>
              <w:bottom w:val="nil"/>
            </w:tcBorders>
            <w:vAlign w:val="top"/>
          </w:tcPr>
          <w:p w14:paraId="21B85C5E">
            <w:pPr>
              <w:spacing w:line="260" w:lineRule="auto"/>
              <w:rPr>
                <w:rFonts w:ascii="Arial"/>
                <w:sz w:val="21"/>
              </w:rPr>
            </w:pPr>
          </w:p>
          <w:p w14:paraId="4F91032E">
            <w:pPr>
              <w:spacing w:line="260" w:lineRule="auto"/>
              <w:rPr>
                <w:rFonts w:ascii="Arial"/>
                <w:sz w:val="21"/>
              </w:rPr>
            </w:pPr>
          </w:p>
          <w:p w14:paraId="50A746AD">
            <w:pPr>
              <w:spacing w:line="260" w:lineRule="auto"/>
              <w:rPr>
                <w:rFonts w:ascii="Arial"/>
                <w:sz w:val="21"/>
              </w:rPr>
            </w:pPr>
          </w:p>
          <w:p w14:paraId="0B631D5A">
            <w:pPr>
              <w:spacing w:before="5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0" w:type="dxa"/>
            <w:vMerge w:val="restart"/>
            <w:tcBorders>
              <w:bottom w:val="nil"/>
            </w:tcBorders>
            <w:vAlign w:val="top"/>
          </w:tcPr>
          <w:p w14:paraId="4FE629D5">
            <w:pPr>
              <w:spacing w:line="260" w:lineRule="auto"/>
              <w:rPr>
                <w:rFonts w:ascii="Arial"/>
                <w:sz w:val="21"/>
              </w:rPr>
            </w:pPr>
          </w:p>
          <w:p w14:paraId="5C1A078D">
            <w:pPr>
              <w:spacing w:line="260" w:lineRule="auto"/>
              <w:rPr>
                <w:rFonts w:ascii="Arial"/>
                <w:sz w:val="21"/>
              </w:rPr>
            </w:pPr>
          </w:p>
          <w:p w14:paraId="6CE059B8">
            <w:pPr>
              <w:spacing w:line="260" w:lineRule="auto"/>
              <w:rPr>
                <w:rFonts w:ascii="Arial"/>
                <w:sz w:val="21"/>
              </w:rPr>
            </w:pPr>
          </w:p>
          <w:p w14:paraId="32DD437E">
            <w:pPr>
              <w:spacing w:before="5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897" w:type="dxa"/>
            <w:vAlign w:val="top"/>
          </w:tcPr>
          <w:p w14:paraId="3D72773A">
            <w:pPr>
              <w:pStyle w:val="6"/>
              <w:spacing w:before="76" w:line="219" w:lineRule="auto"/>
              <w:ind w:left="643"/>
              <w:rPr>
                <w:sz w:val="20"/>
                <w:szCs w:val="20"/>
              </w:rPr>
            </w:pPr>
            <w:r>
              <w:rPr>
                <w:spacing w:val="5"/>
                <w:sz w:val="20"/>
                <w:szCs w:val="20"/>
              </w:rPr>
              <w:t>氯化氢</w:t>
            </w:r>
          </w:p>
        </w:tc>
        <w:tc>
          <w:tcPr>
            <w:tcW w:w="1048" w:type="dxa"/>
            <w:vAlign w:val="top"/>
          </w:tcPr>
          <w:p w14:paraId="40B8D986">
            <w:pPr>
              <w:spacing w:before="11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6.6976</w:t>
            </w:r>
          </w:p>
        </w:tc>
        <w:tc>
          <w:tcPr>
            <w:tcW w:w="924" w:type="dxa"/>
            <w:vAlign w:val="top"/>
          </w:tcPr>
          <w:p w14:paraId="3C698B57">
            <w:pPr>
              <w:spacing w:before="11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22.5038</w:t>
            </w:r>
          </w:p>
        </w:tc>
        <w:tc>
          <w:tcPr>
            <w:tcW w:w="949" w:type="dxa"/>
            <w:vMerge w:val="restart"/>
            <w:tcBorders>
              <w:bottom w:val="nil"/>
            </w:tcBorders>
            <w:vAlign w:val="top"/>
          </w:tcPr>
          <w:p w14:paraId="0995F94C">
            <w:pPr>
              <w:spacing w:line="260" w:lineRule="auto"/>
              <w:rPr>
                <w:rFonts w:ascii="Arial"/>
                <w:sz w:val="21"/>
              </w:rPr>
            </w:pPr>
          </w:p>
          <w:p w14:paraId="6CF6EF18">
            <w:pPr>
              <w:spacing w:line="260" w:lineRule="auto"/>
              <w:rPr>
                <w:rFonts w:ascii="Arial"/>
                <w:sz w:val="21"/>
              </w:rPr>
            </w:pPr>
          </w:p>
          <w:p w14:paraId="5D063691">
            <w:pPr>
              <w:spacing w:line="260" w:lineRule="auto"/>
              <w:rPr>
                <w:rFonts w:ascii="Arial"/>
                <w:sz w:val="21"/>
              </w:rPr>
            </w:pPr>
          </w:p>
          <w:p w14:paraId="479C90AC">
            <w:pPr>
              <w:spacing w:before="5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3360</w:t>
            </w:r>
          </w:p>
        </w:tc>
        <w:tc>
          <w:tcPr>
            <w:tcW w:w="128" w:type="dxa"/>
            <w:vMerge w:val="continue"/>
            <w:tcBorders>
              <w:top w:val="nil"/>
              <w:bottom w:val="nil"/>
              <w:right w:val="single" w:color="000000" w:sz="6" w:space="0"/>
            </w:tcBorders>
            <w:vAlign w:val="top"/>
          </w:tcPr>
          <w:p w14:paraId="7C5751D6">
            <w:pPr>
              <w:rPr>
                <w:rFonts w:ascii="Arial"/>
                <w:sz w:val="21"/>
              </w:rPr>
            </w:pPr>
          </w:p>
        </w:tc>
      </w:tr>
      <w:tr w14:paraId="4A6C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54" w:type="dxa"/>
            <w:vMerge w:val="continue"/>
            <w:tcBorders>
              <w:top w:val="nil"/>
              <w:left w:val="single" w:color="000000" w:sz="6" w:space="0"/>
              <w:bottom w:val="nil"/>
            </w:tcBorders>
            <w:vAlign w:val="top"/>
          </w:tcPr>
          <w:p w14:paraId="06703814">
            <w:pPr>
              <w:rPr>
                <w:rFonts w:ascii="Arial"/>
                <w:sz w:val="21"/>
              </w:rPr>
            </w:pPr>
          </w:p>
        </w:tc>
        <w:tc>
          <w:tcPr>
            <w:tcW w:w="93" w:type="dxa"/>
            <w:tcBorders>
              <w:top w:val="nil"/>
              <w:bottom w:val="nil"/>
            </w:tcBorders>
            <w:vAlign w:val="top"/>
          </w:tcPr>
          <w:p w14:paraId="12179201">
            <w:pPr>
              <w:rPr>
                <w:rFonts w:ascii="Arial"/>
                <w:sz w:val="21"/>
              </w:rPr>
            </w:pPr>
          </w:p>
        </w:tc>
        <w:tc>
          <w:tcPr>
            <w:tcW w:w="967" w:type="dxa"/>
            <w:vMerge w:val="continue"/>
            <w:tcBorders>
              <w:top w:val="nil"/>
              <w:bottom w:val="nil"/>
            </w:tcBorders>
            <w:vAlign w:val="top"/>
          </w:tcPr>
          <w:p w14:paraId="18C511E2">
            <w:pPr>
              <w:rPr>
                <w:rFonts w:ascii="Arial"/>
                <w:sz w:val="21"/>
              </w:rPr>
            </w:pPr>
          </w:p>
        </w:tc>
        <w:tc>
          <w:tcPr>
            <w:tcW w:w="973" w:type="dxa"/>
            <w:vMerge w:val="continue"/>
            <w:tcBorders>
              <w:top w:val="nil"/>
              <w:bottom w:val="nil"/>
            </w:tcBorders>
            <w:vAlign w:val="top"/>
          </w:tcPr>
          <w:p w14:paraId="77608A61">
            <w:pPr>
              <w:rPr>
                <w:rFonts w:ascii="Arial"/>
                <w:sz w:val="21"/>
              </w:rPr>
            </w:pPr>
          </w:p>
        </w:tc>
        <w:tc>
          <w:tcPr>
            <w:tcW w:w="1160" w:type="dxa"/>
            <w:vMerge w:val="continue"/>
            <w:tcBorders>
              <w:top w:val="nil"/>
              <w:bottom w:val="nil"/>
            </w:tcBorders>
            <w:vAlign w:val="top"/>
          </w:tcPr>
          <w:p w14:paraId="09074563">
            <w:pPr>
              <w:rPr>
                <w:rFonts w:ascii="Arial"/>
                <w:sz w:val="21"/>
              </w:rPr>
            </w:pPr>
          </w:p>
        </w:tc>
        <w:tc>
          <w:tcPr>
            <w:tcW w:w="1897" w:type="dxa"/>
            <w:vAlign w:val="top"/>
          </w:tcPr>
          <w:p w14:paraId="37DB21FF">
            <w:pPr>
              <w:pStyle w:val="6"/>
              <w:spacing w:before="64" w:line="228" w:lineRule="auto"/>
              <w:ind w:left="641"/>
              <w:rPr>
                <w:sz w:val="20"/>
                <w:szCs w:val="20"/>
              </w:rPr>
            </w:pPr>
            <w:r>
              <w:rPr>
                <w:spacing w:val="6"/>
                <w:sz w:val="20"/>
                <w:szCs w:val="20"/>
              </w:rPr>
              <w:t>氟化氢</w:t>
            </w:r>
          </w:p>
          <w:p w14:paraId="467FFD76">
            <w:pPr>
              <w:pStyle w:val="6"/>
              <w:spacing w:before="24" w:line="204" w:lineRule="auto"/>
              <w:ind w:left="230"/>
              <w:rPr>
                <w:sz w:val="20"/>
                <w:szCs w:val="20"/>
              </w:rPr>
            </w:pPr>
            <w:r>
              <w:rPr>
                <w:spacing w:val="5"/>
                <w:sz w:val="20"/>
                <w:szCs w:val="20"/>
              </w:rPr>
              <w:t>（以氟化物计）</w:t>
            </w:r>
          </w:p>
        </w:tc>
        <w:tc>
          <w:tcPr>
            <w:tcW w:w="1048" w:type="dxa"/>
            <w:vAlign w:val="top"/>
          </w:tcPr>
          <w:p w14:paraId="12FA9E53">
            <w:pPr>
              <w:spacing w:before="23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0.6650</w:t>
            </w:r>
          </w:p>
        </w:tc>
        <w:tc>
          <w:tcPr>
            <w:tcW w:w="924" w:type="dxa"/>
            <w:vAlign w:val="top"/>
          </w:tcPr>
          <w:p w14:paraId="3E3ED9B0">
            <w:pPr>
              <w:spacing w:before="235"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2.2344</w:t>
            </w:r>
          </w:p>
        </w:tc>
        <w:tc>
          <w:tcPr>
            <w:tcW w:w="949" w:type="dxa"/>
            <w:vMerge w:val="continue"/>
            <w:tcBorders>
              <w:top w:val="nil"/>
              <w:bottom w:val="nil"/>
            </w:tcBorders>
            <w:vAlign w:val="top"/>
          </w:tcPr>
          <w:p w14:paraId="65FDC71F">
            <w:pPr>
              <w:rPr>
                <w:rFonts w:ascii="Arial"/>
                <w:sz w:val="21"/>
              </w:rPr>
            </w:pPr>
          </w:p>
        </w:tc>
        <w:tc>
          <w:tcPr>
            <w:tcW w:w="128" w:type="dxa"/>
            <w:vMerge w:val="continue"/>
            <w:tcBorders>
              <w:top w:val="nil"/>
              <w:bottom w:val="nil"/>
              <w:right w:val="single" w:color="000000" w:sz="6" w:space="0"/>
            </w:tcBorders>
            <w:vAlign w:val="top"/>
          </w:tcPr>
          <w:p w14:paraId="6D9E79AB">
            <w:pPr>
              <w:rPr>
                <w:rFonts w:ascii="Arial"/>
                <w:sz w:val="21"/>
              </w:rPr>
            </w:pPr>
          </w:p>
        </w:tc>
      </w:tr>
      <w:tr w14:paraId="735D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54" w:type="dxa"/>
            <w:vMerge w:val="continue"/>
            <w:tcBorders>
              <w:top w:val="nil"/>
              <w:left w:val="single" w:color="000000" w:sz="6" w:space="0"/>
              <w:bottom w:val="nil"/>
            </w:tcBorders>
            <w:vAlign w:val="top"/>
          </w:tcPr>
          <w:p w14:paraId="1D1D8331">
            <w:pPr>
              <w:rPr>
                <w:rFonts w:ascii="Arial"/>
                <w:sz w:val="21"/>
              </w:rPr>
            </w:pPr>
          </w:p>
        </w:tc>
        <w:tc>
          <w:tcPr>
            <w:tcW w:w="93" w:type="dxa"/>
            <w:tcBorders>
              <w:top w:val="nil"/>
              <w:bottom w:val="nil"/>
            </w:tcBorders>
            <w:vAlign w:val="top"/>
          </w:tcPr>
          <w:p w14:paraId="3526009B">
            <w:pPr>
              <w:rPr>
                <w:rFonts w:ascii="Arial"/>
                <w:sz w:val="21"/>
              </w:rPr>
            </w:pPr>
          </w:p>
        </w:tc>
        <w:tc>
          <w:tcPr>
            <w:tcW w:w="967" w:type="dxa"/>
            <w:vMerge w:val="continue"/>
            <w:tcBorders>
              <w:top w:val="nil"/>
              <w:bottom w:val="nil"/>
            </w:tcBorders>
            <w:vAlign w:val="top"/>
          </w:tcPr>
          <w:p w14:paraId="0F711A71">
            <w:pPr>
              <w:rPr>
                <w:rFonts w:ascii="Arial"/>
                <w:sz w:val="21"/>
              </w:rPr>
            </w:pPr>
          </w:p>
        </w:tc>
        <w:tc>
          <w:tcPr>
            <w:tcW w:w="973" w:type="dxa"/>
            <w:vMerge w:val="continue"/>
            <w:tcBorders>
              <w:top w:val="nil"/>
              <w:bottom w:val="nil"/>
            </w:tcBorders>
            <w:vAlign w:val="top"/>
          </w:tcPr>
          <w:p w14:paraId="1C1ECA2B">
            <w:pPr>
              <w:rPr>
                <w:rFonts w:ascii="Arial"/>
                <w:sz w:val="21"/>
              </w:rPr>
            </w:pPr>
          </w:p>
        </w:tc>
        <w:tc>
          <w:tcPr>
            <w:tcW w:w="1160" w:type="dxa"/>
            <w:vMerge w:val="continue"/>
            <w:tcBorders>
              <w:top w:val="nil"/>
              <w:bottom w:val="nil"/>
            </w:tcBorders>
            <w:vAlign w:val="top"/>
          </w:tcPr>
          <w:p w14:paraId="665B3595">
            <w:pPr>
              <w:rPr>
                <w:rFonts w:ascii="Arial"/>
                <w:sz w:val="21"/>
              </w:rPr>
            </w:pPr>
          </w:p>
        </w:tc>
        <w:tc>
          <w:tcPr>
            <w:tcW w:w="1897" w:type="dxa"/>
            <w:vAlign w:val="top"/>
          </w:tcPr>
          <w:p w14:paraId="1F4FF997">
            <w:pPr>
              <w:pStyle w:val="6"/>
              <w:spacing w:before="81" w:line="225" w:lineRule="auto"/>
              <w:ind w:left="639"/>
              <w:rPr>
                <w:sz w:val="20"/>
                <w:szCs w:val="20"/>
              </w:rPr>
            </w:pPr>
            <w:r>
              <w:rPr>
                <w:spacing w:val="7"/>
                <w:sz w:val="20"/>
                <w:szCs w:val="20"/>
              </w:rPr>
              <w:t>硫酸雾</w:t>
            </w:r>
          </w:p>
        </w:tc>
        <w:tc>
          <w:tcPr>
            <w:tcW w:w="1048" w:type="dxa"/>
            <w:vAlign w:val="top"/>
          </w:tcPr>
          <w:p w14:paraId="32B07676">
            <w:pPr>
              <w:spacing w:before="11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0.0966</w:t>
            </w:r>
          </w:p>
        </w:tc>
        <w:tc>
          <w:tcPr>
            <w:tcW w:w="924" w:type="dxa"/>
            <w:vAlign w:val="top"/>
          </w:tcPr>
          <w:p w14:paraId="6CEE5F6B">
            <w:pPr>
              <w:spacing w:before="11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0.3244</w:t>
            </w:r>
          </w:p>
        </w:tc>
        <w:tc>
          <w:tcPr>
            <w:tcW w:w="949" w:type="dxa"/>
            <w:vMerge w:val="continue"/>
            <w:tcBorders>
              <w:top w:val="nil"/>
              <w:bottom w:val="nil"/>
            </w:tcBorders>
            <w:vAlign w:val="top"/>
          </w:tcPr>
          <w:p w14:paraId="25E4C5F0">
            <w:pPr>
              <w:rPr>
                <w:rFonts w:ascii="Arial"/>
                <w:sz w:val="21"/>
              </w:rPr>
            </w:pPr>
          </w:p>
        </w:tc>
        <w:tc>
          <w:tcPr>
            <w:tcW w:w="128" w:type="dxa"/>
            <w:vMerge w:val="continue"/>
            <w:tcBorders>
              <w:top w:val="nil"/>
              <w:bottom w:val="nil"/>
              <w:right w:val="single" w:color="000000" w:sz="6" w:space="0"/>
            </w:tcBorders>
            <w:vAlign w:val="top"/>
          </w:tcPr>
          <w:p w14:paraId="392CDD4C">
            <w:pPr>
              <w:rPr>
                <w:rFonts w:ascii="Arial"/>
                <w:sz w:val="21"/>
              </w:rPr>
            </w:pPr>
          </w:p>
        </w:tc>
      </w:tr>
      <w:tr w14:paraId="0D9FE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4" w:type="dxa"/>
            <w:vMerge w:val="continue"/>
            <w:tcBorders>
              <w:top w:val="nil"/>
              <w:left w:val="single" w:color="000000" w:sz="6" w:space="0"/>
              <w:bottom w:val="single" w:color="000000" w:sz="6" w:space="0"/>
            </w:tcBorders>
            <w:vAlign w:val="top"/>
          </w:tcPr>
          <w:p w14:paraId="4EAFD625">
            <w:pPr>
              <w:rPr>
                <w:rFonts w:ascii="Arial"/>
                <w:sz w:val="21"/>
              </w:rPr>
            </w:pPr>
          </w:p>
        </w:tc>
        <w:tc>
          <w:tcPr>
            <w:tcW w:w="93" w:type="dxa"/>
            <w:tcBorders>
              <w:top w:val="nil"/>
              <w:bottom w:val="single" w:color="000000" w:sz="6" w:space="0"/>
            </w:tcBorders>
            <w:vAlign w:val="top"/>
          </w:tcPr>
          <w:p w14:paraId="0F4CCBC2">
            <w:pPr>
              <w:rPr>
                <w:rFonts w:ascii="Arial"/>
                <w:sz w:val="21"/>
              </w:rPr>
            </w:pPr>
          </w:p>
        </w:tc>
        <w:tc>
          <w:tcPr>
            <w:tcW w:w="967" w:type="dxa"/>
            <w:vMerge w:val="continue"/>
            <w:tcBorders>
              <w:top w:val="nil"/>
              <w:bottom w:val="single" w:color="000000" w:sz="6" w:space="0"/>
            </w:tcBorders>
            <w:vAlign w:val="top"/>
          </w:tcPr>
          <w:p w14:paraId="2C8C7A84">
            <w:pPr>
              <w:rPr>
                <w:rFonts w:ascii="Arial"/>
                <w:sz w:val="21"/>
              </w:rPr>
            </w:pPr>
          </w:p>
        </w:tc>
        <w:tc>
          <w:tcPr>
            <w:tcW w:w="973" w:type="dxa"/>
            <w:vMerge w:val="continue"/>
            <w:tcBorders>
              <w:top w:val="nil"/>
              <w:bottom w:val="single" w:color="000000" w:sz="6" w:space="0"/>
            </w:tcBorders>
            <w:vAlign w:val="top"/>
          </w:tcPr>
          <w:p w14:paraId="7F574153">
            <w:pPr>
              <w:rPr>
                <w:rFonts w:ascii="Arial"/>
                <w:sz w:val="21"/>
              </w:rPr>
            </w:pPr>
          </w:p>
        </w:tc>
        <w:tc>
          <w:tcPr>
            <w:tcW w:w="1160" w:type="dxa"/>
            <w:vMerge w:val="continue"/>
            <w:tcBorders>
              <w:top w:val="nil"/>
              <w:bottom w:val="single" w:color="000000" w:sz="6" w:space="0"/>
            </w:tcBorders>
            <w:vAlign w:val="top"/>
          </w:tcPr>
          <w:p w14:paraId="60EC5499">
            <w:pPr>
              <w:rPr>
                <w:rFonts w:ascii="Arial"/>
                <w:sz w:val="21"/>
              </w:rPr>
            </w:pPr>
          </w:p>
        </w:tc>
        <w:tc>
          <w:tcPr>
            <w:tcW w:w="1897" w:type="dxa"/>
            <w:tcBorders>
              <w:bottom w:val="single" w:color="000000" w:sz="6" w:space="0"/>
            </w:tcBorders>
            <w:vAlign w:val="top"/>
          </w:tcPr>
          <w:p w14:paraId="5C219704">
            <w:pPr>
              <w:pStyle w:val="6"/>
              <w:spacing w:before="57" w:line="229" w:lineRule="auto"/>
              <w:ind w:left="642"/>
              <w:rPr>
                <w:sz w:val="20"/>
                <w:szCs w:val="20"/>
              </w:rPr>
            </w:pPr>
            <w:r>
              <w:rPr>
                <w:spacing w:val="6"/>
                <w:sz w:val="20"/>
                <w:szCs w:val="20"/>
              </w:rPr>
              <w:t>硝酸雾</w:t>
            </w:r>
          </w:p>
          <w:p w14:paraId="7D60BC72">
            <w:pPr>
              <w:pStyle w:val="6"/>
              <w:spacing w:before="23" w:line="229" w:lineRule="auto"/>
              <w:ind w:left="288"/>
              <w:rPr>
                <w:sz w:val="20"/>
                <w:szCs w:val="20"/>
              </w:rPr>
            </w:pPr>
            <w:r>
              <w:rPr>
                <w:spacing w:val="5"/>
                <w:sz w:val="20"/>
                <w:szCs w:val="20"/>
              </w:rPr>
              <w:t>（以</w:t>
            </w:r>
            <w:r>
              <w:rPr>
                <w:spacing w:val="-48"/>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2"/>
                <w:sz w:val="20"/>
                <w:szCs w:val="20"/>
              </w:rPr>
              <w:t xml:space="preserve"> </w:t>
            </w:r>
            <w:r>
              <w:rPr>
                <w:spacing w:val="5"/>
                <w:sz w:val="20"/>
                <w:szCs w:val="20"/>
              </w:rPr>
              <w:t>计）</w:t>
            </w:r>
          </w:p>
        </w:tc>
        <w:tc>
          <w:tcPr>
            <w:tcW w:w="1048" w:type="dxa"/>
            <w:tcBorders>
              <w:bottom w:val="single" w:color="000000" w:sz="6" w:space="0"/>
            </w:tcBorders>
            <w:vAlign w:val="top"/>
          </w:tcPr>
          <w:p w14:paraId="181A4048">
            <w:pPr>
              <w:spacing w:before="232"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0.4854</w:t>
            </w:r>
          </w:p>
        </w:tc>
        <w:tc>
          <w:tcPr>
            <w:tcW w:w="924" w:type="dxa"/>
            <w:tcBorders>
              <w:bottom w:val="single" w:color="000000" w:sz="6" w:space="0"/>
            </w:tcBorders>
            <w:vAlign w:val="top"/>
          </w:tcPr>
          <w:p w14:paraId="1AC3A8D4">
            <w:pPr>
              <w:spacing w:before="232" w:line="195" w:lineRule="auto"/>
              <w:ind w:left="293"/>
              <w:rPr>
                <w:rFonts w:ascii="Times New Roman" w:hAnsi="Times New Roman" w:eastAsia="Times New Roman" w:cs="Times New Roman"/>
                <w:sz w:val="19"/>
                <w:szCs w:val="19"/>
              </w:rPr>
            </w:pPr>
            <w:r>
              <w:rPr>
                <w:rFonts w:ascii="Times New Roman" w:hAnsi="Times New Roman" w:eastAsia="Times New Roman" w:cs="Times New Roman"/>
                <w:sz w:val="19"/>
                <w:szCs w:val="19"/>
              </w:rPr>
              <w:t>1.6310</w:t>
            </w:r>
          </w:p>
        </w:tc>
        <w:tc>
          <w:tcPr>
            <w:tcW w:w="949" w:type="dxa"/>
            <w:vMerge w:val="continue"/>
            <w:tcBorders>
              <w:top w:val="nil"/>
              <w:bottom w:val="single" w:color="000000" w:sz="6" w:space="0"/>
            </w:tcBorders>
            <w:vAlign w:val="top"/>
          </w:tcPr>
          <w:p w14:paraId="12382925">
            <w:pPr>
              <w:rPr>
                <w:rFonts w:ascii="Arial"/>
                <w:sz w:val="21"/>
              </w:rPr>
            </w:pPr>
          </w:p>
        </w:tc>
        <w:tc>
          <w:tcPr>
            <w:tcW w:w="128" w:type="dxa"/>
            <w:vMerge w:val="continue"/>
            <w:tcBorders>
              <w:top w:val="nil"/>
              <w:bottom w:val="single" w:color="000000" w:sz="6" w:space="0"/>
              <w:right w:val="single" w:color="000000" w:sz="6" w:space="0"/>
            </w:tcBorders>
            <w:vAlign w:val="top"/>
          </w:tcPr>
          <w:p w14:paraId="1C3232FF">
            <w:pPr>
              <w:rPr>
                <w:rFonts w:ascii="Arial"/>
                <w:sz w:val="21"/>
              </w:rPr>
            </w:pPr>
          </w:p>
        </w:tc>
      </w:tr>
    </w:tbl>
    <w:p w14:paraId="1C65B60B">
      <w:pPr>
        <w:rPr>
          <w:rFonts w:ascii="Arial"/>
          <w:sz w:val="21"/>
        </w:rPr>
      </w:pPr>
    </w:p>
    <w:p w14:paraId="52A091DE">
      <w:pPr>
        <w:rPr>
          <w:rFonts w:ascii="Arial" w:hAnsi="Arial" w:eastAsia="Arial" w:cs="Arial"/>
          <w:sz w:val="21"/>
          <w:szCs w:val="21"/>
        </w:rPr>
        <w:sectPr>
          <w:footerReference r:id="rId74" w:type="default"/>
          <w:pgSz w:w="11907" w:h="16840"/>
          <w:pgMar w:top="400" w:right="1499" w:bottom="1240" w:left="1499" w:header="0" w:footer="1077" w:gutter="0"/>
          <w:cols w:space="720" w:num="1"/>
        </w:sectPr>
      </w:pPr>
    </w:p>
    <w:p w14:paraId="0508D41D">
      <w:pPr>
        <w:spacing w:before="19"/>
      </w:pPr>
    </w:p>
    <w:p w14:paraId="6F48F4AA">
      <w:pPr>
        <w:spacing w:before="19"/>
      </w:pPr>
    </w:p>
    <w:p w14:paraId="01288E06">
      <w:pPr>
        <w:spacing w:before="19"/>
      </w:pPr>
    </w:p>
    <w:p w14:paraId="08AB79F9">
      <w:pPr>
        <w:spacing w:before="18"/>
      </w:pPr>
    </w:p>
    <w:p w14:paraId="241A691D">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776F8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754" w:type="dxa"/>
            <w:tcBorders>
              <w:right w:val="single" w:color="000000" w:sz="2" w:space="0"/>
            </w:tcBorders>
            <w:vAlign w:val="top"/>
          </w:tcPr>
          <w:p w14:paraId="37D7D1E0">
            <w:pPr>
              <w:rPr>
                <w:rFonts w:ascii="Arial"/>
                <w:sz w:val="21"/>
              </w:rPr>
            </w:pPr>
          </w:p>
        </w:tc>
        <w:tc>
          <w:tcPr>
            <w:tcW w:w="8139" w:type="dxa"/>
            <w:tcBorders>
              <w:left w:val="single" w:color="000000" w:sz="2" w:space="0"/>
            </w:tcBorders>
            <w:vAlign w:val="top"/>
          </w:tcPr>
          <w:p w14:paraId="4B5D6DF8">
            <w:pPr>
              <w:pStyle w:val="6"/>
              <w:spacing w:before="41" w:line="359" w:lineRule="auto"/>
              <w:ind w:left="111" w:right="103" w:firstLine="479"/>
              <w:jc w:val="both"/>
            </w:pPr>
            <w:r>
              <w:t>本项目拟将各层各车间内放置泡酸胶桶的区域进行围蔽</w:t>
            </w:r>
            <w:r>
              <w:rPr>
                <w:spacing w:val="-1"/>
              </w:rPr>
              <w:t>并严格管理，各</w:t>
            </w:r>
            <w:r>
              <w:t xml:space="preserve"> </w:t>
            </w:r>
            <w:r>
              <w:rPr>
                <w:spacing w:val="-5"/>
              </w:rPr>
              <w:t>车间分别配置</w:t>
            </w:r>
            <w:r>
              <w:rPr>
                <w:spacing w:val="-54"/>
              </w:rPr>
              <w:t xml:space="preserve"> </w:t>
            </w:r>
            <w:r>
              <w:rPr>
                <w:rFonts w:ascii="Times New Roman" w:hAnsi="Times New Roman" w:eastAsia="Times New Roman" w:cs="Times New Roman"/>
                <w:spacing w:val="-5"/>
              </w:rPr>
              <w:t xml:space="preserve">28 </w:t>
            </w:r>
            <w:r>
              <w:rPr>
                <w:spacing w:val="-5"/>
              </w:rPr>
              <w:t>个胶桶，规格为Φ</w:t>
            </w:r>
            <w:r>
              <w:rPr>
                <w:rFonts w:ascii="Times New Roman" w:hAnsi="Times New Roman" w:eastAsia="Times New Roman" w:cs="Times New Roman"/>
                <w:spacing w:val="-5"/>
              </w:rPr>
              <w:t>0.58</w:t>
            </w:r>
            <w:r>
              <w:rPr>
                <w:spacing w:val="-5"/>
              </w:rPr>
              <w:t>×</w:t>
            </w:r>
            <w:r>
              <w:rPr>
                <w:rFonts w:ascii="Times New Roman" w:hAnsi="Times New Roman" w:eastAsia="Times New Roman" w:cs="Times New Roman"/>
                <w:spacing w:val="-5"/>
              </w:rPr>
              <w:t>0.92m</w:t>
            </w:r>
            <w:r>
              <w:rPr>
                <w:spacing w:val="-5"/>
              </w:rPr>
              <w:t>，在车间内占地面积约为</w:t>
            </w:r>
            <w:r>
              <w:rPr>
                <w:spacing w:val="-51"/>
              </w:rPr>
              <w:t xml:space="preserve"> </w:t>
            </w:r>
            <w:r>
              <w:rPr>
                <w:rFonts w:ascii="Times New Roman" w:hAnsi="Times New Roman" w:eastAsia="Times New Roman" w:cs="Times New Roman"/>
                <w:spacing w:val="-5"/>
              </w:rPr>
              <w:t>9.41</w:t>
            </w:r>
            <w:r>
              <w:rPr>
                <w:rFonts w:ascii="Times New Roman" w:hAnsi="Times New Roman" w:eastAsia="Times New Roman" w:cs="Times New Roman"/>
              </w:rPr>
              <w:t xml:space="preserve"> </w:t>
            </w:r>
            <w:r>
              <w:rPr>
                <w:spacing w:val="-9"/>
              </w:rPr>
              <w:t>㎡</w:t>
            </w:r>
            <w:r>
              <w:rPr>
                <w:spacing w:val="-66"/>
              </w:rPr>
              <w:t xml:space="preserve"> </w:t>
            </w:r>
            <w:r>
              <w:rPr>
                <w:spacing w:val="-9"/>
              </w:rPr>
              <w:t>，围蔽区域只是少约</w:t>
            </w:r>
            <w:r>
              <w:rPr>
                <w:spacing w:val="-32"/>
              </w:rPr>
              <w:t xml:space="preserve"> </w:t>
            </w:r>
            <w:r>
              <w:rPr>
                <w:rFonts w:ascii="Times New Roman" w:hAnsi="Times New Roman" w:eastAsia="Times New Roman" w:cs="Times New Roman"/>
                <w:spacing w:val="-9"/>
              </w:rPr>
              <w:t>11.3</w:t>
            </w:r>
            <w:r>
              <w:rPr>
                <w:rFonts w:ascii="Times New Roman" w:hAnsi="Times New Roman" w:eastAsia="Times New Roman" w:cs="Times New Roman"/>
                <w:spacing w:val="20"/>
              </w:rPr>
              <w:t xml:space="preserve"> </w:t>
            </w:r>
            <w:r>
              <w:rPr>
                <w:spacing w:val="-9"/>
              </w:rPr>
              <w:t>㎡。</w:t>
            </w:r>
          </w:p>
          <w:p w14:paraId="7B158A57">
            <w:pPr>
              <w:pStyle w:val="6"/>
              <w:spacing w:before="3" w:line="360" w:lineRule="auto"/>
              <w:ind w:left="108" w:right="103" w:firstLine="484"/>
              <w:jc w:val="both"/>
            </w:pPr>
            <w:r>
              <w:t>项目正常生产过程中，对于围蔽区域进行通风换</w:t>
            </w:r>
            <w:r>
              <w:rPr>
                <w:spacing w:val="-1"/>
              </w:rPr>
              <w:t>气。根据《三废处理工</w:t>
            </w:r>
            <w:r>
              <w:t xml:space="preserve"> </w:t>
            </w:r>
            <w:r>
              <w:rPr>
                <w:spacing w:val="-1"/>
              </w:rPr>
              <w:t>程技术手册 废气卷》（</w:t>
            </w:r>
            <w:r>
              <w:rPr>
                <w:rFonts w:ascii="Times New Roman" w:hAnsi="Times New Roman" w:eastAsia="Times New Roman" w:cs="Times New Roman"/>
                <w:spacing w:val="-1"/>
              </w:rPr>
              <w:t>ISBN7-5025-2470-3</w:t>
            </w:r>
            <w:r>
              <w:rPr>
                <w:spacing w:val="-1"/>
              </w:rPr>
              <w:t>）中</w:t>
            </w:r>
            <w:r>
              <w:rPr>
                <w:spacing w:val="-2"/>
              </w:rPr>
              <w:t>“表</w:t>
            </w:r>
            <w:r>
              <w:rPr>
                <w:spacing w:val="-32"/>
              </w:rPr>
              <w:t xml:space="preserve"> </w:t>
            </w:r>
            <w:r>
              <w:rPr>
                <w:rFonts w:ascii="Times New Roman" w:hAnsi="Times New Roman" w:eastAsia="Times New Roman" w:cs="Times New Roman"/>
                <w:spacing w:val="-2"/>
              </w:rPr>
              <w:t xml:space="preserve">17-1 </w:t>
            </w:r>
            <w:r>
              <w:rPr>
                <w:spacing w:val="-2"/>
              </w:rPr>
              <w:t>每小时各种场所换</w:t>
            </w:r>
            <w:r>
              <w:t xml:space="preserve"> 气次数</w:t>
            </w:r>
            <w:r>
              <w:rPr>
                <w:spacing w:val="-88"/>
              </w:rPr>
              <w:t xml:space="preserve"> </w:t>
            </w:r>
            <w:r>
              <w:t>”，设计本项目车间换气次数不低于</w:t>
            </w:r>
            <w:r>
              <w:rPr>
                <w:spacing w:val="-52"/>
              </w:rPr>
              <w:t xml:space="preserve"> </w:t>
            </w:r>
            <w:r>
              <w:rPr>
                <w:rFonts w:ascii="Times New Roman" w:hAnsi="Times New Roman" w:eastAsia="Times New Roman" w:cs="Times New Roman"/>
              </w:rPr>
              <w:t>20</w:t>
            </w:r>
            <w:r>
              <w:rPr>
                <w:rFonts w:ascii="Times New Roman" w:hAnsi="Times New Roman" w:eastAsia="Times New Roman" w:cs="Times New Roman"/>
                <w:spacing w:val="18"/>
                <w:w w:val="101"/>
              </w:rPr>
              <w:t xml:space="preserve"> </w:t>
            </w:r>
            <w:r>
              <w:t>次</w:t>
            </w:r>
            <w:r>
              <w:rPr>
                <w:rFonts w:ascii="Times New Roman" w:hAnsi="Times New Roman" w:eastAsia="Times New Roman" w:cs="Times New Roman"/>
              </w:rPr>
              <w:t>/</w:t>
            </w:r>
            <w:r>
              <w:t>小</w:t>
            </w:r>
            <w:r>
              <w:rPr>
                <w:spacing w:val="-1"/>
              </w:rPr>
              <w:t>时。项目将对收集的废</w:t>
            </w:r>
            <w:r>
              <w:t xml:space="preserve"> </w:t>
            </w:r>
            <w:r>
              <w:rPr>
                <w:spacing w:val="-1"/>
              </w:rPr>
              <w:t>气进行处理，处理的废气设计量如下：</w:t>
            </w:r>
          </w:p>
          <w:p w14:paraId="4946C09E">
            <w:pPr>
              <w:pStyle w:val="6"/>
              <w:spacing w:before="112" w:line="219" w:lineRule="auto"/>
              <w:ind w:left="2045"/>
            </w:pPr>
            <w:r>
              <w:rPr>
                <w:b/>
                <w:bCs/>
                <w:spacing w:val="-2"/>
              </w:rPr>
              <w:t>表</w:t>
            </w:r>
            <w:r>
              <w:rPr>
                <w:rFonts w:ascii="Times New Roman" w:hAnsi="Times New Roman" w:eastAsia="Times New Roman" w:cs="Times New Roman"/>
                <w:b/>
                <w:bCs/>
                <w:spacing w:val="-2"/>
              </w:rPr>
              <w:t xml:space="preserve">4-10    </w:t>
            </w:r>
            <w:r>
              <w:rPr>
                <w:b/>
                <w:bCs/>
                <w:spacing w:val="-2"/>
              </w:rPr>
              <w:t>项目废气收集设计风量计算表</w:t>
            </w:r>
          </w:p>
          <w:p w14:paraId="0FAA5275">
            <w:pPr>
              <w:spacing w:line="146" w:lineRule="exact"/>
            </w:pPr>
          </w:p>
          <w:tbl>
            <w:tblPr>
              <w:tblStyle w:val="5"/>
              <w:tblW w:w="7850" w:type="dxa"/>
              <w:tblInd w:w="1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920"/>
              <w:gridCol w:w="587"/>
              <w:gridCol w:w="1087"/>
              <w:gridCol w:w="935"/>
              <w:gridCol w:w="932"/>
              <w:gridCol w:w="979"/>
              <w:gridCol w:w="911"/>
              <w:gridCol w:w="937"/>
            </w:tblGrid>
            <w:tr w14:paraId="36D0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2069" w:type="dxa"/>
                  <w:gridSpan w:val="3"/>
                  <w:vAlign w:val="top"/>
                </w:tcPr>
                <w:p w14:paraId="0EE596BF">
                  <w:pPr>
                    <w:rPr>
                      <w:rFonts w:ascii="Arial"/>
                      <w:sz w:val="21"/>
                    </w:rPr>
                  </w:pPr>
                </w:p>
                <w:p w14:paraId="28E14F89">
                  <w:pPr>
                    <w:pStyle w:val="6"/>
                    <w:spacing w:before="65" w:line="228" w:lineRule="auto"/>
                    <w:ind w:left="304"/>
                    <w:rPr>
                      <w:sz w:val="20"/>
                      <w:szCs w:val="20"/>
                    </w:rPr>
                  </w:pPr>
                  <w:r>
                    <w:rPr>
                      <w:spacing w:val="7"/>
                      <w:sz w:val="20"/>
                      <w:szCs w:val="20"/>
                    </w:rPr>
                    <w:t>操作车间（个）</w:t>
                  </w:r>
                </w:p>
              </w:tc>
              <w:tc>
                <w:tcPr>
                  <w:tcW w:w="1087" w:type="dxa"/>
                  <w:vAlign w:val="top"/>
                </w:tcPr>
                <w:p w14:paraId="513BD1BD">
                  <w:pPr>
                    <w:pStyle w:val="6"/>
                    <w:spacing w:before="173" w:line="252" w:lineRule="auto"/>
                    <w:ind w:left="113" w:right="21" w:firstLine="32"/>
                    <w:rPr>
                      <w:sz w:val="20"/>
                      <w:szCs w:val="20"/>
                    </w:rPr>
                  </w:pPr>
                  <w:r>
                    <w:rPr>
                      <w:spacing w:val="2"/>
                      <w:sz w:val="20"/>
                      <w:szCs w:val="20"/>
                    </w:rPr>
                    <w:t>围蔽区域</w:t>
                  </w:r>
                  <w:r>
                    <w:rPr>
                      <w:sz w:val="20"/>
                      <w:szCs w:val="20"/>
                    </w:rPr>
                    <w:t xml:space="preserve">  </w:t>
                  </w:r>
                  <w:r>
                    <w:rPr>
                      <w:spacing w:val="-11"/>
                      <w:sz w:val="20"/>
                      <w:szCs w:val="20"/>
                    </w:rPr>
                    <w:t>面积（㎡）</w:t>
                  </w:r>
                </w:p>
              </w:tc>
              <w:tc>
                <w:tcPr>
                  <w:tcW w:w="935" w:type="dxa"/>
                  <w:vAlign w:val="top"/>
                </w:tcPr>
                <w:p w14:paraId="6A3EFD02">
                  <w:pPr>
                    <w:pStyle w:val="6"/>
                    <w:spacing w:before="173" w:line="252" w:lineRule="auto"/>
                    <w:ind w:left="112" w:right="51" w:firstLine="45"/>
                    <w:rPr>
                      <w:sz w:val="20"/>
                      <w:szCs w:val="20"/>
                    </w:rPr>
                  </w:pPr>
                  <w:r>
                    <w:rPr>
                      <w:spacing w:val="7"/>
                      <w:sz w:val="20"/>
                      <w:szCs w:val="20"/>
                    </w:rPr>
                    <w:t>楼层高</w:t>
                  </w:r>
                  <w:r>
                    <w:rPr>
                      <w:sz w:val="20"/>
                      <w:szCs w:val="20"/>
                    </w:rPr>
                    <w:t xml:space="preserve">  </w:t>
                  </w:r>
                  <w:r>
                    <w:rPr>
                      <w:spacing w:val="2"/>
                      <w:sz w:val="20"/>
                      <w:szCs w:val="20"/>
                    </w:rPr>
                    <w:t>度（</w:t>
                  </w:r>
                  <w:r>
                    <w:rPr>
                      <w:rFonts w:ascii="Times New Roman" w:hAnsi="Times New Roman" w:eastAsia="Times New Roman" w:cs="Times New Roman"/>
                      <w:spacing w:val="2"/>
                      <w:sz w:val="20"/>
                      <w:szCs w:val="20"/>
                    </w:rPr>
                    <w:t>m</w:t>
                  </w:r>
                  <w:r>
                    <w:rPr>
                      <w:spacing w:val="2"/>
                      <w:sz w:val="20"/>
                      <w:szCs w:val="20"/>
                    </w:rPr>
                    <w:t>）</w:t>
                  </w:r>
                </w:p>
              </w:tc>
              <w:tc>
                <w:tcPr>
                  <w:tcW w:w="932" w:type="dxa"/>
                  <w:vAlign w:val="top"/>
                </w:tcPr>
                <w:p w14:paraId="66EC9766">
                  <w:pPr>
                    <w:pStyle w:val="6"/>
                    <w:spacing w:before="36" w:line="228" w:lineRule="auto"/>
                    <w:ind w:left="175"/>
                    <w:rPr>
                      <w:sz w:val="20"/>
                      <w:szCs w:val="20"/>
                    </w:rPr>
                  </w:pPr>
                  <w:r>
                    <w:rPr>
                      <w:sz w:val="20"/>
                      <w:szCs w:val="20"/>
                    </w:rPr>
                    <w:t>围蔽区</w:t>
                  </w:r>
                </w:p>
                <w:p w14:paraId="5EEC6263">
                  <w:pPr>
                    <w:pStyle w:val="6"/>
                    <w:spacing w:before="24" w:line="228" w:lineRule="auto"/>
                    <w:ind w:left="157"/>
                    <w:rPr>
                      <w:sz w:val="20"/>
                      <w:szCs w:val="20"/>
                    </w:rPr>
                  </w:pPr>
                  <w:r>
                    <w:rPr>
                      <w:spacing w:val="6"/>
                      <w:sz w:val="20"/>
                      <w:szCs w:val="20"/>
                    </w:rPr>
                    <w:t>域容积</w:t>
                  </w:r>
                </w:p>
                <w:p w14:paraId="7E63DEE3">
                  <w:pPr>
                    <w:pStyle w:val="6"/>
                    <w:spacing w:before="25" w:line="217" w:lineRule="auto"/>
                    <w:ind w:left="160"/>
                    <w:rPr>
                      <w:sz w:val="20"/>
                      <w:szCs w:val="20"/>
                    </w:rPr>
                  </w:pPr>
                  <w:r>
                    <w:rPr>
                      <w:spacing w:val="-10"/>
                      <w:sz w:val="20"/>
                      <w:szCs w:val="20"/>
                    </w:rPr>
                    <w:t>（</w:t>
                  </w:r>
                  <w:r>
                    <w:rPr>
                      <w:rFonts w:ascii="Times New Roman" w:hAnsi="Times New Roman" w:eastAsia="Times New Roman" w:cs="Times New Roman"/>
                      <w:spacing w:val="-10"/>
                      <w:sz w:val="20"/>
                      <w:szCs w:val="20"/>
                    </w:rPr>
                    <w:t>m3</w:t>
                  </w:r>
                  <w:r>
                    <w:rPr>
                      <w:spacing w:val="-10"/>
                      <w:sz w:val="20"/>
                      <w:szCs w:val="20"/>
                    </w:rPr>
                    <w:t>）</w:t>
                  </w:r>
                </w:p>
              </w:tc>
              <w:tc>
                <w:tcPr>
                  <w:tcW w:w="979" w:type="dxa"/>
                  <w:vAlign w:val="top"/>
                </w:tcPr>
                <w:p w14:paraId="2A63CBE5">
                  <w:pPr>
                    <w:pStyle w:val="6"/>
                    <w:spacing w:before="172" w:line="255" w:lineRule="auto"/>
                    <w:ind w:left="115" w:right="30" w:firstLine="69"/>
                    <w:rPr>
                      <w:sz w:val="20"/>
                      <w:szCs w:val="20"/>
                    </w:rPr>
                  </w:pPr>
                  <w:r>
                    <w:rPr>
                      <w:spacing w:val="6"/>
                      <w:sz w:val="20"/>
                      <w:szCs w:val="20"/>
                    </w:rPr>
                    <w:t>理论风</w:t>
                  </w:r>
                  <w:r>
                    <w:rPr>
                      <w:sz w:val="20"/>
                      <w:szCs w:val="20"/>
                    </w:rPr>
                    <w:t xml:space="preserve">  </w:t>
                  </w:r>
                  <w:r>
                    <w:rPr>
                      <w:spacing w:val="-6"/>
                      <w:sz w:val="20"/>
                      <w:szCs w:val="20"/>
                    </w:rPr>
                    <w:t>量（</w:t>
                  </w:r>
                  <w:r>
                    <w:rPr>
                      <w:rFonts w:ascii="Times New Roman" w:hAnsi="Times New Roman" w:eastAsia="Times New Roman" w:cs="Times New Roman"/>
                      <w:spacing w:val="-6"/>
                      <w:sz w:val="20"/>
                      <w:szCs w:val="20"/>
                    </w:rPr>
                    <w:t>m3</w:t>
                  </w:r>
                  <w:r>
                    <w:rPr>
                      <w:spacing w:val="-6"/>
                      <w:sz w:val="20"/>
                      <w:szCs w:val="20"/>
                    </w:rPr>
                    <w:t>）</w:t>
                  </w:r>
                </w:p>
              </w:tc>
              <w:tc>
                <w:tcPr>
                  <w:tcW w:w="911" w:type="dxa"/>
                  <w:vAlign w:val="top"/>
                </w:tcPr>
                <w:p w14:paraId="05DE4F25">
                  <w:pPr>
                    <w:pStyle w:val="6"/>
                    <w:spacing w:before="172" w:line="255" w:lineRule="auto"/>
                    <w:ind w:left="115" w:right="17" w:firstLine="34"/>
                    <w:rPr>
                      <w:sz w:val="20"/>
                      <w:szCs w:val="20"/>
                    </w:rPr>
                  </w:pPr>
                  <w:r>
                    <w:rPr>
                      <w:spacing w:val="5"/>
                      <w:sz w:val="20"/>
                      <w:szCs w:val="20"/>
                    </w:rPr>
                    <w:t>设计风</w:t>
                  </w:r>
                  <w:r>
                    <w:rPr>
                      <w:sz w:val="20"/>
                      <w:szCs w:val="20"/>
                    </w:rPr>
                    <w:t xml:space="preserve">  </w:t>
                  </w:r>
                  <w:r>
                    <w:rPr>
                      <w:spacing w:val="-17"/>
                      <w:sz w:val="20"/>
                      <w:szCs w:val="20"/>
                    </w:rPr>
                    <w:t>量（</w:t>
                  </w:r>
                  <w:r>
                    <w:rPr>
                      <w:rFonts w:ascii="Times New Roman" w:hAnsi="Times New Roman" w:eastAsia="Times New Roman" w:cs="Times New Roman"/>
                      <w:spacing w:val="-17"/>
                      <w:sz w:val="20"/>
                      <w:szCs w:val="20"/>
                    </w:rPr>
                    <w:t>m3</w:t>
                  </w:r>
                  <w:r>
                    <w:rPr>
                      <w:spacing w:val="-17"/>
                      <w:sz w:val="20"/>
                      <w:szCs w:val="20"/>
                    </w:rPr>
                    <w:t>）</w:t>
                  </w:r>
                </w:p>
              </w:tc>
              <w:tc>
                <w:tcPr>
                  <w:tcW w:w="937" w:type="dxa"/>
                  <w:vAlign w:val="top"/>
                </w:tcPr>
                <w:p w14:paraId="66528260">
                  <w:pPr>
                    <w:rPr>
                      <w:rFonts w:ascii="Arial"/>
                      <w:sz w:val="21"/>
                    </w:rPr>
                  </w:pPr>
                </w:p>
                <w:p w14:paraId="3889FD9D">
                  <w:pPr>
                    <w:pStyle w:val="6"/>
                    <w:spacing w:before="65" w:line="228" w:lineRule="auto"/>
                    <w:ind w:left="159"/>
                    <w:rPr>
                      <w:sz w:val="20"/>
                      <w:szCs w:val="20"/>
                    </w:rPr>
                  </w:pPr>
                  <w:r>
                    <w:rPr>
                      <w:spacing w:val="6"/>
                      <w:sz w:val="20"/>
                      <w:szCs w:val="20"/>
                    </w:rPr>
                    <w:t>排气筒</w:t>
                  </w:r>
                </w:p>
              </w:tc>
            </w:tr>
            <w:tr w14:paraId="47AEA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62" w:type="dxa"/>
                  <w:vMerge w:val="restart"/>
                  <w:tcBorders>
                    <w:bottom w:val="nil"/>
                  </w:tcBorders>
                  <w:vAlign w:val="top"/>
                </w:tcPr>
                <w:p w14:paraId="504568A7">
                  <w:pPr>
                    <w:spacing w:line="243" w:lineRule="auto"/>
                    <w:rPr>
                      <w:rFonts w:ascii="Arial"/>
                      <w:sz w:val="21"/>
                    </w:rPr>
                  </w:pPr>
                </w:p>
                <w:p w14:paraId="11A04308">
                  <w:pPr>
                    <w:spacing w:line="243" w:lineRule="auto"/>
                    <w:rPr>
                      <w:rFonts w:ascii="Arial"/>
                      <w:sz w:val="21"/>
                    </w:rPr>
                  </w:pPr>
                </w:p>
                <w:p w14:paraId="18E1FFE4">
                  <w:pPr>
                    <w:spacing w:line="243" w:lineRule="auto"/>
                    <w:rPr>
                      <w:rFonts w:ascii="Arial"/>
                      <w:sz w:val="21"/>
                    </w:rPr>
                  </w:pPr>
                </w:p>
                <w:p w14:paraId="28BB4A25">
                  <w:pPr>
                    <w:spacing w:line="243" w:lineRule="auto"/>
                    <w:rPr>
                      <w:rFonts w:ascii="Arial"/>
                      <w:sz w:val="21"/>
                    </w:rPr>
                  </w:pPr>
                </w:p>
                <w:p w14:paraId="3C363A2B">
                  <w:pPr>
                    <w:spacing w:line="244" w:lineRule="auto"/>
                    <w:rPr>
                      <w:rFonts w:ascii="Arial"/>
                      <w:sz w:val="21"/>
                    </w:rPr>
                  </w:pPr>
                </w:p>
                <w:p w14:paraId="2325B47F">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391F3227">
                  <w:pPr>
                    <w:pStyle w:val="6"/>
                    <w:spacing w:before="34" w:line="229" w:lineRule="auto"/>
                    <w:ind w:left="185"/>
                    <w:rPr>
                      <w:sz w:val="20"/>
                      <w:szCs w:val="20"/>
                    </w:rPr>
                  </w:pPr>
                  <w:r>
                    <w:rPr>
                      <w:sz w:val="20"/>
                      <w:szCs w:val="20"/>
                    </w:rPr>
                    <w:t>号</w:t>
                  </w:r>
                </w:p>
                <w:p w14:paraId="01710FD3">
                  <w:pPr>
                    <w:pStyle w:val="6"/>
                    <w:spacing w:before="22" w:line="228" w:lineRule="auto"/>
                    <w:ind w:left="179"/>
                    <w:rPr>
                      <w:sz w:val="20"/>
                      <w:szCs w:val="20"/>
                    </w:rPr>
                  </w:pPr>
                  <w:r>
                    <w:rPr>
                      <w:spacing w:val="1"/>
                      <w:sz w:val="20"/>
                      <w:szCs w:val="20"/>
                    </w:rPr>
                    <w:t>楼</w:t>
                  </w:r>
                </w:p>
              </w:tc>
              <w:tc>
                <w:tcPr>
                  <w:tcW w:w="920" w:type="dxa"/>
                  <w:vAlign w:val="top"/>
                </w:tcPr>
                <w:p w14:paraId="5B5A341E">
                  <w:pPr>
                    <w:pStyle w:val="6"/>
                    <w:spacing w:before="93" w:line="228"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3"/>
                      <w:sz w:val="20"/>
                      <w:szCs w:val="20"/>
                    </w:rPr>
                    <w:t xml:space="preserve"> </w:t>
                  </w:r>
                  <w:r>
                    <w:rPr>
                      <w:spacing w:val="2"/>
                      <w:sz w:val="20"/>
                      <w:szCs w:val="20"/>
                    </w:rPr>
                    <w:t>层</w:t>
                  </w:r>
                  <w:r>
                    <w:rPr>
                      <w:rFonts w:ascii="Times New Roman" w:hAnsi="Times New Roman" w:eastAsia="Times New Roman" w:cs="Times New Roman"/>
                      <w:spacing w:val="2"/>
                      <w:sz w:val="20"/>
                      <w:szCs w:val="20"/>
                    </w:rPr>
                    <w:t>-A</w:t>
                  </w:r>
                </w:p>
              </w:tc>
              <w:tc>
                <w:tcPr>
                  <w:tcW w:w="587" w:type="dxa"/>
                  <w:vAlign w:val="top"/>
                </w:tcPr>
                <w:p w14:paraId="40EA40AD">
                  <w:pPr>
                    <w:spacing w:before="129"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87" w:type="dxa"/>
                  <w:vAlign w:val="top"/>
                </w:tcPr>
                <w:p w14:paraId="5B4CE82F">
                  <w:pPr>
                    <w:spacing w:before="129"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71937CC0">
                  <w:pPr>
                    <w:spacing w:before="129"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546F3CE9">
                  <w:pPr>
                    <w:spacing w:before="129"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1DEEB1D7">
                  <w:pPr>
                    <w:spacing w:before="12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9492</w:t>
                  </w:r>
                </w:p>
              </w:tc>
              <w:tc>
                <w:tcPr>
                  <w:tcW w:w="911" w:type="dxa"/>
                  <w:vAlign w:val="top"/>
                </w:tcPr>
                <w:p w14:paraId="4E40243F">
                  <w:pPr>
                    <w:spacing w:before="129"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5D86494F">
                  <w:pPr>
                    <w:spacing w:before="129"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006</w:t>
                  </w:r>
                </w:p>
              </w:tc>
            </w:tr>
            <w:tr w14:paraId="00127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62" w:type="dxa"/>
                  <w:vMerge w:val="continue"/>
                  <w:tcBorders>
                    <w:top w:val="nil"/>
                    <w:bottom w:val="nil"/>
                  </w:tcBorders>
                  <w:vAlign w:val="top"/>
                </w:tcPr>
                <w:p w14:paraId="5F779CB1">
                  <w:pPr>
                    <w:rPr>
                      <w:rFonts w:ascii="Arial"/>
                      <w:sz w:val="21"/>
                    </w:rPr>
                  </w:pPr>
                </w:p>
              </w:tc>
              <w:tc>
                <w:tcPr>
                  <w:tcW w:w="920" w:type="dxa"/>
                  <w:vAlign w:val="top"/>
                </w:tcPr>
                <w:p w14:paraId="136CB8C2">
                  <w:pPr>
                    <w:pStyle w:val="6"/>
                    <w:spacing w:before="95" w:line="228"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0"/>
                      <w:sz w:val="20"/>
                      <w:szCs w:val="20"/>
                    </w:rPr>
                    <w:t xml:space="preserve"> </w:t>
                  </w:r>
                  <w:r>
                    <w:rPr>
                      <w:spacing w:val="2"/>
                      <w:sz w:val="20"/>
                      <w:szCs w:val="20"/>
                    </w:rPr>
                    <w:t>层</w:t>
                  </w:r>
                  <w:r>
                    <w:rPr>
                      <w:rFonts w:ascii="Times New Roman" w:hAnsi="Times New Roman" w:eastAsia="Times New Roman" w:cs="Times New Roman"/>
                      <w:spacing w:val="2"/>
                      <w:sz w:val="20"/>
                      <w:szCs w:val="20"/>
                    </w:rPr>
                    <w:t>-B</w:t>
                  </w:r>
                </w:p>
              </w:tc>
              <w:tc>
                <w:tcPr>
                  <w:tcW w:w="587" w:type="dxa"/>
                  <w:vAlign w:val="top"/>
                </w:tcPr>
                <w:p w14:paraId="485F4ACC">
                  <w:pPr>
                    <w:spacing w:before="131"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7" w:type="dxa"/>
                  <w:vAlign w:val="top"/>
                </w:tcPr>
                <w:p w14:paraId="2ADBADBF">
                  <w:pPr>
                    <w:spacing w:before="131"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09B371AB">
                  <w:pPr>
                    <w:spacing w:before="131"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46BF64AD">
                  <w:pPr>
                    <w:spacing w:before="131"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39B5EA75">
                  <w:pPr>
                    <w:spacing w:before="131"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19775</w:t>
                  </w:r>
                </w:p>
              </w:tc>
              <w:tc>
                <w:tcPr>
                  <w:tcW w:w="911" w:type="dxa"/>
                  <w:vAlign w:val="top"/>
                </w:tcPr>
                <w:p w14:paraId="2E06EA7E">
                  <w:pPr>
                    <w:spacing w:before="13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49EDB257">
                  <w:pPr>
                    <w:spacing w:before="131"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007</w:t>
                  </w:r>
                </w:p>
              </w:tc>
            </w:tr>
            <w:tr w14:paraId="48518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62" w:type="dxa"/>
                  <w:vMerge w:val="continue"/>
                  <w:tcBorders>
                    <w:top w:val="nil"/>
                    <w:bottom w:val="nil"/>
                  </w:tcBorders>
                  <w:vAlign w:val="top"/>
                </w:tcPr>
                <w:p w14:paraId="3E96DD22">
                  <w:pPr>
                    <w:rPr>
                      <w:rFonts w:ascii="Arial"/>
                      <w:sz w:val="21"/>
                    </w:rPr>
                  </w:pPr>
                </w:p>
              </w:tc>
              <w:tc>
                <w:tcPr>
                  <w:tcW w:w="920" w:type="dxa"/>
                  <w:vAlign w:val="top"/>
                </w:tcPr>
                <w:p w14:paraId="7BD1C360">
                  <w:pPr>
                    <w:pStyle w:val="6"/>
                    <w:spacing w:before="97" w:line="228"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3"/>
                      <w:sz w:val="20"/>
                      <w:szCs w:val="20"/>
                    </w:rPr>
                    <w:t xml:space="preserve"> </w:t>
                  </w:r>
                  <w:r>
                    <w:rPr>
                      <w:spacing w:val="1"/>
                      <w:sz w:val="20"/>
                      <w:szCs w:val="20"/>
                    </w:rPr>
                    <w:t>层</w:t>
                  </w:r>
                  <w:r>
                    <w:rPr>
                      <w:rFonts w:ascii="Times New Roman" w:hAnsi="Times New Roman" w:eastAsia="Times New Roman" w:cs="Times New Roman"/>
                      <w:spacing w:val="1"/>
                      <w:sz w:val="20"/>
                      <w:szCs w:val="20"/>
                    </w:rPr>
                    <w:t>-A</w:t>
                  </w:r>
                </w:p>
              </w:tc>
              <w:tc>
                <w:tcPr>
                  <w:tcW w:w="587" w:type="dxa"/>
                  <w:vAlign w:val="top"/>
                </w:tcPr>
                <w:p w14:paraId="658FA5DE">
                  <w:pPr>
                    <w:spacing w:before="133"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7" w:type="dxa"/>
                  <w:vAlign w:val="top"/>
                </w:tcPr>
                <w:p w14:paraId="00908B76">
                  <w:pPr>
                    <w:spacing w:before="133"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51272B52">
                  <w:pPr>
                    <w:spacing w:before="13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5FB7CE61">
                  <w:pPr>
                    <w:spacing w:before="133"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60526FF9">
                  <w:pPr>
                    <w:spacing w:before="13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19775</w:t>
                  </w:r>
                </w:p>
              </w:tc>
              <w:tc>
                <w:tcPr>
                  <w:tcW w:w="911" w:type="dxa"/>
                  <w:vAlign w:val="top"/>
                </w:tcPr>
                <w:p w14:paraId="00C4C015">
                  <w:pPr>
                    <w:spacing w:before="133"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5A675AFD">
                  <w:pPr>
                    <w:spacing w:before="133"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008</w:t>
                  </w:r>
                </w:p>
              </w:tc>
            </w:tr>
            <w:tr w14:paraId="29881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62" w:type="dxa"/>
                  <w:vMerge w:val="continue"/>
                  <w:tcBorders>
                    <w:top w:val="nil"/>
                    <w:bottom w:val="nil"/>
                  </w:tcBorders>
                  <w:vAlign w:val="top"/>
                </w:tcPr>
                <w:p w14:paraId="047AD29B">
                  <w:pPr>
                    <w:rPr>
                      <w:rFonts w:ascii="Arial"/>
                      <w:sz w:val="21"/>
                    </w:rPr>
                  </w:pPr>
                </w:p>
              </w:tc>
              <w:tc>
                <w:tcPr>
                  <w:tcW w:w="920" w:type="dxa"/>
                  <w:vAlign w:val="top"/>
                </w:tcPr>
                <w:p w14:paraId="19BD85CD">
                  <w:pPr>
                    <w:pStyle w:val="6"/>
                    <w:spacing w:before="96" w:line="228"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spacing w:val="1"/>
                      <w:sz w:val="20"/>
                      <w:szCs w:val="20"/>
                    </w:rPr>
                    <w:t>层</w:t>
                  </w:r>
                  <w:r>
                    <w:rPr>
                      <w:rFonts w:ascii="Times New Roman" w:hAnsi="Times New Roman" w:eastAsia="Times New Roman" w:cs="Times New Roman"/>
                      <w:spacing w:val="1"/>
                      <w:sz w:val="20"/>
                      <w:szCs w:val="20"/>
                    </w:rPr>
                    <w:t>-B</w:t>
                  </w:r>
                </w:p>
              </w:tc>
              <w:tc>
                <w:tcPr>
                  <w:tcW w:w="587" w:type="dxa"/>
                  <w:vAlign w:val="top"/>
                </w:tcPr>
                <w:p w14:paraId="5D54EBB2">
                  <w:pPr>
                    <w:spacing w:before="132"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7" w:type="dxa"/>
                  <w:vAlign w:val="top"/>
                </w:tcPr>
                <w:p w14:paraId="5351203F">
                  <w:pPr>
                    <w:spacing w:before="132"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675F6E04">
                  <w:pPr>
                    <w:spacing w:before="132"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66494462">
                  <w:pPr>
                    <w:spacing w:before="13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4E3E8716">
                  <w:pPr>
                    <w:spacing w:before="132"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19775</w:t>
                  </w:r>
                </w:p>
              </w:tc>
              <w:tc>
                <w:tcPr>
                  <w:tcW w:w="911" w:type="dxa"/>
                  <w:vAlign w:val="top"/>
                </w:tcPr>
                <w:p w14:paraId="49BB1311">
                  <w:pPr>
                    <w:spacing w:before="13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693B3336">
                  <w:pPr>
                    <w:spacing w:before="132"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009</w:t>
                  </w:r>
                </w:p>
              </w:tc>
            </w:tr>
            <w:tr w14:paraId="60635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62" w:type="dxa"/>
                  <w:vMerge w:val="continue"/>
                  <w:tcBorders>
                    <w:top w:val="nil"/>
                    <w:bottom w:val="nil"/>
                  </w:tcBorders>
                  <w:vAlign w:val="top"/>
                </w:tcPr>
                <w:p w14:paraId="18BC0090">
                  <w:pPr>
                    <w:rPr>
                      <w:rFonts w:ascii="Arial"/>
                      <w:sz w:val="21"/>
                    </w:rPr>
                  </w:pPr>
                </w:p>
              </w:tc>
              <w:tc>
                <w:tcPr>
                  <w:tcW w:w="920" w:type="dxa"/>
                  <w:vAlign w:val="top"/>
                </w:tcPr>
                <w:p w14:paraId="2B97A6A1">
                  <w:pPr>
                    <w:pStyle w:val="6"/>
                    <w:spacing w:before="97" w:line="228"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w:t>
                  </w:r>
                  <w:r>
                    <w:rPr>
                      <w:rFonts w:ascii="Times New Roman" w:hAnsi="Times New Roman" w:eastAsia="Times New Roman" w:cs="Times New Roman"/>
                      <w:spacing w:val="14"/>
                      <w:sz w:val="20"/>
                      <w:szCs w:val="20"/>
                    </w:rPr>
                    <w:t xml:space="preserve"> </w:t>
                  </w:r>
                  <w:r>
                    <w:rPr>
                      <w:spacing w:val="2"/>
                      <w:sz w:val="20"/>
                      <w:szCs w:val="20"/>
                    </w:rPr>
                    <w:t>层</w:t>
                  </w:r>
                  <w:r>
                    <w:rPr>
                      <w:rFonts w:ascii="Times New Roman" w:hAnsi="Times New Roman" w:eastAsia="Times New Roman" w:cs="Times New Roman"/>
                      <w:spacing w:val="2"/>
                      <w:sz w:val="20"/>
                      <w:szCs w:val="20"/>
                    </w:rPr>
                    <w:t>-A</w:t>
                  </w:r>
                </w:p>
              </w:tc>
              <w:tc>
                <w:tcPr>
                  <w:tcW w:w="587" w:type="dxa"/>
                  <w:vAlign w:val="top"/>
                </w:tcPr>
                <w:p w14:paraId="01E8901A">
                  <w:pPr>
                    <w:spacing w:before="133"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7" w:type="dxa"/>
                  <w:vAlign w:val="top"/>
                </w:tcPr>
                <w:p w14:paraId="7B3CFC70">
                  <w:pPr>
                    <w:spacing w:before="133"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09ABD6B9">
                  <w:pPr>
                    <w:spacing w:before="13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6E3CB753">
                  <w:pPr>
                    <w:spacing w:before="133"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6C5EB34B">
                  <w:pPr>
                    <w:spacing w:before="13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19775</w:t>
                  </w:r>
                </w:p>
              </w:tc>
              <w:tc>
                <w:tcPr>
                  <w:tcW w:w="911" w:type="dxa"/>
                  <w:vAlign w:val="top"/>
                </w:tcPr>
                <w:p w14:paraId="5CFB30AC">
                  <w:pPr>
                    <w:spacing w:before="133"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23115836">
                  <w:pPr>
                    <w:spacing w:before="133"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010</w:t>
                  </w:r>
                </w:p>
              </w:tc>
            </w:tr>
            <w:tr w14:paraId="10DB2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62" w:type="dxa"/>
                  <w:vMerge w:val="continue"/>
                  <w:tcBorders>
                    <w:top w:val="nil"/>
                    <w:bottom w:val="nil"/>
                  </w:tcBorders>
                  <w:vAlign w:val="top"/>
                </w:tcPr>
                <w:p w14:paraId="59EB801A">
                  <w:pPr>
                    <w:rPr>
                      <w:rFonts w:ascii="Arial"/>
                      <w:sz w:val="21"/>
                    </w:rPr>
                  </w:pPr>
                </w:p>
              </w:tc>
              <w:tc>
                <w:tcPr>
                  <w:tcW w:w="920" w:type="dxa"/>
                  <w:vAlign w:val="top"/>
                </w:tcPr>
                <w:p w14:paraId="4DB38B89">
                  <w:pPr>
                    <w:pStyle w:val="6"/>
                    <w:spacing w:before="96" w:line="228"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w:t>
                  </w:r>
                  <w:r>
                    <w:rPr>
                      <w:rFonts w:ascii="Times New Roman" w:hAnsi="Times New Roman" w:eastAsia="Times New Roman" w:cs="Times New Roman"/>
                      <w:spacing w:val="11"/>
                      <w:sz w:val="20"/>
                      <w:szCs w:val="20"/>
                    </w:rPr>
                    <w:t xml:space="preserve"> </w:t>
                  </w:r>
                  <w:r>
                    <w:rPr>
                      <w:spacing w:val="2"/>
                      <w:sz w:val="20"/>
                      <w:szCs w:val="20"/>
                    </w:rPr>
                    <w:t>层</w:t>
                  </w:r>
                  <w:r>
                    <w:rPr>
                      <w:rFonts w:ascii="Times New Roman" w:hAnsi="Times New Roman" w:eastAsia="Times New Roman" w:cs="Times New Roman"/>
                      <w:spacing w:val="2"/>
                      <w:sz w:val="20"/>
                      <w:szCs w:val="20"/>
                    </w:rPr>
                    <w:t>-B</w:t>
                  </w:r>
                </w:p>
              </w:tc>
              <w:tc>
                <w:tcPr>
                  <w:tcW w:w="587" w:type="dxa"/>
                  <w:vAlign w:val="top"/>
                </w:tcPr>
                <w:p w14:paraId="0D08874A">
                  <w:pPr>
                    <w:spacing w:before="132"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7" w:type="dxa"/>
                  <w:vAlign w:val="top"/>
                </w:tcPr>
                <w:p w14:paraId="6C00B055">
                  <w:pPr>
                    <w:spacing w:before="132"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03C5DD6E">
                  <w:pPr>
                    <w:spacing w:before="132"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69A8436C">
                  <w:pPr>
                    <w:spacing w:before="13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54A6A183">
                  <w:pPr>
                    <w:spacing w:before="132"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19775</w:t>
                  </w:r>
                </w:p>
              </w:tc>
              <w:tc>
                <w:tcPr>
                  <w:tcW w:w="911" w:type="dxa"/>
                  <w:vAlign w:val="top"/>
                </w:tcPr>
                <w:p w14:paraId="4FE41625">
                  <w:pPr>
                    <w:spacing w:before="13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10A76B14">
                  <w:pPr>
                    <w:spacing w:before="132"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011</w:t>
                  </w:r>
                </w:p>
              </w:tc>
            </w:tr>
            <w:tr w14:paraId="4B3C2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62" w:type="dxa"/>
                  <w:vMerge w:val="continue"/>
                  <w:tcBorders>
                    <w:top w:val="nil"/>
                    <w:bottom w:val="nil"/>
                  </w:tcBorders>
                  <w:vAlign w:val="top"/>
                </w:tcPr>
                <w:p w14:paraId="2DC49D83">
                  <w:pPr>
                    <w:rPr>
                      <w:rFonts w:ascii="Arial"/>
                      <w:sz w:val="21"/>
                    </w:rPr>
                  </w:pPr>
                </w:p>
              </w:tc>
              <w:tc>
                <w:tcPr>
                  <w:tcW w:w="920" w:type="dxa"/>
                  <w:vAlign w:val="top"/>
                </w:tcPr>
                <w:p w14:paraId="69F6CA7F">
                  <w:pPr>
                    <w:pStyle w:val="6"/>
                    <w:spacing w:before="98" w:line="228"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pacing w:val="12"/>
                      <w:sz w:val="20"/>
                      <w:szCs w:val="20"/>
                    </w:rPr>
                    <w:t xml:space="preserve"> </w:t>
                  </w:r>
                  <w:r>
                    <w:rPr>
                      <w:spacing w:val="1"/>
                      <w:sz w:val="20"/>
                      <w:szCs w:val="20"/>
                    </w:rPr>
                    <w:t>层</w:t>
                  </w:r>
                  <w:r>
                    <w:rPr>
                      <w:rFonts w:ascii="Times New Roman" w:hAnsi="Times New Roman" w:eastAsia="Times New Roman" w:cs="Times New Roman"/>
                      <w:spacing w:val="1"/>
                      <w:sz w:val="20"/>
                      <w:szCs w:val="20"/>
                    </w:rPr>
                    <w:t>-A</w:t>
                  </w:r>
                </w:p>
              </w:tc>
              <w:tc>
                <w:tcPr>
                  <w:tcW w:w="587" w:type="dxa"/>
                  <w:vAlign w:val="top"/>
                </w:tcPr>
                <w:p w14:paraId="753AC68D">
                  <w:pPr>
                    <w:spacing w:before="134"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7" w:type="dxa"/>
                  <w:vAlign w:val="top"/>
                </w:tcPr>
                <w:p w14:paraId="287AACD9">
                  <w:pPr>
                    <w:spacing w:before="13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1C98E1A0">
                  <w:pPr>
                    <w:spacing w:before="134"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6B8569FF">
                  <w:pPr>
                    <w:spacing w:before="134"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6A3059A0">
                  <w:pPr>
                    <w:spacing w:before="134"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19775</w:t>
                  </w:r>
                </w:p>
              </w:tc>
              <w:tc>
                <w:tcPr>
                  <w:tcW w:w="911" w:type="dxa"/>
                  <w:vAlign w:val="top"/>
                </w:tcPr>
                <w:p w14:paraId="0346D706">
                  <w:pPr>
                    <w:spacing w:before="134"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242095FE">
                  <w:pPr>
                    <w:spacing w:before="134"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012</w:t>
                  </w:r>
                </w:p>
              </w:tc>
            </w:tr>
            <w:tr w14:paraId="5707E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62" w:type="dxa"/>
                  <w:vMerge w:val="continue"/>
                  <w:tcBorders>
                    <w:top w:val="nil"/>
                  </w:tcBorders>
                  <w:vAlign w:val="top"/>
                </w:tcPr>
                <w:p w14:paraId="087E78F6">
                  <w:pPr>
                    <w:rPr>
                      <w:rFonts w:ascii="Arial"/>
                      <w:sz w:val="21"/>
                    </w:rPr>
                  </w:pPr>
                </w:p>
              </w:tc>
              <w:tc>
                <w:tcPr>
                  <w:tcW w:w="920" w:type="dxa"/>
                  <w:vAlign w:val="top"/>
                </w:tcPr>
                <w:p w14:paraId="1C0DD945">
                  <w:pPr>
                    <w:pStyle w:val="6"/>
                    <w:spacing w:before="96" w:line="228"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r>
                    <w:rPr>
                      <w:rFonts w:ascii="Times New Roman" w:hAnsi="Times New Roman" w:eastAsia="Times New Roman" w:cs="Times New Roman"/>
                      <w:spacing w:val="12"/>
                      <w:w w:val="101"/>
                      <w:sz w:val="20"/>
                      <w:szCs w:val="20"/>
                    </w:rPr>
                    <w:t xml:space="preserve"> </w:t>
                  </w:r>
                  <w:r>
                    <w:rPr>
                      <w:sz w:val="20"/>
                      <w:szCs w:val="20"/>
                    </w:rPr>
                    <w:t>层</w:t>
                  </w:r>
                  <w:r>
                    <w:rPr>
                      <w:rFonts w:ascii="Times New Roman" w:hAnsi="Times New Roman" w:eastAsia="Times New Roman" w:cs="Times New Roman"/>
                      <w:sz w:val="20"/>
                      <w:szCs w:val="20"/>
                    </w:rPr>
                    <w:t>-B</w:t>
                  </w:r>
                </w:p>
              </w:tc>
              <w:tc>
                <w:tcPr>
                  <w:tcW w:w="587" w:type="dxa"/>
                  <w:vAlign w:val="top"/>
                </w:tcPr>
                <w:p w14:paraId="1CC25B52">
                  <w:pPr>
                    <w:spacing w:before="133"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7" w:type="dxa"/>
                  <w:vAlign w:val="top"/>
                </w:tcPr>
                <w:p w14:paraId="09E0F6C6">
                  <w:pPr>
                    <w:spacing w:before="133"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935" w:type="dxa"/>
                  <w:vAlign w:val="top"/>
                </w:tcPr>
                <w:p w14:paraId="6AA01447">
                  <w:pPr>
                    <w:spacing w:before="13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32" w:type="dxa"/>
                  <w:vAlign w:val="top"/>
                </w:tcPr>
                <w:p w14:paraId="7AAB747C">
                  <w:pPr>
                    <w:spacing w:before="133"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31.92</w:t>
                  </w:r>
                </w:p>
              </w:tc>
              <w:tc>
                <w:tcPr>
                  <w:tcW w:w="979" w:type="dxa"/>
                  <w:vAlign w:val="top"/>
                </w:tcPr>
                <w:p w14:paraId="0457E6C4">
                  <w:pPr>
                    <w:spacing w:before="13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19775</w:t>
                  </w:r>
                </w:p>
              </w:tc>
              <w:tc>
                <w:tcPr>
                  <w:tcW w:w="911" w:type="dxa"/>
                  <w:vAlign w:val="top"/>
                </w:tcPr>
                <w:p w14:paraId="4F4F59A7">
                  <w:pPr>
                    <w:spacing w:before="133"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37" w:type="dxa"/>
                  <w:vAlign w:val="top"/>
                </w:tcPr>
                <w:p w14:paraId="1E5A254E">
                  <w:pPr>
                    <w:spacing w:before="133"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013</w:t>
                  </w:r>
                </w:p>
              </w:tc>
            </w:tr>
          </w:tbl>
          <w:p w14:paraId="5002ACAD">
            <w:pPr>
              <w:spacing w:before="150" w:line="251" w:lineRule="auto"/>
              <w:ind w:left="106" w:right="103" w:firstLine="433"/>
              <w:jc w:val="both"/>
              <w:rPr>
                <w:rFonts w:ascii="楷体" w:hAnsi="楷体" w:eastAsia="楷体" w:cs="楷体"/>
                <w:sz w:val="20"/>
                <w:szCs w:val="20"/>
              </w:rPr>
            </w:pPr>
            <w:r>
              <w:rPr>
                <w:rFonts w:ascii="楷体" w:hAnsi="楷体" w:eastAsia="楷体" w:cs="楷体"/>
                <w:spacing w:val="8"/>
                <w:sz w:val="20"/>
                <w:szCs w:val="20"/>
              </w:rPr>
              <w:t>注：项目危废暂存间因暂存有废酸和废活性炭，暂存过程中会有少量酸雾和</w:t>
            </w:r>
            <w:r>
              <w:rPr>
                <w:rFonts w:ascii="楷体" w:hAnsi="楷体" w:eastAsia="楷体" w:cs="楷体"/>
                <w:spacing w:val="7"/>
                <w:sz w:val="20"/>
                <w:szCs w:val="20"/>
              </w:rPr>
              <w:t>粉尘产</w:t>
            </w:r>
            <w:r>
              <w:rPr>
                <w:rFonts w:ascii="楷体" w:hAnsi="楷体" w:eastAsia="楷体" w:cs="楷体"/>
                <w:sz w:val="20"/>
                <w:szCs w:val="20"/>
              </w:rPr>
              <w:t xml:space="preserve"> </w:t>
            </w:r>
            <w:r>
              <w:rPr>
                <w:rFonts w:ascii="楷体" w:hAnsi="楷体" w:eastAsia="楷体" w:cs="楷体"/>
                <w:spacing w:val="9"/>
                <w:sz w:val="20"/>
                <w:szCs w:val="20"/>
              </w:rPr>
              <w:t>生。根据《危险废物贮存污染控制标准》（</w:t>
            </w:r>
            <w:r>
              <w:rPr>
                <w:rFonts w:ascii="楷体" w:hAnsi="楷体" w:eastAsia="楷体" w:cs="楷体"/>
                <w:sz w:val="20"/>
                <w:szCs w:val="20"/>
              </w:rPr>
              <w:t>GB</w:t>
            </w:r>
            <w:r>
              <w:rPr>
                <w:rFonts w:ascii="楷体" w:hAnsi="楷体" w:eastAsia="楷体" w:cs="楷体"/>
                <w:spacing w:val="-29"/>
                <w:sz w:val="20"/>
                <w:szCs w:val="20"/>
              </w:rPr>
              <w:t xml:space="preserve"> </w:t>
            </w:r>
            <w:r>
              <w:rPr>
                <w:rFonts w:ascii="楷体" w:hAnsi="楷体" w:eastAsia="楷体" w:cs="楷体"/>
                <w:spacing w:val="8"/>
                <w:sz w:val="20"/>
                <w:szCs w:val="20"/>
              </w:rPr>
              <w:t>18597—2023）的要求，需对酸雾和粉尘</w:t>
            </w:r>
            <w:r>
              <w:rPr>
                <w:rFonts w:ascii="楷体" w:hAnsi="楷体" w:eastAsia="楷体" w:cs="楷体"/>
                <w:sz w:val="20"/>
                <w:szCs w:val="20"/>
              </w:rPr>
              <w:t xml:space="preserve"> </w:t>
            </w:r>
            <w:r>
              <w:rPr>
                <w:rFonts w:ascii="楷体" w:hAnsi="楷体" w:eastAsia="楷体" w:cs="楷体"/>
                <w:spacing w:val="8"/>
                <w:sz w:val="20"/>
                <w:szCs w:val="20"/>
              </w:rPr>
              <w:t>进行收集和净化处理。本项目将危废暂存间的通风换气管道连接至酸雾废气喷淋塔的收</w:t>
            </w:r>
            <w:r>
              <w:rPr>
                <w:rFonts w:ascii="楷体" w:hAnsi="楷体" w:eastAsia="楷体" w:cs="楷体"/>
                <w:spacing w:val="11"/>
                <w:sz w:val="20"/>
                <w:szCs w:val="20"/>
              </w:rPr>
              <w:t xml:space="preserve"> </w:t>
            </w:r>
            <w:r>
              <w:rPr>
                <w:rFonts w:ascii="楷体" w:hAnsi="楷体" w:eastAsia="楷体" w:cs="楷体"/>
                <w:spacing w:val="10"/>
                <w:sz w:val="20"/>
                <w:szCs w:val="20"/>
              </w:rPr>
              <w:t>集管道，经三级碱液喷淋后，通过</w:t>
            </w:r>
            <w:r>
              <w:rPr>
                <w:rFonts w:ascii="楷体" w:hAnsi="楷体" w:eastAsia="楷体" w:cs="楷体"/>
                <w:spacing w:val="-42"/>
                <w:sz w:val="20"/>
                <w:szCs w:val="20"/>
              </w:rPr>
              <w:t xml:space="preserve"> </w:t>
            </w:r>
            <w:r>
              <w:rPr>
                <w:rFonts w:ascii="楷体" w:hAnsi="楷体" w:eastAsia="楷体" w:cs="楷体"/>
                <w:sz w:val="20"/>
                <w:szCs w:val="20"/>
              </w:rPr>
              <w:t>DA</w:t>
            </w:r>
            <w:r>
              <w:rPr>
                <w:rFonts w:ascii="楷体" w:hAnsi="楷体" w:eastAsia="楷体" w:cs="楷体"/>
                <w:spacing w:val="10"/>
                <w:sz w:val="20"/>
                <w:szCs w:val="20"/>
              </w:rPr>
              <w:t>006</w:t>
            </w:r>
            <w:r>
              <w:rPr>
                <w:rFonts w:ascii="楷体" w:hAnsi="楷体" w:eastAsia="楷体" w:cs="楷体"/>
                <w:spacing w:val="-32"/>
                <w:sz w:val="20"/>
                <w:szCs w:val="20"/>
              </w:rPr>
              <w:t xml:space="preserve"> </w:t>
            </w:r>
            <w:r>
              <w:rPr>
                <w:rFonts w:ascii="楷体" w:hAnsi="楷体" w:eastAsia="楷体" w:cs="楷体"/>
                <w:spacing w:val="10"/>
                <w:sz w:val="20"/>
                <w:szCs w:val="20"/>
              </w:rPr>
              <w:t>达标排放。排气筒高</w:t>
            </w:r>
            <w:r>
              <w:rPr>
                <w:rFonts w:ascii="楷体" w:hAnsi="楷体" w:eastAsia="楷体" w:cs="楷体"/>
                <w:spacing w:val="9"/>
                <w:sz w:val="20"/>
                <w:szCs w:val="20"/>
              </w:rPr>
              <w:t>度</w:t>
            </w:r>
            <w:r>
              <w:rPr>
                <w:rFonts w:ascii="楷体" w:hAnsi="楷体" w:eastAsia="楷体" w:cs="楷体"/>
                <w:spacing w:val="-38"/>
                <w:sz w:val="20"/>
                <w:szCs w:val="20"/>
              </w:rPr>
              <w:t xml:space="preserve"> </w:t>
            </w:r>
            <w:r>
              <w:rPr>
                <w:rFonts w:ascii="楷体" w:hAnsi="楷体" w:eastAsia="楷体" w:cs="楷体"/>
                <w:spacing w:val="9"/>
                <w:sz w:val="20"/>
                <w:szCs w:val="20"/>
              </w:rPr>
              <w:t>25</w:t>
            </w:r>
            <w:r>
              <w:rPr>
                <w:rFonts w:ascii="楷体" w:hAnsi="楷体" w:eastAsia="楷体" w:cs="楷体"/>
                <w:spacing w:val="-39"/>
                <w:sz w:val="20"/>
                <w:szCs w:val="20"/>
              </w:rPr>
              <w:t xml:space="preserve"> </w:t>
            </w:r>
            <w:r>
              <w:rPr>
                <w:rFonts w:ascii="楷体" w:hAnsi="楷体" w:eastAsia="楷体" w:cs="楷体"/>
                <w:spacing w:val="9"/>
                <w:sz w:val="20"/>
                <w:szCs w:val="20"/>
              </w:rPr>
              <w:t>米，满足《大气污</w:t>
            </w:r>
            <w:r>
              <w:rPr>
                <w:rFonts w:ascii="楷体" w:hAnsi="楷体" w:eastAsia="楷体" w:cs="楷体"/>
                <w:sz w:val="20"/>
                <w:szCs w:val="20"/>
              </w:rPr>
              <w:t xml:space="preserve"> </w:t>
            </w:r>
            <w:r>
              <w:rPr>
                <w:rFonts w:ascii="楷体" w:hAnsi="楷体" w:eastAsia="楷体" w:cs="楷体"/>
                <w:spacing w:val="7"/>
                <w:sz w:val="20"/>
                <w:szCs w:val="20"/>
              </w:rPr>
              <w:t>染物综合排放标准》（</w:t>
            </w:r>
            <w:r>
              <w:rPr>
                <w:rFonts w:ascii="楷体" w:hAnsi="楷体" w:eastAsia="楷体" w:cs="楷体"/>
                <w:sz w:val="20"/>
                <w:szCs w:val="20"/>
              </w:rPr>
              <w:t>GB</w:t>
            </w:r>
            <w:r>
              <w:rPr>
                <w:rFonts w:ascii="楷体" w:hAnsi="楷体" w:eastAsia="楷体" w:cs="楷体"/>
                <w:spacing w:val="7"/>
                <w:sz w:val="20"/>
                <w:szCs w:val="20"/>
              </w:rPr>
              <w:t xml:space="preserve"> 16297-1996）的要求。</w:t>
            </w:r>
          </w:p>
          <w:p w14:paraId="348BB921">
            <w:pPr>
              <w:pStyle w:val="6"/>
              <w:spacing w:before="244" w:line="360" w:lineRule="auto"/>
              <w:ind w:left="108" w:right="42" w:firstLine="484"/>
              <w:jc w:val="both"/>
            </w:pPr>
            <w:r>
              <w:t>项目采用作业区域密闭，在通风换气系统出气口</w:t>
            </w:r>
            <w:r>
              <w:rPr>
                <w:spacing w:val="-1"/>
              </w:rPr>
              <w:t>末端安装管道，负压收</w:t>
            </w:r>
            <w:r>
              <w:t xml:space="preserve"> 集的方式，将泡酸废气收集后引入楼顶废气治理措施（碱液喷淋</w:t>
            </w:r>
            <w:r>
              <w:rPr>
                <w:spacing w:val="-1"/>
              </w:rPr>
              <w:t>塔）进行处</w:t>
            </w:r>
            <w:r>
              <w:t xml:space="preserve"> </w:t>
            </w:r>
            <w:r>
              <w:rPr>
                <w:spacing w:val="-5"/>
              </w:rPr>
              <w:t>理。收集效率参照《广东省工业源挥发性有机</w:t>
            </w:r>
            <w:r>
              <w:rPr>
                <w:spacing w:val="-6"/>
              </w:rPr>
              <w:t>物减排量核算方法（试行）》，</w:t>
            </w:r>
            <w:r>
              <w:t xml:space="preserve"> </w:t>
            </w:r>
            <w:r>
              <w:rPr>
                <w:spacing w:val="-2"/>
              </w:rPr>
              <w:t>废气收集集气效率参考值为</w:t>
            </w:r>
            <w:r>
              <w:rPr>
                <w:spacing w:val="-38"/>
              </w:rPr>
              <w:t xml:space="preserve"> </w:t>
            </w:r>
            <w:r>
              <w:rPr>
                <w:rFonts w:ascii="Times New Roman" w:hAnsi="Times New Roman" w:eastAsia="Times New Roman" w:cs="Times New Roman"/>
                <w:spacing w:val="-2"/>
              </w:rPr>
              <w:t>90%</w:t>
            </w:r>
            <w:r>
              <w:rPr>
                <w:spacing w:val="-2"/>
              </w:rPr>
              <w:t>。</w:t>
            </w:r>
          </w:p>
          <w:p w14:paraId="7B3CA67E">
            <w:pPr>
              <w:pStyle w:val="6"/>
              <w:spacing w:before="3" w:line="359" w:lineRule="auto"/>
              <w:ind w:left="109" w:right="101" w:firstLine="483"/>
              <w:jc w:val="both"/>
            </w:pPr>
            <w:r>
              <w:rPr>
                <w:spacing w:val="-1"/>
              </w:rPr>
              <w:t>项目拟采用</w:t>
            </w:r>
            <w:r>
              <w:rPr>
                <w:spacing w:val="-38"/>
              </w:rPr>
              <w:t xml:space="preserve"> </w:t>
            </w:r>
            <w:r>
              <w:rPr>
                <w:rFonts w:ascii="Times New Roman" w:hAnsi="Times New Roman" w:eastAsia="Times New Roman" w:cs="Times New Roman"/>
                <w:spacing w:val="-1"/>
              </w:rPr>
              <w:t xml:space="preserve">8 </w:t>
            </w:r>
            <w:r>
              <w:rPr>
                <w:spacing w:val="-1"/>
              </w:rPr>
              <w:t>座碱液喷淋塔对收集的酸雾废气进行处理。碱液喷淋塔是</w:t>
            </w:r>
            <w:r>
              <w:t xml:space="preserve"> 利用气体与液体间的接触，而将气体中的传送到液体中，然后再将</w:t>
            </w:r>
            <w:r>
              <w:rPr>
                <w:spacing w:val="-1"/>
              </w:rPr>
              <w:t>清洁之气</w:t>
            </w:r>
            <w:r>
              <w:t xml:space="preserve"> 体与被污染的液体分离达成清净空气的目的。本项目拟配套设</w:t>
            </w:r>
            <w:r>
              <w:rPr>
                <w:spacing w:val="-1"/>
              </w:rPr>
              <w:t>置的碱液喷淋</w:t>
            </w:r>
          </w:p>
        </w:tc>
      </w:tr>
    </w:tbl>
    <w:p w14:paraId="19338576">
      <w:pPr>
        <w:rPr>
          <w:rFonts w:ascii="Arial"/>
          <w:sz w:val="21"/>
        </w:rPr>
      </w:pPr>
    </w:p>
    <w:p w14:paraId="7682110D">
      <w:pPr>
        <w:rPr>
          <w:rFonts w:ascii="Arial" w:hAnsi="Arial" w:eastAsia="Arial" w:cs="Arial"/>
          <w:sz w:val="21"/>
          <w:szCs w:val="21"/>
        </w:rPr>
        <w:sectPr>
          <w:footerReference r:id="rId75" w:type="default"/>
          <w:pgSz w:w="11907" w:h="16840"/>
          <w:pgMar w:top="400" w:right="1499" w:bottom="1240" w:left="1499" w:header="0" w:footer="1077" w:gutter="0"/>
          <w:cols w:space="720" w:num="1"/>
        </w:sectPr>
      </w:pPr>
    </w:p>
    <w:p w14:paraId="292ED582">
      <w:pPr>
        <w:spacing w:before="19"/>
      </w:pPr>
    </w:p>
    <w:p w14:paraId="6FC513FB">
      <w:pPr>
        <w:spacing w:before="19"/>
      </w:pPr>
    </w:p>
    <w:p w14:paraId="0EC1330B">
      <w:pPr>
        <w:spacing w:before="19"/>
      </w:pPr>
    </w:p>
    <w:p w14:paraId="77E3E108">
      <w:pPr>
        <w:spacing w:before="18"/>
      </w:pPr>
    </w:p>
    <w:p w14:paraId="16B239C0">
      <w:pPr>
        <w:spacing w:before="18"/>
      </w:pPr>
    </w:p>
    <w:tbl>
      <w:tblPr>
        <w:tblStyle w:val="5"/>
        <w:tblW w:w="88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40"/>
      </w:tblGrid>
      <w:tr w14:paraId="676B2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3" w:hRule="atLeast"/>
        </w:trPr>
        <w:tc>
          <w:tcPr>
            <w:tcW w:w="754" w:type="dxa"/>
            <w:tcBorders>
              <w:right w:val="single" w:color="000000" w:sz="2" w:space="0"/>
            </w:tcBorders>
            <w:vAlign w:val="top"/>
          </w:tcPr>
          <w:p w14:paraId="4472683E">
            <w:pPr>
              <w:rPr>
                <w:rFonts w:ascii="Arial"/>
                <w:sz w:val="21"/>
              </w:rPr>
            </w:pPr>
          </w:p>
        </w:tc>
        <w:tc>
          <w:tcPr>
            <w:tcW w:w="8140" w:type="dxa"/>
            <w:tcBorders>
              <w:left w:val="single" w:color="000000" w:sz="2" w:space="0"/>
            </w:tcBorders>
            <w:vAlign w:val="top"/>
          </w:tcPr>
          <w:p w14:paraId="5644F031">
            <w:pPr>
              <w:pStyle w:val="6"/>
              <w:spacing w:before="41" w:line="359" w:lineRule="auto"/>
              <w:ind w:left="108" w:right="102"/>
              <w:jc w:val="both"/>
            </w:pPr>
            <w:r>
              <w:t>塔由贮液箱、塔体、进风、喷淋层、填料层、除雾层、观检孔等组</w:t>
            </w:r>
            <w:r>
              <w:rPr>
                <w:spacing w:val="-1"/>
              </w:rPr>
              <w:t>成，能对</w:t>
            </w:r>
            <w:r>
              <w:t xml:space="preserve"> 硫酸雾、盐酸雾、铬酸雾、硝酸雾、磷酸雾、氢氟酸雾、硫化氢、氰</w:t>
            </w:r>
            <w:r>
              <w:rPr>
                <w:spacing w:val="-1"/>
              </w:rPr>
              <w:t>化氢等</w:t>
            </w:r>
            <w:r>
              <w:t xml:space="preserve"> </w:t>
            </w:r>
            <w:r>
              <w:rPr>
                <w:spacing w:val="-1"/>
              </w:rPr>
              <w:t>废气进行吸收、净化处理。</w:t>
            </w:r>
          </w:p>
          <w:p w14:paraId="1BA3CE43">
            <w:pPr>
              <w:pStyle w:val="6"/>
              <w:spacing w:before="3" w:line="359" w:lineRule="auto"/>
              <w:ind w:left="108" w:right="92" w:firstLine="463"/>
              <w:jc w:val="both"/>
            </w:pPr>
            <w:r>
              <w:rPr>
                <w:spacing w:val="-14"/>
              </w:rPr>
              <w:t>《中德金属生态城首期工程（揭阳市电镀定点基地）一、二期项目环境影响</w:t>
            </w:r>
            <w:r>
              <w:rPr>
                <w:spacing w:val="6"/>
              </w:rPr>
              <w:t xml:space="preserve"> </w:t>
            </w:r>
            <w:r>
              <w:rPr>
                <w:spacing w:val="-14"/>
              </w:rPr>
              <w:t>跟踪评价》（报批稿）中，“氯化氢通过碱液喷淋装置吸收处理”以及处理前后</w:t>
            </w:r>
            <w:r>
              <w:rPr>
                <w:spacing w:val="18"/>
              </w:rPr>
              <w:t xml:space="preserve"> </w:t>
            </w:r>
            <w:r>
              <w:rPr>
                <w:spacing w:val="-11"/>
              </w:rPr>
              <w:t>酸雾的排放情况（见下表</w:t>
            </w:r>
            <w:r>
              <w:rPr>
                <w:spacing w:val="-4"/>
              </w:rPr>
              <w:t>），</w:t>
            </w:r>
            <w:r>
              <w:rPr>
                <w:spacing w:val="-11"/>
              </w:rPr>
              <w:t>得出碱液喷淋塔对氯化氢的去除效率为</w:t>
            </w:r>
            <w:r>
              <w:rPr>
                <w:spacing w:val="-67"/>
              </w:rPr>
              <w:t xml:space="preserve"> </w:t>
            </w:r>
            <w:r>
              <w:rPr>
                <w:rFonts w:ascii="Times New Roman" w:hAnsi="Times New Roman" w:eastAsia="Times New Roman" w:cs="Times New Roman"/>
                <w:spacing w:val="-11"/>
              </w:rPr>
              <w:t>97.99%</w:t>
            </w:r>
            <w:r>
              <w:rPr>
                <w:spacing w:val="-11"/>
              </w:rPr>
              <w:t>。</w:t>
            </w:r>
          </w:p>
          <w:p w14:paraId="1823767A">
            <w:pPr>
              <w:pStyle w:val="6"/>
              <w:spacing w:before="117" w:line="219" w:lineRule="auto"/>
              <w:ind w:left="1659"/>
            </w:pPr>
            <w:r>
              <w:rPr>
                <w:b/>
                <w:bCs/>
                <w:spacing w:val="-3"/>
              </w:rPr>
              <w:t>表</w:t>
            </w:r>
            <w:r>
              <w:rPr>
                <w:spacing w:val="-36"/>
              </w:rPr>
              <w:t xml:space="preserve"> </w:t>
            </w:r>
            <w:r>
              <w:rPr>
                <w:rFonts w:ascii="Times New Roman" w:hAnsi="Times New Roman" w:eastAsia="Times New Roman" w:cs="Times New Roman"/>
                <w:b/>
                <w:bCs/>
                <w:spacing w:val="-3"/>
              </w:rPr>
              <w:t xml:space="preserve">4-11    </w:t>
            </w:r>
            <w:r>
              <w:rPr>
                <w:b/>
                <w:bCs/>
                <w:spacing w:val="-3"/>
              </w:rPr>
              <w:t>中德项目电镀酸雾的收集及排放情况</w:t>
            </w:r>
          </w:p>
          <w:p w14:paraId="47EB61F5">
            <w:pPr>
              <w:spacing w:line="145" w:lineRule="exact"/>
            </w:pPr>
          </w:p>
          <w:tbl>
            <w:tblPr>
              <w:tblStyle w:val="5"/>
              <w:tblW w:w="7903"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449"/>
              <w:gridCol w:w="2449"/>
              <w:gridCol w:w="1870"/>
            </w:tblGrid>
            <w:tr w14:paraId="64376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135" w:type="dxa"/>
                  <w:vAlign w:val="top"/>
                </w:tcPr>
                <w:p w14:paraId="279354C0">
                  <w:pPr>
                    <w:pStyle w:val="6"/>
                    <w:spacing w:before="129" w:line="228" w:lineRule="auto"/>
                    <w:ind w:left="258"/>
                    <w:rPr>
                      <w:sz w:val="20"/>
                      <w:szCs w:val="20"/>
                    </w:rPr>
                  </w:pPr>
                  <w:r>
                    <w:rPr>
                      <w:b/>
                      <w:bCs/>
                      <w:spacing w:val="5"/>
                      <w:sz w:val="20"/>
                      <w:szCs w:val="20"/>
                    </w:rPr>
                    <w:t>污染物</w:t>
                  </w:r>
                </w:p>
              </w:tc>
              <w:tc>
                <w:tcPr>
                  <w:tcW w:w="2449" w:type="dxa"/>
                  <w:vAlign w:val="top"/>
                </w:tcPr>
                <w:p w14:paraId="473AE137">
                  <w:pPr>
                    <w:pStyle w:val="6"/>
                    <w:spacing w:before="128" w:line="228" w:lineRule="auto"/>
                    <w:ind w:left="539"/>
                    <w:rPr>
                      <w:rFonts w:ascii="Times New Roman" w:hAnsi="Times New Roman" w:eastAsia="Times New Roman" w:cs="Times New Roman"/>
                      <w:sz w:val="20"/>
                      <w:szCs w:val="20"/>
                    </w:rPr>
                  </w:pPr>
                  <w:r>
                    <w:rPr>
                      <w:b/>
                      <w:bCs/>
                      <w:spacing w:val="5"/>
                      <w:sz w:val="20"/>
                      <w:szCs w:val="20"/>
                    </w:rPr>
                    <w:t>处理前产生量</w:t>
                  </w:r>
                  <w:r>
                    <w:rPr>
                      <w:spacing w:val="-40"/>
                      <w:sz w:val="20"/>
                      <w:szCs w:val="20"/>
                    </w:rPr>
                    <w:t xml:space="preserve"> </w:t>
                  </w:r>
                  <w:r>
                    <w:rPr>
                      <w:rFonts w:ascii="Times New Roman" w:hAnsi="Times New Roman" w:eastAsia="Times New Roman" w:cs="Times New Roman"/>
                      <w:b/>
                      <w:bCs/>
                      <w:spacing w:val="5"/>
                      <w:sz w:val="20"/>
                      <w:szCs w:val="20"/>
                    </w:rPr>
                    <w:t>t</w:t>
                  </w:r>
                </w:p>
              </w:tc>
              <w:tc>
                <w:tcPr>
                  <w:tcW w:w="2449" w:type="dxa"/>
                  <w:vAlign w:val="top"/>
                </w:tcPr>
                <w:p w14:paraId="3A13A73C">
                  <w:pPr>
                    <w:pStyle w:val="6"/>
                    <w:spacing w:before="128" w:line="228" w:lineRule="auto"/>
                    <w:ind w:left="543"/>
                    <w:rPr>
                      <w:rFonts w:ascii="Times New Roman" w:hAnsi="Times New Roman" w:eastAsia="Times New Roman" w:cs="Times New Roman"/>
                      <w:sz w:val="20"/>
                      <w:szCs w:val="20"/>
                    </w:rPr>
                  </w:pPr>
                  <w:r>
                    <w:rPr>
                      <w:b/>
                      <w:bCs/>
                      <w:spacing w:val="5"/>
                      <w:sz w:val="20"/>
                      <w:szCs w:val="20"/>
                    </w:rPr>
                    <w:t>处理后产生量</w:t>
                  </w:r>
                  <w:r>
                    <w:rPr>
                      <w:spacing w:val="-42"/>
                      <w:sz w:val="20"/>
                      <w:szCs w:val="20"/>
                    </w:rPr>
                    <w:t xml:space="preserve"> </w:t>
                  </w:r>
                  <w:r>
                    <w:rPr>
                      <w:rFonts w:ascii="Times New Roman" w:hAnsi="Times New Roman" w:eastAsia="Times New Roman" w:cs="Times New Roman"/>
                      <w:b/>
                      <w:bCs/>
                      <w:spacing w:val="5"/>
                      <w:sz w:val="20"/>
                      <w:szCs w:val="20"/>
                    </w:rPr>
                    <w:t>t</w:t>
                  </w:r>
                </w:p>
              </w:tc>
              <w:tc>
                <w:tcPr>
                  <w:tcW w:w="1870" w:type="dxa"/>
                  <w:vAlign w:val="top"/>
                </w:tcPr>
                <w:p w14:paraId="6944E6E4">
                  <w:pPr>
                    <w:pStyle w:val="6"/>
                    <w:spacing w:before="128" w:line="228" w:lineRule="auto"/>
                    <w:ind w:left="416"/>
                    <w:rPr>
                      <w:rFonts w:ascii="Times New Roman" w:hAnsi="Times New Roman" w:eastAsia="Times New Roman" w:cs="Times New Roman"/>
                      <w:sz w:val="20"/>
                      <w:szCs w:val="20"/>
                    </w:rPr>
                  </w:pPr>
                  <w:r>
                    <w:rPr>
                      <w:b/>
                      <w:bCs/>
                      <w:spacing w:val="6"/>
                      <w:sz w:val="20"/>
                      <w:szCs w:val="20"/>
                    </w:rPr>
                    <w:t>去除效率</w:t>
                  </w:r>
                  <w:r>
                    <w:rPr>
                      <w:rFonts w:ascii="Times New Roman" w:hAnsi="Times New Roman" w:eastAsia="Times New Roman" w:cs="Times New Roman"/>
                      <w:b/>
                      <w:bCs/>
                      <w:spacing w:val="6"/>
                      <w:sz w:val="20"/>
                      <w:szCs w:val="20"/>
                    </w:rPr>
                    <w:t>%</w:t>
                  </w:r>
                </w:p>
              </w:tc>
            </w:tr>
            <w:tr w14:paraId="7BC01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35" w:type="dxa"/>
                  <w:vAlign w:val="top"/>
                </w:tcPr>
                <w:p w14:paraId="3DACD49B">
                  <w:pPr>
                    <w:pStyle w:val="6"/>
                    <w:spacing w:before="130" w:line="229" w:lineRule="auto"/>
                    <w:ind w:left="262"/>
                    <w:rPr>
                      <w:sz w:val="20"/>
                      <w:szCs w:val="20"/>
                    </w:rPr>
                  </w:pPr>
                  <w:r>
                    <w:rPr>
                      <w:spacing w:val="5"/>
                      <w:sz w:val="20"/>
                      <w:szCs w:val="20"/>
                    </w:rPr>
                    <w:t>氯化氢</w:t>
                  </w:r>
                </w:p>
              </w:tc>
              <w:tc>
                <w:tcPr>
                  <w:tcW w:w="2449" w:type="dxa"/>
                  <w:vAlign w:val="top"/>
                </w:tcPr>
                <w:p w14:paraId="327E6D91">
                  <w:pPr>
                    <w:spacing w:before="166" w:line="195" w:lineRule="auto"/>
                    <w:ind w:left="957"/>
                    <w:rPr>
                      <w:rFonts w:ascii="Times New Roman" w:hAnsi="Times New Roman" w:eastAsia="Times New Roman" w:cs="Times New Roman"/>
                      <w:sz w:val="20"/>
                      <w:szCs w:val="20"/>
                    </w:rPr>
                  </w:pPr>
                  <w:r>
                    <w:rPr>
                      <w:rFonts w:ascii="Times New Roman" w:hAnsi="Times New Roman" w:eastAsia="Times New Roman" w:cs="Times New Roman"/>
                      <w:sz w:val="20"/>
                      <w:szCs w:val="20"/>
                    </w:rPr>
                    <w:t>13.128</w:t>
                  </w:r>
                </w:p>
              </w:tc>
              <w:tc>
                <w:tcPr>
                  <w:tcW w:w="2449" w:type="dxa"/>
                  <w:vAlign w:val="top"/>
                </w:tcPr>
                <w:p w14:paraId="24668D8C">
                  <w:pPr>
                    <w:spacing w:before="166" w:line="195" w:lineRule="auto"/>
                    <w:ind w:left="9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0.264</w:t>
                  </w:r>
                </w:p>
              </w:tc>
              <w:tc>
                <w:tcPr>
                  <w:tcW w:w="1870" w:type="dxa"/>
                  <w:vAlign w:val="top"/>
                </w:tcPr>
                <w:p w14:paraId="3377887D">
                  <w:pPr>
                    <w:spacing w:before="166"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bl>
          <w:p w14:paraId="241074E1">
            <w:pPr>
              <w:pStyle w:val="6"/>
              <w:spacing w:before="157" w:line="359" w:lineRule="auto"/>
              <w:ind w:left="108" w:firstLine="479"/>
            </w:pPr>
            <w:r>
              <w:rPr>
                <w:spacing w:val="-5"/>
              </w:rPr>
              <w:t>《化工环境保护设计手册》（</w:t>
            </w:r>
            <w:r>
              <w:rPr>
                <w:rFonts w:ascii="Times New Roman" w:hAnsi="Times New Roman" w:eastAsia="Times New Roman" w:cs="Times New Roman"/>
                <w:spacing w:val="-5"/>
              </w:rPr>
              <w:t>ISBN7-5025-2079-1</w:t>
            </w:r>
            <w:r>
              <w:rPr>
                <w:spacing w:val="-5"/>
              </w:rPr>
              <w:t>）中，硫酸法钛白生产</w:t>
            </w:r>
            <w:r>
              <w:rPr>
                <w:spacing w:val="1"/>
              </w:rPr>
              <w:t xml:space="preserve">   </w:t>
            </w:r>
            <w:r>
              <w:rPr>
                <w:spacing w:val="-2"/>
              </w:rPr>
              <w:t>装置的废气（主要为硫酸雾，还有少量三氧化硫</w:t>
            </w:r>
            <w:r>
              <w:rPr>
                <w:spacing w:val="-1"/>
              </w:rPr>
              <w:t>），</w:t>
            </w:r>
            <w:r>
              <w:rPr>
                <w:spacing w:val="-2"/>
              </w:rPr>
              <w:t>采用“水洗塔</w:t>
            </w:r>
            <w:r>
              <w:rPr>
                <w:rFonts w:ascii="Times New Roman" w:hAnsi="Times New Roman" w:eastAsia="Times New Roman" w:cs="Times New Roman"/>
                <w:spacing w:val="-2"/>
              </w:rPr>
              <w:t>+</w:t>
            </w:r>
            <w:r>
              <w:rPr>
                <w:spacing w:val="-2"/>
              </w:rPr>
              <w:t>碱洗</w:t>
            </w:r>
            <w:r>
              <w:rPr>
                <w:spacing w:val="-3"/>
              </w:rPr>
              <w:t>塔</w:t>
            </w:r>
            <w:r>
              <w:rPr>
                <w:spacing w:val="-88"/>
              </w:rPr>
              <w:t xml:space="preserve"> </w:t>
            </w:r>
            <w:r>
              <w:rPr>
                <w:spacing w:val="-3"/>
              </w:rPr>
              <w:t>”</w:t>
            </w:r>
            <w:r>
              <w:t xml:space="preserve"> </w:t>
            </w:r>
            <w:r>
              <w:rPr>
                <w:spacing w:val="-6"/>
              </w:rPr>
              <w:t>处理工艺，经过水吸收和碱吸收后，硫酸雾的去除</w:t>
            </w:r>
            <w:r>
              <w:rPr>
                <w:spacing w:val="-7"/>
              </w:rPr>
              <w:t>效率为</w:t>
            </w:r>
            <w:r>
              <w:rPr>
                <w:spacing w:val="-51"/>
              </w:rPr>
              <w:t xml:space="preserve"> </w:t>
            </w:r>
            <w:r>
              <w:rPr>
                <w:rFonts w:ascii="Times New Roman" w:hAnsi="Times New Roman" w:eastAsia="Times New Roman" w:cs="Times New Roman"/>
                <w:spacing w:val="-7"/>
              </w:rPr>
              <w:t>93%</w:t>
            </w:r>
            <w:r>
              <w:rPr>
                <w:spacing w:val="-7"/>
              </w:rPr>
              <w:t>（详见手册</w:t>
            </w:r>
            <w:r>
              <w:rPr>
                <w:spacing w:val="-58"/>
              </w:rPr>
              <w:t xml:space="preserve"> </w:t>
            </w:r>
            <w:r>
              <w:rPr>
                <w:rFonts w:ascii="Times New Roman" w:hAnsi="Times New Roman" w:eastAsia="Times New Roman" w:cs="Times New Roman"/>
                <w:spacing w:val="-7"/>
              </w:rPr>
              <w:t>48</w:t>
            </w:r>
            <w:r>
              <w:rPr>
                <w:rFonts w:ascii="Times New Roman" w:hAnsi="Times New Roman" w:eastAsia="Times New Roman" w:cs="Times New Roman"/>
              </w:rPr>
              <w:t xml:space="preserve">     </w:t>
            </w:r>
            <w:r>
              <w:rPr>
                <w:spacing w:val="-5"/>
              </w:rPr>
              <w:t>页</w:t>
            </w:r>
            <w:r>
              <w:rPr>
                <w:spacing w:val="3"/>
              </w:rPr>
              <w:t>）；</w:t>
            </w:r>
            <w:r>
              <w:rPr>
                <w:spacing w:val="-5"/>
              </w:rPr>
              <w:t>无水氟化氢装置的废气（主要为氟化氢和四氟化硅气体</w:t>
            </w:r>
            <w:r>
              <w:rPr>
                <w:spacing w:val="3"/>
              </w:rPr>
              <w:t>），</w:t>
            </w:r>
            <w:r>
              <w:rPr>
                <w:spacing w:val="-5"/>
              </w:rPr>
              <w:t>采用“水</w:t>
            </w:r>
            <w:r>
              <w:t xml:space="preserve">   </w:t>
            </w:r>
            <w:r>
              <w:rPr>
                <w:spacing w:val="-8"/>
              </w:rPr>
              <w:t>洗塔</w:t>
            </w:r>
            <w:r>
              <w:rPr>
                <w:spacing w:val="-75"/>
              </w:rPr>
              <w:t xml:space="preserve"> </w:t>
            </w:r>
            <w:r>
              <w:rPr>
                <w:spacing w:val="-8"/>
              </w:rPr>
              <w:t>”处理工艺，经水吸收后，进入废水中的氟化氢约为</w:t>
            </w:r>
            <w:r>
              <w:rPr>
                <w:spacing w:val="-47"/>
              </w:rPr>
              <w:t xml:space="preserve"> </w:t>
            </w:r>
            <w:r>
              <w:rPr>
                <w:rFonts w:ascii="Times New Roman" w:hAnsi="Times New Roman" w:eastAsia="Times New Roman" w:cs="Times New Roman"/>
                <w:spacing w:val="-8"/>
              </w:rPr>
              <w:t>89%</w:t>
            </w:r>
            <w:r>
              <w:rPr>
                <w:spacing w:val="-8"/>
              </w:rPr>
              <w:t>（详见手册</w:t>
            </w:r>
            <w:r>
              <w:rPr>
                <w:spacing w:val="-50"/>
              </w:rPr>
              <w:t xml:space="preserve"> </w:t>
            </w:r>
            <w:r>
              <w:rPr>
                <w:rFonts w:ascii="Times New Roman" w:hAnsi="Times New Roman" w:eastAsia="Times New Roman" w:cs="Times New Roman"/>
                <w:spacing w:val="-8"/>
              </w:rPr>
              <w:t>55</w:t>
            </w:r>
            <w:r>
              <w:rPr>
                <w:rFonts w:ascii="Times New Roman" w:hAnsi="Times New Roman" w:eastAsia="Times New Roman" w:cs="Times New Roman"/>
              </w:rPr>
              <w:t xml:space="preserve">     </w:t>
            </w:r>
            <w:r>
              <w:rPr>
                <w:spacing w:val="-5"/>
              </w:rPr>
              <w:t>页）。</w:t>
            </w:r>
          </w:p>
          <w:p w14:paraId="76D63471">
            <w:pPr>
              <w:pStyle w:val="6"/>
              <w:spacing w:line="359" w:lineRule="auto"/>
              <w:ind w:left="110" w:right="102" w:firstLine="480"/>
            </w:pPr>
            <w:r>
              <w:t>经上述分析，为保守起见，本项目碱液喷淋塔对氯化氢、</w:t>
            </w:r>
            <w:r>
              <w:rPr>
                <w:spacing w:val="-1"/>
              </w:rPr>
              <w:t>氟化氢（以氟</w:t>
            </w:r>
            <w:r>
              <w:t xml:space="preserve"> </w:t>
            </w:r>
            <w:r>
              <w:rPr>
                <w:spacing w:val="-2"/>
              </w:rPr>
              <w:t>化物计）的去除率分别取为</w:t>
            </w:r>
            <w:r>
              <w:rPr>
                <w:spacing w:val="-35"/>
              </w:rPr>
              <w:t xml:space="preserve"> </w:t>
            </w:r>
            <w:r>
              <w:rPr>
                <w:rFonts w:ascii="Times New Roman" w:hAnsi="Times New Roman" w:eastAsia="Times New Roman" w:cs="Times New Roman"/>
                <w:spacing w:val="-2"/>
              </w:rPr>
              <w:t>93%</w:t>
            </w:r>
            <w:r>
              <w:rPr>
                <w:spacing w:val="-2"/>
              </w:rPr>
              <w:t>、</w:t>
            </w:r>
            <w:r>
              <w:rPr>
                <w:rFonts w:ascii="Times New Roman" w:hAnsi="Times New Roman" w:eastAsia="Times New Roman" w:cs="Times New Roman"/>
                <w:spacing w:val="-2"/>
              </w:rPr>
              <w:t>84%</w:t>
            </w:r>
            <w:r>
              <w:rPr>
                <w:spacing w:val="-2"/>
              </w:rPr>
              <w:t>。</w:t>
            </w:r>
          </w:p>
          <w:p w14:paraId="6A9043D7">
            <w:pPr>
              <w:pStyle w:val="6"/>
              <w:spacing w:before="1" w:line="219" w:lineRule="auto"/>
              <w:ind w:left="593"/>
            </w:pPr>
            <w:r>
              <w:rPr>
                <w:spacing w:val="-1"/>
              </w:rPr>
              <w:t>项目泡酸废气的产排污情况见下表：</w:t>
            </w:r>
          </w:p>
        </w:tc>
      </w:tr>
    </w:tbl>
    <w:p w14:paraId="5F75F452">
      <w:pPr>
        <w:rPr>
          <w:rFonts w:ascii="Arial"/>
          <w:sz w:val="21"/>
        </w:rPr>
      </w:pPr>
    </w:p>
    <w:p w14:paraId="74F131EA">
      <w:pPr>
        <w:rPr>
          <w:rFonts w:ascii="Arial" w:hAnsi="Arial" w:eastAsia="Arial" w:cs="Arial"/>
          <w:sz w:val="21"/>
          <w:szCs w:val="21"/>
        </w:rPr>
        <w:sectPr>
          <w:footerReference r:id="rId76" w:type="default"/>
          <w:pgSz w:w="11907" w:h="16840"/>
          <w:pgMar w:top="400" w:right="1498" w:bottom="1240" w:left="1499" w:header="0" w:footer="1077" w:gutter="0"/>
          <w:cols w:space="720" w:num="1"/>
        </w:sectPr>
      </w:pPr>
    </w:p>
    <w:p w14:paraId="11F6E565">
      <w:pPr>
        <w:spacing w:before="13"/>
      </w:pPr>
      <w:r>
        <w:pict>
          <v:shape id="_x0000_s1044" o:spid="_x0000_s1044" style="position:absolute;left:0pt;margin-left:163.65pt;margin-top:510.85pt;height:0.5pt;width:587.4pt;mso-position-horizontal-relative:page;mso-position-vertical-relative:page;z-index:-251639808;mso-width-relative:page;mso-height-relative:page;" filled="f" stroked="t" coordsize="11748,10" o:allowincell="f" path="m0,4l11747,4e">
            <v:fill on="f" focussize="0,0"/>
            <v:stroke weight="0.48pt" color="#000000" miterlimit="2" joinstyle="bevel"/>
            <v:imagedata o:title=""/>
            <o:lock v:ext="edit"/>
          </v:shape>
        </w:pict>
      </w:r>
    </w:p>
    <w:p w14:paraId="782B57F0">
      <w:pPr>
        <w:spacing w:before="13"/>
      </w:pPr>
    </w:p>
    <w:p w14:paraId="7128D1F6">
      <w:pPr>
        <w:spacing w:before="13"/>
      </w:pPr>
    </w:p>
    <w:p w14:paraId="77289615">
      <w:pPr>
        <w:spacing w:before="12"/>
      </w:pPr>
    </w:p>
    <w:tbl>
      <w:tblPr>
        <w:tblStyle w:val="5"/>
        <w:tblW w:w="134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11"/>
        <w:gridCol w:w="708"/>
        <w:gridCol w:w="736"/>
        <w:gridCol w:w="849"/>
        <w:gridCol w:w="1174"/>
        <w:gridCol w:w="674"/>
        <w:gridCol w:w="1087"/>
        <w:gridCol w:w="849"/>
        <w:gridCol w:w="761"/>
        <w:gridCol w:w="674"/>
        <w:gridCol w:w="538"/>
        <w:gridCol w:w="561"/>
        <w:gridCol w:w="1012"/>
        <w:gridCol w:w="724"/>
        <w:gridCol w:w="736"/>
        <w:gridCol w:w="749"/>
        <w:gridCol w:w="600"/>
        <w:gridCol w:w="122"/>
      </w:tblGrid>
      <w:tr w14:paraId="5B97C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755" w:type="dxa"/>
            <w:vMerge w:val="restart"/>
            <w:tcBorders>
              <w:top w:val="single" w:color="000000" w:sz="6" w:space="0"/>
              <w:left w:val="single" w:color="000000" w:sz="6" w:space="0"/>
              <w:bottom w:val="nil"/>
            </w:tcBorders>
            <w:vAlign w:val="top"/>
          </w:tcPr>
          <w:p w14:paraId="7388F9EB">
            <w:pPr>
              <w:rPr>
                <w:rFonts w:ascii="Arial"/>
                <w:sz w:val="21"/>
              </w:rPr>
            </w:pPr>
          </w:p>
        </w:tc>
        <w:tc>
          <w:tcPr>
            <w:tcW w:w="12665" w:type="dxa"/>
            <w:gridSpan w:val="18"/>
            <w:tcBorders>
              <w:top w:val="single" w:color="000000" w:sz="6" w:space="0"/>
              <w:right w:val="single" w:color="000000" w:sz="6" w:space="0"/>
            </w:tcBorders>
            <w:vAlign w:val="top"/>
          </w:tcPr>
          <w:p w14:paraId="3F0E0377">
            <w:pPr>
              <w:spacing w:line="320" w:lineRule="auto"/>
              <w:rPr>
                <w:rFonts w:ascii="Arial"/>
                <w:sz w:val="21"/>
              </w:rPr>
            </w:pPr>
          </w:p>
          <w:p w14:paraId="63165D48">
            <w:pPr>
              <w:pStyle w:val="6"/>
              <w:spacing w:before="78" w:line="219" w:lineRule="auto"/>
              <w:ind w:left="4277"/>
            </w:pPr>
            <w:r>
              <w:rPr>
                <w:b/>
                <w:bCs/>
                <w:spacing w:val="-2"/>
              </w:rPr>
              <w:t>表</w:t>
            </w:r>
            <w:r>
              <w:rPr>
                <w:spacing w:val="-50"/>
              </w:rPr>
              <w:t xml:space="preserve"> </w:t>
            </w:r>
            <w:r>
              <w:rPr>
                <w:rFonts w:ascii="Times New Roman" w:hAnsi="Times New Roman" w:eastAsia="Times New Roman" w:cs="Times New Roman"/>
                <w:b/>
                <w:bCs/>
                <w:spacing w:val="-2"/>
              </w:rPr>
              <w:t xml:space="preserve">4-12    </w:t>
            </w:r>
            <w:r>
              <w:rPr>
                <w:b/>
                <w:bCs/>
                <w:spacing w:val="-2"/>
              </w:rPr>
              <w:t>项目泡酸废气产排情况一览表</w:t>
            </w:r>
          </w:p>
        </w:tc>
      </w:tr>
      <w:tr w14:paraId="4930A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55" w:type="dxa"/>
            <w:vMerge w:val="continue"/>
            <w:tcBorders>
              <w:top w:val="nil"/>
              <w:left w:val="single" w:color="000000" w:sz="6" w:space="0"/>
              <w:bottom w:val="nil"/>
            </w:tcBorders>
            <w:vAlign w:val="top"/>
          </w:tcPr>
          <w:p w14:paraId="54FB757D">
            <w:pPr>
              <w:rPr>
                <w:rFonts w:ascii="Arial"/>
                <w:sz w:val="21"/>
              </w:rPr>
            </w:pPr>
          </w:p>
        </w:tc>
        <w:tc>
          <w:tcPr>
            <w:tcW w:w="111" w:type="dxa"/>
            <w:tcBorders>
              <w:top w:val="nil"/>
              <w:bottom w:val="nil"/>
            </w:tcBorders>
            <w:vAlign w:val="top"/>
          </w:tcPr>
          <w:p w14:paraId="0DEF0E03">
            <w:pPr>
              <w:rPr>
                <w:rFonts w:ascii="Arial"/>
                <w:sz w:val="21"/>
              </w:rPr>
            </w:pPr>
          </w:p>
        </w:tc>
        <w:tc>
          <w:tcPr>
            <w:tcW w:w="708" w:type="dxa"/>
            <w:vMerge w:val="restart"/>
            <w:tcBorders>
              <w:bottom w:val="nil"/>
            </w:tcBorders>
            <w:vAlign w:val="top"/>
          </w:tcPr>
          <w:p w14:paraId="76710E87">
            <w:pPr>
              <w:pStyle w:val="6"/>
              <w:spacing w:before="230" w:line="241" w:lineRule="auto"/>
              <w:ind w:left="171" w:right="63" w:hanging="113"/>
              <w:rPr>
                <w:sz w:val="18"/>
                <w:szCs w:val="18"/>
              </w:rPr>
            </w:pPr>
            <w:r>
              <w:rPr>
                <w:spacing w:val="-3"/>
                <w:sz w:val="18"/>
                <w:szCs w:val="18"/>
              </w:rPr>
              <w:t>工序</w:t>
            </w:r>
            <w:r>
              <w:rPr>
                <w:rFonts w:ascii="Times New Roman" w:hAnsi="Times New Roman" w:eastAsia="Times New Roman" w:cs="Times New Roman"/>
                <w:spacing w:val="-3"/>
                <w:sz w:val="18"/>
                <w:szCs w:val="18"/>
              </w:rPr>
              <w:t>/</w:t>
            </w:r>
            <w:r>
              <w:rPr>
                <w:spacing w:val="-3"/>
                <w:sz w:val="18"/>
                <w:szCs w:val="18"/>
              </w:rPr>
              <w:t>生</w:t>
            </w:r>
            <w:r>
              <w:rPr>
                <w:spacing w:val="2"/>
                <w:sz w:val="18"/>
                <w:szCs w:val="18"/>
              </w:rPr>
              <w:t xml:space="preserve"> </w:t>
            </w:r>
            <w:r>
              <w:rPr>
                <w:spacing w:val="-4"/>
                <w:sz w:val="18"/>
                <w:szCs w:val="18"/>
              </w:rPr>
              <w:t>产线</w:t>
            </w:r>
          </w:p>
        </w:tc>
        <w:tc>
          <w:tcPr>
            <w:tcW w:w="736" w:type="dxa"/>
            <w:vMerge w:val="restart"/>
            <w:tcBorders>
              <w:bottom w:val="nil"/>
            </w:tcBorders>
            <w:vAlign w:val="top"/>
          </w:tcPr>
          <w:p w14:paraId="6C7BA36F">
            <w:pPr>
              <w:spacing w:line="286" w:lineRule="auto"/>
              <w:rPr>
                <w:rFonts w:ascii="Arial"/>
                <w:sz w:val="21"/>
              </w:rPr>
            </w:pPr>
          </w:p>
          <w:p w14:paraId="113BB7E4">
            <w:pPr>
              <w:pStyle w:val="6"/>
              <w:spacing w:before="58" w:line="220" w:lineRule="auto"/>
              <w:ind w:left="186"/>
              <w:rPr>
                <w:sz w:val="18"/>
                <w:szCs w:val="18"/>
              </w:rPr>
            </w:pPr>
            <w:r>
              <w:rPr>
                <w:spacing w:val="-4"/>
                <w:sz w:val="18"/>
                <w:szCs w:val="18"/>
              </w:rPr>
              <w:t>装置</w:t>
            </w:r>
          </w:p>
        </w:tc>
        <w:tc>
          <w:tcPr>
            <w:tcW w:w="849" w:type="dxa"/>
            <w:vMerge w:val="restart"/>
            <w:tcBorders>
              <w:bottom w:val="nil"/>
            </w:tcBorders>
            <w:vAlign w:val="top"/>
          </w:tcPr>
          <w:p w14:paraId="12367773">
            <w:pPr>
              <w:spacing w:line="286" w:lineRule="auto"/>
              <w:rPr>
                <w:rFonts w:ascii="Arial"/>
                <w:sz w:val="21"/>
              </w:rPr>
            </w:pPr>
          </w:p>
          <w:p w14:paraId="0818FF26">
            <w:pPr>
              <w:pStyle w:val="6"/>
              <w:spacing w:before="58" w:line="220" w:lineRule="auto"/>
              <w:ind w:left="154"/>
              <w:rPr>
                <w:sz w:val="18"/>
                <w:szCs w:val="18"/>
              </w:rPr>
            </w:pPr>
            <w:r>
              <w:rPr>
                <w:spacing w:val="-3"/>
                <w:sz w:val="18"/>
                <w:szCs w:val="18"/>
              </w:rPr>
              <w:t>污染源</w:t>
            </w:r>
          </w:p>
        </w:tc>
        <w:tc>
          <w:tcPr>
            <w:tcW w:w="1174" w:type="dxa"/>
            <w:vMerge w:val="restart"/>
            <w:tcBorders>
              <w:bottom w:val="nil"/>
            </w:tcBorders>
            <w:vAlign w:val="top"/>
          </w:tcPr>
          <w:p w14:paraId="2D09CADF">
            <w:pPr>
              <w:spacing w:line="286" w:lineRule="auto"/>
              <w:rPr>
                <w:rFonts w:ascii="Arial"/>
                <w:sz w:val="21"/>
              </w:rPr>
            </w:pPr>
          </w:p>
          <w:p w14:paraId="6AB7F9F4">
            <w:pPr>
              <w:pStyle w:val="6"/>
              <w:spacing w:before="58" w:line="220" w:lineRule="auto"/>
              <w:ind w:left="318"/>
              <w:rPr>
                <w:sz w:val="18"/>
                <w:szCs w:val="18"/>
              </w:rPr>
            </w:pPr>
            <w:r>
              <w:rPr>
                <w:spacing w:val="-3"/>
                <w:sz w:val="18"/>
                <w:szCs w:val="18"/>
              </w:rPr>
              <w:t>污染物</w:t>
            </w:r>
          </w:p>
        </w:tc>
        <w:tc>
          <w:tcPr>
            <w:tcW w:w="3371" w:type="dxa"/>
            <w:gridSpan w:val="4"/>
            <w:vAlign w:val="top"/>
          </w:tcPr>
          <w:p w14:paraId="068310E8">
            <w:pPr>
              <w:pStyle w:val="6"/>
              <w:spacing w:before="109" w:line="219" w:lineRule="auto"/>
              <w:ind w:left="1239"/>
              <w:rPr>
                <w:sz w:val="18"/>
                <w:szCs w:val="18"/>
              </w:rPr>
            </w:pPr>
            <w:r>
              <w:rPr>
                <w:spacing w:val="-2"/>
                <w:sz w:val="18"/>
                <w:szCs w:val="18"/>
              </w:rPr>
              <w:t>污染物产生</w:t>
            </w:r>
          </w:p>
        </w:tc>
        <w:tc>
          <w:tcPr>
            <w:tcW w:w="1212" w:type="dxa"/>
            <w:gridSpan w:val="2"/>
            <w:vAlign w:val="top"/>
          </w:tcPr>
          <w:p w14:paraId="692B6913">
            <w:pPr>
              <w:pStyle w:val="6"/>
              <w:spacing w:before="108" w:line="220" w:lineRule="auto"/>
              <w:ind w:left="254"/>
              <w:rPr>
                <w:sz w:val="18"/>
                <w:szCs w:val="18"/>
              </w:rPr>
            </w:pPr>
            <w:r>
              <w:rPr>
                <w:spacing w:val="-3"/>
                <w:sz w:val="18"/>
                <w:szCs w:val="18"/>
              </w:rPr>
              <w:t>治理措施</w:t>
            </w:r>
          </w:p>
        </w:tc>
        <w:tc>
          <w:tcPr>
            <w:tcW w:w="3033" w:type="dxa"/>
            <w:gridSpan w:val="4"/>
            <w:vAlign w:val="top"/>
          </w:tcPr>
          <w:p w14:paraId="04A597A9">
            <w:pPr>
              <w:pStyle w:val="6"/>
              <w:spacing w:before="108" w:line="220" w:lineRule="auto"/>
              <w:ind w:left="1075"/>
              <w:rPr>
                <w:sz w:val="18"/>
                <w:szCs w:val="18"/>
              </w:rPr>
            </w:pPr>
            <w:r>
              <w:rPr>
                <w:spacing w:val="-2"/>
                <w:sz w:val="18"/>
                <w:szCs w:val="18"/>
              </w:rPr>
              <w:t>污染物排放</w:t>
            </w:r>
          </w:p>
        </w:tc>
        <w:tc>
          <w:tcPr>
            <w:tcW w:w="749" w:type="dxa"/>
            <w:vMerge w:val="restart"/>
            <w:tcBorders>
              <w:bottom w:val="nil"/>
            </w:tcBorders>
            <w:vAlign w:val="top"/>
          </w:tcPr>
          <w:p w14:paraId="5289A8A8">
            <w:pPr>
              <w:pStyle w:val="6"/>
              <w:spacing w:before="230" w:line="242" w:lineRule="auto"/>
              <w:ind w:left="114" w:right="96" w:firstLine="90"/>
              <w:rPr>
                <w:sz w:val="18"/>
                <w:szCs w:val="18"/>
              </w:rPr>
            </w:pPr>
            <w:r>
              <w:rPr>
                <w:spacing w:val="-4"/>
                <w:sz w:val="18"/>
                <w:szCs w:val="18"/>
              </w:rPr>
              <w:t>对应</w:t>
            </w:r>
            <w:r>
              <w:rPr>
                <w:sz w:val="18"/>
                <w:szCs w:val="18"/>
              </w:rPr>
              <w:t xml:space="preserve">  </w:t>
            </w:r>
            <w:r>
              <w:rPr>
                <w:spacing w:val="-3"/>
                <w:sz w:val="18"/>
                <w:szCs w:val="18"/>
              </w:rPr>
              <w:t>排放口</w:t>
            </w:r>
          </w:p>
        </w:tc>
        <w:tc>
          <w:tcPr>
            <w:tcW w:w="600" w:type="dxa"/>
            <w:vMerge w:val="restart"/>
            <w:tcBorders>
              <w:bottom w:val="nil"/>
            </w:tcBorders>
            <w:vAlign w:val="top"/>
          </w:tcPr>
          <w:p w14:paraId="3D345371">
            <w:pPr>
              <w:pStyle w:val="6"/>
              <w:spacing w:before="231" w:line="242" w:lineRule="auto"/>
              <w:ind w:left="72" w:right="42" w:firstLine="58"/>
              <w:rPr>
                <w:rFonts w:ascii="Times New Roman" w:hAnsi="Times New Roman" w:eastAsia="Times New Roman" w:cs="Times New Roman"/>
                <w:sz w:val="18"/>
                <w:szCs w:val="18"/>
              </w:rPr>
            </w:pPr>
            <w:r>
              <w:rPr>
                <w:spacing w:val="-4"/>
                <w:sz w:val="18"/>
                <w:szCs w:val="18"/>
              </w:rPr>
              <w:t>排放</w:t>
            </w:r>
            <w:r>
              <w:rPr>
                <w:sz w:val="18"/>
                <w:szCs w:val="18"/>
              </w:rPr>
              <w:t xml:space="preserve"> </w:t>
            </w:r>
            <w:r>
              <w:rPr>
                <w:spacing w:val="-6"/>
                <w:sz w:val="18"/>
                <w:szCs w:val="18"/>
              </w:rPr>
              <w:t>时间</w:t>
            </w:r>
            <w:r>
              <w:rPr>
                <w:spacing w:val="-43"/>
                <w:sz w:val="18"/>
                <w:szCs w:val="18"/>
              </w:rPr>
              <w:t xml:space="preserve"> </w:t>
            </w:r>
            <w:r>
              <w:rPr>
                <w:rFonts w:ascii="Times New Roman" w:hAnsi="Times New Roman" w:eastAsia="Times New Roman" w:cs="Times New Roman"/>
                <w:spacing w:val="-6"/>
                <w:sz w:val="18"/>
                <w:szCs w:val="18"/>
              </w:rPr>
              <w:t>h</w:t>
            </w:r>
          </w:p>
        </w:tc>
        <w:tc>
          <w:tcPr>
            <w:tcW w:w="122" w:type="dxa"/>
            <w:vMerge w:val="restart"/>
            <w:tcBorders>
              <w:top w:val="nil"/>
              <w:bottom w:val="nil"/>
              <w:right w:val="single" w:color="000000" w:sz="6" w:space="0"/>
            </w:tcBorders>
            <w:vAlign w:val="top"/>
          </w:tcPr>
          <w:p w14:paraId="27FEC77E">
            <w:pPr>
              <w:rPr>
                <w:rFonts w:ascii="Arial"/>
                <w:sz w:val="21"/>
              </w:rPr>
            </w:pPr>
          </w:p>
        </w:tc>
      </w:tr>
      <w:tr w14:paraId="47568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55" w:type="dxa"/>
            <w:vMerge w:val="continue"/>
            <w:tcBorders>
              <w:top w:val="nil"/>
              <w:left w:val="single" w:color="000000" w:sz="6" w:space="0"/>
              <w:bottom w:val="nil"/>
            </w:tcBorders>
            <w:vAlign w:val="top"/>
          </w:tcPr>
          <w:p w14:paraId="620C4C63">
            <w:pPr>
              <w:rPr>
                <w:rFonts w:ascii="Arial"/>
                <w:sz w:val="21"/>
              </w:rPr>
            </w:pPr>
          </w:p>
        </w:tc>
        <w:tc>
          <w:tcPr>
            <w:tcW w:w="111" w:type="dxa"/>
            <w:tcBorders>
              <w:top w:val="nil"/>
              <w:bottom w:val="nil"/>
            </w:tcBorders>
            <w:vAlign w:val="top"/>
          </w:tcPr>
          <w:p w14:paraId="08F57B1A">
            <w:pPr>
              <w:rPr>
                <w:rFonts w:ascii="Arial"/>
                <w:sz w:val="21"/>
              </w:rPr>
            </w:pPr>
          </w:p>
        </w:tc>
        <w:tc>
          <w:tcPr>
            <w:tcW w:w="708" w:type="dxa"/>
            <w:vMerge w:val="continue"/>
            <w:tcBorders>
              <w:top w:val="nil"/>
            </w:tcBorders>
            <w:vAlign w:val="top"/>
          </w:tcPr>
          <w:p w14:paraId="7BCAFF25">
            <w:pPr>
              <w:rPr>
                <w:rFonts w:ascii="Arial"/>
                <w:sz w:val="21"/>
              </w:rPr>
            </w:pPr>
          </w:p>
        </w:tc>
        <w:tc>
          <w:tcPr>
            <w:tcW w:w="736" w:type="dxa"/>
            <w:vMerge w:val="continue"/>
            <w:tcBorders>
              <w:top w:val="nil"/>
            </w:tcBorders>
            <w:vAlign w:val="top"/>
          </w:tcPr>
          <w:p w14:paraId="1ADA6C2A">
            <w:pPr>
              <w:rPr>
                <w:rFonts w:ascii="Arial"/>
                <w:sz w:val="21"/>
              </w:rPr>
            </w:pPr>
          </w:p>
        </w:tc>
        <w:tc>
          <w:tcPr>
            <w:tcW w:w="849" w:type="dxa"/>
            <w:vMerge w:val="continue"/>
            <w:tcBorders>
              <w:top w:val="nil"/>
            </w:tcBorders>
            <w:vAlign w:val="top"/>
          </w:tcPr>
          <w:p w14:paraId="2D910E87">
            <w:pPr>
              <w:rPr>
                <w:rFonts w:ascii="Arial"/>
                <w:sz w:val="21"/>
              </w:rPr>
            </w:pPr>
          </w:p>
        </w:tc>
        <w:tc>
          <w:tcPr>
            <w:tcW w:w="1174" w:type="dxa"/>
            <w:vMerge w:val="continue"/>
            <w:tcBorders>
              <w:top w:val="nil"/>
            </w:tcBorders>
            <w:vAlign w:val="top"/>
          </w:tcPr>
          <w:p w14:paraId="73662D48">
            <w:pPr>
              <w:rPr>
                <w:rFonts w:ascii="Arial"/>
                <w:sz w:val="21"/>
              </w:rPr>
            </w:pPr>
          </w:p>
        </w:tc>
        <w:tc>
          <w:tcPr>
            <w:tcW w:w="674" w:type="dxa"/>
            <w:vAlign w:val="top"/>
          </w:tcPr>
          <w:p w14:paraId="2D27EFEE">
            <w:pPr>
              <w:pStyle w:val="6"/>
              <w:spacing w:before="37" w:line="219" w:lineRule="auto"/>
              <w:ind w:left="160"/>
              <w:rPr>
                <w:sz w:val="18"/>
                <w:szCs w:val="18"/>
              </w:rPr>
            </w:pPr>
            <w:r>
              <w:rPr>
                <w:spacing w:val="-5"/>
                <w:sz w:val="18"/>
                <w:szCs w:val="18"/>
              </w:rPr>
              <w:t>核算</w:t>
            </w:r>
          </w:p>
          <w:p w14:paraId="53A347AE">
            <w:pPr>
              <w:pStyle w:val="6"/>
              <w:spacing w:before="19" w:line="204" w:lineRule="auto"/>
              <w:ind w:left="159"/>
              <w:rPr>
                <w:sz w:val="18"/>
                <w:szCs w:val="18"/>
              </w:rPr>
            </w:pPr>
            <w:r>
              <w:rPr>
                <w:spacing w:val="-4"/>
                <w:sz w:val="18"/>
                <w:szCs w:val="18"/>
              </w:rPr>
              <w:t>方法</w:t>
            </w:r>
          </w:p>
        </w:tc>
        <w:tc>
          <w:tcPr>
            <w:tcW w:w="1087" w:type="dxa"/>
            <w:vAlign w:val="top"/>
          </w:tcPr>
          <w:p w14:paraId="5974871A">
            <w:pPr>
              <w:pStyle w:val="6"/>
              <w:spacing w:before="49" w:line="219" w:lineRule="auto"/>
              <w:ind w:left="95"/>
              <w:rPr>
                <w:sz w:val="18"/>
                <w:szCs w:val="18"/>
              </w:rPr>
            </w:pPr>
            <w:r>
              <w:rPr>
                <w:spacing w:val="-2"/>
                <w:sz w:val="18"/>
                <w:szCs w:val="18"/>
              </w:rPr>
              <w:t>废气产生量</w:t>
            </w:r>
          </w:p>
          <w:p w14:paraId="01D83D7F">
            <w:pPr>
              <w:spacing w:before="32" w:line="192" w:lineRule="auto"/>
              <w:ind w:left="374"/>
              <w:rPr>
                <w:rFonts w:ascii="Times New Roman" w:hAnsi="Times New Roman" w:eastAsia="Times New Roman" w:cs="Times New Roman"/>
                <w:sz w:val="18"/>
                <w:szCs w:val="18"/>
              </w:rPr>
            </w:pPr>
            <w:r>
              <w:rPr>
                <w:rFonts w:ascii="Times New Roman" w:hAnsi="Times New Roman" w:eastAsia="Times New Roman" w:cs="Times New Roman"/>
                <w:spacing w:val="-3"/>
                <w:w w:val="92"/>
                <w:sz w:val="18"/>
                <w:szCs w:val="18"/>
              </w:rPr>
              <w:t>m3/h</w:t>
            </w:r>
          </w:p>
        </w:tc>
        <w:tc>
          <w:tcPr>
            <w:tcW w:w="849" w:type="dxa"/>
            <w:vAlign w:val="top"/>
          </w:tcPr>
          <w:p w14:paraId="0D4D97F9">
            <w:pPr>
              <w:pStyle w:val="6"/>
              <w:spacing w:before="50" w:line="228" w:lineRule="auto"/>
              <w:ind w:left="186" w:right="63" w:hanging="119"/>
              <w:rPr>
                <w:rFonts w:ascii="Times New Roman" w:hAnsi="Times New Roman" w:eastAsia="Times New Roman" w:cs="Times New Roman"/>
                <w:sz w:val="18"/>
                <w:szCs w:val="18"/>
              </w:rPr>
            </w:pPr>
            <w:r>
              <w:rPr>
                <w:spacing w:val="-2"/>
                <w:sz w:val="18"/>
                <w:szCs w:val="18"/>
              </w:rPr>
              <w:t>产生浓度</w:t>
            </w:r>
            <w:r>
              <w:rPr>
                <w:sz w:val="18"/>
                <w:szCs w:val="18"/>
              </w:rPr>
              <w:t xml:space="preserve"> </w:t>
            </w:r>
            <w:r>
              <w:rPr>
                <w:rFonts w:ascii="Times New Roman" w:hAnsi="Times New Roman" w:eastAsia="Times New Roman" w:cs="Times New Roman"/>
                <w:spacing w:val="-1"/>
                <w:sz w:val="18"/>
                <w:szCs w:val="18"/>
              </w:rPr>
              <w:t>mg/m3</w:t>
            </w:r>
          </w:p>
        </w:tc>
        <w:tc>
          <w:tcPr>
            <w:tcW w:w="761" w:type="dxa"/>
            <w:vAlign w:val="top"/>
          </w:tcPr>
          <w:p w14:paraId="36C93871">
            <w:pPr>
              <w:pStyle w:val="6"/>
              <w:spacing w:before="50" w:line="228" w:lineRule="auto"/>
              <w:ind w:left="218" w:right="106" w:hanging="102"/>
              <w:rPr>
                <w:rFonts w:ascii="Times New Roman" w:hAnsi="Times New Roman" w:eastAsia="Times New Roman" w:cs="Times New Roman"/>
                <w:sz w:val="18"/>
                <w:szCs w:val="18"/>
              </w:rPr>
            </w:pPr>
            <w:r>
              <w:rPr>
                <w:spacing w:val="-3"/>
                <w:sz w:val="18"/>
                <w:szCs w:val="18"/>
              </w:rPr>
              <w:t>产生量</w:t>
            </w:r>
            <w:r>
              <w:rPr>
                <w:sz w:val="18"/>
                <w:szCs w:val="18"/>
              </w:rPr>
              <w:t xml:space="preserve"> </w:t>
            </w:r>
            <w:r>
              <w:rPr>
                <w:rFonts w:ascii="Times New Roman" w:hAnsi="Times New Roman" w:eastAsia="Times New Roman" w:cs="Times New Roman"/>
                <w:spacing w:val="-1"/>
                <w:sz w:val="18"/>
                <w:szCs w:val="18"/>
              </w:rPr>
              <w:t>kg/h</w:t>
            </w:r>
          </w:p>
        </w:tc>
        <w:tc>
          <w:tcPr>
            <w:tcW w:w="674" w:type="dxa"/>
            <w:vAlign w:val="top"/>
          </w:tcPr>
          <w:p w14:paraId="6B42E1B4">
            <w:pPr>
              <w:pStyle w:val="6"/>
              <w:spacing w:before="152" w:line="229" w:lineRule="auto"/>
              <w:ind w:left="163"/>
              <w:rPr>
                <w:sz w:val="18"/>
                <w:szCs w:val="18"/>
              </w:rPr>
            </w:pPr>
            <w:r>
              <w:rPr>
                <w:spacing w:val="-5"/>
                <w:sz w:val="18"/>
                <w:szCs w:val="18"/>
              </w:rPr>
              <w:t>工艺</w:t>
            </w:r>
          </w:p>
        </w:tc>
        <w:tc>
          <w:tcPr>
            <w:tcW w:w="538" w:type="dxa"/>
            <w:vAlign w:val="top"/>
          </w:tcPr>
          <w:p w14:paraId="7F26992B">
            <w:pPr>
              <w:pStyle w:val="6"/>
              <w:spacing w:before="49" w:line="219" w:lineRule="auto"/>
              <w:ind w:left="99"/>
              <w:rPr>
                <w:sz w:val="18"/>
                <w:szCs w:val="18"/>
              </w:rPr>
            </w:pPr>
            <w:r>
              <w:rPr>
                <w:spacing w:val="-6"/>
                <w:sz w:val="18"/>
                <w:szCs w:val="18"/>
              </w:rPr>
              <w:t>效率</w:t>
            </w:r>
          </w:p>
          <w:p w14:paraId="1DDD65C6">
            <w:pPr>
              <w:spacing w:before="32" w:line="192" w:lineRule="auto"/>
              <w:ind w:left="1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Align w:val="top"/>
          </w:tcPr>
          <w:p w14:paraId="256FEBFD">
            <w:pPr>
              <w:pStyle w:val="6"/>
              <w:spacing w:before="38" w:line="221" w:lineRule="auto"/>
              <w:ind w:left="197" w:right="5" w:hanging="178"/>
              <w:rPr>
                <w:sz w:val="18"/>
                <w:szCs w:val="18"/>
              </w:rPr>
            </w:pPr>
            <w:r>
              <w:rPr>
                <w:spacing w:val="-4"/>
                <w:sz w:val="18"/>
                <w:szCs w:val="18"/>
              </w:rPr>
              <w:t>核算方</w:t>
            </w:r>
            <w:r>
              <w:rPr>
                <w:spacing w:val="1"/>
                <w:sz w:val="18"/>
                <w:szCs w:val="18"/>
              </w:rPr>
              <w:t xml:space="preserve"> </w:t>
            </w:r>
            <w:r>
              <w:rPr>
                <w:sz w:val="18"/>
                <w:szCs w:val="18"/>
              </w:rPr>
              <w:t>法</w:t>
            </w:r>
          </w:p>
        </w:tc>
        <w:tc>
          <w:tcPr>
            <w:tcW w:w="1012" w:type="dxa"/>
            <w:vAlign w:val="top"/>
          </w:tcPr>
          <w:p w14:paraId="19343845">
            <w:pPr>
              <w:pStyle w:val="6"/>
              <w:spacing w:before="49" w:line="220" w:lineRule="auto"/>
              <w:ind w:left="63"/>
              <w:rPr>
                <w:sz w:val="18"/>
                <w:szCs w:val="18"/>
              </w:rPr>
            </w:pPr>
            <w:r>
              <w:rPr>
                <w:spacing w:val="-2"/>
                <w:sz w:val="18"/>
                <w:szCs w:val="18"/>
              </w:rPr>
              <w:t>废气排放量</w:t>
            </w:r>
          </w:p>
          <w:p w14:paraId="2D092F38">
            <w:pPr>
              <w:spacing w:before="31" w:line="192"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3"/>
                <w:w w:val="92"/>
                <w:sz w:val="18"/>
                <w:szCs w:val="18"/>
              </w:rPr>
              <w:t>m3/h</w:t>
            </w:r>
          </w:p>
        </w:tc>
        <w:tc>
          <w:tcPr>
            <w:tcW w:w="724" w:type="dxa"/>
            <w:vAlign w:val="top"/>
          </w:tcPr>
          <w:p w14:paraId="02F0CFA3">
            <w:pPr>
              <w:pStyle w:val="6"/>
              <w:spacing w:before="50" w:line="228" w:lineRule="auto"/>
              <w:ind w:left="128" w:right="117" w:firstLine="60"/>
              <w:rPr>
                <w:rFonts w:ascii="Times New Roman" w:hAnsi="Times New Roman" w:eastAsia="Times New Roman" w:cs="Times New Roman"/>
                <w:sz w:val="18"/>
                <w:szCs w:val="18"/>
              </w:rPr>
            </w:pPr>
            <w:r>
              <w:rPr>
                <w:spacing w:val="-4"/>
                <w:sz w:val="18"/>
                <w:szCs w:val="18"/>
              </w:rPr>
              <w:t>浓度</w:t>
            </w:r>
            <w:r>
              <w:rPr>
                <w:sz w:val="18"/>
                <w:szCs w:val="18"/>
              </w:rPr>
              <w:t xml:space="preserve"> </w:t>
            </w:r>
            <w:r>
              <w:rPr>
                <w:rFonts w:ascii="Times New Roman" w:hAnsi="Times New Roman" w:eastAsia="Times New Roman" w:cs="Times New Roman"/>
                <w:spacing w:val="-4"/>
                <w:w w:val="96"/>
                <w:sz w:val="18"/>
                <w:szCs w:val="18"/>
              </w:rPr>
              <w:t>mg/m3</w:t>
            </w:r>
          </w:p>
        </w:tc>
        <w:tc>
          <w:tcPr>
            <w:tcW w:w="736" w:type="dxa"/>
            <w:vAlign w:val="top"/>
          </w:tcPr>
          <w:p w14:paraId="148FCE87">
            <w:pPr>
              <w:pStyle w:val="6"/>
              <w:spacing w:before="50" w:line="228" w:lineRule="auto"/>
              <w:ind w:left="210" w:right="91" w:hanging="104"/>
              <w:rPr>
                <w:rFonts w:ascii="Times New Roman" w:hAnsi="Times New Roman" w:eastAsia="Times New Roman" w:cs="Times New Roman"/>
                <w:sz w:val="18"/>
                <w:szCs w:val="18"/>
              </w:rPr>
            </w:pPr>
            <w:r>
              <w:rPr>
                <w:spacing w:val="-3"/>
                <w:sz w:val="18"/>
                <w:szCs w:val="18"/>
              </w:rPr>
              <w:t>排放量</w:t>
            </w:r>
            <w:r>
              <w:rPr>
                <w:sz w:val="18"/>
                <w:szCs w:val="18"/>
              </w:rPr>
              <w:t xml:space="preserve"> </w:t>
            </w:r>
            <w:r>
              <w:rPr>
                <w:rFonts w:ascii="Times New Roman" w:hAnsi="Times New Roman" w:eastAsia="Times New Roman" w:cs="Times New Roman"/>
                <w:spacing w:val="-1"/>
                <w:sz w:val="18"/>
                <w:szCs w:val="18"/>
              </w:rPr>
              <w:t>kg/h</w:t>
            </w:r>
          </w:p>
        </w:tc>
        <w:tc>
          <w:tcPr>
            <w:tcW w:w="749" w:type="dxa"/>
            <w:vMerge w:val="continue"/>
            <w:tcBorders>
              <w:top w:val="nil"/>
            </w:tcBorders>
            <w:vAlign w:val="top"/>
          </w:tcPr>
          <w:p w14:paraId="4BC5D3E7">
            <w:pPr>
              <w:rPr>
                <w:rFonts w:ascii="Arial"/>
                <w:sz w:val="21"/>
              </w:rPr>
            </w:pPr>
          </w:p>
        </w:tc>
        <w:tc>
          <w:tcPr>
            <w:tcW w:w="600" w:type="dxa"/>
            <w:vMerge w:val="continue"/>
            <w:tcBorders>
              <w:top w:val="nil"/>
            </w:tcBorders>
            <w:vAlign w:val="top"/>
          </w:tcPr>
          <w:p w14:paraId="51D9342C">
            <w:pPr>
              <w:rPr>
                <w:rFonts w:ascii="Arial"/>
                <w:sz w:val="21"/>
              </w:rPr>
            </w:pPr>
          </w:p>
        </w:tc>
        <w:tc>
          <w:tcPr>
            <w:tcW w:w="122" w:type="dxa"/>
            <w:vMerge w:val="continue"/>
            <w:tcBorders>
              <w:top w:val="nil"/>
              <w:bottom w:val="nil"/>
              <w:right w:val="single" w:color="000000" w:sz="6" w:space="0"/>
            </w:tcBorders>
            <w:vAlign w:val="top"/>
          </w:tcPr>
          <w:p w14:paraId="74564812">
            <w:pPr>
              <w:rPr>
                <w:rFonts w:ascii="Arial"/>
                <w:sz w:val="21"/>
              </w:rPr>
            </w:pPr>
          </w:p>
        </w:tc>
      </w:tr>
      <w:tr w14:paraId="724DD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5" w:type="dxa"/>
            <w:vMerge w:val="continue"/>
            <w:tcBorders>
              <w:top w:val="nil"/>
              <w:left w:val="single" w:color="000000" w:sz="6" w:space="0"/>
              <w:bottom w:val="nil"/>
            </w:tcBorders>
            <w:vAlign w:val="top"/>
          </w:tcPr>
          <w:p w14:paraId="659004A1">
            <w:pPr>
              <w:rPr>
                <w:rFonts w:ascii="Arial"/>
                <w:sz w:val="21"/>
              </w:rPr>
            </w:pPr>
          </w:p>
        </w:tc>
        <w:tc>
          <w:tcPr>
            <w:tcW w:w="111" w:type="dxa"/>
            <w:tcBorders>
              <w:top w:val="nil"/>
              <w:bottom w:val="nil"/>
            </w:tcBorders>
            <w:vAlign w:val="top"/>
          </w:tcPr>
          <w:p w14:paraId="7CFADD1F">
            <w:pPr>
              <w:rPr>
                <w:rFonts w:ascii="Arial"/>
                <w:sz w:val="21"/>
              </w:rPr>
            </w:pPr>
          </w:p>
        </w:tc>
        <w:tc>
          <w:tcPr>
            <w:tcW w:w="708" w:type="dxa"/>
            <w:vMerge w:val="restart"/>
            <w:tcBorders>
              <w:bottom w:val="nil"/>
            </w:tcBorders>
            <w:vAlign w:val="top"/>
          </w:tcPr>
          <w:p w14:paraId="72F830FD">
            <w:pPr>
              <w:rPr>
                <w:rFonts w:ascii="Arial"/>
                <w:sz w:val="21"/>
              </w:rPr>
            </w:pPr>
          </w:p>
          <w:p w14:paraId="0C402325">
            <w:pPr>
              <w:rPr>
                <w:rFonts w:ascii="Arial"/>
                <w:sz w:val="21"/>
              </w:rPr>
            </w:pPr>
          </w:p>
          <w:p w14:paraId="2891D692">
            <w:pPr>
              <w:rPr>
                <w:rFonts w:ascii="Arial"/>
                <w:sz w:val="21"/>
              </w:rPr>
            </w:pPr>
          </w:p>
          <w:p w14:paraId="14636CD2">
            <w:pPr>
              <w:rPr>
                <w:rFonts w:ascii="Arial"/>
                <w:sz w:val="21"/>
              </w:rPr>
            </w:pPr>
          </w:p>
          <w:p w14:paraId="04F9E326">
            <w:pPr>
              <w:rPr>
                <w:rFonts w:ascii="Arial"/>
                <w:sz w:val="21"/>
              </w:rPr>
            </w:pPr>
          </w:p>
          <w:p w14:paraId="697BC620">
            <w:pPr>
              <w:rPr>
                <w:rFonts w:ascii="Arial"/>
                <w:sz w:val="21"/>
              </w:rPr>
            </w:pPr>
          </w:p>
          <w:p w14:paraId="1ACF2314">
            <w:pPr>
              <w:rPr>
                <w:rFonts w:ascii="Arial"/>
                <w:sz w:val="21"/>
              </w:rPr>
            </w:pPr>
          </w:p>
          <w:p w14:paraId="41ECA350">
            <w:pPr>
              <w:rPr>
                <w:rFonts w:ascii="Arial"/>
                <w:sz w:val="21"/>
              </w:rPr>
            </w:pPr>
          </w:p>
          <w:p w14:paraId="4FE26CFE">
            <w:pPr>
              <w:rPr>
                <w:rFonts w:ascii="Arial"/>
                <w:sz w:val="21"/>
              </w:rPr>
            </w:pPr>
          </w:p>
          <w:p w14:paraId="6FF541D1">
            <w:pPr>
              <w:rPr>
                <w:rFonts w:ascii="Arial"/>
                <w:sz w:val="21"/>
              </w:rPr>
            </w:pPr>
          </w:p>
          <w:p w14:paraId="3EEEAE2F">
            <w:pPr>
              <w:spacing w:line="241" w:lineRule="auto"/>
              <w:rPr>
                <w:rFonts w:ascii="Arial"/>
                <w:sz w:val="21"/>
              </w:rPr>
            </w:pPr>
          </w:p>
          <w:p w14:paraId="729FDD98">
            <w:pPr>
              <w:spacing w:line="241" w:lineRule="auto"/>
              <w:rPr>
                <w:rFonts w:ascii="Arial"/>
                <w:sz w:val="21"/>
              </w:rPr>
            </w:pPr>
          </w:p>
          <w:p w14:paraId="18657D42">
            <w:pPr>
              <w:spacing w:line="241" w:lineRule="auto"/>
              <w:rPr>
                <w:rFonts w:ascii="Arial"/>
                <w:sz w:val="21"/>
              </w:rPr>
            </w:pPr>
          </w:p>
          <w:p w14:paraId="76104633">
            <w:pPr>
              <w:spacing w:line="241" w:lineRule="auto"/>
              <w:rPr>
                <w:rFonts w:ascii="Arial"/>
                <w:sz w:val="21"/>
              </w:rPr>
            </w:pPr>
          </w:p>
          <w:p w14:paraId="6E614ACA">
            <w:pPr>
              <w:pStyle w:val="6"/>
              <w:spacing w:before="59" w:line="219" w:lineRule="auto"/>
              <w:ind w:left="100"/>
              <w:rPr>
                <w:sz w:val="18"/>
                <w:szCs w:val="18"/>
              </w:rPr>
            </w:pPr>
            <w:r>
              <w:rPr>
                <w:rFonts w:ascii="Times New Roman" w:hAnsi="Times New Roman" w:eastAsia="Times New Roman" w:cs="Times New Roman"/>
                <w:spacing w:val="-5"/>
                <w:sz w:val="18"/>
                <w:szCs w:val="18"/>
              </w:rPr>
              <w:t>4</w:t>
            </w:r>
            <w:r>
              <w:rPr>
                <w:rFonts w:ascii="Times New Roman" w:hAnsi="Times New Roman" w:eastAsia="Times New Roman" w:cs="Times New Roman"/>
                <w:spacing w:val="10"/>
                <w:sz w:val="18"/>
                <w:szCs w:val="18"/>
              </w:rPr>
              <w:t xml:space="preserve"> </w:t>
            </w:r>
            <w:r>
              <w:rPr>
                <w:spacing w:val="-5"/>
                <w:sz w:val="18"/>
                <w:szCs w:val="18"/>
              </w:rPr>
              <w:t>号楼</w:t>
            </w:r>
          </w:p>
        </w:tc>
        <w:tc>
          <w:tcPr>
            <w:tcW w:w="736" w:type="dxa"/>
            <w:vMerge w:val="restart"/>
            <w:tcBorders>
              <w:bottom w:val="nil"/>
            </w:tcBorders>
            <w:vAlign w:val="top"/>
          </w:tcPr>
          <w:p w14:paraId="7A98E88C">
            <w:pPr>
              <w:spacing w:line="267" w:lineRule="auto"/>
              <w:rPr>
                <w:rFonts w:ascii="Arial"/>
                <w:sz w:val="21"/>
              </w:rPr>
            </w:pPr>
          </w:p>
          <w:p w14:paraId="5B67D775">
            <w:pPr>
              <w:spacing w:line="267" w:lineRule="auto"/>
              <w:rPr>
                <w:rFonts w:ascii="Arial"/>
                <w:sz w:val="21"/>
              </w:rPr>
            </w:pPr>
          </w:p>
          <w:p w14:paraId="6EFFBE36">
            <w:pPr>
              <w:spacing w:line="268" w:lineRule="auto"/>
              <w:rPr>
                <w:rFonts w:ascii="Arial"/>
                <w:sz w:val="21"/>
              </w:rPr>
            </w:pPr>
          </w:p>
          <w:p w14:paraId="15D48C7E">
            <w:pPr>
              <w:spacing w:line="268" w:lineRule="auto"/>
              <w:rPr>
                <w:rFonts w:ascii="Arial"/>
                <w:sz w:val="21"/>
              </w:rPr>
            </w:pPr>
          </w:p>
          <w:p w14:paraId="18598C67">
            <w:pPr>
              <w:spacing w:line="268" w:lineRule="auto"/>
              <w:rPr>
                <w:rFonts w:ascii="Arial"/>
                <w:sz w:val="21"/>
              </w:rPr>
            </w:pPr>
          </w:p>
          <w:p w14:paraId="03B059F9">
            <w:pPr>
              <w:spacing w:line="268" w:lineRule="auto"/>
              <w:rPr>
                <w:rFonts w:ascii="Arial"/>
                <w:sz w:val="21"/>
              </w:rPr>
            </w:pPr>
          </w:p>
          <w:p w14:paraId="3846C293">
            <w:pPr>
              <w:pStyle w:val="6"/>
              <w:spacing w:before="59" w:line="219" w:lineRule="auto"/>
              <w:ind w:left="1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6"/>
                <w:sz w:val="18"/>
                <w:szCs w:val="18"/>
              </w:rPr>
              <w:t xml:space="preserve"> </w:t>
            </w:r>
            <w:r>
              <w:rPr>
                <w:spacing w:val="-3"/>
                <w:sz w:val="18"/>
                <w:szCs w:val="18"/>
              </w:rPr>
              <w:t>层</w:t>
            </w:r>
            <w:r>
              <w:rPr>
                <w:rFonts w:ascii="Times New Roman" w:hAnsi="Times New Roman" w:eastAsia="Times New Roman" w:cs="Times New Roman"/>
                <w:spacing w:val="-3"/>
                <w:sz w:val="18"/>
                <w:szCs w:val="18"/>
              </w:rPr>
              <w:t>-A</w:t>
            </w:r>
          </w:p>
        </w:tc>
        <w:tc>
          <w:tcPr>
            <w:tcW w:w="849" w:type="dxa"/>
            <w:vAlign w:val="top"/>
          </w:tcPr>
          <w:p w14:paraId="2CDA87AA">
            <w:pPr>
              <w:pStyle w:val="6"/>
              <w:spacing w:before="146" w:line="220" w:lineRule="auto"/>
              <w:ind w:left="154"/>
              <w:rPr>
                <w:sz w:val="18"/>
                <w:szCs w:val="18"/>
              </w:rPr>
            </w:pPr>
            <w:r>
              <w:rPr>
                <w:spacing w:val="-3"/>
                <w:sz w:val="18"/>
                <w:szCs w:val="18"/>
              </w:rPr>
              <w:t>有组织</w:t>
            </w:r>
          </w:p>
        </w:tc>
        <w:tc>
          <w:tcPr>
            <w:tcW w:w="1174" w:type="dxa"/>
            <w:vMerge w:val="restart"/>
            <w:tcBorders>
              <w:bottom w:val="nil"/>
            </w:tcBorders>
            <w:vAlign w:val="top"/>
          </w:tcPr>
          <w:p w14:paraId="41C751AE">
            <w:pPr>
              <w:spacing w:line="289" w:lineRule="auto"/>
              <w:rPr>
                <w:rFonts w:ascii="Arial"/>
                <w:sz w:val="21"/>
              </w:rPr>
            </w:pPr>
          </w:p>
          <w:p w14:paraId="1BFC9101">
            <w:pPr>
              <w:pStyle w:val="6"/>
              <w:spacing w:before="58" w:line="221" w:lineRule="auto"/>
              <w:ind w:left="320"/>
              <w:rPr>
                <w:sz w:val="18"/>
                <w:szCs w:val="18"/>
              </w:rPr>
            </w:pPr>
            <w:r>
              <w:rPr>
                <w:spacing w:val="-4"/>
                <w:sz w:val="18"/>
                <w:szCs w:val="18"/>
              </w:rPr>
              <w:t>氯化氢</w:t>
            </w:r>
          </w:p>
        </w:tc>
        <w:tc>
          <w:tcPr>
            <w:tcW w:w="674" w:type="dxa"/>
            <w:vMerge w:val="restart"/>
            <w:tcBorders>
              <w:bottom w:val="nil"/>
            </w:tcBorders>
            <w:vAlign w:val="top"/>
          </w:tcPr>
          <w:p w14:paraId="63A66529">
            <w:pPr>
              <w:spacing w:line="248" w:lineRule="auto"/>
              <w:rPr>
                <w:rFonts w:ascii="Arial"/>
                <w:sz w:val="21"/>
              </w:rPr>
            </w:pPr>
          </w:p>
          <w:p w14:paraId="14D3E5D5">
            <w:pPr>
              <w:spacing w:line="248" w:lineRule="auto"/>
              <w:rPr>
                <w:rFonts w:ascii="Arial"/>
                <w:sz w:val="21"/>
              </w:rPr>
            </w:pPr>
          </w:p>
          <w:p w14:paraId="6E24F2C5">
            <w:pPr>
              <w:spacing w:line="248" w:lineRule="auto"/>
              <w:rPr>
                <w:rFonts w:ascii="Arial"/>
                <w:sz w:val="21"/>
              </w:rPr>
            </w:pPr>
          </w:p>
          <w:p w14:paraId="34FE9A02">
            <w:pPr>
              <w:spacing w:line="249" w:lineRule="auto"/>
              <w:rPr>
                <w:rFonts w:ascii="Arial"/>
                <w:sz w:val="21"/>
              </w:rPr>
            </w:pPr>
          </w:p>
          <w:p w14:paraId="51DF09BC">
            <w:pPr>
              <w:spacing w:line="249" w:lineRule="auto"/>
              <w:rPr>
                <w:rFonts w:ascii="Arial"/>
                <w:sz w:val="21"/>
              </w:rPr>
            </w:pPr>
          </w:p>
          <w:p w14:paraId="2CAAAFB4">
            <w:pPr>
              <w:spacing w:line="249" w:lineRule="auto"/>
              <w:rPr>
                <w:rFonts w:ascii="Arial"/>
                <w:sz w:val="21"/>
              </w:rPr>
            </w:pPr>
          </w:p>
          <w:p w14:paraId="7E401496">
            <w:pPr>
              <w:pStyle w:val="6"/>
              <w:spacing w:before="59"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vAlign w:val="top"/>
          </w:tcPr>
          <w:p w14:paraId="3DAAF8DE">
            <w:pPr>
              <w:spacing w:before="177"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159E2F62">
            <w:pPr>
              <w:spacing w:before="177" w:line="188" w:lineRule="auto"/>
              <w:ind w:left="1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144.67</w:t>
            </w:r>
          </w:p>
        </w:tc>
        <w:tc>
          <w:tcPr>
            <w:tcW w:w="761" w:type="dxa"/>
            <w:vAlign w:val="top"/>
          </w:tcPr>
          <w:p w14:paraId="3D75676A">
            <w:pPr>
              <w:spacing w:before="177"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2.8933</w:t>
            </w:r>
          </w:p>
        </w:tc>
        <w:tc>
          <w:tcPr>
            <w:tcW w:w="674" w:type="dxa"/>
            <w:vAlign w:val="top"/>
          </w:tcPr>
          <w:p w14:paraId="0DE854D3">
            <w:pPr>
              <w:pStyle w:val="6"/>
              <w:spacing w:before="31" w:line="221" w:lineRule="auto"/>
              <w:ind w:left="73"/>
              <w:rPr>
                <w:sz w:val="18"/>
                <w:szCs w:val="18"/>
              </w:rPr>
            </w:pPr>
            <w:r>
              <w:rPr>
                <w:spacing w:val="-3"/>
                <w:sz w:val="18"/>
                <w:szCs w:val="18"/>
              </w:rPr>
              <w:t>三级碱</w:t>
            </w:r>
          </w:p>
          <w:p w14:paraId="40BE49CE">
            <w:pPr>
              <w:pStyle w:val="6"/>
              <w:spacing w:before="17" w:line="198" w:lineRule="auto"/>
              <w:ind w:left="74"/>
              <w:rPr>
                <w:sz w:val="18"/>
                <w:szCs w:val="18"/>
              </w:rPr>
            </w:pPr>
            <w:r>
              <w:rPr>
                <w:spacing w:val="-3"/>
                <w:sz w:val="18"/>
                <w:szCs w:val="18"/>
              </w:rPr>
              <w:t>液喷淋</w:t>
            </w:r>
          </w:p>
        </w:tc>
        <w:tc>
          <w:tcPr>
            <w:tcW w:w="538" w:type="dxa"/>
            <w:vAlign w:val="top"/>
          </w:tcPr>
          <w:p w14:paraId="7FA6BC89">
            <w:pPr>
              <w:spacing w:before="177"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bottom w:val="nil"/>
            </w:tcBorders>
            <w:vAlign w:val="top"/>
          </w:tcPr>
          <w:p w14:paraId="69C5CA3E">
            <w:pPr>
              <w:spacing w:line="275" w:lineRule="auto"/>
              <w:rPr>
                <w:rFonts w:ascii="Arial"/>
                <w:sz w:val="21"/>
              </w:rPr>
            </w:pPr>
          </w:p>
          <w:p w14:paraId="6A5A2400">
            <w:pPr>
              <w:spacing w:line="275" w:lineRule="auto"/>
              <w:rPr>
                <w:rFonts w:ascii="Arial"/>
                <w:sz w:val="21"/>
              </w:rPr>
            </w:pPr>
          </w:p>
          <w:p w14:paraId="411D203D">
            <w:pPr>
              <w:spacing w:line="275" w:lineRule="auto"/>
              <w:rPr>
                <w:rFonts w:ascii="Arial"/>
                <w:sz w:val="21"/>
              </w:rPr>
            </w:pPr>
          </w:p>
          <w:p w14:paraId="2ADF3EE7">
            <w:pPr>
              <w:spacing w:line="275" w:lineRule="auto"/>
              <w:rPr>
                <w:rFonts w:ascii="Arial"/>
                <w:sz w:val="21"/>
              </w:rPr>
            </w:pPr>
          </w:p>
          <w:p w14:paraId="34DCE3C3">
            <w:pPr>
              <w:spacing w:line="275" w:lineRule="auto"/>
              <w:rPr>
                <w:rFonts w:ascii="Arial"/>
                <w:sz w:val="21"/>
              </w:rPr>
            </w:pPr>
          </w:p>
          <w:p w14:paraId="725B2E17">
            <w:pPr>
              <w:pStyle w:val="6"/>
              <w:spacing w:before="58" w:line="219" w:lineRule="auto"/>
              <w:ind w:left="106"/>
              <w:rPr>
                <w:sz w:val="18"/>
                <w:szCs w:val="18"/>
              </w:rPr>
            </w:pPr>
            <w:r>
              <w:rPr>
                <w:spacing w:val="-4"/>
                <w:sz w:val="18"/>
                <w:szCs w:val="18"/>
              </w:rPr>
              <w:t>产污</w:t>
            </w:r>
          </w:p>
          <w:p w14:paraId="78E7CA10">
            <w:pPr>
              <w:pStyle w:val="6"/>
              <w:spacing w:before="18" w:line="244" w:lineRule="auto"/>
              <w:ind w:left="198" w:right="96" w:hanging="88"/>
              <w:rPr>
                <w:sz w:val="18"/>
                <w:szCs w:val="18"/>
              </w:rPr>
            </w:pPr>
            <w:r>
              <w:rPr>
                <w:spacing w:val="-6"/>
                <w:sz w:val="18"/>
                <w:szCs w:val="18"/>
              </w:rPr>
              <w:t>系数</w:t>
            </w:r>
            <w:r>
              <w:rPr>
                <w:sz w:val="18"/>
                <w:szCs w:val="18"/>
              </w:rPr>
              <w:t xml:space="preserve"> 法</w:t>
            </w:r>
          </w:p>
        </w:tc>
        <w:tc>
          <w:tcPr>
            <w:tcW w:w="1012" w:type="dxa"/>
            <w:vAlign w:val="top"/>
          </w:tcPr>
          <w:p w14:paraId="0829E3EE">
            <w:pPr>
              <w:spacing w:before="177"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494AD776">
            <w:pPr>
              <w:spacing w:before="177"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10.13</w:t>
            </w:r>
          </w:p>
        </w:tc>
        <w:tc>
          <w:tcPr>
            <w:tcW w:w="736" w:type="dxa"/>
            <w:vAlign w:val="top"/>
          </w:tcPr>
          <w:p w14:paraId="37BBC31A">
            <w:pPr>
              <w:spacing w:before="177"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0.2025</w:t>
            </w:r>
          </w:p>
        </w:tc>
        <w:tc>
          <w:tcPr>
            <w:tcW w:w="749" w:type="dxa"/>
            <w:vAlign w:val="top"/>
          </w:tcPr>
          <w:p w14:paraId="2B42F83F">
            <w:pPr>
              <w:spacing w:before="177"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DA006</w:t>
            </w:r>
          </w:p>
        </w:tc>
        <w:tc>
          <w:tcPr>
            <w:tcW w:w="600" w:type="dxa"/>
            <w:vAlign w:val="top"/>
          </w:tcPr>
          <w:p w14:paraId="18B57D72">
            <w:pPr>
              <w:spacing w:before="177"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0597337F">
            <w:pPr>
              <w:rPr>
                <w:rFonts w:ascii="Arial"/>
                <w:sz w:val="21"/>
              </w:rPr>
            </w:pPr>
          </w:p>
        </w:tc>
      </w:tr>
      <w:tr w14:paraId="2407E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74F5CEE0">
            <w:pPr>
              <w:rPr>
                <w:rFonts w:ascii="Arial"/>
                <w:sz w:val="21"/>
              </w:rPr>
            </w:pPr>
          </w:p>
        </w:tc>
        <w:tc>
          <w:tcPr>
            <w:tcW w:w="111" w:type="dxa"/>
            <w:tcBorders>
              <w:top w:val="nil"/>
              <w:bottom w:val="nil"/>
            </w:tcBorders>
            <w:vAlign w:val="top"/>
          </w:tcPr>
          <w:p w14:paraId="6DE4030C">
            <w:pPr>
              <w:rPr>
                <w:rFonts w:ascii="Arial"/>
                <w:sz w:val="21"/>
              </w:rPr>
            </w:pPr>
          </w:p>
        </w:tc>
        <w:tc>
          <w:tcPr>
            <w:tcW w:w="708" w:type="dxa"/>
            <w:vMerge w:val="continue"/>
            <w:tcBorders>
              <w:top w:val="nil"/>
              <w:bottom w:val="nil"/>
            </w:tcBorders>
            <w:vAlign w:val="top"/>
          </w:tcPr>
          <w:p w14:paraId="5BF59FFA">
            <w:pPr>
              <w:rPr>
                <w:rFonts w:ascii="Arial"/>
                <w:sz w:val="21"/>
              </w:rPr>
            </w:pPr>
          </w:p>
        </w:tc>
        <w:tc>
          <w:tcPr>
            <w:tcW w:w="736" w:type="dxa"/>
            <w:vMerge w:val="continue"/>
            <w:tcBorders>
              <w:top w:val="nil"/>
              <w:bottom w:val="nil"/>
            </w:tcBorders>
            <w:vAlign w:val="top"/>
          </w:tcPr>
          <w:p w14:paraId="71700436">
            <w:pPr>
              <w:rPr>
                <w:rFonts w:ascii="Arial"/>
                <w:sz w:val="21"/>
              </w:rPr>
            </w:pPr>
          </w:p>
        </w:tc>
        <w:tc>
          <w:tcPr>
            <w:tcW w:w="849" w:type="dxa"/>
            <w:vAlign w:val="top"/>
          </w:tcPr>
          <w:p w14:paraId="3DC152B5">
            <w:pPr>
              <w:pStyle w:val="6"/>
              <w:spacing w:before="115" w:line="220" w:lineRule="auto"/>
              <w:ind w:left="154"/>
              <w:rPr>
                <w:sz w:val="18"/>
                <w:szCs w:val="18"/>
              </w:rPr>
            </w:pPr>
            <w:r>
              <w:rPr>
                <w:spacing w:val="-3"/>
                <w:sz w:val="18"/>
                <w:szCs w:val="18"/>
              </w:rPr>
              <w:t>无组织</w:t>
            </w:r>
          </w:p>
        </w:tc>
        <w:tc>
          <w:tcPr>
            <w:tcW w:w="1174" w:type="dxa"/>
            <w:vMerge w:val="continue"/>
            <w:tcBorders>
              <w:top w:val="nil"/>
            </w:tcBorders>
            <w:vAlign w:val="top"/>
          </w:tcPr>
          <w:p w14:paraId="2E821895">
            <w:pPr>
              <w:rPr>
                <w:rFonts w:ascii="Arial"/>
                <w:sz w:val="21"/>
              </w:rPr>
            </w:pPr>
          </w:p>
        </w:tc>
        <w:tc>
          <w:tcPr>
            <w:tcW w:w="674" w:type="dxa"/>
            <w:vMerge w:val="continue"/>
            <w:tcBorders>
              <w:top w:val="nil"/>
              <w:bottom w:val="nil"/>
            </w:tcBorders>
            <w:vAlign w:val="top"/>
          </w:tcPr>
          <w:p w14:paraId="6A2F672E">
            <w:pPr>
              <w:rPr>
                <w:rFonts w:ascii="Arial"/>
                <w:sz w:val="21"/>
              </w:rPr>
            </w:pPr>
          </w:p>
        </w:tc>
        <w:tc>
          <w:tcPr>
            <w:tcW w:w="1087" w:type="dxa"/>
            <w:vAlign w:val="top"/>
          </w:tcPr>
          <w:p w14:paraId="537F0148">
            <w:pPr>
              <w:spacing w:before="143"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782F0E35">
            <w:pPr>
              <w:spacing w:before="143"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2B48D92">
            <w:pPr>
              <w:spacing w:before="146"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0.3215</w:t>
            </w:r>
          </w:p>
        </w:tc>
        <w:tc>
          <w:tcPr>
            <w:tcW w:w="674" w:type="dxa"/>
            <w:vAlign w:val="top"/>
          </w:tcPr>
          <w:p w14:paraId="3F35FAE3">
            <w:pPr>
              <w:spacing w:before="143"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67313D42">
            <w:pPr>
              <w:spacing w:before="143"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0199360E">
            <w:pPr>
              <w:rPr>
                <w:rFonts w:ascii="Arial"/>
                <w:sz w:val="21"/>
              </w:rPr>
            </w:pPr>
          </w:p>
        </w:tc>
        <w:tc>
          <w:tcPr>
            <w:tcW w:w="1012" w:type="dxa"/>
            <w:vAlign w:val="top"/>
          </w:tcPr>
          <w:p w14:paraId="47E29172">
            <w:pPr>
              <w:spacing w:before="143"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4CE8C5DC">
            <w:pPr>
              <w:spacing w:before="143"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6B2D09A3">
            <w:pPr>
              <w:spacing w:before="146"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0.3215</w:t>
            </w:r>
          </w:p>
        </w:tc>
        <w:tc>
          <w:tcPr>
            <w:tcW w:w="749" w:type="dxa"/>
            <w:vAlign w:val="top"/>
          </w:tcPr>
          <w:p w14:paraId="563E981B">
            <w:pPr>
              <w:spacing w:before="143"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77AFC013">
            <w:pPr>
              <w:spacing w:before="146"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4AAC120">
            <w:pPr>
              <w:rPr>
                <w:rFonts w:ascii="Arial"/>
                <w:sz w:val="21"/>
              </w:rPr>
            </w:pPr>
          </w:p>
        </w:tc>
      </w:tr>
      <w:tr w14:paraId="0C95E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07AF0514">
            <w:pPr>
              <w:rPr>
                <w:rFonts w:ascii="Arial"/>
                <w:sz w:val="21"/>
              </w:rPr>
            </w:pPr>
          </w:p>
        </w:tc>
        <w:tc>
          <w:tcPr>
            <w:tcW w:w="111" w:type="dxa"/>
            <w:tcBorders>
              <w:top w:val="nil"/>
              <w:bottom w:val="nil"/>
            </w:tcBorders>
            <w:vAlign w:val="top"/>
          </w:tcPr>
          <w:p w14:paraId="34D4E362">
            <w:pPr>
              <w:rPr>
                <w:rFonts w:ascii="Arial"/>
                <w:sz w:val="21"/>
              </w:rPr>
            </w:pPr>
          </w:p>
        </w:tc>
        <w:tc>
          <w:tcPr>
            <w:tcW w:w="708" w:type="dxa"/>
            <w:vMerge w:val="continue"/>
            <w:tcBorders>
              <w:top w:val="nil"/>
              <w:bottom w:val="nil"/>
            </w:tcBorders>
            <w:vAlign w:val="top"/>
          </w:tcPr>
          <w:p w14:paraId="2C02E1AC">
            <w:pPr>
              <w:rPr>
                <w:rFonts w:ascii="Arial"/>
                <w:sz w:val="21"/>
              </w:rPr>
            </w:pPr>
          </w:p>
        </w:tc>
        <w:tc>
          <w:tcPr>
            <w:tcW w:w="736" w:type="dxa"/>
            <w:vMerge w:val="continue"/>
            <w:tcBorders>
              <w:top w:val="nil"/>
              <w:bottom w:val="nil"/>
            </w:tcBorders>
            <w:vAlign w:val="top"/>
          </w:tcPr>
          <w:p w14:paraId="0E28FF35">
            <w:pPr>
              <w:rPr>
                <w:rFonts w:ascii="Arial"/>
                <w:sz w:val="21"/>
              </w:rPr>
            </w:pPr>
          </w:p>
        </w:tc>
        <w:tc>
          <w:tcPr>
            <w:tcW w:w="849" w:type="dxa"/>
            <w:vAlign w:val="top"/>
          </w:tcPr>
          <w:p w14:paraId="23F28D52">
            <w:pPr>
              <w:pStyle w:val="6"/>
              <w:spacing w:before="147" w:line="220" w:lineRule="auto"/>
              <w:ind w:left="154"/>
              <w:rPr>
                <w:sz w:val="18"/>
                <w:szCs w:val="18"/>
              </w:rPr>
            </w:pPr>
            <w:r>
              <w:rPr>
                <w:spacing w:val="-3"/>
                <w:sz w:val="18"/>
                <w:szCs w:val="18"/>
              </w:rPr>
              <w:t>有组织</w:t>
            </w:r>
          </w:p>
        </w:tc>
        <w:tc>
          <w:tcPr>
            <w:tcW w:w="1174" w:type="dxa"/>
            <w:vMerge w:val="restart"/>
            <w:tcBorders>
              <w:bottom w:val="nil"/>
            </w:tcBorders>
            <w:vAlign w:val="top"/>
          </w:tcPr>
          <w:p w14:paraId="5A730C6E">
            <w:pPr>
              <w:pStyle w:val="6"/>
              <w:spacing w:before="236" w:line="219" w:lineRule="auto"/>
              <w:ind w:left="137"/>
              <w:rPr>
                <w:sz w:val="18"/>
                <w:szCs w:val="18"/>
              </w:rPr>
            </w:pPr>
            <w:r>
              <w:rPr>
                <w:spacing w:val="-2"/>
                <w:sz w:val="18"/>
                <w:szCs w:val="18"/>
              </w:rPr>
              <w:t>氟化氢（以</w:t>
            </w:r>
          </w:p>
          <w:p w14:paraId="495845F6">
            <w:pPr>
              <w:pStyle w:val="6"/>
              <w:spacing w:before="19"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6413D0F9">
            <w:pPr>
              <w:rPr>
                <w:rFonts w:ascii="Arial"/>
                <w:sz w:val="21"/>
              </w:rPr>
            </w:pPr>
          </w:p>
        </w:tc>
        <w:tc>
          <w:tcPr>
            <w:tcW w:w="1087" w:type="dxa"/>
            <w:vAlign w:val="top"/>
          </w:tcPr>
          <w:p w14:paraId="1AE07A84">
            <w:pPr>
              <w:spacing w:before="178"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06348861">
            <w:pPr>
              <w:spacing w:before="178"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14.36</w:t>
            </w:r>
          </w:p>
        </w:tc>
        <w:tc>
          <w:tcPr>
            <w:tcW w:w="761" w:type="dxa"/>
            <w:vAlign w:val="top"/>
          </w:tcPr>
          <w:p w14:paraId="3FE7998E">
            <w:pPr>
              <w:spacing w:before="178"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0.2873</w:t>
            </w:r>
          </w:p>
        </w:tc>
        <w:tc>
          <w:tcPr>
            <w:tcW w:w="674" w:type="dxa"/>
            <w:vAlign w:val="top"/>
          </w:tcPr>
          <w:p w14:paraId="7B96C467">
            <w:pPr>
              <w:pStyle w:val="6"/>
              <w:spacing w:before="32" w:line="221" w:lineRule="auto"/>
              <w:ind w:left="73"/>
              <w:rPr>
                <w:sz w:val="18"/>
                <w:szCs w:val="18"/>
              </w:rPr>
            </w:pPr>
            <w:r>
              <w:rPr>
                <w:spacing w:val="-3"/>
                <w:sz w:val="18"/>
                <w:szCs w:val="18"/>
              </w:rPr>
              <w:t>三级碱</w:t>
            </w:r>
          </w:p>
          <w:p w14:paraId="2A395E4A">
            <w:pPr>
              <w:pStyle w:val="6"/>
              <w:spacing w:before="17" w:line="199" w:lineRule="auto"/>
              <w:ind w:left="74"/>
              <w:rPr>
                <w:sz w:val="18"/>
                <w:szCs w:val="18"/>
              </w:rPr>
            </w:pPr>
            <w:r>
              <w:rPr>
                <w:spacing w:val="-3"/>
                <w:sz w:val="18"/>
                <w:szCs w:val="18"/>
              </w:rPr>
              <w:t>液喷淋</w:t>
            </w:r>
          </w:p>
        </w:tc>
        <w:tc>
          <w:tcPr>
            <w:tcW w:w="538" w:type="dxa"/>
            <w:vAlign w:val="top"/>
          </w:tcPr>
          <w:p w14:paraId="0BDD6F82">
            <w:pPr>
              <w:spacing w:before="178"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2FA56C6A">
            <w:pPr>
              <w:rPr>
                <w:rFonts w:ascii="Arial"/>
                <w:sz w:val="21"/>
              </w:rPr>
            </w:pPr>
          </w:p>
        </w:tc>
        <w:tc>
          <w:tcPr>
            <w:tcW w:w="1012" w:type="dxa"/>
            <w:vAlign w:val="top"/>
          </w:tcPr>
          <w:p w14:paraId="36CC57A5">
            <w:pPr>
              <w:spacing w:before="178"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2A7524BA">
            <w:pPr>
              <w:spacing w:before="178" w:line="188" w:lineRule="auto"/>
              <w:ind w:left="2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2.30</w:t>
            </w:r>
          </w:p>
        </w:tc>
        <w:tc>
          <w:tcPr>
            <w:tcW w:w="736" w:type="dxa"/>
            <w:vAlign w:val="top"/>
          </w:tcPr>
          <w:p w14:paraId="6BB66124">
            <w:pPr>
              <w:spacing w:before="17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0.0460</w:t>
            </w:r>
          </w:p>
        </w:tc>
        <w:tc>
          <w:tcPr>
            <w:tcW w:w="749" w:type="dxa"/>
            <w:vAlign w:val="top"/>
          </w:tcPr>
          <w:p w14:paraId="7A2A5E1F">
            <w:pPr>
              <w:spacing w:before="178"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DA006</w:t>
            </w:r>
          </w:p>
        </w:tc>
        <w:tc>
          <w:tcPr>
            <w:tcW w:w="600" w:type="dxa"/>
            <w:vAlign w:val="top"/>
          </w:tcPr>
          <w:p w14:paraId="2213DE19">
            <w:pPr>
              <w:spacing w:before="17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AED7B46">
            <w:pPr>
              <w:rPr>
                <w:rFonts w:ascii="Arial"/>
                <w:sz w:val="21"/>
              </w:rPr>
            </w:pPr>
          </w:p>
        </w:tc>
      </w:tr>
      <w:tr w14:paraId="1C90C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55" w:type="dxa"/>
            <w:vMerge w:val="continue"/>
            <w:tcBorders>
              <w:top w:val="nil"/>
              <w:left w:val="single" w:color="000000" w:sz="6" w:space="0"/>
              <w:bottom w:val="nil"/>
            </w:tcBorders>
            <w:vAlign w:val="top"/>
          </w:tcPr>
          <w:p w14:paraId="237CC07E">
            <w:pPr>
              <w:rPr>
                <w:rFonts w:ascii="Arial"/>
                <w:sz w:val="21"/>
              </w:rPr>
            </w:pPr>
          </w:p>
        </w:tc>
        <w:tc>
          <w:tcPr>
            <w:tcW w:w="111" w:type="dxa"/>
            <w:tcBorders>
              <w:top w:val="nil"/>
              <w:bottom w:val="nil"/>
            </w:tcBorders>
            <w:vAlign w:val="top"/>
          </w:tcPr>
          <w:p w14:paraId="5FFAE9CC">
            <w:pPr>
              <w:rPr>
                <w:rFonts w:ascii="Arial"/>
                <w:sz w:val="21"/>
              </w:rPr>
            </w:pPr>
          </w:p>
        </w:tc>
        <w:tc>
          <w:tcPr>
            <w:tcW w:w="708" w:type="dxa"/>
            <w:vMerge w:val="continue"/>
            <w:tcBorders>
              <w:top w:val="nil"/>
              <w:bottom w:val="nil"/>
            </w:tcBorders>
            <w:vAlign w:val="top"/>
          </w:tcPr>
          <w:p w14:paraId="4735BC2A">
            <w:pPr>
              <w:rPr>
                <w:rFonts w:ascii="Arial"/>
                <w:sz w:val="21"/>
              </w:rPr>
            </w:pPr>
          </w:p>
        </w:tc>
        <w:tc>
          <w:tcPr>
            <w:tcW w:w="736" w:type="dxa"/>
            <w:vMerge w:val="continue"/>
            <w:tcBorders>
              <w:top w:val="nil"/>
              <w:bottom w:val="nil"/>
            </w:tcBorders>
            <w:vAlign w:val="top"/>
          </w:tcPr>
          <w:p w14:paraId="498C7878">
            <w:pPr>
              <w:rPr>
                <w:rFonts w:ascii="Arial"/>
                <w:sz w:val="21"/>
              </w:rPr>
            </w:pPr>
          </w:p>
        </w:tc>
        <w:tc>
          <w:tcPr>
            <w:tcW w:w="849" w:type="dxa"/>
            <w:vAlign w:val="top"/>
          </w:tcPr>
          <w:p w14:paraId="0AA1D3AC">
            <w:pPr>
              <w:pStyle w:val="6"/>
              <w:spacing w:before="117" w:line="220" w:lineRule="auto"/>
              <w:ind w:left="154"/>
              <w:rPr>
                <w:sz w:val="18"/>
                <w:szCs w:val="18"/>
              </w:rPr>
            </w:pPr>
            <w:r>
              <w:rPr>
                <w:spacing w:val="-3"/>
                <w:sz w:val="18"/>
                <w:szCs w:val="18"/>
              </w:rPr>
              <w:t>无组织</w:t>
            </w:r>
          </w:p>
        </w:tc>
        <w:tc>
          <w:tcPr>
            <w:tcW w:w="1174" w:type="dxa"/>
            <w:vMerge w:val="continue"/>
            <w:tcBorders>
              <w:top w:val="nil"/>
            </w:tcBorders>
            <w:vAlign w:val="top"/>
          </w:tcPr>
          <w:p w14:paraId="16E935CA">
            <w:pPr>
              <w:rPr>
                <w:rFonts w:ascii="Arial"/>
                <w:sz w:val="21"/>
              </w:rPr>
            </w:pPr>
          </w:p>
        </w:tc>
        <w:tc>
          <w:tcPr>
            <w:tcW w:w="674" w:type="dxa"/>
            <w:vMerge w:val="continue"/>
            <w:tcBorders>
              <w:top w:val="nil"/>
              <w:bottom w:val="nil"/>
            </w:tcBorders>
            <w:vAlign w:val="top"/>
          </w:tcPr>
          <w:p w14:paraId="46D78A00">
            <w:pPr>
              <w:rPr>
                <w:rFonts w:ascii="Arial"/>
                <w:sz w:val="21"/>
              </w:rPr>
            </w:pPr>
          </w:p>
        </w:tc>
        <w:tc>
          <w:tcPr>
            <w:tcW w:w="1087" w:type="dxa"/>
            <w:vAlign w:val="top"/>
          </w:tcPr>
          <w:p w14:paraId="77385387">
            <w:pPr>
              <w:spacing w:before="145"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16F4FA4E">
            <w:pPr>
              <w:spacing w:before="145"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422CA95F">
            <w:pPr>
              <w:spacing w:before="148"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0.0319</w:t>
            </w:r>
          </w:p>
        </w:tc>
        <w:tc>
          <w:tcPr>
            <w:tcW w:w="674" w:type="dxa"/>
            <w:vAlign w:val="top"/>
          </w:tcPr>
          <w:p w14:paraId="53088C24">
            <w:pPr>
              <w:spacing w:before="145"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3C5FAC68">
            <w:pPr>
              <w:spacing w:before="145"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F7EF5E9">
            <w:pPr>
              <w:rPr>
                <w:rFonts w:ascii="Arial"/>
                <w:sz w:val="21"/>
              </w:rPr>
            </w:pPr>
          </w:p>
        </w:tc>
        <w:tc>
          <w:tcPr>
            <w:tcW w:w="1012" w:type="dxa"/>
            <w:vAlign w:val="top"/>
          </w:tcPr>
          <w:p w14:paraId="66FBD216">
            <w:pPr>
              <w:spacing w:before="145"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52F0604B">
            <w:pPr>
              <w:spacing w:before="145"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4117E28A">
            <w:pPr>
              <w:spacing w:before="14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0.0319</w:t>
            </w:r>
          </w:p>
        </w:tc>
        <w:tc>
          <w:tcPr>
            <w:tcW w:w="749" w:type="dxa"/>
            <w:vAlign w:val="top"/>
          </w:tcPr>
          <w:p w14:paraId="6A44347C">
            <w:pPr>
              <w:spacing w:before="145"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4CE30366">
            <w:pPr>
              <w:spacing w:before="14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DB48D0A">
            <w:pPr>
              <w:rPr>
                <w:rFonts w:ascii="Arial"/>
                <w:sz w:val="21"/>
              </w:rPr>
            </w:pPr>
          </w:p>
        </w:tc>
      </w:tr>
      <w:tr w14:paraId="5F0D2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5DACF27C">
            <w:pPr>
              <w:rPr>
                <w:rFonts w:ascii="Arial"/>
                <w:sz w:val="21"/>
              </w:rPr>
            </w:pPr>
          </w:p>
        </w:tc>
        <w:tc>
          <w:tcPr>
            <w:tcW w:w="111" w:type="dxa"/>
            <w:tcBorders>
              <w:top w:val="nil"/>
              <w:bottom w:val="nil"/>
            </w:tcBorders>
            <w:vAlign w:val="top"/>
          </w:tcPr>
          <w:p w14:paraId="23EE6FF9">
            <w:pPr>
              <w:rPr>
                <w:rFonts w:ascii="Arial"/>
                <w:sz w:val="21"/>
              </w:rPr>
            </w:pPr>
          </w:p>
        </w:tc>
        <w:tc>
          <w:tcPr>
            <w:tcW w:w="708" w:type="dxa"/>
            <w:vMerge w:val="continue"/>
            <w:tcBorders>
              <w:top w:val="nil"/>
              <w:bottom w:val="nil"/>
            </w:tcBorders>
            <w:vAlign w:val="top"/>
          </w:tcPr>
          <w:p w14:paraId="58E3E184">
            <w:pPr>
              <w:rPr>
                <w:rFonts w:ascii="Arial"/>
                <w:sz w:val="21"/>
              </w:rPr>
            </w:pPr>
          </w:p>
        </w:tc>
        <w:tc>
          <w:tcPr>
            <w:tcW w:w="736" w:type="dxa"/>
            <w:vMerge w:val="continue"/>
            <w:tcBorders>
              <w:top w:val="nil"/>
              <w:bottom w:val="nil"/>
            </w:tcBorders>
            <w:vAlign w:val="top"/>
          </w:tcPr>
          <w:p w14:paraId="36DF466E">
            <w:pPr>
              <w:rPr>
                <w:rFonts w:ascii="Arial"/>
                <w:sz w:val="21"/>
              </w:rPr>
            </w:pPr>
          </w:p>
        </w:tc>
        <w:tc>
          <w:tcPr>
            <w:tcW w:w="849" w:type="dxa"/>
            <w:vAlign w:val="top"/>
          </w:tcPr>
          <w:p w14:paraId="5F426DC0">
            <w:pPr>
              <w:pStyle w:val="6"/>
              <w:spacing w:before="155" w:line="220" w:lineRule="auto"/>
              <w:ind w:left="154"/>
              <w:rPr>
                <w:sz w:val="18"/>
                <w:szCs w:val="18"/>
              </w:rPr>
            </w:pPr>
            <w:r>
              <w:rPr>
                <w:spacing w:val="-3"/>
                <w:sz w:val="18"/>
                <w:szCs w:val="18"/>
              </w:rPr>
              <w:t>有组织</w:t>
            </w:r>
          </w:p>
        </w:tc>
        <w:tc>
          <w:tcPr>
            <w:tcW w:w="1174" w:type="dxa"/>
            <w:vMerge w:val="restart"/>
            <w:tcBorders>
              <w:bottom w:val="nil"/>
            </w:tcBorders>
            <w:vAlign w:val="top"/>
          </w:tcPr>
          <w:p w14:paraId="032D3064">
            <w:pPr>
              <w:spacing w:line="296" w:lineRule="auto"/>
              <w:rPr>
                <w:rFonts w:ascii="Arial"/>
                <w:sz w:val="21"/>
              </w:rPr>
            </w:pPr>
          </w:p>
          <w:p w14:paraId="24F44708">
            <w:pPr>
              <w:pStyle w:val="6"/>
              <w:spacing w:before="59" w:line="221" w:lineRule="auto"/>
              <w:ind w:left="316"/>
              <w:rPr>
                <w:sz w:val="18"/>
                <w:szCs w:val="18"/>
              </w:rPr>
            </w:pPr>
            <w:r>
              <w:rPr>
                <w:spacing w:val="-3"/>
                <w:sz w:val="18"/>
                <w:szCs w:val="18"/>
              </w:rPr>
              <w:t>硫酸雾</w:t>
            </w:r>
          </w:p>
        </w:tc>
        <w:tc>
          <w:tcPr>
            <w:tcW w:w="674" w:type="dxa"/>
            <w:vMerge w:val="continue"/>
            <w:tcBorders>
              <w:top w:val="nil"/>
              <w:bottom w:val="nil"/>
            </w:tcBorders>
            <w:vAlign w:val="top"/>
          </w:tcPr>
          <w:p w14:paraId="65CF8680">
            <w:pPr>
              <w:rPr>
                <w:rFonts w:ascii="Arial"/>
                <w:sz w:val="21"/>
              </w:rPr>
            </w:pPr>
          </w:p>
        </w:tc>
        <w:tc>
          <w:tcPr>
            <w:tcW w:w="1087" w:type="dxa"/>
            <w:vAlign w:val="top"/>
          </w:tcPr>
          <w:p w14:paraId="5F793AC0">
            <w:pPr>
              <w:spacing w:before="184"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04162801">
            <w:pPr>
              <w:spacing w:before="184" w:line="188" w:lineRule="auto"/>
              <w:ind w:left="2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2.09</w:t>
            </w:r>
          </w:p>
        </w:tc>
        <w:tc>
          <w:tcPr>
            <w:tcW w:w="761" w:type="dxa"/>
            <w:vAlign w:val="top"/>
          </w:tcPr>
          <w:p w14:paraId="5B904A07">
            <w:pPr>
              <w:spacing w:before="18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0.0417</w:t>
            </w:r>
          </w:p>
        </w:tc>
        <w:tc>
          <w:tcPr>
            <w:tcW w:w="674" w:type="dxa"/>
            <w:vAlign w:val="top"/>
          </w:tcPr>
          <w:p w14:paraId="28BBA553">
            <w:pPr>
              <w:pStyle w:val="6"/>
              <w:spacing w:before="38" w:line="221" w:lineRule="auto"/>
              <w:ind w:left="73"/>
              <w:rPr>
                <w:sz w:val="18"/>
                <w:szCs w:val="18"/>
              </w:rPr>
            </w:pPr>
            <w:r>
              <w:rPr>
                <w:spacing w:val="-3"/>
                <w:sz w:val="18"/>
                <w:szCs w:val="18"/>
              </w:rPr>
              <w:t>三级碱</w:t>
            </w:r>
          </w:p>
          <w:p w14:paraId="109591FE">
            <w:pPr>
              <w:pStyle w:val="6"/>
              <w:spacing w:before="18" w:line="198" w:lineRule="auto"/>
              <w:ind w:left="74"/>
              <w:rPr>
                <w:sz w:val="18"/>
                <w:szCs w:val="18"/>
              </w:rPr>
            </w:pPr>
            <w:r>
              <w:rPr>
                <w:spacing w:val="-3"/>
                <w:sz w:val="18"/>
                <w:szCs w:val="18"/>
              </w:rPr>
              <w:t>液喷淋</w:t>
            </w:r>
          </w:p>
        </w:tc>
        <w:tc>
          <w:tcPr>
            <w:tcW w:w="538" w:type="dxa"/>
            <w:vAlign w:val="top"/>
          </w:tcPr>
          <w:p w14:paraId="7FD309F3">
            <w:pPr>
              <w:spacing w:before="184"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continue"/>
            <w:tcBorders>
              <w:top w:val="nil"/>
              <w:bottom w:val="nil"/>
            </w:tcBorders>
            <w:vAlign w:val="top"/>
          </w:tcPr>
          <w:p w14:paraId="5415D4EF">
            <w:pPr>
              <w:rPr>
                <w:rFonts w:ascii="Arial"/>
                <w:sz w:val="21"/>
              </w:rPr>
            </w:pPr>
          </w:p>
        </w:tc>
        <w:tc>
          <w:tcPr>
            <w:tcW w:w="1012" w:type="dxa"/>
            <w:vAlign w:val="top"/>
          </w:tcPr>
          <w:p w14:paraId="5E349516">
            <w:pPr>
              <w:spacing w:before="184"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6E9F3FC4">
            <w:pPr>
              <w:spacing w:before="184"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0.25</w:t>
            </w:r>
          </w:p>
        </w:tc>
        <w:tc>
          <w:tcPr>
            <w:tcW w:w="736" w:type="dxa"/>
            <w:vAlign w:val="top"/>
          </w:tcPr>
          <w:p w14:paraId="113FB96E">
            <w:pPr>
              <w:spacing w:before="18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0.0050</w:t>
            </w:r>
          </w:p>
        </w:tc>
        <w:tc>
          <w:tcPr>
            <w:tcW w:w="749" w:type="dxa"/>
            <w:vAlign w:val="top"/>
          </w:tcPr>
          <w:p w14:paraId="71CBF1D7">
            <w:pPr>
              <w:spacing w:before="184"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DA006</w:t>
            </w:r>
          </w:p>
        </w:tc>
        <w:tc>
          <w:tcPr>
            <w:tcW w:w="600" w:type="dxa"/>
            <w:vAlign w:val="top"/>
          </w:tcPr>
          <w:p w14:paraId="7FD96DB6">
            <w:pPr>
              <w:spacing w:before="1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7BF0443">
            <w:pPr>
              <w:rPr>
                <w:rFonts w:ascii="Arial"/>
                <w:sz w:val="21"/>
              </w:rPr>
            </w:pPr>
          </w:p>
        </w:tc>
      </w:tr>
      <w:tr w14:paraId="343C5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350989A9">
            <w:pPr>
              <w:rPr>
                <w:rFonts w:ascii="Arial"/>
                <w:sz w:val="21"/>
              </w:rPr>
            </w:pPr>
          </w:p>
        </w:tc>
        <w:tc>
          <w:tcPr>
            <w:tcW w:w="111" w:type="dxa"/>
            <w:tcBorders>
              <w:top w:val="nil"/>
              <w:bottom w:val="nil"/>
            </w:tcBorders>
            <w:vAlign w:val="top"/>
          </w:tcPr>
          <w:p w14:paraId="1E8041C9">
            <w:pPr>
              <w:rPr>
                <w:rFonts w:ascii="Arial"/>
                <w:sz w:val="21"/>
              </w:rPr>
            </w:pPr>
          </w:p>
        </w:tc>
        <w:tc>
          <w:tcPr>
            <w:tcW w:w="708" w:type="dxa"/>
            <w:vMerge w:val="continue"/>
            <w:tcBorders>
              <w:top w:val="nil"/>
              <w:bottom w:val="nil"/>
            </w:tcBorders>
            <w:vAlign w:val="top"/>
          </w:tcPr>
          <w:p w14:paraId="2C3D5C9D">
            <w:pPr>
              <w:rPr>
                <w:rFonts w:ascii="Arial"/>
                <w:sz w:val="21"/>
              </w:rPr>
            </w:pPr>
          </w:p>
        </w:tc>
        <w:tc>
          <w:tcPr>
            <w:tcW w:w="736" w:type="dxa"/>
            <w:vMerge w:val="continue"/>
            <w:tcBorders>
              <w:top w:val="nil"/>
              <w:bottom w:val="nil"/>
            </w:tcBorders>
            <w:vAlign w:val="top"/>
          </w:tcPr>
          <w:p w14:paraId="6FFEA947">
            <w:pPr>
              <w:rPr>
                <w:rFonts w:ascii="Arial"/>
                <w:sz w:val="21"/>
              </w:rPr>
            </w:pPr>
          </w:p>
        </w:tc>
        <w:tc>
          <w:tcPr>
            <w:tcW w:w="849" w:type="dxa"/>
            <w:vAlign w:val="top"/>
          </w:tcPr>
          <w:p w14:paraId="112E7AD8">
            <w:pPr>
              <w:pStyle w:val="6"/>
              <w:spacing w:before="116" w:line="220" w:lineRule="auto"/>
              <w:ind w:left="154"/>
              <w:rPr>
                <w:sz w:val="18"/>
                <w:szCs w:val="18"/>
              </w:rPr>
            </w:pPr>
            <w:r>
              <w:rPr>
                <w:spacing w:val="-3"/>
                <w:sz w:val="18"/>
                <w:szCs w:val="18"/>
              </w:rPr>
              <w:t>无组织</w:t>
            </w:r>
          </w:p>
        </w:tc>
        <w:tc>
          <w:tcPr>
            <w:tcW w:w="1174" w:type="dxa"/>
            <w:vMerge w:val="continue"/>
            <w:tcBorders>
              <w:top w:val="nil"/>
            </w:tcBorders>
            <w:vAlign w:val="top"/>
          </w:tcPr>
          <w:p w14:paraId="5D543063">
            <w:pPr>
              <w:rPr>
                <w:rFonts w:ascii="Arial"/>
                <w:sz w:val="21"/>
              </w:rPr>
            </w:pPr>
          </w:p>
        </w:tc>
        <w:tc>
          <w:tcPr>
            <w:tcW w:w="674" w:type="dxa"/>
            <w:vMerge w:val="continue"/>
            <w:tcBorders>
              <w:top w:val="nil"/>
              <w:bottom w:val="nil"/>
            </w:tcBorders>
            <w:vAlign w:val="top"/>
          </w:tcPr>
          <w:p w14:paraId="31F15627">
            <w:pPr>
              <w:rPr>
                <w:rFonts w:ascii="Arial"/>
                <w:sz w:val="21"/>
              </w:rPr>
            </w:pPr>
          </w:p>
        </w:tc>
        <w:tc>
          <w:tcPr>
            <w:tcW w:w="1087" w:type="dxa"/>
            <w:vAlign w:val="top"/>
          </w:tcPr>
          <w:p w14:paraId="32534FB9">
            <w:pPr>
              <w:spacing w:before="144"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4628143">
            <w:pPr>
              <w:spacing w:before="144"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50259890">
            <w:pPr>
              <w:spacing w:before="147"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0.0046</w:t>
            </w:r>
          </w:p>
        </w:tc>
        <w:tc>
          <w:tcPr>
            <w:tcW w:w="674" w:type="dxa"/>
            <w:vAlign w:val="top"/>
          </w:tcPr>
          <w:p w14:paraId="62163EC3">
            <w:pPr>
              <w:spacing w:before="144"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64E7DF33">
            <w:pPr>
              <w:spacing w:before="144"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70281A18">
            <w:pPr>
              <w:rPr>
                <w:rFonts w:ascii="Arial"/>
                <w:sz w:val="21"/>
              </w:rPr>
            </w:pPr>
          </w:p>
        </w:tc>
        <w:tc>
          <w:tcPr>
            <w:tcW w:w="1012" w:type="dxa"/>
            <w:vAlign w:val="top"/>
          </w:tcPr>
          <w:p w14:paraId="0D5D9051">
            <w:pPr>
              <w:spacing w:before="144"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5D7CB3F0">
            <w:pPr>
              <w:spacing w:before="144"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1E6F298C">
            <w:pPr>
              <w:spacing w:before="147"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0.0046</w:t>
            </w:r>
          </w:p>
        </w:tc>
        <w:tc>
          <w:tcPr>
            <w:tcW w:w="749" w:type="dxa"/>
            <w:vAlign w:val="top"/>
          </w:tcPr>
          <w:p w14:paraId="257E67F5">
            <w:pPr>
              <w:spacing w:before="144"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686FE28A">
            <w:pPr>
              <w:spacing w:before="147"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F601E6C">
            <w:pPr>
              <w:rPr>
                <w:rFonts w:ascii="Arial"/>
                <w:sz w:val="21"/>
              </w:rPr>
            </w:pPr>
          </w:p>
        </w:tc>
      </w:tr>
      <w:tr w14:paraId="39636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775F8B24">
            <w:pPr>
              <w:rPr>
                <w:rFonts w:ascii="Arial"/>
                <w:sz w:val="21"/>
              </w:rPr>
            </w:pPr>
          </w:p>
        </w:tc>
        <w:tc>
          <w:tcPr>
            <w:tcW w:w="111" w:type="dxa"/>
            <w:tcBorders>
              <w:top w:val="nil"/>
              <w:bottom w:val="nil"/>
            </w:tcBorders>
            <w:vAlign w:val="top"/>
          </w:tcPr>
          <w:p w14:paraId="2CA43048">
            <w:pPr>
              <w:rPr>
                <w:rFonts w:ascii="Arial"/>
                <w:sz w:val="21"/>
              </w:rPr>
            </w:pPr>
          </w:p>
        </w:tc>
        <w:tc>
          <w:tcPr>
            <w:tcW w:w="708" w:type="dxa"/>
            <w:vMerge w:val="continue"/>
            <w:tcBorders>
              <w:top w:val="nil"/>
              <w:bottom w:val="nil"/>
            </w:tcBorders>
            <w:vAlign w:val="top"/>
          </w:tcPr>
          <w:p w14:paraId="4E1F8A22">
            <w:pPr>
              <w:rPr>
                <w:rFonts w:ascii="Arial"/>
                <w:sz w:val="21"/>
              </w:rPr>
            </w:pPr>
          </w:p>
        </w:tc>
        <w:tc>
          <w:tcPr>
            <w:tcW w:w="736" w:type="dxa"/>
            <w:vMerge w:val="continue"/>
            <w:tcBorders>
              <w:top w:val="nil"/>
              <w:bottom w:val="nil"/>
            </w:tcBorders>
            <w:vAlign w:val="top"/>
          </w:tcPr>
          <w:p w14:paraId="6E17E9AE">
            <w:pPr>
              <w:rPr>
                <w:rFonts w:ascii="Arial"/>
                <w:sz w:val="21"/>
              </w:rPr>
            </w:pPr>
          </w:p>
        </w:tc>
        <w:tc>
          <w:tcPr>
            <w:tcW w:w="849" w:type="dxa"/>
            <w:vAlign w:val="top"/>
          </w:tcPr>
          <w:p w14:paraId="1586B9D5">
            <w:pPr>
              <w:pStyle w:val="6"/>
              <w:spacing w:before="156" w:line="220" w:lineRule="auto"/>
              <w:ind w:left="154"/>
              <w:rPr>
                <w:sz w:val="18"/>
                <w:szCs w:val="18"/>
              </w:rPr>
            </w:pPr>
            <w:r>
              <w:rPr>
                <w:spacing w:val="-3"/>
                <w:sz w:val="18"/>
                <w:szCs w:val="18"/>
              </w:rPr>
              <w:t>有组织</w:t>
            </w:r>
          </w:p>
        </w:tc>
        <w:tc>
          <w:tcPr>
            <w:tcW w:w="1174" w:type="dxa"/>
            <w:vMerge w:val="restart"/>
            <w:tcBorders>
              <w:bottom w:val="nil"/>
            </w:tcBorders>
            <w:vAlign w:val="top"/>
          </w:tcPr>
          <w:p w14:paraId="2F6D7264">
            <w:pPr>
              <w:pStyle w:val="6"/>
              <w:spacing w:before="242" w:line="221" w:lineRule="auto"/>
              <w:ind w:left="138"/>
              <w:rPr>
                <w:sz w:val="18"/>
                <w:szCs w:val="18"/>
              </w:rPr>
            </w:pPr>
            <w:r>
              <w:rPr>
                <w:spacing w:val="-2"/>
                <w:sz w:val="18"/>
                <w:szCs w:val="18"/>
              </w:rPr>
              <w:t>硝酸雾（以</w:t>
            </w:r>
          </w:p>
          <w:p w14:paraId="248C1728">
            <w:pPr>
              <w:pStyle w:val="6"/>
              <w:spacing w:before="17"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359D5A58">
            <w:pPr>
              <w:rPr>
                <w:rFonts w:ascii="Arial"/>
                <w:sz w:val="21"/>
              </w:rPr>
            </w:pPr>
          </w:p>
        </w:tc>
        <w:tc>
          <w:tcPr>
            <w:tcW w:w="1087" w:type="dxa"/>
            <w:vAlign w:val="top"/>
          </w:tcPr>
          <w:p w14:paraId="395EDC80">
            <w:pPr>
              <w:spacing w:before="187"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3DC42567">
            <w:pPr>
              <w:spacing w:before="187"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10.49</w:t>
            </w:r>
          </w:p>
        </w:tc>
        <w:tc>
          <w:tcPr>
            <w:tcW w:w="761" w:type="dxa"/>
            <w:vAlign w:val="top"/>
          </w:tcPr>
          <w:p w14:paraId="15DBFE5B">
            <w:pPr>
              <w:spacing w:before="187"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0.2097</w:t>
            </w:r>
          </w:p>
        </w:tc>
        <w:tc>
          <w:tcPr>
            <w:tcW w:w="674" w:type="dxa"/>
            <w:vAlign w:val="top"/>
          </w:tcPr>
          <w:p w14:paraId="4812482F">
            <w:pPr>
              <w:pStyle w:val="6"/>
              <w:spacing w:before="41" w:line="221" w:lineRule="auto"/>
              <w:ind w:left="73"/>
              <w:rPr>
                <w:sz w:val="18"/>
                <w:szCs w:val="18"/>
              </w:rPr>
            </w:pPr>
            <w:r>
              <w:rPr>
                <w:spacing w:val="-3"/>
                <w:sz w:val="18"/>
                <w:szCs w:val="18"/>
              </w:rPr>
              <w:t>三级碱</w:t>
            </w:r>
          </w:p>
          <w:p w14:paraId="16F0D0CC">
            <w:pPr>
              <w:pStyle w:val="6"/>
              <w:spacing w:before="17" w:line="190" w:lineRule="auto"/>
              <w:ind w:left="74"/>
              <w:rPr>
                <w:sz w:val="18"/>
                <w:szCs w:val="18"/>
              </w:rPr>
            </w:pPr>
            <w:r>
              <w:rPr>
                <w:spacing w:val="-3"/>
                <w:sz w:val="18"/>
                <w:szCs w:val="18"/>
              </w:rPr>
              <w:t>液喷淋</w:t>
            </w:r>
          </w:p>
        </w:tc>
        <w:tc>
          <w:tcPr>
            <w:tcW w:w="538" w:type="dxa"/>
            <w:vAlign w:val="top"/>
          </w:tcPr>
          <w:p w14:paraId="2EA544F9">
            <w:pPr>
              <w:spacing w:before="187"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0B77B7D9">
            <w:pPr>
              <w:rPr>
                <w:rFonts w:ascii="Arial"/>
                <w:sz w:val="21"/>
              </w:rPr>
            </w:pPr>
          </w:p>
        </w:tc>
        <w:tc>
          <w:tcPr>
            <w:tcW w:w="1012" w:type="dxa"/>
            <w:vAlign w:val="top"/>
          </w:tcPr>
          <w:p w14:paraId="0D1EF77F">
            <w:pPr>
              <w:spacing w:before="187"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36A1106D">
            <w:pPr>
              <w:spacing w:before="187" w:line="188" w:lineRule="auto"/>
              <w:ind w:left="2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1.57</w:t>
            </w:r>
          </w:p>
        </w:tc>
        <w:tc>
          <w:tcPr>
            <w:tcW w:w="736" w:type="dxa"/>
            <w:vAlign w:val="top"/>
          </w:tcPr>
          <w:p w14:paraId="5DB77D9D">
            <w:pPr>
              <w:spacing w:before="187"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0.0315</w:t>
            </w:r>
          </w:p>
        </w:tc>
        <w:tc>
          <w:tcPr>
            <w:tcW w:w="749" w:type="dxa"/>
            <w:vAlign w:val="top"/>
          </w:tcPr>
          <w:p w14:paraId="653904FB">
            <w:pPr>
              <w:spacing w:before="187"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DA006</w:t>
            </w:r>
          </w:p>
        </w:tc>
        <w:tc>
          <w:tcPr>
            <w:tcW w:w="600" w:type="dxa"/>
            <w:vAlign w:val="top"/>
          </w:tcPr>
          <w:p w14:paraId="1AEE998C">
            <w:pPr>
              <w:spacing w:before="187"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D9F01C2">
            <w:pPr>
              <w:rPr>
                <w:rFonts w:ascii="Arial"/>
                <w:sz w:val="21"/>
              </w:rPr>
            </w:pPr>
          </w:p>
        </w:tc>
      </w:tr>
      <w:tr w14:paraId="0A2BD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62161239">
            <w:pPr>
              <w:rPr>
                <w:rFonts w:ascii="Arial"/>
                <w:sz w:val="21"/>
              </w:rPr>
            </w:pPr>
          </w:p>
        </w:tc>
        <w:tc>
          <w:tcPr>
            <w:tcW w:w="111" w:type="dxa"/>
            <w:tcBorders>
              <w:top w:val="nil"/>
              <w:bottom w:val="nil"/>
            </w:tcBorders>
            <w:vAlign w:val="top"/>
          </w:tcPr>
          <w:p w14:paraId="0898C3F6">
            <w:pPr>
              <w:rPr>
                <w:rFonts w:ascii="Arial"/>
                <w:sz w:val="21"/>
              </w:rPr>
            </w:pPr>
          </w:p>
        </w:tc>
        <w:tc>
          <w:tcPr>
            <w:tcW w:w="708" w:type="dxa"/>
            <w:vMerge w:val="continue"/>
            <w:tcBorders>
              <w:top w:val="nil"/>
              <w:bottom w:val="nil"/>
            </w:tcBorders>
            <w:vAlign w:val="top"/>
          </w:tcPr>
          <w:p w14:paraId="1B0708EC">
            <w:pPr>
              <w:rPr>
                <w:rFonts w:ascii="Arial"/>
                <w:sz w:val="21"/>
              </w:rPr>
            </w:pPr>
          </w:p>
        </w:tc>
        <w:tc>
          <w:tcPr>
            <w:tcW w:w="736" w:type="dxa"/>
            <w:vMerge w:val="continue"/>
            <w:tcBorders>
              <w:top w:val="nil"/>
            </w:tcBorders>
            <w:vAlign w:val="top"/>
          </w:tcPr>
          <w:p w14:paraId="496DB317">
            <w:pPr>
              <w:rPr>
                <w:rFonts w:ascii="Arial"/>
                <w:sz w:val="21"/>
              </w:rPr>
            </w:pPr>
          </w:p>
        </w:tc>
        <w:tc>
          <w:tcPr>
            <w:tcW w:w="849" w:type="dxa"/>
            <w:vAlign w:val="top"/>
          </w:tcPr>
          <w:p w14:paraId="3AE6ECAA">
            <w:pPr>
              <w:pStyle w:val="6"/>
              <w:spacing w:before="123" w:line="220" w:lineRule="auto"/>
              <w:ind w:left="154"/>
              <w:rPr>
                <w:sz w:val="18"/>
                <w:szCs w:val="18"/>
              </w:rPr>
            </w:pPr>
            <w:r>
              <w:rPr>
                <w:spacing w:val="-3"/>
                <w:sz w:val="18"/>
                <w:szCs w:val="18"/>
              </w:rPr>
              <w:t>无组织</w:t>
            </w:r>
          </w:p>
        </w:tc>
        <w:tc>
          <w:tcPr>
            <w:tcW w:w="1174" w:type="dxa"/>
            <w:vMerge w:val="continue"/>
            <w:tcBorders>
              <w:top w:val="nil"/>
            </w:tcBorders>
            <w:vAlign w:val="top"/>
          </w:tcPr>
          <w:p w14:paraId="49614417">
            <w:pPr>
              <w:rPr>
                <w:rFonts w:ascii="Arial"/>
                <w:sz w:val="21"/>
              </w:rPr>
            </w:pPr>
          </w:p>
        </w:tc>
        <w:tc>
          <w:tcPr>
            <w:tcW w:w="674" w:type="dxa"/>
            <w:vMerge w:val="continue"/>
            <w:tcBorders>
              <w:top w:val="nil"/>
            </w:tcBorders>
            <w:vAlign w:val="top"/>
          </w:tcPr>
          <w:p w14:paraId="28CA2505">
            <w:pPr>
              <w:rPr>
                <w:rFonts w:ascii="Arial"/>
                <w:sz w:val="21"/>
              </w:rPr>
            </w:pPr>
          </w:p>
        </w:tc>
        <w:tc>
          <w:tcPr>
            <w:tcW w:w="1087" w:type="dxa"/>
            <w:vAlign w:val="top"/>
          </w:tcPr>
          <w:p w14:paraId="358411FB">
            <w:pPr>
              <w:spacing w:before="151"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05B8FF6D">
            <w:pPr>
              <w:spacing w:before="151"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0C7B969">
            <w:pPr>
              <w:spacing w:before="15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0.0233</w:t>
            </w:r>
          </w:p>
        </w:tc>
        <w:tc>
          <w:tcPr>
            <w:tcW w:w="674" w:type="dxa"/>
            <w:vAlign w:val="top"/>
          </w:tcPr>
          <w:p w14:paraId="3223FF5B">
            <w:pPr>
              <w:spacing w:before="151"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6E06A403">
            <w:pPr>
              <w:spacing w:before="151"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tcBorders>
            <w:vAlign w:val="top"/>
          </w:tcPr>
          <w:p w14:paraId="1A1EBB4C">
            <w:pPr>
              <w:rPr>
                <w:rFonts w:ascii="Arial"/>
                <w:sz w:val="21"/>
              </w:rPr>
            </w:pPr>
          </w:p>
        </w:tc>
        <w:tc>
          <w:tcPr>
            <w:tcW w:w="1012" w:type="dxa"/>
            <w:vAlign w:val="top"/>
          </w:tcPr>
          <w:p w14:paraId="4CD0A346">
            <w:pPr>
              <w:spacing w:before="151"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7B95D987">
            <w:pPr>
              <w:spacing w:before="151"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3DE36894">
            <w:pPr>
              <w:spacing w:before="15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0.0233</w:t>
            </w:r>
          </w:p>
        </w:tc>
        <w:tc>
          <w:tcPr>
            <w:tcW w:w="749" w:type="dxa"/>
            <w:vAlign w:val="top"/>
          </w:tcPr>
          <w:p w14:paraId="6A0FEAAF">
            <w:pPr>
              <w:spacing w:before="151"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34B15B9A">
            <w:pPr>
              <w:spacing w:before="15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CB0662C">
            <w:pPr>
              <w:rPr>
                <w:rFonts w:ascii="Arial"/>
                <w:sz w:val="21"/>
              </w:rPr>
            </w:pPr>
          </w:p>
        </w:tc>
      </w:tr>
      <w:tr w14:paraId="34E2B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3E5264BA">
            <w:pPr>
              <w:rPr>
                <w:rFonts w:ascii="Arial"/>
                <w:sz w:val="21"/>
              </w:rPr>
            </w:pPr>
          </w:p>
        </w:tc>
        <w:tc>
          <w:tcPr>
            <w:tcW w:w="111" w:type="dxa"/>
            <w:tcBorders>
              <w:top w:val="nil"/>
              <w:bottom w:val="nil"/>
            </w:tcBorders>
            <w:vAlign w:val="top"/>
          </w:tcPr>
          <w:p w14:paraId="75F42F91">
            <w:pPr>
              <w:rPr>
                <w:rFonts w:ascii="Arial"/>
                <w:sz w:val="21"/>
              </w:rPr>
            </w:pPr>
          </w:p>
        </w:tc>
        <w:tc>
          <w:tcPr>
            <w:tcW w:w="708" w:type="dxa"/>
            <w:vMerge w:val="continue"/>
            <w:tcBorders>
              <w:top w:val="nil"/>
              <w:bottom w:val="nil"/>
            </w:tcBorders>
            <w:vAlign w:val="top"/>
          </w:tcPr>
          <w:p w14:paraId="2A84E6B6">
            <w:pPr>
              <w:rPr>
                <w:rFonts w:ascii="Arial"/>
                <w:sz w:val="21"/>
              </w:rPr>
            </w:pPr>
          </w:p>
        </w:tc>
        <w:tc>
          <w:tcPr>
            <w:tcW w:w="736" w:type="dxa"/>
            <w:vMerge w:val="restart"/>
            <w:tcBorders>
              <w:bottom w:val="nil"/>
            </w:tcBorders>
            <w:vAlign w:val="top"/>
          </w:tcPr>
          <w:p w14:paraId="0C6597C9">
            <w:pPr>
              <w:spacing w:line="269" w:lineRule="auto"/>
              <w:rPr>
                <w:rFonts w:ascii="Arial"/>
                <w:sz w:val="21"/>
              </w:rPr>
            </w:pPr>
          </w:p>
          <w:p w14:paraId="642387DD">
            <w:pPr>
              <w:spacing w:line="269" w:lineRule="auto"/>
              <w:rPr>
                <w:rFonts w:ascii="Arial"/>
                <w:sz w:val="21"/>
              </w:rPr>
            </w:pPr>
          </w:p>
          <w:p w14:paraId="78582566">
            <w:pPr>
              <w:spacing w:line="270" w:lineRule="auto"/>
              <w:rPr>
                <w:rFonts w:ascii="Arial"/>
                <w:sz w:val="21"/>
              </w:rPr>
            </w:pPr>
          </w:p>
          <w:p w14:paraId="1BFDF43E">
            <w:pPr>
              <w:spacing w:line="270" w:lineRule="auto"/>
              <w:rPr>
                <w:rFonts w:ascii="Arial"/>
                <w:sz w:val="21"/>
              </w:rPr>
            </w:pPr>
          </w:p>
          <w:p w14:paraId="2757D0A2">
            <w:pPr>
              <w:spacing w:line="270" w:lineRule="auto"/>
              <w:rPr>
                <w:rFonts w:ascii="Arial"/>
                <w:sz w:val="21"/>
              </w:rPr>
            </w:pPr>
          </w:p>
          <w:p w14:paraId="29B02D57">
            <w:pPr>
              <w:spacing w:line="270" w:lineRule="auto"/>
              <w:rPr>
                <w:rFonts w:ascii="Arial"/>
                <w:sz w:val="21"/>
              </w:rPr>
            </w:pPr>
          </w:p>
          <w:p w14:paraId="52A9293F">
            <w:pPr>
              <w:pStyle w:val="6"/>
              <w:spacing w:before="58" w:line="219" w:lineRule="auto"/>
              <w:ind w:left="1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6"/>
                <w:sz w:val="18"/>
                <w:szCs w:val="18"/>
              </w:rPr>
              <w:t xml:space="preserve"> </w:t>
            </w:r>
            <w:r>
              <w:rPr>
                <w:spacing w:val="-3"/>
                <w:sz w:val="18"/>
                <w:szCs w:val="18"/>
              </w:rPr>
              <w:t>层</w:t>
            </w:r>
            <w:r>
              <w:rPr>
                <w:rFonts w:ascii="Times New Roman" w:hAnsi="Times New Roman" w:eastAsia="Times New Roman" w:cs="Times New Roman"/>
                <w:spacing w:val="-3"/>
                <w:sz w:val="18"/>
                <w:szCs w:val="18"/>
              </w:rPr>
              <w:t>-B</w:t>
            </w:r>
          </w:p>
        </w:tc>
        <w:tc>
          <w:tcPr>
            <w:tcW w:w="849" w:type="dxa"/>
            <w:vAlign w:val="top"/>
          </w:tcPr>
          <w:p w14:paraId="7D36C08D">
            <w:pPr>
              <w:pStyle w:val="6"/>
              <w:spacing w:before="155" w:line="220" w:lineRule="auto"/>
              <w:ind w:left="154"/>
              <w:rPr>
                <w:sz w:val="18"/>
                <w:szCs w:val="18"/>
              </w:rPr>
            </w:pPr>
            <w:r>
              <w:rPr>
                <w:spacing w:val="-3"/>
                <w:sz w:val="18"/>
                <w:szCs w:val="18"/>
              </w:rPr>
              <w:t>有组织</w:t>
            </w:r>
          </w:p>
        </w:tc>
        <w:tc>
          <w:tcPr>
            <w:tcW w:w="1174" w:type="dxa"/>
            <w:vMerge w:val="restart"/>
            <w:tcBorders>
              <w:bottom w:val="nil"/>
            </w:tcBorders>
            <w:vAlign w:val="top"/>
          </w:tcPr>
          <w:p w14:paraId="03A73845">
            <w:pPr>
              <w:spacing w:line="298" w:lineRule="auto"/>
              <w:rPr>
                <w:rFonts w:ascii="Arial"/>
                <w:sz w:val="21"/>
              </w:rPr>
            </w:pPr>
          </w:p>
          <w:p w14:paraId="146B5BCF">
            <w:pPr>
              <w:pStyle w:val="6"/>
              <w:spacing w:before="59" w:line="221" w:lineRule="auto"/>
              <w:ind w:left="320"/>
              <w:rPr>
                <w:sz w:val="18"/>
                <w:szCs w:val="18"/>
              </w:rPr>
            </w:pPr>
            <w:r>
              <w:rPr>
                <w:spacing w:val="-4"/>
                <w:sz w:val="18"/>
                <w:szCs w:val="18"/>
              </w:rPr>
              <w:t>氯化氢</w:t>
            </w:r>
          </w:p>
        </w:tc>
        <w:tc>
          <w:tcPr>
            <w:tcW w:w="674" w:type="dxa"/>
            <w:vMerge w:val="restart"/>
            <w:tcBorders>
              <w:bottom w:val="nil"/>
            </w:tcBorders>
            <w:vAlign w:val="top"/>
          </w:tcPr>
          <w:p w14:paraId="5D2D2FE0">
            <w:pPr>
              <w:spacing w:line="250" w:lineRule="auto"/>
              <w:rPr>
                <w:rFonts w:ascii="Arial"/>
                <w:sz w:val="21"/>
              </w:rPr>
            </w:pPr>
          </w:p>
          <w:p w14:paraId="48BC2347">
            <w:pPr>
              <w:spacing w:line="250" w:lineRule="auto"/>
              <w:rPr>
                <w:rFonts w:ascii="Arial"/>
                <w:sz w:val="21"/>
              </w:rPr>
            </w:pPr>
          </w:p>
          <w:p w14:paraId="0EF6334B">
            <w:pPr>
              <w:spacing w:line="250" w:lineRule="auto"/>
              <w:rPr>
                <w:rFonts w:ascii="Arial"/>
                <w:sz w:val="21"/>
              </w:rPr>
            </w:pPr>
          </w:p>
          <w:p w14:paraId="15236F85">
            <w:pPr>
              <w:spacing w:line="250" w:lineRule="auto"/>
              <w:rPr>
                <w:rFonts w:ascii="Arial"/>
                <w:sz w:val="21"/>
              </w:rPr>
            </w:pPr>
          </w:p>
          <w:p w14:paraId="561955C9">
            <w:pPr>
              <w:spacing w:line="250" w:lineRule="auto"/>
              <w:rPr>
                <w:rFonts w:ascii="Arial"/>
                <w:sz w:val="21"/>
              </w:rPr>
            </w:pPr>
          </w:p>
          <w:p w14:paraId="44481548">
            <w:pPr>
              <w:spacing w:line="250" w:lineRule="auto"/>
              <w:rPr>
                <w:rFonts w:ascii="Arial"/>
                <w:sz w:val="21"/>
              </w:rPr>
            </w:pPr>
          </w:p>
          <w:p w14:paraId="2B7F261B">
            <w:pPr>
              <w:pStyle w:val="6"/>
              <w:spacing w:before="59"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vAlign w:val="top"/>
          </w:tcPr>
          <w:p w14:paraId="1EFDC9BD">
            <w:pPr>
              <w:spacing w:before="186"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2697DC51">
            <w:pPr>
              <w:spacing w:before="186"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301.39</w:t>
            </w:r>
          </w:p>
        </w:tc>
        <w:tc>
          <w:tcPr>
            <w:tcW w:w="761" w:type="dxa"/>
            <w:vAlign w:val="top"/>
          </w:tcPr>
          <w:p w14:paraId="5B4F2BC5">
            <w:pPr>
              <w:spacing w:before="186"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6.0278</w:t>
            </w:r>
          </w:p>
        </w:tc>
        <w:tc>
          <w:tcPr>
            <w:tcW w:w="674" w:type="dxa"/>
            <w:vAlign w:val="top"/>
          </w:tcPr>
          <w:p w14:paraId="66C6FB00">
            <w:pPr>
              <w:pStyle w:val="6"/>
              <w:spacing w:before="40" w:line="221" w:lineRule="auto"/>
              <w:ind w:left="73"/>
              <w:rPr>
                <w:sz w:val="18"/>
                <w:szCs w:val="18"/>
              </w:rPr>
            </w:pPr>
            <w:r>
              <w:rPr>
                <w:spacing w:val="-3"/>
                <w:sz w:val="18"/>
                <w:szCs w:val="18"/>
              </w:rPr>
              <w:t>三级碱</w:t>
            </w:r>
          </w:p>
          <w:p w14:paraId="122A86DF">
            <w:pPr>
              <w:pStyle w:val="6"/>
              <w:spacing w:before="16" w:line="191" w:lineRule="auto"/>
              <w:ind w:left="74"/>
              <w:rPr>
                <w:sz w:val="18"/>
                <w:szCs w:val="18"/>
              </w:rPr>
            </w:pPr>
            <w:r>
              <w:rPr>
                <w:spacing w:val="-3"/>
                <w:sz w:val="18"/>
                <w:szCs w:val="18"/>
              </w:rPr>
              <w:t>液喷淋</w:t>
            </w:r>
          </w:p>
        </w:tc>
        <w:tc>
          <w:tcPr>
            <w:tcW w:w="538" w:type="dxa"/>
            <w:vAlign w:val="top"/>
          </w:tcPr>
          <w:p w14:paraId="15A39B3D">
            <w:pPr>
              <w:spacing w:before="186"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bottom w:val="nil"/>
            </w:tcBorders>
            <w:vAlign w:val="top"/>
          </w:tcPr>
          <w:p w14:paraId="07CBF53B">
            <w:pPr>
              <w:spacing w:line="276" w:lineRule="auto"/>
              <w:rPr>
                <w:rFonts w:ascii="Arial"/>
                <w:sz w:val="21"/>
              </w:rPr>
            </w:pPr>
          </w:p>
          <w:p w14:paraId="6DD67A28">
            <w:pPr>
              <w:spacing w:line="277" w:lineRule="auto"/>
              <w:rPr>
                <w:rFonts w:ascii="Arial"/>
                <w:sz w:val="21"/>
              </w:rPr>
            </w:pPr>
          </w:p>
          <w:p w14:paraId="3DC8AF80">
            <w:pPr>
              <w:spacing w:line="277" w:lineRule="auto"/>
              <w:rPr>
                <w:rFonts w:ascii="Arial"/>
                <w:sz w:val="21"/>
              </w:rPr>
            </w:pPr>
          </w:p>
          <w:p w14:paraId="5DC61B63">
            <w:pPr>
              <w:spacing w:line="277" w:lineRule="auto"/>
              <w:rPr>
                <w:rFonts w:ascii="Arial"/>
                <w:sz w:val="21"/>
              </w:rPr>
            </w:pPr>
          </w:p>
          <w:p w14:paraId="5F688CDA">
            <w:pPr>
              <w:spacing w:line="277" w:lineRule="auto"/>
              <w:rPr>
                <w:rFonts w:ascii="Arial"/>
                <w:sz w:val="21"/>
              </w:rPr>
            </w:pPr>
          </w:p>
          <w:p w14:paraId="0B9F1077">
            <w:pPr>
              <w:pStyle w:val="6"/>
              <w:spacing w:before="58" w:line="219" w:lineRule="auto"/>
              <w:ind w:left="106"/>
              <w:rPr>
                <w:sz w:val="18"/>
                <w:szCs w:val="18"/>
              </w:rPr>
            </w:pPr>
            <w:r>
              <w:rPr>
                <w:spacing w:val="-4"/>
                <w:sz w:val="18"/>
                <w:szCs w:val="18"/>
              </w:rPr>
              <w:t>产污</w:t>
            </w:r>
          </w:p>
          <w:p w14:paraId="797172C4">
            <w:pPr>
              <w:pStyle w:val="6"/>
              <w:spacing w:before="20" w:line="244" w:lineRule="auto"/>
              <w:ind w:left="198" w:right="96" w:hanging="88"/>
              <w:rPr>
                <w:sz w:val="18"/>
                <w:szCs w:val="18"/>
              </w:rPr>
            </w:pPr>
            <w:r>
              <w:rPr>
                <w:spacing w:val="-6"/>
                <w:sz w:val="18"/>
                <w:szCs w:val="18"/>
              </w:rPr>
              <w:t>系数</w:t>
            </w:r>
            <w:r>
              <w:rPr>
                <w:sz w:val="18"/>
                <w:szCs w:val="18"/>
              </w:rPr>
              <w:t xml:space="preserve"> 法</w:t>
            </w:r>
          </w:p>
        </w:tc>
        <w:tc>
          <w:tcPr>
            <w:tcW w:w="1012" w:type="dxa"/>
            <w:vAlign w:val="top"/>
          </w:tcPr>
          <w:p w14:paraId="49022CC8">
            <w:pPr>
              <w:spacing w:before="186"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0C3C5C8A">
            <w:pPr>
              <w:spacing w:before="186"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21.10</w:t>
            </w:r>
          </w:p>
        </w:tc>
        <w:tc>
          <w:tcPr>
            <w:tcW w:w="736" w:type="dxa"/>
            <w:vAlign w:val="top"/>
          </w:tcPr>
          <w:p w14:paraId="5FC2CAA0">
            <w:pPr>
              <w:spacing w:before="186"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0.4219</w:t>
            </w:r>
          </w:p>
        </w:tc>
        <w:tc>
          <w:tcPr>
            <w:tcW w:w="749" w:type="dxa"/>
            <w:vAlign w:val="top"/>
          </w:tcPr>
          <w:p w14:paraId="54C3FD0C">
            <w:pPr>
              <w:spacing w:before="186"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DA007</w:t>
            </w:r>
          </w:p>
        </w:tc>
        <w:tc>
          <w:tcPr>
            <w:tcW w:w="600" w:type="dxa"/>
            <w:vAlign w:val="top"/>
          </w:tcPr>
          <w:p w14:paraId="5D7A7C7B">
            <w:pPr>
              <w:spacing w:before="186"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0B85C932">
            <w:pPr>
              <w:rPr>
                <w:rFonts w:ascii="Arial"/>
                <w:sz w:val="21"/>
              </w:rPr>
            </w:pPr>
          </w:p>
        </w:tc>
      </w:tr>
      <w:tr w14:paraId="59440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1E23C03C">
            <w:pPr>
              <w:rPr>
                <w:rFonts w:ascii="Arial"/>
                <w:sz w:val="21"/>
              </w:rPr>
            </w:pPr>
          </w:p>
        </w:tc>
        <w:tc>
          <w:tcPr>
            <w:tcW w:w="111" w:type="dxa"/>
            <w:tcBorders>
              <w:top w:val="nil"/>
              <w:bottom w:val="nil"/>
            </w:tcBorders>
            <w:vAlign w:val="top"/>
          </w:tcPr>
          <w:p w14:paraId="649F69AC">
            <w:pPr>
              <w:rPr>
                <w:rFonts w:ascii="Arial"/>
                <w:sz w:val="21"/>
              </w:rPr>
            </w:pPr>
          </w:p>
        </w:tc>
        <w:tc>
          <w:tcPr>
            <w:tcW w:w="708" w:type="dxa"/>
            <w:vMerge w:val="continue"/>
            <w:tcBorders>
              <w:top w:val="nil"/>
              <w:bottom w:val="nil"/>
            </w:tcBorders>
            <w:vAlign w:val="top"/>
          </w:tcPr>
          <w:p w14:paraId="76C016E5">
            <w:pPr>
              <w:rPr>
                <w:rFonts w:ascii="Arial"/>
                <w:sz w:val="21"/>
              </w:rPr>
            </w:pPr>
          </w:p>
        </w:tc>
        <w:tc>
          <w:tcPr>
            <w:tcW w:w="736" w:type="dxa"/>
            <w:vMerge w:val="continue"/>
            <w:tcBorders>
              <w:top w:val="nil"/>
              <w:bottom w:val="nil"/>
            </w:tcBorders>
            <w:vAlign w:val="top"/>
          </w:tcPr>
          <w:p w14:paraId="5123BAA1">
            <w:pPr>
              <w:rPr>
                <w:rFonts w:ascii="Arial"/>
                <w:sz w:val="21"/>
              </w:rPr>
            </w:pPr>
          </w:p>
        </w:tc>
        <w:tc>
          <w:tcPr>
            <w:tcW w:w="849" w:type="dxa"/>
            <w:vAlign w:val="top"/>
          </w:tcPr>
          <w:p w14:paraId="60F9DFAA">
            <w:pPr>
              <w:pStyle w:val="6"/>
              <w:spacing w:before="125" w:line="220" w:lineRule="auto"/>
              <w:ind w:left="154"/>
              <w:rPr>
                <w:sz w:val="18"/>
                <w:szCs w:val="18"/>
              </w:rPr>
            </w:pPr>
            <w:r>
              <w:rPr>
                <w:spacing w:val="-3"/>
                <w:sz w:val="18"/>
                <w:szCs w:val="18"/>
              </w:rPr>
              <w:t>无组织</w:t>
            </w:r>
          </w:p>
        </w:tc>
        <w:tc>
          <w:tcPr>
            <w:tcW w:w="1174" w:type="dxa"/>
            <w:vMerge w:val="continue"/>
            <w:tcBorders>
              <w:top w:val="nil"/>
            </w:tcBorders>
            <w:vAlign w:val="top"/>
          </w:tcPr>
          <w:p w14:paraId="73799237">
            <w:pPr>
              <w:rPr>
                <w:rFonts w:ascii="Arial"/>
                <w:sz w:val="21"/>
              </w:rPr>
            </w:pPr>
          </w:p>
        </w:tc>
        <w:tc>
          <w:tcPr>
            <w:tcW w:w="674" w:type="dxa"/>
            <w:vMerge w:val="continue"/>
            <w:tcBorders>
              <w:top w:val="nil"/>
              <w:bottom w:val="nil"/>
            </w:tcBorders>
            <w:vAlign w:val="top"/>
          </w:tcPr>
          <w:p w14:paraId="651E3BE4">
            <w:pPr>
              <w:rPr>
                <w:rFonts w:ascii="Arial"/>
                <w:sz w:val="21"/>
              </w:rPr>
            </w:pPr>
          </w:p>
        </w:tc>
        <w:tc>
          <w:tcPr>
            <w:tcW w:w="1087" w:type="dxa"/>
            <w:vAlign w:val="top"/>
          </w:tcPr>
          <w:p w14:paraId="01064E85">
            <w:pPr>
              <w:spacing w:before="153"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1855FA9D">
            <w:pPr>
              <w:spacing w:before="153"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58292B33">
            <w:pPr>
              <w:spacing w:before="156"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674" w:type="dxa"/>
            <w:vAlign w:val="top"/>
          </w:tcPr>
          <w:p w14:paraId="06A4DD3B">
            <w:pPr>
              <w:spacing w:before="153"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59C7A244">
            <w:pPr>
              <w:spacing w:before="153"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64A5262F">
            <w:pPr>
              <w:rPr>
                <w:rFonts w:ascii="Arial"/>
                <w:sz w:val="21"/>
              </w:rPr>
            </w:pPr>
          </w:p>
        </w:tc>
        <w:tc>
          <w:tcPr>
            <w:tcW w:w="1012" w:type="dxa"/>
            <w:vAlign w:val="top"/>
          </w:tcPr>
          <w:p w14:paraId="26B5FD20">
            <w:pPr>
              <w:spacing w:before="153"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39EE8E31">
            <w:pPr>
              <w:spacing w:before="153"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10400617">
            <w:pPr>
              <w:spacing w:before="156"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749" w:type="dxa"/>
            <w:vAlign w:val="top"/>
          </w:tcPr>
          <w:p w14:paraId="32D244E8">
            <w:pPr>
              <w:spacing w:before="153"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7FFAB2FA">
            <w:pPr>
              <w:spacing w:before="156"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25700B48">
            <w:pPr>
              <w:rPr>
                <w:rFonts w:ascii="Arial"/>
                <w:sz w:val="21"/>
              </w:rPr>
            </w:pPr>
          </w:p>
        </w:tc>
      </w:tr>
      <w:tr w14:paraId="0A6E1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0A7125E0">
            <w:pPr>
              <w:rPr>
                <w:rFonts w:ascii="Arial"/>
                <w:sz w:val="21"/>
              </w:rPr>
            </w:pPr>
          </w:p>
        </w:tc>
        <w:tc>
          <w:tcPr>
            <w:tcW w:w="111" w:type="dxa"/>
            <w:tcBorders>
              <w:top w:val="nil"/>
              <w:bottom w:val="nil"/>
            </w:tcBorders>
            <w:vAlign w:val="top"/>
          </w:tcPr>
          <w:p w14:paraId="4C340EF0">
            <w:pPr>
              <w:rPr>
                <w:rFonts w:ascii="Arial"/>
                <w:sz w:val="21"/>
              </w:rPr>
            </w:pPr>
          </w:p>
        </w:tc>
        <w:tc>
          <w:tcPr>
            <w:tcW w:w="708" w:type="dxa"/>
            <w:vMerge w:val="continue"/>
            <w:tcBorders>
              <w:top w:val="nil"/>
              <w:bottom w:val="nil"/>
            </w:tcBorders>
            <w:vAlign w:val="top"/>
          </w:tcPr>
          <w:p w14:paraId="0B113024">
            <w:pPr>
              <w:rPr>
                <w:rFonts w:ascii="Arial"/>
                <w:sz w:val="21"/>
              </w:rPr>
            </w:pPr>
          </w:p>
        </w:tc>
        <w:tc>
          <w:tcPr>
            <w:tcW w:w="736" w:type="dxa"/>
            <w:vMerge w:val="continue"/>
            <w:tcBorders>
              <w:top w:val="nil"/>
              <w:bottom w:val="nil"/>
            </w:tcBorders>
            <w:vAlign w:val="top"/>
          </w:tcPr>
          <w:p w14:paraId="7690E213">
            <w:pPr>
              <w:rPr>
                <w:rFonts w:ascii="Arial"/>
                <w:sz w:val="21"/>
              </w:rPr>
            </w:pPr>
          </w:p>
        </w:tc>
        <w:tc>
          <w:tcPr>
            <w:tcW w:w="849" w:type="dxa"/>
            <w:vAlign w:val="top"/>
          </w:tcPr>
          <w:p w14:paraId="48FD3457">
            <w:pPr>
              <w:pStyle w:val="6"/>
              <w:spacing w:before="156" w:line="220" w:lineRule="auto"/>
              <w:ind w:left="154"/>
              <w:rPr>
                <w:sz w:val="18"/>
                <w:szCs w:val="18"/>
              </w:rPr>
            </w:pPr>
            <w:r>
              <w:rPr>
                <w:spacing w:val="-3"/>
                <w:sz w:val="18"/>
                <w:szCs w:val="18"/>
              </w:rPr>
              <w:t>有组织</w:t>
            </w:r>
          </w:p>
        </w:tc>
        <w:tc>
          <w:tcPr>
            <w:tcW w:w="1174" w:type="dxa"/>
            <w:vMerge w:val="restart"/>
            <w:tcBorders>
              <w:bottom w:val="nil"/>
            </w:tcBorders>
            <w:vAlign w:val="top"/>
          </w:tcPr>
          <w:p w14:paraId="01611BC3">
            <w:pPr>
              <w:pStyle w:val="6"/>
              <w:spacing w:before="243" w:line="219" w:lineRule="auto"/>
              <w:ind w:left="137"/>
              <w:rPr>
                <w:sz w:val="18"/>
                <w:szCs w:val="18"/>
              </w:rPr>
            </w:pPr>
            <w:r>
              <w:rPr>
                <w:spacing w:val="-2"/>
                <w:sz w:val="18"/>
                <w:szCs w:val="18"/>
              </w:rPr>
              <w:t>氟化氢（以</w:t>
            </w:r>
          </w:p>
          <w:p w14:paraId="7DE90111">
            <w:pPr>
              <w:pStyle w:val="6"/>
              <w:spacing w:before="19"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6FB467EE">
            <w:pPr>
              <w:rPr>
                <w:rFonts w:ascii="Arial"/>
                <w:sz w:val="21"/>
              </w:rPr>
            </w:pPr>
          </w:p>
        </w:tc>
        <w:tc>
          <w:tcPr>
            <w:tcW w:w="1087" w:type="dxa"/>
            <w:vAlign w:val="top"/>
          </w:tcPr>
          <w:p w14:paraId="2D977877">
            <w:pPr>
              <w:spacing w:before="185"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63C95FC7">
            <w:pPr>
              <w:spacing w:before="185"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29.93</w:t>
            </w:r>
          </w:p>
        </w:tc>
        <w:tc>
          <w:tcPr>
            <w:tcW w:w="761" w:type="dxa"/>
            <w:vAlign w:val="top"/>
          </w:tcPr>
          <w:p w14:paraId="2C4554A6">
            <w:pPr>
              <w:spacing w:before="185"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0.5985</w:t>
            </w:r>
          </w:p>
        </w:tc>
        <w:tc>
          <w:tcPr>
            <w:tcW w:w="674" w:type="dxa"/>
            <w:vAlign w:val="top"/>
          </w:tcPr>
          <w:p w14:paraId="7F12C8CE">
            <w:pPr>
              <w:pStyle w:val="6"/>
              <w:spacing w:before="39" w:line="221" w:lineRule="auto"/>
              <w:ind w:left="73"/>
              <w:rPr>
                <w:sz w:val="18"/>
                <w:szCs w:val="18"/>
              </w:rPr>
            </w:pPr>
            <w:r>
              <w:rPr>
                <w:spacing w:val="-3"/>
                <w:sz w:val="18"/>
                <w:szCs w:val="18"/>
              </w:rPr>
              <w:t>三级碱</w:t>
            </w:r>
          </w:p>
          <w:p w14:paraId="4DCAD585">
            <w:pPr>
              <w:pStyle w:val="6"/>
              <w:spacing w:before="19" w:line="189" w:lineRule="auto"/>
              <w:ind w:left="74"/>
              <w:rPr>
                <w:sz w:val="18"/>
                <w:szCs w:val="18"/>
              </w:rPr>
            </w:pPr>
            <w:r>
              <w:rPr>
                <w:spacing w:val="-3"/>
                <w:sz w:val="18"/>
                <w:szCs w:val="18"/>
              </w:rPr>
              <w:t>液喷淋</w:t>
            </w:r>
          </w:p>
        </w:tc>
        <w:tc>
          <w:tcPr>
            <w:tcW w:w="538" w:type="dxa"/>
            <w:vAlign w:val="top"/>
          </w:tcPr>
          <w:p w14:paraId="73FC7C64">
            <w:pPr>
              <w:spacing w:before="185"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5771900E">
            <w:pPr>
              <w:rPr>
                <w:rFonts w:ascii="Arial"/>
                <w:sz w:val="21"/>
              </w:rPr>
            </w:pPr>
          </w:p>
        </w:tc>
        <w:tc>
          <w:tcPr>
            <w:tcW w:w="1012" w:type="dxa"/>
            <w:vAlign w:val="top"/>
          </w:tcPr>
          <w:p w14:paraId="74776950">
            <w:pPr>
              <w:spacing w:before="185"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4A714C77">
            <w:pPr>
              <w:spacing w:before="185"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36" w:type="dxa"/>
            <w:vAlign w:val="top"/>
          </w:tcPr>
          <w:p w14:paraId="7864ED92">
            <w:pPr>
              <w:spacing w:before="185"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0.0958</w:t>
            </w:r>
          </w:p>
        </w:tc>
        <w:tc>
          <w:tcPr>
            <w:tcW w:w="749" w:type="dxa"/>
            <w:vAlign w:val="top"/>
          </w:tcPr>
          <w:p w14:paraId="7CF25BFD">
            <w:pPr>
              <w:spacing w:before="185"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DA007</w:t>
            </w:r>
          </w:p>
        </w:tc>
        <w:tc>
          <w:tcPr>
            <w:tcW w:w="600" w:type="dxa"/>
            <w:vAlign w:val="top"/>
          </w:tcPr>
          <w:p w14:paraId="4F3F093A">
            <w:pPr>
              <w:spacing w:before="185"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E994D26">
            <w:pPr>
              <w:rPr>
                <w:rFonts w:ascii="Arial"/>
                <w:sz w:val="21"/>
              </w:rPr>
            </w:pPr>
          </w:p>
        </w:tc>
      </w:tr>
      <w:tr w14:paraId="1CFFB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1FCE15D3">
            <w:pPr>
              <w:rPr>
                <w:rFonts w:ascii="Arial"/>
                <w:sz w:val="21"/>
              </w:rPr>
            </w:pPr>
          </w:p>
        </w:tc>
        <w:tc>
          <w:tcPr>
            <w:tcW w:w="111" w:type="dxa"/>
            <w:tcBorders>
              <w:top w:val="nil"/>
              <w:bottom w:val="nil"/>
            </w:tcBorders>
            <w:vAlign w:val="top"/>
          </w:tcPr>
          <w:p w14:paraId="0943FE3D">
            <w:pPr>
              <w:rPr>
                <w:rFonts w:ascii="Arial"/>
                <w:sz w:val="21"/>
              </w:rPr>
            </w:pPr>
          </w:p>
        </w:tc>
        <w:tc>
          <w:tcPr>
            <w:tcW w:w="708" w:type="dxa"/>
            <w:vMerge w:val="continue"/>
            <w:tcBorders>
              <w:top w:val="nil"/>
              <w:bottom w:val="nil"/>
            </w:tcBorders>
            <w:vAlign w:val="top"/>
          </w:tcPr>
          <w:p w14:paraId="2B5CEF92">
            <w:pPr>
              <w:rPr>
                <w:rFonts w:ascii="Arial"/>
                <w:sz w:val="21"/>
              </w:rPr>
            </w:pPr>
          </w:p>
        </w:tc>
        <w:tc>
          <w:tcPr>
            <w:tcW w:w="736" w:type="dxa"/>
            <w:vMerge w:val="continue"/>
            <w:tcBorders>
              <w:top w:val="nil"/>
              <w:bottom w:val="nil"/>
            </w:tcBorders>
            <w:vAlign w:val="top"/>
          </w:tcPr>
          <w:p w14:paraId="2055DD8D">
            <w:pPr>
              <w:rPr>
                <w:rFonts w:ascii="Arial"/>
                <w:sz w:val="21"/>
              </w:rPr>
            </w:pPr>
          </w:p>
        </w:tc>
        <w:tc>
          <w:tcPr>
            <w:tcW w:w="849" w:type="dxa"/>
            <w:vAlign w:val="top"/>
          </w:tcPr>
          <w:p w14:paraId="6CE3C525">
            <w:pPr>
              <w:pStyle w:val="6"/>
              <w:spacing w:before="124" w:line="220" w:lineRule="auto"/>
              <w:ind w:left="154"/>
              <w:rPr>
                <w:sz w:val="18"/>
                <w:szCs w:val="18"/>
              </w:rPr>
            </w:pPr>
            <w:r>
              <w:rPr>
                <w:spacing w:val="-3"/>
                <w:sz w:val="18"/>
                <w:szCs w:val="18"/>
              </w:rPr>
              <w:t>无组织</w:t>
            </w:r>
          </w:p>
        </w:tc>
        <w:tc>
          <w:tcPr>
            <w:tcW w:w="1174" w:type="dxa"/>
            <w:vMerge w:val="continue"/>
            <w:tcBorders>
              <w:top w:val="nil"/>
            </w:tcBorders>
            <w:vAlign w:val="top"/>
          </w:tcPr>
          <w:p w14:paraId="6F0BFB0B">
            <w:pPr>
              <w:rPr>
                <w:rFonts w:ascii="Arial"/>
                <w:sz w:val="21"/>
              </w:rPr>
            </w:pPr>
          </w:p>
        </w:tc>
        <w:tc>
          <w:tcPr>
            <w:tcW w:w="674" w:type="dxa"/>
            <w:vMerge w:val="continue"/>
            <w:tcBorders>
              <w:top w:val="nil"/>
              <w:bottom w:val="nil"/>
            </w:tcBorders>
            <w:vAlign w:val="top"/>
          </w:tcPr>
          <w:p w14:paraId="0F987B13">
            <w:pPr>
              <w:rPr>
                <w:rFonts w:ascii="Arial"/>
                <w:sz w:val="21"/>
              </w:rPr>
            </w:pPr>
          </w:p>
        </w:tc>
        <w:tc>
          <w:tcPr>
            <w:tcW w:w="1087" w:type="dxa"/>
            <w:vAlign w:val="top"/>
          </w:tcPr>
          <w:p w14:paraId="408EC202">
            <w:pPr>
              <w:spacing w:before="152"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7A5A36EE">
            <w:pPr>
              <w:spacing w:before="152"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54D290ED">
            <w:pPr>
              <w:spacing w:before="155"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674" w:type="dxa"/>
            <w:vAlign w:val="top"/>
          </w:tcPr>
          <w:p w14:paraId="6DC8C797">
            <w:pPr>
              <w:spacing w:before="152"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3C24C7D3">
            <w:pPr>
              <w:spacing w:before="152"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1B2AEC6F">
            <w:pPr>
              <w:rPr>
                <w:rFonts w:ascii="Arial"/>
                <w:sz w:val="21"/>
              </w:rPr>
            </w:pPr>
          </w:p>
        </w:tc>
        <w:tc>
          <w:tcPr>
            <w:tcW w:w="1012" w:type="dxa"/>
            <w:vAlign w:val="top"/>
          </w:tcPr>
          <w:p w14:paraId="1C6E45D0">
            <w:pPr>
              <w:spacing w:before="152"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339D2E26">
            <w:pPr>
              <w:spacing w:before="152"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35A8F39E">
            <w:pPr>
              <w:spacing w:before="155"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749" w:type="dxa"/>
            <w:vAlign w:val="top"/>
          </w:tcPr>
          <w:p w14:paraId="3E6F3187">
            <w:pPr>
              <w:spacing w:before="152"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358BA47D">
            <w:pPr>
              <w:spacing w:before="155"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A916617">
            <w:pPr>
              <w:rPr>
                <w:rFonts w:ascii="Arial"/>
                <w:sz w:val="21"/>
              </w:rPr>
            </w:pPr>
          </w:p>
        </w:tc>
      </w:tr>
      <w:tr w14:paraId="32072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7EC7068D">
            <w:pPr>
              <w:rPr>
                <w:rFonts w:ascii="Arial"/>
                <w:sz w:val="21"/>
              </w:rPr>
            </w:pPr>
          </w:p>
        </w:tc>
        <w:tc>
          <w:tcPr>
            <w:tcW w:w="111" w:type="dxa"/>
            <w:tcBorders>
              <w:top w:val="nil"/>
              <w:bottom w:val="nil"/>
            </w:tcBorders>
            <w:vAlign w:val="top"/>
          </w:tcPr>
          <w:p w14:paraId="7629B4A0">
            <w:pPr>
              <w:rPr>
                <w:rFonts w:ascii="Arial"/>
                <w:sz w:val="21"/>
              </w:rPr>
            </w:pPr>
          </w:p>
        </w:tc>
        <w:tc>
          <w:tcPr>
            <w:tcW w:w="708" w:type="dxa"/>
            <w:vMerge w:val="continue"/>
            <w:tcBorders>
              <w:top w:val="nil"/>
              <w:bottom w:val="nil"/>
            </w:tcBorders>
            <w:vAlign w:val="top"/>
          </w:tcPr>
          <w:p w14:paraId="0BCB6E27">
            <w:pPr>
              <w:rPr>
                <w:rFonts w:ascii="Arial"/>
                <w:sz w:val="21"/>
              </w:rPr>
            </w:pPr>
          </w:p>
        </w:tc>
        <w:tc>
          <w:tcPr>
            <w:tcW w:w="736" w:type="dxa"/>
            <w:vMerge w:val="continue"/>
            <w:tcBorders>
              <w:top w:val="nil"/>
              <w:bottom w:val="nil"/>
            </w:tcBorders>
            <w:vAlign w:val="top"/>
          </w:tcPr>
          <w:p w14:paraId="38AE5CC1">
            <w:pPr>
              <w:rPr>
                <w:rFonts w:ascii="Arial"/>
                <w:sz w:val="21"/>
              </w:rPr>
            </w:pPr>
          </w:p>
        </w:tc>
        <w:tc>
          <w:tcPr>
            <w:tcW w:w="849" w:type="dxa"/>
            <w:vAlign w:val="top"/>
          </w:tcPr>
          <w:p w14:paraId="7082AD01">
            <w:pPr>
              <w:pStyle w:val="6"/>
              <w:spacing w:before="156" w:line="220" w:lineRule="auto"/>
              <w:ind w:left="154"/>
              <w:rPr>
                <w:sz w:val="18"/>
                <w:szCs w:val="18"/>
              </w:rPr>
            </w:pPr>
            <w:r>
              <w:rPr>
                <w:spacing w:val="-3"/>
                <w:sz w:val="18"/>
                <w:szCs w:val="18"/>
              </w:rPr>
              <w:t>有组织</w:t>
            </w:r>
          </w:p>
        </w:tc>
        <w:tc>
          <w:tcPr>
            <w:tcW w:w="1174" w:type="dxa"/>
            <w:vMerge w:val="restart"/>
            <w:tcBorders>
              <w:bottom w:val="nil"/>
            </w:tcBorders>
            <w:vAlign w:val="top"/>
          </w:tcPr>
          <w:p w14:paraId="42DED20E">
            <w:pPr>
              <w:spacing w:line="299" w:lineRule="auto"/>
              <w:rPr>
                <w:rFonts w:ascii="Arial"/>
                <w:sz w:val="21"/>
              </w:rPr>
            </w:pPr>
          </w:p>
          <w:p w14:paraId="728E9541">
            <w:pPr>
              <w:pStyle w:val="6"/>
              <w:spacing w:before="58" w:line="221" w:lineRule="auto"/>
              <w:ind w:left="316"/>
              <w:rPr>
                <w:sz w:val="18"/>
                <w:szCs w:val="18"/>
              </w:rPr>
            </w:pPr>
            <w:r>
              <w:rPr>
                <w:spacing w:val="-3"/>
                <w:sz w:val="18"/>
                <w:szCs w:val="18"/>
              </w:rPr>
              <w:t>硫酸雾</w:t>
            </w:r>
          </w:p>
        </w:tc>
        <w:tc>
          <w:tcPr>
            <w:tcW w:w="674" w:type="dxa"/>
            <w:vMerge w:val="continue"/>
            <w:tcBorders>
              <w:top w:val="nil"/>
              <w:bottom w:val="nil"/>
            </w:tcBorders>
            <w:vAlign w:val="top"/>
          </w:tcPr>
          <w:p w14:paraId="72555B67">
            <w:pPr>
              <w:rPr>
                <w:rFonts w:ascii="Arial"/>
                <w:sz w:val="21"/>
              </w:rPr>
            </w:pPr>
          </w:p>
        </w:tc>
        <w:tc>
          <w:tcPr>
            <w:tcW w:w="1087" w:type="dxa"/>
            <w:vAlign w:val="top"/>
          </w:tcPr>
          <w:p w14:paraId="6E699D61">
            <w:pPr>
              <w:spacing w:before="187"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15AF07D2">
            <w:pPr>
              <w:spacing w:before="187"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w:t>
            </w:r>
          </w:p>
        </w:tc>
        <w:tc>
          <w:tcPr>
            <w:tcW w:w="761" w:type="dxa"/>
            <w:vAlign w:val="top"/>
          </w:tcPr>
          <w:p w14:paraId="4985A011">
            <w:pPr>
              <w:spacing w:before="187"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0.0869</w:t>
            </w:r>
          </w:p>
        </w:tc>
        <w:tc>
          <w:tcPr>
            <w:tcW w:w="674" w:type="dxa"/>
            <w:vAlign w:val="top"/>
          </w:tcPr>
          <w:p w14:paraId="3F0550CF">
            <w:pPr>
              <w:pStyle w:val="6"/>
              <w:spacing w:before="41" w:line="221" w:lineRule="auto"/>
              <w:ind w:left="73"/>
              <w:rPr>
                <w:sz w:val="18"/>
                <w:szCs w:val="18"/>
              </w:rPr>
            </w:pPr>
            <w:r>
              <w:rPr>
                <w:spacing w:val="-3"/>
                <w:sz w:val="18"/>
                <w:szCs w:val="18"/>
              </w:rPr>
              <w:t>三级碱</w:t>
            </w:r>
          </w:p>
          <w:p w14:paraId="6A8DB463">
            <w:pPr>
              <w:pStyle w:val="6"/>
              <w:spacing w:before="17" w:line="190" w:lineRule="auto"/>
              <w:ind w:left="74"/>
              <w:rPr>
                <w:sz w:val="18"/>
                <w:szCs w:val="18"/>
              </w:rPr>
            </w:pPr>
            <w:r>
              <w:rPr>
                <w:spacing w:val="-3"/>
                <w:sz w:val="18"/>
                <w:szCs w:val="18"/>
              </w:rPr>
              <w:t>液喷淋</w:t>
            </w:r>
          </w:p>
        </w:tc>
        <w:tc>
          <w:tcPr>
            <w:tcW w:w="538" w:type="dxa"/>
            <w:vAlign w:val="top"/>
          </w:tcPr>
          <w:p w14:paraId="721F7F97">
            <w:pPr>
              <w:spacing w:before="187"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continue"/>
            <w:tcBorders>
              <w:top w:val="nil"/>
              <w:bottom w:val="nil"/>
            </w:tcBorders>
            <w:vAlign w:val="top"/>
          </w:tcPr>
          <w:p w14:paraId="12D8B798">
            <w:pPr>
              <w:rPr>
                <w:rFonts w:ascii="Arial"/>
                <w:sz w:val="21"/>
              </w:rPr>
            </w:pPr>
          </w:p>
        </w:tc>
        <w:tc>
          <w:tcPr>
            <w:tcW w:w="1012" w:type="dxa"/>
            <w:vAlign w:val="top"/>
          </w:tcPr>
          <w:p w14:paraId="64C5E4DB">
            <w:pPr>
              <w:spacing w:before="187"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0D942C13">
            <w:pPr>
              <w:spacing w:before="187"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736" w:type="dxa"/>
            <w:vAlign w:val="top"/>
          </w:tcPr>
          <w:p w14:paraId="35DFE4B6">
            <w:pPr>
              <w:spacing w:before="187"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0.0104</w:t>
            </w:r>
          </w:p>
        </w:tc>
        <w:tc>
          <w:tcPr>
            <w:tcW w:w="749" w:type="dxa"/>
            <w:vAlign w:val="top"/>
          </w:tcPr>
          <w:p w14:paraId="181E1775">
            <w:pPr>
              <w:spacing w:before="187"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DA007</w:t>
            </w:r>
          </w:p>
        </w:tc>
        <w:tc>
          <w:tcPr>
            <w:tcW w:w="600" w:type="dxa"/>
            <w:vAlign w:val="top"/>
          </w:tcPr>
          <w:p w14:paraId="26CBF927">
            <w:pPr>
              <w:spacing w:before="187"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3EB4406D">
            <w:pPr>
              <w:rPr>
                <w:rFonts w:ascii="Arial"/>
                <w:sz w:val="21"/>
              </w:rPr>
            </w:pPr>
          </w:p>
        </w:tc>
      </w:tr>
      <w:tr w14:paraId="3ED83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55" w:type="dxa"/>
            <w:vMerge w:val="continue"/>
            <w:tcBorders>
              <w:top w:val="nil"/>
              <w:left w:val="single" w:color="000000" w:sz="6" w:space="0"/>
              <w:bottom w:val="nil"/>
            </w:tcBorders>
            <w:vAlign w:val="top"/>
          </w:tcPr>
          <w:p w14:paraId="1C943F45">
            <w:pPr>
              <w:rPr>
                <w:rFonts w:ascii="Arial"/>
                <w:sz w:val="21"/>
              </w:rPr>
            </w:pPr>
          </w:p>
        </w:tc>
        <w:tc>
          <w:tcPr>
            <w:tcW w:w="111" w:type="dxa"/>
            <w:tcBorders>
              <w:top w:val="nil"/>
              <w:bottom w:val="nil"/>
            </w:tcBorders>
            <w:vAlign w:val="top"/>
          </w:tcPr>
          <w:p w14:paraId="5D3EBB83">
            <w:pPr>
              <w:rPr>
                <w:rFonts w:ascii="Arial"/>
                <w:sz w:val="21"/>
              </w:rPr>
            </w:pPr>
          </w:p>
        </w:tc>
        <w:tc>
          <w:tcPr>
            <w:tcW w:w="708" w:type="dxa"/>
            <w:vMerge w:val="continue"/>
            <w:tcBorders>
              <w:top w:val="nil"/>
              <w:bottom w:val="nil"/>
            </w:tcBorders>
            <w:vAlign w:val="top"/>
          </w:tcPr>
          <w:p w14:paraId="4CE3FEEC">
            <w:pPr>
              <w:rPr>
                <w:rFonts w:ascii="Arial"/>
                <w:sz w:val="21"/>
              </w:rPr>
            </w:pPr>
          </w:p>
        </w:tc>
        <w:tc>
          <w:tcPr>
            <w:tcW w:w="736" w:type="dxa"/>
            <w:vMerge w:val="continue"/>
            <w:tcBorders>
              <w:top w:val="nil"/>
              <w:bottom w:val="nil"/>
            </w:tcBorders>
            <w:vAlign w:val="top"/>
          </w:tcPr>
          <w:p w14:paraId="71B68BB2">
            <w:pPr>
              <w:rPr>
                <w:rFonts w:ascii="Arial"/>
                <w:sz w:val="21"/>
              </w:rPr>
            </w:pPr>
          </w:p>
        </w:tc>
        <w:tc>
          <w:tcPr>
            <w:tcW w:w="849" w:type="dxa"/>
            <w:vAlign w:val="top"/>
          </w:tcPr>
          <w:p w14:paraId="12D6C626">
            <w:pPr>
              <w:pStyle w:val="6"/>
              <w:spacing w:before="123" w:line="220" w:lineRule="auto"/>
              <w:ind w:left="154"/>
              <w:rPr>
                <w:sz w:val="18"/>
                <w:szCs w:val="18"/>
              </w:rPr>
            </w:pPr>
            <w:r>
              <w:rPr>
                <w:spacing w:val="-3"/>
                <w:sz w:val="18"/>
                <w:szCs w:val="18"/>
              </w:rPr>
              <w:t>无组织</w:t>
            </w:r>
          </w:p>
        </w:tc>
        <w:tc>
          <w:tcPr>
            <w:tcW w:w="1174" w:type="dxa"/>
            <w:vMerge w:val="continue"/>
            <w:tcBorders>
              <w:top w:val="nil"/>
            </w:tcBorders>
            <w:vAlign w:val="top"/>
          </w:tcPr>
          <w:p w14:paraId="46DC91E8">
            <w:pPr>
              <w:rPr>
                <w:rFonts w:ascii="Arial"/>
                <w:sz w:val="21"/>
              </w:rPr>
            </w:pPr>
          </w:p>
        </w:tc>
        <w:tc>
          <w:tcPr>
            <w:tcW w:w="674" w:type="dxa"/>
            <w:vMerge w:val="continue"/>
            <w:tcBorders>
              <w:top w:val="nil"/>
              <w:bottom w:val="nil"/>
            </w:tcBorders>
            <w:vAlign w:val="top"/>
          </w:tcPr>
          <w:p w14:paraId="247B33DE">
            <w:pPr>
              <w:rPr>
                <w:rFonts w:ascii="Arial"/>
                <w:sz w:val="21"/>
              </w:rPr>
            </w:pPr>
          </w:p>
        </w:tc>
        <w:tc>
          <w:tcPr>
            <w:tcW w:w="1087" w:type="dxa"/>
            <w:vAlign w:val="top"/>
          </w:tcPr>
          <w:p w14:paraId="26757199">
            <w:pPr>
              <w:spacing w:before="151"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006F8B76">
            <w:pPr>
              <w:spacing w:before="151"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0FC88156">
            <w:pPr>
              <w:spacing w:before="15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674" w:type="dxa"/>
            <w:vAlign w:val="top"/>
          </w:tcPr>
          <w:p w14:paraId="2C4219A9">
            <w:pPr>
              <w:spacing w:before="151"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39E8E872">
            <w:pPr>
              <w:spacing w:before="151"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139AD830">
            <w:pPr>
              <w:rPr>
                <w:rFonts w:ascii="Arial"/>
                <w:sz w:val="21"/>
              </w:rPr>
            </w:pPr>
          </w:p>
        </w:tc>
        <w:tc>
          <w:tcPr>
            <w:tcW w:w="1012" w:type="dxa"/>
            <w:vAlign w:val="top"/>
          </w:tcPr>
          <w:p w14:paraId="087D9B2D">
            <w:pPr>
              <w:spacing w:before="151"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591086DC">
            <w:pPr>
              <w:spacing w:before="151"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43CEA609">
            <w:pPr>
              <w:spacing w:before="15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749" w:type="dxa"/>
            <w:vAlign w:val="top"/>
          </w:tcPr>
          <w:p w14:paraId="231F7123">
            <w:pPr>
              <w:spacing w:before="151"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319BC248">
            <w:pPr>
              <w:spacing w:before="15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A44739E">
            <w:pPr>
              <w:rPr>
                <w:rFonts w:ascii="Arial"/>
                <w:sz w:val="21"/>
              </w:rPr>
            </w:pPr>
          </w:p>
        </w:tc>
      </w:tr>
      <w:tr w14:paraId="1DA05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0B1DDC6D">
            <w:pPr>
              <w:rPr>
                <w:rFonts w:ascii="Arial"/>
                <w:sz w:val="21"/>
              </w:rPr>
            </w:pPr>
          </w:p>
        </w:tc>
        <w:tc>
          <w:tcPr>
            <w:tcW w:w="111" w:type="dxa"/>
            <w:tcBorders>
              <w:top w:val="nil"/>
              <w:bottom w:val="nil"/>
            </w:tcBorders>
            <w:vAlign w:val="top"/>
          </w:tcPr>
          <w:p w14:paraId="461BE0CD">
            <w:pPr>
              <w:rPr>
                <w:rFonts w:ascii="Arial"/>
                <w:sz w:val="21"/>
              </w:rPr>
            </w:pPr>
          </w:p>
        </w:tc>
        <w:tc>
          <w:tcPr>
            <w:tcW w:w="708" w:type="dxa"/>
            <w:vMerge w:val="continue"/>
            <w:tcBorders>
              <w:top w:val="nil"/>
              <w:bottom w:val="nil"/>
            </w:tcBorders>
            <w:vAlign w:val="top"/>
          </w:tcPr>
          <w:p w14:paraId="2B5BB18E">
            <w:pPr>
              <w:rPr>
                <w:rFonts w:ascii="Arial"/>
                <w:sz w:val="21"/>
              </w:rPr>
            </w:pPr>
          </w:p>
        </w:tc>
        <w:tc>
          <w:tcPr>
            <w:tcW w:w="736" w:type="dxa"/>
            <w:vMerge w:val="continue"/>
            <w:tcBorders>
              <w:top w:val="nil"/>
              <w:bottom w:val="nil"/>
            </w:tcBorders>
            <w:vAlign w:val="top"/>
          </w:tcPr>
          <w:p w14:paraId="0CB912DA">
            <w:pPr>
              <w:rPr>
                <w:rFonts w:ascii="Arial"/>
                <w:sz w:val="21"/>
              </w:rPr>
            </w:pPr>
          </w:p>
        </w:tc>
        <w:tc>
          <w:tcPr>
            <w:tcW w:w="849" w:type="dxa"/>
            <w:vAlign w:val="top"/>
          </w:tcPr>
          <w:p w14:paraId="4BB24AE7">
            <w:pPr>
              <w:pStyle w:val="6"/>
              <w:spacing w:before="162" w:line="220" w:lineRule="auto"/>
              <w:ind w:left="154"/>
              <w:rPr>
                <w:sz w:val="18"/>
                <w:szCs w:val="18"/>
              </w:rPr>
            </w:pPr>
            <w:r>
              <w:rPr>
                <w:spacing w:val="-3"/>
                <w:sz w:val="18"/>
                <w:szCs w:val="18"/>
              </w:rPr>
              <w:t>有组织</w:t>
            </w:r>
          </w:p>
        </w:tc>
        <w:tc>
          <w:tcPr>
            <w:tcW w:w="1174" w:type="dxa"/>
            <w:vMerge w:val="restart"/>
            <w:tcBorders>
              <w:bottom w:val="nil"/>
            </w:tcBorders>
            <w:vAlign w:val="top"/>
          </w:tcPr>
          <w:p w14:paraId="36E6B500">
            <w:pPr>
              <w:pStyle w:val="6"/>
              <w:spacing w:before="248" w:line="221" w:lineRule="auto"/>
              <w:ind w:left="138"/>
              <w:rPr>
                <w:sz w:val="18"/>
                <w:szCs w:val="18"/>
              </w:rPr>
            </w:pPr>
            <w:r>
              <w:rPr>
                <w:spacing w:val="-2"/>
                <w:sz w:val="18"/>
                <w:szCs w:val="18"/>
              </w:rPr>
              <w:t>硝酸雾（以</w:t>
            </w:r>
          </w:p>
          <w:p w14:paraId="1522069D">
            <w:pPr>
              <w:pStyle w:val="6"/>
              <w:spacing w:before="17"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5A0B77AF">
            <w:pPr>
              <w:rPr>
                <w:rFonts w:ascii="Arial"/>
                <w:sz w:val="21"/>
              </w:rPr>
            </w:pPr>
          </w:p>
        </w:tc>
        <w:tc>
          <w:tcPr>
            <w:tcW w:w="1087" w:type="dxa"/>
            <w:vAlign w:val="top"/>
          </w:tcPr>
          <w:p w14:paraId="6919C158">
            <w:pPr>
              <w:spacing w:before="193"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40788670">
            <w:pPr>
              <w:spacing w:before="193"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21.84</w:t>
            </w:r>
          </w:p>
        </w:tc>
        <w:tc>
          <w:tcPr>
            <w:tcW w:w="761" w:type="dxa"/>
            <w:vAlign w:val="top"/>
          </w:tcPr>
          <w:p w14:paraId="0A6DFABA">
            <w:pPr>
              <w:spacing w:before="193"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0.4369</w:t>
            </w:r>
          </w:p>
        </w:tc>
        <w:tc>
          <w:tcPr>
            <w:tcW w:w="674" w:type="dxa"/>
            <w:vAlign w:val="top"/>
          </w:tcPr>
          <w:p w14:paraId="4CE7A514">
            <w:pPr>
              <w:pStyle w:val="6"/>
              <w:spacing w:before="47" w:line="221" w:lineRule="auto"/>
              <w:ind w:left="73"/>
              <w:rPr>
                <w:sz w:val="18"/>
                <w:szCs w:val="18"/>
              </w:rPr>
            </w:pPr>
            <w:r>
              <w:rPr>
                <w:spacing w:val="-3"/>
                <w:sz w:val="18"/>
                <w:szCs w:val="18"/>
              </w:rPr>
              <w:t>三级碱</w:t>
            </w:r>
          </w:p>
          <w:p w14:paraId="521E50A6">
            <w:pPr>
              <w:pStyle w:val="6"/>
              <w:spacing w:before="16" w:line="191" w:lineRule="auto"/>
              <w:ind w:left="74"/>
              <w:rPr>
                <w:sz w:val="18"/>
                <w:szCs w:val="18"/>
              </w:rPr>
            </w:pPr>
            <w:r>
              <w:rPr>
                <w:spacing w:val="-3"/>
                <w:sz w:val="18"/>
                <w:szCs w:val="18"/>
              </w:rPr>
              <w:t>液喷淋</w:t>
            </w:r>
          </w:p>
        </w:tc>
        <w:tc>
          <w:tcPr>
            <w:tcW w:w="538" w:type="dxa"/>
            <w:vAlign w:val="top"/>
          </w:tcPr>
          <w:p w14:paraId="7DC96378">
            <w:pPr>
              <w:spacing w:before="193"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503EB5DB">
            <w:pPr>
              <w:rPr>
                <w:rFonts w:ascii="Arial"/>
                <w:sz w:val="21"/>
              </w:rPr>
            </w:pPr>
          </w:p>
        </w:tc>
        <w:tc>
          <w:tcPr>
            <w:tcW w:w="1012" w:type="dxa"/>
            <w:vAlign w:val="top"/>
          </w:tcPr>
          <w:p w14:paraId="11844AEE">
            <w:pPr>
              <w:spacing w:before="193"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2A43F5FD">
            <w:pPr>
              <w:spacing w:before="193"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736" w:type="dxa"/>
            <w:vAlign w:val="top"/>
          </w:tcPr>
          <w:p w14:paraId="6BADA1ED">
            <w:pPr>
              <w:spacing w:before="19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0.0655</w:t>
            </w:r>
          </w:p>
        </w:tc>
        <w:tc>
          <w:tcPr>
            <w:tcW w:w="749" w:type="dxa"/>
            <w:vAlign w:val="top"/>
          </w:tcPr>
          <w:p w14:paraId="0FB8ED3C">
            <w:pPr>
              <w:spacing w:before="193"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DA007</w:t>
            </w:r>
          </w:p>
        </w:tc>
        <w:tc>
          <w:tcPr>
            <w:tcW w:w="600" w:type="dxa"/>
            <w:vAlign w:val="top"/>
          </w:tcPr>
          <w:p w14:paraId="70E6AB17">
            <w:pPr>
              <w:spacing w:before="193"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293D9A69">
            <w:pPr>
              <w:rPr>
                <w:rFonts w:ascii="Arial"/>
                <w:sz w:val="21"/>
              </w:rPr>
            </w:pPr>
          </w:p>
        </w:tc>
      </w:tr>
      <w:tr w14:paraId="5C0EF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55" w:type="dxa"/>
            <w:vMerge w:val="continue"/>
            <w:tcBorders>
              <w:top w:val="nil"/>
              <w:left w:val="single" w:color="000000" w:sz="6" w:space="0"/>
              <w:bottom w:val="single" w:color="000000" w:sz="6" w:space="0"/>
            </w:tcBorders>
            <w:vAlign w:val="top"/>
          </w:tcPr>
          <w:p w14:paraId="3D4AB640">
            <w:pPr>
              <w:rPr>
                <w:rFonts w:ascii="Arial"/>
                <w:sz w:val="21"/>
              </w:rPr>
            </w:pPr>
          </w:p>
        </w:tc>
        <w:tc>
          <w:tcPr>
            <w:tcW w:w="111" w:type="dxa"/>
            <w:tcBorders>
              <w:top w:val="nil"/>
              <w:bottom w:val="single" w:color="000000" w:sz="6" w:space="0"/>
            </w:tcBorders>
            <w:vAlign w:val="top"/>
          </w:tcPr>
          <w:p w14:paraId="73B5C7B5">
            <w:pPr>
              <w:rPr>
                <w:rFonts w:ascii="Arial"/>
                <w:sz w:val="21"/>
              </w:rPr>
            </w:pPr>
          </w:p>
        </w:tc>
        <w:tc>
          <w:tcPr>
            <w:tcW w:w="708" w:type="dxa"/>
            <w:vMerge w:val="continue"/>
            <w:tcBorders>
              <w:top w:val="nil"/>
              <w:bottom w:val="single" w:color="000000" w:sz="6" w:space="0"/>
            </w:tcBorders>
            <w:vAlign w:val="top"/>
          </w:tcPr>
          <w:p w14:paraId="4AB0D546">
            <w:pPr>
              <w:rPr>
                <w:rFonts w:ascii="Arial"/>
                <w:sz w:val="21"/>
              </w:rPr>
            </w:pPr>
          </w:p>
        </w:tc>
        <w:tc>
          <w:tcPr>
            <w:tcW w:w="736" w:type="dxa"/>
            <w:vMerge w:val="continue"/>
            <w:tcBorders>
              <w:top w:val="nil"/>
              <w:bottom w:val="single" w:color="000000" w:sz="6" w:space="0"/>
            </w:tcBorders>
            <w:vAlign w:val="top"/>
          </w:tcPr>
          <w:p w14:paraId="463E3182">
            <w:pPr>
              <w:rPr>
                <w:rFonts w:ascii="Arial"/>
                <w:sz w:val="21"/>
              </w:rPr>
            </w:pPr>
          </w:p>
        </w:tc>
        <w:tc>
          <w:tcPr>
            <w:tcW w:w="849" w:type="dxa"/>
            <w:tcBorders>
              <w:bottom w:val="single" w:color="000000" w:sz="6" w:space="0"/>
            </w:tcBorders>
            <w:vAlign w:val="top"/>
          </w:tcPr>
          <w:p w14:paraId="6DC66BBD">
            <w:pPr>
              <w:pStyle w:val="6"/>
              <w:spacing w:before="122" w:line="220" w:lineRule="auto"/>
              <w:ind w:left="154"/>
              <w:rPr>
                <w:sz w:val="18"/>
                <w:szCs w:val="18"/>
              </w:rPr>
            </w:pPr>
            <w:r>
              <w:rPr>
                <w:spacing w:val="-3"/>
                <w:sz w:val="18"/>
                <w:szCs w:val="18"/>
              </w:rPr>
              <w:t>无组织</w:t>
            </w:r>
          </w:p>
        </w:tc>
        <w:tc>
          <w:tcPr>
            <w:tcW w:w="1174" w:type="dxa"/>
            <w:vMerge w:val="continue"/>
            <w:tcBorders>
              <w:top w:val="nil"/>
              <w:bottom w:val="single" w:color="000000" w:sz="6" w:space="0"/>
            </w:tcBorders>
            <w:vAlign w:val="top"/>
          </w:tcPr>
          <w:p w14:paraId="3BD37F77">
            <w:pPr>
              <w:rPr>
                <w:rFonts w:ascii="Arial"/>
                <w:sz w:val="21"/>
              </w:rPr>
            </w:pPr>
          </w:p>
        </w:tc>
        <w:tc>
          <w:tcPr>
            <w:tcW w:w="674" w:type="dxa"/>
            <w:vMerge w:val="continue"/>
            <w:tcBorders>
              <w:top w:val="nil"/>
              <w:bottom w:val="single" w:color="000000" w:sz="6" w:space="0"/>
            </w:tcBorders>
            <w:vAlign w:val="top"/>
          </w:tcPr>
          <w:p w14:paraId="2E76B040">
            <w:pPr>
              <w:rPr>
                <w:rFonts w:ascii="Arial"/>
                <w:sz w:val="21"/>
              </w:rPr>
            </w:pPr>
          </w:p>
        </w:tc>
        <w:tc>
          <w:tcPr>
            <w:tcW w:w="1087" w:type="dxa"/>
            <w:tcBorders>
              <w:bottom w:val="single" w:color="000000" w:sz="6" w:space="0"/>
            </w:tcBorders>
            <w:vAlign w:val="top"/>
          </w:tcPr>
          <w:p w14:paraId="09D9709B">
            <w:pPr>
              <w:spacing w:before="150"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tcBorders>
              <w:bottom w:val="single" w:color="000000" w:sz="6" w:space="0"/>
            </w:tcBorders>
            <w:vAlign w:val="top"/>
          </w:tcPr>
          <w:p w14:paraId="3DF52B9B">
            <w:pPr>
              <w:spacing w:before="150"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tcBorders>
              <w:bottom w:val="single" w:color="000000" w:sz="6" w:space="0"/>
            </w:tcBorders>
            <w:vAlign w:val="top"/>
          </w:tcPr>
          <w:p w14:paraId="50C62501">
            <w:pPr>
              <w:spacing w:before="15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674" w:type="dxa"/>
            <w:tcBorders>
              <w:bottom w:val="single" w:color="000000" w:sz="6" w:space="0"/>
            </w:tcBorders>
            <w:vAlign w:val="top"/>
          </w:tcPr>
          <w:p w14:paraId="61171AFC">
            <w:pPr>
              <w:spacing w:before="150"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tcBorders>
              <w:bottom w:val="single" w:color="000000" w:sz="6" w:space="0"/>
            </w:tcBorders>
            <w:vAlign w:val="top"/>
          </w:tcPr>
          <w:p w14:paraId="77625186">
            <w:pPr>
              <w:spacing w:before="150"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single" w:color="000000" w:sz="6" w:space="0"/>
            </w:tcBorders>
            <w:vAlign w:val="top"/>
          </w:tcPr>
          <w:p w14:paraId="5C58A528">
            <w:pPr>
              <w:rPr>
                <w:rFonts w:ascii="Arial"/>
                <w:sz w:val="21"/>
              </w:rPr>
            </w:pPr>
          </w:p>
        </w:tc>
        <w:tc>
          <w:tcPr>
            <w:tcW w:w="1012" w:type="dxa"/>
            <w:tcBorders>
              <w:bottom w:val="single" w:color="000000" w:sz="6" w:space="0"/>
            </w:tcBorders>
            <w:vAlign w:val="top"/>
          </w:tcPr>
          <w:p w14:paraId="12EEF5CC">
            <w:pPr>
              <w:spacing w:before="150"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tcBorders>
              <w:bottom w:val="single" w:color="000000" w:sz="6" w:space="0"/>
            </w:tcBorders>
            <w:vAlign w:val="top"/>
          </w:tcPr>
          <w:p w14:paraId="4C617D54">
            <w:pPr>
              <w:spacing w:before="150"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tcBorders>
              <w:bottom w:val="single" w:color="000000" w:sz="6" w:space="0"/>
            </w:tcBorders>
            <w:vAlign w:val="top"/>
          </w:tcPr>
          <w:p w14:paraId="5D504902">
            <w:pPr>
              <w:spacing w:before="15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749" w:type="dxa"/>
            <w:tcBorders>
              <w:bottom w:val="single" w:color="000000" w:sz="6" w:space="0"/>
            </w:tcBorders>
            <w:vAlign w:val="top"/>
          </w:tcPr>
          <w:p w14:paraId="55AB7003">
            <w:pPr>
              <w:spacing w:before="150"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tcBorders>
              <w:bottom w:val="single" w:color="000000" w:sz="6" w:space="0"/>
            </w:tcBorders>
            <w:vAlign w:val="top"/>
          </w:tcPr>
          <w:p w14:paraId="7FFDAD01">
            <w:pPr>
              <w:spacing w:before="15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single" w:color="000000" w:sz="6" w:space="0"/>
              <w:right w:val="single" w:color="000000" w:sz="6" w:space="0"/>
            </w:tcBorders>
            <w:vAlign w:val="top"/>
          </w:tcPr>
          <w:p w14:paraId="47D9305D">
            <w:pPr>
              <w:rPr>
                <w:rFonts w:ascii="Arial"/>
                <w:sz w:val="21"/>
              </w:rPr>
            </w:pPr>
          </w:p>
        </w:tc>
      </w:tr>
    </w:tbl>
    <w:p w14:paraId="0113781D">
      <w:pPr>
        <w:rPr>
          <w:rFonts w:ascii="Arial"/>
          <w:sz w:val="21"/>
        </w:rPr>
      </w:pPr>
    </w:p>
    <w:p w14:paraId="3961AE5A">
      <w:pPr>
        <w:rPr>
          <w:rFonts w:ascii="Arial" w:hAnsi="Arial" w:eastAsia="Arial" w:cs="Arial"/>
          <w:sz w:val="21"/>
          <w:szCs w:val="21"/>
        </w:rPr>
        <w:sectPr>
          <w:footerReference r:id="rId77" w:type="default"/>
          <w:pgSz w:w="16840" w:h="11907"/>
          <w:pgMar w:top="400" w:right="1702" w:bottom="1241" w:left="1702" w:header="0" w:footer="1079" w:gutter="0"/>
          <w:cols w:space="720" w:num="1"/>
        </w:sectPr>
      </w:pPr>
    </w:p>
    <w:p w14:paraId="1AFE7E8D">
      <w:pPr>
        <w:spacing w:before="13"/>
      </w:pPr>
    </w:p>
    <w:p w14:paraId="0E3CC954">
      <w:pPr>
        <w:spacing w:before="13"/>
      </w:pPr>
    </w:p>
    <w:p w14:paraId="4D9FB5AB">
      <w:pPr>
        <w:spacing w:before="13"/>
      </w:pPr>
    </w:p>
    <w:p w14:paraId="354BAB5A">
      <w:pPr>
        <w:spacing w:before="12"/>
      </w:pPr>
    </w:p>
    <w:tbl>
      <w:tblPr>
        <w:tblStyle w:val="5"/>
        <w:tblW w:w="134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11"/>
        <w:gridCol w:w="708"/>
        <w:gridCol w:w="736"/>
        <w:gridCol w:w="849"/>
        <w:gridCol w:w="1174"/>
        <w:gridCol w:w="674"/>
        <w:gridCol w:w="1087"/>
        <w:gridCol w:w="849"/>
        <w:gridCol w:w="761"/>
        <w:gridCol w:w="674"/>
        <w:gridCol w:w="538"/>
        <w:gridCol w:w="561"/>
        <w:gridCol w:w="1012"/>
        <w:gridCol w:w="724"/>
        <w:gridCol w:w="736"/>
        <w:gridCol w:w="749"/>
        <w:gridCol w:w="600"/>
        <w:gridCol w:w="122"/>
      </w:tblGrid>
      <w:tr w14:paraId="05056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55" w:type="dxa"/>
            <w:vMerge w:val="restart"/>
            <w:tcBorders>
              <w:top w:val="single" w:color="000000" w:sz="6" w:space="0"/>
              <w:left w:val="single" w:color="000000" w:sz="6" w:space="0"/>
              <w:bottom w:val="nil"/>
            </w:tcBorders>
            <w:vAlign w:val="top"/>
          </w:tcPr>
          <w:p w14:paraId="7D5196B0">
            <w:pPr>
              <w:rPr>
                <w:rFonts w:ascii="Arial"/>
                <w:sz w:val="21"/>
              </w:rPr>
            </w:pPr>
          </w:p>
        </w:tc>
        <w:tc>
          <w:tcPr>
            <w:tcW w:w="111" w:type="dxa"/>
            <w:tcBorders>
              <w:top w:val="single" w:color="000000" w:sz="6" w:space="0"/>
              <w:bottom w:val="nil"/>
            </w:tcBorders>
            <w:vAlign w:val="top"/>
          </w:tcPr>
          <w:p w14:paraId="62EC34F5">
            <w:pPr>
              <w:rPr>
                <w:rFonts w:ascii="Arial"/>
                <w:sz w:val="21"/>
              </w:rPr>
            </w:pPr>
          </w:p>
        </w:tc>
        <w:tc>
          <w:tcPr>
            <w:tcW w:w="708" w:type="dxa"/>
            <w:vMerge w:val="restart"/>
            <w:tcBorders>
              <w:top w:val="single" w:color="000000" w:sz="6" w:space="0"/>
              <w:bottom w:val="nil"/>
            </w:tcBorders>
            <w:vAlign w:val="top"/>
          </w:tcPr>
          <w:p w14:paraId="4B39DF42">
            <w:pPr>
              <w:rPr>
                <w:rFonts w:ascii="Arial"/>
                <w:sz w:val="21"/>
              </w:rPr>
            </w:pPr>
          </w:p>
        </w:tc>
        <w:tc>
          <w:tcPr>
            <w:tcW w:w="736" w:type="dxa"/>
            <w:vMerge w:val="restart"/>
            <w:tcBorders>
              <w:top w:val="single" w:color="000000" w:sz="6" w:space="0"/>
              <w:bottom w:val="nil"/>
            </w:tcBorders>
            <w:vAlign w:val="top"/>
          </w:tcPr>
          <w:p w14:paraId="5CC4EC19">
            <w:pPr>
              <w:spacing w:line="269" w:lineRule="auto"/>
              <w:rPr>
                <w:rFonts w:ascii="Arial"/>
                <w:sz w:val="21"/>
              </w:rPr>
            </w:pPr>
          </w:p>
          <w:p w14:paraId="27818589">
            <w:pPr>
              <w:spacing w:line="270" w:lineRule="auto"/>
              <w:rPr>
                <w:rFonts w:ascii="Arial"/>
                <w:sz w:val="21"/>
              </w:rPr>
            </w:pPr>
          </w:p>
          <w:p w14:paraId="5BD7E15C">
            <w:pPr>
              <w:spacing w:line="270" w:lineRule="auto"/>
              <w:rPr>
                <w:rFonts w:ascii="Arial"/>
                <w:sz w:val="21"/>
              </w:rPr>
            </w:pPr>
          </w:p>
          <w:p w14:paraId="5CEE8074">
            <w:pPr>
              <w:spacing w:line="270" w:lineRule="auto"/>
              <w:rPr>
                <w:rFonts w:ascii="Arial"/>
                <w:sz w:val="21"/>
              </w:rPr>
            </w:pPr>
          </w:p>
          <w:p w14:paraId="63CB75B8">
            <w:pPr>
              <w:spacing w:line="270" w:lineRule="auto"/>
              <w:rPr>
                <w:rFonts w:ascii="Arial"/>
                <w:sz w:val="21"/>
              </w:rPr>
            </w:pPr>
          </w:p>
          <w:p w14:paraId="35630718">
            <w:pPr>
              <w:spacing w:line="270" w:lineRule="auto"/>
              <w:rPr>
                <w:rFonts w:ascii="Arial"/>
                <w:sz w:val="21"/>
              </w:rPr>
            </w:pPr>
          </w:p>
          <w:p w14:paraId="2932BBC8">
            <w:pPr>
              <w:pStyle w:val="6"/>
              <w:spacing w:before="59" w:line="219"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w:t>
            </w:r>
            <w:r>
              <w:rPr>
                <w:rFonts w:ascii="Times New Roman" w:hAnsi="Times New Roman" w:eastAsia="Times New Roman" w:cs="Times New Roman"/>
                <w:spacing w:val="7"/>
                <w:sz w:val="18"/>
                <w:szCs w:val="18"/>
              </w:rPr>
              <w:t xml:space="preserve"> </w:t>
            </w:r>
            <w:r>
              <w:rPr>
                <w:spacing w:val="-4"/>
                <w:sz w:val="18"/>
                <w:szCs w:val="18"/>
              </w:rPr>
              <w:t>层</w:t>
            </w:r>
            <w:r>
              <w:rPr>
                <w:rFonts w:ascii="Times New Roman" w:hAnsi="Times New Roman" w:eastAsia="Times New Roman" w:cs="Times New Roman"/>
                <w:spacing w:val="-4"/>
                <w:sz w:val="18"/>
                <w:szCs w:val="18"/>
              </w:rPr>
              <w:t>-A</w:t>
            </w:r>
          </w:p>
        </w:tc>
        <w:tc>
          <w:tcPr>
            <w:tcW w:w="849" w:type="dxa"/>
            <w:tcBorders>
              <w:top w:val="single" w:color="000000" w:sz="6" w:space="0"/>
            </w:tcBorders>
            <w:vAlign w:val="top"/>
          </w:tcPr>
          <w:p w14:paraId="7DCA0FDB">
            <w:pPr>
              <w:pStyle w:val="6"/>
              <w:spacing w:before="159" w:line="220" w:lineRule="auto"/>
              <w:ind w:left="154"/>
              <w:rPr>
                <w:sz w:val="18"/>
                <w:szCs w:val="18"/>
              </w:rPr>
            </w:pPr>
            <w:r>
              <w:rPr>
                <w:spacing w:val="-3"/>
                <w:sz w:val="18"/>
                <w:szCs w:val="18"/>
              </w:rPr>
              <w:t>有组织</w:t>
            </w:r>
          </w:p>
        </w:tc>
        <w:tc>
          <w:tcPr>
            <w:tcW w:w="1174" w:type="dxa"/>
            <w:vMerge w:val="restart"/>
            <w:tcBorders>
              <w:top w:val="single" w:color="000000" w:sz="6" w:space="0"/>
              <w:bottom w:val="nil"/>
            </w:tcBorders>
            <w:vAlign w:val="top"/>
          </w:tcPr>
          <w:p w14:paraId="4AEB814E">
            <w:pPr>
              <w:spacing w:line="300" w:lineRule="auto"/>
              <w:rPr>
                <w:rFonts w:ascii="Arial"/>
                <w:sz w:val="21"/>
              </w:rPr>
            </w:pPr>
          </w:p>
          <w:p w14:paraId="211B01E2">
            <w:pPr>
              <w:pStyle w:val="6"/>
              <w:spacing w:before="58" w:line="221" w:lineRule="auto"/>
              <w:ind w:left="320"/>
              <w:rPr>
                <w:sz w:val="18"/>
                <w:szCs w:val="18"/>
              </w:rPr>
            </w:pPr>
            <w:r>
              <w:rPr>
                <w:spacing w:val="-4"/>
                <w:sz w:val="18"/>
                <w:szCs w:val="18"/>
              </w:rPr>
              <w:t>氯化氢</w:t>
            </w:r>
          </w:p>
        </w:tc>
        <w:tc>
          <w:tcPr>
            <w:tcW w:w="674" w:type="dxa"/>
            <w:vMerge w:val="restart"/>
            <w:tcBorders>
              <w:top w:val="single" w:color="000000" w:sz="6" w:space="0"/>
              <w:bottom w:val="nil"/>
            </w:tcBorders>
            <w:vAlign w:val="top"/>
          </w:tcPr>
          <w:p w14:paraId="429F7EB6">
            <w:pPr>
              <w:spacing w:line="250" w:lineRule="auto"/>
              <w:rPr>
                <w:rFonts w:ascii="Arial"/>
                <w:sz w:val="21"/>
              </w:rPr>
            </w:pPr>
          </w:p>
          <w:p w14:paraId="370727EE">
            <w:pPr>
              <w:spacing w:line="250" w:lineRule="auto"/>
              <w:rPr>
                <w:rFonts w:ascii="Arial"/>
                <w:sz w:val="21"/>
              </w:rPr>
            </w:pPr>
          </w:p>
          <w:p w14:paraId="662919C4">
            <w:pPr>
              <w:spacing w:line="250" w:lineRule="auto"/>
              <w:rPr>
                <w:rFonts w:ascii="Arial"/>
                <w:sz w:val="21"/>
              </w:rPr>
            </w:pPr>
          </w:p>
          <w:p w14:paraId="529DAE77">
            <w:pPr>
              <w:spacing w:line="250" w:lineRule="auto"/>
              <w:rPr>
                <w:rFonts w:ascii="Arial"/>
                <w:sz w:val="21"/>
              </w:rPr>
            </w:pPr>
          </w:p>
          <w:p w14:paraId="6E02DF9C">
            <w:pPr>
              <w:spacing w:line="251" w:lineRule="auto"/>
              <w:rPr>
                <w:rFonts w:ascii="Arial"/>
                <w:sz w:val="21"/>
              </w:rPr>
            </w:pPr>
          </w:p>
          <w:p w14:paraId="49AFC224">
            <w:pPr>
              <w:spacing w:line="251" w:lineRule="auto"/>
              <w:rPr>
                <w:rFonts w:ascii="Arial"/>
                <w:sz w:val="21"/>
              </w:rPr>
            </w:pPr>
          </w:p>
          <w:p w14:paraId="1FA4DF11">
            <w:pPr>
              <w:pStyle w:val="6"/>
              <w:spacing w:before="58"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tcBorders>
              <w:top w:val="single" w:color="000000" w:sz="6" w:space="0"/>
            </w:tcBorders>
            <w:vAlign w:val="top"/>
          </w:tcPr>
          <w:p w14:paraId="1B6DF759">
            <w:pPr>
              <w:spacing w:before="188"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tcBorders>
              <w:top w:val="single" w:color="000000" w:sz="6" w:space="0"/>
            </w:tcBorders>
            <w:vAlign w:val="top"/>
          </w:tcPr>
          <w:p w14:paraId="50AF1E25">
            <w:pPr>
              <w:spacing w:before="188"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301.39</w:t>
            </w:r>
          </w:p>
        </w:tc>
        <w:tc>
          <w:tcPr>
            <w:tcW w:w="761" w:type="dxa"/>
            <w:tcBorders>
              <w:top w:val="single" w:color="000000" w:sz="6" w:space="0"/>
            </w:tcBorders>
            <w:vAlign w:val="top"/>
          </w:tcPr>
          <w:p w14:paraId="5C6F7CA3">
            <w:pPr>
              <w:spacing w:before="188"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6.0278</w:t>
            </w:r>
          </w:p>
        </w:tc>
        <w:tc>
          <w:tcPr>
            <w:tcW w:w="674" w:type="dxa"/>
            <w:tcBorders>
              <w:top w:val="single" w:color="000000" w:sz="6" w:space="0"/>
            </w:tcBorders>
            <w:vAlign w:val="top"/>
          </w:tcPr>
          <w:p w14:paraId="4753D590">
            <w:pPr>
              <w:pStyle w:val="6"/>
              <w:spacing w:before="42" w:line="221" w:lineRule="auto"/>
              <w:ind w:left="73"/>
              <w:rPr>
                <w:sz w:val="18"/>
                <w:szCs w:val="18"/>
              </w:rPr>
            </w:pPr>
            <w:r>
              <w:rPr>
                <w:spacing w:val="-3"/>
                <w:sz w:val="18"/>
                <w:szCs w:val="18"/>
              </w:rPr>
              <w:t>三级碱</w:t>
            </w:r>
          </w:p>
          <w:p w14:paraId="041734F0">
            <w:pPr>
              <w:pStyle w:val="6"/>
              <w:spacing w:before="16" w:line="203" w:lineRule="auto"/>
              <w:ind w:left="74"/>
              <w:rPr>
                <w:sz w:val="18"/>
                <w:szCs w:val="18"/>
              </w:rPr>
            </w:pPr>
            <w:r>
              <w:rPr>
                <w:spacing w:val="-3"/>
                <w:sz w:val="18"/>
                <w:szCs w:val="18"/>
              </w:rPr>
              <w:t>液喷淋</w:t>
            </w:r>
          </w:p>
        </w:tc>
        <w:tc>
          <w:tcPr>
            <w:tcW w:w="538" w:type="dxa"/>
            <w:tcBorders>
              <w:top w:val="single" w:color="000000" w:sz="6" w:space="0"/>
            </w:tcBorders>
            <w:vAlign w:val="top"/>
          </w:tcPr>
          <w:p w14:paraId="7D6BD1C9">
            <w:pPr>
              <w:spacing w:before="188"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top w:val="single" w:color="000000" w:sz="6" w:space="0"/>
              <w:bottom w:val="nil"/>
            </w:tcBorders>
            <w:vAlign w:val="top"/>
          </w:tcPr>
          <w:p w14:paraId="7F9CBD3E">
            <w:pPr>
              <w:spacing w:line="277" w:lineRule="auto"/>
              <w:rPr>
                <w:rFonts w:ascii="Arial"/>
                <w:sz w:val="21"/>
              </w:rPr>
            </w:pPr>
          </w:p>
          <w:p w14:paraId="4E052668">
            <w:pPr>
              <w:spacing w:line="277" w:lineRule="auto"/>
              <w:rPr>
                <w:rFonts w:ascii="Arial"/>
                <w:sz w:val="21"/>
              </w:rPr>
            </w:pPr>
          </w:p>
          <w:p w14:paraId="232AC934">
            <w:pPr>
              <w:spacing w:line="278" w:lineRule="auto"/>
              <w:rPr>
                <w:rFonts w:ascii="Arial"/>
                <w:sz w:val="21"/>
              </w:rPr>
            </w:pPr>
          </w:p>
          <w:p w14:paraId="31485D2F">
            <w:pPr>
              <w:spacing w:line="278" w:lineRule="auto"/>
              <w:rPr>
                <w:rFonts w:ascii="Arial"/>
                <w:sz w:val="21"/>
              </w:rPr>
            </w:pPr>
          </w:p>
          <w:p w14:paraId="233E5D29">
            <w:pPr>
              <w:spacing w:line="278" w:lineRule="auto"/>
              <w:rPr>
                <w:rFonts w:ascii="Arial"/>
                <w:sz w:val="21"/>
              </w:rPr>
            </w:pPr>
          </w:p>
          <w:p w14:paraId="60B1504B">
            <w:pPr>
              <w:pStyle w:val="6"/>
              <w:spacing w:before="58" w:line="219" w:lineRule="auto"/>
              <w:ind w:left="106"/>
              <w:rPr>
                <w:sz w:val="18"/>
                <w:szCs w:val="18"/>
              </w:rPr>
            </w:pPr>
            <w:r>
              <w:rPr>
                <w:spacing w:val="-4"/>
                <w:sz w:val="18"/>
                <w:szCs w:val="18"/>
              </w:rPr>
              <w:t>产污</w:t>
            </w:r>
          </w:p>
          <w:p w14:paraId="6F975854">
            <w:pPr>
              <w:pStyle w:val="6"/>
              <w:spacing w:before="18" w:line="244" w:lineRule="auto"/>
              <w:ind w:left="198" w:right="96" w:hanging="88"/>
              <w:rPr>
                <w:sz w:val="18"/>
                <w:szCs w:val="18"/>
              </w:rPr>
            </w:pPr>
            <w:r>
              <w:rPr>
                <w:spacing w:val="-6"/>
                <w:sz w:val="18"/>
                <w:szCs w:val="18"/>
              </w:rPr>
              <w:t>系数</w:t>
            </w:r>
            <w:r>
              <w:rPr>
                <w:sz w:val="18"/>
                <w:szCs w:val="18"/>
              </w:rPr>
              <w:t xml:space="preserve"> 法</w:t>
            </w:r>
          </w:p>
        </w:tc>
        <w:tc>
          <w:tcPr>
            <w:tcW w:w="1012" w:type="dxa"/>
            <w:tcBorders>
              <w:top w:val="single" w:color="000000" w:sz="6" w:space="0"/>
            </w:tcBorders>
            <w:vAlign w:val="top"/>
          </w:tcPr>
          <w:p w14:paraId="4CFAA72B">
            <w:pPr>
              <w:spacing w:before="188"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tcBorders>
              <w:top w:val="single" w:color="000000" w:sz="6" w:space="0"/>
            </w:tcBorders>
            <w:vAlign w:val="top"/>
          </w:tcPr>
          <w:p w14:paraId="39C4C304">
            <w:pPr>
              <w:spacing w:before="188"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21.10</w:t>
            </w:r>
          </w:p>
        </w:tc>
        <w:tc>
          <w:tcPr>
            <w:tcW w:w="736" w:type="dxa"/>
            <w:tcBorders>
              <w:top w:val="single" w:color="000000" w:sz="6" w:space="0"/>
            </w:tcBorders>
            <w:vAlign w:val="top"/>
          </w:tcPr>
          <w:p w14:paraId="77BD51CA">
            <w:pPr>
              <w:spacing w:before="18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0.4219</w:t>
            </w:r>
          </w:p>
        </w:tc>
        <w:tc>
          <w:tcPr>
            <w:tcW w:w="749" w:type="dxa"/>
            <w:tcBorders>
              <w:top w:val="single" w:color="000000" w:sz="6" w:space="0"/>
            </w:tcBorders>
            <w:vAlign w:val="top"/>
          </w:tcPr>
          <w:p w14:paraId="0B2437CD">
            <w:pPr>
              <w:spacing w:before="188"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DA008</w:t>
            </w:r>
          </w:p>
        </w:tc>
        <w:tc>
          <w:tcPr>
            <w:tcW w:w="600" w:type="dxa"/>
            <w:tcBorders>
              <w:top w:val="single" w:color="000000" w:sz="6" w:space="0"/>
            </w:tcBorders>
            <w:vAlign w:val="top"/>
          </w:tcPr>
          <w:p w14:paraId="07FD3765">
            <w:pPr>
              <w:spacing w:before="18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restart"/>
            <w:tcBorders>
              <w:top w:val="single" w:color="000000" w:sz="6" w:space="0"/>
              <w:bottom w:val="nil"/>
              <w:right w:val="single" w:color="000000" w:sz="6" w:space="0"/>
            </w:tcBorders>
            <w:vAlign w:val="top"/>
          </w:tcPr>
          <w:p w14:paraId="3F4A876F">
            <w:pPr>
              <w:rPr>
                <w:rFonts w:ascii="Arial"/>
                <w:sz w:val="21"/>
              </w:rPr>
            </w:pPr>
          </w:p>
        </w:tc>
      </w:tr>
      <w:tr w14:paraId="371EB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7E8F8E9E">
            <w:pPr>
              <w:rPr>
                <w:rFonts w:ascii="Arial"/>
                <w:sz w:val="21"/>
              </w:rPr>
            </w:pPr>
          </w:p>
        </w:tc>
        <w:tc>
          <w:tcPr>
            <w:tcW w:w="111" w:type="dxa"/>
            <w:tcBorders>
              <w:top w:val="nil"/>
              <w:bottom w:val="nil"/>
            </w:tcBorders>
            <w:vAlign w:val="top"/>
          </w:tcPr>
          <w:p w14:paraId="73AE8BEB">
            <w:pPr>
              <w:rPr>
                <w:rFonts w:ascii="Arial"/>
                <w:sz w:val="21"/>
              </w:rPr>
            </w:pPr>
          </w:p>
        </w:tc>
        <w:tc>
          <w:tcPr>
            <w:tcW w:w="708" w:type="dxa"/>
            <w:vMerge w:val="continue"/>
            <w:tcBorders>
              <w:top w:val="nil"/>
              <w:bottom w:val="nil"/>
            </w:tcBorders>
            <w:vAlign w:val="top"/>
          </w:tcPr>
          <w:p w14:paraId="431AF579">
            <w:pPr>
              <w:rPr>
                <w:rFonts w:ascii="Arial"/>
                <w:sz w:val="21"/>
              </w:rPr>
            </w:pPr>
          </w:p>
        </w:tc>
        <w:tc>
          <w:tcPr>
            <w:tcW w:w="736" w:type="dxa"/>
            <w:vMerge w:val="continue"/>
            <w:tcBorders>
              <w:top w:val="nil"/>
              <w:bottom w:val="nil"/>
            </w:tcBorders>
            <w:vAlign w:val="top"/>
          </w:tcPr>
          <w:p w14:paraId="2D14F7BE">
            <w:pPr>
              <w:rPr>
                <w:rFonts w:ascii="Arial"/>
                <w:sz w:val="21"/>
              </w:rPr>
            </w:pPr>
          </w:p>
        </w:tc>
        <w:tc>
          <w:tcPr>
            <w:tcW w:w="849" w:type="dxa"/>
            <w:vAlign w:val="top"/>
          </w:tcPr>
          <w:p w14:paraId="3C5BA7F5">
            <w:pPr>
              <w:pStyle w:val="6"/>
              <w:spacing w:before="111" w:line="220" w:lineRule="auto"/>
              <w:ind w:left="154"/>
              <w:rPr>
                <w:sz w:val="18"/>
                <w:szCs w:val="18"/>
              </w:rPr>
            </w:pPr>
            <w:r>
              <w:rPr>
                <w:spacing w:val="-3"/>
                <w:sz w:val="18"/>
                <w:szCs w:val="18"/>
              </w:rPr>
              <w:t>无组织</w:t>
            </w:r>
          </w:p>
        </w:tc>
        <w:tc>
          <w:tcPr>
            <w:tcW w:w="1174" w:type="dxa"/>
            <w:vMerge w:val="continue"/>
            <w:tcBorders>
              <w:top w:val="nil"/>
            </w:tcBorders>
            <w:vAlign w:val="top"/>
          </w:tcPr>
          <w:p w14:paraId="730B4436">
            <w:pPr>
              <w:rPr>
                <w:rFonts w:ascii="Arial"/>
                <w:sz w:val="21"/>
              </w:rPr>
            </w:pPr>
          </w:p>
        </w:tc>
        <w:tc>
          <w:tcPr>
            <w:tcW w:w="674" w:type="dxa"/>
            <w:vMerge w:val="continue"/>
            <w:tcBorders>
              <w:top w:val="nil"/>
              <w:bottom w:val="nil"/>
            </w:tcBorders>
            <w:vAlign w:val="top"/>
          </w:tcPr>
          <w:p w14:paraId="7DDA6A4D">
            <w:pPr>
              <w:rPr>
                <w:rFonts w:ascii="Arial"/>
                <w:sz w:val="21"/>
              </w:rPr>
            </w:pPr>
          </w:p>
        </w:tc>
        <w:tc>
          <w:tcPr>
            <w:tcW w:w="1087" w:type="dxa"/>
            <w:vAlign w:val="top"/>
          </w:tcPr>
          <w:p w14:paraId="1A93EBAB">
            <w:pPr>
              <w:spacing w:before="139"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2F1E462E">
            <w:pPr>
              <w:spacing w:before="139"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51F6ADCE">
            <w:pPr>
              <w:spacing w:before="14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674" w:type="dxa"/>
            <w:vAlign w:val="top"/>
          </w:tcPr>
          <w:p w14:paraId="5EE0DF8D">
            <w:pPr>
              <w:spacing w:before="139"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197144DC">
            <w:pPr>
              <w:spacing w:before="139"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310CEAE">
            <w:pPr>
              <w:rPr>
                <w:rFonts w:ascii="Arial"/>
                <w:sz w:val="21"/>
              </w:rPr>
            </w:pPr>
          </w:p>
        </w:tc>
        <w:tc>
          <w:tcPr>
            <w:tcW w:w="1012" w:type="dxa"/>
            <w:vAlign w:val="top"/>
          </w:tcPr>
          <w:p w14:paraId="51D3FF12">
            <w:pPr>
              <w:spacing w:before="139"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0E22560E">
            <w:pPr>
              <w:spacing w:before="139"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6976C17A">
            <w:pPr>
              <w:spacing w:before="14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749" w:type="dxa"/>
            <w:vAlign w:val="top"/>
          </w:tcPr>
          <w:p w14:paraId="0E1978FD">
            <w:pPr>
              <w:spacing w:before="139"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02449B00">
            <w:pPr>
              <w:spacing w:before="14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03E2B71F">
            <w:pPr>
              <w:rPr>
                <w:rFonts w:ascii="Arial"/>
                <w:sz w:val="21"/>
              </w:rPr>
            </w:pPr>
          </w:p>
        </w:tc>
      </w:tr>
      <w:tr w14:paraId="23572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56456FE2">
            <w:pPr>
              <w:rPr>
                <w:rFonts w:ascii="Arial"/>
                <w:sz w:val="21"/>
              </w:rPr>
            </w:pPr>
          </w:p>
        </w:tc>
        <w:tc>
          <w:tcPr>
            <w:tcW w:w="111" w:type="dxa"/>
            <w:tcBorders>
              <w:top w:val="nil"/>
              <w:bottom w:val="nil"/>
            </w:tcBorders>
            <w:vAlign w:val="top"/>
          </w:tcPr>
          <w:p w14:paraId="48776DDC">
            <w:pPr>
              <w:rPr>
                <w:rFonts w:ascii="Arial"/>
                <w:sz w:val="21"/>
              </w:rPr>
            </w:pPr>
          </w:p>
        </w:tc>
        <w:tc>
          <w:tcPr>
            <w:tcW w:w="708" w:type="dxa"/>
            <w:vMerge w:val="continue"/>
            <w:tcBorders>
              <w:top w:val="nil"/>
              <w:bottom w:val="nil"/>
            </w:tcBorders>
            <w:vAlign w:val="top"/>
          </w:tcPr>
          <w:p w14:paraId="3F0FC70E">
            <w:pPr>
              <w:rPr>
                <w:rFonts w:ascii="Arial"/>
                <w:sz w:val="21"/>
              </w:rPr>
            </w:pPr>
          </w:p>
        </w:tc>
        <w:tc>
          <w:tcPr>
            <w:tcW w:w="736" w:type="dxa"/>
            <w:vMerge w:val="continue"/>
            <w:tcBorders>
              <w:top w:val="nil"/>
              <w:bottom w:val="nil"/>
            </w:tcBorders>
            <w:vAlign w:val="top"/>
          </w:tcPr>
          <w:p w14:paraId="656AB35C">
            <w:pPr>
              <w:rPr>
                <w:rFonts w:ascii="Arial"/>
                <w:sz w:val="21"/>
              </w:rPr>
            </w:pPr>
          </w:p>
        </w:tc>
        <w:tc>
          <w:tcPr>
            <w:tcW w:w="849" w:type="dxa"/>
            <w:vAlign w:val="top"/>
          </w:tcPr>
          <w:p w14:paraId="37CD11DB">
            <w:pPr>
              <w:pStyle w:val="6"/>
              <w:spacing w:before="145" w:line="220" w:lineRule="auto"/>
              <w:ind w:left="154"/>
              <w:rPr>
                <w:sz w:val="18"/>
                <w:szCs w:val="18"/>
              </w:rPr>
            </w:pPr>
            <w:r>
              <w:rPr>
                <w:spacing w:val="-3"/>
                <w:sz w:val="18"/>
                <w:szCs w:val="18"/>
              </w:rPr>
              <w:t>有组织</w:t>
            </w:r>
          </w:p>
        </w:tc>
        <w:tc>
          <w:tcPr>
            <w:tcW w:w="1174" w:type="dxa"/>
            <w:vMerge w:val="restart"/>
            <w:tcBorders>
              <w:bottom w:val="nil"/>
            </w:tcBorders>
            <w:vAlign w:val="top"/>
          </w:tcPr>
          <w:p w14:paraId="698A8619">
            <w:pPr>
              <w:pStyle w:val="6"/>
              <w:spacing w:before="232" w:line="219" w:lineRule="auto"/>
              <w:ind w:left="137"/>
              <w:rPr>
                <w:sz w:val="18"/>
                <w:szCs w:val="18"/>
              </w:rPr>
            </w:pPr>
            <w:r>
              <w:rPr>
                <w:spacing w:val="-2"/>
                <w:sz w:val="18"/>
                <w:szCs w:val="18"/>
              </w:rPr>
              <w:t>氟化氢（以</w:t>
            </w:r>
          </w:p>
          <w:p w14:paraId="2DD97115">
            <w:pPr>
              <w:pStyle w:val="6"/>
              <w:spacing w:before="19"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6B108989">
            <w:pPr>
              <w:rPr>
                <w:rFonts w:ascii="Arial"/>
                <w:sz w:val="21"/>
              </w:rPr>
            </w:pPr>
          </w:p>
        </w:tc>
        <w:tc>
          <w:tcPr>
            <w:tcW w:w="1087" w:type="dxa"/>
            <w:vAlign w:val="top"/>
          </w:tcPr>
          <w:p w14:paraId="7A906D1B">
            <w:pPr>
              <w:spacing w:before="174"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6ACEE03A">
            <w:pPr>
              <w:spacing w:before="174"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29.93</w:t>
            </w:r>
          </w:p>
        </w:tc>
        <w:tc>
          <w:tcPr>
            <w:tcW w:w="761" w:type="dxa"/>
            <w:vAlign w:val="top"/>
          </w:tcPr>
          <w:p w14:paraId="2648D806">
            <w:pPr>
              <w:spacing w:before="17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0.5985</w:t>
            </w:r>
          </w:p>
        </w:tc>
        <w:tc>
          <w:tcPr>
            <w:tcW w:w="674" w:type="dxa"/>
            <w:vAlign w:val="top"/>
          </w:tcPr>
          <w:p w14:paraId="65E3DF05">
            <w:pPr>
              <w:pStyle w:val="6"/>
              <w:spacing w:before="28" w:line="221" w:lineRule="auto"/>
              <w:ind w:left="73"/>
              <w:rPr>
                <w:sz w:val="18"/>
                <w:szCs w:val="18"/>
              </w:rPr>
            </w:pPr>
            <w:r>
              <w:rPr>
                <w:spacing w:val="-3"/>
                <w:sz w:val="18"/>
                <w:szCs w:val="18"/>
              </w:rPr>
              <w:t>三级碱</w:t>
            </w:r>
          </w:p>
          <w:p w14:paraId="5724E9B1">
            <w:pPr>
              <w:pStyle w:val="6"/>
              <w:spacing w:before="16" w:line="204" w:lineRule="auto"/>
              <w:ind w:left="74"/>
              <w:rPr>
                <w:sz w:val="18"/>
                <w:szCs w:val="18"/>
              </w:rPr>
            </w:pPr>
            <w:r>
              <w:rPr>
                <w:spacing w:val="-3"/>
                <w:sz w:val="18"/>
                <w:szCs w:val="18"/>
              </w:rPr>
              <w:t>液喷淋</w:t>
            </w:r>
          </w:p>
        </w:tc>
        <w:tc>
          <w:tcPr>
            <w:tcW w:w="538" w:type="dxa"/>
            <w:vAlign w:val="top"/>
          </w:tcPr>
          <w:p w14:paraId="17B9D485">
            <w:pPr>
              <w:spacing w:before="174"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4B7E01B0">
            <w:pPr>
              <w:rPr>
                <w:rFonts w:ascii="Arial"/>
                <w:sz w:val="21"/>
              </w:rPr>
            </w:pPr>
          </w:p>
        </w:tc>
        <w:tc>
          <w:tcPr>
            <w:tcW w:w="1012" w:type="dxa"/>
            <w:vAlign w:val="top"/>
          </w:tcPr>
          <w:p w14:paraId="1BA687AC">
            <w:pPr>
              <w:spacing w:before="174"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5803BB43">
            <w:pPr>
              <w:spacing w:before="17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36" w:type="dxa"/>
            <w:vAlign w:val="top"/>
          </w:tcPr>
          <w:p w14:paraId="4F8AD337">
            <w:pPr>
              <w:spacing w:before="17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0.0958</w:t>
            </w:r>
          </w:p>
        </w:tc>
        <w:tc>
          <w:tcPr>
            <w:tcW w:w="749" w:type="dxa"/>
            <w:vAlign w:val="top"/>
          </w:tcPr>
          <w:p w14:paraId="4EA67965">
            <w:pPr>
              <w:spacing w:before="174"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DA008</w:t>
            </w:r>
          </w:p>
        </w:tc>
        <w:tc>
          <w:tcPr>
            <w:tcW w:w="600" w:type="dxa"/>
            <w:vAlign w:val="top"/>
          </w:tcPr>
          <w:p w14:paraId="25831D01">
            <w:pPr>
              <w:spacing w:before="17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242F54E8">
            <w:pPr>
              <w:rPr>
                <w:rFonts w:ascii="Arial"/>
                <w:sz w:val="21"/>
              </w:rPr>
            </w:pPr>
          </w:p>
        </w:tc>
      </w:tr>
      <w:tr w14:paraId="0C1F8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55" w:type="dxa"/>
            <w:vMerge w:val="continue"/>
            <w:tcBorders>
              <w:top w:val="nil"/>
              <w:left w:val="single" w:color="000000" w:sz="6" w:space="0"/>
              <w:bottom w:val="nil"/>
            </w:tcBorders>
            <w:vAlign w:val="top"/>
          </w:tcPr>
          <w:p w14:paraId="1AABF7E9">
            <w:pPr>
              <w:rPr>
                <w:rFonts w:ascii="Arial"/>
                <w:sz w:val="21"/>
              </w:rPr>
            </w:pPr>
          </w:p>
        </w:tc>
        <w:tc>
          <w:tcPr>
            <w:tcW w:w="111" w:type="dxa"/>
            <w:tcBorders>
              <w:top w:val="nil"/>
              <w:bottom w:val="nil"/>
            </w:tcBorders>
            <w:vAlign w:val="top"/>
          </w:tcPr>
          <w:p w14:paraId="1EEE248C">
            <w:pPr>
              <w:rPr>
                <w:rFonts w:ascii="Arial"/>
                <w:sz w:val="21"/>
              </w:rPr>
            </w:pPr>
          </w:p>
        </w:tc>
        <w:tc>
          <w:tcPr>
            <w:tcW w:w="708" w:type="dxa"/>
            <w:vMerge w:val="continue"/>
            <w:tcBorders>
              <w:top w:val="nil"/>
              <w:bottom w:val="nil"/>
            </w:tcBorders>
            <w:vAlign w:val="top"/>
          </w:tcPr>
          <w:p w14:paraId="61C95650">
            <w:pPr>
              <w:rPr>
                <w:rFonts w:ascii="Arial"/>
                <w:sz w:val="21"/>
              </w:rPr>
            </w:pPr>
          </w:p>
        </w:tc>
        <w:tc>
          <w:tcPr>
            <w:tcW w:w="736" w:type="dxa"/>
            <w:vMerge w:val="continue"/>
            <w:tcBorders>
              <w:top w:val="nil"/>
              <w:bottom w:val="nil"/>
            </w:tcBorders>
            <w:vAlign w:val="top"/>
          </w:tcPr>
          <w:p w14:paraId="206BEE2C">
            <w:pPr>
              <w:rPr>
                <w:rFonts w:ascii="Arial"/>
                <w:sz w:val="21"/>
              </w:rPr>
            </w:pPr>
          </w:p>
        </w:tc>
        <w:tc>
          <w:tcPr>
            <w:tcW w:w="849" w:type="dxa"/>
            <w:vAlign w:val="top"/>
          </w:tcPr>
          <w:p w14:paraId="05757D17">
            <w:pPr>
              <w:pStyle w:val="6"/>
              <w:spacing w:before="113" w:line="220" w:lineRule="auto"/>
              <w:ind w:left="154"/>
              <w:rPr>
                <w:sz w:val="18"/>
                <w:szCs w:val="18"/>
              </w:rPr>
            </w:pPr>
            <w:r>
              <w:rPr>
                <w:spacing w:val="-3"/>
                <w:sz w:val="18"/>
                <w:szCs w:val="18"/>
              </w:rPr>
              <w:t>无组织</w:t>
            </w:r>
          </w:p>
        </w:tc>
        <w:tc>
          <w:tcPr>
            <w:tcW w:w="1174" w:type="dxa"/>
            <w:vMerge w:val="continue"/>
            <w:tcBorders>
              <w:top w:val="nil"/>
            </w:tcBorders>
            <w:vAlign w:val="top"/>
          </w:tcPr>
          <w:p w14:paraId="5AFF52F8">
            <w:pPr>
              <w:rPr>
                <w:rFonts w:ascii="Arial"/>
                <w:sz w:val="21"/>
              </w:rPr>
            </w:pPr>
          </w:p>
        </w:tc>
        <w:tc>
          <w:tcPr>
            <w:tcW w:w="674" w:type="dxa"/>
            <w:vMerge w:val="continue"/>
            <w:tcBorders>
              <w:top w:val="nil"/>
              <w:bottom w:val="nil"/>
            </w:tcBorders>
            <w:vAlign w:val="top"/>
          </w:tcPr>
          <w:p w14:paraId="3CB7367F">
            <w:pPr>
              <w:rPr>
                <w:rFonts w:ascii="Arial"/>
                <w:sz w:val="21"/>
              </w:rPr>
            </w:pPr>
          </w:p>
        </w:tc>
        <w:tc>
          <w:tcPr>
            <w:tcW w:w="1087" w:type="dxa"/>
            <w:vAlign w:val="top"/>
          </w:tcPr>
          <w:p w14:paraId="7AA0AD2E">
            <w:pPr>
              <w:spacing w:before="140"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0FC9841">
            <w:pPr>
              <w:spacing w:before="140"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E350456">
            <w:pPr>
              <w:spacing w:before="14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674" w:type="dxa"/>
            <w:vAlign w:val="top"/>
          </w:tcPr>
          <w:p w14:paraId="44E73DD4">
            <w:pPr>
              <w:spacing w:before="140"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5CE2D772">
            <w:pPr>
              <w:spacing w:before="140"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018D9218">
            <w:pPr>
              <w:rPr>
                <w:rFonts w:ascii="Arial"/>
                <w:sz w:val="21"/>
              </w:rPr>
            </w:pPr>
          </w:p>
        </w:tc>
        <w:tc>
          <w:tcPr>
            <w:tcW w:w="1012" w:type="dxa"/>
            <w:vAlign w:val="top"/>
          </w:tcPr>
          <w:p w14:paraId="56ABABD4">
            <w:pPr>
              <w:spacing w:before="140"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4270A98A">
            <w:pPr>
              <w:spacing w:before="140"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0DEF859C">
            <w:pPr>
              <w:spacing w:before="14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749" w:type="dxa"/>
            <w:vAlign w:val="top"/>
          </w:tcPr>
          <w:p w14:paraId="2C629945">
            <w:pPr>
              <w:spacing w:before="140"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61915D35">
            <w:pPr>
              <w:spacing w:before="14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F5A8807">
            <w:pPr>
              <w:rPr>
                <w:rFonts w:ascii="Arial"/>
                <w:sz w:val="21"/>
              </w:rPr>
            </w:pPr>
          </w:p>
        </w:tc>
      </w:tr>
      <w:tr w14:paraId="62B75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5379A6F2">
            <w:pPr>
              <w:rPr>
                <w:rFonts w:ascii="Arial"/>
                <w:sz w:val="21"/>
              </w:rPr>
            </w:pPr>
          </w:p>
        </w:tc>
        <w:tc>
          <w:tcPr>
            <w:tcW w:w="111" w:type="dxa"/>
            <w:tcBorders>
              <w:top w:val="nil"/>
              <w:bottom w:val="nil"/>
            </w:tcBorders>
            <w:vAlign w:val="top"/>
          </w:tcPr>
          <w:p w14:paraId="106F8088">
            <w:pPr>
              <w:rPr>
                <w:rFonts w:ascii="Arial"/>
                <w:sz w:val="21"/>
              </w:rPr>
            </w:pPr>
          </w:p>
        </w:tc>
        <w:tc>
          <w:tcPr>
            <w:tcW w:w="708" w:type="dxa"/>
            <w:vMerge w:val="continue"/>
            <w:tcBorders>
              <w:top w:val="nil"/>
              <w:bottom w:val="nil"/>
            </w:tcBorders>
            <w:vAlign w:val="top"/>
          </w:tcPr>
          <w:p w14:paraId="2752EA78">
            <w:pPr>
              <w:rPr>
                <w:rFonts w:ascii="Arial"/>
                <w:sz w:val="21"/>
              </w:rPr>
            </w:pPr>
          </w:p>
        </w:tc>
        <w:tc>
          <w:tcPr>
            <w:tcW w:w="736" w:type="dxa"/>
            <w:vMerge w:val="continue"/>
            <w:tcBorders>
              <w:top w:val="nil"/>
              <w:bottom w:val="nil"/>
            </w:tcBorders>
            <w:vAlign w:val="top"/>
          </w:tcPr>
          <w:p w14:paraId="443B518E">
            <w:pPr>
              <w:rPr>
                <w:rFonts w:ascii="Arial"/>
                <w:sz w:val="21"/>
              </w:rPr>
            </w:pPr>
          </w:p>
        </w:tc>
        <w:tc>
          <w:tcPr>
            <w:tcW w:w="849" w:type="dxa"/>
            <w:vAlign w:val="top"/>
          </w:tcPr>
          <w:p w14:paraId="5971A5DB">
            <w:pPr>
              <w:pStyle w:val="6"/>
              <w:spacing w:before="151" w:line="220" w:lineRule="auto"/>
              <w:ind w:left="154"/>
              <w:rPr>
                <w:sz w:val="18"/>
                <w:szCs w:val="18"/>
              </w:rPr>
            </w:pPr>
            <w:r>
              <w:rPr>
                <w:spacing w:val="-3"/>
                <w:sz w:val="18"/>
                <w:szCs w:val="18"/>
              </w:rPr>
              <w:t>有组织</w:t>
            </w:r>
          </w:p>
        </w:tc>
        <w:tc>
          <w:tcPr>
            <w:tcW w:w="1174" w:type="dxa"/>
            <w:vMerge w:val="restart"/>
            <w:tcBorders>
              <w:bottom w:val="nil"/>
            </w:tcBorders>
            <w:vAlign w:val="top"/>
          </w:tcPr>
          <w:p w14:paraId="7A07EB43">
            <w:pPr>
              <w:spacing w:line="292" w:lineRule="auto"/>
              <w:rPr>
                <w:rFonts w:ascii="Arial"/>
                <w:sz w:val="21"/>
              </w:rPr>
            </w:pPr>
          </w:p>
          <w:p w14:paraId="07A5D44D">
            <w:pPr>
              <w:pStyle w:val="6"/>
              <w:spacing w:before="59" w:line="221" w:lineRule="auto"/>
              <w:ind w:left="316"/>
              <w:rPr>
                <w:sz w:val="18"/>
                <w:szCs w:val="18"/>
              </w:rPr>
            </w:pPr>
            <w:r>
              <w:rPr>
                <w:spacing w:val="-3"/>
                <w:sz w:val="18"/>
                <w:szCs w:val="18"/>
              </w:rPr>
              <w:t>硫酸雾</w:t>
            </w:r>
          </w:p>
        </w:tc>
        <w:tc>
          <w:tcPr>
            <w:tcW w:w="674" w:type="dxa"/>
            <w:vMerge w:val="continue"/>
            <w:tcBorders>
              <w:top w:val="nil"/>
              <w:bottom w:val="nil"/>
            </w:tcBorders>
            <w:vAlign w:val="top"/>
          </w:tcPr>
          <w:p w14:paraId="1340B3B9">
            <w:pPr>
              <w:rPr>
                <w:rFonts w:ascii="Arial"/>
                <w:sz w:val="21"/>
              </w:rPr>
            </w:pPr>
          </w:p>
        </w:tc>
        <w:tc>
          <w:tcPr>
            <w:tcW w:w="1087" w:type="dxa"/>
            <w:vAlign w:val="top"/>
          </w:tcPr>
          <w:p w14:paraId="2226B6CB">
            <w:pPr>
              <w:spacing w:before="180"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331ACF4D">
            <w:pPr>
              <w:spacing w:before="180"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w:t>
            </w:r>
          </w:p>
        </w:tc>
        <w:tc>
          <w:tcPr>
            <w:tcW w:w="761" w:type="dxa"/>
            <w:vAlign w:val="top"/>
          </w:tcPr>
          <w:p w14:paraId="1FA73CCD">
            <w:pPr>
              <w:spacing w:before="180"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0.0869</w:t>
            </w:r>
          </w:p>
        </w:tc>
        <w:tc>
          <w:tcPr>
            <w:tcW w:w="674" w:type="dxa"/>
            <w:vAlign w:val="top"/>
          </w:tcPr>
          <w:p w14:paraId="28CECDA6">
            <w:pPr>
              <w:pStyle w:val="6"/>
              <w:spacing w:before="36" w:line="221" w:lineRule="auto"/>
              <w:ind w:left="73"/>
              <w:rPr>
                <w:sz w:val="18"/>
                <w:szCs w:val="18"/>
              </w:rPr>
            </w:pPr>
            <w:r>
              <w:rPr>
                <w:spacing w:val="-3"/>
                <w:sz w:val="18"/>
                <w:szCs w:val="18"/>
              </w:rPr>
              <w:t>三级碱</w:t>
            </w:r>
          </w:p>
          <w:p w14:paraId="05D02968">
            <w:pPr>
              <w:pStyle w:val="6"/>
              <w:spacing w:before="16" w:line="202" w:lineRule="auto"/>
              <w:ind w:left="74"/>
              <w:rPr>
                <w:sz w:val="18"/>
                <w:szCs w:val="18"/>
              </w:rPr>
            </w:pPr>
            <w:r>
              <w:rPr>
                <w:spacing w:val="-3"/>
                <w:sz w:val="18"/>
                <w:szCs w:val="18"/>
              </w:rPr>
              <w:t>液喷淋</w:t>
            </w:r>
          </w:p>
        </w:tc>
        <w:tc>
          <w:tcPr>
            <w:tcW w:w="538" w:type="dxa"/>
            <w:vAlign w:val="top"/>
          </w:tcPr>
          <w:p w14:paraId="57164DA0">
            <w:pPr>
              <w:spacing w:before="180"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continue"/>
            <w:tcBorders>
              <w:top w:val="nil"/>
              <w:bottom w:val="nil"/>
            </w:tcBorders>
            <w:vAlign w:val="top"/>
          </w:tcPr>
          <w:p w14:paraId="6288BFFD">
            <w:pPr>
              <w:rPr>
                <w:rFonts w:ascii="Arial"/>
                <w:sz w:val="21"/>
              </w:rPr>
            </w:pPr>
          </w:p>
        </w:tc>
        <w:tc>
          <w:tcPr>
            <w:tcW w:w="1012" w:type="dxa"/>
            <w:vAlign w:val="top"/>
          </w:tcPr>
          <w:p w14:paraId="3781AFEC">
            <w:pPr>
              <w:spacing w:before="180"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6027C6E4">
            <w:pPr>
              <w:spacing w:before="180"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736" w:type="dxa"/>
            <w:vAlign w:val="top"/>
          </w:tcPr>
          <w:p w14:paraId="56C845E2">
            <w:pPr>
              <w:spacing w:before="180"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0.0104</w:t>
            </w:r>
          </w:p>
        </w:tc>
        <w:tc>
          <w:tcPr>
            <w:tcW w:w="749" w:type="dxa"/>
            <w:vAlign w:val="top"/>
          </w:tcPr>
          <w:p w14:paraId="17C98155">
            <w:pPr>
              <w:spacing w:before="180"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DA008</w:t>
            </w:r>
          </w:p>
        </w:tc>
        <w:tc>
          <w:tcPr>
            <w:tcW w:w="600" w:type="dxa"/>
            <w:vAlign w:val="top"/>
          </w:tcPr>
          <w:p w14:paraId="05C0E642">
            <w:pPr>
              <w:spacing w:before="18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C14E0BE">
            <w:pPr>
              <w:rPr>
                <w:rFonts w:ascii="Arial"/>
                <w:sz w:val="21"/>
              </w:rPr>
            </w:pPr>
          </w:p>
        </w:tc>
      </w:tr>
      <w:tr w14:paraId="56F67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6E439525">
            <w:pPr>
              <w:rPr>
                <w:rFonts w:ascii="Arial"/>
                <w:sz w:val="21"/>
              </w:rPr>
            </w:pPr>
          </w:p>
        </w:tc>
        <w:tc>
          <w:tcPr>
            <w:tcW w:w="111" w:type="dxa"/>
            <w:tcBorders>
              <w:top w:val="nil"/>
              <w:bottom w:val="nil"/>
            </w:tcBorders>
            <w:vAlign w:val="top"/>
          </w:tcPr>
          <w:p w14:paraId="1E2BF1F3">
            <w:pPr>
              <w:rPr>
                <w:rFonts w:ascii="Arial"/>
                <w:sz w:val="21"/>
              </w:rPr>
            </w:pPr>
          </w:p>
        </w:tc>
        <w:tc>
          <w:tcPr>
            <w:tcW w:w="708" w:type="dxa"/>
            <w:vMerge w:val="continue"/>
            <w:tcBorders>
              <w:top w:val="nil"/>
              <w:bottom w:val="nil"/>
            </w:tcBorders>
            <w:vAlign w:val="top"/>
          </w:tcPr>
          <w:p w14:paraId="7249C855">
            <w:pPr>
              <w:rPr>
                <w:rFonts w:ascii="Arial"/>
                <w:sz w:val="21"/>
              </w:rPr>
            </w:pPr>
          </w:p>
        </w:tc>
        <w:tc>
          <w:tcPr>
            <w:tcW w:w="736" w:type="dxa"/>
            <w:vMerge w:val="continue"/>
            <w:tcBorders>
              <w:top w:val="nil"/>
              <w:bottom w:val="nil"/>
            </w:tcBorders>
            <w:vAlign w:val="top"/>
          </w:tcPr>
          <w:p w14:paraId="15173987">
            <w:pPr>
              <w:rPr>
                <w:rFonts w:ascii="Arial"/>
                <w:sz w:val="21"/>
              </w:rPr>
            </w:pPr>
          </w:p>
        </w:tc>
        <w:tc>
          <w:tcPr>
            <w:tcW w:w="849" w:type="dxa"/>
            <w:vAlign w:val="top"/>
          </w:tcPr>
          <w:p w14:paraId="04FCD1F4">
            <w:pPr>
              <w:pStyle w:val="6"/>
              <w:spacing w:before="112" w:line="220" w:lineRule="auto"/>
              <w:ind w:left="154"/>
              <w:rPr>
                <w:sz w:val="18"/>
                <w:szCs w:val="18"/>
              </w:rPr>
            </w:pPr>
            <w:r>
              <w:rPr>
                <w:spacing w:val="-3"/>
                <w:sz w:val="18"/>
                <w:szCs w:val="18"/>
              </w:rPr>
              <w:t>无组织</w:t>
            </w:r>
          </w:p>
        </w:tc>
        <w:tc>
          <w:tcPr>
            <w:tcW w:w="1174" w:type="dxa"/>
            <w:vMerge w:val="continue"/>
            <w:tcBorders>
              <w:top w:val="nil"/>
            </w:tcBorders>
            <w:vAlign w:val="top"/>
          </w:tcPr>
          <w:p w14:paraId="6DC176B8">
            <w:pPr>
              <w:rPr>
                <w:rFonts w:ascii="Arial"/>
                <w:sz w:val="21"/>
              </w:rPr>
            </w:pPr>
          </w:p>
        </w:tc>
        <w:tc>
          <w:tcPr>
            <w:tcW w:w="674" w:type="dxa"/>
            <w:vMerge w:val="continue"/>
            <w:tcBorders>
              <w:top w:val="nil"/>
              <w:bottom w:val="nil"/>
            </w:tcBorders>
            <w:vAlign w:val="top"/>
          </w:tcPr>
          <w:p w14:paraId="39621EA1">
            <w:pPr>
              <w:rPr>
                <w:rFonts w:ascii="Arial"/>
                <w:sz w:val="21"/>
              </w:rPr>
            </w:pPr>
          </w:p>
        </w:tc>
        <w:tc>
          <w:tcPr>
            <w:tcW w:w="1087" w:type="dxa"/>
            <w:vAlign w:val="top"/>
          </w:tcPr>
          <w:p w14:paraId="1789FBA8">
            <w:pPr>
              <w:spacing w:before="140"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D453225">
            <w:pPr>
              <w:spacing w:before="140"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1CEAB7BE">
            <w:pPr>
              <w:spacing w:before="143"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674" w:type="dxa"/>
            <w:vAlign w:val="top"/>
          </w:tcPr>
          <w:p w14:paraId="5B83D41F">
            <w:pPr>
              <w:spacing w:before="140"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4C6B5042">
            <w:pPr>
              <w:spacing w:before="140"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4ED6D056">
            <w:pPr>
              <w:rPr>
                <w:rFonts w:ascii="Arial"/>
                <w:sz w:val="21"/>
              </w:rPr>
            </w:pPr>
          </w:p>
        </w:tc>
        <w:tc>
          <w:tcPr>
            <w:tcW w:w="1012" w:type="dxa"/>
            <w:vAlign w:val="top"/>
          </w:tcPr>
          <w:p w14:paraId="6C195CCB">
            <w:pPr>
              <w:spacing w:before="140"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72BEFB75">
            <w:pPr>
              <w:spacing w:before="140"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6545CA36">
            <w:pPr>
              <w:spacing w:before="14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749" w:type="dxa"/>
            <w:vAlign w:val="top"/>
          </w:tcPr>
          <w:p w14:paraId="6F13BB8E">
            <w:pPr>
              <w:spacing w:before="140"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1521086D">
            <w:pPr>
              <w:spacing w:before="143"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6B99482">
            <w:pPr>
              <w:rPr>
                <w:rFonts w:ascii="Arial"/>
                <w:sz w:val="21"/>
              </w:rPr>
            </w:pPr>
          </w:p>
        </w:tc>
      </w:tr>
      <w:tr w14:paraId="0EB08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1C80510E">
            <w:pPr>
              <w:rPr>
                <w:rFonts w:ascii="Arial"/>
                <w:sz w:val="21"/>
              </w:rPr>
            </w:pPr>
          </w:p>
        </w:tc>
        <w:tc>
          <w:tcPr>
            <w:tcW w:w="111" w:type="dxa"/>
            <w:tcBorders>
              <w:top w:val="nil"/>
              <w:bottom w:val="nil"/>
            </w:tcBorders>
            <w:vAlign w:val="top"/>
          </w:tcPr>
          <w:p w14:paraId="710C8456">
            <w:pPr>
              <w:rPr>
                <w:rFonts w:ascii="Arial"/>
                <w:sz w:val="21"/>
              </w:rPr>
            </w:pPr>
          </w:p>
        </w:tc>
        <w:tc>
          <w:tcPr>
            <w:tcW w:w="708" w:type="dxa"/>
            <w:vMerge w:val="continue"/>
            <w:tcBorders>
              <w:top w:val="nil"/>
              <w:bottom w:val="nil"/>
            </w:tcBorders>
            <w:vAlign w:val="top"/>
          </w:tcPr>
          <w:p w14:paraId="3DE63B42">
            <w:pPr>
              <w:rPr>
                <w:rFonts w:ascii="Arial"/>
                <w:sz w:val="21"/>
              </w:rPr>
            </w:pPr>
          </w:p>
        </w:tc>
        <w:tc>
          <w:tcPr>
            <w:tcW w:w="736" w:type="dxa"/>
            <w:vMerge w:val="continue"/>
            <w:tcBorders>
              <w:top w:val="nil"/>
              <w:bottom w:val="nil"/>
            </w:tcBorders>
            <w:vAlign w:val="top"/>
          </w:tcPr>
          <w:p w14:paraId="7432BA3E">
            <w:pPr>
              <w:rPr>
                <w:rFonts w:ascii="Arial"/>
                <w:sz w:val="21"/>
              </w:rPr>
            </w:pPr>
          </w:p>
        </w:tc>
        <w:tc>
          <w:tcPr>
            <w:tcW w:w="849" w:type="dxa"/>
            <w:vAlign w:val="top"/>
          </w:tcPr>
          <w:p w14:paraId="066F697C">
            <w:pPr>
              <w:pStyle w:val="6"/>
              <w:spacing w:before="151" w:line="220" w:lineRule="auto"/>
              <w:ind w:left="154"/>
              <w:rPr>
                <w:sz w:val="18"/>
                <w:szCs w:val="18"/>
              </w:rPr>
            </w:pPr>
            <w:r>
              <w:rPr>
                <w:spacing w:val="-3"/>
                <w:sz w:val="18"/>
                <w:szCs w:val="18"/>
              </w:rPr>
              <w:t>有组织</w:t>
            </w:r>
          </w:p>
        </w:tc>
        <w:tc>
          <w:tcPr>
            <w:tcW w:w="1174" w:type="dxa"/>
            <w:vMerge w:val="restart"/>
            <w:tcBorders>
              <w:bottom w:val="nil"/>
            </w:tcBorders>
            <w:vAlign w:val="top"/>
          </w:tcPr>
          <w:p w14:paraId="20E7EE13">
            <w:pPr>
              <w:pStyle w:val="6"/>
              <w:spacing w:before="237" w:line="221" w:lineRule="auto"/>
              <w:ind w:left="138"/>
              <w:rPr>
                <w:sz w:val="18"/>
                <w:szCs w:val="18"/>
              </w:rPr>
            </w:pPr>
            <w:r>
              <w:rPr>
                <w:spacing w:val="-2"/>
                <w:sz w:val="18"/>
                <w:szCs w:val="18"/>
              </w:rPr>
              <w:t>硝酸雾（以</w:t>
            </w:r>
          </w:p>
          <w:p w14:paraId="21103035">
            <w:pPr>
              <w:pStyle w:val="6"/>
              <w:spacing w:before="19"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56871E28">
            <w:pPr>
              <w:rPr>
                <w:rFonts w:ascii="Arial"/>
                <w:sz w:val="21"/>
              </w:rPr>
            </w:pPr>
          </w:p>
        </w:tc>
        <w:tc>
          <w:tcPr>
            <w:tcW w:w="1087" w:type="dxa"/>
            <w:vAlign w:val="top"/>
          </w:tcPr>
          <w:p w14:paraId="6157459A">
            <w:pPr>
              <w:spacing w:before="183"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3D99F59E">
            <w:pPr>
              <w:spacing w:before="183"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21.84</w:t>
            </w:r>
          </w:p>
        </w:tc>
        <w:tc>
          <w:tcPr>
            <w:tcW w:w="761" w:type="dxa"/>
            <w:vAlign w:val="top"/>
          </w:tcPr>
          <w:p w14:paraId="43F1F012">
            <w:pPr>
              <w:spacing w:before="183"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0.4369</w:t>
            </w:r>
          </w:p>
        </w:tc>
        <w:tc>
          <w:tcPr>
            <w:tcW w:w="674" w:type="dxa"/>
            <w:vAlign w:val="top"/>
          </w:tcPr>
          <w:p w14:paraId="35CEF7A1">
            <w:pPr>
              <w:pStyle w:val="6"/>
              <w:spacing w:before="37" w:line="221" w:lineRule="auto"/>
              <w:ind w:left="73"/>
              <w:rPr>
                <w:sz w:val="18"/>
                <w:szCs w:val="18"/>
              </w:rPr>
            </w:pPr>
            <w:r>
              <w:rPr>
                <w:spacing w:val="-3"/>
                <w:sz w:val="18"/>
                <w:szCs w:val="18"/>
              </w:rPr>
              <w:t>三级碱</w:t>
            </w:r>
          </w:p>
          <w:p w14:paraId="7DEFAC81">
            <w:pPr>
              <w:pStyle w:val="6"/>
              <w:spacing w:before="17" w:line="194" w:lineRule="auto"/>
              <w:ind w:left="74"/>
              <w:rPr>
                <w:sz w:val="18"/>
                <w:szCs w:val="18"/>
              </w:rPr>
            </w:pPr>
            <w:r>
              <w:rPr>
                <w:spacing w:val="-3"/>
                <w:sz w:val="18"/>
                <w:szCs w:val="18"/>
              </w:rPr>
              <w:t>液喷淋</w:t>
            </w:r>
          </w:p>
        </w:tc>
        <w:tc>
          <w:tcPr>
            <w:tcW w:w="538" w:type="dxa"/>
            <w:vAlign w:val="top"/>
          </w:tcPr>
          <w:p w14:paraId="24587F61">
            <w:pPr>
              <w:spacing w:before="183"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464D2497">
            <w:pPr>
              <w:rPr>
                <w:rFonts w:ascii="Arial"/>
                <w:sz w:val="21"/>
              </w:rPr>
            </w:pPr>
          </w:p>
        </w:tc>
        <w:tc>
          <w:tcPr>
            <w:tcW w:w="1012" w:type="dxa"/>
            <w:vAlign w:val="top"/>
          </w:tcPr>
          <w:p w14:paraId="723FAAC8">
            <w:pPr>
              <w:spacing w:before="183"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6C451451">
            <w:pPr>
              <w:spacing w:before="183"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736" w:type="dxa"/>
            <w:vAlign w:val="top"/>
          </w:tcPr>
          <w:p w14:paraId="6564B10B">
            <w:pPr>
              <w:spacing w:before="18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0.0655</w:t>
            </w:r>
          </w:p>
        </w:tc>
        <w:tc>
          <w:tcPr>
            <w:tcW w:w="749" w:type="dxa"/>
            <w:vAlign w:val="top"/>
          </w:tcPr>
          <w:p w14:paraId="6BE8CCCC">
            <w:pPr>
              <w:spacing w:before="183"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DA008</w:t>
            </w:r>
          </w:p>
        </w:tc>
        <w:tc>
          <w:tcPr>
            <w:tcW w:w="600" w:type="dxa"/>
            <w:vAlign w:val="top"/>
          </w:tcPr>
          <w:p w14:paraId="09085372">
            <w:pPr>
              <w:spacing w:before="183"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55184584">
            <w:pPr>
              <w:rPr>
                <w:rFonts w:ascii="Arial"/>
                <w:sz w:val="21"/>
              </w:rPr>
            </w:pPr>
          </w:p>
        </w:tc>
      </w:tr>
      <w:tr w14:paraId="05FA9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55" w:type="dxa"/>
            <w:vMerge w:val="continue"/>
            <w:tcBorders>
              <w:top w:val="nil"/>
              <w:left w:val="single" w:color="000000" w:sz="6" w:space="0"/>
              <w:bottom w:val="nil"/>
            </w:tcBorders>
            <w:vAlign w:val="top"/>
          </w:tcPr>
          <w:p w14:paraId="4775CDEC">
            <w:pPr>
              <w:rPr>
                <w:rFonts w:ascii="Arial"/>
                <w:sz w:val="21"/>
              </w:rPr>
            </w:pPr>
          </w:p>
        </w:tc>
        <w:tc>
          <w:tcPr>
            <w:tcW w:w="111" w:type="dxa"/>
            <w:tcBorders>
              <w:top w:val="nil"/>
              <w:bottom w:val="nil"/>
            </w:tcBorders>
            <w:vAlign w:val="top"/>
          </w:tcPr>
          <w:p w14:paraId="1338587A">
            <w:pPr>
              <w:rPr>
                <w:rFonts w:ascii="Arial"/>
                <w:sz w:val="21"/>
              </w:rPr>
            </w:pPr>
          </w:p>
        </w:tc>
        <w:tc>
          <w:tcPr>
            <w:tcW w:w="708" w:type="dxa"/>
            <w:vMerge w:val="continue"/>
            <w:tcBorders>
              <w:top w:val="nil"/>
              <w:bottom w:val="nil"/>
            </w:tcBorders>
            <w:vAlign w:val="top"/>
          </w:tcPr>
          <w:p w14:paraId="18E36987">
            <w:pPr>
              <w:rPr>
                <w:rFonts w:ascii="Arial"/>
                <w:sz w:val="21"/>
              </w:rPr>
            </w:pPr>
          </w:p>
        </w:tc>
        <w:tc>
          <w:tcPr>
            <w:tcW w:w="736" w:type="dxa"/>
            <w:vMerge w:val="continue"/>
            <w:tcBorders>
              <w:top w:val="nil"/>
            </w:tcBorders>
            <w:vAlign w:val="top"/>
          </w:tcPr>
          <w:p w14:paraId="32880ACE">
            <w:pPr>
              <w:rPr>
                <w:rFonts w:ascii="Arial"/>
                <w:sz w:val="21"/>
              </w:rPr>
            </w:pPr>
          </w:p>
        </w:tc>
        <w:tc>
          <w:tcPr>
            <w:tcW w:w="849" w:type="dxa"/>
            <w:vAlign w:val="top"/>
          </w:tcPr>
          <w:p w14:paraId="792EDCC3">
            <w:pPr>
              <w:pStyle w:val="6"/>
              <w:spacing w:before="119" w:line="220" w:lineRule="auto"/>
              <w:ind w:left="154"/>
              <w:rPr>
                <w:sz w:val="18"/>
                <w:szCs w:val="18"/>
              </w:rPr>
            </w:pPr>
            <w:r>
              <w:rPr>
                <w:spacing w:val="-3"/>
                <w:sz w:val="18"/>
                <w:szCs w:val="18"/>
              </w:rPr>
              <w:t>无组织</w:t>
            </w:r>
          </w:p>
        </w:tc>
        <w:tc>
          <w:tcPr>
            <w:tcW w:w="1174" w:type="dxa"/>
            <w:vMerge w:val="continue"/>
            <w:tcBorders>
              <w:top w:val="nil"/>
            </w:tcBorders>
            <w:vAlign w:val="top"/>
          </w:tcPr>
          <w:p w14:paraId="3D969D72">
            <w:pPr>
              <w:rPr>
                <w:rFonts w:ascii="Arial"/>
                <w:sz w:val="21"/>
              </w:rPr>
            </w:pPr>
          </w:p>
        </w:tc>
        <w:tc>
          <w:tcPr>
            <w:tcW w:w="674" w:type="dxa"/>
            <w:vMerge w:val="continue"/>
            <w:tcBorders>
              <w:top w:val="nil"/>
            </w:tcBorders>
            <w:vAlign w:val="top"/>
          </w:tcPr>
          <w:p w14:paraId="7BE80ADB">
            <w:pPr>
              <w:rPr>
                <w:rFonts w:ascii="Arial"/>
                <w:sz w:val="21"/>
              </w:rPr>
            </w:pPr>
          </w:p>
        </w:tc>
        <w:tc>
          <w:tcPr>
            <w:tcW w:w="1087" w:type="dxa"/>
            <w:vAlign w:val="top"/>
          </w:tcPr>
          <w:p w14:paraId="10EF9A7F">
            <w:pPr>
              <w:spacing w:before="147"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38AB49CB">
            <w:pPr>
              <w:spacing w:before="147"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3BA20403">
            <w:pPr>
              <w:spacing w:before="150"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674" w:type="dxa"/>
            <w:vAlign w:val="top"/>
          </w:tcPr>
          <w:p w14:paraId="4D8C5EC1">
            <w:pPr>
              <w:spacing w:before="147"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7BDA075B">
            <w:pPr>
              <w:spacing w:before="147"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tcBorders>
            <w:vAlign w:val="top"/>
          </w:tcPr>
          <w:p w14:paraId="56B72035">
            <w:pPr>
              <w:rPr>
                <w:rFonts w:ascii="Arial"/>
                <w:sz w:val="21"/>
              </w:rPr>
            </w:pPr>
          </w:p>
        </w:tc>
        <w:tc>
          <w:tcPr>
            <w:tcW w:w="1012" w:type="dxa"/>
            <w:vAlign w:val="top"/>
          </w:tcPr>
          <w:p w14:paraId="65FE72A5">
            <w:pPr>
              <w:spacing w:before="147"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3CF98A9D">
            <w:pPr>
              <w:spacing w:before="147"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4DA2F92C">
            <w:pPr>
              <w:spacing w:before="150"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749" w:type="dxa"/>
            <w:vAlign w:val="top"/>
          </w:tcPr>
          <w:p w14:paraId="44295FBC">
            <w:pPr>
              <w:spacing w:before="147"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60A286CC">
            <w:pPr>
              <w:spacing w:before="15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AB8854E">
            <w:pPr>
              <w:rPr>
                <w:rFonts w:ascii="Arial"/>
                <w:sz w:val="21"/>
              </w:rPr>
            </w:pPr>
          </w:p>
        </w:tc>
      </w:tr>
      <w:tr w14:paraId="77E3F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55" w:type="dxa"/>
            <w:vMerge w:val="continue"/>
            <w:tcBorders>
              <w:top w:val="nil"/>
              <w:left w:val="single" w:color="000000" w:sz="6" w:space="0"/>
              <w:bottom w:val="nil"/>
            </w:tcBorders>
            <w:vAlign w:val="top"/>
          </w:tcPr>
          <w:p w14:paraId="537B6DDF">
            <w:pPr>
              <w:rPr>
                <w:rFonts w:ascii="Arial"/>
                <w:sz w:val="21"/>
              </w:rPr>
            </w:pPr>
          </w:p>
        </w:tc>
        <w:tc>
          <w:tcPr>
            <w:tcW w:w="111" w:type="dxa"/>
            <w:tcBorders>
              <w:top w:val="nil"/>
              <w:bottom w:val="nil"/>
            </w:tcBorders>
            <w:vAlign w:val="top"/>
          </w:tcPr>
          <w:p w14:paraId="019A4C6D">
            <w:pPr>
              <w:rPr>
                <w:rFonts w:ascii="Arial"/>
                <w:sz w:val="21"/>
              </w:rPr>
            </w:pPr>
          </w:p>
        </w:tc>
        <w:tc>
          <w:tcPr>
            <w:tcW w:w="708" w:type="dxa"/>
            <w:vMerge w:val="continue"/>
            <w:tcBorders>
              <w:top w:val="nil"/>
              <w:bottom w:val="nil"/>
            </w:tcBorders>
            <w:vAlign w:val="top"/>
          </w:tcPr>
          <w:p w14:paraId="3E73B846">
            <w:pPr>
              <w:rPr>
                <w:rFonts w:ascii="Arial"/>
                <w:sz w:val="21"/>
              </w:rPr>
            </w:pPr>
          </w:p>
        </w:tc>
        <w:tc>
          <w:tcPr>
            <w:tcW w:w="736" w:type="dxa"/>
            <w:vMerge w:val="restart"/>
            <w:tcBorders>
              <w:bottom w:val="nil"/>
            </w:tcBorders>
            <w:vAlign w:val="top"/>
          </w:tcPr>
          <w:p w14:paraId="44F41278">
            <w:pPr>
              <w:spacing w:line="268" w:lineRule="auto"/>
              <w:rPr>
                <w:rFonts w:ascii="Arial"/>
                <w:sz w:val="21"/>
              </w:rPr>
            </w:pPr>
          </w:p>
          <w:p w14:paraId="6A91AD5A">
            <w:pPr>
              <w:spacing w:line="269" w:lineRule="auto"/>
              <w:rPr>
                <w:rFonts w:ascii="Arial"/>
                <w:sz w:val="21"/>
              </w:rPr>
            </w:pPr>
          </w:p>
          <w:p w14:paraId="31A4BAD8">
            <w:pPr>
              <w:spacing w:line="269" w:lineRule="auto"/>
              <w:rPr>
                <w:rFonts w:ascii="Arial"/>
                <w:sz w:val="21"/>
              </w:rPr>
            </w:pPr>
          </w:p>
          <w:p w14:paraId="55B51AD8">
            <w:pPr>
              <w:spacing w:line="269" w:lineRule="auto"/>
              <w:rPr>
                <w:rFonts w:ascii="Arial"/>
                <w:sz w:val="21"/>
              </w:rPr>
            </w:pPr>
          </w:p>
          <w:p w14:paraId="3705A3C6">
            <w:pPr>
              <w:spacing w:line="269" w:lineRule="auto"/>
              <w:rPr>
                <w:rFonts w:ascii="Arial"/>
                <w:sz w:val="21"/>
              </w:rPr>
            </w:pPr>
          </w:p>
          <w:p w14:paraId="753DD838">
            <w:pPr>
              <w:spacing w:line="269" w:lineRule="auto"/>
              <w:rPr>
                <w:rFonts w:ascii="Arial"/>
                <w:sz w:val="21"/>
              </w:rPr>
            </w:pPr>
          </w:p>
          <w:p w14:paraId="10D077B3">
            <w:pPr>
              <w:pStyle w:val="6"/>
              <w:spacing w:before="58" w:line="219"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w:t>
            </w:r>
            <w:r>
              <w:rPr>
                <w:rFonts w:ascii="Times New Roman" w:hAnsi="Times New Roman" w:eastAsia="Times New Roman" w:cs="Times New Roman"/>
                <w:spacing w:val="7"/>
                <w:sz w:val="18"/>
                <w:szCs w:val="18"/>
              </w:rPr>
              <w:t xml:space="preserve"> </w:t>
            </w:r>
            <w:r>
              <w:rPr>
                <w:spacing w:val="-4"/>
                <w:sz w:val="18"/>
                <w:szCs w:val="18"/>
              </w:rPr>
              <w:t>层</w:t>
            </w:r>
            <w:r>
              <w:rPr>
                <w:rFonts w:ascii="Times New Roman" w:hAnsi="Times New Roman" w:eastAsia="Times New Roman" w:cs="Times New Roman"/>
                <w:spacing w:val="-4"/>
                <w:sz w:val="18"/>
                <w:szCs w:val="18"/>
              </w:rPr>
              <w:t>-B</w:t>
            </w:r>
          </w:p>
        </w:tc>
        <w:tc>
          <w:tcPr>
            <w:tcW w:w="849" w:type="dxa"/>
            <w:vAlign w:val="top"/>
          </w:tcPr>
          <w:p w14:paraId="58AF8458">
            <w:pPr>
              <w:pStyle w:val="6"/>
              <w:spacing w:before="152" w:line="220" w:lineRule="auto"/>
              <w:ind w:left="154"/>
              <w:rPr>
                <w:sz w:val="18"/>
                <w:szCs w:val="18"/>
              </w:rPr>
            </w:pPr>
            <w:r>
              <w:rPr>
                <w:spacing w:val="-3"/>
                <w:sz w:val="18"/>
                <w:szCs w:val="18"/>
              </w:rPr>
              <w:t>有组织</w:t>
            </w:r>
          </w:p>
        </w:tc>
        <w:tc>
          <w:tcPr>
            <w:tcW w:w="1174" w:type="dxa"/>
            <w:vMerge w:val="restart"/>
            <w:tcBorders>
              <w:bottom w:val="nil"/>
            </w:tcBorders>
            <w:vAlign w:val="top"/>
          </w:tcPr>
          <w:p w14:paraId="6BDC2F73">
            <w:pPr>
              <w:spacing w:line="293" w:lineRule="auto"/>
              <w:rPr>
                <w:rFonts w:ascii="Arial"/>
                <w:sz w:val="21"/>
              </w:rPr>
            </w:pPr>
          </w:p>
          <w:p w14:paraId="56D25224">
            <w:pPr>
              <w:pStyle w:val="6"/>
              <w:spacing w:before="58" w:line="221" w:lineRule="auto"/>
              <w:ind w:left="320"/>
              <w:rPr>
                <w:sz w:val="18"/>
                <w:szCs w:val="18"/>
              </w:rPr>
            </w:pPr>
            <w:r>
              <w:rPr>
                <w:spacing w:val="-4"/>
                <w:sz w:val="18"/>
                <w:szCs w:val="18"/>
              </w:rPr>
              <w:t>氯化氢</w:t>
            </w:r>
          </w:p>
        </w:tc>
        <w:tc>
          <w:tcPr>
            <w:tcW w:w="674" w:type="dxa"/>
            <w:vMerge w:val="restart"/>
            <w:tcBorders>
              <w:bottom w:val="nil"/>
            </w:tcBorders>
            <w:vAlign w:val="top"/>
          </w:tcPr>
          <w:p w14:paraId="57DD4F7D">
            <w:pPr>
              <w:spacing w:line="249" w:lineRule="auto"/>
              <w:rPr>
                <w:rFonts w:ascii="Arial"/>
                <w:sz w:val="21"/>
              </w:rPr>
            </w:pPr>
          </w:p>
          <w:p w14:paraId="195F1D75">
            <w:pPr>
              <w:spacing w:line="249" w:lineRule="auto"/>
              <w:rPr>
                <w:rFonts w:ascii="Arial"/>
                <w:sz w:val="21"/>
              </w:rPr>
            </w:pPr>
          </w:p>
          <w:p w14:paraId="7D31896D">
            <w:pPr>
              <w:spacing w:line="249" w:lineRule="auto"/>
              <w:rPr>
                <w:rFonts w:ascii="Arial"/>
                <w:sz w:val="21"/>
              </w:rPr>
            </w:pPr>
          </w:p>
          <w:p w14:paraId="659A8A5E">
            <w:pPr>
              <w:spacing w:line="249" w:lineRule="auto"/>
              <w:rPr>
                <w:rFonts w:ascii="Arial"/>
                <w:sz w:val="21"/>
              </w:rPr>
            </w:pPr>
          </w:p>
          <w:p w14:paraId="41899A09">
            <w:pPr>
              <w:spacing w:line="249" w:lineRule="auto"/>
              <w:rPr>
                <w:rFonts w:ascii="Arial"/>
                <w:sz w:val="21"/>
              </w:rPr>
            </w:pPr>
          </w:p>
          <w:p w14:paraId="041B3380">
            <w:pPr>
              <w:spacing w:line="250" w:lineRule="auto"/>
              <w:rPr>
                <w:rFonts w:ascii="Arial"/>
                <w:sz w:val="21"/>
              </w:rPr>
            </w:pPr>
          </w:p>
          <w:p w14:paraId="0BD1AFC2">
            <w:pPr>
              <w:pStyle w:val="6"/>
              <w:spacing w:before="59"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vAlign w:val="top"/>
          </w:tcPr>
          <w:p w14:paraId="3CA520A7">
            <w:pPr>
              <w:spacing w:before="181"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44E82985">
            <w:pPr>
              <w:spacing w:before="181"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301.39</w:t>
            </w:r>
          </w:p>
        </w:tc>
        <w:tc>
          <w:tcPr>
            <w:tcW w:w="761" w:type="dxa"/>
            <w:vAlign w:val="top"/>
          </w:tcPr>
          <w:p w14:paraId="5A9ADE0E">
            <w:pPr>
              <w:spacing w:before="18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6.0278</w:t>
            </w:r>
          </w:p>
        </w:tc>
        <w:tc>
          <w:tcPr>
            <w:tcW w:w="674" w:type="dxa"/>
            <w:vAlign w:val="top"/>
          </w:tcPr>
          <w:p w14:paraId="53598043">
            <w:pPr>
              <w:pStyle w:val="6"/>
              <w:spacing w:before="35" w:line="221" w:lineRule="auto"/>
              <w:ind w:left="73"/>
              <w:rPr>
                <w:sz w:val="18"/>
                <w:szCs w:val="18"/>
              </w:rPr>
            </w:pPr>
            <w:r>
              <w:rPr>
                <w:spacing w:val="-3"/>
                <w:sz w:val="18"/>
                <w:szCs w:val="18"/>
              </w:rPr>
              <w:t>三级碱</w:t>
            </w:r>
          </w:p>
          <w:p w14:paraId="4B4AD09A">
            <w:pPr>
              <w:pStyle w:val="6"/>
              <w:spacing w:before="17" w:line="195" w:lineRule="auto"/>
              <w:ind w:left="74"/>
              <w:rPr>
                <w:sz w:val="18"/>
                <w:szCs w:val="18"/>
              </w:rPr>
            </w:pPr>
            <w:r>
              <w:rPr>
                <w:spacing w:val="-3"/>
                <w:sz w:val="18"/>
                <w:szCs w:val="18"/>
              </w:rPr>
              <w:t>液喷淋</w:t>
            </w:r>
          </w:p>
        </w:tc>
        <w:tc>
          <w:tcPr>
            <w:tcW w:w="538" w:type="dxa"/>
            <w:vAlign w:val="top"/>
          </w:tcPr>
          <w:p w14:paraId="1AC8A1F3">
            <w:pPr>
              <w:spacing w:before="181"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bottom w:val="nil"/>
            </w:tcBorders>
            <w:vAlign w:val="top"/>
          </w:tcPr>
          <w:p w14:paraId="17343AC0">
            <w:pPr>
              <w:spacing w:line="276" w:lineRule="auto"/>
              <w:rPr>
                <w:rFonts w:ascii="Arial"/>
                <w:sz w:val="21"/>
              </w:rPr>
            </w:pPr>
          </w:p>
          <w:p w14:paraId="32616EC0">
            <w:pPr>
              <w:spacing w:line="276" w:lineRule="auto"/>
              <w:rPr>
                <w:rFonts w:ascii="Arial"/>
                <w:sz w:val="21"/>
              </w:rPr>
            </w:pPr>
          </w:p>
          <w:p w14:paraId="4057A5F2">
            <w:pPr>
              <w:spacing w:line="276" w:lineRule="auto"/>
              <w:rPr>
                <w:rFonts w:ascii="Arial"/>
                <w:sz w:val="21"/>
              </w:rPr>
            </w:pPr>
          </w:p>
          <w:p w14:paraId="69C3BE40">
            <w:pPr>
              <w:spacing w:line="276" w:lineRule="auto"/>
              <w:rPr>
                <w:rFonts w:ascii="Arial"/>
                <w:sz w:val="21"/>
              </w:rPr>
            </w:pPr>
          </w:p>
          <w:p w14:paraId="6B2BAF80">
            <w:pPr>
              <w:spacing w:line="277" w:lineRule="auto"/>
              <w:rPr>
                <w:rFonts w:ascii="Arial"/>
                <w:sz w:val="21"/>
              </w:rPr>
            </w:pPr>
          </w:p>
          <w:p w14:paraId="6187C952">
            <w:pPr>
              <w:pStyle w:val="6"/>
              <w:spacing w:before="59" w:line="219" w:lineRule="auto"/>
              <w:ind w:left="106"/>
              <w:rPr>
                <w:sz w:val="18"/>
                <w:szCs w:val="18"/>
              </w:rPr>
            </w:pPr>
            <w:r>
              <w:rPr>
                <w:spacing w:val="-4"/>
                <w:sz w:val="18"/>
                <w:szCs w:val="18"/>
              </w:rPr>
              <w:t>产污</w:t>
            </w:r>
          </w:p>
          <w:p w14:paraId="7CC4B6DA">
            <w:pPr>
              <w:pStyle w:val="6"/>
              <w:spacing w:before="18" w:line="244" w:lineRule="auto"/>
              <w:ind w:left="198" w:right="96" w:hanging="88"/>
              <w:rPr>
                <w:sz w:val="18"/>
                <w:szCs w:val="18"/>
              </w:rPr>
            </w:pPr>
            <w:r>
              <w:rPr>
                <w:spacing w:val="-6"/>
                <w:sz w:val="18"/>
                <w:szCs w:val="18"/>
              </w:rPr>
              <w:t>系数</w:t>
            </w:r>
            <w:r>
              <w:rPr>
                <w:sz w:val="18"/>
                <w:szCs w:val="18"/>
              </w:rPr>
              <w:t xml:space="preserve"> 法</w:t>
            </w:r>
          </w:p>
        </w:tc>
        <w:tc>
          <w:tcPr>
            <w:tcW w:w="1012" w:type="dxa"/>
            <w:vAlign w:val="top"/>
          </w:tcPr>
          <w:p w14:paraId="6847B559">
            <w:pPr>
              <w:spacing w:before="181"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05CA37AE">
            <w:pPr>
              <w:spacing w:before="181"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21.10</w:t>
            </w:r>
          </w:p>
        </w:tc>
        <w:tc>
          <w:tcPr>
            <w:tcW w:w="736" w:type="dxa"/>
            <w:vAlign w:val="top"/>
          </w:tcPr>
          <w:p w14:paraId="75D7C8AC">
            <w:pPr>
              <w:spacing w:before="18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0.4219</w:t>
            </w:r>
          </w:p>
        </w:tc>
        <w:tc>
          <w:tcPr>
            <w:tcW w:w="749" w:type="dxa"/>
            <w:vAlign w:val="top"/>
          </w:tcPr>
          <w:p w14:paraId="4605C72E">
            <w:pPr>
              <w:spacing w:before="181"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DA009</w:t>
            </w:r>
          </w:p>
        </w:tc>
        <w:tc>
          <w:tcPr>
            <w:tcW w:w="600" w:type="dxa"/>
            <w:vAlign w:val="top"/>
          </w:tcPr>
          <w:p w14:paraId="3CDA5EED">
            <w:pPr>
              <w:spacing w:before="18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DB0F005">
            <w:pPr>
              <w:rPr>
                <w:rFonts w:ascii="Arial"/>
                <w:sz w:val="21"/>
              </w:rPr>
            </w:pPr>
          </w:p>
        </w:tc>
      </w:tr>
      <w:tr w14:paraId="686A5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14A5288E">
            <w:pPr>
              <w:rPr>
                <w:rFonts w:ascii="Arial"/>
                <w:sz w:val="21"/>
              </w:rPr>
            </w:pPr>
          </w:p>
        </w:tc>
        <w:tc>
          <w:tcPr>
            <w:tcW w:w="111" w:type="dxa"/>
            <w:tcBorders>
              <w:top w:val="nil"/>
              <w:bottom w:val="nil"/>
            </w:tcBorders>
            <w:vAlign w:val="top"/>
          </w:tcPr>
          <w:p w14:paraId="7226BB82">
            <w:pPr>
              <w:rPr>
                <w:rFonts w:ascii="Arial"/>
                <w:sz w:val="21"/>
              </w:rPr>
            </w:pPr>
          </w:p>
        </w:tc>
        <w:tc>
          <w:tcPr>
            <w:tcW w:w="708" w:type="dxa"/>
            <w:vMerge w:val="continue"/>
            <w:tcBorders>
              <w:top w:val="nil"/>
              <w:bottom w:val="nil"/>
            </w:tcBorders>
            <w:vAlign w:val="top"/>
          </w:tcPr>
          <w:p w14:paraId="70F243F4">
            <w:pPr>
              <w:rPr>
                <w:rFonts w:ascii="Arial"/>
                <w:sz w:val="21"/>
              </w:rPr>
            </w:pPr>
          </w:p>
        </w:tc>
        <w:tc>
          <w:tcPr>
            <w:tcW w:w="736" w:type="dxa"/>
            <w:vMerge w:val="continue"/>
            <w:tcBorders>
              <w:top w:val="nil"/>
              <w:bottom w:val="nil"/>
            </w:tcBorders>
            <w:vAlign w:val="top"/>
          </w:tcPr>
          <w:p w14:paraId="252B9613">
            <w:pPr>
              <w:rPr>
                <w:rFonts w:ascii="Arial"/>
                <w:sz w:val="21"/>
              </w:rPr>
            </w:pPr>
          </w:p>
        </w:tc>
        <w:tc>
          <w:tcPr>
            <w:tcW w:w="849" w:type="dxa"/>
            <w:vAlign w:val="top"/>
          </w:tcPr>
          <w:p w14:paraId="26B907F0">
            <w:pPr>
              <w:pStyle w:val="6"/>
              <w:spacing w:before="121" w:line="220" w:lineRule="auto"/>
              <w:ind w:left="154"/>
              <w:rPr>
                <w:sz w:val="18"/>
                <w:szCs w:val="18"/>
              </w:rPr>
            </w:pPr>
            <w:r>
              <w:rPr>
                <w:spacing w:val="-3"/>
                <w:sz w:val="18"/>
                <w:szCs w:val="18"/>
              </w:rPr>
              <w:t>无组织</w:t>
            </w:r>
          </w:p>
        </w:tc>
        <w:tc>
          <w:tcPr>
            <w:tcW w:w="1174" w:type="dxa"/>
            <w:vMerge w:val="continue"/>
            <w:tcBorders>
              <w:top w:val="nil"/>
            </w:tcBorders>
            <w:vAlign w:val="top"/>
          </w:tcPr>
          <w:p w14:paraId="18C21303">
            <w:pPr>
              <w:rPr>
                <w:rFonts w:ascii="Arial"/>
                <w:sz w:val="21"/>
              </w:rPr>
            </w:pPr>
          </w:p>
        </w:tc>
        <w:tc>
          <w:tcPr>
            <w:tcW w:w="674" w:type="dxa"/>
            <w:vMerge w:val="continue"/>
            <w:tcBorders>
              <w:top w:val="nil"/>
              <w:bottom w:val="nil"/>
            </w:tcBorders>
            <w:vAlign w:val="top"/>
          </w:tcPr>
          <w:p w14:paraId="12F9075E">
            <w:pPr>
              <w:rPr>
                <w:rFonts w:ascii="Arial"/>
                <w:sz w:val="21"/>
              </w:rPr>
            </w:pPr>
          </w:p>
        </w:tc>
        <w:tc>
          <w:tcPr>
            <w:tcW w:w="1087" w:type="dxa"/>
            <w:vAlign w:val="top"/>
          </w:tcPr>
          <w:p w14:paraId="2F94E2B6">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3830DA8">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A3D0E5D">
            <w:pPr>
              <w:spacing w:before="15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674" w:type="dxa"/>
            <w:vAlign w:val="top"/>
          </w:tcPr>
          <w:p w14:paraId="4D8393D2">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56752BDC">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06E629D">
            <w:pPr>
              <w:rPr>
                <w:rFonts w:ascii="Arial"/>
                <w:sz w:val="21"/>
              </w:rPr>
            </w:pPr>
          </w:p>
        </w:tc>
        <w:tc>
          <w:tcPr>
            <w:tcW w:w="1012" w:type="dxa"/>
            <w:vAlign w:val="top"/>
          </w:tcPr>
          <w:p w14:paraId="68FD023E">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676B1421">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7A2A0D05">
            <w:pPr>
              <w:spacing w:before="15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749" w:type="dxa"/>
            <w:vAlign w:val="top"/>
          </w:tcPr>
          <w:p w14:paraId="3C48CC98">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0D0E1F30">
            <w:pPr>
              <w:spacing w:before="15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3746F891">
            <w:pPr>
              <w:rPr>
                <w:rFonts w:ascii="Arial"/>
                <w:sz w:val="21"/>
              </w:rPr>
            </w:pPr>
          </w:p>
        </w:tc>
      </w:tr>
      <w:tr w14:paraId="0DD7C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72D3D5BB">
            <w:pPr>
              <w:rPr>
                <w:rFonts w:ascii="Arial"/>
                <w:sz w:val="21"/>
              </w:rPr>
            </w:pPr>
          </w:p>
        </w:tc>
        <w:tc>
          <w:tcPr>
            <w:tcW w:w="111" w:type="dxa"/>
            <w:tcBorders>
              <w:top w:val="nil"/>
              <w:bottom w:val="nil"/>
            </w:tcBorders>
            <w:vAlign w:val="top"/>
          </w:tcPr>
          <w:p w14:paraId="3BFEA5D9">
            <w:pPr>
              <w:rPr>
                <w:rFonts w:ascii="Arial"/>
                <w:sz w:val="21"/>
              </w:rPr>
            </w:pPr>
          </w:p>
        </w:tc>
        <w:tc>
          <w:tcPr>
            <w:tcW w:w="708" w:type="dxa"/>
            <w:vMerge w:val="continue"/>
            <w:tcBorders>
              <w:top w:val="nil"/>
              <w:bottom w:val="nil"/>
            </w:tcBorders>
            <w:vAlign w:val="top"/>
          </w:tcPr>
          <w:p w14:paraId="1169A68B">
            <w:pPr>
              <w:rPr>
                <w:rFonts w:ascii="Arial"/>
                <w:sz w:val="21"/>
              </w:rPr>
            </w:pPr>
          </w:p>
        </w:tc>
        <w:tc>
          <w:tcPr>
            <w:tcW w:w="736" w:type="dxa"/>
            <w:vMerge w:val="continue"/>
            <w:tcBorders>
              <w:top w:val="nil"/>
              <w:bottom w:val="nil"/>
            </w:tcBorders>
            <w:vAlign w:val="top"/>
          </w:tcPr>
          <w:p w14:paraId="6B9360F9">
            <w:pPr>
              <w:rPr>
                <w:rFonts w:ascii="Arial"/>
                <w:sz w:val="21"/>
              </w:rPr>
            </w:pPr>
          </w:p>
        </w:tc>
        <w:tc>
          <w:tcPr>
            <w:tcW w:w="849" w:type="dxa"/>
            <w:vAlign w:val="top"/>
          </w:tcPr>
          <w:p w14:paraId="4F369E91">
            <w:pPr>
              <w:pStyle w:val="6"/>
              <w:spacing w:before="152" w:line="220" w:lineRule="auto"/>
              <w:ind w:left="154"/>
              <w:rPr>
                <w:sz w:val="18"/>
                <w:szCs w:val="18"/>
              </w:rPr>
            </w:pPr>
            <w:r>
              <w:rPr>
                <w:spacing w:val="-3"/>
                <w:sz w:val="18"/>
                <w:szCs w:val="18"/>
              </w:rPr>
              <w:t>有组织</w:t>
            </w:r>
          </w:p>
        </w:tc>
        <w:tc>
          <w:tcPr>
            <w:tcW w:w="1174" w:type="dxa"/>
            <w:vMerge w:val="restart"/>
            <w:tcBorders>
              <w:bottom w:val="nil"/>
            </w:tcBorders>
            <w:vAlign w:val="top"/>
          </w:tcPr>
          <w:p w14:paraId="6787CA5E">
            <w:pPr>
              <w:pStyle w:val="6"/>
              <w:spacing w:before="239" w:line="219" w:lineRule="auto"/>
              <w:ind w:left="137"/>
              <w:rPr>
                <w:sz w:val="18"/>
                <w:szCs w:val="18"/>
              </w:rPr>
            </w:pPr>
            <w:r>
              <w:rPr>
                <w:spacing w:val="-2"/>
                <w:sz w:val="18"/>
                <w:szCs w:val="18"/>
              </w:rPr>
              <w:t>氟化氢（以</w:t>
            </w:r>
          </w:p>
          <w:p w14:paraId="48D6D81D">
            <w:pPr>
              <w:pStyle w:val="6"/>
              <w:spacing w:before="19"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0F24083C">
            <w:pPr>
              <w:rPr>
                <w:rFonts w:ascii="Arial"/>
                <w:sz w:val="21"/>
              </w:rPr>
            </w:pPr>
          </w:p>
        </w:tc>
        <w:tc>
          <w:tcPr>
            <w:tcW w:w="1087" w:type="dxa"/>
            <w:vAlign w:val="top"/>
          </w:tcPr>
          <w:p w14:paraId="0F5DD971">
            <w:pPr>
              <w:spacing w:before="181"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06E1BD1C">
            <w:pPr>
              <w:spacing w:before="181"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29.93</w:t>
            </w:r>
          </w:p>
        </w:tc>
        <w:tc>
          <w:tcPr>
            <w:tcW w:w="761" w:type="dxa"/>
            <w:vAlign w:val="top"/>
          </w:tcPr>
          <w:p w14:paraId="47DE2E8D">
            <w:pPr>
              <w:spacing w:before="18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0.5985</w:t>
            </w:r>
          </w:p>
        </w:tc>
        <w:tc>
          <w:tcPr>
            <w:tcW w:w="674" w:type="dxa"/>
            <w:vAlign w:val="top"/>
          </w:tcPr>
          <w:p w14:paraId="50010E46">
            <w:pPr>
              <w:pStyle w:val="6"/>
              <w:spacing w:before="37" w:line="221" w:lineRule="auto"/>
              <w:ind w:left="73"/>
              <w:rPr>
                <w:sz w:val="18"/>
                <w:szCs w:val="18"/>
              </w:rPr>
            </w:pPr>
            <w:r>
              <w:rPr>
                <w:spacing w:val="-3"/>
                <w:sz w:val="18"/>
                <w:szCs w:val="18"/>
              </w:rPr>
              <w:t>三级碱</w:t>
            </w:r>
          </w:p>
          <w:p w14:paraId="0DAC9648">
            <w:pPr>
              <w:pStyle w:val="6"/>
              <w:spacing w:before="16" w:line="194" w:lineRule="auto"/>
              <w:ind w:left="74"/>
              <w:rPr>
                <w:sz w:val="18"/>
                <w:szCs w:val="18"/>
              </w:rPr>
            </w:pPr>
            <w:r>
              <w:rPr>
                <w:spacing w:val="-3"/>
                <w:sz w:val="18"/>
                <w:szCs w:val="18"/>
              </w:rPr>
              <w:t>液喷淋</w:t>
            </w:r>
          </w:p>
        </w:tc>
        <w:tc>
          <w:tcPr>
            <w:tcW w:w="538" w:type="dxa"/>
            <w:vAlign w:val="top"/>
          </w:tcPr>
          <w:p w14:paraId="63BBDA32">
            <w:pPr>
              <w:spacing w:before="181"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5136B70F">
            <w:pPr>
              <w:rPr>
                <w:rFonts w:ascii="Arial"/>
                <w:sz w:val="21"/>
              </w:rPr>
            </w:pPr>
          </w:p>
        </w:tc>
        <w:tc>
          <w:tcPr>
            <w:tcW w:w="1012" w:type="dxa"/>
            <w:vAlign w:val="top"/>
          </w:tcPr>
          <w:p w14:paraId="782CAD1F">
            <w:pPr>
              <w:spacing w:before="181"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3A99271B">
            <w:pPr>
              <w:spacing w:before="181"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36" w:type="dxa"/>
            <w:vAlign w:val="top"/>
          </w:tcPr>
          <w:p w14:paraId="725C3E11">
            <w:pPr>
              <w:spacing w:before="18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0.0958</w:t>
            </w:r>
          </w:p>
        </w:tc>
        <w:tc>
          <w:tcPr>
            <w:tcW w:w="749" w:type="dxa"/>
            <w:vAlign w:val="top"/>
          </w:tcPr>
          <w:p w14:paraId="6D6412FB">
            <w:pPr>
              <w:spacing w:before="181"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DA009</w:t>
            </w:r>
          </w:p>
        </w:tc>
        <w:tc>
          <w:tcPr>
            <w:tcW w:w="600" w:type="dxa"/>
            <w:vAlign w:val="top"/>
          </w:tcPr>
          <w:p w14:paraId="43B3DE29">
            <w:pPr>
              <w:spacing w:before="18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CCE5B14">
            <w:pPr>
              <w:rPr>
                <w:rFonts w:ascii="Arial"/>
                <w:sz w:val="21"/>
              </w:rPr>
            </w:pPr>
          </w:p>
        </w:tc>
      </w:tr>
      <w:tr w14:paraId="518A1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32301C33">
            <w:pPr>
              <w:rPr>
                <w:rFonts w:ascii="Arial"/>
                <w:sz w:val="21"/>
              </w:rPr>
            </w:pPr>
          </w:p>
        </w:tc>
        <w:tc>
          <w:tcPr>
            <w:tcW w:w="111" w:type="dxa"/>
            <w:tcBorders>
              <w:top w:val="nil"/>
              <w:bottom w:val="nil"/>
            </w:tcBorders>
            <w:vAlign w:val="top"/>
          </w:tcPr>
          <w:p w14:paraId="292C7177">
            <w:pPr>
              <w:rPr>
                <w:rFonts w:ascii="Arial"/>
                <w:sz w:val="21"/>
              </w:rPr>
            </w:pPr>
          </w:p>
        </w:tc>
        <w:tc>
          <w:tcPr>
            <w:tcW w:w="708" w:type="dxa"/>
            <w:vMerge w:val="continue"/>
            <w:tcBorders>
              <w:top w:val="nil"/>
              <w:bottom w:val="nil"/>
            </w:tcBorders>
            <w:vAlign w:val="top"/>
          </w:tcPr>
          <w:p w14:paraId="4A0FB6FE">
            <w:pPr>
              <w:rPr>
                <w:rFonts w:ascii="Arial"/>
                <w:sz w:val="21"/>
              </w:rPr>
            </w:pPr>
          </w:p>
        </w:tc>
        <w:tc>
          <w:tcPr>
            <w:tcW w:w="736" w:type="dxa"/>
            <w:vMerge w:val="continue"/>
            <w:tcBorders>
              <w:top w:val="nil"/>
              <w:bottom w:val="nil"/>
            </w:tcBorders>
            <w:vAlign w:val="top"/>
          </w:tcPr>
          <w:p w14:paraId="6023E644">
            <w:pPr>
              <w:rPr>
                <w:rFonts w:ascii="Arial"/>
                <w:sz w:val="21"/>
              </w:rPr>
            </w:pPr>
          </w:p>
        </w:tc>
        <w:tc>
          <w:tcPr>
            <w:tcW w:w="849" w:type="dxa"/>
            <w:vAlign w:val="top"/>
          </w:tcPr>
          <w:p w14:paraId="0F5E6EDC">
            <w:pPr>
              <w:pStyle w:val="6"/>
              <w:spacing w:before="120" w:line="220" w:lineRule="auto"/>
              <w:ind w:left="154"/>
              <w:rPr>
                <w:sz w:val="18"/>
                <w:szCs w:val="18"/>
              </w:rPr>
            </w:pPr>
            <w:r>
              <w:rPr>
                <w:spacing w:val="-3"/>
                <w:sz w:val="18"/>
                <w:szCs w:val="18"/>
              </w:rPr>
              <w:t>无组织</w:t>
            </w:r>
          </w:p>
        </w:tc>
        <w:tc>
          <w:tcPr>
            <w:tcW w:w="1174" w:type="dxa"/>
            <w:vMerge w:val="continue"/>
            <w:tcBorders>
              <w:top w:val="nil"/>
            </w:tcBorders>
            <w:vAlign w:val="top"/>
          </w:tcPr>
          <w:p w14:paraId="3AFCBA72">
            <w:pPr>
              <w:rPr>
                <w:rFonts w:ascii="Arial"/>
                <w:sz w:val="21"/>
              </w:rPr>
            </w:pPr>
          </w:p>
        </w:tc>
        <w:tc>
          <w:tcPr>
            <w:tcW w:w="674" w:type="dxa"/>
            <w:vMerge w:val="continue"/>
            <w:tcBorders>
              <w:top w:val="nil"/>
              <w:bottom w:val="nil"/>
            </w:tcBorders>
            <w:vAlign w:val="top"/>
          </w:tcPr>
          <w:p w14:paraId="4B3D1675">
            <w:pPr>
              <w:rPr>
                <w:rFonts w:ascii="Arial"/>
                <w:sz w:val="21"/>
              </w:rPr>
            </w:pPr>
          </w:p>
        </w:tc>
        <w:tc>
          <w:tcPr>
            <w:tcW w:w="1087" w:type="dxa"/>
            <w:vAlign w:val="top"/>
          </w:tcPr>
          <w:p w14:paraId="339546E9">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3940E69F">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AB2AA5E">
            <w:pPr>
              <w:spacing w:before="15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674" w:type="dxa"/>
            <w:vAlign w:val="top"/>
          </w:tcPr>
          <w:p w14:paraId="6EF6D57B">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6751D9CD">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1582631">
            <w:pPr>
              <w:rPr>
                <w:rFonts w:ascii="Arial"/>
                <w:sz w:val="21"/>
              </w:rPr>
            </w:pPr>
          </w:p>
        </w:tc>
        <w:tc>
          <w:tcPr>
            <w:tcW w:w="1012" w:type="dxa"/>
            <w:vAlign w:val="top"/>
          </w:tcPr>
          <w:p w14:paraId="1A809139">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6205A3CD">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644D57A7">
            <w:pPr>
              <w:spacing w:before="15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749" w:type="dxa"/>
            <w:vAlign w:val="top"/>
          </w:tcPr>
          <w:p w14:paraId="6B93FBCF">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7477E838">
            <w:pPr>
              <w:spacing w:before="15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0CF38AE7">
            <w:pPr>
              <w:rPr>
                <w:rFonts w:ascii="Arial"/>
                <w:sz w:val="21"/>
              </w:rPr>
            </w:pPr>
          </w:p>
        </w:tc>
      </w:tr>
      <w:tr w14:paraId="21BF3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33376CAD">
            <w:pPr>
              <w:rPr>
                <w:rFonts w:ascii="Arial"/>
                <w:sz w:val="21"/>
              </w:rPr>
            </w:pPr>
          </w:p>
        </w:tc>
        <w:tc>
          <w:tcPr>
            <w:tcW w:w="111" w:type="dxa"/>
            <w:tcBorders>
              <w:top w:val="nil"/>
              <w:bottom w:val="nil"/>
            </w:tcBorders>
            <w:vAlign w:val="top"/>
          </w:tcPr>
          <w:p w14:paraId="55166B7B">
            <w:pPr>
              <w:rPr>
                <w:rFonts w:ascii="Arial"/>
                <w:sz w:val="21"/>
              </w:rPr>
            </w:pPr>
          </w:p>
        </w:tc>
        <w:tc>
          <w:tcPr>
            <w:tcW w:w="708" w:type="dxa"/>
            <w:vMerge w:val="continue"/>
            <w:tcBorders>
              <w:top w:val="nil"/>
              <w:bottom w:val="nil"/>
            </w:tcBorders>
            <w:vAlign w:val="top"/>
          </w:tcPr>
          <w:p w14:paraId="6435733A">
            <w:pPr>
              <w:rPr>
                <w:rFonts w:ascii="Arial"/>
                <w:sz w:val="21"/>
              </w:rPr>
            </w:pPr>
          </w:p>
        </w:tc>
        <w:tc>
          <w:tcPr>
            <w:tcW w:w="736" w:type="dxa"/>
            <w:vMerge w:val="continue"/>
            <w:tcBorders>
              <w:top w:val="nil"/>
              <w:bottom w:val="nil"/>
            </w:tcBorders>
            <w:vAlign w:val="top"/>
          </w:tcPr>
          <w:p w14:paraId="686069F7">
            <w:pPr>
              <w:rPr>
                <w:rFonts w:ascii="Arial"/>
                <w:sz w:val="21"/>
              </w:rPr>
            </w:pPr>
          </w:p>
        </w:tc>
        <w:tc>
          <w:tcPr>
            <w:tcW w:w="849" w:type="dxa"/>
            <w:vAlign w:val="top"/>
          </w:tcPr>
          <w:p w14:paraId="47733A5F">
            <w:pPr>
              <w:pStyle w:val="6"/>
              <w:spacing w:before="151" w:line="220" w:lineRule="auto"/>
              <w:ind w:left="154"/>
              <w:rPr>
                <w:sz w:val="18"/>
                <w:szCs w:val="18"/>
              </w:rPr>
            </w:pPr>
            <w:r>
              <w:rPr>
                <w:spacing w:val="-3"/>
                <w:sz w:val="18"/>
                <w:szCs w:val="18"/>
              </w:rPr>
              <w:t>有组织</w:t>
            </w:r>
          </w:p>
        </w:tc>
        <w:tc>
          <w:tcPr>
            <w:tcW w:w="1174" w:type="dxa"/>
            <w:vMerge w:val="restart"/>
            <w:tcBorders>
              <w:bottom w:val="nil"/>
            </w:tcBorders>
            <w:vAlign w:val="top"/>
          </w:tcPr>
          <w:p w14:paraId="622E72C5">
            <w:pPr>
              <w:spacing w:line="295" w:lineRule="auto"/>
              <w:rPr>
                <w:rFonts w:ascii="Arial"/>
                <w:sz w:val="21"/>
              </w:rPr>
            </w:pPr>
          </w:p>
          <w:p w14:paraId="5F37EF53">
            <w:pPr>
              <w:pStyle w:val="6"/>
              <w:spacing w:before="58" w:line="221" w:lineRule="auto"/>
              <w:ind w:left="316"/>
              <w:rPr>
                <w:sz w:val="18"/>
                <w:szCs w:val="18"/>
              </w:rPr>
            </w:pPr>
            <w:r>
              <w:rPr>
                <w:spacing w:val="-3"/>
                <w:sz w:val="18"/>
                <w:szCs w:val="18"/>
              </w:rPr>
              <w:t>硫酸雾</w:t>
            </w:r>
          </w:p>
        </w:tc>
        <w:tc>
          <w:tcPr>
            <w:tcW w:w="674" w:type="dxa"/>
            <w:vMerge w:val="continue"/>
            <w:tcBorders>
              <w:top w:val="nil"/>
              <w:bottom w:val="nil"/>
            </w:tcBorders>
            <w:vAlign w:val="top"/>
          </w:tcPr>
          <w:p w14:paraId="2C1192F4">
            <w:pPr>
              <w:rPr>
                <w:rFonts w:ascii="Arial"/>
                <w:sz w:val="21"/>
              </w:rPr>
            </w:pPr>
          </w:p>
        </w:tc>
        <w:tc>
          <w:tcPr>
            <w:tcW w:w="1087" w:type="dxa"/>
            <w:vAlign w:val="top"/>
          </w:tcPr>
          <w:p w14:paraId="140E841A">
            <w:pPr>
              <w:spacing w:before="183"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5F7FAA60">
            <w:pPr>
              <w:spacing w:before="183"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w:t>
            </w:r>
          </w:p>
        </w:tc>
        <w:tc>
          <w:tcPr>
            <w:tcW w:w="761" w:type="dxa"/>
            <w:vAlign w:val="top"/>
          </w:tcPr>
          <w:p w14:paraId="7EC6EB51">
            <w:pPr>
              <w:spacing w:before="183"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0.0869</w:t>
            </w:r>
          </w:p>
        </w:tc>
        <w:tc>
          <w:tcPr>
            <w:tcW w:w="674" w:type="dxa"/>
            <w:vAlign w:val="top"/>
          </w:tcPr>
          <w:p w14:paraId="0D26E2BD">
            <w:pPr>
              <w:pStyle w:val="6"/>
              <w:spacing w:before="37" w:line="221" w:lineRule="auto"/>
              <w:ind w:left="73"/>
              <w:rPr>
                <w:sz w:val="18"/>
                <w:szCs w:val="18"/>
              </w:rPr>
            </w:pPr>
            <w:r>
              <w:rPr>
                <w:spacing w:val="-3"/>
                <w:sz w:val="18"/>
                <w:szCs w:val="18"/>
              </w:rPr>
              <w:t>三级碱</w:t>
            </w:r>
          </w:p>
          <w:p w14:paraId="47764201">
            <w:pPr>
              <w:pStyle w:val="6"/>
              <w:spacing w:before="17" w:line="194" w:lineRule="auto"/>
              <w:ind w:left="74"/>
              <w:rPr>
                <w:sz w:val="18"/>
                <w:szCs w:val="18"/>
              </w:rPr>
            </w:pPr>
            <w:r>
              <w:rPr>
                <w:spacing w:val="-3"/>
                <w:sz w:val="18"/>
                <w:szCs w:val="18"/>
              </w:rPr>
              <w:t>液喷淋</w:t>
            </w:r>
          </w:p>
        </w:tc>
        <w:tc>
          <w:tcPr>
            <w:tcW w:w="538" w:type="dxa"/>
            <w:vAlign w:val="top"/>
          </w:tcPr>
          <w:p w14:paraId="149F225F">
            <w:pPr>
              <w:spacing w:before="183"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continue"/>
            <w:tcBorders>
              <w:top w:val="nil"/>
              <w:bottom w:val="nil"/>
            </w:tcBorders>
            <w:vAlign w:val="top"/>
          </w:tcPr>
          <w:p w14:paraId="5A3E3672">
            <w:pPr>
              <w:rPr>
                <w:rFonts w:ascii="Arial"/>
                <w:sz w:val="21"/>
              </w:rPr>
            </w:pPr>
          </w:p>
        </w:tc>
        <w:tc>
          <w:tcPr>
            <w:tcW w:w="1012" w:type="dxa"/>
            <w:vAlign w:val="top"/>
          </w:tcPr>
          <w:p w14:paraId="026FB551">
            <w:pPr>
              <w:spacing w:before="183"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049140A8">
            <w:pPr>
              <w:spacing w:before="183"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736" w:type="dxa"/>
            <w:vAlign w:val="top"/>
          </w:tcPr>
          <w:p w14:paraId="38C8896B">
            <w:pPr>
              <w:spacing w:before="18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0.0104</w:t>
            </w:r>
          </w:p>
        </w:tc>
        <w:tc>
          <w:tcPr>
            <w:tcW w:w="749" w:type="dxa"/>
            <w:vAlign w:val="top"/>
          </w:tcPr>
          <w:p w14:paraId="01E5CA84">
            <w:pPr>
              <w:spacing w:before="183"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DA009</w:t>
            </w:r>
          </w:p>
        </w:tc>
        <w:tc>
          <w:tcPr>
            <w:tcW w:w="600" w:type="dxa"/>
            <w:vAlign w:val="top"/>
          </w:tcPr>
          <w:p w14:paraId="496C9D0E">
            <w:pPr>
              <w:spacing w:before="183"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3C2C38BD">
            <w:pPr>
              <w:rPr>
                <w:rFonts w:ascii="Arial"/>
                <w:sz w:val="21"/>
              </w:rPr>
            </w:pPr>
          </w:p>
        </w:tc>
      </w:tr>
      <w:tr w14:paraId="2415B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55" w:type="dxa"/>
            <w:vMerge w:val="continue"/>
            <w:tcBorders>
              <w:top w:val="nil"/>
              <w:left w:val="single" w:color="000000" w:sz="6" w:space="0"/>
              <w:bottom w:val="nil"/>
            </w:tcBorders>
            <w:vAlign w:val="top"/>
          </w:tcPr>
          <w:p w14:paraId="324A5D77">
            <w:pPr>
              <w:rPr>
                <w:rFonts w:ascii="Arial"/>
                <w:sz w:val="21"/>
              </w:rPr>
            </w:pPr>
          </w:p>
        </w:tc>
        <w:tc>
          <w:tcPr>
            <w:tcW w:w="111" w:type="dxa"/>
            <w:tcBorders>
              <w:top w:val="nil"/>
              <w:bottom w:val="nil"/>
            </w:tcBorders>
            <w:vAlign w:val="top"/>
          </w:tcPr>
          <w:p w14:paraId="6B837A99">
            <w:pPr>
              <w:rPr>
                <w:rFonts w:ascii="Arial"/>
                <w:sz w:val="21"/>
              </w:rPr>
            </w:pPr>
          </w:p>
        </w:tc>
        <w:tc>
          <w:tcPr>
            <w:tcW w:w="708" w:type="dxa"/>
            <w:vMerge w:val="continue"/>
            <w:tcBorders>
              <w:top w:val="nil"/>
              <w:bottom w:val="nil"/>
            </w:tcBorders>
            <w:vAlign w:val="top"/>
          </w:tcPr>
          <w:p w14:paraId="4E0DB9FE">
            <w:pPr>
              <w:rPr>
                <w:rFonts w:ascii="Arial"/>
                <w:sz w:val="21"/>
              </w:rPr>
            </w:pPr>
          </w:p>
        </w:tc>
        <w:tc>
          <w:tcPr>
            <w:tcW w:w="736" w:type="dxa"/>
            <w:vMerge w:val="continue"/>
            <w:tcBorders>
              <w:top w:val="nil"/>
              <w:bottom w:val="nil"/>
            </w:tcBorders>
            <w:vAlign w:val="top"/>
          </w:tcPr>
          <w:p w14:paraId="03049FCB">
            <w:pPr>
              <w:rPr>
                <w:rFonts w:ascii="Arial"/>
                <w:sz w:val="21"/>
              </w:rPr>
            </w:pPr>
          </w:p>
        </w:tc>
        <w:tc>
          <w:tcPr>
            <w:tcW w:w="849" w:type="dxa"/>
            <w:vAlign w:val="top"/>
          </w:tcPr>
          <w:p w14:paraId="6AC134E7">
            <w:pPr>
              <w:pStyle w:val="6"/>
              <w:spacing w:before="119" w:line="220" w:lineRule="auto"/>
              <w:ind w:left="154"/>
              <w:rPr>
                <w:sz w:val="18"/>
                <w:szCs w:val="18"/>
              </w:rPr>
            </w:pPr>
            <w:r>
              <w:rPr>
                <w:spacing w:val="-3"/>
                <w:sz w:val="18"/>
                <w:szCs w:val="18"/>
              </w:rPr>
              <w:t>无组织</w:t>
            </w:r>
          </w:p>
        </w:tc>
        <w:tc>
          <w:tcPr>
            <w:tcW w:w="1174" w:type="dxa"/>
            <w:vMerge w:val="continue"/>
            <w:tcBorders>
              <w:top w:val="nil"/>
            </w:tcBorders>
            <w:vAlign w:val="top"/>
          </w:tcPr>
          <w:p w14:paraId="79507620">
            <w:pPr>
              <w:rPr>
                <w:rFonts w:ascii="Arial"/>
                <w:sz w:val="21"/>
              </w:rPr>
            </w:pPr>
          </w:p>
        </w:tc>
        <w:tc>
          <w:tcPr>
            <w:tcW w:w="674" w:type="dxa"/>
            <w:vMerge w:val="continue"/>
            <w:tcBorders>
              <w:top w:val="nil"/>
              <w:bottom w:val="nil"/>
            </w:tcBorders>
            <w:vAlign w:val="top"/>
          </w:tcPr>
          <w:p w14:paraId="61D10243">
            <w:pPr>
              <w:rPr>
                <w:rFonts w:ascii="Arial"/>
                <w:sz w:val="21"/>
              </w:rPr>
            </w:pPr>
          </w:p>
        </w:tc>
        <w:tc>
          <w:tcPr>
            <w:tcW w:w="1087" w:type="dxa"/>
            <w:vAlign w:val="top"/>
          </w:tcPr>
          <w:p w14:paraId="6146F78B">
            <w:pPr>
              <w:spacing w:before="147"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1463740">
            <w:pPr>
              <w:spacing w:before="147"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92F4BBC">
            <w:pPr>
              <w:spacing w:before="150"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674" w:type="dxa"/>
            <w:vAlign w:val="top"/>
          </w:tcPr>
          <w:p w14:paraId="09DFF5FA">
            <w:pPr>
              <w:spacing w:before="147"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5E322896">
            <w:pPr>
              <w:spacing w:before="147"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060BFFBB">
            <w:pPr>
              <w:rPr>
                <w:rFonts w:ascii="Arial"/>
                <w:sz w:val="21"/>
              </w:rPr>
            </w:pPr>
          </w:p>
        </w:tc>
        <w:tc>
          <w:tcPr>
            <w:tcW w:w="1012" w:type="dxa"/>
            <w:vAlign w:val="top"/>
          </w:tcPr>
          <w:p w14:paraId="513A56BC">
            <w:pPr>
              <w:spacing w:before="147"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563E0392">
            <w:pPr>
              <w:spacing w:before="147"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1ED749D8">
            <w:pPr>
              <w:spacing w:before="150"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749" w:type="dxa"/>
            <w:vAlign w:val="top"/>
          </w:tcPr>
          <w:p w14:paraId="1BBF9FD9">
            <w:pPr>
              <w:spacing w:before="147"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33CE4FC8">
            <w:pPr>
              <w:spacing w:before="15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2906801B">
            <w:pPr>
              <w:rPr>
                <w:rFonts w:ascii="Arial"/>
                <w:sz w:val="21"/>
              </w:rPr>
            </w:pPr>
          </w:p>
        </w:tc>
      </w:tr>
      <w:tr w14:paraId="5D6A2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734E78CB">
            <w:pPr>
              <w:rPr>
                <w:rFonts w:ascii="Arial"/>
                <w:sz w:val="21"/>
              </w:rPr>
            </w:pPr>
          </w:p>
        </w:tc>
        <w:tc>
          <w:tcPr>
            <w:tcW w:w="111" w:type="dxa"/>
            <w:tcBorders>
              <w:top w:val="nil"/>
              <w:bottom w:val="nil"/>
            </w:tcBorders>
            <w:vAlign w:val="top"/>
          </w:tcPr>
          <w:p w14:paraId="5E3EFC69">
            <w:pPr>
              <w:rPr>
                <w:rFonts w:ascii="Arial"/>
                <w:sz w:val="21"/>
              </w:rPr>
            </w:pPr>
          </w:p>
        </w:tc>
        <w:tc>
          <w:tcPr>
            <w:tcW w:w="708" w:type="dxa"/>
            <w:vMerge w:val="continue"/>
            <w:tcBorders>
              <w:top w:val="nil"/>
              <w:bottom w:val="nil"/>
            </w:tcBorders>
            <w:vAlign w:val="top"/>
          </w:tcPr>
          <w:p w14:paraId="1CB63414">
            <w:pPr>
              <w:rPr>
                <w:rFonts w:ascii="Arial"/>
                <w:sz w:val="21"/>
              </w:rPr>
            </w:pPr>
          </w:p>
        </w:tc>
        <w:tc>
          <w:tcPr>
            <w:tcW w:w="736" w:type="dxa"/>
            <w:vMerge w:val="continue"/>
            <w:tcBorders>
              <w:top w:val="nil"/>
              <w:bottom w:val="nil"/>
            </w:tcBorders>
            <w:vAlign w:val="top"/>
          </w:tcPr>
          <w:p w14:paraId="7CD94C67">
            <w:pPr>
              <w:rPr>
                <w:rFonts w:ascii="Arial"/>
                <w:sz w:val="21"/>
              </w:rPr>
            </w:pPr>
          </w:p>
        </w:tc>
        <w:tc>
          <w:tcPr>
            <w:tcW w:w="849" w:type="dxa"/>
            <w:vAlign w:val="top"/>
          </w:tcPr>
          <w:p w14:paraId="086AF3C2">
            <w:pPr>
              <w:pStyle w:val="6"/>
              <w:spacing w:before="160" w:line="220" w:lineRule="auto"/>
              <w:ind w:left="154"/>
              <w:rPr>
                <w:sz w:val="18"/>
                <w:szCs w:val="18"/>
              </w:rPr>
            </w:pPr>
            <w:r>
              <w:rPr>
                <w:spacing w:val="-3"/>
                <w:sz w:val="18"/>
                <w:szCs w:val="18"/>
              </w:rPr>
              <w:t>有组织</w:t>
            </w:r>
          </w:p>
        </w:tc>
        <w:tc>
          <w:tcPr>
            <w:tcW w:w="1174" w:type="dxa"/>
            <w:vMerge w:val="restart"/>
            <w:tcBorders>
              <w:bottom w:val="nil"/>
            </w:tcBorders>
            <w:vAlign w:val="top"/>
          </w:tcPr>
          <w:p w14:paraId="32B1199F">
            <w:pPr>
              <w:pStyle w:val="6"/>
              <w:spacing w:before="246" w:line="221" w:lineRule="auto"/>
              <w:ind w:left="138"/>
              <w:rPr>
                <w:sz w:val="18"/>
                <w:szCs w:val="18"/>
              </w:rPr>
            </w:pPr>
            <w:r>
              <w:rPr>
                <w:spacing w:val="-2"/>
                <w:sz w:val="18"/>
                <w:szCs w:val="18"/>
              </w:rPr>
              <w:t>硝酸雾（以</w:t>
            </w:r>
          </w:p>
          <w:p w14:paraId="483C22DE">
            <w:pPr>
              <w:pStyle w:val="6"/>
              <w:spacing w:before="17"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7FAEA510">
            <w:pPr>
              <w:rPr>
                <w:rFonts w:ascii="Arial"/>
                <w:sz w:val="21"/>
              </w:rPr>
            </w:pPr>
          </w:p>
        </w:tc>
        <w:tc>
          <w:tcPr>
            <w:tcW w:w="1087" w:type="dxa"/>
            <w:vAlign w:val="top"/>
          </w:tcPr>
          <w:p w14:paraId="1B9B51DA">
            <w:pPr>
              <w:spacing w:before="189"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7C16830B">
            <w:pPr>
              <w:spacing w:before="189"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21.84</w:t>
            </w:r>
          </w:p>
        </w:tc>
        <w:tc>
          <w:tcPr>
            <w:tcW w:w="761" w:type="dxa"/>
            <w:vAlign w:val="top"/>
          </w:tcPr>
          <w:p w14:paraId="1B521D3B">
            <w:pPr>
              <w:spacing w:before="189"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0.4369</w:t>
            </w:r>
          </w:p>
        </w:tc>
        <w:tc>
          <w:tcPr>
            <w:tcW w:w="674" w:type="dxa"/>
            <w:vAlign w:val="top"/>
          </w:tcPr>
          <w:p w14:paraId="74876F2F">
            <w:pPr>
              <w:pStyle w:val="6"/>
              <w:spacing w:before="43" w:line="221" w:lineRule="auto"/>
              <w:ind w:left="73"/>
              <w:rPr>
                <w:sz w:val="18"/>
                <w:szCs w:val="18"/>
              </w:rPr>
            </w:pPr>
            <w:r>
              <w:rPr>
                <w:spacing w:val="-3"/>
                <w:sz w:val="18"/>
                <w:szCs w:val="18"/>
              </w:rPr>
              <w:t>三级碱</w:t>
            </w:r>
          </w:p>
          <w:p w14:paraId="68DD395A">
            <w:pPr>
              <w:pStyle w:val="6"/>
              <w:spacing w:before="17" w:line="195" w:lineRule="auto"/>
              <w:ind w:left="74"/>
              <w:rPr>
                <w:sz w:val="18"/>
                <w:szCs w:val="18"/>
              </w:rPr>
            </w:pPr>
            <w:r>
              <w:rPr>
                <w:spacing w:val="-3"/>
                <w:sz w:val="18"/>
                <w:szCs w:val="18"/>
              </w:rPr>
              <w:t>液喷淋</w:t>
            </w:r>
          </w:p>
        </w:tc>
        <w:tc>
          <w:tcPr>
            <w:tcW w:w="538" w:type="dxa"/>
            <w:vAlign w:val="top"/>
          </w:tcPr>
          <w:p w14:paraId="7CAAF7F2">
            <w:pPr>
              <w:spacing w:before="189"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6FED68F3">
            <w:pPr>
              <w:rPr>
                <w:rFonts w:ascii="Arial"/>
                <w:sz w:val="21"/>
              </w:rPr>
            </w:pPr>
          </w:p>
        </w:tc>
        <w:tc>
          <w:tcPr>
            <w:tcW w:w="1012" w:type="dxa"/>
            <w:vAlign w:val="top"/>
          </w:tcPr>
          <w:p w14:paraId="443CACFD">
            <w:pPr>
              <w:spacing w:before="189"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212209BB">
            <w:pPr>
              <w:spacing w:before="189"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736" w:type="dxa"/>
            <w:vAlign w:val="top"/>
          </w:tcPr>
          <w:p w14:paraId="75C9954E">
            <w:pPr>
              <w:spacing w:before="189"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0.0655</w:t>
            </w:r>
          </w:p>
        </w:tc>
        <w:tc>
          <w:tcPr>
            <w:tcW w:w="749" w:type="dxa"/>
            <w:vAlign w:val="top"/>
          </w:tcPr>
          <w:p w14:paraId="283F7729">
            <w:pPr>
              <w:spacing w:before="189"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DA009</w:t>
            </w:r>
          </w:p>
        </w:tc>
        <w:tc>
          <w:tcPr>
            <w:tcW w:w="600" w:type="dxa"/>
            <w:vAlign w:val="top"/>
          </w:tcPr>
          <w:p w14:paraId="2D3CE8BE">
            <w:pPr>
              <w:spacing w:before="189"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F8EF978">
            <w:pPr>
              <w:rPr>
                <w:rFonts w:ascii="Arial"/>
                <w:sz w:val="21"/>
              </w:rPr>
            </w:pPr>
          </w:p>
        </w:tc>
      </w:tr>
      <w:tr w14:paraId="5AA3C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55" w:type="dxa"/>
            <w:vMerge w:val="continue"/>
            <w:tcBorders>
              <w:top w:val="nil"/>
              <w:left w:val="single" w:color="000000" w:sz="6" w:space="0"/>
              <w:bottom w:val="nil"/>
            </w:tcBorders>
            <w:vAlign w:val="top"/>
          </w:tcPr>
          <w:p w14:paraId="343FF150">
            <w:pPr>
              <w:rPr>
                <w:rFonts w:ascii="Arial"/>
                <w:sz w:val="21"/>
              </w:rPr>
            </w:pPr>
          </w:p>
        </w:tc>
        <w:tc>
          <w:tcPr>
            <w:tcW w:w="111" w:type="dxa"/>
            <w:tcBorders>
              <w:top w:val="nil"/>
              <w:bottom w:val="nil"/>
            </w:tcBorders>
            <w:vAlign w:val="top"/>
          </w:tcPr>
          <w:p w14:paraId="3729483C">
            <w:pPr>
              <w:rPr>
                <w:rFonts w:ascii="Arial"/>
                <w:sz w:val="21"/>
              </w:rPr>
            </w:pPr>
          </w:p>
        </w:tc>
        <w:tc>
          <w:tcPr>
            <w:tcW w:w="708" w:type="dxa"/>
            <w:vMerge w:val="continue"/>
            <w:tcBorders>
              <w:top w:val="nil"/>
              <w:bottom w:val="nil"/>
            </w:tcBorders>
            <w:vAlign w:val="top"/>
          </w:tcPr>
          <w:p w14:paraId="654F9CA5">
            <w:pPr>
              <w:rPr>
                <w:rFonts w:ascii="Arial"/>
                <w:sz w:val="21"/>
              </w:rPr>
            </w:pPr>
          </w:p>
        </w:tc>
        <w:tc>
          <w:tcPr>
            <w:tcW w:w="736" w:type="dxa"/>
            <w:vMerge w:val="continue"/>
            <w:tcBorders>
              <w:top w:val="nil"/>
            </w:tcBorders>
            <w:vAlign w:val="top"/>
          </w:tcPr>
          <w:p w14:paraId="28C4D428">
            <w:pPr>
              <w:rPr>
                <w:rFonts w:ascii="Arial"/>
                <w:sz w:val="21"/>
              </w:rPr>
            </w:pPr>
          </w:p>
        </w:tc>
        <w:tc>
          <w:tcPr>
            <w:tcW w:w="849" w:type="dxa"/>
            <w:vAlign w:val="top"/>
          </w:tcPr>
          <w:p w14:paraId="11FAE790">
            <w:pPr>
              <w:pStyle w:val="6"/>
              <w:spacing w:before="121" w:line="220" w:lineRule="auto"/>
              <w:ind w:left="154"/>
              <w:rPr>
                <w:sz w:val="18"/>
                <w:szCs w:val="18"/>
              </w:rPr>
            </w:pPr>
            <w:r>
              <w:rPr>
                <w:spacing w:val="-3"/>
                <w:sz w:val="18"/>
                <w:szCs w:val="18"/>
              </w:rPr>
              <w:t>无组织</w:t>
            </w:r>
          </w:p>
        </w:tc>
        <w:tc>
          <w:tcPr>
            <w:tcW w:w="1174" w:type="dxa"/>
            <w:vMerge w:val="continue"/>
            <w:tcBorders>
              <w:top w:val="nil"/>
            </w:tcBorders>
            <w:vAlign w:val="top"/>
          </w:tcPr>
          <w:p w14:paraId="31E8D18D">
            <w:pPr>
              <w:rPr>
                <w:rFonts w:ascii="Arial"/>
                <w:sz w:val="21"/>
              </w:rPr>
            </w:pPr>
          </w:p>
        </w:tc>
        <w:tc>
          <w:tcPr>
            <w:tcW w:w="674" w:type="dxa"/>
            <w:vMerge w:val="continue"/>
            <w:tcBorders>
              <w:top w:val="nil"/>
            </w:tcBorders>
            <w:vAlign w:val="top"/>
          </w:tcPr>
          <w:p w14:paraId="2295C5FA">
            <w:pPr>
              <w:rPr>
                <w:rFonts w:ascii="Arial"/>
                <w:sz w:val="21"/>
              </w:rPr>
            </w:pPr>
          </w:p>
        </w:tc>
        <w:tc>
          <w:tcPr>
            <w:tcW w:w="1087" w:type="dxa"/>
            <w:vAlign w:val="top"/>
          </w:tcPr>
          <w:p w14:paraId="3252FE6D">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70052E09">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1E04F832">
            <w:pPr>
              <w:spacing w:before="15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674" w:type="dxa"/>
            <w:vAlign w:val="top"/>
          </w:tcPr>
          <w:p w14:paraId="675FE258">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79A05712">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tcBorders>
            <w:vAlign w:val="top"/>
          </w:tcPr>
          <w:p w14:paraId="7F34FF98">
            <w:pPr>
              <w:rPr>
                <w:rFonts w:ascii="Arial"/>
                <w:sz w:val="21"/>
              </w:rPr>
            </w:pPr>
          </w:p>
        </w:tc>
        <w:tc>
          <w:tcPr>
            <w:tcW w:w="1012" w:type="dxa"/>
            <w:vAlign w:val="top"/>
          </w:tcPr>
          <w:p w14:paraId="522E865A">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2DC7619A">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2B11C7AD">
            <w:pPr>
              <w:spacing w:before="15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749" w:type="dxa"/>
            <w:vAlign w:val="top"/>
          </w:tcPr>
          <w:p w14:paraId="5C59B6DF">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37D9451C">
            <w:pPr>
              <w:spacing w:before="15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06628B8">
            <w:pPr>
              <w:rPr>
                <w:rFonts w:ascii="Arial"/>
                <w:sz w:val="21"/>
              </w:rPr>
            </w:pPr>
          </w:p>
        </w:tc>
      </w:tr>
      <w:tr w14:paraId="411F8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1812A7E0">
            <w:pPr>
              <w:rPr>
                <w:rFonts w:ascii="Arial"/>
                <w:sz w:val="21"/>
              </w:rPr>
            </w:pPr>
          </w:p>
        </w:tc>
        <w:tc>
          <w:tcPr>
            <w:tcW w:w="111" w:type="dxa"/>
            <w:tcBorders>
              <w:top w:val="nil"/>
              <w:bottom w:val="nil"/>
            </w:tcBorders>
            <w:vAlign w:val="top"/>
          </w:tcPr>
          <w:p w14:paraId="1EDE3763">
            <w:pPr>
              <w:rPr>
                <w:rFonts w:ascii="Arial"/>
                <w:sz w:val="21"/>
              </w:rPr>
            </w:pPr>
          </w:p>
        </w:tc>
        <w:tc>
          <w:tcPr>
            <w:tcW w:w="708" w:type="dxa"/>
            <w:vMerge w:val="continue"/>
            <w:tcBorders>
              <w:top w:val="nil"/>
              <w:bottom w:val="nil"/>
            </w:tcBorders>
            <w:vAlign w:val="top"/>
          </w:tcPr>
          <w:p w14:paraId="4BF0E7A0">
            <w:pPr>
              <w:rPr>
                <w:rFonts w:ascii="Arial"/>
                <w:sz w:val="21"/>
              </w:rPr>
            </w:pPr>
          </w:p>
        </w:tc>
        <w:tc>
          <w:tcPr>
            <w:tcW w:w="736" w:type="dxa"/>
            <w:vMerge w:val="restart"/>
            <w:tcBorders>
              <w:bottom w:val="nil"/>
            </w:tcBorders>
            <w:vAlign w:val="top"/>
          </w:tcPr>
          <w:p w14:paraId="1F5542C1">
            <w:pPr>
              <w:spacing w:line="247" w:lineRule="auto"/>
              <w:rPr>
                <w:rFonts w:ascii="Arial"/>
                <w:sz w:val="21"/>
              </w:rPr>
            </w:pPr>
          </w:p>
          <w:p w14:paraId="6CD081F5">
            <w:pPr>
              <w:spacing w:line="247" w:lineRule="auto"/>
              <w:rPr>
                <w:rFonts w:ascii="Arial"/>
                <w:sz w:val="21"/>
              </w:rPr>
            </w:pPr>
          </w:p>
          <w:p w14:paraId="1EDC1553">
            <w:pPr>
              <w:spacing w:line="248" w:lineRule="auto"/>
              <w:rPr>
                <w:rFonts w:ascii="Arial"/>
                <w:sz w:val="21"/>
              </w:rPr>
            </w:pPr>
          </w:p>
          <w:p w14:paraId="70FA9629">
            <w:pPr>
              <w:pStyle w:val="6"/>
              <w:spacing w:before="58" w:line="219" w:lineRule="auto"/>
              <w:ind w:left="1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w:t>
            </w:r>
            <w:r>
              <w:rPr>
                <w:rFonts w:ascii="Times New Roman" w:hAnsi="Times New Roman" w:eastAsia="Times New Roman" w:cs="Times New Roman"/>
                <w:spacing w:val="7"/>
                <w:sz w:val="18"/>
                <w:szCs w:val="18"/>
              </w:rPr>
              <w:t xml:space="preserve"> </w:t>
            </w:r>
            <w:r>
              <w:rPr>
                <w:spacing w:val="-3"/>
                <w:sz w:val="18"/>
                <w:szCs w:val="18"/>
              </w:rPr>
              <w:t>层</w:t>
            </w:r>
            <w:r>
              <w:rPr>
                <w:rFonts w:ascii="Times New Roman" w:hAnsi="Times New Roman" w:eastAsia="Times New Roman" w:cs="Times New Roman"/>
                <w:spacing w:val="-3"/>
                <w:sz w:val="18"/>
                <w:szCs w:val="18"/>
              </w:rPr>
              <w:t>-A</w:t>
            </w:r>
          </w:p>
        </w:tc>
        <w:tc>
          <w:tcPr>
            <w:tcW w:w="849" w:type="dxa"/>
            <w:vAlign w:val="top"/>
          </w:tcPr>
          <w:p w14:paraId="522BA44E">
            <w:pPr>
              <w:pStyle w:val="6"/>
              <w:spacing w:before="159" w:line="220" w:lineRule="auto"/>
              <w:ind w:left="154"/>
              <w:rPr>
                <w:sz w:val="18"/>
                <w:szCs w:val="18"/>
              </w:rPr>
            </w:pPr>
            <w:r>
              <w:rPr>
                <w:spacing w:val="-3"/>
                <w:sz w:val="18"/>
                <w:szCs w:val="18"/>
              </w:rPr>
              <w:t>有组织</w:t>
            </w:r>
          </w:p>
        </w:tc>
        <w:tc>
          <w:tcPr>
            <w:tcW w:w="1174" w:type="dxa"/>
            <w:vMerge w:val="restart"/>
            <w:tcBorders>
              <w:bottom w:val="nil"/>
            </w:tcBorders>
            <w:vAlign w:val="top"/>
          </w:tcPr>
          <w:p w14:paraId="417FC96A">
            <w:pPr>
              <w:spacing w:line="300" w:lineRule="auto"/>
              <w:rPr>
                <w:rFonts w:ascii="Arial"/>
                <w:sz w:val="21"/>
              </w:rPr>
            </w:pPr>
          </w:p>
          <w:p w14:paraId="23A325F2">
            <w:pPr>
              <w:pStyle w:val="6"/>
              <w:spacing w:before="59" w:line="221" w:lineRule="auto"/>
              <w:ind w:left="320"/>
              <w:rPr>
                <w:sz w:val="18"/>
                <w:szCs w:val="18"/>
              </w:rPr>
            </w:pPr>
            <w:r>
              <w:rPr>
                <w:spacing w:val="-4"/>
                <w:sz w:val="18"/>
                <w:szCs w:val="18"/>
              </w:rPr>
              <w:t>氯化氢</w:t>
            </w:r>
          </w:p>
        </w:tc>
        <w:tc>
          <w:tcPr>
            <w:tcW w:w="674" w:type="dxa"/>
            <w:vMerge w:val="restart"/>
            <w:tcBorders>
              <w:bottom w:val="nil"/>
            </w:tcBorders>
            <w:vAlign w:val="top"/>
          </w:tcPr>
          <w:p w14:paraId="03827255">
            <w:pPr>
              <w:spacing w:line="312" w:lineRule="auto"/>
              <w:rPr>
                <w:rFonts w:ascii="Arial"/>
                <w:sz w:val="21"/>
              </w:rPr>
            </w:pPr>
          </w:p>
          <w:p w14:paraId="014523B6">
            <w:pPr>
              <w:spacing w:line="312" w:lineRule="auto"/>
              <w:rPr>
                <w:rFonts w:ascii="Arial"/>
                <w:sz w:val="21"/>
              </w:rPr>
            </w:pPr>
          </w:p>
          <w:p w14:paraId="5F79625F">
            <w:pPr>
              <w:pStyle w:val="6"/>
              <w:spacing w:before="59"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vAlign w:val="top"/>
          </w:tcPr>
          <w:p w14:paraId="74543E2D">
            <w:pPr>
              <w:spacing w:before="188"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7ECD2FF5">
            <w:pPr>
              <w:spacing w:before="188"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301.39</w:t>
            </w:r>
          </w:p>
        </w:tc>
        <w:tc>
          <w:tcPr>
            <w:tcW w:w="761" w:type="dxa"/>
            <w:vAlign w:val="top"/>
          </w:tcPr>
          <w:p w14:paraId="731123B7">
            <w:pPr>
              <w:spacing w:before="188"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6.0278</w:t>
            </w:r>
          </w:p>
        </w:tc>
        <w:tc>
          <w:tcPr>
            <w:tcW w:w="674" w:type="dxa"/>
            <w:vAlign w:val="top"/>
          </w:tcPr>
          <w:p w14:paraId="5106E264">
            <w:pPr>
              <w:pStyle w:val="6"/>
              <w:spacing w:before="44" w:line="221" w:lineRule="auto"/>
              <w:ind w:left="73"/>
              <w:rPr>
                <w:sz w:val="18"/>
                <w:szCs w:val="18"/>
              </w:rPr>
            </w:pPr>
            <w:r>
              <w:rPr>
                <w:spacing w:val="-3"/>
                <w:sz w:val="18"/>
                <w:szCs w:val="18"/>
              </w:rPr>
              <w:t>三级碱</w:t>
            </w:r>
          </w:p>
          <w:p w14:paraId="594D6C7E">
            <w:pPr>
              <w:pStyle w:val="6"/>
              <w:spacing w:before="16" w:line="194" w:lineRule="auto"/>
              <w:ind w:left="74"/>
              <w:rPr>
                <w:sz w:val="18"/>
                <w:szCs w:val="18"/>
              </w:rPr>
            </w:pPr>
            <w:r>
              <w:rPr>
                <w:spacing w:val="-3"/>
                <w:sz w:val="18"/>
                <w:szCs w:val="18"/>
              </w:rPr>
              <w:t>液喷淋</w:t>
            </w:r>
          </w:p>
        </w:tc>
        <w:tc>
          <w:tcPr>
            <w:tcW w:w="538" w:type="dxa"/>
            <w:vAlign w:val="top"/>
          </w:tcPr>
          <w:p w14:paraId="4EA6C85F">
            <w:pPr>
              <w:spacing w:before="188"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bottom w:val="nil"/>
            </w:tcBorders>
            <w:vAlign w:val="top"/>
          </w:tcPr>
          <w:p w14:paraId="62B5BF0A">
            <w:pPr>
              <w:spacing w:line="255" w:lineRule="auto"/>
              <w:rPr>
                <w:rFonts w:ascii="Arial"/>
                <w:sz w:val="21"/>
              </w:rPr>
            </w:pPr>
          </w:p>
          <w:p w14:paraId="465D2749">
            <w:pPr>
              <w:spacing w:line="256" w:lineRule="auto"/>
              <w:rPr>
                <w:rFonts w:ascii="Arial"/>
                <w:sz w:val="21"/>
              </w:rPr>
            </w:pPr>
          </w:p>
          <w:p w14:paraId="188692B8">
            <w:pPr>
              <w:pStyle w:val="6"/>
              <w:spacing w:before="58" w:line="219" w:lineRule="auto"/>
              <w:ind w:left="106"/>
              <w:rPr>
                <w:sz w:val="18"/>
                <w:szCs w:val="18"/>
              </w:rPr>
            </w:pPr>
            <w:r>
              <w:rPr>
                <w:spacing w:val="-4"/>
                <w:sz w:val="18"/>
                <w:szCs w:val="18"/>
              </w:rPr>
              <w:t>产污</w:t>
            </w:r>
          </w:p>
          <w:p w14:paraId="7741C7B8">
            <w:pPr>
              <w:pStyle w:val="6"/>
              <w:spacing w:before="18" w:line="244" w:lineRule="auto"/>
              <w:ind w:left="198" w:right="96" w:hanging="88"/>
              <w:rPr>
                <w:sz w:val="18"/>
                <w:szCs w:val="18"/>
              </w:rPr>
            </w:pPr>
            <w:r>
              <w:rPr>
                <w:spacing w:val="-6"/>
                <w:sz w:val="18"/>
                <w:szCs w:val="18"/>
              </w:rPr>
              <w:t>系数</w:t>
            </w:r>
            <w:r>
              <w:rPr>
                <w:sz w:val="18"/>
                <w:szCs w:val="18"/>
              </w:rPr>
              <w:t xml:space="preserve"> 法</w:t>
            </w:r>
          </w:p>
        </w:tc>
        <w:tc>
          <w:tcPr>
            <w:tcW w:w="1012" w:type="dxa"/>
            <w:vAlign w:val="top"/>
          </w:tcPr>
          <w:p w14:paraId="437BC14B">
            <w:pPr>
              <w:spacing w:before="188"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2F55BE08">
            <w:pPr>
              <w:spacing w:before="188"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21.10</w:t>
            </w:r>
          </w:p>
        </w:tc>
        <w:tc>
          <w:tcPr>
            <w:tcW w:w="736" w:type="dxa"/>
            <w:vAlign w:val="top"/>
          </w:tcPr>
          <w:p w14:paraId="2396DCB3">
            <w:pPr>
              <w:spacing w:before="18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0.4219</w:t>
            </w:r>
          </w:p>
        </w:tc>
        <w:tc>
          <w:tcPr>
            <w:tcW w:w="749" w:type="dxa"/>
            <w:vAlign w:val="top"/>
          </w:tcPr>
          <w:p w14:paraId="7A7F1CC4">
            <w:pPr>
              <w:spacing w:before="188"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DA010</w:t>
            </w:r>
          </w:p>
        </w:tc>
        <w:tc>
          <w:tcPr>
            <w:tcW w:w="600" w:type="dxa"/>
            <w:vAlign w:val="top"/>
          </w:tcPr>
          <w:p w14:paraId="44373176">
            <w:pPr>
              <w:spacing w:before="18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EA55FCD">
            <w:pPr>
              <w:rPr>
                <w:rFonts w:ascii="Arial"/>
                <w:sz w:val="21"/>
              </w:rPr>
            </w:pPr>
          </w:p>
        </w:tc>
      </w:tr>
      <w:tr w14:paraId="4886B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5A6772FA">
            <w:pPr>
              <w:rPr>
                <w:rFonts w:ascii="Arial"/>
                <w:sz w:val="21"/>
              </w:rPr>
            </w:pPr>
          </w:p>
        </w:tc>
        <w:tc>
          <w:tcPr>
            <w:tcW w:w="111" w:type="dxa"/>
            <w:tcBorders>
              <w:top w:val="nil"/>
              <w:bottom w:val="nil"/>
            </w:tcBorders>
            <w:vAlign w:val="top"/>
          </w:tcPr>
          <w:p w14:paraId="6461F90B">
            <w:pPr>
              <w:rPr>
                <w:rFonts w:ascii="Arial"/>
                <w:sz w:val="21"/>
              </w:rPr>
            </w:pPr>
          </w:p>
        </w:tc>
        <w:tc>
          <w:tcPr>
            <w:tcW w:w="708" w:type="dxa"/>
            <w:vMerge w:val="continue"/>
            <w:tcBorders>
              <w:top w:val="nil"/>
              <w:bottom w:val="nil"/>
            </w:tcBorders>
            <w:vAlign w:val="top"/>
          </w:tcPr>
          <w:p w14:paraId="1E6138CC">
            <w:pPr>
              <w:rPr>
                <w:rFonts w:ascii="Arial"/>
                <w:sz w:val="21"/>
              </w:rPr>
            </w:pPr>
          </w:p>
        </w:tc>
        <w:tc>
          <w:tcPr>
            <w:tcW w:w="736" w:type="dxa"/>
            <w:vMerge w:val="continue"/>
            <w:tcBorders>
              <w:top w:val="nil"/>
              <w:bottom w:val="nil"/>
            </w:tcBorders>
            <w:vAlign w:val="top"/>
          </w:tcPr>
          <w:p w14:paraId="21D5AE01">
            <w:pPr>
              <w:rPr>
                <w:rFonts w:ascii="Arial"/>
                <w:sz w:val="21"/>
              </w:rPr>
            </w:pPr>
          </w:p>
        </w:tc>
        <w:tc>
          <w:tcPr>
            <w:tcW w:w="849" w:type="dxa"/>
            <w:vAlign w:val="top"/>
          </w:tcPr>
          <w:p w14:paraId="52749C3F">
            <w:pPr>
              <w:pStyle w:val="6"/>
              <w:spacing w:before="120" w:line="220" w:lineRule="auto"/>
              <w:ind w:left="154"/>
              <w:rPr>
                <w:sz w:val="18"/>
                <w:szCs w:val="18"/>
              </w:rPr>
            </w:pPr>
            <w:r>
              <w:rPr>
                <w:spacing w:val="-3"/>
                <w:sz w:val="18"/>
                <w:szCs w:val="18"/>
              </w:rPr>
              <w:t>无组织</w:t>
            </w:r>
          </w:p>
        </w:tc>
        <w:tc>
          <w:tcPr>
            <w:tcW w:w="1174" w:type="dxa"/>
            <w:vMerge w:val="continue"/>
            <w:tcBorders>
              <w:top w:val="nil"/>
            </w:tcBorders>
            <w:vAlign w:val="top"/>
          </w:tcPr>
          <w:p w14:paraId="28978B00">
            <w:pPr>
              <w:rPr>
                <w:rFonts w:ascii="Arial"/>
                <w:sz w:val="21"/>
              </w:rPr>
            </w:pPr>
          </w:p>
        </w:tc>
        <w:tc>
          <w:tcPr>
            <w:tcW w:w="674" w:type="dxa"/>
            <w:vMerge w:val="continue"/>
            <w:tcBorders>
              <w:top w:val="nil"/>
              <w:bottom w:val="nil"/>
            </w:tcBorders>
            <w:vAlign w:val="top"/>
          </w:tcPr>
          <w:p w14:paraId="15D85FB7">
            <w:pPr>
              <w:rPr>
                <w:rFonts w:ascii="Arial"/>
                <w:sz w:val="21"/>
              </w:rPr>
            </w:pPr>
          </w:p>
        </w:tc>
        <w:tc>
          <w:tcPr>
            <w:tcW w:w="1087" w:type="dxa"/>
            <w:vAlign w:val="top"/>
          </w:tcPr>
          <w:p w14:paraId="20FBB613">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095EFA62">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2719E806">
            <w:pPr>
              <w:spacing w:before="15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674" w:type="dxa"/>
            <w:vAlign w:val="top"/>
          </w:tcPr>
          <w:p w14:paraId="3944448F">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0DB28BE8">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1E57E37A">
            <w:pPr>
              <w:rPr>
                <w:rFonts w:ascii="Arial"/>
                <w:sz w:val="21"/>
              </w:rPr>
            </w:pPr>
          </w:p>
        </w:tc>
        <w:tc>
          <w:tcPr>
            <w:tcW w:w="1012" w:type="dxa"/>
            <w:vAlign w:val="top"/>
          </w:tcPr>
          <w:p w14:paraId="055A0BCF">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208511BE">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18258458">
            <w:pPr>
              <w:spacing w:before="15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749" w:type="dxa"/>
            <w:vAlign w:val="top"/>
          </w:tcPr>
          <w:p w14:paraId="2E9FDDEC">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62870555">
            <w:pPr>
              <w:spacing w:before="15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87B77C5">
            <w:pPr>
              <w:rPr>
                <w:rFonts w:ascii="Arial"/>
                <w:sz w:val="21"/>
              </w:rPr>
            </w:pPr>
          </w:p>
        </w:tc>
      </w:tr>
      <w:tr w14:paraId="7B07E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07EDC818">
            <w:pPr>
              <w:rPr>
                <w:rFonts w:ascii="Arial"/>
                <w:sz w:val="21"/>
              </w:rPr>
            </w:pPr>
          </w:p>
        </w:tc>
        <w:tc>
          <w:tcPr>
            <w:tcW w:w="111" w:type="dxa"/>
            <w:tcBorders>
              <w:top w:val="nil"/>
              <w:bottom w:val="nil"/>
            </w:tcBorders>
            <w:vAlign w:val="top"/>
          </w:tcPr>
          <w:p w14:paraId="7F00EF18">
            <w:pPr>
              <w:rPr>
                <w:rFonts w:ascii="Arial"/>
                <w:sz w:val="21"/>
              </w:rPr>
            </w:pPr>
          </w:p>
        </w:tc>
        <w:tc>
          <w:tcPr>
            <w:tcW w:w="708" w:type="dxa"/>
            <w:vMerge w:val="continue"/>
            <w:tcBorders>
              <w:top w:val="nil"/>
              <w:bottom w:val="nil"/>
            </w:tcBorders>
            <w:vAlign w:val="top"/>
          </w:tcPr>
          <w:p w14:paraId="38B5935E">
            <w:pPr>
              <w:rPr>
                <w:rFonts w:ascii="Arial"/>
                <w:sz w:val="21"/>
              </w:rPr>
            </w:pPr>
          </w:p>
        </w:tc>
        <w:tc>
          <w:tcPr>
            <w:tcW w:w="736" w:type="dxa"/>
            <w:vMerge w:val="continue"/>
            <w:tcBorders>
              <w:top w:val="nil"/>
              <w:bottom w:val="nil"/>
            </w:tcBorders>
            <w:vAlign w:val="top"/>
          </w:tcPr>
          <w:p w14:paraId="0DA62011">
            <w:pPr>
              <w:rPr>
                <w:rFonts w:ascii="Arial"/>
                <w:sz w:val="21"/>
              </w:rPr>
            </w:pPr>
          </w:p>
        </w:tc>
        <w:tc>
          <w:tcPr>
            <w:tcW w:w="849" w:type="dxa"/>
            <w:vAlign w:val="top"/>
          </w:tcPr>
          <w:p w14:paraId="5B310014">
            <w:pPr>
              <w:pStyle w:val="6"/>
              <w:spacing w:before="159" w:line="220" w:lineRule="auto"/>
              <w:ind w:left="154"/>
              <w:rPr>
                <w:sz w:val="18"/>
                <w:szCs w:val="18"/>
              </w:rPr>
            </w:pPr>
            <w:r>
              <w:rPr>
                <w:spacing w:val="-3"/>
                <w:sz w:val="18"/>
                <w:szCs w:val="18"/>
              </w:rPr>
              <w:t>有组织</w:t>
            </w:r>
          </w:p>
        </w:tc>
        <w:tc>
          <w:tcPr>
            <w:tcW w:w="1174" w:type="dxa"/>
            <w:vMerge w:val="restart"/>
            <w:tcBorders>
              <w:bottom w:val="nil"/>
            </w:tcBorders>
            <w:vAlign w:val="top"/>
          </w:tcPr>
          <w:p w14:paraId="0C11F409">
            <w:pPr>
              <w:pStyle w:val="6"/>
              <w:spacing w:before="246" w:line="219" w:lineRule="auto"/>
              <w:ind w:left="137"/>
              <w:rPr>
                <w:sz w:val="18"/>
                <w:szCs w:val="18"/>
              </w:rPr>
            </w:pPr>
            <w:r>
              <w:rPr>
                <w:spacing w:val="-2"/>
                <w:sz w:val="18"/>
                <w:szCs w:val="18"/>
              </w:rPr>
              <w:t>氟化氢（以</w:t>
            </w:r>
          </w:p>
          <w:p w14:paraId="38384828">
            <w:pPr>
              <w:pStyle w:val="6"/>
              <w:spacing w:before="19"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5CDEB170">
            <w:pPr>
              <w:rPr>
                <w:rFonts w:ascii="Arial"/>
                <w:sz w:val="21"/>
              </w:rPr>
            </w:pPr>
          </w:p>
        </w:tc>
        <w:tc>
          <w:tcPr>
            <w:tcW w:w="1087" w:type="dxa"/>
            <w:vAlign w:val="top"/>
          </w:tcPr>
          <w:p w14:paraId="12C04E67">
            <w:pPr>
              <w:spacing w:before="188"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4FD77160">
            <w:pPr>
              <w:spacing w:before="188"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29.93</w:t>
            </w:r>
          </w:p>
        </w:tc>
        <w:tc>
          <w:tcPr>
            <w:tcW w:w="761" w:type="dxa"/>
            <w:vAlign w:val="top"/>
          </w:tcPr>
          <w:p w14:paraId="569DA6CE">
            <w:pPr>
              <w:spacing w:before="188"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0.5985</w:t>
            </w:r>
          </w:p>
        </w:tc>
        <w:tc>
          <w:tcPr>
            <w:tcW w:w="674" w:type="dxa"/>
            <w:vAlign w:val="top"/>
          </w:tcPr>
          <w:p w14:paraId="763DEA53">
            <w:pPr>
              <w:pStyle w:val="6"/>
              <w:spacing w:before="42" w:line="221" w:lineRule="auto"/>
              <w:ind w:left="73"/>
              <w:rPr>
                <w:sz w:val="18"/>
                <w:szCs w:val="18"/>
              </w:rPr>
            </w:pPr>
            <w:r>
              <w:rPr>
                <w:spacing w:val="-3"/>
                <w:sz w:val="18"/>
                <w:szCs w:val="18"/>
              </w:rPr>
              <w:t>三级碱</w:t>
            </w:r>
          </w:p>
          <w:p w14:paraId="7D09F393">
            <w:pPr>
              <w:pStyle w:val="6"/>
              <w:spacing w:before="19" w:line="186" w:lineRule="auto"/>
              <w:ind w:left="74"/>
              <w:rPr>
                <w:sz w:val="18"/>
                <w:szCs w:val="18"/>
              </w:rPr>
            </w:pPr>
            <w:r>
              <w:rPr>
                <w:spacing w:val="-3"/>
                <w:sz w:val="18"/>
                <w:szCs w:val="18"/>
              </w:rPr>
              <w:t>液喷淋</w:t>
            </w:r>
          </w:p>
        </w:tc>
        <w:tc>
          <w:tcPr>
            <w:tcW w:w="538" w:type="dxa"/>
            <w:vAlign w:val="top"/>
          </w:tcPr>
          <w:p w14:paraId="6BB26056">
            <w:pPr>
              <w:spacing w:before="188"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2BE03190">
            <w:pPr>
              <w:rPr>
                <w:rFonts w:ascii="Arial"/>
                <w:sz w:val="21"/>
              </w:rPr>
            </w:pPr>
          </w:p>
        </w:tc>
        <w:tc>
          <w:tcPr>
            <w:tcW w:w="1012" w:type="dxa"/>
            <w:vAlign w:val="top"/>
          </w:tcPr>
          <w:p w14:paraId="167CCC94">
            <w:pPr>
              <w:spacing w:before="188"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7253CC9C">
            <w:pPr>
              <w:spacing w:before="188"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36" w:type="dxa"/>
            <w:vAlign w:val="top"/>
          </w:tcPr>
          <w:p w14:paraId="0BAFEDB8">
            <w:pPr>
              <w:spacing w:before="18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0.0958</w:t>
            </w:r>
          </w:p>
        </w:tc>
        <w:tc>
          <w:tcPr>
            <w:tcW w:w="749" w:type="dxa"/>
            <w:vAlign w:val="top"/>
          </w:tcPr>
          <w:p w14:paraId="5E699C7E">
            <w:pPr>
              <w:spacing w:before="188"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DA010</w:t>
            </w:r>
          </w:p>
        </w:tc>
        <w:tc>
          <w:tcPr>
            <w:tcW w:w="600" w:type="dxa"/>
            <w:vAlign w:val="top"/>
          </w:tcPr>
          <w:p w14:paraId="04223D0B">
            <w:pPr>
              <w:spacing w:before="18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6738BC5">
            <w:pPr>
              <w:rPr>
                <w:rFonts w:ascii="Arial"/>
                <w:sz w:val="21"/>
              </w:rPr>
            </w:pPr>
          </w:p>
        </w:tc>
      </w:tr>
      <w:tr w14:paraId="23374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5" w:type="dxa"/>
            <w:vMerge w:val="continue"/>
            <w:tcBorders>
              <w:top w:val="nil"/>
              <w:left w:val="single" w:color="000000" w:sz="6" w:space="0"/>
              <w:bottom w:val="single" w:color="000000" w:sz="6" w:space="0"/>
            </w:tcBorders>
            <w:vAlign w:val="top"/>
          </w:tcPr>
          <w:p w14:paraId="4738415A">
            <w:pPr>
              <w:rPr>
                <w:rFonts w:ascii="Arial"/>
                <w:sz w:val="21"/>
              </w:rPr>
            </w:pPr>
          </w:p>
        </w:tc>
        <w:tc>
          <w:tcPr>
            <w:tcW w:w="111" w:type="dxa"/>
            <w:tcBorders>
              <w:top w:val="nil"/>
              <w:bottom w:val="single" w:color="000000" w:sz="6" w:space="0"/>
            </w:tcBorders>
            <w:vAlign w:val="top"/>
          </w:tcPr>
          <w:p w14:paraId="05C3BD37">
            <w:pPr>
              <w:rPr>
                <w:rFonts w:ascii="Arial"/>
                <w:sz w:val="21"/>
              </w:rPr>
            </w:pPr>
          </w:p>
        </w:tc>
        <w:tc>
          <w:tcPr>
            <w:tcW w:w="708" w:type="dxa"/>
            <w:vMerge w:val="continue"/>
            <w:tcBorders>
              <w:top w:val="nil"/>
              <w:bottom w:val="single" w:color="000000" w:sz="6" w:space="0"/>
            </w:tcBorders>
            <w:vAlign w:val="top"/>
          </w:tcPr>
          <w:p w14:paraId="33144290">
            <w:pPr>
              <w:rPr>
                <w:rFonts w:ascii="Arial"/>
                <w:sz w:val="21"/>
              </w:rPr>
            </w:pPr>
          </w:p>
        </w:tc>
        <w:tc>
          <w:tcPr>
            <w:tcW w:w="736" w:type="dxa"/>
            <w:vMerge w:val="continue"/>
            <w:tcBorders>
              <w:top w:val="nil"/>
              <w:bottom w:val="single" w:color="000000" w:sz="6" w:space="0"/>
            </w:tcBorders>
            <w:vAlign w:val="top"/>
          </w:tcPr>
          <w:p w14:paraId="0B8F0803">
            <w:pPr>
              <w:rPr>
                <w:rFonts w:ascii="Arial"/>
                <w:sz w:val="21"/>
              </w:rPr>
            </w:pPr>
          </w:p>
        </w:tc>
        <w:tc>
          <w:tcPr>
            <w:tcW w:w="849" w:type="dxa"/>
            <w:tcBorders>
              <w:bottom w:val="single" w:color="000000" w:sz="6" w:space="0"/>
            </w:tcBorders>
            <w:vAlign w:val="top"/>
          </w:tcPr>
          <w:p w14:paraId="48522F52">
            <w:pPr>
              <w:pStyle w:val="6"/>
              <w:spacing w:before="127" w:line="220" w:lineRule="auto"/>
              <w:ind w:left="154"/>
              <w:rPr>
                <w:sz w:val="18"/>
                <w:szCs w:val="18"/>
              </w:rPr>
            </w:pPr>
            <w:r>
              <w:rPr>
                <w:spacing w:val="-3"/>
                <w:sz w:val="18"/>
                <w:szCs w:val="18"/>
              </w:rPr>
              <w:t>无组织</w:t>
            </w:r>
          </w:p>
        </w:tc>
        <w:tc>
          <w:tcPr>
            <w:tcW w:w="1174" w:type="dxa"/>
            <w:vMerge w:val="continue"/>
            <w:tcBorders>
              <w:top w:val="nil"/>
              <w:bottom w:val="single" w:color="000000" w:sz="6" w:space="0"/>
            </w:tcBorders>
            <w:vAlign w:val="top"/>
          </w:tcPr>
          <w:p w14:paraId="359DE8E3">
            <w:pPr>
              <w:rPr>
                <w:rFonts w:ascii="Arial"/>
                <w:sz w:val="21"/>
              </w:rPr>
            </w:pPr>
          </w:p>
        </w:tc>
        <w:tc>
          <w:tcPr>
            <w:tcW w:w="674" w:type="dxa"/>
            <w:vMerge w:val="continue"/>
            <w:tcBorders>
              <w:top w:val="nil"/>
              <w:bottom w:val="single" w:color="000000" w:sz="6" w:space="0"/>
            </w:tcBorders>
            <w:vAlign w:val="top"/>
          </w:tcPr>
          <w:p w14:paraId="3202E30E">
            <w:pPr>
              <w:rPr>
                <w:rFonts w:ascii="Arial"/>
                <w:sz w:val="21"/>
              </w:rPr>
            </w:pPr>
          </w:p>
        </w:tc>
        <w:tc>
          <w:tcPr>
            <w:tcW w:w="1087" w:type="dxa"/>
            <w:tcBorders>
              <w:bottom w:val="single" w:color="000000" w:sz="6" w:space="0"/>
            </w:tcBorders>
            <w:vAlign w:val="top"/>
          </w:tcPr>
          <w:p w14:paraId="5F977E9E">
            <w:pPr>
              <w:spacing w:before="155"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tcBorders>
              <w:bottom w:val="single" w:color="000000" w:sz="6" w:space="0"/>
            </w:tcBorders>
            <w:vAlign w:val="top"/>
          </w:tcPr>
          <w:p w14:paraId="4C740D2E">
            <w:pPr>
              <w:spacing w:before="155"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tcBorders>
              <w:bottom w:val="single" w:color="000000" w:sz="6" w:space="0"/>
            </w:tcBorders>
            <w:vAlign w:val="top"/>
          </w:tcPr>
          <w:p w14:paraId="42C15C89">
            <w:pPr>
              <w:spacing w:before="158"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674" w:type="dxa"/>
            <w:tcBorders>
              <w:bottom w:val="single" w:color="000000" w:sz="6" w:space="0"/>
            </w:tcBorders>
            <w:vAlign w:val="top"/>
          </w:tcPr>
          <w:p w14:paraId="2A261EEA">
            <w:pPr>
              <w:spacing w:before="155"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tcBorders>
              <w:bottom w:val="single" w:color="000000" w:sz="6" w:space="0"/>
            </w:tcBorders>
            <w:vAlign w:val="top"/>
          </w:tcPr>
          <w:p w14:paraId="505ABDFF">
            <w:pPr>
              <w:spacing w:before="155"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single" w:color="000000" w:sz="6" w:space="0"/>
            </w:tcBorders>
            <w:vAlign w:val="top"/>
          </w:tcPr>
          <w:p w14:paraId="518E96B4">
            <w:pPr>
              <w:rPr>
                <w:rFonts w:ascii="Arial"/>
                <w:sz w:val="21"/>
              </w:rPr>
            </w:pPr>
          </w:p>
        </w:tc>
        <w:tc>
          <w:tcPr>
            <w:tcW w:w="1012" w:type="dxa"/>
            <w:tcBorders>
              <w:bottom w:val="single" w:color="000000" w:sz="6" w:space="0"/>
            </w:tcBorders>
            <w:vAlign w:val="top"/>
          </w:tcPr>
          <w:p w14:paraId="4A41A929">
            <w:pPr>
              <w:spacing w:before="155"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tcBorders>
              <w:bottom w:val="single" w:color="000000" w:sz="6" w:space="0"/>
            </w:tcBorders>
            <w:vAlign w:val="top"/>
          </w:tcPr>
          <w:p w14:paraId="322657DE">
            <w:pPr>
              <w:spacing w:before="155"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tcBorders>
              <w:bottom w:val="single" w:color="000000" w:sz="6" w:space="0"/>
            </w:tcBorders>
            <w:vAlign w:val="top"/>
          </w:tcPr>
          <w:p w14:paraId="02B888F6">
            <w:pPr>
              <w:spacing w:before="15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749" w:type="dxa"/>
            <w:tcBorders>
              <w:bottom w:val="single" w:color="000000" w:sz="6" w:space="0"/>
            </w:tcBorders>
            <w:vAlign w:val="top"/>
          </w:tcPr>
          <w:p w14:paraId="51317DB1">
            <w:pPr>
              <w:spacing w:before="155"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tcBorders>
              <w:bottom w:val="single" w:color="000000" w:sz="6" w:space="0"/>
            </w:tcBorders>
            <w:vAlign w:val="top"/>
          </w:tcPr>
          <w:p w14:paraId="4898CA06">
            <w:pPr>
              <w:spacing w:before="15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single" w:color="000000" w:sz="6" w:space="0"/>
              <w:right w:val="single" w:color="000000" w:sz="6" w:space="0"/>
            </w:tcBorders>
            <w:vAlign w:val="top"/>
          </w:tcPr>
          <w:p w14:paraId="7D3C43D9">
            <w:pPr>
              <w:rPr>
                <w:rFonts w:ascii="Arial"/>
                <w:sz w:val="21"/>
              </w:rPr>
            </w:pPr>
          </w:p>
        </w:tc>
      </w:tr>
    </w:tbl>
    <w:p w14:paraId="1DA42BA7">
      <w:pPr>
        <w:rPr>
          <w:rFonts w:ascii="Arial"/>
          <w:sz w:val="21"/>
        </w:rPr>
      </w:pPr>
    </w:p>
    <w:p w14:paraId="4839C13F">
      <w:pPr>
        <w:rPr>
          <w:rFonts w:ascii="Arial" w:hAnsi="Arial" w:eastAsia="Arial" w:cs="Arial"/>
          <w:sz w:val="21"/>
          <w:szCs w:val="21"/>
        </w:rPr>
        <w:sectPr>
          <w:footerReference r:id="rId78" w:type="default"/>
          <w:pgSz w:w="16840" w:h="11907"/>
          <w:pgMar w:top="400" w:right="1702" w:bottom="1241" w:left="1702" w:header="0" w:footer="1079" w:gutter="0"/>
          <w:cols w:space="720" w:num="1"/>
        </w:sectPr>
      </w:pPr>
    </w:p>
    <w:p w14:paraId="54569A28">
      <w:pPr>
        <w:spacing w:before="13"/>
      </w:pPr>
    </w:p>
    <w:p w14:paraId="3A615D5E">
      <w:pPr>
        <w:spacing w:before="13"/>
      </w:pPr>
    </w:p>
    <w:p w14:paraId="0BE2C991">
      <w:pPr>
        <w:spacing w:before="13"/>
      </w:pPr>
    </w:p>
    <w:p w14:paraId="03284E36">
      <w:pPr>
        <w:spacing w:before="12"/>
      </w:pPr>
    </w:p>
    <w:tbl>
      <w:tblPr>
        <w:tblStyle w:val="5"/>
        <w:tblW w:w="134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11"/>
        <w:gridCol w:w="708"/>
        <w:gridCol w:w="736"/>
        <w:gridCol w:w="849"/>
        <w:gridCol w:w="1174"/>
        <w:gridCol w:w="674"/>
        <w:gridCol w:w="1087"/>
        <w:gridCol w:w="849"/>
        <w:gridCol w:w="761"/>
        <w:gridCol w:w="674"/>
        <w:gridCol w:w="538"/>
        <w:gridCol w:w="561"/>
        <w:gridCol w:w="1012"/>
        <w:gridCol w:w="724"/>
        <w:gridCol w:w="736"/>
        <w:gridCol w:w="749"/>
        <w:gridCol w:w="600"/>
        <w:gridCol w:w="122"/>
      </w:tblGrid>
      <w:tr w14:paraId="63EB9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55" w:type="dxa"/>
            <w:vMerge w:val="restart"/>
            <w:tcBorders>
              <w:top w:val="single" w:color="000000" w:sz="6" w:space="0"/>
              <w:left w:val="single" w:color="000000" w:sz="6" w:space="0"/>
              <w:bottom w:val="nil"/>
            </w:tcBorders>
            <w:vAlign w:val="top"/>
          </w:tcPr>
          <w:p w14:paraId="106D8725">
            <w:pPr>
              <w:rPr>
                <w:rFonts w:ascii="Arial"/>
                <w:sz w:val="21"/>
              </w:rPr>
            </w:pPr>
          </w:p>
        </w:tc>
        <w:tc>
          <w:tcPr>
            <w:tcW w:w="111" w:type="dxa"/>
            <w:tcBorders>
              <w:top w:val="single" w:color="000000" w:sz="6" w:space="0"/>
              <w:bottom w:val="nil"/>
            </w:tcBorders>
            <w:vAlign w:val="top"/>
          </w:tcPr>
          <w:p w14:paraId="2C33915F">
            <w:pPr>
              <w:rPr>
                <w:rFonts w:ascii="Arial"/>
                <w:sz w:val="21"/>
              </w:rPr>
            </w:pPr>
          </w:p>
        </w:tc>
        <w:tc>
          <w:tcPr>
            <w:tcW w:w="708" w:type="dxa"/>
            <w:vMerge w:val="restart"/>
            <w:tcBorders>
              <w:top w:val="single" w:color="000000" w:sz="6" w:space="0"/>
              <w:bottom w:val="nil"/>
            </w:tcBorders>
            <w:vAlign w:val="top"/>
          </w:tcPr>
          <w:p w14:paraId="477620E5">
            <w:pPr>
              <w:rPr>
                <w:rFonts w:ascii="Arial"/>
                <w:sz w:val="21"/>
              </w:rPr>
            </w:pPr>
          </w:p>
        </w:tc>
        <w:tc>
          <w:tcPr>
            <w:tcW w:w="736" w:type="dxa"/>
            <w:vMerge w:val="restart"/>
            <w:tcBorders>
              <w:top w:val="single" w:color="000000" w:sz="6" w:space="0"/>
              <w:bottom w:val="nil"/>
            </w:tcBorders>
            <w:vAlign w:val="top"/>
          </w:tcPr>
          <w:p w14:paraId="1498B820">
            <w:pPr>
              <w:rPr>
                <w:rFonts w:ascii="Arial"/>
                <w:sz w:val="21"/>
              </w:rPr>
            </w:pPr>
          </w:p>
        </w:tc>
        <w:tc>
          <w:tcPr>
            <w:tcW w:w="849" w:type="dxa"/>
            <w:tcBorders>
              <w:top w:val="single" w:color="000000" w:sz="6" w:space="0"/>
            </w:tcBorders>
            <w:vAlign w:val="top"/>
          </w:tcPr>
          <w:p w14:paraId="404A6BBC">
            <w:pPr>
              <w:pStyle w:val="6"/>
              <w:spacing w:before="159" w:line="220" w:lineRule="auto"/>
              <w:ind w:left="154"/>
              <w:rPr>
                <w:sz w:val="18"/>
                <w:szCs w:val="18"/>
              </w:rPr>
            </w:pPr>
            <w:r>
              <w:rPr>
                <w:spacing w:val="-3"/>
                <w:sz w:val="18"/>
                <w:szCs w:val="18"/>
              </w:rPr>
              <w:t>有组织</w:t>
            </w:r>
          </w:p>
        </w:tc>
        <w:tc>
          <w:tcPr>
            <w:tcW w:w="1174" w:type="dxa"/>
            <w:vMerge w:val="restart"/>
            <w:tcBorders>
              <w:top w:val="single" w:color="000000" w:sz="6" w:space="0"/>
              <w:bottom w:val="nil"/>
            </w:tcBorders>
            <w:vAlign w:val="top"/>
          </w:tcPr>
          <w:p w14:paraId="669794A0">
            <w:pPr>
              <w:spacing w:line="300" w:lineRule="auto"/>
              <w:rPr>
                <w:rFonts w:ascii="Arial"/>
                <w:sz w:val="21"/>
              </w:rPr>
            </w:pPr>
          </w:p>
          <w:p w14:paraId="64274B10">
            <w:pPr>
              <w:pStyle w:val="6"/>
              <w:spacing w:before="58" w:line="221" w:lineRule="auto"/>
              <w:ind w:left="316"/>
              <w:rPr>
                <w:sz w:val="18"/>
                <w:szCs w:val="18"/>
              </w:rPr>
            </w:pPr>
            <w:r>
              <w:rPr>
                <w:spacing w:val="-3"/>
                <w:sz w:val="18"/>
                <w:szCs w:val="18"/>
              </w:rPr>
              <w:t>硫酸雾</w:t>
            </w:r>
          </w:p>
        </w:tc>
        <w:tc>
          <w:tcPr>
            <w:tcW w:w="674" w:type="dxa"/>
            <w:vMerge w:val="restart"/>
            <w:tcBorders>
              <w:top w:val="single" w:color="000000" w:sz="6" w:space="0"/>
              <w:bottom w:val="nil"/>
            </w:tcBorders>
            <w:vAlign w:val="top"/>
          </w:tcPr>
          <w:p w14:paraId="1203E0CE">
            <w:pPr>
              <w:rPr>
                <w:rFonts w:ascii="Arial"/>
                <w:sz w:val="21"/>
              </w:rPr>
            </w:pPr>
          </w:p>
        </w:tc>
        <w:tc>
          <w:tcPr>
            <w:tcW w:w="1087" w:type="dxa"/>
            <w:tcBorders>
              <w:top w:val="single" w:color="000000" w:sz="6" w:space="0"/>
            </w:tcBorders>
            <w:vAlign w:val="top"/>
          </w:tcPr>
          <w:p w14:paraId="1BB6ADEA">
            <w:pPr>
              <w:spacing w:before="188"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tcBorders>
              <w:top w:val="single" w:color="000000" w:sz="6" w:space="0"/>
            </w:tcBorders>
            <w:vAlign w:val="top"/>
          </w:tcPr>
          <w:p w14:paraId="743EFABF">
            <w:pPr>
              <w:spacing w:before="188"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w:t>
            </w:r>
          </w:p>
        </w:tc>
        <w:tc>
          <w:tcPr>
            <w:tcW w:w="761" w:type="dxa"/>
            <w:tcBorders>
              <w:top w:val="single" w:color="000000" w:sz="6" w:space="0"/>
            </w:tcBorders>
            <w:vAlign w:val="top"/>
          </w:tcPr>
          <w:p w14:paraId="1699E6F3">
            <w:pPr>
              <w:spacing w:before="188"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0.0869</w:t>
            </w:r>
          </w:p>
        </w:tc>
        <w:tc>
          <w:tcPr>
            <w:tcW w:w="674" w:type="dxa"/>
            <w:tcBorders>
              <w:top w:val="single" w:color="000000" w:sz="6" w:space="0"/>
            </w:tcBorders>
            <w:vAlign w:val="top"/>
          </w:tcPr>
          <w:p w14:paraId="0DC6F0E8">
            <w:pPr>
              <w:pStyle w:val="6"/>
              <w:spacing w:before="42" w:line="221" w:lineRule="auto"/>
              <w:ind w:left="73"/>
              <w:rPr>
                <w:sz w:val="18"/>
                <w:szCs w:val="18"/>
              </w:rPr>
            </w:pPr>
            <w:r>
              <w:rPr>
                <w:spacing w:val="-3"/>
                <w:sz w:val="18"/>
                <w:szCs w:val="18"/>
              </w:rPr>
              <w:t>三级碱</w:t>
            </w:r>
          </w:p>
          <w:p w14:paraId="315E3EFC">
            <w:pPr>
              <w:pStyle w:val="6"/>
              <w:spacing w:before="16" w:line="203" w:lineRule="auto"/>
              <w:ind w:left="74"/>
              <w:rPr>
                <w:sz w:val="18"/>
                <w:szCs w:val="18"/>
              </w:rPr>
            </w:pPr>
            <w:r>
              <w:rPr>
                <w:spacing w:val="-3"/>
                <w:sz w:val="18"/>
                <w:szCs w:val="18"/>
              </w:rPr>
              <w:t>液喷淋</w:t>
            </w:r>
          </w:p>
        </w:tc>
        <w:tc>
          <w:tcPr>
            <w:tcW w:w="538" w:type="dxa"/>
            <w:tcBorders>
              <w:top w:val="single" w:color="000000" w:sz="6" w:space="0"/>
            </w:tcBorders>
            <w:vAlign w:val="top"/>
          </w:tcPr>
          <w:p w14:paraId="5BB2465C">
            <w:pPr>
              <w:spacing w:before="188"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restart"/>
            <w:tcBorders>
              <w:top w:val="single" w:color="000000" w:sz="6" w:space="0"/>
              <w:bottom w:val="nil"/>
            </w:tcBorders>
            <w:vAlign w:val="top"/>
          </w:tcPr>
          <w:p w14:paraId="6B7F0BC8">
            <w:pPr>
              <w:rPr>
                <w:rFonts w:ascii="Arial"/>
                <w:sz w:val="21"/>
              </w:rPr>
            </w:pPr>
          </w:p>
        </w:tc>
        <w:tc>
          <w:tcPr>
            <w:tcW w:w="1012" w:type="dxa"/>
            <w:tcBorders>
              <w:top w:val="single" w:color="000000" w:sz="6" w:space="0"/>
            </w:tcBorders>
            <w:vAlign w:val="top"/>
          </w:tcPr>
          <w:p w14:paraId="74F851D5">
            <w:pPr>
              <w:spacing w:before="188"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tcBorders>
              <w:top w:val="single" w:color="000000" w:sz="6" w:space="0"/>
            </w:tcBorders>
            <w:vAlign w:val="top"/>
          </w:tcPr>
          <w:p w14:paraId="6ADA2B70">
            <w:pPr>
              <w:spacing w:before="188"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736" w:type="dxa"/>
            <w:tcBorders>
              <w:top w:val="single" w:color="000000" w:sz="6" w:space="0"/>
            </w:tcBorders>
            <w:vAlign w:val="top"/>
          </w:tcPr>
          <w:p w14:paraId="0B1DC365">
            <w:pPr>
              <w:spacing w:before="18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0.0104</w:t>
            </w:r>
          </w:p>
        </w:tc>
        <w:tc>
          <w:tcPr>
            <w:tcW w:w="749" w:type="dxa"/>
            <w:tcBorders>
              <w:top w:val="single" w:color="000000" w:sz="6" w:space="0"/>
            </w:tcBorders>
            <w:vAlign w:val="top"/>
          </w:tcPr>
          <w:p w14:paraId="607FABBA">
            <w:pPr>
              <w:spacing w:before="188"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DA010</w:t>
            </w:r>
          </w:p>
        </w:tc>
        <w:tc>
          <w:tcPr>
            <w:tcW w:w="600" w:type="dxa"/>
            <w:tcBorders>
              <w:top w:val="single" w:color="000000" w:sz="6" w:space="0"/>
            </w:tcBorders>
            <w:vAlign w:val="top"/>
          </w:tcPr>
          <w:p w14:paraId="40C06E78">
            <w:pPr>
              <w:spacing w:before="18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restart"/>
            <w:tcBorders>
              <w:top w:val="single" w:color="000000" w:sz="6" w:space="0"/>
              <w:bottom w:val="nil"/>
              <w:right w:val="single" w:color="000000" w:sz="6" w:space="0"/>
            </w:tcBorders>
            <w:vAlign w:val="top"/>
          </w:tcPr>
          <w:p w14:paraId="1A3E82DB">
            <w:pPr>
              <w:rPr>
                <w:rFonts w:ascii="Arial"/>
                <w:sz w:val="21"/>
              </w:rPr>
            </w:pPr>
          </w:p>
        </w:tc>
      </w:tr>
      <w:tr w14:paraId="30B67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203363A1">
            <w:pPr>
              <w:rPr>
                <w:rFonts w:ascii="Arial"/>
                <w:sz w:val="21"/>
              </w:rPr>
            </w:pPr>
          </w:p>
        </w:tc>
        <w:tc>
          <w:tcPr>
            <w:tcW w:w="111" w:type="dxa"/>
            <w:tcBorders>
              <w:top w:val="nil"/>
              <w:bottom w:val="nil"/>
            </w:tcBorders>
            <w:vAlign w:val="top"/>
          </w:tcPr>
          <w:p w14:paraId="3214FEDE">
            <w:pPr>
              <w:rPr>
                <w:rFonts w:ascii="Arial"/>
                <w:sz w:val="21"/>
              </w:rPr>
            </w:pPr>
          </w:p>
        </w:tc>
        <w:tc>
          <w:tcPr>
            <w:tcW w:w="708" w:type="dxa"/>
            <w:vMerge w:val="continue"/>
            <w:tcBorders>
              <w:top w:val="nil"/>
              <w:bottom w:val="nil"/>
            </w:tcBorders>
            <w:vAlign w:val="top"/>
          </w:tcPr>
          <w:p w14:paraId="488870F3">
            <w:pPr>
              <w:rPr>
                <w:rFonts w:ascii="Arial"/>
                <w:sz w:val="21"/>
              </w:rPr>
            </w:pPr>
          </w:p>
        </w:tc>
        <w:tc>
          <w:tcPr>
            <w:tcW w:w="736" w:type="dxa"/>
            <w:vMerge w:val="continue"/>
            <w:tcBorders>
              <w:top w:val="nil"/>
              <w:bottom w:val="nil"/>
            </w:tcBorders>
            <w:vAlign w:val="top"/>
          </w:tcPr>
          <w:p w14:paraId="24D201F6">
            <w:pPr>
              <w:rPr>
                <w:rFonts w:ascii="Arial"/>
                <w:sz w:val="21"/>
              </w:rPr>
            </w:pPr>
          </w:p>
        </w:tc>
        <w:tc>
          <w:tcPr>
            <w:tcW w:w="849" w:type="dxa"/>
            <w:vAlign w:val="top"/>
          </w:tcPr>
          <w:p w14:paraId="5385C52E">
            <w:pPr>
              <w:pStyle w:val="6"/>
              <w:spacing w:before="111" w:line="220" w:lineRule="auto"/>
              <w:ind w:left="154"/>
              <w:rPr>
                <w:sz w:val="18"/>
                <w:szCs w:val="18"/>
              </w:rPr>
            </w:pPr>
            <w:r>
              <w:rPr>
                <w:spacing w:val="-3"/>
                <w:sz w:val="18"/>
                <w:szCs w:val="18"/>
              </w:rPr>
              <w:t>无组织</w:t>
            </w:r>
          </w:p>
        </w:tc>
        <w:tc>
          <w:tcPr>
            <w:tcW w:w="1174" w:type="dxa"/>
            <w:vMerge w:val="continue"/>
            <w:tcBorders>
              <w:top w:val="nil"/>
            </w:tcBorders>
            <w:vAlign w:val="top"/>
          </w:tcPr>
          <w:p w14:paraId="4EDCE6F2">
            <w:pPr>
              <w:rPr>
                <w:rFonts w:ascii="Arial"/>
                <w:sz w:val="21"/>
              </w:rPr>
            </w:pPr>
          </w:p>
        </w:tc>
        <w:tc>
          <w:tcPr>
            <w:tcW w:w="674" w:type="dxa"/>
            <w:vMerge w:val="continue"/>
            <w:tcBorders>
              <w:top w:val="nil"/>
              <w:bottom w:val="nil"/>
            </w:tcBorders>
            <w:vAlign w:val="top"/>
          </w:tcPr>
          <w:p w14:paraId="6F804A4B">
            <w:pPr>
              <w:rPr>
                <w:rFonts w:ascii="Arial"/>
                <w:sz w:val="21"/>
              </w:rPr>
            </w:pPr>
          </w:p>
        </w:tc>
        <w:tc>
          <w:tcPr>
            <w:tcW w:w="1087" w:type="dxa"/>
            <w:vAlign w:val="top"/>
          </w:tcPr>
          <w:p w14:paraId="6FEA3EF5">
            <w:pPr>
              <w:spacing w:before="139"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453F5765">
            <w:pPr>
              <w:spacing w:before="139"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2E8DE940">
            <w:pPr>
              <w:spacing w:before="14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674" w:type="dxa"/>
            <w:vAlign w:val="top"/>
          </w:tcPr>
          <w:p w14:paraId="0179F79E">
            <w:pPr>
              <w:spacing w:before="139"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60EDB4B8">
            <w:pPr>
              <w:spacing w:before="139"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779DE9AA">
            <w:pPr>
              <w:rPr>
                <w:rFonts w:ascii="Arial"/>
                <w:sz w:val="21"/>
              </w:rPr>
            </w:pPr>
          </w:p>
        </w:tc>
        <w:tc>
          <w:tcPr>
            <w:tcW w:w="1012" w:type="dxa"/>
            <w:vAlign w:val="top"/>
          </w:tcPr>
          <w:p w14:paraId="79E09101">
            <w:pPr>
              <w:spacing w:before="139"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21360D6A">
            <w:pPr>
              <w:spacing w:before="139"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6ED8ECF9">
            <w:pPr>
              <w:spacing w:before="14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749" w:type="dxa"/>
            <w:vAlign w:val="top"/>
          </w:tcPr>
          <w:p w14:paraId="0ADDED55">
            <w:pPr>
              <w:spacing w:before="139"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78F279F1">
            <w:pPr>
              <w:spacing w:before="14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329AFE3">
            <w:pPr>
              <w:rPr>
                <w:rFonts w:ascii="Arial"/>
                <w:sz w:val="21"/>
              </w:rPr>
            </w:pPr>
          </w:p>
        </w:tc>
      </w:tr>
      <w:tr w14:paraId="1ED10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09491B8D">
            <w:pPr>
              <w:rPr>
                <w:rFonts w:ascii="Arial"/>
                <w:sz w:val="21"/>
              </w:rPr>
            </w:pPr>
          </w:p>
        </w:tc>
        <w:tc>
          <w:tcPr>
            <w:tcW w:w="111" w:type="dxa"/>
            <w:tcBorders>
              <w:top w:val="nil"/>
              <w:bottom w:val="nil"/>
            </w:tcBorders>
            <w:vAlign w:val="top"/>
          </w:tcPr>
          <w:p w14:paraId="7EDFD071">
            <w:pPr>
              <w:rPr>
                <w:rFonts w:ascii="Arial"/>
                <w:sz w:val="21"/>
              </w:rPr>
            </w:pPr>
          </w:p>
        </w:tc>
        <w:tc>
          <w:tcPr>
            <w:tcW w:w="708" w:type="dxa"/>
            <w:vMerge w:val="continue"/>
            <w:tcBorders>
              <w:top w:val="nil"/>
              <w:bottom w:val="nil"/>
            </w:tcBorders>
            <w:vAlign w:val="top"/>
          </w:tcPr>
          <w:p w14:paraId="190347F7">
            <w:pPr>
              <w:rPr>
                <w:rFonts w:ascii="Arial"/>
                <w:sz w:val="21"/>
              </w:rPr>
            </w:pPr>
          </w:p>
        </w:tc>
        <w:tc>
          <w:tcPr>
            <w:tcW w:w="736" w:type="dxa"/>
            <w:vMerge w:val="continue"/>
            <w:tcBorders>
              <w:top w:val="nil"/>
              <w:bottom w:val="nil"/>
            </w:tcBorders>
            <w:vAlign w:val="top"/>
          </w:tcPr>
          <w:p w14:paraId="5682E4DD">
            <w:pPr>
              <w:rPr>
                <w:rFonts w:ascii="Arial"/>
                <w:sz w:val="21"/>
              </w:rPr>
            </w:pPr>
          </w:p>
        </w:tc>
        <w:tc>
          <w:tcPr>
            <w:tcW w:w="849" w:type="dxa"/>
            <w:vAlign w:val="top"/>
          </w:tcPr>
          <w:p w14:paraId="0DAECD45">
            <w:pPr>
              <w:pStyle w:val="6"/>
              <w:spacing w:before="145" w:line="220" w:lineRule="auto"/>
              <w:ind w:left="154"/>
              <w:rPr>
                <w:sz w:val="18"/>
                <w:szCs w:val="18"/>
              </w:rPr>
            </w:pPr>
            <w:r>
              <w:rPr>
                <w:spacing w:val="-3"/>
                <w:sz w:val="18"/>
                <w:szCs w:val="18"/>
              </w:rPr>
              <w:t>有组织</w:t>
            </w:r>
          </w:p>
        </w:tc>
        <w:tc>
          <w:tcPr>
            <w:tcW w:w="1174" w:type="dxa"/>
            <w:vMerge w:val="restart"/>
            <w:tcBorders>
              <w:bottom w:val="nil"/>
            </w:tcBorders>
            <w:vAlign w:val="top"/>
          </w:tcPr>
          <w:p w14:paraId="10628787">
            <w:pPr>
              <w:pStyle w:val="6"/>
              <w:spacing w:before="231" w:line="221" w:lineRule="auto"/>
              <w:ind w:left="138"/>
              <w:rPr>
                <w:sz w:val="18"/>
                <w:szCs w:val="18"/>
              </w:rPr>
            </w:pPr>
            <w:r>
              <w:rPr>
                <w:spacing w:val="-2"/>
                <w:sz w:val="18"/>
                <w:szCs w:val="18"/>
              </w:rPr>
              <w:t>硝酸雾（以</w:t>
            </w:r>
          </w:p>
          <w:p w14:paraId="12B8585A">
            <w:pPr>
              <w:pStyle w:val="6"/>
              <w:spacing w:before="17"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1A1DE3AF">
            <w:pPr>
              <w:rPr>
                <w:rFonts w:ascii="Arial"/>
                <w:sz w:val="21"/>
              </w:rPr>
            </w:pPr>
          </w:p>
        </w:tc>
        <w:tc>
          <w:tcPr>
            <w:tcW w:w="1087" w:type="dxa"/>
            <w:vAlign w:val="top"/>
          </w:tcPr>
          <w:p w14:paraId="70CBC255">
            <w:pPr>
              <w:spacing w:before="174"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7472C942">
            <w:pPr>
              <w:spacing w:before="174"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21.84</w:t>
            </w:r>
          </w:p>
        </w:tc>
        <w:tc>
          <w:tcPr>
            <w:tcW w:w="761" w:type="dxa"/>
            <w:vAlign w:val="top"/>
          </w:tcPr>
          <w:p w14:paraId="07EFF6F3">
            <w:pPr>
              <w:spacing w:before="17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0.4369</w:t>
            </w:r>
          </w:p>
        </w:tc>
        <w:tc>
          <w:tcPr>
            <w:tcW w:w="674" w:type="dxa"/>
            <w:vAlign w:val="top"/>
          </w:tcPr>
          <w:p w14:paraId="2030BCD0">
            <w:pPr>
              <w:pStyle w:val="6"/>
              <w:spacing w:before="28" w:line="221" w:lineRule="auto"/>
              <w:ind w:left="73"/>
              <w:rPr>
                <w:sz w:val="18"/>
                <w:szCs w:val="18"/>
              </w:rPr>
            </w:pPr>
            <w:r>
              <w:rPr>
                <w:spacing w:val="-3"/>
                <w:sz w:val="18"/>
                <w:szCs w:val="18"/>
              </w:rPr>
              <w:t>三级碱</w:t>
            </w:r>
          </w:p>
          <w:p w14:paraId="653AE27A">
            <w:pPr>
              <w:pStyle w:val="6"/>
              <w:spacing w:before="16" w:line="204" w:lineRule="auto"/>
              <w:ind w:left="74"/>
              <w:rPr>
                <w:sz w:val="18"/>
                <w:szCs w:val="18"/>
              </w:rPr>
            </w:pPr>
            <w:r>
              <w:rPr>
                <w:spacing w:val="-3"/>
                <w:sz w:val="18"/>
                <w:szCs w:val="18"/>
              </w:rPr>
              <w:t>液喷淋</w:t>
            </w:r>
          </w:p>
        </w:tc>
        <w:tc>
          <w:tcPr>
            <w:tcW w:w="538" w:type="dxa"/>
            <w:vAlign w:val="top"/>
          </w:tcPr>
          <w:p w14:paraId="20DE7974">
            <w:pPr>
              <w:spacing w:before="174"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54A9C7F9">
            <w:pPr>
              <w:rPr>
                <w:rFonts w:ascii="Arial"/>
                <w:sz w:val="21"/>
              </w:rPr>
            </w:pPr>
          </w:p>
        </w:tc>
        <w:tc>
          <w:tcPr>
            <w:tcW w:w="1012" w:type="dxa"/>
            <w:vAlign w:val="top"/>
          </w:tcPr>
          <w:p w14:paraId="064BBF82">
            <w:pPr>
              <w:spacing w:before="174"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41719CDB">
            <w:pPr>
              <w:spacing w:before="174"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736" w:type="dxa"/>
            <w:vAlign w:val="top"/>
          </w:tcPr>
          <w:p w14:paraId="14C96A07">
            <w:pPr>
              <w:spacing w:before="17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0.0655</w:t>
            </w:r>
          </w:p>
        </w:tc>
        <w:tc>
          <w:tcPr>
            <w:tcW w:w="749" w:type="dxa"/>
            <w:vAlign w:val="top"/>
          </w:tcPr>
          <w:p w14:paraId="4A8323AD">
            <w:pPr>
              <w:spacing w:before="174"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DA010</w:t>
            </w:r>
          </w:p>
        </w:tc>
        <w:tc>
          <w:tcPr>
            <w:tcW w:w="600" w:type="dxa"/>
            <w:vAlign w:val="top"/>
          </w:tcPr>
          <w:p w14:paraId="02F21535">
            <w:pPr>
              <w:spacing w:before="17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7C27025">
            <w:pPr>
              <w:rPr>
                <w:rFonts w:ascii="Arial"/>
                <w:sz w:val="21"/>
              </w:rPr>
            </w:pPr>
          </w:p>
        </w:tc>
      </w:tr>
      <w:tr w14:paraId="3D667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55" w:type="dxa"/>
            <w:vMerge w:val="continue"/>
            <w:tcBorders>
              <w:top w:val="nil"/>
              <w:left w:val="single" w:color="000000" w:sz="6" w:space="0"/>
              <w:bottom w:val="nil"/>
            </w:tcBorders>
            <w:vAlign w:val="top"/>
          </w:tcPr>
          <w:p w14:paraId="6A5127A1">
            <w:pPr>
              <w:rPr>
                <w:rFonts w:ascii="Arial"/>
                <w:sz w:val="21"/>
              </w:rPr>
            </w:pPr>
          </w:p>
        </w:tc>
        <w:tc>
          <w:tcPr>
            <w:tcW w:w="111" w:type="dxa"/>
            <w:tcBorders>
              <w:top w:val="nil"/>
              <w:bottom w:val="nil"/>
            </w:tcBorders>
            <w:vAlign w:val="top"/>
          </w:tcPr>
          <w:p w14:paraId="15A6BC50">
            <w:pPr>
              <w:rPr>
                <w:rFonts w:ascii="Arial"/>
                <w:sz w:val="21"/>
              </w:rPr>
            </w:pPr>
          </w:p>
        </w:tc>
        <w:tc>
          <w:tcPr>
            <w:tcW w:w="708" w:type="dxa"/>
            <w:vMerge w:val="continue"/>
            <w:tcBorders>
              <w:top w:val="nil"/>
              <w:bottom w:val="nil"/>
            </w:tcBorders>
            <w:vAlign w:val="top"/>
          </w:tcPr>
          <w:p w14:paraId="38EF5AF3">
            <w:pPr>
              <w:rPr>
                <w:rFonts w:ascii="Arial"/>
                <w:sz w:val="21"/>
              </w:rPr>
            </w:pPr>
          </w:p>
        </w:tc>
        <w:tc>
          <w:tcPr>
            <w:tcW w:w="736" w:type="dxa"/>
            <w:vMerge w:val="continue"/>
            <w:tcBorders>
              <w:top w:val="nil"/>
            </w:tcBorders>
            <w:vAlign w:val="top"/>
          </w:tcPr>
          <w:p w14:paraId="0C0C323B">
            <w:pPr>
              <w:rPr>
                <w:rFonts w:ascii="Arial"/>
                <w:sz w:val="21"/>
              </w:rPr>
            </w:pPr>
          </w:p>
        </w:tc>
        <w:tc>
          <w:tcPr>
            <w:tcW w:w="849" w:type="dxa"/>
            <w:vAlign w:val="top"/>
          </w:tcPr>
          <w:p w14:paraId="420CCBE3">
            <w:pPr>
              <w:pStyle w:val="6"/>
              <w:spacing w:before="113" w:line="220" w:lineRule="auto"/>
              <w:ind w:left="154"/>
              <w:rPr>
                <w:sz w:val="18"/>
                <w:szCs w:val="18"/>
              </w:rPr>
            </w:pPr>
            <w:r>
              <w:rPr>
                <w:spacing w:val="-3"/>
                <w:sz w:val="18"/>
                <w:szCs w:val="18"/>
              </w:rPr>
              <w:t>无组织</w:t>
            </w:r>
          </w:p>
        </w:tc>
        <w:tc>
          <w:tcPr>
            <w:tcW w:w="1174" w:type="dxa"/>
            <w:vMerge w:val="continue"/>
            <w:tcBorders>
              <w:top w:val="nil"/>
            </w:tcBorders>
            <w:vAlign w:val="top"/>
          </w:tcPr>
          <w:p w14:paraId="6140FECC">
            <w:pPr>
              <w:rPr>
                <w:rFonts w:ascii="Arial"/>
                <w:sz w:val="21"/>
              </w:rPr>
            </w:pPr>
          </w:p>
        </w:tc>
        <w:tc>
          <w:tcPr>
            <w:tcW w:w="674" w:type="dxa"/>
            <w:vMerge w:val="continue"/>
            <w:tcBorders>
              <w:top w:val="nil"/>
            </w:tcBorders>
            <w:vAlign w:val="top"/>
          </w:tcPr>
          <w:p w14:paraId="5FF4B70B">
            <w:pPr>
              <w:rPr>
                <w:rFonts w:ascii="Arial"/>
                <w:sz w:val="21"/>
              </w:rPr>
            </w:pPr>
          </w:p>
        </w:tc>
        <w:tc>
          <w:tcPr>
            <w:tcW w:w="1087" w:type="dxa"/>
            <w:vAlign w:val="top"/>
          </w:tcPr>
          <w:p w14:paraId="7AA1689C">
            <w:pPr>
              <w:spacing w:before="140"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E03C189">
            <w:pPr>
              <w:spacing w:before="140"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141D322A">
            <w:pPr>
              <w:spacing w:before="14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674" w:type="dxa"/>
            <w:vAlign w:val="top"/>
          </w:tcPr>
          <w:p w14:paraId="682F8BCD">
            <w:pPr>
              <w:spacing w:before="140"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4EA16182">
            <w:pPr>
              <w:spacing w:before="140"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tcBorders>
            <w:vAlign w:val="top"/>
          </w:tcPr>
          <w:p w14:paraId="56B9779C">
            <w:pPr>
              <w:rPr>
                <w:rFonts w:ascii="Arial"/>
                <w:sz w:val="21"/>
              </w:rPr>
            </w:pPr>
          </w:p>
        </w:tc>
        <w:tc>
          <w:tcPr>
            <w:tcW w:w="1012" w:type="dxa"/>
            <w:vAlign w:val="top"/>
          </w:tcPr>
          <w:p w14:paraId="66D3B8C9">
            <w:pPr>
              <w:spacing w:before="140"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70CFEA25">
            <w:pPr>
              <w:spacing w:before="140"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626EEE19">
            <w:pPr>
              <w:spacing w:before="14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749" w:type="dxa"/>
            <w:vAlign w:val="top"/>
          </w:tcPr>
          <w:p w14:paraId="05E1DAD2">
            <w:pPr>
              <w:spacing w:before="140"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1BC15A6D">
            <w:pPr>
              <w:spacing w:before="14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D237EBD">
            <w:pPr>
              <w:rPr>
                <w:rFonts w:ascii="Arial"/>
                <w:sz w:val="21"/>
              </w:rPr>
            </w:pPr>
          </w:p>
        </w:tc>
      </w:tr>
      <w:tr w14:paraId="4F2A5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3C191C3F">
            <w:pPr>
              <w:rPr>
                <w:rFonts w:ascii="Arial"/>
                <w:sz w:val="21"/>
              </w:rPr>
            </w:pPr>
          </w:p>
        </w:tc>
        <w:tc>
          <w:tcPr>
            <w:tcW w:w="111" w:type="dxa"/>
            <w:tcBorders>
              <w:top w:val="nil"/>
              <w:bottom w:val="nil"/>
            </w:tcBorders>
            <w:vAlign w:val="top"/>
          </w:tcPr>
          <w:p w14:paraId="2A87BA42">
            <w:pPr>
              <w:rPr>
                <w:rFonts w:ascii="Arial"/>
                <w:sz w:val="21"/>
              </w:rPr>
            </w:pPr>
          </w:p>
        </w:tc>
        <w:tc>
          <w:tcPr>
            <w:tcW w:w="708" w:type="dxa"/>
            <w:vMerge w:val="continue"/>
            <w:tcBorders>
              <w:top w:val="nil"/>
              <w:bottom w:val="nil"/>
            </w:tcBorders>
            <w:vAlign w:val="top"/>
          </w:tcPr>
          <w:p w14:paraId="44598369">
            <w:pPr>
              <w:rPr>
                <w:rFonts w:ascii="Arial"/>
                <w:sz w:val="21"/>
              </w:rPr>
            </w:pPr>
          </w:p>
        </w:tc>
        <w:tc>
          <w:tcPr>
            <w:tcW w:w="736" w:type="dxa"/>
            <w:vMerge w:val="restart"/>
            <w:tcBorders>
              <w:bottom w:val="nil"/>
            </w:tcBorders>
            <w:vAlign w:val="top"/>
          </w:tcPr>
          <w:p w14:paraId="4DDA1818">
            <w:pPr>
              <w:spacing w:line="268" w:lineRule="auto"/>
              <w:rPr>
                <w:rFonts w:ascii="Arial"/>
                <w:sz w:val="21"/>
              </w:rPr>
            </w:pPr>
          </w:p>
          <w:p w14:paraId="2B807494">
            <w:pPr>
              <w:spacing w:line="268" w:lineRule="auto"/>
              <w:rPr>
                <w:rFonts w:ascii="Arial"/>
                <w:sz w:val="21"/>
              </w:rPr>
            </w:pPr>
          </w:p>
          <w:p w14:paraId="71BDB2E4">
            <w:pPr>
              <w:spacing w:line="268" w:lineRule="auto"/>
              <w:rPr>
                <w:rFonts w:ascii="Arial"/>
                <w:sz w:val="21"/>
              </w:rPr>
            </w:pPr>
          </w:p>
          <w:p w14:paraId="7F310BDA">
            <w:pPr>
              <w:spacing w:line="269" w:lineRule="auto"/>
              <w:rPr>
                <w:rFonts w:ascii="Arial"/>
                <w:sz w:val="21"/>
              </w:rPr>
            </w:pPr>
          </w:p>
          <w:p w14:paraId="3AD6FB00">
            <w:pPr>
              <w:spacing w:line="269" w:lineRule="auto"/>
              <w:rPr>
                <w:rFonts w:ascii="Arial"/>
                <w:sz w:val="21"/>
              </w:rPr>
            </w:pPr>
          </w:p>
          <w:p w14:paraId="6E80DAF4">
            <w:pPr>
              <w:spacing w:line="269" w:lineRule="auto"/>
              <w:rPr>
                <w:rFonts w:ascii="Arial"/>
                <w:sz w:val="21"/>
              </w:rPr>
            </w:pPr>
          </w:p>
          <w:p w14:paraId="232E1E0F">
            <w:pPr>
              <w:pStyle w:val="6"/>
              <w:spacing w:before="58" w:line="219"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w:t>
            </w:r>
            <w:r>
              <w:rPr>
                <w:rFonts w:ascii="Times New Roman" w:hAnsi="Times New Roman" w:eastAsia="Times New Roman" w:cs="Times New Roman"/>
                <w:spacing w:val="7"/>
                <w:sz w:val="18"/>
                <w:szCs w:val="18"/>
              </w:rPr>
              <w:t xml:space="preserve"> </w:t>
            </w:r>
            <w:r>
              <w:rPr>
                <w:spacing w:val="-3"/>
                <w:sz w:val="18"/>
                <w:szCs w:val="18"/>
              </w:rPr>
              <w:t>层</w:t>
            </w:r>
            <w:r>
              <w:rPr>
                <w:rFonts w:ascii="Times New Roman" w:hAnsi="Times New Roman" w:eastAsia="Times New Roman" w:cs="Times New Roman"/>
                <w:spacing w:val="-3"/>
                <w:sz w:val="18"/>
                <w:szCs w:val="18"/>
              </w:rPr>
              <w:t>-B</w:t>
            </w:r>
          </w:p>
        </w:tc>
        <w:tc>
          <w:tcPr>
            <w:tcW w:w="849" w:type="dxa"/>
            <w:vAlign w:val="top"/>
          </w:tcPr>
          <w:p w14:paraId="3C579D35">
            <w:pPr>
              <w:pStyle w:val="6"/>
              <w:spacing w:before="150" w:line="220" w:lineRule="auto"/>
              <w:ind w:left="154"/>
              <w:rPr>
                <w:sz w:val="18"/>
                <w:szCs w:val="18"/>
              </w:rPr>
            </w:pPr>
            <w:r>
              <w:rPr>
                <w:spacing w:val="-3"/>
                <w:sz w:val="18"/>
                <w:szCs w:val="18"/>
              </w:rPr>
              <w:t>有组织</w:t>
            </w:r>
          </w:p>
        </w:tc>
        <w:tc>
          <w:tcPr>
            <w:tcW w:w="1174" w:type="dxa"/>
            <w:vMerge w:val="restart"/>
            <w:tcBorders>
              <w:bottom w:val="nil"/>
            </w:tcBorders>
            <w:vAlign w:val="top"/>
          </w:tcPr>
          <w:p w14:paraId="0676659B">
            <w:pPr>
              <w:spacing w:line="291" w:lineRule="auto"/>
              <w:rPr>
                <w:rFonts w:ascii="Arial"/>
                <w:sz w:val="21"/>
              </w:rPr>
            </w:pPr>
          </w:p>
          <w:p w14:paraId="2DE819A1">
            <w:pPr>
              <w:pStyle w:val="6"/>
              <w:spacing w:before="59" w:line="221" w:lineRule="auto"/>
              <w:ind w:left="320"/>
              <w:rPr>
                <w:sz w:val="18"/>
                <w:szCs w:val="18"/>
              </w:rPr>
            </w:pPr>
            <w:r>
              <w:rPr>
                <w:spacing w:val="-4"/>
                <w:sz w:val="18"/>
                <w:szCs w:val="18"/>
              </w:rPr>
              <w:t>氯化氢</w:t>
            </w:r>
          </w:p>
        </w:tc>
        <w:tc>
          <w:tcPr>
            <w:tcW w:w="674" w:type="dxa"/>
            <w:vMerge w:val="restart"/>
            <w:tcBorders>
              <w:bottom w:val="nil"/>
            </w:tcBorders>
            <w:vAlign w:val="top"/>
          </w:tcPr>
          <w:p w14:paraId="728E482F">
            <w:pPr>
              <w:spacing w:line="249" w:lineRule="auto"/>
              <w:rPr>
                <w:rFonts w:ascii="Arial"/>
                <w:sz w:val="21"/>
              </w:rPr>
            </w:pPr>
          </w:p>
          <w:p w14:paraId="6D814B5B">
            <w:pPr>
              <w:spacing w:line="249" w:lineRule="auto"/>
              <w:rPr>
                <w:rFonts w:ascii="Arial"/>
                <w:sz w:val="21"/>
              </w:rPr>
            </w:pPr>
          </w:p>
          <w:p w14:paraId="295BA8F4">
            <w:pPr>
              <w:spacing w:line="249" w:lineRule="auto"/>
              <w:rPr>
                <w:rFonts w:ascii="Arial"/>
                <w:sz w:val="21"/>
              </w:rPr>
            </w:pPr>
          </w:p>
          <w:p w14:paraId="55015A2C">
            <w:pPr>
              <w:spacing w:line="249" w:lineRule="auto"/>
              <w:rPr>
                <w:rFonts w:ascii="Arial"/>
                <w:sz w:val="21"/>
              </w:rPr>
            </w:pPr>
          </w:p>
          <w:p w14:paraId="0A5A875E">
            <w:pPr>
              <w:spacing w:line="250" w:lineRule="auto"/>
              <w:rPr>
                <w:rFonts w:ascii="Arial"/>
                <w:sz w:val="21"/>
              </w:rPr>
            </w:pPr>
          </w:p>
          <w:p w14:paraId="07772713">
            <w:pPr>
              <w:spacing w:line="250" w:lineRule="auto"/>
              <w:rPr>
                <w:rFonts w:ascii="Arial"/>
                <w:sz w:val="21"/>
              </w:rPr>
            </w:pPr>
          </w:p>
          <w:p w14:paraId="5BF81CE1">
            <w:pPr>
              <w:pStyle w:val="6"/>
              <w:spacing w:before="58"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vAlign w:val="top"/>
          </w:tcPr>
          <w:p w14:paraId="4066C701">
            <w:pPr>
              <w:spacing w:before="179"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08660759">
            <w:pPr>
              <w:spacing w:before="179"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301.39</w:t>
            </w:r>
          </w:p>
        </w:tc>
        <w:tc>
          <w:tcPr>
            <w:tcW w:w="761" w:type="dxa"/>
            <w:vAlign w:val="top"/>
          </w:tcPr>
          <w:p w14:paraId="5CE944B7">
            <w:pPr>
              <w:spacing w:before="179"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6.0278</w:t>
            </w:r>
          </w:p>
        </w:tc>
        <w:tc>
          <w:tcPr>
            <w:tcW w:w="674" w:type="dxa"/>
            <w:vAlign w:val="top"/>
          </w:tcPr>
          <w:p w14:paraId="4CEF4DEB">
            <w:pPr>
              <w:pStyle w:val="6"/>
              <w:spacing w:before="35" w:line="221" w:lineRule="auto"/>
              <w:ind w:left="73"/>
              <w:rPr>
                <w:sz w:val="18"/>
                <w:szCs w:val="18"/>
              </w:rPr>
            </w:pPr>
            <w:r>
              <w:rPr>
                <w:spacing w:val="-3"/>
                <w:sz w:val="18"/>
                <w:szCs w:val="18"/>
              </w:rPr>
              <w:t>三级碱</w:t>
            </w:r>
          </w:p>
          <w:p w14:paraId="5D9F53FE">
            <w:pPr>
              <w:pStyle w:val="6"/>
              <w:spacing w:before="16" w:line="203" w:lineRule="auto"/>
              <w:ind w:left="74"/>
              <w:rPr>
                <w:sz w:val="18"/>
                <w:szCs w:val="18"/>
              </w:rPr>
            </w:pPr>
            <w:r>
              <w:rPr>
                <w:spacing w:val="-3"/>
                <w:sz w:val="18"/>
                <w:szCs w:val="18"/>
              </w:rPr>
              <w:t>液喷淋</w:t>
            </w:r>
          </w:p>
        </w:tc>
        <w:tc>
          <w:tcPr>
            <w:tcW w:w="538" w:type="dxa"/>
            <w:vAlign w:val="top"/>
          </w:tcPr>
          <w:p w14:paraId="33E3B36A">
            <w:pPr>
              <w:spacing w:before="179"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bottom w:val="nil"/>
            </w:tcBorders>
            <w:vAlign w:val="top"/>
          </w:tcPr>
          <w:p w14:paraId="3F56B904">
            <w:pPr>
              <w:spacing w:line="275" w:lineRule="auto"/>
              <w:rPr>
                <w:rFonts w:ascii="Arial"/>
                <w:sz w:val="21"/>
              </w:rPr>
            </w:pPr>
          </w:p>
          <w:p w14:paraId="78057D90">
            <w:pPr>
              <w:spacing w:line="276" w:lineRule="auto"/>
              <w:rPr>
                <w:rFonts w:ascii="Arial"/>
                <w:sz w:val="21"/>
              </w:rPr>
            </w:pPr>
          </w:p>
          <w:p w14:paraId="4A7BAFA5">
            <w:pPr>
              <w:spacing w:line="276" w:lineRule="auto"/>
              <w:rPr>
                <w:rFonts w:ascii="Arial"/>
                <w:sz w:val="21"/>
              </w:rPr>
            </w:pPr>
          </w:p>
          <w:p w14:paraId="6545A8DC">
            <w:pPr>
              <w:spacing w:line="276" w:lineRule="auto"/>
              <w:rPr>
                <w:rFonts w:ascii="Arial"/>
                <w:sz w:val="21"/>
              </w:rPr>
            </w:pPr>
          </w:p>
          <w:p w14:paraId="0E85AD3E">
            <w:pPr>
              <w:spacing w:line="276" w:lineRule="auto"/>
              <w:rPr>
                <w:rFonts w:ascii="Arial"/>
                <w:sz w:val="21"/>
              </w:rPr>
            </w:pPr>
          </w:p>
          <w:p w14:paraId="5666A5CA">
            <w:pPr>
              <w:pStyle w:val="6"/>
              <w:spacing w:before="59" w:line="219" w:lineRule="auto"/>
              <w:ind w:left="106"/>
              <w:rPr>
                <w:sz w:val="18"/>
                <w:szCs w:val="18"/>
              </w:rPr>
            </w:pPr>
            <w:r>
              <w:rPr>
                <w:spacing w:val="-4"/>
                <w:sz w:val="18"/>
                <w:szCs w:val="18"/>
              </w:rPr>
              <w:t>产污</w:t>
            </w:r>
          </w:p>
          <w:p w14:paraId="274F0577">
            <w:pPr>
              <w:pStyle w:val="6"/>
              <w:spacing w:before="18" w:line="244" w:lineRule="auto"/>
              <w:ind w:left="198" w:right="96" w:hanging="88"/>
              <w:rPr>
                <w:sz w:val="18"/>
                <w:szCs w:val="18"/>
              </w:rPr>
            </w:pPr>
            <w:r>
              <w:rPr>
                <w:spacing w:val="-6"/>
                <w:sz w:val="18"/>
                <w:szCs w:val="18"/>
              </w:rPr>
              <w:t>系数</w:t>
            </w:r>
            <w:r>
              <w:rPr>
                <w:sz w:val="18"/>
                <w:szCs w:val="18"/>
              </w:rPr>
              <w:t xml:space="preserve"> 法</w:t>
            </w:r>
          </w:p>
        </w:tc>
        <w:tc>
          <w:tcPr>
            <w:tcW w:w="1012" w:type="dxa"/>
            <w:vAlign w:val="top"/>
          </w:tcPr>
          <w:p w14:paraId="26625070">
            <w:pPr>
              <w:spacing w:before="179"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5DB123E4">
            <w:pPr>
              <w:spacing w:before="179"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21.10</w:t>
            </w:r>
          </w:p>
        </w:tc>
        <w:tc>
          <w:tcPr>
            <w:tcW w:w="736" w:type="dxa"/>
            <w:vAlign w:val="top"/>
          </w:tcPr>
          <w:p w14:paraId="4EBE9B36">
            <w:pPr>
              <w:spacing w:before="179"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0.4219</w:t>
            </w:r>
          </w:p>
        </w:tc>
        <w:tc>
          <w:tcPr>
            <w:tcW w:w="749" w:type="dxa"/>
            <w:vAlign w:val="top"/>
          </w:tcPr>
          <w:p w14:paraId="417AE8F8">
            <w:pPr>
              <w:spacing w:before="179"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DA011</w:t>
            </w:r>
          </w:p>
        </w:tc>
        <w:tc>
          <w:tcPr>
            <w:tcW w:w="600" w:type="dxa"/>
            <w:vAlign w:val="top"/>
          </w:tcPr>
          <w:p w14:paraId="49C65D2A">
            <w:pPr>
              <w:spacing w:before="179"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C54EA0A">
            <w:pPr>
              <w:rPr>
                <w:rFonts w:ascii="Arial"/>
                <w:sz w:val="21"/>
              </w:rPr>
            </w:pPr>
          </w:p>
        </w:tc>
      </w:tr>
      <w:tr w14:paraId="01673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1E276146">
            <w:pPr>
              <w:rPr>
                <w:rFonts w:ascii="Arial"/>
                <w:sz w:val="21"/>
              </w:rPr>
            </w:pPr>
          </w:p>
        </w:tc>
        <w:tc>
          <w:tcPr>
            <w:tcW w:w="111" w:type="dxa"/>
            <w:tcBorders>
              <w:top w:val="nil"/>
              <w:bottom w:val="nil"/>
            </w:tcBorders>
            <w:vAlign w:val="top"/>
          </w:tcPr>
          <w:p w14:paraId="2AFDB23D">
            <w:pPr>
              <w:rPr>
                <w:rFonts w:ascii="Arial"/>
                <w:sz w:val="21"/>
              </w:rPr>
            </w:pPr>
          </w:p>
        </w:tc>
        <w:tc>
          <w:tcPr>
            <w:tcW w:w="708" w:type="dxa"/>
            <w:vMerge w:val="continue"/>
            <w:tcBorders>
              <w:top w:val="nil"/>
              <w:bottom w:val="nil"/>
            </w:tcBorders>
            <w:vAlign w:val="top"/>
          </w:tcPr>
          <w:p w14:paraId="64A1839C">
            <w:pPr>
              <w:rPr>
                <w:rFonts w:ascii="Arial"/>
                <w:sz w:val="21"/>
              </w:rPr>
            </w:pPr>
          </w:p>
        </w:tc>
        <w:tc>
          <w:tcPr>
            <w:tcW w:w="736" w:type="dxa"/>
            <w:vMerge w:val="continue"/>
            <w:tcBorders>
              <w:top w:val="nil"/>
              <w:bottom w:val="nil"/>
            </w:tcBorders>
            <w:vAlign w:val="top"/>
          </w:tcPr>
          <w:p w14:paraId="6A447377">
            <w:pPr>
              <w:rPr>
                <w:rFonts w:ascii="Arial"/>
                <w:sz w:val="21"/>
              </w:rPr>
            </w:pPr>
          </w:p>
        </w:tc>
        <w:tc>
          <w:tcPr>
            <w:tcW w:w="849" w:type="dxa"/>
            <w:vAlign w:val="top"/>
          </w:tcPr>
          <w:p w14:paraId="312C89A2">
            <w:pPr>
              <w:pStyle w:val="6"/>
              <w:spacing w:before="111" w:line="220" w:lineRule="auto"/>
              <w:ind w:left="154"/>
              <w:rPr>
                <w:sz w:val="18"/>
                <w:szCs w:val="18"/>
              </w:rPr>
            </w:pPr>
            <w:r>
              <w:rPr>
                <w:spacing w:val="-3"/>
                <w:sz w:val="18"/>
                <w:szCs w:val="18"/>
              </w:rPr>
              <w:t>无组织</w:t>
            </w:r>
          </w:p>
        </w:tc>
        <w:tc>
          <w:tcPr>
            <w:tcW w:w="1174" w:type="dxa"/>
            <w:vMerge w:val="continue"/>
            <w:tcBorders>
              <w:top w:val="nil"/>
            </w:tcBorders>
            <w:vAlign w:val="top"/>
          </w:tcPr>
          <w:p w14:paraId="17DFAE23">
            <w:pPr>
              <w:rPr>
                <w:rFonts w:ascii="Arial"/>
                <w:sz w:val="21"/>
              </w:rPr>
            </w:pPr>
          </w:p>
        </w:tc>
        <w:tc>
          <w:tcPr>
            <w:tcW w:w="674" w:type="dxa"/>
            <w:vMerge w:val="continue"/>
            <w:tcBorders>
              <w:top w:val="nil"/>
              <w:bottom w:val="nil"/>
            </w:tcBorders>
            <w:vAlign w:val="top"/>
          </w:tcPr>
          <w:p w14:paraId="1BB33838">
            <w:pPr>
              <w:rPr>
                <w:rFonts w:ascii="Arial"/>
                <w:sz w:val="21"/>
              </w:rPr>
            </w:pPr>
          </w:p>
        </w:tc>
        <w:tc>
          <w:tcPr>
            <w:tcW w:w="1087" w:type="dxa"/>
            <w:vAlign w:val="top"/>
          </w:tcPr>
          <w:p w14:paraId="6B644844">
            <w:pPr>
              <w:spacing w:before="139"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100679AE">
            <w:pPr>
              <w:spacing w:before="139"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5FB34827">
            <w:pPr>
              <w:spacing w:before="14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674" w:type="dxa"/>
            <w:vAlign w:val="top"/>
          </w:tcPr>
          <w:p w14:paraId="6FBCA723">
            <w:pPr>
              <w:spacing w:before="139"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74074CEA">
            <w:pPr>
              <w:spacing w:before="139"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EA0C79F">
            <w:pPr>
              <w:rPr>
                <w:rFonts w:ascii="Arial"/>
                <w:sz w:val="21"/>
              </w:rPr>
            </w:pPr>
          </w:p>
        </w:tc>
        <w:tc>
          <w:tcPr>
            <w:tcW w:w="1012" w:type="dxa"/>
            <w:vAlign w:val="top"/>
          </w:tcPr>
          <w:p w14:paraId="065F1938">
            <w:pPr>
              <w:spacing w:before="139"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62F6EA56">
            <w:pPr>
              <w:spacing w:before="139"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798D2375">
            <w:pPr>
              <w:spacing w:before="14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749" w:type="dxa"/>
            <w:vAlign w:val="top"/>
          </w:tcPr>
          <w:p w14:paraId="061D06A2">
            <w:pPr>
              <w:spacing w:before="139"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6A950EB4">
            <w:pPr>
              <w:spacing w:before="14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562EC729">
            <w:pPr>
              <w:rPr>
                <w:rFonts w:ascii="Arial"/>
                <w:sz w:val="21"/>
              </w:rPr>
            </w:pPr>
          </w:p>
        </w:tc>
      </w:tr>
      <w:tr w14:paraId="692A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2C2F1537">
            <w:pPr>
              <w:rPr>
                <w:rFonts w:ascii="Arial"/>
                <w:sz w:val="21"/>
              </w:rPr>
            </w:pPr>
          </w:p>
        </w:tc>
        <w:tc>
          <w:tcPr>
            <w:tcW w:w="111" w:type="dxa"/>
            <w:tcBorders>
              <w:top w:val="nil"/>
              <w:bottom w:val="nil"/>
            </w:tcBorders>
            <w:vAlign w:val="top"/>
          </w:tcPr>
          <w:p w14:paraId="55B7D903">
            <w:pPr>
              <w:rPr>
                <w:rFonts w:ascii="Arial"/>
                <w:sz w:val="21"/>
              </w:rPr>
            </w:pPr>
          </w:p>
        </w:tc>
        <w:tc>
          <w:tcPr>
            <w:tcW w:w="708" w:type="dxa"/>
            <w:vMerge w:val="continue"/>
            <w:tcBorders>
              <w:top w:val="nil"/>
              <w:bottom w:val="nil"/>
            </w:tcBorders>
            <w:vAlign w:val="top"/>
          </w:tcPr>
          <w:p w14:paraId="26B5D464">
            <w:pPr>
              <w:rPr>
                <w:rFonts w:ascii="Arial"/>
                <w:sz w:val="21"/>
              </w:rPr>
            </w:pPr>
          </w:p>
        </w:tc>
        <w:tc>
          <w:tcPr>
            <w:tcW w:w="736" w:type="dxa"/>
            <w:vMerge w:val="continue"/>
            <w:tcBorders>
              <w:top w:val="nil"/>
              <w:bottom w:val="nil"/>
            </w:tcBorders>
            <w:vAlign w:val="top"/>
          </w:tcPr>
          <w:p w14:paraId="314D84E1">
            <w:pPr>
              <w:rPr>
                <w:rFonts w:ascii="Arial"/>
                <w:sz w:val="21"/>
              </w:rPr>
            </w:pPr>
          </w:p>
        </w:tc>
        <w:tc>
          <w:tcPr>
            <w:tcW w:w="849" w:type="dxa"/>
            <w:vAlign w:val="top"/>
          </w:tcPr>
          <w:p w14:paraId="524036EE">
            <w:pPr>
              <w:pStyle w:val="6"/>
              <w:spacing w:before="150" w:line="220" w:lineRule="auto"/>
              <w:ind w:left="154"/>
              <w:rPr>
                <w:sz w:val="18"/>
                <w:szCs w:val="18"/>
              </w:rPr>
            </w:pPr>
            <w:r>
              <w:rPr>
                <w:spacing w:val="-3"/>
                <w:sz w:val="18"/>
                <w:szCs w:val="18"/>
              </w:rPr>
              <w:t>有组织</w:t>
            </w:r>
          </w:p>
        </w:tc>
        <w:tc>
          <w:tcPr>
            <w:tcW w:w="1174" w:type="dxa"/>
            <w:vMerge w:val="restart"/>
            <w:tcBorders>
              <w:bottom w:val="nil"/>
            </w:tcBorders>
            <w:vAlign w:val="top"/>
          </w:tcPr>
          <w:p w14:paraId="7E25A599">
            <w:pPr>
              <w:pStyle w:val="6"/>
              <w:spacing w:before="237" w:line="219" w:lineRule="auto"/>
              <w:ind w:left="137"/>
              <w:rPr>
                <w:sz w:val="18"/>
                <w:szCs w:val="18"/>
              </w:rPr>
            </w:pPr>
            <w:r>
              <w:rPr>
                <w:spacing w:val="-2"/>
                <w:sz w:val="18"/>
                <w:szCs w:val="18"/>
              </w:rPr>
              <w:t>氟化氢（以</w:t>
            </w:r>
          </w:p>
          <w:p w14:paraId="3395082C">
            <w:pPr>
              <w:pStyle w:val="6"/>
              <w:spacing w:before="21"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3E3E64E9">
            <w:pPr>
              <w:rPr>
                <w:rFonts w:ascii="Arial"/>
                <w:sz w:val="21"/>
              </w:rPr>
            </w:pPr>
          </w:p>
        </w:tc>
        <w:tc>
          <w:tcPr>
            <w:tcW w:w="1087" w:type="dxa"/>
            <w:vAlign w:val="top"/>
          </w:tcPr>
          <w:p w14:paraId="49789A6D">
            <w:pPr>
              <w:spacing w:before="182"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4D1F7716">
            <w:pPr>
              <w:spacing w:before="182"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29.93</w:t>
            </w:r>
          </w:p>
        </w:tc>
        <w:tc>
          <w:tcPr>
            <w:tcW w:w="761" w:type="dxa"/>
            <w:vAlign w:val="top"/>
          </w:tcPr>
          <w:p w14:paraId="786DFABE">
            <w:pPr>
              <w:spacing w:before="18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0.5985</w:t>
            </w:r>
          </w:p>
        </w:tc>
        <w:tc>
          <w:tcPr>
            <w:tcW w:w="674" w:type="dxa"/>
            <w:vAlign w:val="top"/>
          </w:tcPr>
          <w:p w14:paraId="429FBBC8">
            <w:pPr>
              <w:pStyle w:val="6"/>
              <w:spacing w:before="36" w:line="221" w:lineRule="auto"/>
              <w:ind w:left="73"/>
              <w:rPr>
                <w:sz w:val="18"/>
                <w:szCs w:val="18"/>
              </w:rPr>
            </w:pPr>
            <w:r>
              <w:rPr>
                <w:spacing w:val="-3"/>
                <w:sz w:val="18"/>
                <w:szCs w:val="18"/>
              </w:rPr>
              <w:t>三级碱</w:t>
            </w:r>
          </w:p>
          <w:p w14:paraId="01E7238F">
            <w:pPr>
              <w:pStyle w:val="6"/>
              <w:spacing w:before="16" w:line="196" w:lineRule="auto"/>
              <w:ind w:left="74"/>
              <w:rPr>
                <w:sz w:val="18"/>
                <w:szCs w:val="18"/>
              </w:rPr>
            </w:pPr>
            <w:r>
              <w:rPr>
                <w:spacing w:val="-3"/>
                <w:sz w:val="18"/>
                <w:szCs w:val="18"/>
              </w:rPr>
              <w:t>液喷淋</w:t>
            </w:r>
          </w:p>
        </w:tc>
        <w:tc>
          <w:tcPr>
            <w:tcW w:w="538" w:type="dxa"/>
            <w:vAlign w:val="top"/>
          </w:tcPr>
          <w:p w14:paraId="3ACD8903">
            <w:pPr>
              <w:spacing w:before="182"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69F5A519">
            <w:pPr>
              <w:rPr>
                <w:rFonts w:ascii="Arial"/>
                <w:sz w:val="21"/>
              </w:rPr>
            </w:pPr>
          </w:p>
        </w:tc>
        <w:tc>
          <w:tcPr>
            <w:tcW w:w="1012" w:type="dxa"/>
            <w:vAlign w:val="top"/>
          </w:tcPr>
          <w:p w14:paraId="289ECD5E">
            <w:pPr>
              <w:spacing w:before="182"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6EB5875D">
            <w:pPr>
              <w:spacing w:before="182"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36" w:type="dxa"/>
            <w:vAlign w:val="top"/>
          </w:tcPr>
          <w:p w14:paraId="1CDD8687">
            <w:pPr>
              <w:spacing w:before="18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0.0958</w:t>
            </w:r>
          </w:p>
        </w:tc>
        <w:tc>
          <w:tcPr>
            <w:tcW w:w="749" w:type="dxa"/>
            <w:vAlign w:val="top"/>
          </w:tcPr>
          <w:p w14:paraId="24DEC231">
            <w:pPr>
              <w:spacing w:before="182"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DA011</w:t>
            </w:r>
          </w:p>
        </w:tc>
        <w:tc>
          <w:tcPr>
            <w:tcW w:w="600" w:type="dxa"/>
            <w:vAlign w:val="top"/>
          </w:tcPr>
          <w:p w14:paraId="3536070B">
            <w:pPr>
              <w:spacing w:before="1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2BC081F7">
            <w:pPr>
              <w:rPr>
                <w:rFonts w:ascii="Arial"/>
                <w:sz w:val="21"/>
              </w:rPr>
            </w:pPr>
          </w:p>
        </w:tc>
      </w:tr>
      <w:tr w14:paraId="399D4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5B3C7585">
            <w:pPr>
              <w:rPr>
                <w:rFonts w:ascii="Arial"/>
                <w:sz w:val="21"/>
              </w:rPr>
            </w:pPr>
          </w:p>
        </w:tc>
        <w:tc>
          <w:tcPr>
            <w:tcW w:w="111" w:type="dxa"/>
            <w:tcBorders>
              <w:top w:val="nil"/>
              <w:bottom w:val="nil"/>
            </w:tcBorders>
            <w:vAlign w:val="top"/>
          </w:tcPr>
          <w:p w14:paraId="383E7B2C">
            <w:pPr>
              <w:rPr>
                <w:rFonts w:ascii="Arial"/>
                <w:sz w:val="21"/>
              </w:rPr>
            </w:pPr>
          </w:p>
        </w:tc>
        <w:tc>
          <w:tcPr>
            <w:tcW w:w="708" w:type="dxa"/>
            <w:vMerge w:val="continue"/>
            <w:tcBorders>
              <w:top w:val="nil"/>
              <w:bottom w:val="nil"/>
            </w:tcBorders>
            <w:vAlign w:val="top"/>
          </w:tcPr>
          <w:p w14:paraId="50892595">
            <w:pPr>
              <w:rPr>
                <w:rFonts w:ascii="Arial"/>
                <w:sz w:val="21"/>
              </w:rPr>
            </w:pPr>
          </w:p>
        </w:tc>
        <w:tc>
          <w:tcPr>
            <w:tcW w:w="736" w:type="dxa"/>
            <w:vMerge w:val="continue"/>
            <w:tcBorders>
              <w:top w:val="nil"/>
              <w:bottom w:val="nil"/>
            </w:tcBorders>
            <w:vAlign w:val="top"/>
          </w:tcPr>
          <w:p w14:paraId="76E93FF7">
            <w:pPr>
              <w:rPr>
                <w:rFonts w:ascii="Arial"/>
                <w:sz w:val="21"/>
              </w:rPr>
            </w:pPr>
          </w:p>
        </w:tc>
        <w:tc>
          <w:tcPr>
            <w:tcW w:w="849" w:type="dxa"/>
            <w:vAlign w:val="top"/>
          </w:tcPr>
          <w:p w14:paraId="4358548F">
            <w:pPr>
              <w:pStyle w:val="6"/>
              <w:spacing w:before="118" w:line="220" w:lineRule="auto"/>
              <w:ind w:left="154"/>
              <w:rPr>
                <w:sz w:val="18"/>
                <w:szCs w:val="18"/>
              </w:rPr>
            </w:pPr>
            <w:r>
              <w:rPr>
                <w:spacing w:val="-3"/>
                <w:sz w:val="18"/>
                <w:szCs w:val="18"/>
              </w:rPr>
              <w:t>无组织</w:t>
            </w:r>
          </w:p>
        </w:tc>
        <w:tc>
          <w:tcPr>
            <w:tcW w:w="1174" w:type="dxa"/>
            <w:vMerge w:val="continue"/>
            <w:tcBorders>
              <w:top w:val="nil"/>
            </w:tcBorders>
            <w:vAlign w:val="top"/>
          </w:tcPr>
          <w:p w14:paraId="58540D77">
            <w:pPr>
              <w:rPr>
                <w:rFonts w:ascii="Arial"/>
                <w:sz w:val="21"/>
              </w:rPr>
            </w:pPr>
          </w:p>
        </w:tc>
        <w:tc>
          <w:tcPr>
            <w:tcW w:w="674" w:type="dxa"/>
            <w:vMerge w:val="continue"/>
            <w:tcBorders>
              <w:top w:val="nil"/>
              <w:bottom w:val="nil"/>
            </w:tcBorders>
            <w:vAlign w:val="top"/>
          </w:tcPr>
          <w:p w14:paraId="5A42F421">
            <w:pPr>
              <w:rPr>
                <w:rFonts w:ascii="Arial"/>
                <w:sz w:val="21"/>
              </w:rPr>
            </w:pPr>
          </w:p>
        </w:tc>
        <w:tc>
          <w:tcPr>
            <w:tcW w:w="1087" w:type="dxa"/>
            <w:vAlign w:val="top"/>
          </w:tcPr>
          <w:p w14:paraId="7532F567">
            <w:pPr>
              <w:spacing w:before="146"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9FCC78D">
            <w:pPr>
              <w:spacing w:before="146"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7B78F22E">
            <w:pPr>
              <w:spacing w:before="149"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674" w:type="dxa"/>
            <w:vAlign w:val="top"/>
          </w:tcPr>
          <w:p w14:paraId="7DE00D63">
            <w:pPr>
              <w:spacing w:before="146"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1B0EAE77">
            <w:pPr>
              <w:spacing w:before="146"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4BA0E5F8">
            <w:pPr>
              <w:rPr>
                <w:rFonts w:ascii="Arial"/>
                <w:sz w:val="21"/>
              </w:rPr>
            </w:pPr>
          </w:p>
        </w:tc>
        <w:tc>
          <w:tcPr>
            <w:tcW w:w="1012" w:type="dxa"/>
            <w:vAlign w:val="top"/>
          </w:tcPr>
          <w:p w14:paraId="3F7446FC">
            <w:pPr>
              <w:spacing w:before="146"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762CB7F0">
            <w:pPr>
              <w:spacing w:before="146"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2C9FD6D9">
            <w:pPr>
              <w:spacing w:before="149"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749" w:type="dxa"/>
            <w:vAlign w:val="top"/>
          </w:tcPr>
          <w:p w14:paraId="5308EA1B">
            <w:pPr>
              <w:spacing w:before="146"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43C24F5A">
            <w:pPr>
              <w:spacing w:before="149"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F3907D8">
            <w:pPr>
              <w:rPr>
                <w:rFonts w:ascii="Arial"/>
                <w:sz w:val="21"/>
              </w:rPr>
            </w:pPr>
          </w:p>
        </w:tc>
      </w:tr>
      <w:tr w14:paraId="36B1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55" w:type="dxa"/>
            <w:vMerge w:val="continue"/>
            <w:tcBorders>
              <w:top w:val="nil"/>
              <w:left w:val="single" w:color="000000" w:sz="6" w:space="0"/>
              <w:bottom w:val="nil"/>
            </w:tcBorders>
            <w:vAlign w:val="top"/>
          </w:tcPr>
          <w:p w14:paraId="47871BEB">
            <w:pPr>
              <w:rPr>
                <w:rFonts w:ascii="Arial"/>
                <w:sz w:val="21"/>
              </w:rPr>
            </w:pPr>
          </w:p>
        </w:tc>
        <w:tc>
          <w:tcPr>
            <w:tcW w:w="111" w:type="dxa"/>
            <w:tcBorders>
              <w:top w:val="nil"/>
              <w:bottom w:val="nil"/>
            </w:tcBorders>
            <w:vAlign w:val="top"/>
          </w:tcPr>
          <w:p w14:paraId="5493E21D">
            <w:pPr>
              <w:rPr>
                <w:rFonts w:ascii="Arial"/>
                <w:sz w:val="21"/>
              </w:rPr>
            </w:pPr>
          </w:p>
        </w:tc>
        <w:tc>
          <w:tcPr>
            <w:tcW w:w="708" w:type="dxa"/>
            <w:vMerge w:val="continue"/>
            <w:tcBorders>
              <w:top w:val="nil"/>
              <w:bottom w:val="nil"/>
            </w:tcBorders>
            <w:vAlign w:val="top"/>
          </w:tcPr>
          <w:p w14:paraId="275A494E">
            <w:pPr>
              <w:rPr>
                <w:rFonts w:ascii="Arial"/>
                <w:sz w:val="21"/>
              </w:rPr>
            </w:pPr>
          </w:p>
        </w:tc>
        <w:tc>
          <w:tcPr>
            <w:tcW w:w="736" w:type="dxa"/>
            <w:vMerge w:val="continue"/>
            <w:tcBorders>
              <w:top w:val="nil"/>
              <w:bottom w:val="nil"/>
            </w:tcBorders>
            <w:vAlign w:val="top"/>
          </w:tcPr>
          <w:p w14:paraId="2E7926ED">
            <w:pPr>
              <w:rPr>
                <w:rFonts w:ascii="Arial"/>
                <w:sz w:val="21"/>
              </w:rPr>
            </w:pPr>
          </w:p>
        </w:tc>
        <w:tc>
          <w:tcPr>
            <w:tcW w:w="849" w:type="dxa"/>
            <w:vAlign w:val="top"/>
          </w:tcPr>
          <w:p w14:paraId="2056CFA4">
            <w:pPr>
              <w:pStyle w:val="6"/>
              <w:spacing w:before="152" w:line="220" w:lineRule="auto"/>
              <w:ind w:left="154"/>
              <w:rPr>
                <w:sz w:val="18"/>
                <w:szCs w:val="18"/>
              </w:rPr>
            </w:pPr>
            <w:r>
              <w:rPr>
                <w:spacing w:val="-3"/>
                <w:sz w:val="18"/>
                <w:szCs w:val="18"/>
              </w:rPr>
              <w:t>有组织</w:t>
            </w:r>
          </w:p>
        </w:tc>
        <w:tc>
          <w:tcPr>
            <w:tcW w:w="1174" w:type="dxa"/>
            <w:vMerge w:val="restart"/>
            <w:tcBorders>
              <w:bottom w:val="nil"/>
            </w:tcBorders>
            <w:vAlign w:val="top"/>
          </w:tcPr>
          <w:p w14:paraId="6C05F6DE">
            <w:pPr>
              <w:spacing w:line="293" w:lineRule="auto"/>
              <w:rPr>
                <w:rFonts w:ascii="Arial"/>
                <w:sz w:val="21"/>
              </w:rPr>
            </w:pPr>
          </w:p>
          <w:p w14:paraId="2856B998">
            <w:pPr>
              <w:pStyle w:val="6"/>
              <w:spacing w:before="58" w:line="221" w:lineRule="auto"/>
              <w:ind w:left="316"/>
              <w:rPr>
                <w:sz w:val="18"/>
                <w:szCs w:val="18"/>
              </w:rPr>
            </w:pPr>
            <w:r>
              <w:rPr>
                <w:spacing w:val="-3"/>
                <w:sz w:val="18"/>
                <w:szCs w:val="18"/>
              </w:rPr>
              <w:t>硫酸雾</w:t>
            </w:r>
          </w:p>
        </w:tc>
        <w:tc>
          <w:tcPr>
            <w:tcW w:w="674" w:type="dxa"/>
            <w:vMerge w:val="continue"/>
            <w:tcBorders>
              <w:top w:val="nil"/>
              <w:bottom w:val="nil"/>
            </w:tcBorders>
            <w:vAlign w:val="top"/>
          </w:tcPr>
          <w:p w14:paraId="6695D78E">
            <w:pPr>
              <w:rPr>
                <w:rFonts w:ascii="Arial"/>
                <w:sz w:val="21"/>
              </w:rPr>
            </w:pPr>
          </w:p>
        </w:tc>
        <w:tc>
          <w:tcPr>
            <w:tcW w:w="1087" w:type="dxa"/>
            <w:vAlign w:val="top"/>
          </w:tcPr>
          <w:p w14:paraId="2C0DEA77">
            <w:pPr>
              <w:spacing w:before="181"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6B378049">
            <w:pPr>
              <w:spacing w:before="181"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w:t>
            </w:r>
          </w:p>
        </w:tc>
        <w:tc>
          <w:tcPr>
            <w:tcW w:w="761" w:type="dxa"/>
            <w:vAlign w:val="top"/>
          </w:tcPr>
          <w:p w14:paraId="3994A07C">
            <w:pPr>
              <w:spacing w:before="18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0.0869</w:t>
            </w:r>
          </w:p>
        </w:tc>
        <w:tc>
          <w:tcPr>
            <w:tcW w:w="674" w:type="dxa"/>
            <w:vAlign w:val="top"/>
          </w:tcPr>
          <w:p w14:paraId="3DB535F0">
            <w:pPr>
              <w:pStyle w:val="6"/>
              <w:spacing w:before="35" w:line="221" w:lineRule="auto"/>
              <w:ind w:left="73"/>
              <w:rPr>
                <w:sz w:val="18"/>
                <w:szCs w:val="18"/>
              </w:rPr>
            </w:pPr>
            <w:r>
              <w:rPr>
                <w:spacing w:val="-3"/>
                <w:sz w:val="18"/>
                <w:szCs w:val="18"/>
              </w:rPr>
              <w:t>三级碱</w:t>
            </w:r>
          </w:p>
          <w:p w14:paraId="134123D0">
            <w:pPr>
              <w:pStyle w:val="6"/>
              <w:spacing w:before="17" w:line="195" w:lineRule="auto"/>
              <w:ind w:left="74"/>
              <w:rPr>
                <w:sz w:val="18"/>
                <w:szCs w:val="18"/>
              </w:rPr>
            </w:pPr>
            <w:r>
              <w:rPr>
                <w:spacing w:val="-3"/>
                <w:sz w:val="18"/>
                <w:szCs w:val="18"/>
              </w:rPr>
              <w:t>液喷淋</w:t>
            </w:r>
          </w:p>
        </w:tc>
        <w:tc>
          <w:tcPr>
            <w:tcW w:w="538" w:type="dxa"/>
            <w:vAlign w:val="top"/>
          </w:tcPr>
          <w:p w14:paraId="41ABD81C">
            <w:pPr>
              <w:spacing w:before="181"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continue"/>
            <w:tcBorders>
              <w:top w:val="nil"/>
              <w:bottom w:val="nil"/>
            </w:tcBorders>
            <w:vAlign w:val="top"/>
          </w:tcPr>
          <w:p w14:paraId="5A5EAAD8">
            <w:pPr>
              <w:rPr>
                <w:rFonts w:ascii="Arial"/>
                <w:sz w:val="21"/>
              </w:rPr>
            </w:pPr>
          </w:p>
        </w:tc>
        <w:tc>
          <w:tcPr>
            <w:tcW w:w="1012" w:type="dxa"/>
            <w:vAlign w:val="top"/>
          </w:tcPr>
          <w:p w14:paraId="085EFABB">
            <w:pPr>
              <w:spacing w:before="181"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4460F2B8">
            <w:pPr>
              <w:spacing w:before="181"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736" w:type="dxa"/>
            <w:vAlign w:val="top"/>
          </w:tcPr>
          <w:p w14:paraId="553BC66B">
            <w:pPr>
              <w:spacing w:before="18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0.0104</w:t>
            </w:r>
          </w:p>
        </w:tc>
        <w:tc>
          <w:tcPr>
            <w:tcW w:w="749" w:type="dxa"/>
            <w:vAlign w:val="top"/>
          </w:tcPr>
          <w:p w14:paraId="3A4CB8B8">
            <w:pPr>
              <w:spacing w:before="181"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DA011</w:t>
            </w:r>
          </w:p>
        </w:tc>
        <w:tc>
          <w:tcPr>
            <w:tcW w:w="600" w:type="dxa"/>
            <w:vAlign w:val="top"/>
          </w:tcPr>
          <w:p w14:paraId="1CC746D2">
            <w:pPr>
              <w:spacing w:before="18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ED2BBE9">
            <w:pPr>
              <w:rPr>
                <w:rFonts w:ascii="Arial"/>
                <w:sz w:val="21"/>
              </w:rPr>
            </w:pPr>
          </w:p>
        </w:tc>
      </w:tr>
      <w:tr w14:paraId="638F4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2E82212E">
            <w:pPr>
              <w:rPr>
                <w:rFonts w:ascii="Arial"/>
                <w:sz w:val="21"/>
              </w:rPr>
            </w:pPr>
          </w:p>
        </w:tc>
        <w:tc>
          <w:tcPr>
            <w:tcW w:w="111" w:type="dxa"/>
            <w:tcBorders>
              <w:top w:val="nil"/>
              <w:bottom w:val="nil"/>
            </w:tcBorders>
            <w:vAlign w:val="top"/>
          </w:tcPr>
          <w:p w14:paraId="0362AFDF">
            <w:pPr>
              <w:rPr>
                <w:rFonts w:ascii="Arial"/>
                <w:sz w:val="21"/>
              </w:rPr>
            </w:pPr>
          </w:p>
        </w:tc>
        <w:tc>
          <w:tcPr>
            <w:tcW w:w="708" w:type="dxa"/>
            <w:vMerge w:val="continue"/>
            <w:tcBorders>
              <w:top w:val="nil"/>
              <w:bottom w:val="nil"/>
            </w:tcBorders>
            <w:vAlign w:val="top"/>
          </w:tcPr>
          <w:p w14:paraId="3F6EDA04">
            <w:pPr>
              <w:rPr>
                <w:rFonts w:ascii="Arial"/>
                <w:sz w:val="21"/>
              </w:rPr>
            </w:pPr>
          </w:p>
        </w:tc>
        <w:tc>
          <w:tcPr>
            <w:tcW w:w="736" w:type="dxa"/>
            <w:vMerge w:val="continue"/>
            <w:tcBorders>
              <w:top w:val="nil"/>
              <w:bottom w:val="nil"/>
            </w:tcBorders>
            <w:vAlign w:val="top"/>
          </w:tcPr>
          <w:p w14:paraId="58F0BE60">
            <w:pPr>
              <w:rPr>
                <w:rFonts w:ascii="Arial"/>
                <w:sz w:val="21"/>
              </w:rPr>
            </w:pPr>
          </w:p>
        </w:tc>
        <w:tc>
          <w:tcPr>
            <w:tcW w:w="849" w:type="dxa"/>
            <w:vAlign w:val="top"/>
          </w:tcPr>
          <w:p w14:paraId="37145E87">
            <w:pPr>
              <w:pStyle w:val="6"/>
              <w:spacing w:before="121" w:line="220" w:lineRule="auto"/>
              <w:ind w:left="154"/>
              <w:rPr>
                <w:sz w:val="18"/>
                <w:szCs w:val="18"/>
              </w:rPr>
            </w:pPr>
            <w:r>
              <w:rPr>
                <w:spacing w:val="-3"/>
                <w:sz w:val="18"/>
                <w:szCs w:val="18"/>
              </w:rPr>
              <w:t>无组织</w:t>
            </w:r>
          </w:p>
        </w:tc>
        <w:tc>
          <w:tcPr>
            <w:tcW w:w="1174" w:type="dxa"/>
            <w:vMerge w:val="continue"/>
            <w:tcBorders>
              <w:top w:val="nil"/>
            </w:tcBorders>
            <w:vAlign w:val="top"/>
          </w:tcPr>
          <w:p w14:paraId="7AED548B">
            <w:pPr>
              <w:rPr>
                <w:rFonts w:ascii="Arial"/>
                <w:sz w:val="21"/>
              </w:rPr>
            </w:pPr>
          </w:p>
        </w:tc>
        <w:tc>
          <w:tcPr>
            <w:tcW w:w="674" w:type="dxa"/>
            <w:vMerge w:val="continue"/>
            <w:tcBorders>
              <w:top w:val="nil"/>
              <w:bottom w:val="nil"/>
            </w:tcBorders>
            <w:vAlign w:val="top"/>
          </w:tcPr>
          <w:p w14:paraId="00E9E26A">
            <w:pPr>
              <w:rPr>
                <w:rFonts w:ascii="Arial"/>
                <w:sz w:val="21"/>
              </w:rPr>
            </w:pPr>
          </w:p>
        </w:tc>
        <w:tc>
          <w:tcPr>
            <w:tcW w:w="1087" w:type="dxa"/>
            <w:vAlign w:val="top"/>
          </w:tcPr>
          <w:p w14:paraId="6A431BF6">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6037CDBC">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1096F21C">
            <w:pPr>
              <w:spacing w:before="15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674" w:type="dxa"/>
            <w:vAlign w:val="top"/>
          </w:tcPr>
          <w:p w14:paraId="1BE34B96">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23EA6D12">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5E045105">
            <w:pPr>
              <w:rPr>
                <w:rFonts w:ascii="Arial"/>
                <w:sz w:val="21"/>
              </w:rPr>
            </w:pPr>
          </w:p>
        </w:tc>
        <w:tc>
          <w:tcPr>
            <w:tcW w:w="1012" w:type="dxa"/>
            <w:vAlign w:val="top"/>
          </w:tcPr>
          <w:p w14:paraId="542A5688">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79801632">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1F595ED6">
            <w:pPr>
              <w:spacing w:before="15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749" w:type="dxa"/>
            <w:vAlign w:val="top"/>
          </w:tcPr>
          <w:p w14:paraId="4D03A1EA">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47D3534F">
            <w:pPr>
              <w:spacing w:before="15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0E19D42F">
            <w:pPr>
              <w:rPr>
                <w:rFonts w:ascii="Arial"/>
                <w:sz w:val="21"/>
              </w:rPr>
            </w:pPr>
          </w:p>
        </w:tc>
      </w:tr>
      <w:tr w14:paraId="11F69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2EDD86C9">
            <w:pPr>
              <w:rPr>
                <w:rFonts w:ascii="Arial"/>
                <w:sz w:val="21"/>
              </w:rPr>
            </w:pPr>
          </w:p>
        </w:tc>
        <w:tc>
          <w:tcPr>
            <w:tcW w:w="111" w:type="dxa"/>
            <w:tcBorders>
              <w:top w:val="nil"/>
              <w:bottom w:val="nil"/>
            </w:tcBorders>
            <w:vAlign w:val="top"/>
          </w:tcPr>
          <w:p w14:paraId="15420435">
            <w:pPr>
              <w:rPr>
                <w:rFonts w:ascii="Arial"/>
                <w:sz w:val="21"/>
              </w:rPr>
            </w:pPr>
          </w:p>
        </w:tc>
        <w:tc>
          <w:tcPr>
            <w:tcW w:w="708" w:type="dxa"/>
            <w:vMerge w:val="continue"/>
            <w:tcBorders>
              <w:top w:val="nil"/>
              <w:bottom w:val="nil"/>
            </w:tcBorders>
            <w:vAlign w:val="top"/>
          </w:tcPr>
          <w:p w14:paraId="5A0DF9BB">
            <w:pPr>
              <w:rPr>
                <w:rFonts w:ascii="Arial"/>
                <w:sz w:val="21"/>
              </w:rPr>
            </w:pPr>
          </w:p>
        </w:tc>
        <w:tc>
          <w:tcPr>
            <w:tcW w:w="736" w:type="dxa"/>
            <w:vMerge w:val="continue"/>
            <w:tcBorders>
              <w:top w:val="nil"/>
              <w:bottom w:val="nil"/>
            </w:tcBorders>
            <w:vAlign w:val="top"/>
          </w:tcPr>
          <w:p w14:paraId="271EE2DB">
            <w:pPr>
              <w:rPr>
                <w:rFonts w:ascii="Arial"/>
                <w:sz w:val="21"/>
              </w:rPr>
            </w:pPr>
          </w:p>
        </w:tc>
        <w:tc>
          <w:tcPr>
            <w:tcW w:w="849" w:type="dxa"/>
            <w:vAlign w:val="top"/>
          </w:tcPr>
          <w:p w14:paraId="5B019796">
            <w:pPr>
              <w:pStyle w:val="6"/>
              <w:spacing w:before="152" w:line="220" w:lineRule="auto"/>
              <w:ind w:left="154"/>
              <w:rPr>
                <w:sz w:val="18"/>
                <w:szCs w:val="18"/>
              </w:rPr>
            </w:pPr>
            <w:r>
              <w:rPr>
                <w:spacing w:val="-3"/>
                <w:sz w:val="18"/>
                <w:szCs w:val="18"/>
              </w:rPr>
              <w:t>有组织</w:t>
            </w:r>
          </w:p>
        </w:tc>
        <w:tc>
          <w:tcPr>
            <w:tcW w:w="1174" w:type="dxa"/>
            <w:vMerge w:val="restart"/>
            <w:tcBorders>
              <w:bottom w:val="nil"/>
            </w:tcBorders>
            <w:vAlign w:val="top"/>
          </w:tcPr>
          <w:p w14:paraId="39AE0DB9">
            <w:pPr>
              <w:pStyle w:val="6"/>
              <w:spacing w:before="238" w:line="221" w:lineRule="auto"/>
              <w:ind w:left="138"/>
              <w:rPr>
                <w:sz w:val="18"/>
                <w:szCs w:val="18"/>
              </w:rPr>
            </w:pPr>
            <w:r>
              <w:rPr>
                <w:spacing w:val="-2"/>
                <w:sz w:val="18"/>
                <w:szCs w:val="18"/>
              </w:rPr>
              <w:t>硝酸雾（以</w:t>
            </w:r>
          </w:p>
          <w:p w14:paraId="55EE3056">
            <w:pPr>
              <w:pStyle w:val="6"/>
              <w:spacing w:before="17"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4F62F31F">
            <w:pPr>
              <w:rPr>
                <w:rFonts w:ascii="Arial"/>
                <w:sz w:val="21"/>
              </w:rPr>
            </w:pPr>
          </w:p>
        </w:tc>
        <w:tc>
          <w:tcPr>
            <w:tcW w:w="1087" w:type="dxa"/>
            <w:vAlign w:val="top"/>
          </w:tcPr>
          <w:p w14:paraId="224B2F3D">
            <w:pPr>
              <w:spacing w:before="181"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368755A7">
            <w:pPr>
              <w:spacing w:before="181"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21.84</w:t>
            </w:r>
          </w:p>
        </w:tc>
        <w:tc>
          <w:tcPr>
            <w:tcW w:w="761" w:type="dxa"/>
            <w:vAlign w:val="top"/>
          </w:tcPr>
          <w:p w14:paraId="1B329441">
            <w:pPr>
              <w:spacing w:before="18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0.4369</w:t>
            </w:r>
          </w:p>
        </w:tc>
        <w:tc>
          <w:tcPr>
            <w:tcW w:w="674" w:type="dxa"/>
            <w:vAlign w:val="top"/>
          </w:tcPr>
          <w:p w14:paraId="6A72CF66">
            <w:pPr>
              <w:pStyle w:val="6"/>
              <w:spacing w:before="37" w:line="221" w:lineRule="auto"/>
              <w:ind w:left="73"/>
              <w:rPr>
                <w:sz w:val="18"/>
                <w:szCs w:val="18"/>
              </w:rPr>
            </w:pPr>
            <w:r>
              <w:rPr>
                <w:spacing w:val="-3"/>
                <w:sz w:val="18"/>
                <w:szCs w:val="18"/>
              </w:rPr>
              <w:t>三级碱</w:t>
            </w:r>
          </w:p>
          <w:p w14:paraId="0C478340">
            <w:pPr>
              <w:pStyle w:val="6"/>
              <w:spacing w:before="16" w:line="194" w:lineRule="auto"/>
              <w:ind w:left="74"/>
              <w:rPr>
                <w:sz w:val="18"/>
                <w:szCs w:val="18"/>
              </w:rPr>
            </w:pPr>
            <w:r>
              <w:rPr>
                <w:spacing w:val="-3"/>
                <w:sz w:val="18"/>
                <w:szCs w:val="18"/>
              </w:rPr>
              <w:t>液喷淋</w:t>
            </w:r>
          </w:p>
        </w:tc>
        <w:tc>
          <w:tcPr>
            <w:tcW w:w="538" w:type="dxa"/>
            <w:vAlign w:val="top"/>
          </w:tcPr>
          <w:p w14:paraId="29886FE8">
            <w:pPr>
              <w:spacing w:before="181"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7C81E401">
            <w:pPr>
              <w:rPr>
                <w:rFonts w:ascii="Arial"/>
                <w:sz w:val="21"/>
              </w:rPr>
            </w:pPr>
          </w:p>
        </w:tc>
        <w:tc>
          <w:tcPr>
            <w:tcW w:w="1012" w:type="dxa"/>
            <w:vAlign w:val="top"/>
          </w:tcPr>
          <w:p w14:paraId="650073B2">
            <w:pPr>
              <w:spacing w:before="181"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73ABD71D">
            <w:pPr>
              <w:spacing w:before="181"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736" w:type="dxa"/>
            <w:vAlign w:val="top"/>
          </w:tcPr>
          <w:p w14:paraId="2389FC1C">
            <w:pPr>
              <w:spacing w:before="18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0.0655</w:t>
            </w:r>
          </w:p>
        </w:tc>
        <w:tc>
          <w:tcPr>
            <w:tcW w:w="749" w:type="dxa"/>
            <w:vAlign w:val="top"/>
          </w:tcPr>
          <w:p w14:paraId="7C93E89B">
            <w:pPr>
              <w:spacing w:before="181"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DA011</w:t>
            </w:r>
          </w:p>
        </w:tc>
        <w:tc>
          <w:tcPr>
            <w:tcW w:w="600" w:type="dxa"/>
            <w:vAlign w:val="top"/>
          </w:tcPr>
          <w:p w14:paraId="5AF820ED">
            <w:pPr>
              <w:spacing w:before="18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2D96C5CF">
            <w:pPr>
              <w:rPr>
                <w:rFonts w:ascii="Arial"/>
                <w:sz w:val="21"/>
              </w:rPr>
            </w:pPr>
          </w:p>
        </w:tc>
      </w:tr>
      <w:tr w14:paraId="22A78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55" w:type="dxa"/>
            <w:vMerge w:val="continue"/>
            <w:tcBorders>
              <w:top w:val="nil"/>
              <w:left w:val="single" w:color="000000" w:sz="6" w:space="0"/>
              <w:bottom w:val="nil"/>
            </w:tcBorders>
            <w:vAlign w:val="top"/>
          </w:tcPr>
          <w:p w14:paraId="3AABAD58">
            <w:pPr>
              <w:rPr>
                <w:rFonts w:ascii="Arial"/>
                <w:sz w:val="21"/>
              </w:rPr>
            </w:pPr>
          </w:p>
        </w:tc>
        <w:tc>
          <w:tcPr>
            <w:tcW w:w="111" w:type="dxa"/>
            <w:tcBorders>
              <w:top w:val="nil"/>
              <w:bottom w:val="nil"/>
            </w:tcBorders>
            <w:vAlign w:val="top"/>
          </w:tcPr>
          <w:p w14:paraId="5C0DD1AB">
            <w:pPr>
              <w:rPr>
                <w:rFonts w:ascii="Arial"/>
                <w:sz w:val="21"/>
              </w:rPr>
            </w:pPr>
          </w:p>
        </w:tc>
        <w:tc>
          <w:tcPr>
            <w:tcW w:w="708" w:type="dxa"/>
            <w:vMerge w:val="continue"/>
            <w:tcBorders>
              <w:top w:val="nil"/>
              <w:bottom w:val="nil"/>
            </w:tcBorders>
            <w:vAlign w:val="top"/>
          </w:tcPr>
          <w:p w14:paraId="46152CEF">
            <w:pPr>
              <w:rPr>
                <w:rFonts w:ascii="Arial"/>
                <w:sz w:val="21"/>
              </w:rPr>
            </w:pPr>
          </w:p>
        </w:tc>
        <w:tc>
          <w:tcPr>
            <w:tcW w:w="736" w:type="dxa"/>
            <w:vMerge w:val="continue"/>
            <w:tcBorders>
              <w:top w:val="nil"/>
            </w:tcBorders>
            <w:vAlign w:val="top"/>
          </w:tcPr>
          <w:p w14:paraId="24C64D66">
            <w:pPr>
              <w:rPr>
                <w:rFonts w:ascii="Arial"/>
                <w:sz w:val="21"/>
              </w:rPr>
            </w:pPr>
          </w:p>
        </w:tc>
        <w:tc>
          <w:tcPr>
            <w:tcW w:w="849" w:type="dxa"/>
            <w:vAlign w:val="top"/>
          </w:tcPr>
          <w:p w14:paraId="6D3C0250">
            <w:pPr>
              <w:pStyle w:val="6"/>
              <w:spacing w:before="120" w:line="220" w:lineRule="auto"/>
              <w:ind w:left="154"/>
              <w:rPr>
                <w:sz w:val="18"/>
                <w:szCs w:val="18"/>
              </w:rPr>
            </w:pPr>
            <w:r>
              <w:rPr>
                <w:spacing w:val="-3"/>
                <w:sz w:val="18"/>
                <w:szCs w:val="18"/>
              </w:rPr>
              <w:t>无组织</w:t>
            </w:r>
          </w:p>
        </w:tc>
        <w:tc>
          <w:tcPr>
            <w:tcW w:w="1174" w:type="dxa"/>
            <w:vMerge w:val="continue"/>
            <w:tcBorders>
              <w:top w:val="nil"/>
            </w:tcBorders>
            <w:vAlign w:val="top"/>
          </w:tcPr>
          <w:p w14:paraId="2866CE4B">
            <w:pPr>
              <w:rPr>
                <w:rFonts w:ascii="Arial"/>
                <w:sz w:val="21"/>
              </w:rPr>
            </w:pPr>
          </w:p>
        </w:tc>
        <w:tc>
          <w:tcPr>
            <w:tcW w:w="674" w:type="dxa"/>
            <w:vMerge w:val="continue"/>
            <w:tcBorders>
              <w:top w:val="nil"/>
            </w:tcBorders>
            <w:vAlign w:val="top"/>
          </w:tcPr>
          <w:p w14:paraId="62BDE749">
            <w:pPr>
              <w:rPr>
                <w:rFonts w:ascii="Arial"/>
                <w:sz w:val="21"/>
              </w:rPr>
            </w:pPr>
          </w:p>
        </w:tc>
        <w:tc>
          <w:tcPr>
            <w:tcW w:w="1087" w:type="dxa"/>
            <w:vAlign w:val="top"/>
          </w:tcPr>
          <w:p w14:paraId="08E64714">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553D0DD1">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0F6A725C">
            <w:pPr>
              <w:spacing w:before="15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674" w:type="dxa"/>
            <w:vAlign w:val="top"/>
          </w:tcPr>
          <w:p w14:paraId="5B04C9AD">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37E39FD5">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tcBorders>
            <w:vAlign w:val="top"/>
          </w:tcPr>
          <w:p w14:paraId="6843F7C4">
            <w:pPr>
              <w:rPr>
                <w:rFonts w:ascii="Arial"/>
                <w:sz w:val="21"/>
              </w:rPr>
            </w:pPr>
          </w:p>
        </w:tc>
        <w:tc>
          <w:tcPr>
            <w:tcW w:w="1012" w:type="dxa"/>
            <w:vAlign w:val="top"/>
          </w:tcPr>
          <w:p w14:paraId="3969CE91">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36FFC1F6">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14EA6D54">
            <w:pPr>
              <w:spacing w:before="15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749" w:type="dxa"/>
            <w:vAlign w:val="top"/>
          </w:tcPr>
          <w:p w14:paraId="76753370">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311498F5">
            <w:pPr>
              <w:spacing w:before="15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8CABD84">
            <w:pPr>
              <w:rPr>
                <w:rFonts w:ascii="Arial"/>
                <w:sz w:val="21"/>
              </w:rPr>
            </w:pPr>
          </w:p>
        </w:tc>
      </w:tr>
      <w:tr w14:paraId="08969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26907485">
            <w:pPr>
              <w:rPr>
                <w:rFonts w:ascii="Arial"/>
                <w:sz w:val="21"/>
              </w:rPr>
            </w:pPr>
          </w:p>
        </w:tc>
        <w:tc>
          <w:tcPr>
            <w:tcW w:w="111" w:type="dxa"/>
            <w:tcBorders>
              <w:top w:val="nil"/>
              <w:bottom w:val="nil"/>
            </w:tcBorders>
            <w:vAlign w:val="top"/>
          </w:tcPr>
          <w:p w14:paraId="04490CE4">
            <w:pPr>
              <w:rPr>
                <w:rFonts w:ascii="Arial"/>
                <w:sz w:val="21"/>
              </w:rPr>
            </w:pPr>
          </w:p>
        </w:tc>
        <w:tc>
          <w:tcPr>
            <w:tcW w:w="708" w:type="dxa"/>
            <w:vMerge w:val="continue"/>
            <w:tcBorders>
              <w:top w:val="nil"/>
              <w:bottom w:val="nil"/>
            </w:tcBorders>
            <w:vAlign w:val="top"/>
          </w:tcPr>
          <w:p w14:paraId="65D3DDE4">
            <w:pPr>
              <w:rPr>
                <w:rFonts w:ascii="Arial"/>
                <w:sz w:val="21"/>
              </w:rPr>
            </w:pPr>
          </w:p>
        </w:tc>
        <w:tc>
          <w:tcPr>
            <w:tcW w:w="736" w:type="dxa"/>
            <w:vMerge w:val="restart"/>
            <w:tcBorders>
              <w:bottom w:val="nil"/>
            </w:tcBorders>
            <w:vAlign w:val="top"/>
          </w:tcPr>
          <w:p w14:paraId="7F61673D">
            <w:pPr>
              <w:spacing w:line="268" w:lineRule="auto"/>
              <w:rPr>
                <w:rFonts w:ascii="Arial"/>
                <w:sz w:val="21"/>
              </w:rPr>
            </w:pPr>
          </w:p>
          <w:p w14:paraId="1044D8D8">
            <w:pPr>
              <w:spacing w:line="269" w:lineRule="auto"/>
              <w:rPr>
                <w:rFonts w:ascii="Arial"/>
                <w:sz w:val="21"/>
              </w:rPr>
            </w:pPr>
          </w:p>
          <w:p w14:paraId="219B54AC">
            <w:pPr>
              <w:spacing w:line="269" w:lineRule="auto"/>
              <w:rPr>
                <w:rFonts w:ascii="Arial"/>
                <w:sz w:val="21"/>
              </w:rPr>
            </w:pPr>
          </w:p>
          <w:p w14:paraId="22FEE851">
            <w:pPr>
              <w:spacing w:line="269" w:lineRule="auto"/>
              <w:rPr>
                <w:rFonts w:ascii="Arial"/>
                <w:sz w:val="21"/>
              </w:rPr>
            </w:pPr>
          </w:p>
          <w:p w14:paraId="472C9BFA">
            <w:pPr>
              <w:spacing w:line="269" w:lineRule="auto"/>
              <w:rPr>
                <w:rFonts w:ascii="Arial"/>
                <w:sz w:val="21"/>
              </w:rPr>
            </w:pPr>
          </w:p>
          <w:p w14:paraId="381B6EDB">
            <w:pPr>
              <w:spacing w:line="269" w:lineRule="auto"/>
              <w:rPr>
                <w:rFonts w:ascii="Arial"/>
                <w:sz w:val="21"/>
              </w:rPr>
            </w:pPr>
          </w:p>
          <w:p w14:paraId="7B4C0368">
            <w:pPr>
              <w:pStyle w:val="6"/>
              <w:spacing w:before="58" w:line="219" w:lineRule="auto"/>
              <w:ind w:left="1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w:t>
            </w:r>
            <w:r>
              <w:rPr>
                <w:rFonts w:ascii="Times New Roman" w:hAnsi="Times New Roman" w:eastAsia="Times New Roman" w:cs="Times New Roman"/>
                <w:spacing w:val="6"/>
                <w:sz w:val="18"/>
                <w:szCs w:val="18"/>
              </w:rPr>
              <w:t xml:space="preserve"> </w:t>
            </w:r>
            <w:r>
              <w:rPr>
                <w:spacing w:val="-4"/>
                <w:sz w:val="18"/>
                <w:szCs w:val="18"/>
              </w:rPr>
              <w:t>层</w:t>
            </w:r>
            <w:r>
              <w:rPr>
                <w:rFonts w:ascii="Times New Roman" w:hAnsi="Times New Roman" w:eastAsia="Times New Roman" w:cs="Times New Roman"/>
                <w:spacing w:val="-4"/>
                <w:sz w:val="18"/>
                <w:szCs w:val="18"/>
              </w:rPr>
              <w:t>-A</w:t>
            </w:r>
          </w:p>
        </w:tc>
        <w:tc>
          <w:tcPr>
            <w:tcW w:w="849" w:type="dxa"/>
            <w:vAlign w:val="top"/>
          </w:tcPr>
          <w:p w14:paraId="611FFAE9">
            <w:pPr>
              <w:pStyle w:val="6"/>
              <w:spacing w:before="152" w:line="220" w:lineRule="auto"/>
              <w:ind w:left="154"/>
              <w:rPr>
                <w:sz w:val="18"/>
                <w:szCs w:val="18"/>
              </w:rPr>
            </w:pPr>
            <w:r>
              <w:rPr>
                <w:spacing w:val="-3"/>
                <w:sz w:val="18"/>
                <w:szCs w:val="18"/>
              </w:rPr>
              <w:t>有组织</w:t>
            </w:r>
          </w:p>
        </w:tc>
        <w:tc>
          <w:tcPr>
            <w:tcW w:w="1174" w:type="dxa"/>
            <w:vMerge w:val="restart"/>
            <w:tcBorders>
              <w:bottom w:val="nil"/>
            </w:tcBorders>
            <w:vAlign w:val="top"/>
          </w:tcPr>
          <w:p w14:paraId="6FAA2C18">
            <w:pPr>
              <w:spacing w:line="296" w:lineRule="auto"/>
              <w:rPr>
                <w:rFonts w:ascii="Arial"/>
                <w:sz w:val="21"/>
              </w:rPr>
            </w:pPr>
          </w:p>
          <w:p w14:paraId="12DBECAC">
            <w:pPr>
              <w:pStyle w:val="6"/>
              <w:spacing w:before="58" w:line="221" w:lineRule="auto"/>
              <w:ind w:left="320"/>
              <w:rPr>
                <w:sz w:val="18"/>
                <w:szCs w:val="18"/>
              </w:rPr>
            </w:pPr>
            <w:r>
              <w:rPr>
                <w:spacing w:val="-4"/>
                <w:sz w:val="18"/>
                <w:szCs w:val="18"/>
              </w:rPr>
              <w:t>氯化氢</w:t>
            </w:r>
          </w:p>
        </w:tc>
        <w:tc>
          <w:tcPr>
            <w:tcW w:w="674" w:type="dxa"/>
            <w:vMerge w:val="restart"/>
            <w:tcBorders>
              <w:bottom w:val="nil"/>
            </w:tcBorders>
            <w:vAlign w:val="top"/>
          </w:tcPr>
          <w:p w14:paraId="49959DC3">
            <w:pPr>
              <w:spacing w:line="249" w:lineRule="auto"/>
              <w:rPr>
                <w:rFonts w:ascii="Arial"/>
                <w:sz w:val="21"/>
              </w:rPr>
            </w:pPr>
          </w:p>
          <w:p w14:paraId="4E03408F">
            <w:pPr>
              <w:spacing w:line="249" w:lineRule="auto"/>
              <w:rPr>
                <w:rFonts w:ascii="Arial"/>
                <w:sz w:val="21"/>
              </w:rPr>
            </w:pPr>
          </w:p>
          <w:p w14:paraId="7941E291">
            <w:pPr>
              <w:spacing w:line="250" w:lineRule="auto"/>
              <w:rPr>
                <w:rFonts w:ascii="Arial"/>
                <w:sz w:val="21"/>
              </w:rPr>
            </w:pPr>
          </w:p>
          <w:p w14:paraId="10DDB81B">
            <w:pPr>
              <w:spacing w:line="250" w:lineRule="auto"/>
              <w:rPr>
                <w:rFonts w:ascii="Arial"/>
                <w:sz w:val="21"/>
              </w:rPr>
            </w:pPr>
          </w:p>
          <w:p w14:paraId="4705F37C">
            <w:pPr>
              <w:spacing w:line="250" w:lineRule="auto"/>
              <w:rPr>
                <w:rFonts w:ascii="Arial"/>
                <w:sz w:val="21"/>
              </w:rPr>
            </w:pPr>
          </w:p>
          <w:p w14:paraId="6B2C5913">
            <w:pPr>
              <w:spacing w:line="250" w:lineRule="auto"/>
              <w:rPr>
                <w:rFonts w:ascii="Arial"/>
                <w:sz w:val="21"/>
              </w:rPr>
            </w:pPr>
          </w:p>
          <w:p w14:paraId="13D371CB">
            <w:pPr>
              <w:pStyle w:val="6"/>
              <w:spacing w:before="58"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vAlign w:val="top"/>
          </w:tcPr>
          <w:p w14:paraId="3D6D801B">
            <w:pPr>
              <w:spacing w:before="184"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38E65EF2">
            <w:pPr>
              <w:spacing w:before="184"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301.39</w:t>
            </w:r>
          </w:p>
        </w:tc>
        <w:tc>
          <w:tcPr>
            <w:tcW w:w="761" w:type="dxa"/>
            <w:vAlign w:val="top"/>
          </w:tcPr>
          <w:p w14:paraId="3A6132C2">
            <w:pPr>
              <w:spacing w:before="184"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6.0278</w:t>
            </w:r>
          </w:p>
        </w:tc>
        <w:tc>
          <w:tcPr>
            <w:tcW w:w="674" w:type="dxa"/>
            <w:vAlign w:val="top"/>
          </w:tcPr>
          <w:p w14:paraId="5550F0B4">
            <w:pPr>
              <w:pStyle w:val="6"/>
              <w:spacing w:before="38" w:line="221" w:lineRule="auto"/>
              <w:ind w:left="73"/>
              <w:rPr>
                <w:sz w:val="18"/>
                <w:szCs w:val="18"/>
              </w:rPr>
            </w:pPr>
            <w:r>
              <w:rPr>
                <w:spacing w:val="-3"/>
                <w:sz w:val="18"/>
                <w:szCs w:val="18"/>
              </w:rPr>
              <w:t>三级碱</w:t>
            </w:r>
          </w:p>
          <w:p w14:paraId="22547A97">
            <w:pPr>
              <w:pStyle w:val="6"/>
              <w:spacing w:before="17" w:line="193" w:lineRule="auto"/>
              <w:ind w:left="74"/>
              <w:rPr>
                <w:sz w:val="18"/>
                <w:szCs w:val="18"/>
              </w:rPr>
            </w:pPr>
            <w:r>
              <w:rPr>
                <w:spacing w:val="-3"/>
                <w:sz w:val="18"/>
                <w:szCs w:val="18"/>
              </w:rPr>
              <w:t>液喷淋</w:t>
            </w:r>
          </w:p>
        </w:tc>
        <w:tc>
          <w:tcPr>
            <w:tcW w:w="538" w:type="dxa"/>
            <w:vAlign w:val="top"/>
          </w:tcPr>
          <w:p w14:paraId="105CAF4B">
            <w:pPr>
              <w:spacing w:before="184"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bottom w:val="nil"/>
            </w:tcBorders>
            <w:vAlign w:val="top"/>
          </w:tcPr>
          <w:p w14:paraId="7C8EAED7">
            <w:pPr>
              <w:spacing w:line="276" w:lineRule="auto"/>
              <w:rPr>
                <w:rFonts w:ascii="Arial"/>
                <w:sz w:val="21"/>
              </w:rPr>
            </w:pPr>
          </w:p>
          <w:p w14:paraId="13BB726F">
            <w:pPr>
              <w:spacing w:line="276" w:lineRule="auto"/>
              <w:rPr>
                <w:rFonts w:ascii="Arial"/>
                <w:sz w:val="21"/>
              </w:rPr>
            </w:pPr>
          </w:p>
          <w:p w14:paraId="40288050">
            <w:pPr>
              <w:spacing w:line="276" w:lineRule="auto"/>
              <w:rPr>
                <w:rFonts w:ascii="Arial"/>
                <w:sz w:val="21"/>
              </w:rPr>
            </w:pPr>
          </w:p>
          <w:p w14:paraId="247D89B3">
            <w:pPr>
              <w:spacing w:line="277" w:lineRule="auto"/>
              <w:rPr>
                <w:rFonts w:ascii="Arial"/>
                <w:sz w:val="21"/>
              </w:rPr>
            </w:pPr>
          </w:p>
          <w:p w14:paraId="652D4A2E">
            <w:pPr>
              <w:spacing w:line="277" w:lineRule="auto"/>
              <w:rPr>
                <w:rFonts w:ascii="Arial"/>
                <w:sz w:val="21"/>
              </w:rPr>
            </w:pPr>
          </w:p>
          <w:p w14:paraId="0F71EFB4">
            <w:pPr>
              <w:pStyle w:val="6"/>
              <w:spacing w:before="58" w:line="219" w:lineRule="auto"/>
              <w:ind w:left="106"/>
              <w:rPr>
                <w:sz w:val="18"/>
                <w:szCs w:val="18"/>
              </w:rPr>
            </w:pPr>
            <w:r>
              <w:rPr>
                <w:spacing w:val="-4"/>
                <w:sz w:val="18"/>
                <w:szCs w:val="18"/>
              </w:rPr>
              <w:t>产污</w:t>
            </w:r>
          </w:p>
          <w:p w14:paraId="5090AD6B">
            <w:pPr>
              <w:pStyle w:val="6"/>
              <w:spacing w:before="18" w:line="244" w:lineRule="auto"/>
              <w:ind w:left="198" w:right="96" w:hanging="88"/>
              <w:rPr>
                <w:sz w:val="18"/>
                <w:szCs w:val="18"/>
              </w:rPr>
            </w:pPr>
            <w:r>
              <w:rPr>
                <w:spacing w:val="-6"/>
                <w:sz w:val="18"/>
                <w:szCs w:val="18"/>
              </w:rPr>
              <w:t>系数</w:t>
            </w:r>
            <w:r>
              <w:rPr>
                <w:sz w:val="18"/>
                <w:szCs w:val="18"/>
              </w:rPr>
              <w:t xml:space="preserve"> 法</w:t>
            </w:r>
          </w:p>
        </w:tc>
        <w:tc>
          <w:tcPr>
            <w:tcW w:w="1012" w:type="dxa"/>
            <w:vAlign w:val="top"/>
          </w:tcPr>
          <w:p w14:paraId="62B2EAAE">
            <w:pPr>
              <w:spacing w:before="184"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5542E969">
            <w:pPr>
              <w:spacing w:before="184"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21.10</w:t>
            </w:r>
          </w:p>
        </w:tc>
        <w:tc>
          <w:tcPr>
            <w:tcW w:w="736" w:type="dxa"/>
            <w:vAlign w:val="top"/>
          </w:tcPr>
          <w:p w14:paraId="4F9B276B">
            <w:pPr>
              <w:spacing w:before="18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0.4219</w:t>
            </w:r>
          </w:p>
        </w:tc>
        <w:tc>
          <w:tcPr>
            <w:tcW w:w="749" w:type="dxa"/>
            <w:vAlign w:val="top"/>
          </w:tcPr>
          <w:p w14:paraId="36E42EAD">
            <w:pPr>
              <w:spacing w:before="184" w:line="188" w:lineRule="auto"/>
              <w:ind w:left="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DA0126</w:t>
            </w:r>
          </w:p>
        </w:tc>
        <w:tc>
          <w:tcPr>
            <w:tcW w:w="600" w:type="dxa"/>
            <w:vAlign w:val="top"/>
          </w:tcPr>
          <w:p w14:paraId="3CC75CCC">
            <w:pPr>
              <w:spacing w:before="1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00373663">
            <w:pPr>
              <w:rPr>
                <w:rFonts w:ascii="Arial"/>
                <w:sz w:val="21"/>
              </w:rPr>
            </w:pPr>
          </w:p>
        </w:tc>
      </w:tr>
      <w:tr w14:paraId="352E5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55" w:type="dxa"/>
            <w:vMerge w:val="continue"/>
            <w:tcBorders>
              <w:top w:val="nil"/>
              <w:left w:val="single" w:color="000000" w:sz="6" w:space="0"/>
              <w:bottom w:val="nil"/>
            </w:tcBorders>
            <w:vAlign w:val="top"/>
          </w:tcPr>
          <w:p w14:paraId="3A523983">
            <w:pPr>
              <w:rPr>
                <w:rFonts w:ascii="Arial"/>
                <w:sz w:val="21"/>
              </w:rPr>
            </w:pPr>
          </w:p>
        </w:tc>
        <w:tc>
          <w:tcPr>
            <w:tcW w:w="111" w:type="dxa"/>
            <w:tcBorders>
              <w:top w:val="nil"/>
              <w:bottom w:val="nil"/>
            </w:tcBorders>
            <w:vAlign w:val="top"/>
          </w:tcPr>
          <w:p w14:paraId="4C60DD8A">
            <w:pPr>
              <w:rPr>
                <w:rFonts w:ascii="Arial"/>
                <w:sz w:val="21"/>
              </w:rPr>
            </w:pPr>
          </w:p>
        </w:tc>
        <w:tc>
          <w:tcPr>
            <w:tcW w:w="708" w:type="dxa"/>
            <w:vMerge w:val="continue"/>
            <w:tcBorders>
              <w:top w:val="nil"/>
              <w:bottom w:val="nil"/>
            </w:tcBorders>
            <w:vAlign w:val="top"/>
          </w:tcPr>
          <w:p w14:paraId="5BE26DD1">
            <w:pPr>
              <w:rPr>
                <w:rFonts w:ascii="Arial"/>
                <w:sz w:val="21"/>
              </w:rPr>
            </w:pPr>
          </w:p>
        </w:tc>
        <w:tc>
          <w:tcPr>
            <w:tcW w:w="736" w:type="dxa"/>
            <w:vMerge w:val="continue"/>
            <w:tcBorders>
              <w:top w:val="nil"/>
              <w:bottom w:val="nil"/>
            </w:tcBorders>
            <w:vAlign w:val="top"/>
          </w:tcPr>
          <w:p w14:paraId="14E9FD1B">
            <w:pPr>
              <w:rPr>
                <w:rFonts w:ascii="Arial"/>
                <w:sz w:val="21"/>
              </w:rPr>
            </w:pPr>
          </w:p>
        </w:tc>
        <w:tc>
          <w:tcPr>
            <w:tcW w:w="849" w:type="dxa"/>
            <w:vAlign w:val="top"/>
          </w:tcPr>
          <w:p w14:paraId="1B9DDC4E">
            <w:pPr>
              <w:pStyle w:val="6"/>
              <w:spacing w:before="120" w:line="220" w:lineRule="auto"/>
              <w:ind w:left="154"/>
              <w:rPr>
                <w:sz w:val="18"/>
                <w:szCs w:val="18"/>
              </w:rPr>
            </w:pPr>
            <w:r>
              <w:rPr>
                <w:spacing w:val="-3"/>
                <w:sz w:val="18"/>
                <w:szCs w:val="18"/>
              </w:rPr>
              <w:t>无组织</w:t>
            </w:r>
          </w:p>
        </w:tc>
        <w:tc>
          <w:tcPr>
            <w:tcW w:w="1174" w:type="dxa"/>
            <w:vMerge w:val="continue"/>
            <w:tcBorders>
              <w:top w:val="nil"/>
            </w:tcBorders>
            <w:vAlign w:val="top"/>
          </w:tcPr>
          <w:p w14:paraId="388B0135">
            <w:pPr>
              <w:rPr>
                <w:rFonts w:ascii="Arial"/>
                <w:sz w:val="21"/>
              </w:rPr>
            </w:pPr>
          </w:p>
        </w:tc>
        <w:tc>
          <w:tcPr>
            <w:tcW w:w="674" w:type="dxa"/>
            <w:vMerge w:val="continue"/>
            <w:tcBorders>
              <w:top w:val="nil"/>
              <w:bottom w:val="nil"/>
            </w:tcBorders>
            <w:vAlign w:val="top"/>
          </w:tcPr>
          <w:p w14:paraId="6A45ABC4">
            <w:pPr>
              <w:rPr>
                <w:rFonts w:ascii="Arial"/>
                <w:sz w:val="21"/>
              </w:rPr>
            </w:pPr>
          </w:p>
        </w:tc>
        <w:tc>
          <w:tcPr>
            <w:tcW w:w="1087" w:type="dxa"/>
            <w:vAlign w:val="top"/>
          </w:tcPr>
          <w:p w14:paraId="47096A4B">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138EC907">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3DCA567A">
            <w:pPr>
              <w:spacing w:before="15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674" w:type="dxa"/>
            <w:vAlign w:val="top"/>
          </w:tcPr>
          <w:p w14:paraId="01DC4530">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0BE21A06">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1DD30C1D">
            <w:pPr>
              <w:rPr>
                <w:rFonts w:ascii="Arial"/>
                <w:sz w:val="21"/>
              </w:rPr>
            </w:pPr>
          </w:p>
        </w:tc>
        <w:tc>
          <w:tcPr>
            <w:tcW w:w="1012" w:type="dxa"/>
            <w:vAlign w:val="top"/>
          </w:tcPr>
          <w:p w14:paraId="50C2C517">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268E8A11">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0D534752">
            <w:pPr>
              <w:spacing w:before="151"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749" w:type="dxa"/>
            <w:vAlign w:val="top"/>
          </w:tcPr>
          <w:p w14:paraId="4111247D">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20D34CA7">
            <w:pPr>
              <w:spacing w:before="15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8052209">
            <w:pPr>
              <w:rPr>
                <w:rFonts w:ascii="Arial"/>
                <w:sz w:val="21"/>
              </w:rPr>
            </w:pPr>
          </w:p>
        </w:tc>
      </w:tr>
      <w:tr w14:paraId="54569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5" w:type="dxa"/>
            <w:vMerge w:val="continue"/>
            <w:tcBorders>
              <w:top w:val="nil"/>
              <w:left w:val="single" w:color="000000" w:sz="6" w:space="0"/>
              <w:bottom w:val="nil"/>
            </w:tcBorders>
            <w:vAlign w:val="top"/>
          </w:tcPr>
          <w:p w14:paraId="685229CC">
            <w:pPr>
              <w:rPr>
                <w:rFonts w:ascii="Arial"/>
                <w:sz w:val="21"/>
              </w:rPr>
            </w:pPr>
          </w:p>
        </w:tc>
        <w:tc>
          <w:tcPr>
            <w:tcW w:w="111" w:type="dxa"/>
            <w:tcBorders>
              <w:top w:val="nil"/>
              <w:bottom w:val="nil"/>
            </w:tcBorders>
            <w:vAlign w:val="top"/>
          </w:tcPr>
          <w:p w14:paraId="39FC1964">
            <w:pPr>
              <w:rPr>
                <w:rFonts w:ascii="Arial"/>
                <w:sz w:val="21"/>
              </w:rPr>
            </w:pPr>
          </w:p>
        </w:tc>
        <w:tc>
          <w:tcPr>
            <w:tcW w:w="708" w:type="dxa"/>
            <w:vMerge w:val="continue"/>
            <w:tcBorders>
              <w:top w:val="nil"/>
              <w:bottom w:val="nil"/>
            </w:tcBorders>
            <w:vAlign w:val="top"/>
          </w:tcPr>
          <w:p w14:paraId="0A33E2E4">
            <w:pPr>
              <w:rPr>
                <w:rFonts w:ascii="Arial"/>
                <w:sz w:val="21"/>
              </w:rPr>
            </w:pPr>
          </w:p>
        </w:tc>
        <w:tc>
          <w:tcPr>
            <w:tcW w:w="736" w:type="dxa"/>
            <w:vMerge w:val="continue"/>
            <w:tcBorders>
              <w:top w:val="nil"/>
              <w:bottom w:val="nil"/>
            </w:tcBorders>
            <w:vAlign w:val="top"/>
          </w:tcPr>
          <w:p w14:paraId="6EE97840">
            <w:pPr>
              <w:rPr>
                <w:rFonts w:ascii="Arial"/>
                <w:sz w:val="21"/>
              </w:rPr>
            </w:pPr>
          </w:p>
        </w:tc>
        <w:tc>
          <w:tcPr>
            <w:tcW w:w="849" w:type="dxa"/>
            <w:vAlign w:val="top"/>
          </w:tcPr>
          <w:p w14:paraId="6812EDF6">
            <w:pPr>
              <w:pStyle w:val="6"/>
              <w:spacing w:before="161" w:line="220" w:lineRule="auto"/>
              <w:ind w:left="154"/>
              <w:rPr>
                <w:sz w:val="18"/>
                <w:szCs w:val="18"/>
              </w:rPr>
            </w:pPr>
            <w:r>
              <w:rPr>
                <w:spacing w:val="-3"/>
                <w:sz w:val="18"/>
                <w:szCs w:val="18"/>
              </w:rPr>
              <w:t>有组织</w:t>
            </w:r>
          </w:p>
        </w:tc>
        <w:tc>
          <w:tcPr>
            <w:tcW w:w="1174" w:type="dxa"/>
            <w:vMerge w:val="restart"/>
            <w:tcBorders>
              <w:bottom w:val="nil"/>
            </w:tcBorders>
            <w:vAlign w:val="top"/>
          </w:tcPr>
          <w:p w14:paraId="57121287">
            <w:pPr>
              <w:pStyle w:val="6"/>
              <w:spacing w:before="248" w:line="219" w:lineRule="auto"/>
              <w:ind w:left="137"/>
              <w:rPr>
                <w:sz w:val="18"/>
                <w:szCs w:val="18"/>
              </w:rPr>
            </w:pPr>
            <w:r>
              <w:rPr>
                <w:spacing w:val="-2"/>
                <w:sz w:val="18"/>
                <w:szCs w:val="18"/>
              </w:rPr>
              <w:t>氟化氢（以</w:t>
            </w:r>
          </w:p>
          <w:p w14:paraId="1741A1C4">
            <w:pPr>
              <w:pStyle w:val="6"/>
              <w:spacing w:before="19"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383E9593">
            <w:pPr>
              <w:rPr>
                <w:rFonts w:ascii="Arial"/>
                <w:sz w:val="21"/>
              </w:rPr>
            </w:pPr>
          </w:p>
        </w:tc>
        <w:tc>
          <w:tcPr>
            <w:tcW w:w="1087" w:type="dxa"/>
            <w:vAlign w:val="top"/>
          </w:tcPr>
          <w:p w14:paraId="157AC897">
            <w:pPr>
              <w:spacing w:before="190"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36AF92A3">
            <w:pPr>
              <w:spacing w:before="190"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29.93</w:t>
            </w:r>
          </w:p>
        </w:tc>
        <w:tc>
          <w:tcPr>
            <w:tcW w:w="761" w:type="dxa"/>
            <w:vAlign w:val="top"/>
          </w:tcPr>
          <w:p w14:paraId="24548A4B">
            <w:pPr>
              <w:spacing w:before="190"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0.5985</w:t>
            </w:r>
          </w:p>
        </w:tc>
        <w:tc>
          <w:tcPr>
            <w:tcW w:w="674" w:type="dxa"/>
            <w:vAlign w:val="top"/>
          </w:tcPr>
          <w:p w14:paraId="55292523">
            <w:pPr>
              <w:pStyle w:val="6"/>
              <w:spacing w:before="44" w:line="221" w:lineRule="auto"/>
              <w:ind w:left="73"/>
              <w:rPr>
                <w:sz w:val="18"/>
                <w:szCs w:val="18"/>
              </w:rPr>
            </w:pPr>
            <w:r>
              <w:rPr>
                <w:spacing w:val="-3"/>
                <w:sz w:val="18"/>
                <w:szCs w:val="18"/>
              </w:rPr>
              <w:t>三级碱</w:t>
            </w:r>
          </w:p>
          <w:p w14:paraId="45413514">
            <w:pPr>
              <w:pStyle w:val="6"/>
              <w:spacing w:before="17" w:line="195" w:lineRule="auto"/>
              <w:ind w:left="74"/>
              <w:rPr>
                <w:sz w:val="18"/>
                <w:szCs w:val="18"/>
              </w:rPr>
            </w:pPr>
            <w:r>
              <w:rPr>
                <w:spacing w:val="-3"/>
                <w:sz w:val="18"/>
                <w:szCs w:val="18"/>
              </w:rPr>
              <w:t>液喷淋</w:t>
            </w:r>
          </w:p>
        </w:tc>
        <w:tc>
          <w:tcPr>
            <w:tcW w:w="538" w:type="dxa"/>
            <w:vAlign w:val="top"/>
          </w:tcPr>
          <w:p w14:paraId="566C6018">
            <w:pPr>
              <w:spacing w:before="190"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302C1F40">
            <w:pPr>
              <w:rPr>
                <w:rFonts w:ascii="Arial"/>
                <w:sz w:val="21"/>
              </w:rPr>
            </w:pPr>
          </w:p>
        </w:tc>
        <w:tc>
          <w:tcPr>
            <w:tcW w:w="1012" w:type="dxa"/>
            <w:vAlign w:val="top"/>
          </w:tcPr>
          <w:p w14:paraId="5C7115DD">
            <w:pPr>
              <w:spacing w:before="190"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4884569B">
            <w:pPr>
              <w:spacing w:before="190"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36" w:type="dxa"/>
            <w:vAlign w:val="top"/>
          </w:tcPr>
          <w:p w14:paraId="3DB5D638">
            <w:pPr>
              <w:spacing w:before="190"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0.0958</w:t>
            </w:r>
          </w:p>
        </w:tc>
        <w:tc>
          <w:tcPr>
            <w:tcW w:w="749" w:type="dxa"/>
            <w:vAlign w:val="top"/>
          </w:tcPr>
          <w:p w14:paraId="26768763">
            <w:pPr>
              <w:spacing w:before="190"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DA012</w:t>
            </w:r>
          </w:p>
        </w:tc>
        <w:tc>
          <w:tcPr>
            <w:tcW w:w="600" w:type="dxa"/>
            <w:vAlign w:val="top"/>
          </w:tcPr>
          <w:p w14:paraId="5501059E">
            <w:pPr>
              <w:spacing w:before="19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EA49C49">
            <w:pPr>
              <w:rPr>
                <w:rFonts w:ascii="Arial"/>
                <w:sz w:val="21"/>
              </w:rPr>
            </w:pPr>
          </w:p>
        </w:tc>
      </w:tr>
      <w:tr w14:paraId="1D39A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020E4848">
            <w:pPr>
              <w:rPr>
                <w:rFonts w:ascii="Arial"/>
                <w:sz w:val="21"/>
              </w:rPr>
            </w:pPr>
          </w:p>
        </w:tc>
        <w:tc>
          <w:tcPr>
            <w:tcW w:w="111" w:type="dxa"/>
            <w:tcBorders>
              <w:top w:val="nil"/>
              <w:bottom w:val="nil"/>
            </w:tcBorders>
            <w:vAlign w:val="top"/>
          </w:tcPr>
          <w:p w14:paraId="77541804">
            <w:pPr>
              <w:rPr>
                <w:rFonts w:ascii="Arial"/>
                <w:sz w:val="21"/>
              </w:rPr>
            </w:pPr>
          </w:p>
        </w:tc>
        <w:tc>
          <w:tcPr>
            <w:tcW w:w="708" w:type="dxa"/>
            <w:vMerge w:val="continue"/>
            <w:tcBorders>
              <w:top w:val="nil"/>
              <w:bottom w:val="nil"/>
            </w:tcBorders>
            <w:vAlign w:val="top"/>
          </w:tcPr>
          <w:p w14:paraId="4A35152E">
            <w:pPr>
              <w:rPr>
                <w:rFonts w:ascii="Arial"/>
                <w:sz w:val="21"/>
              </w:rPr>
            </w:pPr>
          </w:p>
        </w:tc>
        <w:tc>
          <w:tcPr>
            <w:tcW w:w="736" w:type="dxa"/>
            <w:vMerge w:val="continue"/>
            <w:tcBorders>
              <w:top w:val="nil"/>
              <w:bottom w:val="nil"/>
            </w:tcBorders>
            <w:vAlign w:val="top"/>
          </w:tcPr>
          <w:p w14:paraId="5BEB401B">
            <w:pPr>
              <w:rPr>
                <w:rFonts w:ascii="Arial"/>
                <w:sz w:val="21"/>
              </w:rPr>
            </w:pPr>
          </w:p>
        </w:tc>
        <w:tc>
          <w:tcPr>
            <w:tcW w:w="849" w:type="dxa"/>
            <w:vAlign w:val="top"/>
          </w:tcPr>
          <w:p w14:paraId="4146E154">
            <w:pPr>
              <w:pStyle w:val="6"/>
              <w:spacing w:before="121" w:line="220" w:lineRule="auto"/>
              <w:ind w:left="154"/>
              <w:rPr>
                <w:sz w:val="18"/>
                <w:szCs w:val="18"/>
              </w:rPr>
            </w:pPr>
            <w:r>
              <w:rPr>
                <w:spacing w:val="-3"/>
                <w:sz w:val="18"/>
                <w:szCs w:val="18"/>
              </w:rPr>
              <w:t>无组织</w:t>
            </w:r>
          </w:p>
        </w:tc>
        <w:tc>
          <w:tcPr>
            <w:tcW w:w="1174" w:type="dxa"/>
            <w:vMerge w:val="continue"/>
            <w:tcBorders>
              <w:top w:val="nil"/>
            </w:tcBorders>
            <w:vAlign w:val="top"/>
          </w:tcPr>
          <w:p w14:paraId="65FFB353">
            <w:pPr>
              <w:rPr>
                <w:rFonts w:ascii="Arial"/>
                <w:sz w:val="21"/>
              </w:rPr>
            </w:pPr>
          </w:p>
        </w:tc>
        <w:tc>
          <w:tcPr>
            <w:tcW w:w="674" w:type="dxa"/>
            <w:vMerge w:val="continue"/>
            <w:tcBorders>
              <w:top w:val="nil"/>
              <w:bottom w:val="nil"/>
            </w:tcBorders>
            <w:vAlign w:val="top"/>
          </w:tcPr>
          <w:p w14:paraId="1CB6D8C5">
            <w:pPr>
              <w:rPr>
                <w:rFonts w:ascii="Arial"/>
                <w:sz w:val="21"/>
              </w:rPr>
            </w:pPr>
          </w:p>
        </w:tc>
        <w:tc>
          <w:tcPr>
            <w:tcW w:w="1087" w:type="dxa"/>
            <w:vAlign w:val="top"/>
          </w:tcPr>
          <w:p w14:paraId="4DE78DEE">
            <w:pPr>
              <w:spacing w:before="148"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49263344">
            <w:pPr>
              <w:spacing w:before="148"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67790E7">
            <w:pPr>
              <w:spacing w:before="15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674" w:type="dxa"/>
            <w:vAlign w:val="top"/>
          </w:tcPr>
          <w:p w14:paraId="7911F13F">
            <w:pPr>
              <w:spacing w:before="148"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6A6DD016">
            <w:pPr>
              <w:spacing w:before="148"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69146A8E">
            <w:pPr>
              <w:rPr>
                <w:rFonts w:ascii="Arial"/>
                <w:sz w:val="21"/>
              </w:rPr>
            </w:pPr>
          </w:p>
        </w:tc>
        <w:tc>
          <w:tcPr>
            <w:tcW w:w="1012" w:type="dxa"/>
            <w:vAlign w:val="top"/>
          </w:tcPr>
          <w:p w14:paraId="4805CA91">
            <w:pPr>
              <w:spacing w:before="148"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50292520">
            <w:pPr>
              <w:spacing w:before="148"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3C118CE5">
            <w:pPr>
              <w:spacing w:before="15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749" w:type="dxa"/>
            <w:vAlign w:val="top"/>
          </w:tcPr>
          <w:p w14:paraId="1A56B4C0">
            <w:pPr>
              <w:spacing w:before="148"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5F466132">
            <w:pPr>
              <w:spacing w:before="15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983C943">
            <w:pPr>
              <w:rPr>
                <w:rFonts w:ascii="Arial"/>
                <w:sz w:val="21"/>
              </w:rPr>
            </w:pPr>
          </w:p>
        </w:tc>
      </w:tr>
      <w:tr w14:paraId="4C763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5AA8C584">
            <w:pPr>
              <w:rPr>
                <w:rFonts w:ascii="Arial"/>
                <w:sz w:val="21"/>
              </w:rPr>
            </w:pPr>
          </w:p>
        </w:tc>
        <w:tc>
          <w:tcPr>
            <w:tcW w:w="111" w:type="dxa"/>
            <w:tcBorders>
              <w:top w:val="nil"/>
              <w:bottom w:val="nil"/>
            </w:tcBorders>
            <w:vAlign w:val="top"/>
          </w:tcPr>
          <w:p w14:paraId="61B6D9AD">
            <w:pPr>
              <w:rPr>
                <w:rFonts w:ascii="Arial"/>
                <w:sz w:val="21"/>
              </w:rPr>
            </w:pPr>
          </w:p>
        </w:tc>
        <w:tc>
          <w:tcPr>
            <w:tcW w:w="708" w:type="dxa"/>
            <w:vMerge w:val="continue"/>
            <w:tcBorders>
              <w:top w:val="nil"/>
              <w:bottom w:val="nil"/>
            </w:tcBorders>
            <w:vAlign w:val="top"/>
          </w:tcPr>
          <w:p w14:paraId="7996854E">
            <w:pPr>
              <w:rPr>
                <w:rFonts w:ascii="Arial"/>
                <w:sz w:val="21"/>
              </w:rPr>
            </w:pPr>
          </w:p>
        </w:tc>
        <w:tc>
          <w:tcPr>
            <w:tcW w:w="736" w:type="dxa"/>
            <w:vMerge w:val="continue"/>
            <w:tcBorders>
              <w:top w:val="nil"/>
              <w:bottom w:val="nil"/>
            </w:tcBorders>
            <w:vAlign w:val="top"/>
          </w:tcPr>
          <w:p w14:paraId="2E8D93A3">
            <w:pPr>
              <w:rPr>
                <w:rFonts w:ascii="Arial"/>
                <w:sz w:val="21"/>
              </w:rPr>
            </w:pPr>
          </w:p>
        </w:tc>
        <w:tc>
          <w:tcPr>
            <w:tcW w:w="849" w:type="dxa"/>
            <w:vAlign w:val="top"/>
          </w:tcPr>
          <w:p w14:paraId="187916AC">
            <w:pPr>
              <w:pStyle w:val="6"/>
              <w:spacing w:before="160" w:line="220" w:lineRule="auto"/>
              <w:ind w:left="154"/>
              <w:rPr>
                <w:sz w:val="18"/>
                <w:szCs w:val="18"/>
              </w:rPr>
            </w:pPr>
            <w:r>
              <w:rPr>
                <w:spacing w:val="-3"/>
                <w:sz w:val="18"/>
                <w:szCs w:val="18"/>
              </w:rPr>
              <w:t>有组织</w:t>
            </w:r>
          </w:p>
        </w:tc>
        <w:tc>
          <w:tcPr>
            <w:tcW w:w="1174" w:type="dxa"/>
            <w:vMerge w:val="restart"/>
            <w:tcBorders>
              <w:bottom w:val="nil"/>
            </w:tcBorders>
            <w:vAlign w:val="top"/>
          </w:tcPr>
          <w:p w14:paraId="1D6038B3">
            <w:pPr>
              <w:spacing w:line="301" w:lineRule="auto"/>
              <w:rPr>
                <w:rFonts w:ascii="Arial"/>
                <w:sz w:val="21"/>
              </w:rPr>
            </w:pPr>
          </w:p>
          <w:p w14:paraId="3E5D1E2A">
            <w:pPr>
              <w:pStyle w:val="6"/>
              <w:spacing w:before="59" w:line="221" w:lineRule="auto"/>
              <w:ind w:left="407"/>
              <w:rPr>
                <w:sz w:val="18"/>
                <w:szCs w:val="18"/>
              </w:rPr>
            </w:pPr>
            <w:r>
              <w:rPr>
                <w:spacing w:val="-4"/>
                <w:sz w:val="18"/>
                <w:szCs w:val="18"/>
              </w:rPr>
              <w:t>硫酸</w:t>
            </w:r>
          </w:p>
        </w:tc>
        <w:tc>
          <w:tcPr>
            <w:tcW w:w="674" w:type="dxa"/>
            <w:vMerge w:val="continue"/>
            <w:tcBorders>
              <w:top w:val="nil"/>
              <w:bottom w:val="nil"/>
            </w:tcBorders>
            <w:vAlign w:val="top"/>
          </w:tcPr>
          <w:p w14:paraId="7FE2B59D">
            <w:pPr>
              <w:rPr>
                <w:rFonts w:ascii="Arial"/>
                <w:sz w:val="21"/>
              </w:rPr>
            </w:pPr>
          </w:p>
        </w:tc>
        <w:tc>
          <w:tcPr>
            <w:tcW w:w="1087" w:type="dxa"/>
            <w:vAlign w:val="top"/>
          </w:tcPr>
          <w:p w14:paraId="5E9E026C">
            <w:pPr>
              <w:spacing w:before="189"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61308B11">
            <w:pPr>
              <w:spacing w:before="189"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w:t>
            </w:r>
          </w:p>
        </w:tc>
        <w:tc>
          <w:tcPr>
            <w:tcW w:w="761" w:type="dxa"/>
            <w:vAlign w:val="top"/>
          </w:tcPr>
          <w:p w14:paraId="704B93EF">
            <w:pPr>
              <w:spacing w:before="189"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0.0869</w:t>
            </w:r>
          </w:p>
        </w:tc>
        <w:tc>
          <w:tcPr>
            <w:tcW w:w="674" w:type="dxa"/>
            <w:vAlign w:val="top"/>
          </w:tcPr>
          <w:p w14:paraId="4B1A3859">
            <w:pPr>
              <w:pStyle w:val="6"/>
              <w:spacing w:before="45" w:line="221" w:lineRule="auto"/>
              <w:ind w:left="73"/>
              <w:rPr>
                <w:sz w:val="18"/>
                <w:szCs w:val="18"/>
              </w:rPr>
            </w:pPr>
            <w:r>
              <w:rPr>
                <w:spacing w:val="-3"/>
                <w:sz w:val="18"/>
                <w:szCs w:val="18"/>
              </w:rPr>
              <w:t>三级碱</w:t>
            </w:r>
          </w:p>
          <w:p w14:paraId="348CFCE0">
            <w:pPr>
              <w:pStyle w:val="6"/>
              <w:spacing w:before="16" w:line="193" w:lineRule="auto"/>
              <w:ind w:left="74"/>
              <w:rPr>
                <w:sz w:val="18"/>
                <w:szCs w:val="18"/>
              </w:rPr>
            </w:pPr>
            <w:r>
              <w:rPr>
                <w:spacing w:val="-3"/>
                <w:sz w:val="18"/>
                <w:szCs w:val="18"/>
              </w:rPr>
              <w:t>液喷淋</w:t>
            </w:r>
          </w:p>
        </w:tc>
        <w:tc>
          <w:tcPr>
            <w:tcW w:w="538" w:type="dxa"/>
            <w:vAlign w:val="top"/>
          </w:tcPr>
          <w:p w14:paraId="62EE606F">
            <w:pPr>
              <w:spacing w:before="189"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continue"/>
            <w:tcBorders>
              <w:top w:val="nil"/>
              <w:bottom w:val="nil"/>
            </w:tcBorders>
            <w:vAlign w:val="top"/>
          </w:tcPr>
          <w:p w14:paraId="09EF2393">
            <w:pPr>
              <w:rPr>
                <w:rFonts w:ascii="Arial"/>
                <w:sz w:val="21"/>
              </w:rPr>
            </w:pPr>
          </w:p>
        </w:tc>
        <w:tc>
          <w:tcPr>
            <w:tcW w:w="1012" w:type="dxa"/>
            <w:vAlign w:val="top"/>
          </w:tcPr>
          <w:p w14:paraId="03210E15">
            <w:pPr>
              <w:spacing w:before="189"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2EAD0395">
            <w:pPr>
              <w:spacing w:before="189"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736" w:type="dxa"/>
            <w:vAlign w:val="top"/>
          </w:tcPr>
          <w:p w14:paraId="48E9DC15">
            <w:pPr>
              <w:spacing w:before="189"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0.0104</w:t>
            </w:r>
          </w:p>
        </w:tc>
        <w:tc>
          <w:tcPr>
            <w:tcW w:w="749" w:type="dxa"/>
            <w:vAlign w:val="top"/>
          </w:tcPr>
          <w:p w14:paraId="3C992C3B">
            <w:pPr>
              <w:spacing w:before="189"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DA012</w:t>
            </w:r>
          </w:p>
        </w:tc>
        <w:tc>
          <w:tcPr>
            <w:tcW w:w="600" w:type="dxa"/>
            <w:vAlign w:val="top"/>
          </w:tcPr>
          <w:p w14:paraId="58D046C7">
            <w:pPr>
              <w:spacing w:before="189"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95A4F0F">
            <w:pPr>
              <w:rPr>
                <w:rFonts w:ascii="Arial"/>
                <w:sz w:val="21"/>
              </w:rPr>
            </w:pPr>
          </w:p>
        </w:tc>
      </w:tr>
      <w:tr w14:paraId="55D7C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2F838AAB">
            <w:pPr>
              <w:rPr>
                <w:rFonts w:ascii="Arial"/>
                <w:sz w:val="21"/>
              </w:rPr>
            </w:pPr>
          </w:p>
        </w:tc>
        <w:tc>
          <w:tcPr>
            <w:tcW w:w="111" w:type="dxa"/>
            <w:tcBorders>
              <w:top w:val="nil"/>
              <w:bottom w:val="nil"/>
            </w:tcBorders>
            <w:vAlign w:val="top"/>
          </w:tcPr>
          <w:p w14:paraId="70F72D09">
            <w:pPr>
              <w:rPr>
                <w:rFonts w:ascii="Arial"/>
                <w:sz w:val="21"/>
              </w:rPr>
            </w:pPr>
          </w:p>
        </w:tc>
        <w:tc>
          <w:tcPr>
            <w:tcW w:w="708" w:type="dxa"/>
            <w:vMerge w:val="continue"/>
            <w:tcBorders>
              <w:top w:val="nil"/>
              <w:bottom w:val="nil"/>
            </w:tcBorders>
            <w:vAlign w:val="top"/>
          </w:tcPr>
          <w:p w14:paraId="73DF5C79">
            <w:pPr>
              <w:rPr>
                <w:rFonts w:ascii="Arial"/>
                <w:sz w:val="21"/>
              </w:rPr>
            </w:pPr>
          </w:p>
        </w:tc>
        <w:tc>
          <w:tcPr>
            <w:tcW w:w="736" w:type="dxa"/>
            <w:vMerge w:val="continue"/>
            <w:tcBorders>
              <w:top w:val="nil"/>
              <w:bottom w:val="nil"/>
            </w:tcBorders>
            <w:vAlign w:val="top"/>
          </w:tcPr>
          <w:p w14:paraId="5FB2774F">
            <w:pPr>
              <w:rPr>
                <w:rFonts w:ascii="Arial"/>
                <w:sz w:val="21"/>
              </w:rPr>
            </w:pPr>
          </w:p>
        </w:tc>
        <w:tc>
          <w:tcPr>
            <w:tcW w:w="849" w:type="dxa"/>
            <w:vAlign w:val="top"/>
          </w:tcPr>
          <w:p w14:paraId="0C0A5203">
            <w:pPr>
              <w:pStyle w:val="6"/>
              <w:spacing w:before="121" w:line="220" w:lineRule="auto"/>
              <w:ind w:left="154"/>
              <w:rPr>
                <w:sz w:val="18"/>
                <w:szCs w:val="18"/>
              </w:rPr>
            </w:pPr>
            <w:r>
              <w:rPr>
                <w:spacing w:val="-3"/>
                <w:sz w:val="18"/>
                <w:szCs w:val="18"/>
              </w:rPr>
              <w:t>无组织</w:t>
            </w:r>
          </w:p>
        </w:tc>
        <w:tc>
          <w:tcPr>
            <w:tcW w:w="1174" w:type="dxa"/>
            <w:vMerge w:val="continue"/>
            <w:tcBorders>
              <w:top w:val="nil"/>
            </w:tcBorders>
            <w:vAlign w:val="top"/>
          </w:tcPr>
          <w:p w14:paraId="36D491FF">
            <w:pPr>
              <w:rPr>
                <w:rFonts w:ascii="Arial"/>
                <w:sz w:val="21"/>
              </w:rPr>
            </w:pPr>
          </w:p>
        </w:tc>
        <w:tc>
          <w:tcPr>
            <w:tcW w:w="674" w:type="dxa"/>
            <w:vMerge w:val="continue"/>
            <w:tcBorders>
              <w:top w:val="nil"/>
              <w:bottom w:val="nil"/>
            </w:tcBorders>
            <w:vAlign w:val="top"/>
          </w:tcPr>
          <w:p w14:paraId="6855F664">
            <w:pPr>
              <w:rPr>
                <w:rFonts w:ascii="Arial"/>
                <w:sz w:val="21"/>
              </w:rPr>
            </w:pPr>
          </w:p>
        </w:tc>
        <w:tc>
          <w:tcPr>
            <w:tcW w:w="1087" w:type="dxa"/>
            <w:vAlign w:val="top"/>
          </w:tcPr>
          <w:p w14:paraId="77741EEA">
            <w:pPr>
              <w:spacing w:before="149"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08B64C30">
            <w:pPr>
              <w:spacing w:before="149"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4B752A0A">
            <w:pPr>
              <w:spacing w:before="15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674" w:type="dxa"/>
            <w:vAlign w:val="top"/>
          </w:tcPr>
          <w:p w14:paraId="3DA81362">
            <w:pPr>
              <w:spacing w:before="149"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282FDB28">
            <w:pPr>
              <w:spacing w:before="149"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227B9EBF">
            <w:pPr>
              <w:rPr>
                <w:rFonts w:ascii="Arial"/>
                <w:sz w:val="21"/>
              </w:rPr>
            </w:pPr>
          </w:p>
        </w:tc>
        <w:tc>
          <w:tcPr>
            <w:tcW w:w="1012" w:type="dxa"/>
            <w:vAlign w:val="top"/>
          </w:tcPr>
          <w:p w14:paraId="237F3FA4">
            <w:pPr>
              <w:spacing w:before="149"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6BA04925">
            <w:pPr>
              <w:spacing w:before="149"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12E15CFD">
            <w:pPr>
              <w:spacing w:before="15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749" w:type="dxa"/>
            <w:vAlign w:val="top"/>
          </w:tcPr>
          <w:p w14:paraId="20454BB3">
            <w:pPr>
              <w:spacing w:before="149"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7FAD29A3">
            <w:pPr>
              <w:spacing w:before="15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3E5EF28">
            <w:pPr>
              <w:rPr>
                <w:rFonts w:ascii="Arial"/>
                <w:sz w:val="21"/>
              </w:rPr>
            </w:pPr>
          </w:p>
        </w:tc>
      </w:tr>
      <w:tr w14:paraId="14093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151C5544">
            <w:pPr>
              <w:rPr>
                <w:rFonts w:ascii="Arial"/>
                <w:sz w:val="21"/>
              </w:rPr>
            </w:pPr>
          </w:p>
        </w:tc>
        <w:tc>
          <w:tcPr>
            <w:tcW w:w="111" w:type="dxa"/>
            <w:tcBorders>
              <w:top w:val="nil"/>
              <w:bottom w:val="nil"/>
            </w:tcBorders>
            <w:vAlign w:val="top"/>
          </w:tcPr>
          <w:p w14:paraId="23C10E78">
            <w:pPr>
              <w:rPr>
                <w:rFonts w:ascii="Arial"/>
                <w:sz w:val="21"/>
              </w:rPr>
            </w:pPr>
          </w:p>
        </w:tc>
        <w:tc>
          <w:tcPr>
            <w:tcW w:w="708" w:type="dxa"/>
            <w:vMerge w:val="continue"/>
            <w:tcBorders>
              <w:top w:val="nil"/>
              <w:bottom w:val="nil"/>
            </w:tcBorders>
            <w:vAlign w:val="top"/>
          </w:tcPr>
          <w:p w14:paraId="2115EF05">
            <w:pPr>
              <w:rPr>
                <w:rFonts w:ascii="Arial"/>
                <w:sz w:val="21"/>
              </w:rPr>
            </w:pPr>
          </w:p>
        </w:tc>
        <w:tc>
          <w:tcPr>
            <w:tcW w:w="736" w:type="dxa"/>
            <w:vMerge w:val="continue"/>
            <w:tcBorders>
              <w:top w:val="nil"/>
              <w:bottom w:val="nil"/>
            </w:tcBorders>
            <w:vAlign w:val="top"/>
          </w:tcPr>
          <w:p w14:paraId="1D9B7C48">
            <w:pPr>
              <w:rPr>
                <w:rFonts w:ascii="Arial"/>
                <w:sz w:val="21"/>
              </w:rPr>
            </w:pPr>
          </w:p>
        </w:tc>
        <w:tc>
          <w:tcPr>
            <w:tcW w:w="849" w:type="dxa"/>
            <w:vAlign w:val="top"/>
          </w:tcPr>
          <w:p w14:paraId="29041292">
            <w:pPr>
              <w:pStyle w:val="6"/>
              <w:spacing w:before="160" w:line="220" w:lineRule="auto"/>
              <w:ind w:left="154"/>
              <w:rPr>
                <w:sz w:val="18"/>
                <w:szCs w:val="18"/>
              </w:rPr>
            </w:pPr>
            <w:r>
              <w:rPr>
                <w:spacing w:val="-3"/>
                <w:sz w:val="18"/>
                <w:szCs w:val="18"/>
              </w:rPr>
              <w:t>有组织</w:t>
            </w:r>
          </w:p>
        </w:tc>
        <w:tc>
          <w:tcPr>
            <w:tcW w:w="1174" w:type="dxa"/>
            <w:vMerge w:val="restart"/>
            <w:tcBorders>
              <w:bottom w:val="nil"/>
            </w:tcBorders>
            <w:vAlign w:val="top"/>
          </w:tcPr>
          <w:p w14:paraId="22A668E4">
            <w:pPr>
              <w:pStyle w:val="6"/>
              <w:spacing w:before="246" w:line="221" w:lineRule="auto"/>
              <w:ind w:left="138"/>
              <w:rPr>
                <w:sz w:val="18"/>
                <w:szCs w:val="18"/>
              </w:rPr>
            </w:pPr>
            <w:r>
              <w:rPr>
                <w:spacing w:val="-2"/>
                <w:sz w:val="18"/>
                <w:szCs w:val="18"/>
              </w:rPr>
              <w:t>硝酸雾（以</w:t>
            </w:r>
          </w:p>
          <w:p w14:paraId="351CE40F">
            <w:pPr>
              <w:pStyle w:val="6"/>
              <w:spacing w:before="17"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02600447">
            <w:pPr>
              <w:rPr>
                <w:rFonts w:ascii="Arial"/>
                <w:sz w:val="21"/>
              </w:rPr>
            </w:pPr>
          </w:p>
        </w:tc>
        <w:tc>
          <w:tcPr>
            <w:tcW w:w="1087" w:type="dxa"/>
            <w:vAlign w:val="top"/>
          </w:tcPr>
          <w:p w14:paraId="32B1534F">
            <w:pPr>
              <w:spacing w:before="189"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2EE415E2">
            <w:pPr>
              <w:spacing w:before="189"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21.84</w:t>
            </w:r>
          </w:p>
        </w:tc>
        <w:tc>
          <w:tcPr>
            <w:tcW w:w="761" w:type="dxa"/>
            <w:vAlign w:val="top"/>
          </w:tcPr>
          <w:p w14:paraId="28416D46">
            <w:pPr>
              <w:spacing w:before="189"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0.4369</w:t>
            </w:r>
          </w:p>
        </w:tc>
        <w:tc>
          <w:tcPr>
            <w:tcW w:w="674" w:type="dxa"/>
            <w:vAlign w:val="top"/>
          </w:tcPr>
          <w:p w14:paraId="7F301FC8">
            <w:pPr>
              <w:pStyle w:val="6"/>
              <w:spacing w:before="43" w:line="221" w:lineRule="auto"/>
              <w:ind w:left="73"/>
              <w:rPr>
                <w:sz w:val="18"/>
                <w:szCs w:val="18"/>
              </w:rPr>
            </w:pPr>
            <w:r>
              <w:rPr>
                <w:spacing w:val="-3"/>
                <w:sz w:val="18"/>
                <w:szCs w:val="18"/>
              </w:rPr>
              <w:t>三级碱</w:t>
            </w:r>
          </w:p>
          <w:p w14:paraId="07FE9257">
            <w:pPr>
              <w:pStyle w:val="6"/>
              <w:spacing w:before="19" w:line="185" w:lineRule="auto"/>
              <w:ind w:left="74"/>
              <w:rPr>
                <w:sz w:val="18"/>
                <w:szCs w:val="18"/>
              </w:rPr>
            </w:pPr>
            <w:r>
              <w:rPr>
                <w:spacing w:val="-3"/>
                <w:sz w:val="18"/>
                <w:szCs w:val="18"/>
              </w:rPr>
              <w:t>液喷淋</w:t>
            </w:r>
          </w:p>
        </w:tc>
        <w:tc>
          <w:tcPr>
            <w:tcW w:w="538" w:type="dxa"/>
            <w:vAlign w:val="top"/>
          </w:tcPr>
          <w:p w14:paraId="75C7FDBC">
            <w:pPr>
              <w:spacing w:before="189"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68ABFA05">
            <w:pPr>
              <w:rPr>
                <w:rFonts w:ascii="Arial"/>
                <w:sz w:val="21"/>
              </w:rPr>
            </w:pPr>
          </w:p>
        </w:tc>
        <w:tc>
          <w:tcPr>
            <w:tcW w:w="1012" w:type="dxa"/>
            <w:vAlign w:val="top"/>
          </w:tcPr>
          <w:p w14:paraId="1421B93A">
            <w:pPr>
              <w:spacing w:before="189"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30B7100D">
            <w:pPr>
              <w:spacing w:before="189"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736" w:type="dxa"/>
            <w:vAlign w:val="top"/>
          </w:tcPr>
          <w:p w14:paraId="3BA31784">
            <w:pPr>
              <w:spacing w:before="189"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0.0655</w:t>
            </w:r>
          </w:p>
        </w:tc>
        <w:tc>
          <w:tcPr>
            <w:tcW w:w="749" w:type="dxa"/>
            <w:vAlign w:val="top"/>
          </w:tcPr>
          <w:p w14:paraId="0CF2BDE9">
            <w:pPr>
              <w:spacing w:before="189" w:line="188" w:lineRule="auto"/>
              <w:ind w:left="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DA0126</w:t>
            </w:r>
          </w:p>
        </w:tc>
        <w:tc>
          <w:tcPr>
            <w:tcW w:w="600" w:type="dxa"/>
            <w:vAlign w:val="top"/>
          </w:tcPr>
          <w:p w14:paraId="7D8E0D5C">
            <w:pPr>
              <w:spacing w:before="189"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0412CAE5">
            <w:pPr>
              <w:rPr>
                <w:rFonts w:ascii="Arial"/>
                <w:sz w:val="21"/>
              </w:rPr>
            </w:pPr>
          </w:p>
        </w:tc>
      </w:tr>
      <w:tr w14:paraId="5C9C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55" w:type="dxa"/>
            <w:vMerge w:val="continue"/>
            <w:tcBorders>
              <w:top w:val="nil"/>
              <w:left w:val="single" w:color="000000" w:sz="6" w:space="0"/>
              <w:bottom w:val="single" w:color="000000" w:sz="6" w:space="0"/>
            </w:tcBorders>
            <w:vAlign w:val="top"/>
          </w:tcPr>
          <w:p w14:paraId="463D2C08">
            <w:pPr>
              <w:rPr>
                <w:rFonts w:ascii="Arial"/>
                <w:sz w:val="21"/>
              </w:rPr>
            </w:pPr>
          </w:p>
        </w:tc>
        <w:tc>
          <w:tcPr>
            <w:tcW w:w="111" w:type="dxa"/>
            <w:tcBorders>
              <w:top w:val="nil"/>
              <w:bottom w:val="single" w:color="000000" w:sz="6" w:space="0"/>
            </w:tcBorders>
            <w:vAlign w:val="top"/>
          </w:tcPr>
          <w:p w14:paraId="7A1E4ACF">
            <w:pPr>
              <w:rPr>
                <w:rFonts w:ascii="Arial"/>
                <w:sz w:val="21"/>
              </w:rPr>
            </w:pPr>
          </w:p>
        </w:tc>
        <w:tc>
          <w:tcPr>
            <w:tcW w:w="708" w:type="dxa"/>
            <w:vMerge w:val="continue"/>
            <w:tcBorders>
              <w:top w:val="nil"/>
              <w:bottom w:val="single" w:color="000000" w:sz="6" w:space="0"/>
            </w:tcBorders>
            <w:vAlign w:val="top"/>
          </w:tcPr>
          <w:p w14:paraId="2B83830B">
            <w:pPr>
              <w:rPr>
                <w:rFonts w:ascii="Arial"/>
                <w:sz w:val="21"/>
              </w:rPr>
            </w:pPr>
          </w:p>
        </w:tc>
        <w:tc>
          <w:tcPr>
            <w:tcW w:w="736" w:type="dxa"/>
            <w:vMerge w:val="continue"/>
            <w:tcBorders>
              <w:top w:val="nil"/>
              <w:bottom w:val="single" w:color="000000" w:sz="6" w:space="0"/>
            </w:tcBorders>
            <w:vAlign w:val="top"/>
          </w:tcPr>
          <w:p w14:paraId="21DA8616">
            <w:pPr>
              <w:rPr>
                <w:rFonts w:ascii="Arial"/>
                <w:sz w:val="21"/>
              </w:rPr>
            </w:pPr>
          </w:p>
        </w:tc>
        <w:tc>
          <w:tcPr>
            <w:tcW w:w="849" w:type="dxa"/>
            <w:tcBorders>
              <w:bottom w:val="single" w:color="000000" w:sz="6" w:space="0"/>
            </w:tcBorders>
            <w:vAlign w:val="top"/>
          </w:tcPr>
          <w:p w14:paraId="027BA587">
            <w:pPr>
              <w:pStyle w:val="6"/>
              <w:spacing w:before="128" w:line="220" w:lineRule="auto"/>
              <w:ind w:left="154"/>
              <w:rPr>
                <w:sz w:val="18"/>
                <w:szCs w:val="18"/>
              </w:rPr>
            </w:pPr>
            <w:r>
              <w:rPr>
                <w:spacing w:val="-3"/>
                <w:sz w:val="18"/>
                <w:szCs w:val="18"/>
              </w:rPr>
              <w:t>无组织</w:t>
            </w:r>
          </w:p>
        </w:tc>
        <w:tc>
          <w:tcPr>
            <w:tcW w:w="1174" w:type="dxa"/>
            <w:vMerge w:val="continue"/>
            <w:tcBorders>
              <w:top w:val="nil"/>
              <w:bottom w:val="single" w:color="000000" w:sz="6" w:space="0"/>
            </w:tcBorders>
            <w:vAlign w:val="top"/>
          </w:tcPr>
          <w:p w14:paraId="1405EA40">
            <w:pPr>
              <w:rPr>
                <w:rFonts w:ascii="Arial"/>
                <w:sz w:val="21"/>
              </w:rPr>
            </w:pPr>
          </w:p>
        </w:tc>
        <w:tc>
          <w:tcPr>
            <w:tcW w:w="674" w:type="dxa"/>
            <w:vMerge w:val="continue"/>
            <w:tcBorders>
              <w:top w:val="nil"/>
              <w:bottom w:val="single" w:color="000000" w:sz="6" w:space="0"/>
            </w:tcBorders>
            <w:vAlign w:val="top"/>
          </w:tcPr>
          <w:p w14:paraId="25E82877">
            <w:pPr>
              <w:rPr>
                <w:rFonts w:ascii="Arial"/>
                <w:sz w:val="21"/>
              </w:rPr>
            </w:pPr>
          </w:p>
        </w:tc>
        <w:tc>
          <w:tcPr>
            <w:tcW w:w="1087" w:type="dxa"/>
            <w:tcBorders>
              <w:bottom w:val="single" w:color="000000" w:sz="6" w:space="0"/>
            </w:tcBorders>
            <w:vAlign w:val="top"/>
          </w:tcPr>
          <w:p w14:paraId="1EFF990A">
            <w:pPr>
              <w:spacing w:before="156"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tcBorders>
              <w:bottom w:val="single" w:color="000000" w:sz="6" w:space="0"/>
            </w:tcBorders>
            <w:vAlign w:val="top"/>
          </w:tcPr>
          <w:p w14:paraId="60EE1819">
            <w:pPr>
              <w:spacing w:before="156"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tcBorders>
              <w:bottom w:val="single" w:color="000000" w:sz="6" w:space="0"/>
            </w:tcBorders>
            <w:vAlign w:val="top"/>
          </w:tcPr>
          <w:p w14:paraId="4DE63EB2">
            <w:pPr>
              <w:spacing w:before="159"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674" w:type="dxa"/>
            <w:tcBorders>
              <w:bottom w:val="single" w:color="000000" w:sz="6" w:space="0"/>
            </w:tcBorders>
            <w:vAlign w:val="top"/>
          </w:tcPr>
          <w:p w14:paraId="69DA9AED">
            <w:pPr>
              <w:spacing w:before="156"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tcBorders>
              <w:bottom w:val="single" w:color="000000" w:sz="6" w:space="0"/>
            </w:tcBorders>
            <w:vAlign w:val="top"/>
          </w:tcPr>
          <w:p w14:paraId="30003FE7">
            <w:pPr>
              <w:spacing w:before="156"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single" w:color="000000" w:sz="6" w:space="0"/>
            </w:tcBorders>
            <w:vAlign w:val="top"/>
          </w:tcPr>
          <w:p w14:paraId="076034DE">
            <w:pPr>
              <w:rPr>
                <w:rFonts w:ascii="Arial"/>
                <w:sz w:val="21"/>
              </w:rPr>
            </w:pPr>
          </w:p>
        </w:tc>
        <w:tc>
          <w:tcPr>
            <w:tcW w:w="1012" w:type="dxa"/>
            <w:tcBorders>
              <w:bottom w:val="single" w:color="000000" w:sz="6" w:space="0"/>
            </w:tcBorders>
            <w:vAlign w:val="top"/>
          </w:tcPr>
          <w:p w14:paraId="20828843">
            <w:pPr>
              <w:spacing w:before="156"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tcBorders>
              <w:bottom w:val="single" w:color="000000" w:sz="6" w:space="0"/>
            </w:tcBorders>
            <w:vAlign w:val="top"/>
          </w:tcPr>
          <w:p w14:paraId="2355679C">
            <w:pPr>
              <w:spacing w:before="156"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tcBorders>
              <w:bottom w:val="single" w:color="000000" w:sz="6" w:space="0"/>
            </w:tcBorders>
            <w:vAlign w:val="top"/>
          </w:tcPr>
          <w:p w14:paraId="2465638D">
            <w:pPr>
              <w:spacing w:before="159"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749" w:type="dxa"/>
            <w:tcBorders>
              <w:bottom w:val="single" w:color="000000" w:sz="6" w:space="0"/>
            </w:tcBorders>
            <w:vAlign w:val="top"/>
          </w:tcPr>
          <w:p w14:paraId="04CD3226">
            <w:pPr>
              <w:spacing w:before="156"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tcBorders>
              <w:bottom w:val="single" w:color="000000" w:sz="6" w:space="0"/>
            </w:tcBorders>
            <w:vAlign w:val="top"/>
          </w:tcPr>
          <w:p w14:paraId="43581E80">
            <w:pPr>
              <w:spacing w:before="159"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single" w:color="000000" w:sz="6" w:space="0"/>
              <w:right w:val="single" w:color="000000" w:sz="6" w:space="0"/>
            </w:tcBorders>
            <w:vAlign w:val="top"/>
          </w:tcPr>
          <w:p w14:paraId="002C7C34">
            <w:pPr>
              <w:rPr>
                <w:rFonts w:ascii="Arial"/>
                <w:sz w:val="21"/>
              </w:rPr>
            </w:pPr>
          </w:p>
        </w:tc>
      </w:tr>
    </w:tbl>
    <w:p w14:paraId="3C013E34">
      <w:pPr>
        <w:rPr>
          <w:rFonts w:ascii="Arial"/>
          <w:sz w:val="21"/>
        </w:rPr>
      </w:pPr>
    </w:p>
    <w:p w14:paraId="7F814C41">
      <w:pPr>
        <w:rPr>
          <w:rFonts w:ascii="Arial" w:hAnsi="Arial" w:eastAsia="Arial" w:cs="Arial"/>
          <w:sz w:val="21"/>
          <w:szCs w:val="21"/>
        </w:rPr>
        <w:sectPr>
          <w:footerReference r:id="rId79" w:type="default"/>
          <w:pgSz w:w="16840" w:h="11907"/>
          <w:pgMar w:top="400" w:right="1702" w:bottom="1241" w:left="1702" w:header="0" w:footer="1079" w:gutter="0"/>
          <w:cols w:space="720" w:num="1"/>
        </w:sectPr>
      </w:pPr>
    </w:p>
    <w:p w14:paraId="6CF60CBA">
      <w:pPr>
        <w:spacing w:before="13"/>
      </w:pPr>
    </w:p>
    <w:p w14:paraId="5AD5C74A">
      <w:pPr>
        <w:spacing w:before="13"/>
      </w:pPr>
    </w:p>
    <w:p w14:paraId="5D409CD8">
      <w:pPr>
        <w:spacing w:before="13"/>
      </w:pPr>
    </w:p>
    <w:p w14:paraId="217D8EF2">
      <w:pPr>
        <w:spacing w:before="12"/>
      </w:pPr>
    </w:p>
    <w:tbl>
      <w:tblPr>
        <w:tblStyle w:val="5"/>
        <w:tblW w:w="134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11"/>
        <w:gridCol w:w="708"/>
        <w:gridCol w:w="736"/>
        <w:gridCol w:w="849"/>
        <w:gridCol w:w="1174"/>
        <w:gridCol w:w="674"/>
        <w:gridCol w:w="1087"/>
        <w:gridCol w:w="849"/>
        <w:gridCol w:w="761"/>
        <w:gridCol w:w="674"/>
        <w:gridCol w:w="538"/>
        <w:gridCol w:w="561"/>
        <w:gridCol w:w="1012"/>
        <w:gridCol w:w="724"/>
        <w:gridCol w:w="736"/>
        <w:gridCol w:w="749"/>
        <w:gridCol w:w="600"/>
        <w:gridCol w:w="122"/>
      </w:tblGrid>
      <w:tr w14:paraId="39C88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55" w:type="dxa"/>
            <w:vMerge w:val="restart"/>
            <w:tcBorders>
              <w:top w:val="single" w:color="000000" w:sz="6" w:space="0"/>
              <w:left w:val="single" w:color="000000" w:sz="6" w:space="0"/>
              <w:bottom w:val="nil"/>
            </w:tcBorders>
            <w:vAlign w:val="top"/>
          </w:tcPr>
          <w:p w14:paraId="4ADDFAEA">
            <w:pPr>
              <w:rPr>
                <w:rFonts w:ascii="Arial"/>
                <w:sz w:val="21"/>
              </w:rPr>
            </w:pPr>
          </w:p>
        </w:tc>
        <w:tc>
          <w:tcPr>
            <w:tcW w:w="111" w:type="dxa"/>
            <w:tcBorders>
              <w:top w:val="single" w:color="000000" w:sz="6" w:space="0"/>
              <w:bottom w:val="nil"/>
            </w:tcBorders>
            <w:vAlign w:val="top"/>
          </w:tcPr>
          <w:p w14:paraId="7397AEA6">
            <w:pPr>
              <w:rPr>
                <w:rFonts w:ascii="Arial"/>
                <w:sz w:val="21"/>
              </w:rPr>
            </w:pPr>
          </w:p>
        </w:tc>
        <w:tc>
          <w:tcPr>
            <w:tcW w:w="708" w:type="dxa"/>
            <w:vMerge w:val="restart"/>
            <w:tcBorders>
              <w:top w:val="single" w:color="000000" w:sz="6" w:space="0"/>
              <w:bottom w:val="nil"/>
            </w:tcBorders>
            <w:vAlign w:val="top"/>
          </w:tcPr>
          <w:p w14:paraId="0E461C67">
            <w:pPr>
              <w:rPr>
                <w:rFonts w:ascii="Arial"/>
                <w:sz w:val="21"/>
              </w:rPr>
            </w:pPr>
          </w:p>
        </w:tc>
        <w:tc>
          <w:tcPr>
            <w:tcW w:w="736" w:type="dxa"/>
            <w:vMerge w:val="restart"/>
            <w:tcBorders>
              <w:top w:val="single" w:color="000000" w:sz="6" w:space="0"/>
              <w:bottom w:val="nil"/>
            </w:tcBorders>
            <w:vAlign w:val="top"/>
          </w:tcPr>
          <w:p w14:paraId="62F46FC0">
            <w:pPr>
              <w:spacing w:line="269" w:lineRule="auto"/>
              <w:rPr>
                <w:rFonts w:ascii="Arial"/>
                <w:sz w:val="21"/>
              </w:rPr>
            </w:pPr>
          </w:p>
          <w:p w14:paraId="0DC08627">
            <w:pPr>
              <w:spacing w:line="270" w:lineRule="auto"/>
              <w:rPr>
                <w:rFonts w:ascii="Arial"/>
                <w:sz w:val="21"/>
              </w:rPr>
            </w:pPr>
          </w:p>
          <w:p w14:paraId="76A9D689">
            <w:pPr>
              <w:spacing w:line="270" w:lineRule="auto"/>
              <w:rPr>
                <w:rFonts w:ascii="Arial"/>
                <w:sz w:val="21"/>
              </w:rPr>
            </w:pPr>
          </w:p>
          <w:p w14:paraId="739C5E79">
            <w:pPr>
              <w:spacing w:line="270" w:lineRule="auto"/>
              <w:rPr>
                <w:rFonts w:ascii="Arial"/>
                <w:sz w:val="21"/>
              </w:rPr>
            </w:pPr>
          </w:p>
          <w:p w14:paraId="5F4BDB3F">
            <w:pPr>
              <w:spacing w:line="270" w:lineRule="auto"/>
              <w:rPr>
                <w:rFonts w:ascii="Arial"/>
                <w:sz w:val="21"/>
              </w:rPr>
            </w:pPr>
          </w:p>
          <w:p w14:paraId="7B43C47F">
            <w:pPr>
              <w:spacing w:line="270" w:lineRule="auto"/>
              <w:rPr>
                <w:rFonts w:ascii="Arial"/>
                <w:sz w:val="21"/>
              </w:rPr>
            </w:pPr>
          </w:p>
          <w:p w14:paraId="0936A970">
            <w:pPr>
              <w:pStyle w:val="6"/>
              <w:spacing w:before="59" w:line="219" w:lineRule="auto"/>
              <w:ind w:left="1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w:t>
            </w:r>
            <w:r>
              <w:rPr>
                <w:rFonts w:ascii="Times New Roman" w:hAnsi="Times New Roman" w:eastAsia="Times New Roman" w:cs="Times New Roman"/>
                <w:spacing w:val="6"/>
                <w:sz w:val="18"/>
                <w:szCs w:val="18"/>
              </w:rPr>
              <w:t xml:space="preserve"> </w:t>
            </w:r>
            <w:r>
              <w:rPr>
                <w:spacing w:val="-4"/>
                <w:sz w:val="18"/>
                <w:szCs w:val="18"/>
              </w:rPr>
              <w:t>层</w:t>
            </w:r>
            <w:r>
              <w:rPr>
                <w:rFonts w:ascii="Times New Roman" w:hAnsi="Times New Roman" w:eastAsia="Times New Roman" w:cs="Times New Roman"/>
                <w:spacing w:val="-4"/>
                <w:sz w:val="18"/>
                <w:szCs w:val="18"/>
              </w:rPr>
              <w:t>-B</w:t>
            </w:r>
          </w:p>
        </w:tc>
        <w:tc>
          <w:tcPr>
            <w:tcW w:w="849" w:type="dxa"/>
            <w:tcBorders>
              <w:top w:val="single" w:color="000000" w:sz="6" w:space="0"/>
            </w:tcBorders>
            <w:vAlign w:val="top"/>
          </w:tcPr>
          <w:p w14:paraId="5DE310D2">
            <w:pPr>
              <w:pStyle w:val="6"/>
              <w:spacing w:before="159" w:line="220" w:lineRule="auto"/>
              <w:ind w:left="154"/>
              <w:rPr>
                <w:sz w:val="18"/>
                <w:szCs w:val="18"/>
              </w:rPr>
            </w:pPr>
            <w:r>
              <w:rPr>
                <w:spacing w:val="-3"/>
                <w:sz w:val="18"/>
                <w:szCs w:val="18"/>
              </w:rPr>
              <w:t>有组织</w:t>
            </w:r>
          </w:p>
        </w:tc>
        <w:tc>
          <w:tcPr>
            <w:tcW w:w="1174" w:type="dxa"/>
            <w:vMerge w:val="restart"/>
            <w:tcBorders>
              <w:top w:val="single" w:color="000000" w:sz="6" w:space="0"/>
              <w:bottom w:val="nil"/>
            </w:tcBorders>
            <w:vAlign w:val="top"/>
          </w:tcPr>
          <w:p w14:paraId="6DF03146">
            <w:pPr>
              <w:spacing w:line="300" w:lineRule="auto"/>
              <w:rPr>
                <w:rFonts w:ascii="Arial"/>
                <w:sz w:val="21"/>
              </w:rPr>
            </w:pPr>
          </w:p>
          <w:p w14:paraId="21794736">
            <w:pPr>
              <w:pStyle w:val="6"/>
              <w:spacing w:before="58" w:line="221" w:lineRule="auto"/>
              <w:ind w:left="320"/>
              <w:rPr>
                <w:sz w:val="18"/>
                <w:szCs w:val="18"/>
              </w:rPr>
            </w:pPr>
            <w:r>
              <w:rPr>
                <w:spacing w:val="-4"/>
                <w:sz w:val="18"/>
                <w:szCs w:val="18"/>
              </w:rPr>
              <w:t>氯化氢</w:t>
            </w:r>
          </w:p>
        </w:tc>
        <w:tc>
          <w:tcPr>
            <w:tcW w:w="674" w:type="dxa"/>
            <w:vMerge w:val="restart"/>
            <w:tcBorders>
              <w:top w:val="single" w:color="000000" w:sz="6" w:space="0"/>
              <w:bottom w:val="nil"/>
            </w:tcBorders>
            <w:vAlign w:val="top"/>
          </w:tcPr>
          <w:p w14:paraId="2AD85A2F">
            <w:pPr>
              <w:spacing w:line="250" w:lineRule="auto"/>
              <w:rPr>
                <w:rFonts w:ascii="Arial"/>
                <w:sz w:val="21"/>
              </w:rPr>
            </w:pPr>
          </w:p>
          <w:p w14:paraId="486301CF">
            <w:pPr>
              <w:spacing w:line="250" w:lineRule="auto"/>
              <w:rPr>
                <w:rFonts w:ascii="Arial"/>
                <w:sz w:val="21"/>
              </w:rPr>
            </w:pPr>
          </w:p>
          <w:p w14:paraId="0F40E64E">
            <w:pPr>
              <w:spacing w:line="250" w:lineRule="auto"/>
              <w:rPr>
                <w:rFonts w:ascii="Arial"/>
                <w:sz w:val="21"/>
              </w:rPr>
            </w:pPr>
          </w:p>
          <w:p w14:paraId="1219BE29">
            <w:pPr>
              <w:spacing w:line="250" w:lineRule="auto"/>
              <w:rPr>
                <w:rFonts w:ascii="Arial"/>
                <w:sz w:val="21"/>
              </w:rPr>
            </w:pPr>
          </w:p>
          <w:p w14:paraId="53005257">
            <w:pPr>
              <w:spacing w:line="251" w:lineRule="auto"/>
              <w:rPr>
                <w:rFonts w:ascii="Arial"/>
                <w:sz w:val="21"/>
              </w:rPr>
            </w:pPr>
          </w:p>
          <w:p w14:paraId="7AFE8E30">
            <w:pPr>
              <w:spacing w:line="251" w:lineRule="auto"/>
              <w:rPr>
                <w:rFonts w:ascii="Arial"/>
                <w:sz w:val="21"/>
              </w:rPr>
            </w:pPr>
          </w:p>
          <w:p w14:paraId="1D6CF5F9">
            <w:pPr>
              <w:pStyle w:val="6"/>
              <w:spacing w:before="58" w:line="241" w:lineRule="auto"/>
              <w:ind w:left="159" w:right="66" w:hanging="90"/>
              <w:rPr>
                <w:sz w:val="18"/>
                <w:szCs w:val="18"/>
              </w:rPr>
            </w:pPr>
            <w:r>
              <w:rPr>
                <w:spacing w:val="-3"/>
                <w:sz w:val="18"/>
                <w:szCs w:val="18"/>
              </w:rPr>
              <w:t>产污系</w:t>
            </w:r>
            <w:r>
              <w:rPr>
                <w:sz w:val="18"/>
                <w:szCs w:val="18"/>
              </w:rPr>
              <w:t xml:space="preserve"> </w:t>
            </w:r>
            <w:r>
              <w:rPr>
                <w:spacing w:val="-5"/>
                <w:sz w:val="18"/>
                <w:szCs w:val="18"/>
              </w:rPr>
              <w:t>数法</w:t>
            </w:r>
          </w:p>
        </w:tc>
        <w:tc>
          <w:tcPr>
            <w:tcW w:w="1087" w:type="dxa"/>
            <w:tcBorders>
              <w:top w:val="single" w:color="000000" w:sz="6" w:space="0"/>
            </w:tcBorders>
            <w:vAlign w:val="top"/>
          </w:tcPr>
          <w:p w14:paraId="5E9A220F">
            <w:pPr>
              <w:spacing w:before="188"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tcBorders>
              <w:top w:val="single" w:color="000000" w:sz="6" w:space="0"/>
            </w:tcBorders>
            <w:vAlign w:val="top"/>
          </w:tcPr>
          <w:p w14:paraId="4DC2CCF1">
            <w:pPr>
              <w:spacing w:before="188"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301.39</w:t>
            </w:r>
          </w:p>
        </w:tc>
        <w:tc>
          <w:tcPr>
            <w:tcW w:w="761" w:type="dxa"/>
            <w:tcBorders>
              <w:top w:val="single" w:color="000000" w:sz="6" w:space="0"/>
            </w:tcBorders>
            <w:vAlign w:val="top"/>
          </w:tcPr>
          <w:p w14:paraId="0FC0793A">
            <w:pPr>
              <w:spacing w:before="188"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6.0278</w:t>
            </w:r>
          </w:p>
        </w:tc>
        <w:tc>
          <w:tcPr>
            <w:tcW w:w="674" w:type="dxa"/>
            <w:tcBorders>
              <w:top w:val="single" w:color="000000" w:sz="6" w:space="0"/>
            </w:tcBorders>
            <w:vAlign w:val="top"/>
          </w:tcPr>
          <w:p w14:paraId="27C39114">
            <w:pPr>
              <w:pStyle w:val="6"/>
              <w:spacing w:before="42" w:line="221" w:lineRule="auto"/>
              <w:ind w:left="73"/>
              <w:rPr>
                <w:sz w:val="18"/>
                <w:szCs w:val="18"/>
              </w:rPr>
            </w:pPr>
            <w:r>
              <w:rPr>
                <w:spacing w:val="-3"/>
                <w:sz w:val="18"/>
                <w:szCs w:val="18"/>
              </w:rPr>
              <w:t>三级碱</w:t>
            </w:r>
          </w:p>
          <w:p w14:paraId="5536FED0">
            <w:pPr>
              <w:pStyle w:val="6"/>
              <w:spacing w:before="16" w:line="203" w:lineRule="auto"/>
              <w:ind w:left="74"/>
              <w:rPr>
                <w:sz w:val="18"/>
                <w:szCs w:val="18"/>
              </w:rPr>
            </w:pPr>
            <w:r>
              <w:rPr>
                <w:spacing w:val="-3"/>
                <w:sz w:val="18"/>
                <w:szCs w:val="18"/>
              </w:rPr>
              <w:t>液喷淋</w:t>
            </w:r>
          </w:p>
        </w:tc>
        <w:tc>
          <w:tcPr>
            <w:tcW w:w="538" w:type="dxa"/>
            <w:tcBorders>
              <w:top w:val="single" w:color="000000" w:sz="6" w:space="0"/>
            </w:tcBorders>
            <w:vAlign w:val="top"/>
          </w:tcPr>
          <w:p w14:paraId="153E0C34">
            <w:pPr>
              <w:spacing w:before="188"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tc>
        <w:tc>
          <w:tcPr>
            <w:tcW w:w="561" w:type="dxa"/>
            <w:vMerge w:val="restart"/>
            <w:tcBorders>
              <w:top w:val="single" w:color="000000" w:sz="6" w:space="0"/>
              <w:bottom w:val="nil"/>
            </w:tcBorders>
            <w:vAlign w:val="top"/>
          </w:tcPr>
          <w:p w14:paraId="1641F49F">
            <w:pPr>
              <w:spacing w:line="277" w:lineRule="auto"/>
              <w:rPr>
                <w:rFonts w:ascii="Arial"/>
                <w:sz w:val="21"/>
              </w:rPr>
            </w:pPr>
          </w:p>
          <w:p w14:paraId="08C228C6">
            <w:pPr>
              <w:spacing w:line="277" w:lineRule="auto"/>
              <w:rPr>
                <w:rFonts w:ascii="Arial"/>
                <w:sz w:val="21"/>
              </w:rPr>
            </w:pPr>
          </w:p>
          <w:p w14:paraId="16F94901">
            <w:pPr>
              <w:spacing w:line="278" w:lineRule="auto"/>
              <w:rPr>
                <w:rFonts w:ascii="Arial"/>
                <w:sz w:val="21"/>
              </w:rPr>
            </w:pPr>
          </w:p>
          <w:p w14:paraId="69986F41">
            <w:pPr>
              <w:spacing w:line="278" w:lineRule="auto"/>
              <w:rPr>
                <w:rFonts w:ascii="Arial"/>
                <w:sz w:val="21"/>
              </w:rPr>
            </w:pPr>
          </w:p>
          <w:p w14:paraId="6A18D7D2">
            <w:pPr>
              <w:spacing w:line="278" w:lineRule="auto"/>
              <w:rPr>
                <w:rFonts w:ascii="Arial"/>
                <w:sz w:val="21"/>
              </w:rPr>
            </w:pPr>
          </w:p>
          <w:p w14:paraId="5A17523C">
            <w:pPr>
              <w:pStyle w:val="6"/>
              <w:spacing w:before="58" w:line="219" w:lineRule="auto"/>
              <w:ind w:left="106"/>
              <w:rPr>
                <w:sz w:val="18"/>
                <w:szCs w:val="18"/>
              </w:rPr>
            </w:pPr>
            <w:r>
              <w:rPr>
                <w:spacing w:val="-4"/>
                <w:sz w:val="18"/>
                <w:szCs w:val="18"/>
              </w:rPr>
              <w:t>产污</w:t>
            </w:r>
          </w:p>
          <w:p w14:paraId="017EB8CB">
            <w:pPr>
              <w:pStyle w:val="6"/>
              <w:spacing w:before="18" w:line="244" w:lineRule="auto"/>
              <w:ind w:left="198" w:right="96" w:hanging="88"/>
              <w:rPr>
                <w:sz w:val="18"/>
                <w:szCs w:val="18"/>
              </w:rPr>
            </w:pPr>
            <w:r>
              <w:rPr>
                <w:spacing w:val="-6"/>
                <w:sz w:val="18"/>
                <w:szCs w:val="18"/>
              </w:rPr>
              <w:t>系数</w:t>
            </w:r>
            <w:r>
              <w:rPr>
                <w:sz w:val="18"/>
                <w:szCs w:val="18"/>
              </w:rPr>
              <w:t xml:space="preserve"> 法</w:t>
            </w:r>
          </w:p>
        </w:tc>
        <w:tc>
          <w:tcPr>
            <w:tcW w:w="1012" w:type="dxa"/>
            <w:tcBorders>
              <w:top w:val="single" w:color="000000" w:sz="6" w:space="0"/>
            </w:tcBorders>
            <w:vAlign w:val="top"/>
          </w:tcPr>
          <w:p w14:paraId="376BDF2D">
            <w:pPr>
              <w:spacing w:before="188"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tcBorders>
              <w:top w:val="single" w:color="000000" w:sz="6" w:space="0"/>
            </w:tcBorders>
            <w:vAlign w:val="top"/>
          </w:tcPr>
          <w:p w14:paraId="6C34BAA5">
            <w:pPr>
              <w:spacing w:before="188"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21.10</w:t>
            </w:r>
          </w:p>
        </w:tc>
        <w:tc>
          <w:tcPr>
            <w:tcW w:w="736" w:type="dxa"/>
            <w:tcBorders>
              <w:top w:val="single" w:color="000000" w:sz="6" w:space="0"/>
            </w:tcBorders>
            <w:vAlign w:val="top"/>
          </w:tcPr>
          <w:p w14:paraId="1B4ACA35">
            <w:pPr>
              <w:spacing w:before="188"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0.4219</w:t>
            </w:r>
          </w:p>
        </w:tc>
        <w:tc>
          <w:tcPr>
            <w:tcW w:w="749" w:type="dxa"/>
            <w:tcBorders>
              <w:top w:val="single" w:color="000000" w:sz="6" w:space="0"/>
            </w:tcBorders>
            <w:vAlign w:val="top"/>
          </w:tcPr>
          <w:p w14:paraId="6F8BECD3">
            <w:pPr>
              <w:spacing w:before="188"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DA013</w:t>
            </w:r>
          </w:p>
        </w:tc>
        <w:tc>
          <w:tcPr>
            <w:tcW w:w="600" w:type="dxa"/>
            <w:tcBorders>
              <w:top w:val="single" w:color="000000" w:sz="6" w:space="0"/>
            </w:tcBorders>
            <w:vAlign w:val="top"/>
          </w:tcPr>
          <w:p w14:paraId="7E44D503">
            <w:pPr>
              <w:spacing w:before="188"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restart"/>
            <w:tcBorders>
              <w:top w:val="single" w:color="000000" w:sz="6" w:space="0"/>
              <w:bottom w:val="nil"/>
              <w:right w:val="single" w:color="000000" w:sz="6" w:space="0"/>
            </w:tcBorders>
            <w:vAlign w:val="top"/>
          </w:tcPr>
          <w:p w14:paraId="0C6FFE46">
            <w:pPr>
              <w:rPr>
                <w:rFonts w:ascii="Arial"/>
                <w:sz w:val="21"/>
              </w:rPr>
            </w:pPr>
          </w:p>
        </w:tc>
      </w:tr>
      <w:tr w14:paraId="1BC84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55" w:type="dxa"/>
            <w:vMerge w:val="continue"/>
            <w:tcBorders>
              <w:top w:val="nil"/>
              <w:left w:val="single" w:color="000000" w:sz="6" w:space="0"/>
              <w:bottom w:val="nil"/>
            </w:tcBorders>
            <w:vAlign w:val="top"/>
          </w:tcPr>
          <w:p w14:paraId="0CE6FA8F">
            <w:pPr>
              <w:rPr>
                <w:rFonts w:ascii="Arial"/>
                <w:sz w:val="21"/>
              </w:rPr>
            </w:pPr>
          </w:p>
        </w:tc>
        <w:tc>
          <w:tcPr>
            <w:tcW w:w="111" w:type="dxa"/>
            <w:tcBorders>
              <w:top w:val="nil"/>
              <w:bottom w:val="nil"/>
            </w:tcBorders>
            <w:vAlign w:val="top"/>
          </w:tcPr>
          <w:p w14:paraId="3AF2513B">
            <w:pPr>
              <w:rPr>
                <w:rFonts w:ascii="Arial"/>
                <w:sz w:val="21"/>
              </w:rPr>
            </w:pPr>
          </w:p>
        </w:tc>
        <w:tc>
          <w:tcPr>
            <w:tcW w:w="708" w:type="dxa"/>
            <w:vMerge w:val="continue"/>
            <w:tcBorders>
              <w:top w:val="nil"/>
              <w:bottom w:val="nil"/>
            </w:tcBorders>
            <w:vAlign w:val="top"/>
          </w:tcPr>
          <w:p w14:paraId="3DADCA4D">
            <w:pPr>
              <w:rPr>
                <w:rFonts w:ascii="Arial"/>
                <w:sz w:val="21"/>
              </w:rPr>
            </w:pPr>
          </w:p>
        </w:tc>
        <w:tc>
          <w:tcPr>
            <w:tcW w:w="736" w:type="dxa"/>
            <w:vMerge w:val="continue"/>
            <w:tcBorders>
              <w:top w:val="nil"/>
              <w:bottom w:val="nil"/>
            </w:tcBorders>
            <w:vAlign w:val="top"/>
          </w:tcPr>
          <w:p w14:paraId="1E2ADBC4">
            <w:pPr>
              <w:rPr>
                <w:rFonts w:ascii="Arial"/>
                <w:sz w:val="21"/>
              </w:rPr>
            </w:pPr>
          </w:p>
        </w:tc>
        <w:tc>
          <w:tcPr>
            <w:tcW w:w="849" w:type="dxa"/>
            <w:vAlign w:val="top"/>
          </w:tcPr>
          <w:p w14:paraId="31338923">
            <w:pPr>
              <w:pStyle w:val="6"/>
              <w:spacing w:before="111" w:line="220" w:lineRule="auto"/>
              <w:ind w:left="154"/>
              <w:rPr>
                <w:sz w:val="18"/>
                <w:szCs w:val="18"/>
              </w:rPr>
            </w:pPr>
            <w:r>
              <w:rPr>
                <w:spacing w:val="-3"/>
                <w:sz w:val="18"/>
                <w:szCs w:val="18"/>
              </w:rPr>
              <w:t>无组织</w:t>
            </w:r>
          </w:p>
        </w:tc>
        <w:tc>
          <w:tcPr>
            <w:tcW w:w="1174" w:type="dxa"/>
            <w:vMerge w:val="continue"/>
            <w:tcBorders>
              <w:top w:val="nil"/>
            </w:tcBorders>
            <w:vAlign w:val="top"/>
          </w:tcPr>
          <w:p w14:paraId="0AA40BE6">
            <w:pPr>
              <w:rPr>
                <w:rFonts w:ascii="Arial"/>
                <w:sz w:val="21"/>
              </w:rPr>
            </w:pPr>
          </w:p>
        </w:tc>
        <w:tc>
          <w:tcPr>
            <w:tcW w:w="674" w:type="dxa"/>
            <w:vMerge w:val="continue"/>
            <w:tcBorders>
              <w:top w:val="nil"/>
              <w:bottom w:val="nil"/>
            </w:tcBorders>
            <w:vAlign w:val="top"/>
          </w:tcPr>
          <w:p w14:paraId="5858F6E2">
            <w:pPr>
              <w:rPr>
                <w:rFonts w:ascii="Arial"/>
                <w:sz w:val="21"/>
              </w:rPr>
            </w:pPr>
          </w:p>
        </w:tc>
        <w:tc>
          <w:tcPr>
            <w:tcW w:w="1087" w:type="dxa"/>
            <w:vAlign w:val="top"/>
          </w:tcPr>
          <w:p w14:paraId="20A69683">
            <w:pPr>
              <w:spacing w:before="139"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165A7919">
            <w:pPr>
              <w:spacing w:before="139"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20EB005">
            <w:pPr>
              <w:spacing w:before="14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674" w:type="dxa"/>
            <w:vAlign w:val="top"/>
          </w:tcPr>
          <w:p w14:paraId="2DA53D64">
            <w:pPr>
              <w:spacing w:before="139"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6D4EEA92">
            <w:pPr>
              <w:spacing w:before="139"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F2F7589">
            <w:pPr>
              <w:rPr>
                <w:rFonts w:ascii="Arial"/>
                <w:sz w:val="21"/>
              </w:rPr>
            </w:pPr>
          </w:p>
        </w:tc>
        <w:tc>
          <w:tcPr>
            <w:tcW w:w="1012" w:type="dxa"/>
            <w:vAlign w:val="top"/>
          </w:tcPr>
          <w:p w14:paraId="5042F874">
            <w:pPr>
              <w:spacing w:before="139"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2C9F42E9">
            <w:pPr>
              <w:spacing w:before="139"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4205EDF0">
            <w:pPr>
              <w:spacing w:before="14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0.6698</w:t>
            </w:r>
          </w:p>
        </w:tc>
        <w:tc>
          <w:tcPr>
            <w:tcW w:w="749" w:type="dxa"/>
            <w:vAlign w:val="top"/>
          </w:tcPr>
          <w:p w14:paraId="24DBF5A1">
            <w:pPr>
              <w:spacing w:before="139"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00B8CBCF">
            <w:pPr>
              <w:spacing w:before="14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8505008">
            <w:pPr>
              <w:rPr>
                <w:rFonts w:ascii="Arial"/>
                <w:sz w:val="21"/>
              </w:rPr>
            </w:pPr>
          </w:p>
        </w:tc>
      </w:tr>
      <w:tr w14:paraId="25CEE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0180522D">
            <w:pPr>
              <w:rPr>
                <w:rFonts w:ascii="Arial"/>
                <w:sz w:val="21"/>
              </w:rPr>
            </w:pPr>
          </w:p>
        </w:tc>
        <w:tc>
          <w:tcPr>
            <w:tcW w:w="111" w:type="dxa"/>
            <w:tcBorders>
              <w:top w:val="nil"/>
              <w:bottom w:val="nil"/>
            </w:tcBorders>
            <w:vAlign w:val="top"/>
          </w:tcPr>
          <w:p w14:paraId="669F0732">
            <w:pPr>
              <w:rPr>
                <w:rFonts w:ascii="Arial"/>
                <w:sz w:val="21"/>
              </w:rPr>
            </w:pPr>
          </w:p>
        </w:tc>
        <w:tc>
          <w:tcPr>
            <w:tcW w:w="708" w:type="dxa"/>
            <w:vMerge w:val="continue"/>
            <w:tcBorders>
              <w:top w:val="nil"/>
              <w:bottom w:val="nil"/>
            </w:tcBorders>
            <w:vAlign w:val="top"/>
          </w:tcPr>
          <w:p w14:paraId="703B2769">
            <w:pPr>
              <w:rPr>
                <w:rFonts w:ascii="Arial"/>
                <w:sz w:val="21"/>
              </w:rPr>
            </w:pPr>
          </w:p>
        </w:tc>
        <w:tc>
          <w:tcPr>
            <w:tcW w:w="736" w:type="dxa"/>
            <w:vMerge w:val="continue"/>
            <w:tcBorders>
              <w:top w:val="nil"/>
              <w:bottom w:val="nil"/>
            </w:tcBorders>
            <w:vAlign w:val="top"/>
          </w:tcPr>
          <w:p w14:paraId="4011AD55">
            <w:pPr>
              <w:rPr>
                <w:rFonts w:ascii="Arial"/>
                <w:sz w:val="21"/>
              </w:rPr>
            </w:pPr>
          </w:p>
        </w:tc>
        <w:tc>
          <w:tcPr>
            <w:tcW w:w="849" w:type="dxa"/>
            <w:vAlign w:val="top"/>
          </w:tcPr>
          <w:p w14:paraId="02DE53D0">
            <w:pPr>
              <w:pStyle w:val="6"/>
              <w:spacing w:before="145" w:line="220" w:lineRule="auto"/>
              <w:ind w:left="154"/>
              <w:rPr>
                <w:sz w:val="18"/>
                <w:szCs w:val="18"/>
              </w:rPr>
            </w:pPr>
            <w:r>
              <w:rPr>
                <w:spacing w:val="-3"/>
                <w:sz w:val="18"/>
                <w:szCs w:val="18"/>
              </w:rPr>
              <w:t>有组织</w:t>
            </w:r>
          </w:p>
        </w:tc>
        <w:tc>
          <w:tcPr>
            <w:tcW w:w="1174" w:type="dxa"/>
            <w:vMerge w:val="restart"/>
            <w:tcBorders>
              <w:bottom w:val="nil"/>
            </w:tcBorders>
            <w:vAlign w:val="top"/>
          </w:tcPr>
          <w:p w14:paraId="6888CFAA">
            <w:pPr>
              <w:pStyle w:val="6"/>
              <w:spacing w:before="232" w:line="219" w:lineRule="auto"/>
              <w:ind w:left="137"/>
              <w:rPr>
                <w:sz w:val="18"/>
                <w:szCs w:val="18"/>
              </w:rPr>
            </w:pPr>
            <w:r>
              <w:rPr>
                <w:spacing w:val="-2"/>
                <w:sz w:val="18"/>
                <w:szCs w:val="18"/>
              </w:rPr>
              <w:t>氟化氢（以</w:t>
            </w:r>
          </w:p>
          <w:p w14:paraId="5D6BA0EC">
            <w:pPr>
              <w:pStyle w:val="6"/>
              <w:spacing w:before="19" w:line="219" w:lineRule="auto"/>
              <w:ind w:left="137"/>
              <w:rPr>
                <w:sz w:val="18"/>
                <w:szCs w:val="18"/>
              </w:rPr>
            </w:pPr>
            <w:r>
              <w:rPr>
                <w:spacing w:val="-2"/>
                <w:sz w:val="18"/>
                <w:szCs w:val="18"/>
              </w:rPr>
              <w:t>氟化物计）</w:t>
            </w:r>
          </w:p>
        </w:tc>
        <w:tc>
          <w:tcPr>
            <w:tcW w:w="674" w:type="dxa"/>
            <w:vMerge w:val="continue"/>
            <w:tcBorders>
              <w:top w:val="nil"/>
              <w:bottom w:val="nil"/>
            </w:tcBorders>
            <w:vAlign w:val="top"/>
          </w:tcPr>
          <w:p w14:paraId="3F959055">
            <w:pPr>
              <w:rPr>
                <w:rFonts w:ascii="Arial"/>
                <w:sz w:val="21"/>
              </w:rPr>
            </w:pPr>
          </w:p>
        </w:tc>
        <w:tc>
          <w:tcPr>
            <w:tcW w:w="1087" w:type="dxa"/>
            <w:vAlign w:val="top"/>
          </w:tcPr>
          <w:p w14:paraId="049530B6">
            <w:pPr>
              <w:spacing w:before="174"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2D7769B0">
            <w:pPr>
              <w:spacing w:before="174"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29.93</w:t>
            </w:r>
          </w:p>
        </w:tc>
        <w:tc>
          <w:tcPr>
            <w:tcW w:w="761" w:type="dxa"/>
            <w:vAlign w:val="top"/>
          </w:tcPr>
          <w:p w14:paraId="24B2B9AA">
            <w:pPr>
              <w:spacing w:before="17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0.5985</w:t>
            </w:r>
          </w:p>
        </w:tc>
        <w:tc>
          <w:tcPr>
            <w:tcW w:w="674" w:type="dxa"/>
            <w:vAlign w:val="top"/>
          </w:tcPr>
          <w:p w14:paraId="3784A191">
            <w:pPr>
              <w:pStyle w:val="6"/>
              <w:spacing w:before="28" w:line="221" w:lineRule="auto"/>
              <w:ind w:left="73"/>
              <w:rPr>
                <w:sz w:val="18"/>
                <w:szCs w:val="18"/>
              </w:rPr>
            </w:pPr>
            <w:r>
              <w:rPr>
                <w:spacing w:val="-3"/>
                <w:sz w:val="18"/>
                <w:szCs w:val="18"/>
              </w:rPr>
              <w:t>三级碱</w:t>
            </w:r>
          </w:p>
          <w:p w14:paraId="69131C4D">
            <w:pPr>
              <w:pStyle w:val="6"/>
              <w:spacing w:before="16" w:line="204" w:lineRule="auto"/>
              <w:ind w:left="74"/>
              <w:rPr>
                <w:sz w:val="18"/>
                <w:szCs w:val="18"/>
              </w:rPr>
            </w:pPr>
            <w:r>
              <w:rPr>
                <w:spacing w:val="-3"/>
                <w:sz w:val="18"/>
                <w:szCs w:val="18"/>
              </w:rPr>
              <w:t>液喷淋</w:t>
            </w:r>
          </w:p>
        </w:tc>
        <w:tc>
          <w:tcPr>
            <w:tcW w:w="538" w:type="dxa"/>
            <w:vAlign w:val="top"/>
          </w:tcPr>
          <w:p w14:paraId="2A256CD0">
            <w:pPr>
              <w:spacing w:before="174"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tc>
        <w:tc>
          <w:tcPr>
            <w:tcW w:w="561" w:type="dxa"/>
            <w:vMerge w:val="continue"/>
            <w:tcBorders>
              <w:top w:val="nil"/>
              <w:bottom w:val="nil"/>
            </w:tcBorders>
            <w:vAlign w:val="top"/>
          </w:tcPr>
          <w:p w14:paraId="2FD55531">
            <w:pPr>
              <w:rPr>
                <w:rFonts w:ascii="Arial"/>
                <w:sz w:val="21"/>
              </w:rPr>
            </w:pPr>
          </w:p>
        </w:tc>
        <w:tc>
          <w:tcPr>
            <w:tcW w:w="1012" w:type="dxa"/>
            <w:vAlign w:val="top"/>
          </w:tcPr>
          <w:p w14:paraId="71E71C01">
            <w:pPr>
              <w:spacing w:before="174"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6988FBAF">
            <w:pPr>
              <w:spacing w:before="174"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36" w:type="dxa"/>
            <w:vAlign w:val="top"/>
          </w:tcPr>
          <w:p w14:paraId="3D8E830F">
            <w:pPr>
              <w:spacing w:before="17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0.0958</w:t>
            </w:r>
          </w:p>
        </w:tc>
        <w:tc>
          <w:tcPr>
            <w:tcW w:w="749" w:type="dxa"/>
            <w:vAlign w:val="top"/>
          </w:tcPr>
          <w:p w14:paraId="6F2073BF">
            <w:pPr>
              <w:spacing w:before="174"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DA013</w:t>
            </w:r>
          </w:p>
        </w:tc>
        <w:tc>
          <w:tcPr>
            <w:tcW w:w="600" w:type="dxa"/>
            <w:vAlign w:val="top"/>
          </w:tcPr>
          <w:p w14:paraId="1F4D91D1">
            <w:pPr>
              <w:spacing w:before="17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EE21973">
            <w:pPr>
              <w:rPr>
                <w:rFonts w:ascii="Arial"/>
                <w:sz w:val="21"/>
              </w:rPr>
            </w:pPr>
          </w:p>
        </w:tc>
      </w:tr>
      <w:tr w14:paraId="18C88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55" w:type="dxa"/>
            <w:vMerge w:val="continue"/>
            <w:tcBorders>
              <w:top w:val="nil"/>
              <w:left w:val="single" w:color="000000" w:sz="6" w:space="0"/>
              <w:bottom w:val="nil"/>
            </w:tcBorders>
            <w:vAlign w:val="top"/>
          </w:tcPr>
          <w:p w14:paraId="1AA8BDD2">
            <w:pPr>
              <w:rPr>
                <w:rFonts w:ascii="Arial"/>
                <w:sz w:val="21"/>
              </w:rPr>
            </w:pPr>
          </w:p>
        </w:tc>
        <w:tc>
          <w:tcPr>
            <w:tcW w:w="111" w:type="dxa"/>
            <w:tcBorders>
              <w:top w:val="nil"/>
              <w:bottom w:val="nil"/>
            </w:tcBorders>
            <w:vAlign w:val="top"/>
          </w:tcPr>
          <w:p w14:paraId="44FB3B93">
            <w:pPr>
              <w:rPr>
                <w:rFonts w:ascii="Arial"/>
                <w:sz w:val="21"/>
              </w:rPr>
            </w:pPr>
          </w:p>
        </w:tc>
        <w:tc>
          <w:tcPr>
            <w:tcW w:w="708" w:type="dxa"/>
            <w:vMerge w:val="continue"/>
            <w:tcBorders>
              <w:top w:val="nil"/>
              <w:bottom w:val="nil"/>
            </w:tcBorders>
            <w:vAlign w:val="top"/>
          </w:tcPr>
          <w:p w14:paraId="0EFCDD35">
            <w:pPr>
              <w:rPr>
                <w:rFonts w:ascii="Arial"/>
                <w:sz w:val="21"/>
              </w:rPr>
            </w:pPr>
          </w:p>
        </w:tc>
        <w:tc>
          <w:tcPr>
            <w:tcW w:w="736" w:type="dxa"/>
            <w:vMerge w:val="continue"/>
            <w:tcBorders>
              <w:top w:val="nil"/>
              <w:bottom w:val="nil"/>
            </w:tcBorders>
            <w:vAlign w:val="top"/>
          </w:tcPr>
          <w:p w14:paraId="2172C5A6">
            <w:pPr>
              <w:rPr>
                <w:rFonts w:ascii="Arial"/>
                <w:sz w:val="21"/>
              </w:rPr>
            </w:pPr>
          </w:p>
        </w:tc>
        <w:tc>
          <w:tcPr>
            <w:tcW w:w="849" w:type="dxa"/>
            <w:vAlign w:val="top"/>
          </w:tcPr>
          <w:p w14:paraId="15FA3213">
            <w:pPr>
              <w:pStyle w:val="6"/>
              <w:spacing w:before="113" w:line="220" w:lineRule="auto"/>
              <w:ind w:left="154"/>
              <w:rPr>
                <w:sz w:val="18"/>
                <w:szCs w:val="18"/>
              </w:rPr>
            </w:pPr>
            <w:r>
              <w:rPr>
                <w:spacing w:val="-3"/>
                <w:sz w:val="18"/>
                <w:szCs w:val="18"/>
              </w:rPr>
              <w:t>无组织</w:t>
            </w:r>
          </w:p>
        </w:tc>
        <w:tc>
          <w:tcPr>
            <w:tcW w:w="1174" w:type="dxa"/>
            <w:vMerge w:val="continue"/>
            <w:tcBorders>
              <w:top w:val="nil"/>
            </w:tcBorders>
            <w:vAlign w:val="top"/>
          </w:tcPr>
          <w:p w14:paraId="381DA5CB">
            <w:pPr>
              <w:rPr>
                <w:rFonts w:ascii="Arial"/>
                <w:sz w:val="21"/>
              </w:rPr>
            </w:pPr>
          </w:p>
        </w:tc>
        <w:tc>
          <w:tcPr>
            <w:tcW w:w="674" w:type="dxa"/>
            <w:vMerge w:val="continue"/>
            <w:tcBorders>
              <w:top w:val="nil"/>
              <w:bottom w:val="nil"/>
            </w:tcBorders>
            <w:vAlign w:val="top"/>
          </w:tcPr>
          <w:p w14:paraId="7D602EFD">
            <w:pPr>
              <w:rPr>
                <w:rFonts w:ascii="Arial"/>
                <w:sz w:val="21"/>
              </w:rPr>
            </w:pPr>
          </w:p>
        </w:tc>
        <w:tc>
          <w:tcPr>
            <w:tcW w:w="1087" w:type="dxa"/>
            <w:vAlign w:val="top"/>
          </w:tcPr>
          <w:p w14:paraId="1B1AD93A">
            <w:pPr>
              <w:spacing w:before="140"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35656287">
            <w:pPr>
              <w:spacing w:before="140"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0741650D">
            <w:pPr>
              <w:spacing w:before="14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674" w:type="dxa"/>
            <w:vAlign w:val="top"/>
          </w:tcPr>
          <w:p w14:paraId="4B1AF1F3">
            <w:pPr>
              <w:spacing w:before="140"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2C6E813B">
            <w:pPr>
              <w:spacing w:before="140"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20C057F">
            <w:pPr>
              <w:rPr>
                <w:rFonts w:ascii="Arial"/>
                <w:sz w:val="21"/>
              </w:rPr>
            </w:pPr>
          </w:p>
        </w:tc>
        <w:tc>
          <w:tcPr>
            <w:tcW w:w="1012" w:type="dxa"/>
            <w:vAlign w:val="top"/>
          </w:tcPr>
          <w:p w14:paraId="40A5A3C2">
            <w:pPr>
              <w:spacing w:before="140"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2AE43038">
            <w:pPr>
              <w:spacing w:before="140"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0D37A3FE">
            <w:pPr>
              <w:spacing w:before="144"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0.0665</w:t>
            </w:r>
          </w:p>
        </w:tc>
        <w:tc>
          <w:tcPr>
            <w:tcW w:w="749" w:type="dxa"/>
            <w:vAlign w:val="top"/>
          </w:tcPr>
          <w:p w14:paraId="5284EA98">
            <w:pPr>
              <w:spacing w:before="140"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66491857">
            <w:pPr>
              <w:spacing w:before="14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6E7454A3">
            <w:pPr>
              <w:rPr>
                <w:rFonts w:ascii="Arial"/>
                <w:sz w:val="21"/>
              </w:rPr>
            </w:pPr>
          </w:p>
        </w:tc>
      </w:tr>
      <w:tr w14:paraId="3AFF9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5" w:type="dxa"/>
            <w:vMerge w:val="continue"/>
            <w:tcBorders>
              <w:top w:val="nil"/>
              <w:left w:val="single" w:color="000000" w:sz="6" w:space="0"/>
              <w:bottom w:val="nil"/>
            </w:tcBorders>
            <w:vAlign w:val="top"/>
          </w:tcPr>
          <w:p w14:paraId="5B99791A">
            <w:pPr>
              <w:rPr>
                <w:rFonts w:ascii="Arial"/>
                <w:sz w:val="21"/>
              </w:rPr>
            </w:pPr>
          </w:p>
        </w:tc>
        <w:tc>
          <w:tcPr>
            <w:tcW w:w="111" w:type="dxa"/>
            <w:tcBorders>
              <w:top w:val="nil"/>
              <w:bottom w:val="nil"/>
            </w:tcBorders>
            <w:vAlign w:val="top"/>
          </w:tcPr>
          <w:p w14:paraId="05BA6809">
            <w:pPr>
              <w:rPr>
                <w:rFonts w:ascii="Arial"/>
                <w:sz w:val="21"/>
              </w:rPr>
            </w:pPr>
          </w:p>
        </w:tc>
        <w:tc>
          <w:tcPr>
            <w:tcW w:w="708" w:type="dxa"/>
            <w:vMerge w:val="continue"/>
            <w:tcBorders>
              <w:top w:val="nil"/>
              <w:bottom w:val="nil"/>
            </w:tcBorders>
            <w:vAlign w:val="top"/>
          </w:tcPr>
          <w:p w14:paraId="44802BC8">
            <w:pPr>
              <w:rPr>
                <w:rFonts w:ascii="Arial"/>
                <w:sz w:val="21"/>
              </w:rPr>
            </w:pPr>
          </w:p>
        </w:tc>
        <w:tc>
          <w:tcPr>
            <w:tcW w:w="736" w:type="dxa"/>
            <w:vMerge w:val="continue"/>
            <w:tcBorders>
              <w:top w:val="nil"/>
              <w:bottom w:val="nil"/>
            </w:tcBorders>
            <w:vAlign w:val="top"/>
          </w:tcPr>
          <w:p w14:paraId="1993C70F">
            <w:pPr>
              <w:rPr>
                <w:rFonts w:ascii="Arial"/>
                <w:sz w:val="21"/>
              </w:rPr>
            </w:pPr>
          </w:p>
        </w:tc>
        <w:tc>
          <w:tcPr>
            <w:tcW w:w="849" w:type="dxa"/>
            <w:vAlign w:val="top"/>
          </w:tcPr>
          <w:p w14:paraId="4A4991F1">
            <w:pPr>
              <w:pStyle w:val="6"/>
              <w:spacing w:before="151" w:line="220" w:lineRule="auto"/>
              <w:ind w:left="154"/>
              <w:rPr>
                <w:sz w:val="18"/>
                <w:szCs w:val="18"/>
              </w:rPr>
            </w:pPr>
            <w:r>
              <w:rPr>
                <w:spacing w:val="-3"/>
                <w:sz w:val="18"/>
                <w:szCs w:val="18"/>
              </w:rPr>
              <w:t>有组织</w:t>
            </w:r>
          </w:p>
        </w:tc>
        <w:tc>
          <w:tcPr>
            <w:tcW w:w="1174" w:type="dxa"/>
            <w:vMerge w:val="restart"/>
            <w:tcBorders>
              <w:bottom w:val="nil"/>
            </w:tcBorders>
            <w:vAlign w:val="top"/>
          </w:tcPr>
          <w:p w14:paraId="5E7FF860">
            <w:pPr>
              <w:spacing w:line="292" w:lineRule="auto"/>
              <w:rPr>
                <w:rFonts w:ascii="Arial"/>
                <w:sz w:val="21"/>
              </w:rPr>
            </w:pPr>
          </w:p>
          <w:p w14:paraId="186840D9">
            <w:pPr>
              <w:pStyle w:val="6"/>
              <w:spacing w:before="59" w:line="221" w:lineRule="auto"/>
              <w:ind w:left="316"/>
              <w:rPr>
                <w:sz w:val="18"/>
                <w:szCs w:val="18"/>
              </w:rPr>
            </w:pPr>
            <w:r>
              <w:rPr>
                <w:spacing w:val="-3"/>
                <w:sz w:val="18"/>
                <w:szCs w:val="18"/>
              </w:rPr>
              <w:t>硫酸雾</w:t>
            </w:r>
          </w:p>
        </w:tc>
        <w:tc>
          <w:tcPr>
            <w:tcW w:w="674" w:type="dxa"/>
            <w:vMerge w:val="continue"/>
            <w:tcBorders>
              <w:top w:val="nil"/>
              <w:bottom w:val="nil"/>
            </w:tcBorders>
            <w:vAlign w:val="top"/>
          </w:tcPr>
          <w:p w14:paraId="2FACF058">
            <w:pPr>
              <w:rPr>
                <w:rFonts w:ascii="Arial"/>
                <w:sz w:val="21"/>
              </w:rPr>
            </w:pPr>
          </w:p>
        </w:tc>
        <w:tc>
          <w:tcPr>
            <w:tcW w:w="1087" w:type="dxa"/>
            <w:vAlign w:val="top"/>
          </w:tcPr>
          <w:p w14:paraId="6A829EB4">
            <w:pPr>
              <w:spacing w:before="180"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6EF9B361">
            <w:pPr>
              <w:spacing w:before="180"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w:t>
            </w:r>
          </w:p>
        </w:tc>
        <w:tc>
          <w:tcPr>
            <w:tcW w:w="761" w:type="dxa"/>
            <w:vAlign w:val="top"/>
          </w:tcPr>
          <w:p w14:paraId="1D0BB0CB">
            <w:pPr>
              <w:spacing w:before="180"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0.0869</w:t>
            </w:r>
          </w:p>
        </w:tc>
        <w:tc>
          <w:tcPr>
            <w:tcW w:w="674" w:type="dxa"/>
            <w:vAlign w:val="top"/>
          </w:tcPr>
          <w:p w14:paraId="2A7BC718">
            <w:pPr>
              <w:pStyle w:val="6"/>
              <w:spacing w:before="36" w:line="221" w:lineRule="auto"/>
              <w:ind w:left="73"/>
              <w:rPr>
                <w:sz w:val="18"/>
                <w:szCs w:val="18"/>
              </w:rPr>
            </w:pPr>
            <w:r>
              <w:rPr>
                <w:spacing w:val="-3"/>
                <w:sz w:val="18"/>
                <w:szCs w:val="18"/>
              </w:rPr>
              <w:t>三级碱</w:t>
            </w:r>
          </w:p>
          <w:p w14:paraId="6F2F7489">
            <w:pPr>
              <w:pStyle w:val="6"/>
              <w:spacing w:before="16" w:line="202" w:lineRule="auto"/>
              <w:ind w:left="74"/>
              <w:rPr>
                <w:sz w:val="18"/>
                <w:szCs w:val="18"/>
              </w:rPr>
            </w:pPr>
            <w:r>
              <w:rPr>
                <w:spacing w:val="-3"/>
                <w:sz w:val="18"/>
                <w:szCs w:val="18"/>
              </w:rPr>
              <w:t>液喷淋</w:t>
            </w:r>
          </w:p>
        </w:tc>
        <w:tc>
          <w:tcPr>
            <w:tcW w:w="538" w:type="dxa"/>
            <w:vAlign w:val="top"/>
          </w:tcPr>
          <w:p w14:paraId="78FFAFC0">
            <w:pPr>
              <w:spacing w:before="180"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561" w:type="dxa"/>
            <w:vMerge w:val="continue"/>
            <w:tcBorders>
              <w:top w:val="nil"/>
              <w:bottom w:val="nil"/>
            </w:tcBorders>
            <w:vAlign w:val="top"/>
          </w:tcPr>
          <w:p w14:paraId="0F87BF13">
            <w:pPr>
              <w:rPr>
                <w:rFonts w:ascii="Arial"/>
                <w:sz w:val="21"/>
              </w:rPr>
            </w:pPr>
          </w:p>
        </w:tc>
        <w:tc>
          <w:tcPr>
            <w:tcW w:w="1012" w:type="dxa"/>
            <w:vAlign w:val="top"/>
          </w:tcPr>
          <w:p w14:paraId="0D24ACD0">
            <w:pPr>
              <w:spacing w:before="180"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0039D1B2">
            <w:pPr>
              <w:spacing w:before="180"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736" w:type="dxa"/>
            <w:vAlign w:val="top"/>
          </w:tcPr>
          <w:p w14:paraId="6E9515A9">
            <w:pPr>
              <w:spacing w:before="180"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0.0104</w:t>
            </w:r>
          </w:p>
        </w:tc>
        <w:tc>
          <w:tcPr>
            <w:tcW w:w="749" w:type="dxa"/>
            <w:vAlign w:val="top"/>
          </w:tcPr>
          <w:p w14:paraId="0E23AF03">
            <w:pPr>
              <w:spacing w:before="180"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DA013</w:t>
            </w:r>
          </w:p>
        </w:tc>
        <w:tc>
          <w:tcPr>
            <w:tcW w:w="600" w:type="dxa"/>
            <w:vAlign w:val="top"/>
          </w:tcPr>
          <w:p w14:paraId="69789AA3">
            <w:pPr>
              <w:spacing w:before="18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769AADD9">
            <w:pPr>
              <w:rPr>
                <w:rFonts w:ascii="Arial"/>
                <w:sz w:val="21"/>
              </w:rPr>
            </w:pPr>
          </w:p>
        </w:tc>
      </w:tr>
      <w:tr w14:paraId="48F8F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45C46B13">
            <w:pPr>
              <w:rPr>
                <w:rFonts w:ascii="Arial"/>
                <w:sz w:val="21"/>
              </w:rPr>
            </w:pPr>
          </w:p>
        </w:tc>
        <w:tc>
          <w:tcPr>
            <w:tcW w:w="111" w:type="dxa"/>
            <w:tcBorders>
              <w:top w:val="nil"/>
              <w:bottom w:val="nil"/>
            </w:tcBorders>
            <w:vAlign w:val="top"/>
          </w:tcPr>
          <w:p w14:paraId="7E4800DB">
            <w:pPr>
              <w:rPr>
                <w:rFonts w:ascii="Arial"/>
                <w:sz w:val="21"/>
              </w:rPr>
            </w:pPr>
          </w:p>
        </w:tc>
        <w:tc>
          <w:tcPr>
            <w:tcW w:w="708" w:type="dxa"/>
            <w:vMerge w:val="continue"/>
            <w:tcBorders>
              <w:top w:val="nil"/>
              <w:bottom w:val="nil"/>
            </w:tcBorders>
            <w:vAlign w:val="top"/>
          </w:tcPr>
          <w:p w14:paraId="1BCD0CF0">
            <w:pPr>
              <w:rPr>
                <w:rFonts w:ascii="Arial"/>
                <w:sz w:val="21"/>
              </w:rPr>
            </w:pPr>
          </w:p>
        </w:tc>
        <w:tc>
          <w:tcPr>
            <w:tcW w:w="736" w:type="dxa"/>
            <w:vMerge w:val="continue"/>
            <w:tcBorders>
              <w:top w:val="nil"/>
              <w:bottom w:val="nil"/>
            </w:tcBorders>
            <w:vAlign w:val="top"/>
          </w:tcPr>
          <w:p w14:paraId="58F893D6">
            <w:pPr>
              <w:rPr>
                <w:rFonts w:ascii="Arial"/>
                <w:sz w:val="21"/>
              </w:rPr>
            </w:pPr>
          </w:p>
        </w:tc>
        <w:tc>
          <w:tcPr>
            <w:tcW w:w="849" w:type="dxa"/>
            <w:vAlign w:val="top"/>
          </w:tcPr>
          <w:p w14:paraId="43FFA662">
            <w:pPr>
              <w:pStyle w:val="6"/>
              <w:spacing w:before="112" w:line="220" w:lineRule="auto"/>
              <w:ind w:left="154"/>
              <w:rPr>
                <w:sz w:val="18"/>
                <w:szCs w:val="18"/>
              </w:rPr>
            </w:pPr>
            <w:r>
              <w:rPr>
                <w:spacing w:val="-3"/>
                <w:sz w:val="18"/>
                <w:szCs w:val="18"/>
              </w:rPr>
              <w:t>无组织</w:t>
            </w:r>
          </w:p>
        </w:tc>
        <w:tc>
          <w:tcPr>
            <w:tcW w:w="1174" w:type="dxa"/>
            <w:vMerge w:val="continue"/>
            <w:tcBorders>
              <w:top w:val="nil"/>
            </w:tcBorders>
            <w:vAlign w:val="top"/>
          </w:tcPr>
          <w:p w14:paraId="7A7F465D">
            <w:pPr>
              <w:rPr>
                <w:rFonts w:ascii="Arial"/>
                <w:sz w:val="21"/>
              </w:rPr>
            </w:pPr>
          </w:p>
        </w:tc>
        <w:tc>
          <w:tcPr>
            <w:tcW w:w="674" w:type="dxa"/>
            <w:vMerge w:val="continue"/>
            <w:tcBorders>
              <w:top w:val="nil"/>
              <w:bottom w:val="nil"/>
            </w:tcBorders>
            <w:vAlign w:val="top"/>
          </w:tcPr>
          <w:p w14:paraId="220EA2A2">
            <w:pPr>
              <w:rPr>
                <w:rFonts w:ascii="Arial"/>
                <w:sz w:val="21"/>
              </w:rPr>
            </w:pPr>
          </w:p>
        </w:tc>
        <w:tc>
          <w:tcPr>
            <w:tcW w:w="1087" w:type="dxa"/>
            <w:vAlign w:val="top"/>
          </w:tcPr>
          <w:p w14:paraId="19B7E1CA">
            <w:pPr>
              <w:spacing w:before="140"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16773309">
            <w:pPr>
              <w:spacing w:before="140"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71976A60">
            <w:pPr>
              <w:spacing w:before="143"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674" w:type="dxa"/>
            <w:vAlign w:val="top"/>
          </w:tcPr>
          <w:p w14:paraId="47B25AEA">
            <w:pPr>
              <w:spacing w:before="140"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2F973321">
            <w:pPr>
              <w:spacing w:before="140"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bottom w:val="nil"/>
            </w:tcBorders>
            <w:vAlign w:val="top"/>
          </w:tcPr>
          <w:p w14:paraId="361E24A3">
            <w:pPr>
              <w:rPr>
                <w:rFonts w:ascii="Arial"/>
                <w:sz w:val="21"/>
              </w:rPr>
            </w:pPr>
          </w:p>
        </w:tc>
        <w:tc>
          <w:tcPr>
            <w:tcW w:w="1012" w:type="dxa"/>
            <w:vAlign w:val="top"/>
          </w:tcPr>
          <w:p w14:paraId="42049210">
            <w:pPr>
              <w:spacing w:before="140"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5EA6BD09">
            <w:pPr>
              <w:spacing w:before="140"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793280F5">
            <w:pPr>
              <w:spacing w:before="14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0.0097</w:t>
            </w:r>
          </w:p>
        </w:tc>
        <w:tc>
          <w:tcPr>
            <w:tcW w:w="749" w:type="dxa"/>
            <w:vAlign w:val="top"/>
          </w:tcPr>
          <w:p w14:paraId="4EFF0A2A">
            <w:pPr>
              <w:spacing w:before="140"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48214DD0">
            <w:pPr>
              <w:spacing w:before="143"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53F0CB7">
            <w:pPr>
              <w:rPr>
                <w:rFonts w:ascii="Arial"/>
                <w:sz w:val="21"/>
              </w:rPr>
            </w:pPr>
          </w:p>
        </w:tc>
      </w:tr>
      <w:tr w14:paraId="73E9B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vMerge w:val="continue"/>
            <w:tcBorders>
              <w:top w:val="nil"/>
              <w:left w:val="single" w:color="000000" w:sz="6" w:space="0"/>
              <w:bottom w:val="nil"/>
            </w:tcBorders>
            <w:vAlign w:val="top"/>
          </w:tcPr>
          <w:p w14:paraId="5E596407">
            <w:pPr>
              <w:rPr>
                <w:rFonts w:ascii="Arial"/>
                <w:sz w:val="21"/>
              </w:rPr>
            </w:pPr>
          </w:p>
        </w:tc>
        <w:tc>
          <w:tcPr>
            <w:tcW w:w="111" w:type="dxa"/>
            <w:tcBorders>
              <w:top w:val="nil"/>
              <w:bottom w:val="nil"/>
            </w:tcBorders>
            <w:vAlign w:val="top"/>
          </w:tcPr>
          <w:p w14:paraId="10120E4A">
            <w:pPr>
              <w:rPr>
                <w:rFonts w:ascii="Arial"/>
                <w:sz w:val="21"/>
              </w:rPr>
            </w:pPr>
          </w:p>
        </w:tc>
        <w:tc>
          <w:tcPr>
            <w:tcW w:w="708" w:type="dxa"/>
            <w:vMerge w:val="continue"/>
            <w:tcBorders>
              <w:top w:val="nil"/>
              <w:bottom w:val="nil"/>
            </w:tcBorders>
            <w:vAlign w:val="top"/>
          </w:tcPr>
          <w:p w14:paraId="608861EC">
            <w:pPr>
              <w:rPr>
                <w:rFonts w:ascii="Arial"/>
                <w:sz w:val="21"/>
              </w:rPr>
            </w:pPr>
          </w:p>
        </w:tc>
        <w:tc>
          <w:tcPr>
            <w:tcW w:w="736" w:type="dxa"/>
            <w:vMerge w:val="continue"/>
            <w:tcBorders>
              <w:top w:val="nil"/>
              <w:bottom w:val="nil"/>
            </w:tcBorders>
            <w:vAlign w:val="top"/>
          </w:tcPr>
          <w:p w14:paraId="07004176">
            <w:pPr>
              <w:rPr>
                <w:rFonts w:ascii="Arial"/>
                <w:sz w:val="21"/>
              </w:rPr>
            </w:pPr>
          </w:p>
        </w:tc>
        <w:tc>
          <w:tcPr>
            <w:tcW w:w="849" w:type="dxa"/>
            <w:vAlign w:val="top"/>
          </w:tcPr>
          <w:p w14:paraId="6862C6DF">
            <w:pPr>
              <w:pStyle w:val="6"/>
              <w:spacing w:before="151" w:line="220" w:lineRule="auto"/>
              <w:ind w:left="154"/>
              <w:rPr>
                <w:sz w:val="18"/>
                <w:szCs w:val="18"/>
              </w:rPr>
            </w:pPr>
            <w:r>
              <w:rPr>
                <w:spacing w:val="-3"/>
                <w:sz w:val="18"/>
                <w:szCs w:val="18"/>
              </w:rPr>
              <w:t>有组织</w:t>
            </w:r>
          </w:p>
        </w:tc>
        <w:tc>
          <w:tcPr>
            <w:tcW w:w="1174" w:type="dxa"/>
            <w:vMerge w:val="restart"/>
            <w:tcBorders>
              <w:bottom w:val="nil"/>
            </w:tcBorders>
            <w:vAlign w:val="top"/>
          </w:tcPr>
          <w:p w14:paraId="14F17882">
            <w:pPr>
              <w:pStyle w:val="6"/>
              <w:spacing w:before="237" w:line="221" w:lineRule="auto"/>
              <w:ind w:left="138"/>
              <w:rPr>
                <w:sz w:val="18"/>
                <w:szCs w:val="18"/>
              </w:rPr>
            </w:pPr>
            <w:r>
              <w:rPr>
                <w:spacing w:val="-2"/>
                <w:sz w:val="18"/>
                <w:szCs w:val="18"/>
              </w:rPr>
              <w:t>硝酸雾（以</w:t>
            </w:r>
          </w:p>
          <w:p w14:paraId="03A7E1F0">
            <w:pPr>
              <w:pStyle w:val="6"/>
              <w:spacing w:before="19" w:line="221" w:lineRule="auto"/>
              <w:ind w:left="202"/>
              <w:rPr>
                <w:sz w:val="18"/>
                <w:szCs w:val="18"/>
              </w:rPr>
            </w:pPr>
            <w:r>
              <w:rPr>
                <w:rFonts w:ascii="Times New Roman" w:hAnsi="Times New Roman" w:eastAsia="Times New Roman" w:cs="Times New Roman"/>
                <w:sz w:val="18"/>
                <w:szCs w:val="18"/>
              </w:rPr>
              <w:t xml:space="preserve">NOx </w:t>
            </w:r>
            <w:r>
              <w:rPr>
                <w:sz w:val="18"/>
                <w:szCs w:val="18"/>
              </w:rPr>
              <w:t>计）</w:t>
            </w:r>
          </w:p>
        </w:tc>
        <w:tc>
          <w:tcPr>
            <w:tcW w:w="674" w:type="dxa"/>
            <w:vMerge w:val="continue"/>
            <w:tcBorders>
              <w:top w:val="nil"/>
              <w:bottom w:val="nil"/>
            </w:tcBorders>
            <w:vAlign w:val="top"/>
          </w:tcPr>
          <w:p w14:paraId="47401E92">
            <w:pPr>
              <w:rPr>
                <w:rFonts w:ascii="Arial"/>
                <w:sz w:val="21"/>
              </w:rPr>
            </w:pPr>
          </w:p>
        </w:tc>
        <w:tc>
          <w:tcPr>
            <w:tcW w:w="1087" w:type="dxa"/>
            <w:vAlign w:val="top"/>
          </w:tcPr>
          <w:p w14:paraId="26C4E12D">
            <w:pPr>
              <w:spacing w:before="183"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849" w:type="dxa"/>
            <w:vAlign w:val="top"/>
          </w:tcPr>
          <w:p w14:paraId="197200EE">
            <w:pPr>
              <w:spacing w:before="183"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21.84</w:t>
            </w:r>
          </w:p>
        </w:tc>
        <w:tc>
          <w:tcPr>
            <w:tcW w:w="761" w:type="dxa"/>
            <w:vAlign w:val="top"/>
          </w:tcPr>
          <w:p w14:paraId="7665C53B">
            <w:pPr>
              <w:spacing w:before="183"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0.4369</w:t>
            </w:r>
          </w:p>
        </w:tc>
        <w:tc>
          <w:tcPr>
            <w:tcW w:w="674" w:type="dxa"/>
            <w:vAlign w:val="top"/>
          </w:tcPr>
          <w:p w14:paraId="6678FEB0">
            <w:pPr>
              <w:pStyle w:val="6"/>
              <w:spacing w:before="37" w:line="221" w:lineRule="auto"/>
              <w:ind w:left="73"/>
              <w:rPr>
                <w:sz w:val="18"/>
                <w:szCs w:val="18"/>
              </w:rPr>
            </w:pPr>
            <w:r>
              <w:rPr>
                <w:spacing w:val="-3"/>
                <w:sz w:val="18"/>
                <w:szCs w:val="18"/>
              </w:rPr>
              <w:t>三级碱</w:t>
            </w:r>
          </w:p>
          <w:p w14:paraId="01D586BB">
            <w:pPr>
              <w:pStyle w:val="6"/>
              <w:spacing w:before="17" w:line="194" w:lineRule="auto"/>
              <w:ind w:left="74"/>
              <w:rPr>
                <w:sz w:val="18"/>
                <w:szCs w:val="18"/>
              </w:rPr>
            </w:pPr>
            <w:r>
              <w:rPr>
                <w:spacing w:val="-3"/>
                <w:sz w:val="18"/>
                <w:szCs w:val="18"/>
              </w:rPr>
              <w:t>液喷淋</w:t>
            </w:r>
          </w:p>
        </w:tc>
        <w:tc>
          <w:tcPr>
            <w:tcW w:w="538" w:type="dxa"/>
            <w:vAlign w:val="top"/>
          </w:tcPr>
          <w:p w14:paraId="5968904A">
            <w:pPr>
              <w:spacing w:before="183" w:line="188" w:lineRule="auto"/>
              <w:ind w:left="1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561" w:type="dxa"/>
            <w:vMerge w:val="continue"/>
            <w:tcBorders>
              <w:top w:val="nil"/>
              <w:bottom w:val="nil"/>
            </w:tcBorders>
            <w:vAlign w:val="top"/>
          </w:tcPr>
          <w:p w14:paraId="306668AD">
            <w:pPr>
              <w:rPr>
                <w:rFonts w:ascii="Arial"/>
                <w:sz w:val="21"/>
              </w:rPr>
            </w:pPr>
          </w:p>
        </w:tc>
        <w:tc>
          <w:tcPr>
            <w:tcW w:w="1012" w:type="dxa"/>
            <w:vAlign w:val="top"/>
          </w:tcPr>
          <w:p w14:paraId="3A8487DA">
            <w:pPr>
              <w:spacing w:before="183"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c>
          <w:tcPr>
            <w:tcW w:w="724" w:type="dxa"/>
            <w:vAlign w:val="top"/>
          </w:tcPr>
          <w:p w14:paraId="53199416">
            <w:pPr>
              <w:spacing w:before="183"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736" w:type="dxa"/>
            <w:vAlign w:val="top"/>
          </w:tcPr>
          <w:p w14:paraId="1BF93CD7">
            <w:pPr>
              <w:spacing w:before="18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0.0655</w:t>
            </w:r>
          </w:p>
        </w:tc>
        <w:tc>
          <w:tcPr>
            <w:tcW w:w="749" w:type="dxa"/>
            <w:vAlign w:val="top"/>
          </w:tcPr>
          <w:p w14:paraId="71FE5348">
            <w:pPr>
              <w:spacing w:before="183"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DA013</w:t>
            </w:r>
          </w:p>
        </w:tc>
        <w:tc>
          <w:tcPr>
            <w:tcW w:w="600" w:type="dxa"/>
            <w:vAlign w:val="top"/>
          </w:tcPr>
          <w:p w14:paraId="3D00641A">
            <w:pPr>
              <w:spacing w:before="183"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43428C4A">
            <w:pPr>
              <w:rPr>
                <w:rFonts w:ascii="Arial"/>
                <w:sz w:val="21"/>
              </w:rPr>
            </w:pPr>
          </w:p>
        </w:tc>
      </w:tr>
      <w:tr w14:paraId="390FE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55" w:type="dxa"/>
            <w:vMerge w:val="continue"/>
            <w:tcBorders>
              <w:top w:val="nil"/>
              <w:left w:val="single" w:color="000000" w:sz="6" w:space="0"/>
              <w:bottom w:val="nil"/>
            </w:tcBorders>
            <w:vAlign w:val="top"/>
          </w:tcPr>
          <w:p w14:paraId="05BAF2C2">
            <w:pPr>
              <w:rPr>
                <w:rFonts w:ascii="Arial"/>
                <w:sz w:val="21"/>
              </w:rPr>
            </w:pPr>
          </w:p>
        </w:tc>
        <w:tc>
          <w:tcPr>
            <w:tcW w:w="111" w:type="dxa"/>
            <w:tcBorders>
              <w:top w:val="nil"/>
              <w:bottom w:val="nil"/>
            </w:tcBorders>
            <w:vAlign w:val="top"/>
          </w:tcPr>
          <w:p w14:paraId="36B4653A">
            <w:pPr>
              <w:rPr>
                <w:rFonts w:ascii="Arial"/>
                <w:sz w:val="21"/>
              </w:rPr>
            </w:pPr>
          </w:p>
        </w:tc>
        <w:tc>
          <w:tcPr>
            <w:tcW w:w="708" w:type="dxa"/>
            <w:vMerge w:val="continue"/>
            <w:tcBorders>
              <w:top w:val="nil"/>
            </w:tcBorders>
            <w:vAlign w:val="top"/>
          </w:tcPr>
          <w:p w14:paraId="08710E84">
            <w:pPr>
              <w:rPr>
                <w:rFonts w:ascii="Arial"/>
                <w:sz w:val="21"/>
              </w:rPr>
            </w:pPr>
          </w:p>
        </w:tc>
        <w:tc>
          <w:tcPr>
            <w:tcW w:w="736" w:type="dxa"/>
            <w:vMerge w:val="continue"/>
            <w:tcBorders>
              <w:top w:val="nil"/>
            </w:tcBorders>
            <w:vAlign w:val="top"/>
          </w:tcPr>
          <w:p w14:paraId="066C349C">
            <w:pPr>
              <w:rPr>
                <w:rFonts w:ascii="Arial"/>
                <w:sz w:val="21"/>
              </w:rPr>
            </w:pPr>
          </w:p>
        </w:tc>
        <w:tc>
          <w:tcPr>
            <w:tcW w:w="849" w:type="dxa"/>
            <w:vAlign w:val="top"/>
          </w:tcPr>
          <w:p w14:paraId="5A71FCEC">
            <w:pPr>
              <w:pStyle w:val="6"/>
              <w:spacing w:before="119" w:line="220" w:lineRule="auto"/>
              <w:ind w:left="154"/>
              <w:rPr>
                <w:sz w:val="18"/>
                <w:szCs w:val="18"/>
              </w:rPr>
            </w:pPr>
            <w:r>
              <w:rPr>
                <w:spacing w:val="-3"/>
                <w:sz w:val="18"/>
                <w:szCs w:val="18"/>
              </w:rPr>
              <w:t>无组织</w:t>
            </w:r>
          </w:p>
        </w:tc>
        <w:tc>
          <w:tcPr>
            <w:tcW w:w="1174" w:type="dxa"/>
            <w:vMerge w:val="continue"/>
            <w:tcBorders>
              <w:top w:val="nil"/>
            </w:tcBorders>
            <w:vAlign w:val="top"/>
          </w:tcPr>
          <w:p w14:paraId="574025AB">
            <w:pPr>
              <w:rPr>
                <w:rFonts w:ascii="Arial"/>
                <w:sz w:val="21"/>
              </w:rPr>
            </w:pPr>
          </w:p>
        </w:tc>
        <w:tc>
          <w:tcPr>
            <w:tcW w:w="674" w:type="dxa"/>
            <w:vMerge w:val="continue"/>
            <w:tcBorders>
              <w:top w:val="nil"/>
            </w:tcBorders>
            <w:vAlign w:val="top"/>
          </w:tcPr>
          <w:p w14:paraId="4901211B">
            <w:pPr>
              <w:rPr>
                <w:rFonts w:ascii="Arial"/>
                <w:sz w:val="21"/>
              </w:rPr>
            </w:pPr>
          </w:p>
        </w:tc>
        <w:tc>
          <w:tcPr>
            <w:tcW w:w="1087" w:type="dxa"/>
            <w:vAlign w:val="top"/>
          </w:tcPr>
          <w:p w14:paraId="4A7F7ED6">
            <w:pPr>
              <w:spacing w:before="147" w:line="192" w:lineRule="auto"/>
              <w:ind w:left="5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3F829C7B">
            <w:pPr>
              <w:spacing w:before="147" w:line="192" w:lineRule="auto"/>
              <w:ind w:left="39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1" w:type="dxa"/>
            <w:vAlign w:val="top"/>
          </w:tcPr>
          <w:p w14:paraId="603CF149">
            <w:pPr>
              <w:spacing w:before="150"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674" w:type="dxa"/>
            <w:vAlign w:val="top"/>
          </w:tcPr>
          <w:p w14:paraId="0E3EC9B6">
            <w:pPr>
              <w:spacing w:before="147"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8" w:type="dxa"/>
            <w:vAlign w:val="top"/>
          </w:tcPr>
          <w:p w14:paraId="70362942">
            <w:pPr>
              <w:spacing w:before="147" w:line="192" w:lineRule="auto"/>
              <w:ind w:left="2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Merge w:val="continue"/>
            <w:tcBorders>
              <w:top w:val="nil"/>
            </w:tcBorders>
            <w:vAlign w:val="top"/>
          </w:tcPr>
          <w:p w14:paraId="16F5948C">
            <w:pPr>
              <w:rPr>
                <w:rFonts w:ascii="Arial"/>
                <w:sz w:val="21"/>
              </w:rPr>
            </w:pPr>
          </w:p>
        </w:tc>
        <w:tc>
          <w:tcPr>
            <w:tcW w:w="1012" w:type="dxa"/>
            <w:vAlign w:val="top"/>
          </w:tcPr>
          <w:p w14:paraId="116C881B">
            <w:pPr>
              <w:spacing w:before="147" w:line="192" w:lineRule="auto"/>
              <w:ind w:left="4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4" w:type="dxa"/>
            <w:vAlign w:val="top"/>
          </w:tcPr>
          <w:p w14:paraId="4924E459">
            <w:pPr>
              <w:spacing w:before="147" w:line="192"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36" w:type="dxa"/>
            <w:vAlign w:val="top"/>
          </w:tcPr>
          <w:p w14:paraId="3E9D5C3F">
            <w:pPr>
              <w:spacing w:before="150"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0.0485</w:t>
            </w:r>
          </w:p>
        </w:tc>
        <w:tc>
          <w:tcPr>
            <w:tcW w:w="749" w:type="dxa"/>
            <w:vAlign w:val="top"/>
          </w:tcPr>
          <w:p w14:paraId="2320F589">
            <w:pPr>
              <w:spacing w:before="147" w:line="192"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0" w:type="dxa"/>
            <w:vAlign w:val="top"/>
          </w:tcPr>
          <w:p w14:paraId="529A128F">
            <w:pPr>
              <w:spacing w:before="15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3360</w:t>
            </w:r>
          </w:p>
        </w:tc>
        <w:tc>
          <w:tcPr>
            <w:tcW w:w="122" w:type="dxa"/>
            <w:vMerge w:val="continue"/>
            <w:tcBorders>
              <w:top w:val="nil"/>
              <w:bottom w:val="nil"/>
              <w:right w:val="single" w:color="000000" w:sz="6" w:space="0"/>
            </w:tcBorders>
            <w:vAlign w:val="top"/>
          </w:tcPr>
          <w:p w14:paraId="1739FB64">
            <w:pPr>
              <w:rPr>
                <w:rFonts w:ascii="Arial"/>
                <w:sz w:val="21"/>
              </w:rPr>
            </w:pPr>
          </w:p>
        </w:tc>
      </w:tr>
      <w:tr w14:paraId="78B99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5" w:hRule="atLeast"/>
        </w:trPr>
        <w:tc>
          <w:tcPr>
            <w:tcW w:w="755" w:type="dxa"/>
            <w:vMerge w:val="continue"/>
            <w:tcBorders>
              <w:top w:val="nil"/>
              <w:left w:val="single" w:color="000000" w:sz="6" w:space="0"/>
              <w:bottom w:val="single" w:color="000000" w:sz="6" w:space="0"/>
            </w:tcBorders>
            <w:vAlign w:val="top"/>
          </w:tcPr>
          <w:p w14:paraId="2938B2C0">
            <w:pPr>
              <w:rPr>
                <w:rFonts w:ascii="Arial"/>
                <w:sz w:val="21"/>
              </w:rPr>
            </w:pPr>
          </w:p>
        </w:tc>
        <w:tc>
          <w:tcPr>
            <w:tcW w:w="12665" w:type="dxa"/>
            <w:gridSpan w:val="18"/>
            <w:tcBorders>
              <w:bottom w:val="single" w:color="000000" w:sz="6" w:space="0"/>
              <w:right w:val="single" w:color="000000" w:sz="6" w:space="0"/>
            </w:tcBorders>
            <w:vAlign w:val="top"/>
          </w:tcPr>
          <w:p w14:paraId="739FB6DB">
            <w:pPr>
              <w:rPr>
                <w:rFonts w:ascii="Arial"/>
                <w:sz w:val="21"/>
              </w:rPr>
            </w:pPr>
          </w:p>
        </w:tc>
      </w:tr>
    </w:tbl>
    <w:p w14:paraId="0DFA118F">
      <w:pPr>
        <w:rPr>
          <w:rFonts w:ascii="Arial"/>
          <w:sz w:val="21"/>
        </w:rPr>
      </w:pPr>
    </w:p>
    <w:p w14:paraId="226F5B01">
      <w:pPr>
        <w:rPr>
          <w:rFonts w:ascii="Arial" w:hAnsi="Arial" w:eastAsia="Arial" w:cs="Arial"/>
          <w:sz w:val="21"/>
          <w:szCs w:val="21"/>
        </w:rPr>
        <w:sectPr>
          <w:footerReference r:id="rId80" w:type="default"/>
          <w:pgSz w:w="16840" w:h="11907"/>
          <w:pgMar w:top="400" w:right="1702" w:bottom="1241" w:left="1702" w:header="0" w:footer="1079" w:gutter="0"/>
          <w:cols w:space="720" w:num="1"/>
        </w:sectPr>
      </w:pPr>
    </w:p>
    <w:p w14:paraId="0D157CE9">
      <w:pPr>
        <w:spacing w:before="19"/>
      </w:pPr>
    </w:p>
    <w:p w14:paraId="28ADD63A">
      <w:pPr>
        <w:spacing w:before="19"/>
      </w:pPr>
    </w:p>
    <w:p w14:paraId="5994451D">
      <w:pPr>
        <w:spacing w:before="19"/>
      </w:pPr>
    </w:p>
    <w:p w14:paraId="19921D94">
      <w:pPr>
        <w:spacing w:before="18"/>
      </w:pPr>
    </w:p>
    <w:p w14:paraId="67E49946">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71"/>
        <w:gridCol w:w="492"/>
        <w:gridCol w:w="1564"/>
        <w:gridCol w:w="1533"/>
        <w:gridCol w:w="1485"/>
        <w:gridCol w:w="668"/>
        <w:gridCol w:w="869"/>
        <w:gridCol w:w="804"/>
        <w:gridCol w:w="614"/>
        <w:gridCol w:w="180"/>
      </w:tblGrid>
      <w:tr w14:paraId="13248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9" w:hRule="atLeast"/>
        </w:trPr>
        <w:tc>
          <w:tcPr>
            <w:tcW w:w="605" w:type="dxa"/>
            <w:vMerge w:val="restart"/>
            <w:tcBorders>
              <w:top w:val="single" w:color="000000" w:sz="6" w:space="0"/>
              <w:left w:val="single" w:color="000000" w:sz="6" w:space="0"/>
              <w:bottom w:val="nil"/>
            </w:tcBorders>
            <w:vAlign w:val="top"/>
          </w:tcPr>
          <w:p w14:paraId="34F19C86">
            <w:pPr>
              <w:rPr>
                <w:rFonts w:ascii="Arial"/>
                <w:sz w:val="21"/>
              </w:rPr>
            </w:pPr>
          </w:p>
        </w:tc>
        <w:tc>
          <w:tcPr>
            <w:tcW w:w="8380" w:type="dxa"/>
            <w:gridSpan w:val="10"/>
            <w:tcBorders>
              <w:top w:val="single" w:color="000000" w:sz="6" w:space="0"/>
              <w:right w:val="single" w:color="000000" w:sz="6" w:space="0"/>
            </w:tcBorders>
            <w:vAlign w:val="top"/>
          </w:tcPr>
          <w:p w14:paraId="05F57E0D">
            <w:pPr>
              <w:pStyle w:val="6"/>
              <w:spacing w:before="39" w:line="359" w:lineRule="auto"/>
              <w:ind w:left="111" w:right="104" w:firstLine="480"/>
            </w:pPr>
            <w:r>
              <w:rPr>
                <w:spacing w:val="-1"/>
              </w:rPr>
              <w:t>项目泡酸废气处理设施碱液喷淋塔安置于</w:t>
            </w:r>
            <w:r>
              <w:rPr>
                <w:spacing w:val="-51"/>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6"/>
              </w:rPr>
              <w:t xml:space="preserve"> </w:t>
            </w:r>
            <w:r>
              <w:rPr>
                <w:spacing w:val="-1"/>
              </w:rPr>
              <w:t>号楼厂房楼顶，泡酸废气经处</w:t>
            </w:r>
            <w:r>
              <w:t xml:space="preserve"> </w:t>
            </w:r>
            <w:r>
              <w:rPr>
                <w:spacing w:val="-1"/>
              </w:rPr>
              <w:t>理后尾气通过楼顶</w:t>
            </w:r>
            <w:r>
              <w:rPr>
                <w:spacing w:val="-47"/>
              </w:rPr>
              <w:t xml:space="preserve"> </w:t>
            </w:r>
            <w:r>
              <w:rPr>
                <w:rFonts w:ascii="Times New Roman" w:hAnsi="Times New Roman" w:eastAsia="Times New Roman" w:cs="Times New Roman"/>
                <w:spacing w:val="-1"/>
              </w:rPr>
              <w:t>DA006~DA013</w:t>
            </w:r>
            <w:r>
              <w:rPr>
                <w:spacing w:val="-1"/>
              </w:rPr>
              <w:t>（均为</w:t>
            </w:r>
            <w:r>
              <w:rPr>
                <w:spacing w:val="-55"/>
              </w:rPr>
              <w:t xml:space="preserve"> </w:t>
            </w:r>
            <w:r>
              <w:rPr>
                <w:rFonts w:ascii="Times New Roman" w:hAnsi="Times New Roman" w:eastAsia="Times New Roman" w:cs="Times New Roman"/>
                <w:spacing w:val="-1"/>
              </w:rPr>
              <w:t>25m</w:t>
            </w:r>
            <w:r>
              <w:rPr>
                <w:spacing w:val="-1"/>
              </w:rPr>
              <w:t>）排气筒达标排放。</w:t>
            </w:r>
          </w:p>
          <w:p w14:paraId="1E98236F">
            <w:pPr>
              <w:pStyle w:val="6"/>
              <w:spacing w:line="219" w:lineRule="auto"/>
              <w:ind w:left="599"/>
            </w:pPr>
            <w:r>
              <w:rPr>
                <w:spacing w:val="-3"/>
              </w:rPr>
              <w:t>（</w:t>
            </w:r>
            <w:r>
              <w:rPr>
                <w:rFonts w:ascii="Times New Roman" w:hAnsi="Times New Roman" w:eastAsia="Times New Roman" w:cs="Times New Roman"/>
                <w:spacing w:val="-3"/>
              </w:rPr>
              <w:t>4</w:t>
            </w:r>
            <w:r>
              <w:rPr>
                <w:spacing w:val="-3"/>
              </w:rPr>
              <w:t>）厂区异味</w:t>
            </w:r>
          </w:p>
          <w:p w14:paraId="26D6B2FA">
            <w:pPr>
              <w:pStyle w:val="6"/>
              <w:spacing w:before="184" w:line="359" w:lineRule="auto"/>
              <w:ind w:left="109" w:right="101" w:firstLine="482"/>
            </w:pPr>
            <w:r>
              <w:t>项目注胶车间、泡酸车间，因使用到环氧树脂、丙酮、乙</w:t>
            </w:r>
            <w:r>
              <w:rPr>
                <w:spacing w:val="-1"/>
              </w:rPr>
              <w:t>醇、盐酸、氢氟</w:t>
            </w:r>
            <w:r>
              <w:t xml:space="preserve"> 酸、硫酸和硝酸等化学物质，会有异味产生</w:t>
            </w:r>
            <w:r>
              <w:rPr>
                <w:spacing w:val="-1"/>
              </w:rPr>
              <w:t>（按恶臭气体分析</w:t>
            </w:r>
            <w:r>
              <w:rPr>
                <w:spacing w:val="4"/>
              </w:rPr>
              <w:t>）；</w:t>
            </w:r>
            <w:r>
              <w:rPr>
                <w:spacing w:val="-1"/>
              </w:rPr>
              <w:t>废水处理站</w:t>
            </w:r>
            <w:r>
              <w:t xml:space="preserve"> 的沉淀污泥的堆存，也会产生恶臭气体。通过车间内的通风换气、厂区内</w:t>
            </w:r>
            <w:r>
              <w:rPr>
                <w:spacing w:val="-1"/>
              </w:rPr>
              <w:t>扩散</w:t>
            </w:r>
            <w:r>
              <w:t xml:space="preserve"> </w:t>
            </w:r>
            <w:r>
              <w:rPr>
                <w:spacing w:val="-1"/>
              </w:rPr>
              <w:t>和厂界阻隔，厂界臭气浓度满足《恶臭污染物排放</w:t>
            </w:r>
            <w:r>
              <w:rPr>
                <w:spacing w:val="-2"/>
              </w:rPr>
              <w:t>标准》（</w:t>
            </w:r>
            <w:r>
              <w:rPr>
                <w:rFonts w:ascii="Times New Roman" w:hAnsi="Times New Roman" w:eastAsia="Times New Roman" w:cs="Times New Roman"/>
                <w:spacing w:val="-2"/>
              </w:rPr>
              <w:t>GB14554-1993</w:t>
            </w:r>
            <w:r>
              <w:rPr>
                <w:spacing w:val="-2"/>
              </w:rPr>
              <w:t>）表</w:t>
            </w:r>
            <w:r>
              <w:t xml:space="preserve"> </w:t>
            </w:r>
            <w:r>
              <w:rPr>
                <w:rFonts w:ascii="Times New Roman" w:hAnsi="Times New Roman" w:eastAsia="Times New Roman" w:cs="Times New Roman"/>
                <w:spacing w:val="-2"/>
              </w:rPr>
              <w:t>1</w:t>
            </w:r>
            <w:r>
              <w:rPr>
                <w:rFonts w:ascii="Times New Roman" w:hAnsi="Times New Roman" w:eastAsia="Times New Roman" w:cs="Times New Roman"/>
                <w:spacing w:val="50"/>
                <w:w w:val="101"/>
              </w:rPr>
              <w:t xml:space="preserve"> </w:t>
            </w:r>
            <w:r>
              <w:rPr>
                <w:spacing w:val="-2"/>
              </w:rPr>
              <w:t>中臭气浓度二级新扩改建恶臭污染物厂界标准值，对环境影响很小。</w:t>
            </w:r>
          </w:p>
          <w:p w14:paraId="293DDFFF">
            <w:pPr>
              <w:pStyle w:val="6"/>
              <w:spacing w:line="219" w:lineRule="auto"/>
              <w:ind w:left="599"/>
            </w:pPr>
            <w:r>
              <w:rPr>
                <w:spacing w:val="-3"/>
              </w:rPr>
              <w:t>（</w:t>
            </w:r>
            <w:r>
              <w:rPr>
                <w:rFonts w:ascii="Times New Roman" w:hAnsi="Times New Roman" w:eastAsia="Times New Roman" w:cs="Times New Roman"/>
                <w:spacing w:val="-3"/>
              </w:rPr>
              <w:t>5</w:t>
            </w:r>
            <w:r>
              <w:rPr>
                <w:spacing w:val="-3"/>
              </w:rPr>
              <w:t>）技术可行性</w:t>
            </w:r>
          </w:p>
          <w:p w14:paraId="14C5345B">
            <w:pPr>
              <w:pStyle w:val="6"/>
              <w:spacing w:before="182" w:line="359" w:lineRule="auto"/>
              <w:ind w:left="108" w:right="113" w:firstLine="480"/>
            </w:pPr>
            <w:r>
              <w:rPr>
                <w:spacing w:val="11"/>
              </w:rPr>
              <w:t>有机废气：参照《排污许可证申请与核发技术规范 铁路、船舶、航空</w:t>
            </w:r>
            <w:r>
              <w:rPr>
                <w:spacing w:val="5"/>
              </w:rPr>
              <w:t xml:space="preserve"> 航天和其他运输设备制造业》（</w:t>
            </w:r>
            <w:r>
              <w:rPr>
                <w:rFonts w:ascii="Times New Roman" w:hAnsi="Times New Roman" w:eastAsia="Times New Roman" w:cs="Times New Roman"/>
              </w:rPr>
              <w:t>HJ</w:t>
            </w:r>
            <w:r>
              <w:rPr>
                <w:rFonts w:ascii="Times New Roman" w:hAnsi="Times New Roman" w:eastAsia="Times New Roman" w:cs="Times New Roman"/>
                <w:spacing w:val="43"/>
              </w:rPr>
              <w:t xml:space="preserve"> </w:t>
            </w:r>
            <w:r>
              <w:rPr>
                <w:rFonts w:ascii="Times New Roman" w:hAnsi="Times New Roman" w:eastAsia="Times New Roman" w:cs="Times New Roman"/>
                <w:spacing w:val="5"/>
              </w:rPr>
              <w:t>1124—2020</w:t>
            </w:r>
            <w:r>
              <w:rPr>
                <w:spacing w:val="5"/>
              </w:rPr>
              <w:t>）</w:t>
            </w:r>
            <w:r>
              <w:rPr>
                <w:spacing w:val="4"/>
              </w:rPr>
              <w:t>中</w:t>
            </w:r>
            <w:r>
              <w:rPr>
                <w:rFonts w:ascii="Times New Roman" w:hAnsi="Times New Roman" w:eastAsia="Times New Roman" w:cs="Times New Roman"/>
                <w:spacing w:val="4"/>
              </w:rPr>
              <w:t>“</w:t>
            </w:r>
            <w:r>
              <w:rPr>
                <w:spacing w:val="4"/>
              </w:rPr>
              <w:t>表</w:t>
            </w:r>
            <w:r>
              <w:rPr>
                <w:spacing w:val="-37"/>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27"/>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2"/>
                <w:w w:val="101"/>
              </w:rPr>
              <w:t xml:space="preserve"> </w:t>
            </w:r>
            <w:r>
              <w:rPr>
                <w:spacing w:val="4"/>
              </w:rPr>
              <w:t>铁路运输设备及</w:t>
            </w:r>
            <w:r>
              <w:t xml:space="preserve"> </w:t>
            </w:r>
            <w:r>
              <w:rPr>
                <w:spacing w:val="26"/>
              </w:rPr>
              <w:t>轨道交通运输设备制造排污单位废气污染防治推荐可行技术</w:t>
            </w:r>
            <w:r>
              <w:rPr>
                <w:spacing w:val="-83"/>
              </w:rPr>
              <w:t xml:space="preserve"> </w:t>
            </w:r>
            <w:r>
              <w:rPr>
                <w:rFonts w:ascii="Times New Roman" w:hAnsi="Times New Roman" w:eastAsia="Times New Roman" w:cs="Times New Roman"/>
                <w:spacing w:val="25"/>
              </w:rPr>
              <w:t>”</w:t>
            </w:r>
            <w:r>
              <w:rPr>
                <w:spacing w:val="25"/>
              </w:rPr>
              <w:t>中涂胶间</w:t>
            </w:r>
            <w:r>
              <w:t xml:space="preserve"> </w:t>
            </w:r>
            <w:r>
              <w:rPr>
                <w:spacing w:val="7"/>
              </w:rPr>
              <w:t>（室）挥发性有机物推荐可行技术</w:t>
            </w:r>
            <w:r>
              <w:rPr>
                <w:rFonts w:ascii="Times New Roman" w:hAnsi="Times New Roman" w:eastAsia="Times New Roman" w:cs="Times New Roman"/>
                <w:spacing w:val="7"/>
              </w:rPr>
              <w:t>——“</w:t>
            </w:r>
            <w:r>
              <w:rPr>
                <w:spacing w:val="7"/>
              </w:rPr>
              <w:t>活性炭吸附</w:t>
            </w:r>
            <w:r>
              <w:rPr>
                <w:rFonts w:ascii="Times New Roman" w:hAnsi="Times New Roman" w:eastAsia="Times New Roman" w:cs="Times New Roman"/>
                <w:spacing w:val="7"/>
              </w:rPr>
              <w:t>”</w:t>
            </w:r>
            <w:r>
              <w:rPr>
                <w:spacing w:val="7"/>
              </w:rPr>
              <w:t>，本项目有机废气采用</w:t>
            </w:r>
            <w:r>
              <w:rPr>
                <w:spacing w:val="16"/>
              </w:rPr>
              <w:t xml:space="preserve"> </w:t>
            </w:r>
            <w:r>
              <w:rPr>
                <w:spacing w:val="8"/>
              </w:rPr>
              <w:t>活性炭吸附是可行技术。</w:t>
            </w:r>
          </w:p>
          <w:p w14:paraId="7EFA4A3E">
            <w:pPr>
              <w:pStyle w:val="6"/>
              <w:spacing w:line="359" w:lineRule="auto"/>
              <w:ind w:left="110" w:right="101" w:firstLine="479"/>
              <w:jc w:val="both"/>
            </w:pPr>
            <w:r>
              <w:rPr>
                <w:spacing w:val="14"/>
              </w:rPr>
              <w:t>泡酸废气：</w:t>
            </w:r>
            <w:r>
              <w:rPr>
                <w:spacing w:val="-61"/>
              </w:rPr>
              <w:t xml:space="preserve"> </w:t>
            </w:r>
            <w:r>
              <w:rPr>
                <w:spacing w:val="14"/>
              </w:rPr>
              <w:t>参照《排污许可证申请与核发技术规范</w:t>
            </w:r>
            <w:r>
              <w:rPr>
                <w:spacing w:val="76"/>
              </w:rPr>
              <w:t xml:space="preserve"> </w:t>
            </w:r>
            <w:r>
              <w:rPr>
                <w:spacing w:val="14"/>
              </w:rPr>
              <w:t>电镀工业》</w:t>
            </w:r>
            <w:r>
              <w:rPr>
                <w:spacing w:val="-80"/>
              </w:rPr>
              <w:t xml:space="preserve"> </w:t>
            </w:r>
            <w:r>
              <w:rPr>
                <w:spacing w:val="14"/>
              </w:rPr>
              <w:t>（</w:t>
            </w:r>
            <w:r>
              <w:rPr>
                <w:rFonts w:ascii="Times New Roman" w:hAnsi="Times New Roman" w:eastAsia="Times New Roman" w:cs="Times New Roman"/>
              </w:rPr>
              <w:t>HJ 855—2017</w:t>
            </w:r>
            <w:r>
              <w:t>）中</w:t>
            </w:r>
            <w:r>
              <w:rPr>
                <w:rFonts w:ascii="Times New Roman" w:hAnsi="Times New Roman" w:eastAsia="Times New Roman" w:cs="Times New Roman"/>
              </w:rPr>
              <w:t>“</w:t>
            </w:r>
            <w:r>
              <w:t>表</w:t>
            </w:r>
            <w:r>
              <w:rPr>
                <w:spacing w:val="-51"/>
              </w:rPr>
              <w:t xml:space="preserve"> </w:t>
            </w:r>
            <w:r>
              <w:rPr>
                <w:rFonts w:ascii="Times New Roman" w:hAnsi="Times New Roman" w:eastAsia="Times New Roman" w:cs="Times New Roman"/>
              </w:rPr>
              <w:t>7</w:t>
            </w:r>
            <w:r>
              <w:rPr>
                <w:rFonts w:ascii="Times New Roman" w:hAnsi="Times New Roman" w:eastAsia="Times New Roman" w:cs="Times New Roman"/>
                <w:spacing w:val="40"/>
              </w:rPr>
              <w:t xml:space="preserve"> </w:t>
            </w:r>
            <w:r>
              <w:t>电镀废气治理可行技术</w:t>
            </w:r>
            <w:r>
              <w:rPr>
                <w:rFonts w:ascii="Times New Roman" w:hAnsi="Times New Roman" w:eastAsia="Times New Roman" w:cs="Times New Roman"/>
              </w:rPr>
              <w:t>”</w:t>
            </w:r>
            <w:r>
              <w:t>中</w:t>
            </w:r>
            <w:r>
              <w:rPr>
                <w:spacing w:val="-1"/>
              </w:rPr>
              <w:t>酸碱废气治理可行技术</w:t>
            </w:r>
            <w:r>
              <w:rPr>
                <w:rFonts w:ascii="Times New Roman" w:hAnsi="Times New Roman" w:eastAsia="Times New Roman" w:cs="Times New Roman"/>
                <w:spacing w:val="-1"/>
              </w:rPr>
              <w:t>——“</w:t>
            </w:r>
            <w:r>
              <w:rPr>
                <w:spacing w:val="-1"/>
              </w:rPr>
              <w:t>喷</w:t>
            </w:r>
            <w:r>
              <w:t xml:space="preserve"> </w:t>
            </w:r>
            <w:r>
              <w:rPr>
                <w:spacing w:val="-3"/>
              </w:rPr>
              <w:t>淋塔中和法</w:t>
            </w:r>
            <w:r>
              <w:rPr>
                <w:rFonts w:ascii="Times New Roman" w:hAnsi="Times New Roman" w:eastAsia="Times New Roman" w:cs="Times New Roman"/>
                <w:spacing w:val="-3"/>
              </w:rPr>
              <w:t>”</w:t>
            </w:r>
            <w:r>
              <w:rPr>
                <w:spacing w:val="-3"/>
              </w:rPr>
              <w:t>，本项目采用碱液喷淋塔（三级碱液喷淋）处理泡酸过</w:t>
            </w:r>
            <w:r>
              <w:rPr>
                <w:spacing w:val="-4"/>
              </w:rPr>
              <w:t>程产生的酸</w:t>
            </w:r>
            <w:r>
              <w:t xml:space="preserve"> </w:t>
            </w:r>
            <w:r>
              <w:rPr>
                <w:spacing w:val="-1"/>
              </w:rPr>
              <w:t>雾废气，防治措施是可行的。</w:t>
            </w:r>
          </w:p>
          <w:p w14:paraId="690D5F1F">
            <w:pPr>
              <w:pStyle w:val="6"/>
              <w:spacing w:before="1" w:line="219" w:lineRule="auto"/>
              <w:ind w:left="599"/>
            </w:pPr>
            <w:r>
              <w:rPr>
                <w:spacing w:val="-2"/>
              </w:rPr>
              <w:t>（</w:t>
            </w:r>
            <w:r>
              <w:rPr>
                <w:rFonts w:ascii="Times New Roman" w:hAnsi="Times New Roman" w:eastAsia="Times New Roman" w:cs="Times New Roman"/>
                <w:spacing w:val="-2"/>
              </w:rPr>
              <w:t>6</w:t>
            </w:r>
            <w:r>
              <w:rPr>
                <w:spacing w:val="-2"/>
              </w:rPr>
              <w:t>）大气污染物排放口概况</w:t>
            </w:r>
          </w:p>
          <w:p w14:paraId="345A4096">
            <w:pPr>
              <w:pStyle w:val="6"/>
              <w:spacing w:before="180" w:line="362" w:lineRule="auto"/>
              <w:ind w:left="107" w:right="104" w:firstLine="481"/>
            </w:pPr>
            <w:r>
              <w:t>本项目</w:t>
            </w:r>
            <w:r>
              <w:rPr>
                <w:spacing w:val="-49"/>
              </w:rPr>
              <w:t xml:space="preserve"> </w:t>
            </w:r>
            <w:r>
              <w:rPr>
                <w:rFonts w:ascii="Times New Roman" w:hAnsi="Times New Roman" w:eastAsia="Times New Roman" w:cs="Times New Roman"/>
              </w:rPr>
              <w:t>5</w:t>
            </w:r>
            <w:r>
              <w:rPr>
                <w:rFonts w:ascii="Times New Roman" w:hAnsi="Times New Roman" w:eastAsia="Times New Roman" w:cs="Times New Roman"/>
                <w:spacing w:val="18"/>
              </w:rPr>
              <w:t xml:space="preserve"> </w:t>
            </w:r>
            <w:r>
              <w:t>号楼厂房宝石注胶加工车间楼顶设置</w:t>
            </w:r>
            <w:r>
              <w:rPr>
                <w:spacing w:val="-46"/>
              </w:rPr>
              <w:t xml:space="preserve"> </w:t>
            </w:r>
            <w:r>
              <w:rPr>
                <w:rFonts w:ascii="Times New Roman" w:hAnsi="Times New Roman" w:eastAsia="Times New Roman" w:cs="Times New Roman"/>
              </w:rPr>
              <w:t xml:space="preserve">5 </w:t>
            </w:r>
            <w:r>
              <w:t>个有机废气排</w:t>
            </w:r>
            <w:r>
              <w:rPr>
                <w:spacing w:val="-1"/>
              </w:rPr>
              <w:t>放口；</w:t>
            </w:r>
            <w:r>
              <w:rPr>
                <w:rFonts w:ascii="Times New Roman" w:hAnsi="Times New Roman" w:eastAsia="Times New Roman" w:cs="Times New Roman"/>
                <w:spacing w:val="-1"/>
              </w:rPr>
              <w:t>4</w:t>
            </w:r>
            <w:r>
              <w:rPr>
                <w:rFonts w:ascii="Times New Roman" w:hAnsi="Times New Roman" w:eastAsia="Times New Roman" w:cs="Times New Roman"/>
                <w:spacing w:val="17"/>
                <w:w w:val="101"/>
              </w:rPr>
              <w:t xml:space="preserve"> </w:t>
            </w:r>
            <w:r>
              <w:rPr>
                <w:spacing w:val="-1"/>
              </w:rPr>
              <w:t>号</w:t>
            </w:r>
            <w:r>
              <w:t xml:space="preserve"> </w:t>
            </w:r>
            <w:r>
              <w:rPr>
                <w:spacing w:val="-1"/>
              </w:rPr>
              <w:t>楼厂房宝石泡酸加工车间楼顶设置</w:t>
            </w:r>
            <w:r>
              <w:rPr>
                <w:spacing w:val="-45"/>
              </w:rPr>
              <w:t xml:space="preserve"> </w:t>
            </w:r>
            <w:r>
              <w:rPr>
                <w:rFonts w:ascii="Times New Roman" w:hAnsi="Times New Roman" w:eastAsia="Times New Roman" w:cs="Times New Roman"/>
                <w:spacing w:val="-1"/>
              </w:rPr>
              <w:t xml:space="preserve">8 </w:t>
            </w:r>
            <w:r>
              <w:rPr>
                <w:spacing w:val="-1"/>
              </w:rPr>
              <w:t>个酸</w:t>
            </w:r>
            <w:r>
              <w:rPr>
                <w:spacing w:val="-2"/>
              </w:rPr>
              <w:t>雾废气排放口，共计</w:t>
            </w:r>
            <w:r>
              <w:rPr>
                <w:spacing w:val="-32"/>
              </w:rPr>
              <w:t xml:space="preserve"> </w:t>
            </w:r>
            <w:r>
              <w:rPr>
                <w:rFonts w:ascii="Times New Roman" w:hAnsi="Times New Roman" w:eastAsia="Times New Roman" w:cs="Times New Roman"/>
                <w:spacing w:val="-2"/>
              </w:rPr>
              <w:t xml:space="preserve">13 </w:t>
            </w:r>
            <w:r>
              <w:rPr>
                <w:spacing w:val="-2"/>
              </w:rPr>
              <w:t>个排放口。</w:t>
            </w:r>
          </w:p>
          <w:p w14:paraId="5E486E89">
            <w:pPr>
              <w:pStyle w:val="6"/>
              <w:spacing w:before="112" w:line="219" w:lineRule="auto"/>
              <w:ind w:left="2857"/>
            </w:pPr>
            <w:r>
              <w:rPr>
                <w:b/>
                <w:bCs/>
                <w:spacing w:val="-2"/>
              </w:rPr>
              <w:t>表</w:t>
            </w:r>
            <w:r>
              <w:rPr>
                <w:spacing w:val="-54"/>
              </w:rPr>
              <w:t xml:space="preserve"> </w:t>
            </w:r>
            <w:r>
              <w:rPr>
                <w:rFonts w:ascii="Times New Roman" w:hAnsi="Times New Roman" w:eastAsia="Times New Roman" w:cs="Times New Roman"/>
                <w:b/>
                <w:bCs/>
                <w:spacing w:val="-2"/>
              </w:rPr>
              <w:t xml:space="preserve">4-13    </w:t>
            </w:r>
            <w:r>
              <w:rPr>
                <w:b/>
                <w:bCs/>
                <w:spacing w:val="-2"/>
              </w:rPr>
              <w:t>排放口基本情况</w:t>
            </w:r>
          </w:p>
        </w:tc>
      </w:tr>
      <w:tr w14:paraId="5199F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05" w:type="dxa"/>
            <w:vMerge w:val="continue"/>
            <w:tcBorders>
              <w:top w:val="nil"/>
              <w:left w:val="single" w:color="000000" w:sz="6" w:space="0"/>
              <w:bottom w:val="nil"/>
            </w:tcBorders>
            <w:vAlign w:val="top"/>
          </w:tcPr>
          <w:p w14:paraId="1E79B7FA">
            <w:pPr>
              <w:rPr>
                <w:rFonts w:ascii="Arial"/>
                <w:sz w:val="21"/>
              </w:rPr>
            </w:pPr>
          </w:p>
        </w:tc>
        <w:tc>
          <w:tcPr>
            <w:tcW w:w="171" w:type="dxa"/>
            <w:tcBorders>
              <w:top w:val="nil"/>
              <w:bottom w:val="nil"/>
            </w:tcBorders>
            <w:vAlign w:val="top"/>
          </w:tcPr>
          <w:p w14:paraId="6226C922">
            <w:pPr>
              <w:rPr>
                <w:rFonts w:ascii="Arial"/>
                <w:sz w:val="21"/>
              </w:rPr>
            </w:pPr>
          </w:p>
        </w:tc>
        <w:tc>
          <w:tcPr>
            <w:tcW w:w="492" w:type="dxa"/>
            <w:vMerge w:val="restart"/>
            <w:tcBorders>
              <w:bottom w:val="nil"/>
            </w:tcBorders>
            <w:vAlign w:val="top"/>
          </w:tcPr>
          <w:p w14:paraId="1FEEF126">
            <w:pPr>
              <w:pStyle w:val="6"/>
              <w:spacing w:before="299" w:line="228" w:lineRule="auto"/>
              <w:ind w:left="36"/>
              <w:rPr>
                <w:sz w:val="20"/>
                <w:szCs w:val="20"/>
              </w:rPr>
            </w:pPr>
            <w:r>
              <w:rPr>
                <w:b/>
                <w:bCs/>
                <w:spacing w:val="3"/>
                <w:sz w:val="20"/>
                <w:szCs w:val="20"/>
              </w:rPr>
              <w:t>编号</w:t>
            </w:r>
          </w:p>
        </w:tc>
        <w:tc>
          <w:tcPr>
            <w:tcW w:w="1564" w:type="dxa"/>
            <w:vMerge w:val="restart"/>
            <w:tcBorders>
              <w:bottom w:val="nil"/>
            </w:tcBorders>
            <w:vAlign w:val="top"/>
          </w:tcPr>
          <w:p w14:paraId="2A955E10">
            <w:pPr>
              <w:pStyle w:val="6"/>
              <w:spacing w:before="299" w:line="230" w:lineRule="auto"/>
              <w:ind w:left="574"/>
              <w:rPr>
                <w:sz w:val="20"/>
                <w:szCs w:val="20"/>
              </w:rPr>
            </w:pPr>
            <w:r>
              <w:rPr>
                <w:b/>
                <w:bCs/>
                <w:spacing w:val="2"/>
                <w:sz w:val="20"/>
                <w:szCs w:val="20"/>
              </w:rPr>
              <w:t>名称</w:t>
            </w:r>
          </w:p>
        </w:tc>
        <w:tc>
          <w:tcPr>
            <w:tcW w:w="3018" w:type="dxa"/>
            <w:gridSpan w:val="2"/>
            <w:vAlign w:val="top"/>
          </w:tcPr>
          <w:p w14:paraId="4CD9CCEE">
            <w:pPr>
              <w:pStyle w:val="6"/>
              <w:spacing w:before="78" w:line="221" w:lineRule="auto"/>
              <w:ind w:left="1093"/>
              <w:rPr>
                <w:sz w:val="20"/>
                <w:szCs w:val="20"/>
              </w:rPr>
            </w:pPr>
            <w:r>
              <w:rPr>
                <w:b/>
                <w:bCs/>
                <w:spacing w:val="6"/>
                <w:sz w:val="20"/>
                <w:szCs w:val="20"/>
              </w:rPr>
              <w:t>地理坐标</w:t>
            </w:r>
          </w:p>
        </w:tc>
        <w:tc>
          <w:tcPr>
            <w:tcW w:w="668" w:type="dxa"/>
            <w:vMerge w:val="restart"/>
            <w:tcBorders>
              <w:bottom w:val="nil"/>
            </w:tcBorders>
            <w:vAlign w:val="top"/>
          </w:tcPr>
          <w:p w14:paraId="55F8EE3E">
            <w:pPr>
              <w:pStyle w:val="6"/>
              <w:spacing w:before="162" w:line="254" w:lineRule="auto"/>
              <w:ind w:left="20" w:right="2" w:firstLine="6"/>
              <w:rPr>
                <w:rFonts w:ascii="Times New Roman" w:hAnsi="Times New Roman" w:eastAsia="Times New Roman" w:cs="Times New Roman"/>
                <w:sz w:val="20"/>
                <w:szCs w:val="20"/>
              </w:rPr>
            </w:pPr>
            <w:r>
              <w:rPr>
                <w:b/>
                <w:bCs/>
                <w:spacing w:val="5"/>
                <w:sz w:val="20"/>
                <w:szCs w:val="20"/>
              </w:rPr>
              <w:t>排气筒</w:t>
            </w:r>
            <w:r>
              <w:rPr>
                <w:sz w:val="20"/>
                <w:szCs w:val="20"/>
              </w:rPr>
              <w:t xml:space="preserve"> </w:t>
            </w:r>
            <w:r>
              <w:rPr>
                <w:b/>
                <w:bCs/>
                <w:spacing w:val="3"/>
                <w:sz w:val="20"/>
                <w:szCs w:val="20"/>
              </w:rPr>
              <w:t>高度</w:t>
            </w:r>
            <w:r>
              <w:rPr>
                <w:rFonts w:ascii="Times New Roman" w:hAnsi="Times New Roman" w:eastAsia="Times New Roman" w:cs="Times New Roman"/>
                <w:b/>
                <w:bCs/>
                <w:spacing w:val="3"/>
                <w:sz w:val="20"/>
                <w:szCs w:val="20"/>
              </w:rPr>
              <w:t>/m</w:t>
            </w:r>
          </w:p>
        </w:tc>
        <w:tc>
          <w:tcPr>
            <w:tcW w:w="869" w:type="dxa"/>
            <w:vMerge w:val="restart"/>
            <w:tcBorders>
              <w:bottom w:val="nil"/>
            </w:tcBorders>
            <w:vAlign w:val="top"/>
          </w:tcPr>
          <w:p w14:paraId="0FE4117C">
            <w:pPr>
              <w:pStyle w:val="6"/>
              <w:spacing w:before="42" w:line="254" w:lineRule="auto"/>
              <w:ind w:left="160" w:right="6" w:hanging="137"/>
              <w:rPr>
                <w:sz w:val="20"/>
                <w:szCs w:val="20"/>
              </w:rPr>
            </w:pPr>
            <w:r>
              <w:rPr>
                <w:b/>
                <w:bCs/>
                <w:spacing w:val="6"/>
                <w:sz w:val="20"/>
                <w:szCs w:val="20"/>
              </w:rPr>
              <w:t>排气筒出</w:t>
            </w:r>
            <w:r>
              <w:rPr>
                <w:spacing w:val="1"/>
                <w:sz w:val="20"/>
                <w:szCs w:val="20"/>
              </w:rPr>
              <w:t xml:space="preserve"> </w:t>
            </w:r>
            <w:r>
              <w:rPr>
                <w:b/>
                <w:bCs/>
                <w:spacing w:val="-5"/>
                <w:sz w:val="20"/>
                <w:szCs w:val="20"/>
              </w:rPr>
              <w:t>口内径</w:t>
            </w:r>
          </w:p>
          <w:p w14:paraId="4ABD7430">
            <w:pPr>
              <w:spacing w:before="16" w:line="178" w:lineRule="auto"/>
              <w:ind w:left="32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tc>
        <w:tc>
          <w:tcPr>
            <w:tcW w:w="804" w:type="dxa"/>
            <w:vMerge w:val="restart"/>
            <w:tcBorders>
              <w:bottom w:val="nil"/>
            </w:tcBorders>
            <w:vAlign w:val="top"/>
          </w:tcPr>
          <w:p w14:paraId="6E3E3AAB">
            <w:pPr>
              <w:pStyle w:val="6"/>
              <w:spacing w:before="42" w:line="229" w:lineRule="auto"/>
              <w:ind w:left="115"/>
              <w:rPr>
                <w:sz w:val="20"/>
                <w:szCs w:val="20"/>
              </w:rPr>
            </w:pPr>
            <w:r>
              <w:rPr>
                <w:b/>
                <w:bCs/>
                <w:spacing w:val="-1"/>
                <w:sz w:val="20"/>
                <w:szCs w:val="20"/>
              </w:rPr>
              <w:t>出口烟</w:t>
            </w:r>
          </w:p>
          <w:p w14:paraId="52EF87AD">
            <w:pPr>
              <w:pStyle w:val="6"/>
              <w:spacing w:before="25" w:line="229" w:lineRule="auto"/>
              <w:ind w:left="98"/>
              <w:rPr>
                <w:sz w:val="20"/>
                <w:szCs w:val="20"/>
              </w:rPr>
            </w:pPr>
            <w:r>
              <w:rPr>
                <w:b/>
                <w:bCs/>
                <w:spacing w:val="4"/>
                <w:sz w:val="20"/>
                <w:szCs w:val="20"/>
              </w:rPr>
              <w:t>气流速</w:t>
            </w:r>
          </w:p>
          <w:p w14:paraId="29EAAA11">
            <w:pPr>
              <w:spacing w:before="44" w:line="178" w:lineRule="auto"/>
              <w:ind w:left="25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m/s</w:t>
            </w:r>
          </w:p>
        </w:tc>
        <w:tc>
          <w:tcPr>
            <w:tcW w:w="614" w:type="dxa"/>
            <w:vMerge w:val="restart"/>
            <w:tcBorders>
              <w:bottom w:val="nil"/>
            </w:tcBorders>
            <w:vAlign w:val="top"/>
          </w:tcPr>
          <w:p w14:paraId="7F7260C7">
            <w:pPr>
              <w:pStyle w:val="6"/>
              <w:spacing w:before="42" w:line="229" w:lineRule="auto"/>
              <w:ind w:left="108"/>
              <w:rPr>
                <w:sz w:val="20"/>
                <w:szCs w:val="20"/>
              </w:rPr>
            </w:pPr>
            <w:r>
              <w:rPr>
                <w:b/>
                <w:bCs/>
                <w:spacing w:val="3"/>
                <w:sz w:val="20"/>
                <w:szCs w:val="20"/>
              </w:rPr>
              <w:t>烟气</w:t>
            </w:r>
          </w:p>
          <w:p w14:paraId="1F69D1C3">
            <w:pPr>
              <w:pStyle w:val="6"/>
              <w:spacing w:before="25" w:line="228" w:lineRule="auto"/>
              <w:ind w:left="109"/>
              <w:rPr>
                <w:sz w:val="20"/>
                <w:szCs w:val="20"/>
              </w:rPr>
            </w:pPr>
            <w:r>
              <w:rPr>
                <w:b/>
                <w:bCs/>
                <w:spacing w:val="3"/>
                <w:sz w:val="20"/>
                <w:szCs w:val="20"/>
              </w:rPr>
              <w:t>温度</w:t>
            </w:r>
          </w:p>
          <w:p w14:paraId="624E6465">
            <w:pPr>
              <w:spacing w:before="45" w:line="178" w:lineRule="auto"/>
              <w:ind w:left="168"/>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p>
        </w:tc>
        <w:tc>
          <w:tcPr>
            <w:tcW w:w="180" w:type="dxa"/>
            <w:vMerge w:val="restart"/>
            <w:tcBorders>
              <w:top w:val="nil"/>
              <w:bottom w:val="nil"/>
              <w:right w:val="single" w:color="000000" w:sz="6" w:space="0"/>
            </w:tcBorders>
            <w:vAlign w:val="top"/>
          </w:tcPr>
          <w:p w14:paraId="3341752C">
            <w:pPr>
              <w:rPr>
                <w:rFonts w:ascii="Arial"/>
                <w:sz w:val="21"/>
              </w:rPr>
            </w:pPr>
          </w:p>
        </w:tc>
      </w:tr>
      <w:tr w14:paraId="3A7E7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05" w:type="dxa"/>
            <w:vMerge w:val="continue"/>
            <w:tcBorders>
              <w:top w:val="nil"/>
              <w:left w:val="single" w:color="000000" w:sz="6" w:space="0"/>
              <w:bottom w:val="nil"/>
            </w:tcBorders>
            <w:vAlign w:val="top"/>
          </w:tcPr>
          <w:p w14:paraId="4F1A9065">
            <w:pPr>
              <w:rPr>
                <w:rFonts w:ascii="Arial"/>
                <w:sz w:val="21"/>
              </w:rPr>
            </w:pPr>
          </w:p>
        </w:tc>
        <w:tc>
          <w:tcPr>
            <w:tcW w:w="171" w:type="dxa"/>
            <w:tcBorders>
              <w:top w:val="nil"/>
              <w:bottom w:val="nil"/>
            </w:tcBorders>
            <w:vAlign w:val="top"/>
          </w:tcPr>
          <w:p w14:paraId="7E8E1014">
            <w:pPr>
              <w:rPr>
                <w:rFonts w:ascii="Arial"/>
                <w:sz w:val="21"/>
              </w:rPr>
            </w:pPr>
          </w:p>
        </w:tc>
        <w:tc>
          <w:tcPr>
            <w:tcW w:w="492" w:type="dxa"/>
            <w:vMerge w:val="continue"/>
            <w:tcBorders>
              <w:top w:val="nil"/>
            </w:tcBorders>
            <w:vAlign w:val="top"/>
          </w:tcPr>
          <w:p w14:paraId="479DEFA5">
            <w:pPr>
              <w:rPr>
                <w:rFonts w:ascii="Arial"/>
                <w:sz w:val="21"/>
              </w:rPr>
            </w:pPr>
          </w:p>
        </w:tc>
        <w:tc>
          <w:tcPr>
            <w:tcW w:w="1564" w:type="dxa"/>
            <w:vMerge w:val="continue"/>
            <w:tcBorders>
              <w:top w:val="nil"/>
            </w:tcBorders>
            <w:vAlign w:val="top"/>
          </w:tcPr>
          <w:p w14:paraId="0DF2B435">
            <w:pPr>
              <w:rPr>
                <w:rFonts w:ascii="Arial"/>
                <w:sz w:val="21"/>
              </w:rPr>
            </w:pPr>
          </w:p>
        </w:tc>
        <w:tc>
          <w:tcPr>
            <w:tcW w:w="1533" w:type="dxa"/>
            <w:vAlign w:val="top"/>
          </w:tcPr>
          <w:p w14:paraId="34D291A0">
            <w:pPr>
              <w:pStyle w:val="6"/>
              <w:spacing w:before="143" w:line="228" w:lineRule="auto"/>
              <w:ind w:left="568"/>
              <w:rPr>
                <w:sz w:val="20"/>
                <w:szCs w:val="20"/>
              </w:rPr>
            </w:pPr>
            <w:r>
              <w:rPr>
                <w:b/>
                <w:bCs/>
                <w:sz w:val="20"/>
                <w:szCs w:val="20"/>
              </w:rPr>
              <w:t>东经</w:t>
            </w:r>
          </w:p>
        </w:tc>
        <w:tc>
          <w:tcPr>
            <w:tcW w:w="1485" w:type="dxa"/>
            <w:vAlign w:val="top"/>
          </w:tcPr>
          <w:p w14:paraId="4DFD9B18">
            <w:pPr>
              <w:pStyle w:val="6"/>
              <w:spacing w:before="144" w:line="228" w:lineRule="auto"/>
              <w:ind w:left="543"/>
              <w:rPr>
                <w:sz w:val="20"/>
                <w:szCs w:val="20"/>
              </w:rPr>
            </w:pPr>
            <w:r>
              <w:rPr>
                <w:b/>
                <w:bCs/>
                <w:spacing w:val="2"/>
                <w:sz w:val="20"/>
                <w:szCs w:val="20"/>
              </w:rPr>
              <w:t>北纬</w:t>
            </w:r>
          </w:p>
        </w:tc>
        <w:tc>
          <w:tcPr>
            <w:tcW w:w="668" w:type="dxa"/>
            <w:vMerge w:val="continue"/>
            <w:tcBorders>
              <w:top w:val="nil"/>
            </w:tcBorders>
            <w:vAlign w:val="top"/>
          </w:tcPr>
          <w:p w14:paraId="6C01178F">
            <w:pPr>
              <w:rPr>
                <w:rFonts w:ascii="Arial"/>
                <w:sz w:val="21"/>
              </w:rPr>
            </w:pPr>
          </w:p>
        </w:tc>
        <w:tc>
          <w:tcPr>
            <w:tcW w:w="869" w:type="dxa"/>
            <w:vMerge w:val="continue"/>
            <w:tcBorders>
              <w:top w:val="nil"/>
            </w:tcBorders>
            <w:vAlign w:val="top"/>
          </w:tcPr>
          <w:p w14:paraId="21D34AAC">
            <w:pPr>
              <w:rPr>
                <w:rFonts w:ascii="Arial"/>
                <w:sz w:val="21"/>
              </w:rPr>
            </w:pPr>
          </w:p>
        </w:tc>
        <w:tc>
          <w:tcPr>
            <w:tcW w:w="804" w:type="dxa"/>
            <w:vMerge w:val="continue"/>
            <w:tcBorders>
              <w:top w:val="nil"/>
            </w:tcBorders>
            <w:vAlign w:val="top"/>
          </w:tcPr>
          <w:p w14:paraId="76BEEBD8">
            <w:pPr>
              <w:rPr>
                <w:rFonts w:ascii="Arial"/>
                <w:sz w:val="21"/>
              </w:rPr>
            </w:pPr>
          </w:p>
        </w:tc>
        <w:tc>
          <w:tcPr>
            <w:tcW w:w="614" w:type="dxa"/>
            <w:vMerge w:val="continue"/>
            <w:tcBorders>
              <w:top w:val="nil"/>
            </w:tcBorders>
            <w:vAlign w:val="top"/>
          </w:tcPr>
          <w:p w14:paraId="0D9E017E">
            <w:pPr>
              <w:rPr>
                <w:rFonts w:ascii="Arial"/>
                <w:sz w:val="21"/>
              </w:rPr>
            </w:pPr>
          </w:p>
        </w:tc>
        <w:tc>
          <w:tcPr>
            <w:tcW w:w="180" w:type="dxa"/>
            <w:vMerge w:val="continue"/>
            <w:tcBorders>
              <w:top w:val="nil"/>
              <w:bottom w:val="nil"/>
              <w:right w:val="single" w:color="000000" w:sz="6" w:space="0"/>
            </w:tcBorders>
            <w:vAlign w:val="top"/>
          </w:tcPr>
          <w:p w14:paraId="3C587FFC">
            <w:pPr>
              <w:rPr>
                <w:rFonts w:ascii="Arial"/>
                <w:sz w:val="21"/>
              </w:rPr>
            </w:pPr>
          </w:p>
        </w:tc>
      </w:tr>
      <w:tr w14:paraId="74A9C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05" w:type="dxa"/>
            <w:vMerge w:val="continue"/>
            <w:tcBorders>
              <w:top w:val="nil"/>
              <w:left w:val="single" w:color="000000" w:sz="6" w:space="0"/>
              <w:bottom w:val="nil"/>
            </w:tcBorders>
            <w:vAlign w:val="top"/>
          </w:tcPr>
          <w:p w14:paraId="5B0A65E1">
            <w:pPr>
              <w:rPr>
                <w:rFonts w:ascii="Arial"/>
                <w:sz w:val="21"/>
              </w:rPr>
            </w:pPr>
          </w:p>
        </w:tc>
        <w:tc>
          <w:tcPr>
            <w:tcW w:w="171" w:type="dxa"/>
            <w:tcBorders>
              <w:top w:val="nil"/>
              <w:bottom w:val="nil"/>
            </w:tcBorders>
            <w:vAlign w:val="top"/>
          </w:tcPr>
          <w:p w14:paraId="68FBD9FB">
            <w:pPr>
              <w:rPr>
                <w:rFonts w:ascii="Arial"/>
                <w:sz w:val="21"/>
              </w:rPr>
            </w:pPr>
          </w:p>
        </w:tc>
        <w:tc>
          <w:tcPr>
            <w:tcW w:w="492" w:type="dxa"/>
            <w:vMerge w:val="restart"/>
            <w:tcBorders>
              <w:bottom w:val="nil"/>
            </w:tcBorders>
            <w:vAlign w:val="top"/>
          </w:tcPr>
          <w:p w14:paraId="55E684C9">
            <w:pPr>
              <w:spacing w:line="299" w:lineRule="auto"/>
              <w:rPr>
                <w:rFonts w:ascii="Arial"/>
                <w:sz w:val="21"/>
              </w:rPr>
            </w:pPr>
          </w:p>
          <w:p w14:paraId="6E10A999">
            <w:pPr>
              <w:spacing w:line="300" w:lineRule="auto"/>
              <w:rPr>
                <w:rFonts w:ascii="Arial"/>
                <w:sz w:val="21"/>
              </w:rPr>
            </w:pPr>
          </w:p>
          <w:p w14:paraId="66707AB4">
            <w:pPr>
              <w:spacing w:before="58" w:line="195" w:lineRule="auto"/>
              <w:ind w:left="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p>
        </w:tc>
        <w:tc>
          <w:tcPr>
            <w:tcW w:w="1564" w:type="dxa"/>
            <w:vAlign w:val="top"/>
          </w:tcPr>
          <w:p w14:paraId="4F151069">
            <w:pPr>
              <w:pStyle w:val="6"/>
              <w:spacing w:before="135" w:line="229" w:lineRule="auto"/>
              <w:ind w:left="128"/>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 xml:space="preserve">001 </w:t>
            </w:r>
            <w:r>
              <w:rPr>
                <w:spacing w:val="8"/>
                <w:sz w:val="20"/>
                <w:szCs w:val="20"/>
              </w:rPr>
              <w:t>排放口</w:t>
            </w:r>
          </w:p>
        </w:tc>
        <w:tc>
          <w:tcPr>
            <w:tcW w:w="1533" w:type="dxa"/>
            <w:vAlign w:val="top"/>
          </w:tcPr>
          <w:p w14:paraId="492F0280">
            <w:pPr>
              <w:spacing w:before="17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115°27′41.274″</w:t>
            </w:r>
          </w:p>
        </w:tc>
        <w:tc>
          <w:tcPr>
            <w:tcW w:w="1485" w:type="dxa"/>
            <w:vAlign w:val="top"/>
          </w:tcPr>
          <w:p w14:paraId="21D7973C">
            <w:pPr>
              <w:spacing w:before="169"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22°57′45.086″</w:t>
            </w:r>
          </w:p>
        </w:tc>
        <w:tc>
          <w:tcPr>
            <w:tcW w:w="668" w:type="dxa"/>
            <w:vAlign w:val="top"/>
          </w:tcPr>
          <w:p w14:paraId="29458D12">
            <w:pPr>
              <w:spacing w:before="173"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69" w:type="dxa"/>
            <w:vAlign w:val="top"/>
          </w:tcPr>
          <w:p w14:paraId="487FC4F9">
            <w:pPr>
              <w:spacing w:before="17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804" w:type="dxa"/>
            <w:vAlign w:val="top"/>
          </w:tcPr>
          <w:p w14:paraId="2510B2CE">
            <w:pPr>
              <w:spacing w:before="17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19.7</w:t>
            </w:r>
          </w:p>
        </w:tc>
        <w:tc>
          <w:tcPr>
            <w:tcW w:w="614" w:type="dxa"/>
            <w:vAlign w:val="top"/>
          </w:tcPr>
          <w:p w14:paraId="2D94B275">
            <w:pPr>
              <w:spacing w:before="17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80" w:type="dxa"/>
            <w:vMerge w:val="continue"/>
            <w:tcBorders>
              <w:top w:val="nil"/>
              <w:bottom w:val="nil"/>
              <w:right w:val="single" w:color="000000" w:sz="6" w:space="0"/>
            </w:tcBorders>
            <w:vAlign w:val="top"/>
          </w:tcPr>
          <w:p w14:paraId="6DB07CEF">
            <w:pPr>
              <w:rPr>
                <w:rFonts w:ascii="Arial"/>
                <w:sz w:val="21"/>
              </w:rPr>
            </w:pPr>
          </w:p>
        </w:tc>
      </w:tr>
      <w:tr w14:paraId="0B00F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605" w:type="dxa"/>
            <w:vMerge w:val="continue"/>
            <w:tcBorders>
              <w:top w:val="nil"/>
              <w:left w:val="single" w:color="000000" w:sz="6" w:space="0"/>
              <w:bottom w:val="nil"/>
            </w:tcBorders>
            <w:vAlign w:val="top"/>
          </w:tcPr>
          <w:p w14:paraId="0F8FFAC0">
            <w:pPr>
              <w:rPr>
                <w:rFonts w:ascii="Arial"/>
                <w:sz w:val="21"/>
              </w:rPr>
            </w:pPr>
          </w:p>
        </w:tc>
        <w:tc>
          <w:tcPr>
            <w:tcW w:w="171" w:type="dxa"/>
            <w:tcBorders>
              <w:top w:val="nil"/>
              <w:bottom w:val="nil"/>
            </w:tcBorders>
            <w:vAlign w:val="top"/>
          </w:tcPr>
          <w:p w14:paraId="7E455F8F">
            <w:pPr>
              <w:rPr>
                <w:rFonts w:ascii="Arial"/>
                <w:sz w:val="21"/>
              </w:rPr>
            </w:pPr>
          </w:p>
        </w:tc>
        <w:tc>
          <w:tcPr>
            <w:tcW w:w="492" w:type="dxa"/>
            <w:vMerge w:val="continue"/>
            <w:tcBorders>
              <w:top w:val="nil"/>
            </w:tcBorders>
            <w:vAlign w:val="top"/>
          </w:tcPr>
          <w:p w14:paraId="2C1C1597">
            <w:pPr>
              <w:rPr>
                <w:rFonts w:ascii="Arial"/>
                <w:sz w:val="21"/>
              </w:rPr>
            </w:pPr>
          </w:p>
        </w:tc>
        <w:tc>
          <w:tcPr>
            <w:tcW w:w="1564" w:type="dxa"/>
            <w:vAlign w:val="top"/>
          </w:tcPr>
          <w:p w14:paraId="3C863F6C">
            <w:pPr>
              <w:spacing w:before="295"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005</w:t>
            </w:r>
          </w:p>
          <w:p w14:paraId="4500591B">
            <w:pPr>
              <w:pStyle w:val="6"/>
              <w:spacing w:before="34" w:line="229" w:lineRule="auto"/>
              <w:ind w:left="468"/>
              <w:rPr>
                <w:sz w:val="20"/>
                <w:szCs w:val="20"/>
              </w:rPr>
            </w:pPr>
            <w:r>
              <w:rPr>
                <w:spacing w:val="6"/>
                <w:sz w:val="20"/>
                <w:szCs w:val="20"/>
              </w:rPr>
              <w:t>排放口</w:t>
            </w:r>
          </w:p>
        </w:tc>
        <w:tc>
          <w:tcPr>
            <w:tcW w:w="1533" w:type="dxa"/>
            <w:vAlign w:val="top"/>
          </w:tcPr>
          <w:p w14:paraId="7EA45C65">
            <w:pPr>
              <w:spacing w:before="7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115°27′41.506″</w:t>
            </w:r>
          </w:p>
          <w:p w14:paraId="205256CE">
            <w:pPr>
              <w:spacing w:before="5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115°27′41.757″</w:t>
            </w:r>
          </w:p>
          <w:p w14:paraId="1D762EDB">
            <w:pPr>
              <w:spacing w:before="5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115°27′41.974″</w:t>
            </w:r>
          </w:p>
          <w:p w14:paraId="14876E9A">
            <w:pPr>
              <w:spacing w:before="53" w:line="178"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115°27′42.264″</w:t>
            </w:r>
          </w:p>
        </w:tc>
        <w:tc>
          <w:tcPr>
            <w:tcW w:w="1485" w:type="dxa"/>
            <w:vAlign w:val="top"/>
          </w:tcPr>
          <w:p w14:paraId="2CF1B291">
            <w:pPr>
              <w:spacing w:before="71"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22°57′45.023″</w:t>
            </w:r>
          </w:p>
          <w:p w14:paraId="45965C62">
            <w:pPr>
              <w:spacing w:before="5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22°57′44.941″</w:t>
            </w:r>
          </w:p>
          <w:p w14:paraId="2B1E6EE8">
            <w:pPr>
              <w:spacing w:before="55"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22°57′44.863″</w:t>
            </w:r>
          </w:p>
          <w:p w14:paraId="28CFE46D">
            <w:pPr>
              <w:spacing w:before="53" w:line="178"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22°57′44.772″</w:t>
            </w:r>
          </w:p>
        </w:tc>
        <w:tc>
          <w:tcPr>
            <w:tcW w:w="668" w:type="dxa"/>
            <w:vAlign w:val="top"/>
          </w:tcPr>
          <w:p w14:paraId="73C697BE">
            <w:pPr>
              <w:spacing w:line="372" w:lineRule="auto"/>
              <w:rPr>
                <w:rFonts w:ascii="Arial"/>
                <w:sz w:val="21"/>
              </w:rPr>
            </w:pPr>
          </w:p>
          <w:p w14:paraId="38C65177">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69" w:type="dxa"/>
            <w:vAlign w:val="top"/>
          </w:tcPr>
          <w:p w14:paraId="4D17252C">
            <w:pPr>
              <w:spacing w:line="372" w:lineRule="auto"/>
              <w:rPr>
                <w:rFonts w:ascii="Arial"/>
                <w:sz w:val="21"/>
              </w:rPr>
            </w:pPr>
          </w:p>
          <w:p w14:paraId="6EDFEE93">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804" w:type="dxa"/>
            <w:vAlign w:val="top"/>
          </w:tcPr>
          <w:p w14:paraId="3723B4C5">
            <w:pPr>
              <w:spacing w:line="372" w:lineRule="auto"/>
              <w:rPr>
                <w:rFonts w:ascii="Arial"/>
                <w:sz w:val="21"/>
              </w:rPr>
            </w:pPr>
          </w:p>
          <w:p w14:paraId="5054664A">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19.6</w:t>
            </w:r>
          </w:p>
        </w:tc>
        <w:tc>
          <w:tcPr>
            <w:tcW w:w="614" w:type="dxa"/>
            <w:vAlign w:val="top"/>
          </w:tcPr>
          <w:p w14:paraId="0D28351A">
            <w:pPr>
              <w:spacing w:line="372" w:lineRule="auto"/>
              <w:rPr>
                <w:rFonts w:ascii="Arial"/>
                <w:sz w:val="21"/>
              </w:rPr>
            </w:pPr>
          </w:p>
          <w:p w14:paraId="6CD28EB5">
            <w:pPr>
              <w:spacing w:before="57"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80" w:type="dxa"/>
            <w:vMerge w:val="continue"/>
            <w:tcBorders>
              <w:top w:val="nil"/>
              <w:bottom w:val="nil"/>
              <w:right w:val="single" w:color="000000" w:sz="6" w:space="0"/>
            </w:tcBorders>
            <w:vAlign w:val="top"/>
          </w:tcPr>
          <w:p w14:paraId="27D5C7E9">
            <w:pPr>
              <w:rPr>
                <w:rFonts w:ascii="Arial"/>
                <w:sz w:val="21"/>
              </w:rPr>
            </w:pPr>
          </w:p>
        </w:tc>
      </w:tr>
      <w:tr w14:paraId="6769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05" w:type="dxa"/>
            <w:vMerge w:val="continue"/>
            <w:tcBorders>
              <w:top w:val="nil"/>
              <w:left w:val="single" w:color="000000" w:sz="6" w:space="0"/>
              <w:bottom w:val="single" w:color="000000" w:sz="6" w:space="0"/>
            </w:tcBorders>
            <w:vAlign w:val="top"/>
          </w:tcPr>
          <w:p w14:paraId="4157D152">
            <w:pPr>
              <w:rPr>
                <w:rFonts w:ascii="Arial"/>
                <w:sz w:val="21"/>
              </w:rPr>
            </w:pPr>
          </w:p>
        </w:tc>
        <w:tc>
          <w:tcPr>
            <w:tcW w:w="171" w:type="dxa"/>
            <w:tcBorders>
              <w:top w:val="nil"/>
              <w:bottom w:val="single" w:color="000000" w:sz="6" w:space="0"/>
            </w:tcBorders>
            <w:vAlign w:val="top"/>
          </w:tcPr>
          <w:p w14:paraId="4034521F">
            <w:pPr>
              <w:rPr>
                <w:rFonts w:ascii="Arial"/>
                <w:sz w:val="21"/>
              </w:rPr>
            </w:pPr>
          </w:p>
        </w:tc>
        <w:tc>
          <w:tcPr>
            <w:tcW w:w="2056" w:type="dxa"/>
            <w:gridSpan w:val="2"/>
            <w:tcBorders>
              <w:bottom w:val="single" w:color="000000" w:sz="6" w:space="0"/>
            </w:tcBorders>
            <w:vAlign w:val="top"/>
          </w:tcPr>
          <w:p w14:paraId="7FD70327">
            <w:pPr>
              <w:pStyle w:val="6"/>
              <w:spacing w:before="194" w:line="228" w:lineRule="auto"/>
              <w:ind w:left="607"/>
              <w:rPr>
                <w:sz w:val="20"/>
                <w:szCs w:val="20"/>
              </w:rPr>
            </w:pPr>
            <w:r>
              <w:rPr>
                <w:spacing w:val="7"/>
                <w:sz w:val="20"/>
                <w:szCs w:val="20"/>
              </w:rPr>
              <w:t>排放标准</w:t>
            </w:r>
          </w:p>
        </w:tc>
        <w:tc>
          <w:tcPr>
            <w:tcW w:w="1533" w:type="dxa"/>
            <w:tcBorders>
              <w:bottom w:val="single" w:color="000000" w:sz="6" w:space="0"/>
            </w:tcBorders>
            <w:vAlign w:val="top"/>
          </w:tcPr>
          <w:p w14:paraId="1EB56C75">
            <w:pPr>
              <w:pStyle w:val="6"/>
              <w:spacing w:before="193" w:line="227" w:lineRule="auto"/>
              <w:ind w:left="350"/>
              <w:rPr>
                <w:sz w:val="20"/>
                <w:szCs w:val="20"/>
              </w:rPr>
            </w:pPr>
            <w:r>
              <w:rPr>
                <w:spacing w:val="7"/>
                <w:sz w:val="20"/>
                <w:szCs w:val="20"/>
              </w:rPr>
              <w:t>有机废气</w:t>
            </w:r>
          </w:p>
        </w:tc>
        <w:tc>
          <w:tcPr>
            <w:tcW w:w="4440" w:type="dxa"/>
            <w:gridSpan w:val="5"/>
            <w:tcBorders>
              <w:bottom w:val="single" w:color="000000" w:sz="6" w:space="0"/>
            </w:tcBorders>
            <w:vAlign w:val="top"/>
          </w:tcPr>
          <w:p w14:paraId="2E0C0A24">
            <w:pPr>
              <w:pStyle w:val="6"/>
              <w:spacing w:before="56" w:line="248" w:lineRule="auto"/>
              <w:ind w:left="558" w:right="234" w:hanging="321"/>
              <w:rPr>
                <w:sz w:val="20"/>
                <w:szCs w:val="20"/>
              </w:rPr>
            </w:pPr>
            <w:r>
              <w:rPr>
                <w:spacing w:val="8"/>
                <w:sz w:val="20"/>
                <w:szCs w:val="20"/>
              </w:rPr>
              <w:t>《固定污染源挥发性有机物综合排放标准》</w:t>
            </w:r>
            <w:r>
              <w:rPr>
                <w:spacing w:val="9"/>
                <w:sz w:val="20"/>
                <w:szCs w:val="20"/>
              </w:rPr>
              <w:t xml:space="preserve"> </w:t>
            </w:r>
            <w:r>
              <w:rPr>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44/2367-2022</w:t>
            </w:r>
            <w:r>
              <w:rPr>
                <w:spacing w:val="6"/>
                <w:sz w:val="20"/>
                <w:szCs w:val="20"/>
              </w:rPr>
              <w:t>）的有关排放限值</w:t>
            </w:r>
          </w:p>
        </w:tc>
        <w:tc>
          <w:tcPr>
            <w:tcW w:w="180" w:type="dxa"/>
            <w:vMerge w:val="continue"/>
            <w:tcBorders>
              <w:top w:val="nil"/>
              <w:bottom w:val="single" w:color="000000" w:sz="6" w:space="0"/>
              <w:right w:val="single" w:color="000000" w:sz="6" w:space="0"/>
            </w:tcBorders>
            <w:vAlign w:val="top"/>
          </w:tcPr>
          <w:p w14:paraId="0DEEB8BB">
            <w:pPr>
              <w:rPr>
                <w:rFonts w:ascii="Arial"/>
                <w:sz w:val="21"/>
              </w:rPr>
            </w:pPr>
          </w:p>
        </w:tc>
      </w:tr>
    </w:tbl>
    <w:p w14:paraId="05966AF5">
      <w:pPr>
        <w:rPr>
          <w:rFonts w:ascii="Arial"/>
          <w:sz w:val="21"/>
        </w:rPr>
      </w:pPr>
    </w:p>
    <w:p w14:paraId="35657355">
      <w:pPr>
        <w:rPr>
          <w:rFonts w:ascii="Arial" w:hAnsi="Arial" w:eastAsia="Arial" w:cs="Arial"/>
          <w:sz w:val="21"/>
          <w:szCs w:val="21"/>
        </w:rPr>
        <w:sectPr>
          <w:footerReference r:id="rId81" w:type="default"/>
          <w:pgSz w:w="11907" w:h="16840"/>
          <w:pgMar w:top="400" w:right="1453" w:bottom="1240" w:left="1453" w:header="0" w:footer="1077" w:gutter="0"/>
          <w:cols w:space="720" w:num="1"/>
        </w:sectPr>
      </w:pPr>
    </w:p>
    <w:p w14:paraId="6585673C">
      <w:pPr>
        <w:spacing w:before="19"/>
      </w:pPr>
    </w:p>
    <w:p w14:paraId="50E6CB6B">
      <w:pPr>
        <w:spacing w:before="19"/>
      </w:pPr>
    </w:p>
    <w:p w14:paraId="2B6621F0">
      <w:pPr>
        <w:spacing w:before="19"/>
      </w:pPr>
    </w:p>
    <w:p w14:paraId="3A88B97B">
      <w:pPr>
        <w:spacing w:before="18"/>
      </w:pPr>
    </w:p>
    <w:p w14:paraId="010308B3">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71"/>
        <w:gridCol w:w="82"/>
        <w:gridCol w:w="410"/>
        <w:gridCol w:w="688"/>
        <w:gridCol w:w="876"/>
        <w:gridCol w:w="517"/>
        <w:gridCol w:w="1067"/>
        <w:gridCol w:w="1485"/>
        <w:gridCol w:w="668"/>
        <w:gridCol w:w="685"/>
        <w:gridCol w:w="184"/>
        <w:gridCol w:w="804"/>
        <w:gridCol w:w="449"/>
        <w:gridCol w:w="165"/>
        <w:gridCol w:w="129"/>
      </w:tblGrid>
      <w:tr w14:paraId="28B9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605" w:type="dxa"/>
            <w:vMerge w:val="restart"/>
            <w:tcBorders>
              <w:top w:val="single" w:color="000000" w:sz="6" w:space="0"/>
              <w:left w:val="single" w:color="000000" w:sz="6" w:space="0"/>
              <w:bottom w:val="nil"/>
            </w:tcBorders>
            <w:vAlign w:val="top"/>
          </w:tcPr>
          <w:p w14:paraId="5ECF4651">
            <w:pPr>
              <w:rPr>
                <w:rFonts w:ascii="Arial"/>
                <w:sz w:val="21"/>
              </w:rPr>
            </w:pPr>
          </w:p>
        </w:tc>
        <w:tc>
          <w:tcPr>
            <w:tcW w:w="171" w:type="dxa"/>
            <w:vMerge w:val="restart"/>
            <w:tcBorders>
              <w:top w:val="single" w:color="000000" w:sz="6" w:space="0"/>
              <w:bottom w:val="nil"/>
            </w:tcBorders>
            <w:vAlign w:val="top"/>
          </w:tcPr>
          <w:p w14:paraId="3F94ABE6">
            <w:pPr>
              <w:rPr>
                <w:rFonts w:ascii="Arial"/>
                <w:sz w:val="21"/>
              </w:rPr>
            </w:pPr>
          </w:p>
        </w:tc>
        <w:tc>
          <w:tcPr>
            <w:tcW w:w="2056" w:type="dxa"/>
            <w:gridSpan w:val="4"/>
            <w:tcBorders>
              <w:top w:val="single" w:color="000000" w:sz="6" w:space="0"/>
            </w:tcBorders>
            <w:vAlign w:val="top"/>
          </w:tcPr>
          <w:p w14:paraId="4FC56B15">
            <w:pPr>
              <w:rPr>
                <w:rFonts w:ascii="Arial"/>
                <w:sz w:val="21"/>
              </w:rPr>
            </w:pPr>
          </w:p>
        </w:tc>
        <w:tc>
          <w:tcPr>
            <w:tcW w:w="1584" w:type="dxa"/>
            <w:gridSpan w:val="2"/>
            <w:tcBorders>
              <w:top w:val="single" w:color="000000" w:sz="6" w:space="0"/>
            </w:tcBorders>
            <w:vAlign w:val="top"/>
          </w:tcPr>
          <w:p w14:paraId="055C45D6">
            <w:pPr>
              <w:pStyle w:val="6"/>
              <w:spacing w:before="66" w:line="228" w:lineRule="auto"/>
              <w:ind w:left="454"/>
              <w:rPr>
                <w:sz w:val="20"/>
                <w:szCs w:val="20"/>
              </w:rPr>
            </w:pPr>
            <w:r>
              <w:rPr>
                <w:spacing w:val="7"/>
                <w:sz w:val="20"/>
                <w:szCs w:val="20"/>
              </w:rPr>
              <w:t>颗粒物</w:t>
            </w:r>
          </w:p>
          <w:p w14:paraId="3BA230A0">
            <w:pPr>
              <w:spacing w:before="45" w:line="202" w:lineRule="auto"/>
              <w:ind w:left="606"/>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p w14:paraId="7463099E">
            <w:pPr>
              <w:spacing w:before="46" w:line="202" w:lineRule="auto"/>
              <w:ind w:left="559"/>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4440" w:type="dxa"/>
            <w:gridSpan w:val="7"/>
            <w:tcBorders>
              <w:top w:val="single" w:color="000000" w:sz="6" w:space="0"/>
            </w:tcBorders>
            <w:vAlign w:val="top"/>
          </w:tcPr>
          <w:p w14:paraId="0BB93330">
            <w:pPr>
              <w:pStyle w:val="6"/>
              <w:spacing w:before="172" w:line="228" w:lineRule="auto"/>
              <w:ind w:left="606"/>
              <w:rPr>
                <w:sz w:val="20"/>
                <w:szCs w:val="20"/>
              </w:rPr>
            </w:pPr>
            <w:r>
              <w:rPr>
                <w:spacing w:val="8"/>
                <w:sz w:val="20"/>
                <w:szCs w:val="20"/>
              </w:rPr>
              <w:t>《工业炉窑大气污染物排放标准》</w:t>
            </w:r>
          </w:p>
          <w:p w14:paraId="15485C0C">
            <w:pPr>
              <w:pStyle w:val="6"/>
              <w:spacing w:before="23" w:line="228" w:lineRule="auto"/>
              <w:ind w:left="222"/>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9078-1996</w:t>
            </w:r>
            <w:r>
              <w:rPr>
                <w:spacing w:val="7"/>
                <w:sz w:val="20"/>
                <w:szCs w:val="20"/>
              </w:rPr>
              <w:t>）相关污染物排放浓度限值</w:t>
            </w:r>
          </w:p>
        </w:tc>
        <w:tc>
          <w:tcPr>
            <w:tcW w:w="129" w:type="dxa"/>
            <w:tcBorders>
              <w:top w:val="single" w:color="000000" w:sz="6" w:space="0"/>
              <w:bottom w:val="nil"/>
              <w:right w:val="single" w:color="000000" w:sz="6" w:space="0"/>
            </w:tcBorders>
            <w:vAlign w:val="top"/>
          </w:tcPr>
          <w:p w14:paraId="1145CDFC">
            <w:pPr>
              <w:rPr>
                <w:rFonts w:ascii="Arial"/>
                <w:sz w:val="21"/>
              </w:rPr>
            </w:pPr>
          </w:p>
        </w:tc>
      </w:tr>
      <w:tr w14:paraId="3C4D4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605" w:type="dxa"/>
            <w:vMerge w:val="continue"/>
            <w:tcBorders>
              <w:top w:val="nil"/>
              <w:left w:val="single" w:color="000000" w:sz="6" w:space="0"/>
              <w:bottom w:val="nil"/>
            </w:tcBorders>
            <w:vAlign w:val="top"/>
          </w:tcPr>
          <w:p w14:paraId="45E94E5C">
            <w:pPr>
              <w:rPr>
                <w:rFonts w:ascii="Arial"/>
                <w:sz w:val="21"/>
              </w:rPr>
            </w:pPr>
          </w:p>
        </w:tc>
        <w:tc>
          <w:tcPr>
            <w:tcW w:w="171" w:type="dxa"/>
            <w:vMerge w:val="continue"/>
            <w:tcBorders>
              <w:top w:val="nil"/>
              <w:bottom w:val="nil"/>
            </w:tcBorders>
            <w:vAlign w:val="top"/>
          </w:tcPr>
          <w:p w14:paraId="1CEFEB9A">
            <w:pPr>
              <w:rPr>
                <w:rFonts w:ascii="Arial"/>
                <w:sz w:val="21"/>
              </w:rPr>
            </w:pPr>
          </w:p>
        </w:tc>
        <w:tc>
          <w:tcPr>
            <w:tcW w:w="492" w:type="dxa"/>
            <w:gridSpan w:val="2"/>
            <w:vAlign w:val="top"/>
          </w:tcPr>
          <w:p w14:paraId="48F88CF2">
            <w:pPr>
              <w:spacing w:line="278" w:lineRule="auto"/>
              <w:rPr>
                <w:rFonts w:ascii="Arial"/>
                <w:sz w:val="21"/>
              </w:rPr>
            </w:pPr>
          </w:p>
          <w:p w14:paraId="61CA1C70">
            <w:pPr>
              <w:spacing w:line="278" w:lineRule="auto"/>
              <w:rPr>
                <w:rFonts w:ascii="Arial"/>
                <w:sz w:val="21"/>
              </w:rPr>
            </w:pPr>
          </w:p>
          <w:p w14:paraId="43CE882F">
            <w:pPr>
              <w:spacing w:line="279" w:lineRule="auto"/>
              <w:rPr>
                <w:rFonts w:ascii="Arial"/>
                <w:sz w:val="21"/>
              </w:rPr>
            </w:pPr>
          </w:p>
          <w:p w14:paraId="18301111">
            <w:pPr>
              <w:spacing w:before="58" w:line="195" w:lineRule="auto"/>
              <w:ind w:left="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4"/>
                <w:sz w:val="20"/>
                <w:szCs w:val="20"/>
              </w:rPr>
              <w:t>13</w:t>
            </w:r>
          </w:p>
        </w:tc>
        <w:tc>
          <w:tcPr>
            <w:tcW w:w="1564" w:type="dxa"/>
            <w:gridSpan w:val="2"/>
            <w:vAlign w:val="top"/>
          </w:tcPr>
          <w:p w14:paraId="179F1ADC">
            <w:pPr>
              <w:spacing w:line="349" w:lineRule="auto"/>
              <w:rPr>
                <w:rFonts w:ascii="Arial"/>
                <w:sz w:val="21"/>
              </w:rPr>
            </w:pPr>
          </w:p>
          <w:p w14:paraId="6D37D9E0">
            <w:pPr>
              <w:spacing w:line="350" w:lineRule="auto"/>
              <w:rPr>
                <w:rFonts w:ascii="Arial"/>
                <w:sz w:val="21"/>
              </w:rPr>
            </w:pPr>
          </w:p>
          <w:p w14:paraId="09FF35B7">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006~</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013</w:t>
            </w:r>
          </w:p>
          <w:p w14:paraId="68AB0CEC">
            <w:pPr>
              <w:pStyle w:val="6"/>
              <w:spacing w:before="34" w:line="229" w:lineRule="auto"/>
              <w:ind w:left="468"/>
              <w:rPr>
                <w:sz w:val="20"/>
                <w:szCs w:val="20"/>
              </w:rPr>
            </w:pPr>
            <w:r>
              <w:rPr>
                <w:spacing w:val="6"/>
                <w:sz w:val="20"/>
                <w:szCs w:val="20"/>
              </w:rPr>
              <w:t>排放口</w:t>
            </w:r>
          </w:p>
        </w:tc>
        <w:tc>
          <w:tcPr>
            <w:tcW w:w="1584" w:type="dxa"/>
            <w:gridSpan w:val="2"/>
            <w:vAlign w:val="top"/>
          </w:tcPr>
          <w:p w14:paraId="5EB20993">
            <w:pPr>
              <w:spacing w:before="5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115°27′43.505″</w:t>
            </w:r>
          </w:p>
          <w:p w14:paraId="6787C459">
            <w:pPr>
              <w:spacing w:before="5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115°27′43.389″</w:t>
            </w:r>
          </w:p>
          <w:p w14:paraId="53D303E2">
            <w:pPr>
              <w:spacing w:before="5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115°27′43.244″</w:t>
            </w:r>
          </w:p>
          <w:p w14:paraId="3BDE029E">
            <w:pPr>
              <w:spacing w:before="5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115°27′43.070″</w:t>
            </w:r>
          </w:p>
          <w:p w14:paraId="44AD14C9">
            <w:pPr>
              <w:spacing w:before="5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115°27′42.925″</w:t>
            </w:r>
          </w:p>
          <w:p w14:paraId="6B6213E8">
            <w:pPr>
              <w:spacing w:before="5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115°27′42.761″</w:t>
            </w:r>
          </w:p>
          <w:p w14:paraId="27F05C2C">
            <w:pPr>
              <w:spacing w:before="5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115°27′42.607″</w:t>
            </w:r>
          </w:p>
          <w:p w14:paraId="3AA6219F">
            <w:pPr>
              <w:spacing w:before="55" w:line="190"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115°27′42.423″</w:t>
            </w:r>
          </w:p>
        </w:tc>
        <w:tc>
          <w:tcPr>
            <w:tcW w:w="1485" w:type="dxa"/>
            <w:vAlign w:val="top"/>
          </w:tcPr>
          <w:p w14:paraId="568902E3">
            <w:pPr>
              <w:spacing w:before="53"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22°57′43.666″</w:t>
            </w:r>
          </w:p>
          <w:p w14:paraId="7DA1043F">
            <w:pPr>
              <w:spacing w:before="53"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22°57′43.405″</w:t>
            </w:r>
          </w:p>
          <w:p w14:paraId="68C2044D">
            <w:pPr>
              <w:spacing w:before="55"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22°57′43.116″</w:t>
            </w:r>
          </w:p>
          <w:p w14:paraId="2154397F">
            <w:pPr>
              <w:spacing w:before="55"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22°57′42.787″</w:t>
            </w:r>
          </w:p>
          <w:p w14:paraId="4F1A7073">
            <w:pPr>
              <w:spacing w:before="53"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22°57′42.527″</w:t>
            </w:r>
          </w:p>
          <w:p w14:paraId="40F641CF">
            <w:pPr>
              <w:spacing w:before="55"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22°57′42.218″</w:t>
            </w:r>
          </w:p>
          <w:p w14:paraId="4E4ED615">
            <w:pPr>
              <w:spacing w:before="53"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22°57′41.909″</w:t>
            </w:r>
          </w:p>
          <w:p w14:paraId="4B92F43B">
            <w:pPr>
              <w:spacing w:before="55" w:line="190"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22°57′41.542″</w:t>
            </w:r>
          </w:p>
        </w:tc>
        <w:tc>
          <w:tcPr>
            <w:tcW w:w="668" w:type="dxa"/>
            <w:vAlign w:val="top"/>
          </w:tcPr>
          <w:p w14:paraId="0D7F28B3">
            <w:pPr>
              <w:spacing w:line="278" w:lineRule="auto"/>
              <w:rPr>
                <w:rFonts w:ascii="Arial"/>
                <w:sz w:val="21"/>
              </w:rPr>
            </w:pPr>
          </w:p>
          <w:p w14:paraId="260942F5">
            <w:pPr>
              <w:spacing w:line="278" w:lineRule="auto"/>
              <w:rPr>
                <w:rFonts w:ascii="Arial"/>
                <w:sz w:val="21"/>
              </w:rPr>
            </w:pPr>
          </w:p>
          <w:p w14:paraId="0CA9A496">
            <w:pPr>
              <w:spacing w:line="279" w:lineRule="auto"/>
              <w:rPr>
                <w:rFonts w:ascii="Arial"/>
                <w:sz w:val="21"/>
              </w:rPr>
            </w:pPr>
          </w:p>
          <w:p w14:paraId="33870BA0">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69" w:type="dxa"/>
            <w:gridSpan w:val="2"/>
            <w:vAlign w:val="top"/>
          </w:tcPr>
          <w:p w14:paraId="58093FD7">
            <w:pPr>
              <w:spacing w:line="278" w:lineRule="auto"/>
              <w:rPr>
                <w:rFonts w:ascii="Arial"/>
                <w:sz w:val="21"/>
              </w:rPr>
            </w:pPr>
          </w:p>
          <w:p w14:paraId="5A3E7B19">
            <w:pPr>
              <w:spacing w:line="278" w:lineRule="auto"/>
              <w:rPr>
                <w:rFonts w:ascii="Arial"/>
                <w:sz w:val="21"/>
              </w:rPr>
            </w:pPr>
          </w:p>
          <w:p w14:paraId="32421AC2">
            <w:pPr>
              <w:spacing w:line="279" w:lineRule="auto"/>
              <w:rPr>
                <w:rFonts w:ascii="Arial"/>
                <w:sz w:val="21"/>
              </w:rPr>
            </w:pPr>
          </w:p>
          <w:p w14:paraId="7470F96A">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804" w:type="dxa"/>
            <w:vAlign w:val="top"/>
          </w:tcPr>
          <w:p w14:paraId="648EDB8B">
            <w:pPr>
              <w:spacing w:line="278" w:lineRule="auto"/>
              <w:rPr>
                <w:rFonts w:ascii="Arial"/>
                <w:sz w:val="21"/>
              </w:rPr>
            </w:pPr>
          </w:p>
          <w:p w14:paraId="0D405570">
            <w:pPr>
              <w:spacing w:line="278" w:lineRule="auto"/>
              <w:rPr>
                <w:rFonts w:ascii="Arial"/>
                <w:sz w:val="21"/>
              </w:rPr>
            </w:pPr>
          </w:p>
          <w:p w14:paraId="0C3AF0FA">
            <w:pPr>
              <w:spacing w:line="279" w:lineRule="auto"/>
              <w:rPr>
                <w:rFonts w:ascii="Arial"/>
                <w:sz w:val="21"/>
              </w:rPr>
            </w:pPr>
          </w:p>
          <w:p w14:paraId="03AE5AA3">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19.7</w:t>
            </w:r>
          </w:p>
        </w:tc>
        <w:tc>
          <w:tcPr>
            <w:tcW w:w="614" w:type="dxa"/>
            <w:gridSpan w:val="2"/>
            <w:vAlign w:val="top"/>
          </w:tcPr>
          <w:p w14:paraId="199C8257">
            <w:pPr>
              <w:spacing w:line="278" w:lineRule="auto"/>
              <w:rPr>
                <w:rFonts w:ascii="Arial"/>
                <w:sz w:val="21"/>
              </w:rPr>
            </w:pPr>
          </w:p>
          <w:p w14:paraId="3C526C05">
            <w:pPr>
              <w:spacing w:line="278" w:lineRule="auto"/>
              <w:rPr>
                <w:rFonts w:ascii="Arial"/>
                <w:sz w:val="21"/>
              </w:rPr>
            </w:pPr>
          </w:p>
          <w:p w14:paraId="00A37464">
            <w:pPr>
              <w:spacing w:line="279" w:lineRule="auto"/>
              <w:rPr>
                <w:rFonts w:ascii="Arial"/>
                <w:sz w:val="21"/>
              </w:rPr>
            </w:pPr>
          </w:p>
          <w:p w14:paraId="60CDB0B7">
            <w:pPr>
              <w:spacing w:before="5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9" w:type="dxa"/>
            <w:tcBorders>
              <w:top w:val="nil"/>
              <w:bottom w:val="nil"/>
              <w:right w:val="single" w:color="000000" w:sz="6" w:space="0"/>
            </w:tcBorders>
            <w:vAlign w:val="top"/>
          </w:tcPr>
          <w:p w14:paraId="6319E576">
            <w:pPr>
              <w:rPr>
                <w:rFonts w:ascii="Arial"/>
                <w:sz w:val="21"/>
              </w:rPr>
            </w:pPr>
          </w:p>
        </w:tc>
      </w:tr>
      <w:tr w14:paraId="516B4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605" w:type="dxa"/>
            <w:vMerge w:val="continue"/>
            <w:tcBorders>
              <w:top w:val="nil"/>
              <w:left w:val="single" w:color="000000" w:sz="6" w:space="0"/>
              <w:bottom w:val="nil"/>
            </w:tcBorders>
            <w:vAlign w:val="top"/>
          </w:tcPr>
          <w:p w14:paraId="448B87CA">
            <w:pPr>
              <w:rPr>
                <w:rFonts w:ascii="Arial"/>
                <w:sz w:val="21"/>
              </w:rPr>
            </w:pPr>
          </w:p>
        </w:tc>
        <w:tc>
          <w:tcPr>
            <w:tcW w:w="171" w:type="dxa"/>
            <w:vMerge w:val="continue"/>
            <w:tcBorders>
              <w:top w:val="nil"/>
              <w:bottom w:val="nil"/>
            </w:tcBorders>
            <w:vAlign w:val="top"/>
          </w:tcPr>
          <w:p w14:paraId="7F3EDB05">
            <w:pPr>
              <w:rPr>
                <w:rFonts w:ascii="Arial"/>
                <w:sz w:val="21"/>
              </w:rPr>
            </w:pPr>
          </w:p>
        </w:tc>
        <w:tc>
          <w:tcPr>
            <w:tcW w:w="2056" w:type="dxa"/>
            <w:gridSpan w:val="4"/>
            <w:vAlign w:val="top"/>
          </w:tcPr>
          <w:p w14:paraId="32D132E9">
            <w:pPr>
              <w:spacing w:line="255" w:lineRule="auto"/>
              <w:rPr>
                <w:rFonts w:ascii="Arial"/>
                <w:sz w:val="21"/>
              </w:rPr>
            </w:pPr>
          </w:p>
          <w:p w14:paraId="11F693FB">
            <w:pPr>
              <w:spacing w:line="255" w:lineRule="auto"/>
              <w:rPr>
                <w:rFonts w:ascii="Arial"/>
                <w:sz w:val="21"/>
              </w:rPr>
            </w:pPr>
          </w:p>
          <w:p w14:paraId="101D7122">
            <w:pPr>
              <w:pStyle w:val="6"/>
              <w:spacing w:before="65" w:line="228" w:lineRule="auto"/>
              <w:ind w:left="607"/>
              <w:rPr>
                <w:sz w:val="20"/>
                <w:szCs w:val="20"/>
              </w:rPr>
            </w:pPr>
            <w:r>
              <w:rPr>
                <w:spacing w:val="7"/>
                <w:sz w:val="20"/>
                <w:szCs w:val="20"/>
              </w:rPr>
              <w:t>排放标准</w:t>
            </w:r>
          </w:p>
        </w:tc>
        <w:tc>
          <w:tcPr>
            <w:tcW w:w="1584" w:type="dxa"/>
            <w:gridSpan w:val="2"/>
            <w:vAlign w:val="top"/>
          </w:tcPr>
          <w:p w14:paraId="1595AECB">
            <w:pPr>
              <w:pStyle w:val="6"/>
              <w:spacing w:before="33" w:line="228" w:lineRule="auto"/>
              <w:ind w:left="144"/>
              <w:rPr>
                <w:sz w:val="20"/>
                <w:szCs w:val="20"/>
              </w:rPr>
            </w:pPr>
            <w:r>
              <w:rPr>
                <w:spacing w:val="7"/>
                <w:sz w:val="20"/>
                <w:szCs w:val="20"/>
              </w:rPr>
              <w:t>氯化氢、氟化</w:t>
            </w:r>
          </w:p>
          <w:p w14:paraId="6F1CA9BC">
            <w:pPr>
              <w:pStyle w:val="6"/>
              <w:spacing w:before="24" w:line="228" w:lineRule="auto"/>
              <w:ind w:left="140"/>
              <w:rPr>
                <w:sz w:val="20"/>
                <w:szCs w:val="20"/>
              </w:rPr>
            </w:pPr>
            <w:r>
              <w:rPr>
                <w:spacing w:val="8"/>
                <w:sz w:val="20"/>
                <w:szCs w:val="20"/>
              </w:rPr>
              <w:t>氢（以氟化物</w:t>
            </w:r>
          </w:p>
          <w:p w14:paraId="61E190BF">
            <w:pPr>
              <w:pStyle w:val="6"/>
              <w:spacing w:before="27" w:line="229" w:lineRule="auto"/>
              <w:ind w:left="109"/>
              <w:rPr>
                <w:sz w:val="20"/>
                <w:szCs w:val="20"/>
              </w:rPr>
            </w:pPr>
            <w:r>
              <w:rPr>
                <w:sz w:val="20"/>
                <w:szCs w:val="20"/>
              </w:rPr>
              <w:t>计）、硫酸雾、</w:t>
            </w:r>
          </w:p>
          <w:p w14:paraId="38A7854D">
            <w:pPr>
              <w:pStyle w:val="6"/>
              <w:spacing w:before="23" w:line="229" w:lineRule="auto"/>
              <w:ind w:left="248"/>
              <w:rPr>
                <w:sz w:val="20"/>
                <w:szCs w:val="20"/>
              </w:rPr>
            </w:pPr>
            <w:r>
              <w:rPr>
                <w:spacing w:val="7"/>
                <w:sz w:val="20"/>
                <w:szCs w:val="20"/>
              </w:rPr>
              <w:t>硝酸雾（以</w:t>
            </w:r>
          </w:p>
          <w:p w14:paraId="56A8E087">
            <w:pPr>
              <w:pStyle w:val="6"/>
              <w:spacing w:before="25" w:line="214" w:lineRule="auto"/>
              <w:ind w:left="319"/>
              <w:rPr>
                <w:sz w:val="20"/>
                <w:szCs w:val="20"/>
              </w:rPr>
            </w:pPr>
            <w:r>
              <w:rPr>
                <w:rFonts w:ascii="Times New Roman" w:hAnsi="Times New Roman" w:eastAsia="Times New Roman" w:cs="Times New Roman"/>
                <w:sz w:val="20"/>
                <w:szCs w:val="20"/>
              </w:rPr>
              <w:t>NOx</w:t>
            </w:r>
            <w:r>
              <w:rPr>
                <w:rFonts w:ascii="Times New Roman" w:hAnsi="Times New Roman" w:eastAsia="Times New Roman" w:cs="Times New Roman"/>
                <w:spacing w:val="10"/>
                <w:sz w:val="20"/>
                <w:szCs w:val="20"/>
              </w:rPr>
              <w:t xml:space="preserve"> </w:t>
            </w:r>
            <w:r>
              <w:rPr>
                <w:spacing w:val="10"/>
                <w:sz w:val="20"/>
                <w:szCs w:val="20"/>
              </w:rPr>
              <w:t>计）</w:t>
            </w:r>
          </w:p>
        </w:tc>
        <w:tc>
          <w:tcPr>
            <w:tcW w:w="4440" w:type="dxa"/>
            <w:gridSpan w:val="7"/>
            <w:vAlign w:val="top"/>
          </w:tcPr>
          <w:p w14:paraId="4B454F34">
            <w:pPr>
              <w:spacing w:line="373" w:lineRule="auto"/>
              <w:rPr>
                <w:rFonts w:ascii="Arial"/>
                <w:sz w:val="21"/>
              </w:rPr>
            </w:pPr>
          </w:p>
          <w:p w14:paraId="2580D109">
            <w:pPr>
              <w:pStyle w:val="6"/>
              <w:spacing w:before="65" w:line="252" w:lineRule="auto"/>
              <w:ind w:left="508" w:right="390" w:hanging="221"/>
              <w:rPr>
                <w:sz w:val="20"/>
                <w:szCs w:val="20"/>
              </w:rPr>
            </w:pPr>
            <w:r>
              <w:rPr>
                <w:spacing w:val="8"/>
                <w:sz w:val="20"/>
                <w:szCs w:val="20"/>
              </w:rPr>
              <w:t>广东省地方标准《大气污染物排放限值》</w:t>
            </w:r>
            <w:r>
              <w:rPr>
                <w:spacing w:val="11"/>
                <w:sz w:val="20"/>
                <w:szCs w:val="20"/>
              </w:rPr>
              <w:t xml:space="preserve"> </w:t>
            </w:r>
            <w:r>
              <w:rPr>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44/27-2001</w:t>
            </w:r>
            <w:r>
              <w:rPr>
                <w:spacing w:val="6"/>
                <w:sz w:val="20"/>
                <w:szCs w:val="20"/>
              </w:rPr>
              <w:t>）第二时段二级标准</w:t>
            </w:r>
          </w:p>
        </w:tc>
        <w:tc>
          <w:tcPr>
            <w:tcW w:w="129" w:type="dxa"/>
            <w:tcBorders>
              <w:top w:val="nil"/>
              <w:bottom w:val="nil"/>
              <w:right w:val="single" w:color="000000" w:sz="6" w:space="0"/>
            </w:tcBorders>
            <w:vAlign w:val="top"/>
          </w:tcPr>
          <w:p w14:paraId="0D417F02">
            <w:pPr>
              <w:rPr>
                <w:rFonts w:ascii="Arial"/>
                <w:sz w:val="21"/>
              </w:rPr>
            </w:pPr>
          </w:p>
        </w:tc>
      </w:tr>
      <w:tr w14:paraId="4EC41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6" w:hRule="atLeast"/>
        </w:trPr>
        <w:tc>
          <w:tcPr>
            <w:tcW w:w="605" w:type="dxa"/>
            <w:vMerge w:val="continue"/>
            <w:tcBorders>
              <w:top w:val="nil"/>
              <w:left w:val="single" w:color="000000" w:sz="6" w:space="0"/>
              <w:bottom w:val="nil"/>
            </w:tcBorders>
            <w:vAlign w:val="top"/>
          </w:tcPr>
          <w:p w14:paraId="2240C79F">
            <w:pPr>
              <w:rPr>
                <w:rFonts w:ascii="Arial"/>
                <w:sz w:val="21"/>
              </w:rPr>
            </w:pPr>
          </w:p>
        </w:tc>
        <w:tc>
          <w:tcPr>
            <w:tcW w:w="8380" w:type="dxa"/>
            <w:gridSpan w:val="15"/>
            <w:tcBorders>
              <w:right w:val="single" w:color="000000" w:sz="6" w:space="0"/>
            </w:tcBorders>
            <w:vAlign w:val="top"/>
          </w:tcPr>
          <w:p w14:paraId="1BDAC614">
            <w:pPr>
              <w:pStyle w:val="6"/>
              <w:spacing w:before="156" w:line="360" w:lineRule="auto"/>
              <w:ind w:left="114" w:firstLine="477"/>
              <w:jc w:val="both"/>
            </w:pPr>
            <w:r>
              <w:rPr>
                <w:spacing w:val="-3"/>
              </w:rPr>
              <w:t>项目周边</w:t>
            </w:r>
            <w:r>
              <w:rPr>
                <w:spacing w:val="-55"/>
              </w:rPr>
              <w:t xml:space="preserve"> </w:t>
            </w:r>
            <w:r>
              <w:rPr>
                <w:rFonts w:ascii="Times New Roman" w:hAnsi="Times New Roman" w:eastAsia="Times New Roman" w:cs="Times New Roman"/>
                <w:spacing w:val="-3"/>
              </w:rPr>
              <w:t xml:space="preserve">200m </w:t>
            </w:r>
            <w:r>
              <w:rPr>
                <w:spacing w:val="-3"/>
              </w:rPr>
              <w:t>范围内建筑多是</w:t>
            </w:r>
            <w:r>
              <w:rPr>
                <w:spacing w:val="-32"/>
              </w:rPr>
              <w:t xml:space="preserve"> </w:t>
            </w:r>
            <w:r>
              <w:rPr>
                <w:rFonts w:ascii="Times New Roman" w:hAnsi="Times New Roman" w:eastAsia="Times New Roman" w:cs="Times New Roman"/>
                <w:spacing w:val="-3"/>
              </w:rPr>
              <w:t>12-15m</w:t>
            </w:r>
            <w:r>
              <w:rPr>
                <w:rFonts w:ascii="Times New Roman" w:hAnsi="Times New Roman" w:eastAsia="Times New Roman" w:cs="Times New Roman"/>
                <w:spacing w:val="15"/>
              </w:rPr>
              <w:t xml:space="preserve"> </w:t>
            </w:r>
            <w:r>
              <w:rPr>
                <w:spacing w:val="-3"/>
              </w:rPr>
              <w:t>左右的</w:t>
            </w:r>
            <w:r>
              <w:rPr>
                <w:spacing w:val="-50"/>
              </w:rPr>
              <w:t xml:space="preserve"> </w:t>
            </w:r>
            <w:r>
              <w:rPr>
                <w:rFonts w:ascii="Times New Roman" w:hAnsi="Times New Roman" w:eastAsia="Times New Roman" w:cs="Times New Roman"/>
                <w:spacing w:val="-3"/>
              </w:rPr>
              <w:t>3-4</w:t>
            </w:r>
            <w:r>
              <w:rPr>
                <w:rFonts w:ascii="Times New Roman" w:hAnsi="Times New Roman" w:eastAsia="Times New Roman" w:cs="Times New Roman"/>
                <w:spacing w:val="-4"/>
              </w:rPr>
              <w:t xml:space="preserve"> </w:t>
            </w:r>
            <w:r>
              <w:rPr>
                <w:spacing w:val="-4"/>
              </w:rPr>
              <w:t>层建筑，没有高出</w:t>
            </w:r>
            <w:r>
              <w:rPr>
                <w:spacing w:val="-55"/>
              </w:rPr>
              <w:t xml:space="preserve"> </w:t>
            </w:r>
            <w:r>
              <w:rPr>
                <w:rFonts w:ascii="Times New Roman" w:hAnsi="Times New Roman" w:eastAsia="Times New Roman" w:cs="Times New Roman"/>
                <w:spacing w:val="-4"/>
              </w:rPr>
              <w:t>25m</w:t>
            </w:r>
            <w:r>
              <w:rPr>
                <w:rFonts w:ascii="Times New Roman" w:hAnsi="Times New Roman" w:eastAsia="Times New Roman" w:cs="Times New Roman"/>
              </w:rPr>
              <w:t xml:space="preserve">   </w:t>
            </w:r>
            <w:r>
              <w:rPr>
                <w:spacing w:val="-4"/>
              </w:rPr>
              <w:t>的建筑。因此项目的排放筒高度符合《固定污染源挥发性有机物综</w:t>
            </w:r>
            <w:r>
              <w:rPr>
                <w:spacing w:val="-5"/>
              </w:rPr>
              <w:t>合排放标准》</w:t>
            </w:r>
            <w:r>
              <w:t xml:space="preserve"> </w:t>
            </w:r>
            <w:r>
              <w:rPr>
                <w:spacing w:val="1"/>
              </w:rPr>
              <w:t>（</w:t>
            </w:r>
            <w:r>
              <w:rPr>
                <w:rFonts w:ascii="Times New Roman" w:hAnsi="Times New Roman" w:eastAsia="Times New Roman" w:cs="Times New Roman"/>
              </w:rPr>
              <w:t>DB</w:t>
            </w:r>
            <w:r>
              <w:rPr>
                <w:rFonts w:ascii="Times New Roman" w:hAnsi="Times New Roman" w:eastAsia="Times New Roman" w:cs="Times New Roman"/>
                <w:spacing w:val="1"/>
              </w:rPr>
              <w:t>44/2367-2022</w:t>
            </w:r>
            <w:r>
              <w:rPr>
                <w:spacing w:val="1"/>
              </w:rPr>
              <w:t>）、《工业炉窑大气污染物排放标准》（</w:t>
            </w:r>
            <w:r>
              <w:rPr>
                <w:rFonts w:ascii="Times New Roman" w:hAnsi="Times New Roman" w:eastAsia="Times New Roman" w:cs="Times New Roman"/>
              </w:rPr>
              <w:t>GB</w:t>
            </w:r>
            <w:r>
              <w:rPr>
                <w:rFonts w:ascii="Times New Roman" w:hAnsi="Times New Roman" w:eastAsia="Times New Roman" w:cs="Times New Roman"/>
                <w:spacing w:val="1"/>
              </w:rPr>
              <w:t>9078-1996</w:t>
            </w:r>
            <w:r>
              <w:rPr>
                <w:spacing w:val="1"/>
              </w:rPr>
              <w:t>）和</w:t>
            </w:r>
            <w:r>
              <w:rPr>
                <w:spacing w:val="6"/>
              </w:rPr>
              <w:t xml:space="preserve">  </w:t>
            </w:r>
            <w:r>
              <w:rPr>
                <w:spacing w:val="-1"/>
              </w:rPr>
              <w:t>《大气污染物排放限值》</w:t>
            </w:r>
            <w:r>
              <w:rPr>
                <w:rFonts w:ascii="Times New Roman" w:hAnsi="Times New Roman" w:eastAsia="Times New Roman" w:cs="Times New Roman"/>
                <w:spacing w:val="-1"/>
              </w:rPr>
              <w:t>(DB44/27-2001)</w:t>
            </w:r>
            <w:r>
              <w:rPr>
                <w:spacing w:val="-1"/>
              </w:rPr>
              <w:t>的要求。</w:t>
            </w:r>
          </w:p>
          <w:p w14:paraId="13CC25CC">
            <w:pPr>
              <w:pStyle w:val="6"/>
              <w:spacing w:before="1" w:line="220" w:lineRule="auto"/>
              <w:ind w:left="599"/>
            </w:pPr>
            <w:r>
              <w:rPr>
                <w:spacing w:val="-3"/>
              </w:rPr>
              <w:t>（</w:t>
            </w:r>
            <w:r>
              <w:rPr>
                <w:rFonts w:ascii="Times New Roman" w:hAnsi="Times New Roman" w:eastAsia="Times New Roman" w:cs="Times New Roman"/>
                <w:spacing w:val="-3"/>
              </w:rPr>
              <w:t>7</w:t>
            </w:r>
            <w:r>
              <w:rPr>
                <w:spacing w:val="-3"/>
              </w:rPr>
              <w:t>）监测计划</w:t>
            </w:r>
          </w:p>
          <w:p w14:paraId="7A558E3B">
            <w:pPr>
              <w:pStyle w:val="6"/>
              <w:spacing w:before="178" w:line="359" w:lineRule="auto"/>
              <w:ind w:left="109" w:right="101" w:firstLine="479"/>
            </w:pPr>
            <w:r>
              <w:t>根据《排污单位自行监测技术指南总则》（</w:t>
            </w:r>
            <w:r>
              <w:rPr>
                <w:rFonts w:ascii="Times New Roman" w:hAnsi="Times New Roman" w:eastAsia="Times New Roman" w:cs="Times New Roman"/>
              </w:rPr>
              <w:t>HJ819-2017</w:t>
            </w:r>
            <w:r>
              <w:rPr>
                <w:spacing w:val="6"/>
              </w:rPr>
              <w:t>），</w:t>
            </w:r>
            <w:r>
              <w:t xml:space="preserve">本项目制定监 </w:t>
            </w:r>
            <w:r>
              <w:rPr>
                <w:spacing w:val="-2"/>
              </w:rPr>
              <w:t>测计划如下：</w:t>
            </w:r>
          </w:p>
          <w:p w14:paraId="2811E2B0">
            <w:pPr>
              <w:pStyle w:val="6"/>
              <w:spacing w:line="220" w:lineRule="auto"/>
              <w:ind w:left="2135"/>
            </w:pPr>
            <w:r>
              <w:rPr>
                <w:b/>
                <w:bCs/>
                <w:spacing w:val="-2"/>
              </w:rPr>
              <w:t>表</w:t>
            </w:r>
            <w:r>
              <w:rPr>
                <w:spacing w:val="-50"/>
              </w:rPr>
              <w:t xml:space="preserve"> </w:t>
            </w:r>
            <w:r>
              <w:rPr>
                <w:rFonts w:ascii="Times New Roman" w:hAnsi="Times New Roman" w:eastAsia="Times New Roman" w:cs="Times New Roman"/>
                <w:b/>
                <w:bCs/>
                <w:spacing w:val="-2"/>
              </w:rPr>
              <w:t xml:space="preserve">4-14    </w:t>
            </w:r>
            <w:r>
              <w:rPr>
                <w:b/>
                <w:bCs/>
                <w:spacing w:val="-2"/>
              </w:rPr>
              <w:t>项目空气环境自主监测计划表</w:t>
            </w:r>
          </w:p>
        </w:tc>
      </w:tr>
      <w:tr w14:paraId="0317D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05" w:type="dxa"/>
            <w:vMerge w:val="continue"/>
            <w:tcBorders>
              <w:top w:val="nil"/>
              <w:left w:val="single" w:color="000000" w:sz="6" w:space="0"/>
              <w:bottom w:val="nil"/>
            </w:tcBorders>
            <w:vAlign w:val="top"/>
          </w:tcPr>
          <w:p w14:paraId="312B32C6">
            <w:pPr>
              <w:rPr>
                <w:rFonts w:ascii="Arial"/>
                <w:sz w:val="21"/>
              </w:rPr>
            </w:pPr>
          </w:p>
        </w:tc>
        <w:tc>
          <w:tcPr>
            <w:tcW w:w="253" w:type="dxa"/>
            <w:gridSpan w:val="2"/>
            <w:vMerge w:val="restart"/>
            <w:tcBorders>
              <w:top w:val="nil"/>
              <w:bottom w:val="nil"/>
            </w:tcBorders>
            <w:vAlign w:val="top"/>
          </w:tcPr>
          <w:p w14:paraId="23961654">
            <w:pPr>
              <w:rPr>
                <w:rFonts w:ascii="Arial"/>
                <w:sz w:val="21"/>
              </w:rPr>
            </w:pPr>
          </w:p>
        </w:tc>
        <w:tc>
          <w:tcPr>
            <w:tcW w:w="1098" w:type="dxa"/>
            <w:gridSpan w:val="2"/>
            <w:vAlign w:val="top"/>
          </w:tcPr>
          <w:p w14:paraId="5C66789F">
            <w:pPr>
              <w:pStyle w:val="6"/>
              <w:spacing w:before="173" w:line="229" w:lineRule="auto"/>
              <w:ind w:left="128"/>
              <w:rPr>
                <w:sz w:val="20"/>
                <w:szCs w:val="20"/>
              </w:rPr>
            </w:pPr>
            <w:r>
              <w:rPr>
                <w:spacing w:val="7"/>
                <w:sz w:val="20"/>
                <w:szCs w:val="20"/>
              </w:rPr>
              <w:t>监测点位</w:t>
            </w:r>
          </w:p>
        </w:tc>
        <w:tc>
          <w:tcPr>
            <w:tcW w:w="1393" w:type="dxa"/>
            <w:gridSpan w:val="2"/>
            <w:vAlign w:val="top"/>
          </w:tcPr>
          <w:p w14:paraId="59A9118D">
            <w:pPr>
              <w:pStyle w:val="6"/>
              <w:spacing w:before="174" w:line="228" w:lineRule="auto"/>
              <w:ind w:left="278"/>
              <w:rPr>
                <w:sz w:val="20"/>
                <w:szCs w:val="20"/>
              </w:rPr>
            </w:pPr>
            <w:r>
              <w:rPr>
                <w:spacing w:val="7"/>
                <w:sz w:val="20"/>
                <w:szCs w:val="20"/>
              </w:rPr>
              <w:t>监测因子</w:t>
            </w:r>
          </w:p>
        </w:tc>
        <w:tc>
          <w:tcPr>
            <w:tcW w:w="1067" w:type="dxa"/>
            <w:vAlign w:val="top"/>
          </w:tcPr>
          <w:p w14:paraId="003BB60B">
            <w:pPr>
              <w:pStyle w:val="6"/>
              <w:spacing w:before="39" w:line="230" w:lineRule="auto"/>
              <w:ind w:left="142"/>
              <w:rPr>
                <w:sz w:val="20"/>
                <w:szCs w:val="20"/>
              </w:rPr>
            </w:pPr>
            <w:r>
              <w:rPr>
                <w:spacing w:val="4"/>
                <w:sz w:val="20"/>
                <w:szCs w:val="20"/>
              </w:rPr>
              <w:t>时间及频</w:t>
            </w:r>
          </w:p>
          <w:p w14:paraId="1F006C6A">
            <w:pPr>
              <w:pStyle w:val="6"/>
              <w:spacing w:before="22" w:line="210" w:lineRule="auto"/>
              <w:ind w:left="454"/>
              <w:rPr>
                <w:sz w:val="20"/>
                <w:szCs w:val="20"/>
              </w:rPr>
            </w:pPr>
            <w:r>
              <w:rPr>
                <w:sz w:val="20"/>
                <w:szCs w:val="20"/>
              </w:rPr>
              <w:t>次</w:t>
            </w:r>
          </w:p>
        </w:tc>
        <w:tc>
          <w:tcPr>
            <w:tcW w:w="4275" w:type="dxa"/>
            <w:gridSpan w:val="6"/>
            <w:vAlign w:val="top"/>
          </w:tcPr>
          <w:p w14:paraId="635AE213">
            <w:pPr>
              <w:pStyle w:val="6"/>
              <w:spacing w:before="173" w:line="228" w:lineRule="auto"/>
              <w:ind w:left="1758"/>
              <w:rPr>
                <w:sz w:val="20"/>
                <w:szCs w:val="20"/>
              </w:rPr>
            </w:pPr>
            <w:r>
              <w:rPr>
                <w:spacing w:val="7"/>
                <w:sz w:val="20"/>
                <w:szCs w:val="20"/>
              </w:rPr>
              <w:t>执行标准</w:t>
            </w:r>
          </w:p>
        </w:tc>
        <w:tc>
          <w:tcPr>
            <w:tcW w:w="294" w:type="dxa"/>
            <w:gridSpan w:val="2"/>
            <w:vMerge w:val="restart"/>
            <w:tcBorders>
              <w:top w:val="nil"/>
              <w:bottom w:val="nil"/>
              <w:right w:val="single" w:color="000000" w:sz="6" w:space="0"/>
            </w:tcBorders>
            <w:vAlign w:val="top"/>
          </w:tcPr>
          <w:p w14:paraId="6E74FDC3">
            <w:pPr>
              <w:rPr>
                <w:rFonts w:ascii="Arial"/>
                <w:sz w:val="21"/>
              </w:rPr>
            </w:pPr>
          </w:p>
        </w:tc>
      </w:tr>
      <w:tr w14:paraId="7B97B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05" w:type="dxa"/>
            <w:vMerge w:val="continue"/>
            <w:tcBorders>
              <w:top w:val="nil"/>
              <w:left w:val="single" w:color="000000" w:sz="6" w:space="0"/>
              <w:bottom w:val="nil"/>
            </w:tcBorders>
            <w:vAlign w:val="top"/>
          </w:tcPr>
          <w:p w14:paraId="1B5200A6">
            <w:pPr>
              <w:rPr>
                <w:rFonts w:ascii="Arial"/>
                <w:sz w:val="21"/>
              </w:rPr>
            </w:pPr>
          </w:p>
        </w:tc>
        <w:tc>
          <w:tcPr>
            <w:tcW w:w="253" w:type="dxa"/>
            <w:gridSpan w:val="2"/>
            <w:vMerge w:val="continue"/>
            <w:tcBorders>
              <w:top w:val="nil"/>
              <w:bottom w:val="nil"/>
            </w:tcBorders>
            <w:vAlign w:val="top"/>
          </w:tcPr>
          <w:p w14:paraId="39A42C64">
            <w:pPr>
              <w:rPr>
                <w:rFonts w:ascii="Arial"/>
                <w:sz w:val="21"/>
              </w:rPr>
            </w:pPr>
          </w:p>
        </w:tc>
        <w:tc>
          <w:tcPr>
            <w:tcW w:w="1098" w:type="dxa"/>
            <w:gridSpan w:val="2"/>
            <w:vAlign w:val="top"/>
          </w:tcPr>
          <w:p w14:paraId="060A5936">
            <w:pPr>
              <w:spacing w:line="295" w:lineRule="auto"/>
              <w:rPr>
                <w:rFonts w:ascii="Arial"/>
                <w:sz w:val="21"/>
              </w:rPr>
            </w:pPr>
          </w:p>
          <w:p w14:paraId="7CC66AE1">
            <w:pPr>
              <w:spacing w:line="296" w:lineRule="auto"/>
              <w:rPr>
                <w:rFonts w:ascii="Arial"/>
                <w:sz w:val="21"/>
              </w:rPr>
            </w:pPr>
          </w:p>
          <w:p w14:paraId="39037059">
            <w:pPr>
              <w:spacing w:before="58" w:line="195"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p w14:paraId="045A04D2">
            <w:pPr>
              <w:spacing w:before="126" w:line="112"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p w14:paraId="58FAF498">
            <w:pPr>
              <w:spacing w:before="5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005</w:t>
            </w:r>
          </w:p>
        </w:tc>
        <w:tc>
          <w:tcPr>
            <w:tcW w:w="1393" w:type="dxa"/>
            <w:gridSpan w:val="2"/>
            <w:vAlign w:val="top"/>
          </w:tcPr>
          <w:p w14:paraId="41130536">
            <w:pPr>
              <w:spacing w:line="412" w:lineRule="auto"/>
              <w:rPr>
                <w:rFonts w:ascii="Arial"/>
                <w:sz w:val="21"/>
              </w:rPr>
            </w:pPr>
          </w:p>
          <w:p w14:paraId="3EA4D773">
            <w:pPr>
              <w:pStyle w:val="6"/>
              <w:spacing w:before="65" w:line="228" w:lineRule="auto"/>
              <w:ind w:left="177"/>
              <w:rPr>
                <w:sz w:val="20"/>
                <w:szCs w:val="20"/>
              </w:rPr>
            </w:pPr>
            <w:r>
              <w:rPr>
                <w:spacing w:val="7"/>
                <w:sz w:val="20"/>
                <w:szCs w:val="20"/>
              </w:rPr>
              <w:t>非甲烷总烃</w:t>
            </w:r>
          </w:p>
          <w:p w14:paraId="17279504">
            <w:pPr>
              <w:pStyle w:val="6"/>
              <w:spacing w:before="24" w:line="228" w:lineRule="auto"/>
              <w:ind w:left="382"/>
              <w:rPr>
                <w:sz w:val="20"/>
                <w:szCs w:val="20"/>
              </w:rPr>
            </w:pPr>
            <w:r>
              <w:rPr>
                <w:spacing w:val="7"/>
                <w:sz w:val="20"/>
                <w:szCs w:val="20"/>
              </w:rPr>
              <w:t>颗粒物</w:t>
            </w:r>
          </w:p>
          <w:p w14:paraId="61FA093F">
            <w:pPr>
              <w:spacing w:before="47" w:line="202" w:lineRule="auto"/>
              <w:ind w:left="534"/>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p w14:paraId="560E65A6">
            <w:pPr>
              <w:spacing w:before="46" w:line="202" w:lineRule="auto"/>
              <w:ind w:left="487"/>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067" w:type="dxa"/>
            <w:vAlign w:val="top"/>
          </w:tcPr>
          <w:p w14:paraId="4B8B5AE3">
            <w:pPr>
              <w:spacing w:line="262" w:lineRule="auto"/>
              <w:rPr>
                <w:rFonts w:ascii="Arial"/>
                <w:sz w:val="21"/>
              </w:rPr>
            </w:pPr>
          </w:p>
          <w:p w14:paraId="6918054D">
            <w:pPr>
              <w:spacing w:line="262" w:lineRule="auto"/>
              <w:rPr>
                <w:rFonts w:ascii="Arial"/>
                <w:sz w:val="21"/>
              </w:rPr>
            </w:pPr>
          </w:p>
          <w:p w14:paraId="333825E2">
            <w:pPr>
              <w:spacing w:line="262" w:lineRule="auto"/>
              <w:rPr>
                <w:rFonts w:ascii="Arial"/>
                <w:sz w:val="21"/>
              </w:rPr>
            </w:pPr>
          </w:p>
          <w:p w14:paraId="0476061C">
            <w:pPr>
              <w:pStyle w:val="6"/>
              <w:spacing w:before="65" w:line="228" w:lineRule="auto"/>
              <w:ind w:left="25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4275" w:type="dxa"/>
            <w:gridSpan w:val="6"/>
            <w:vAlign w:val="top"/>
          </w:tcPr>
          <w:p w14:paraId="214785D8">
            <w:pPr>
              <w:pStyle w:val="6"/>
              <w:spacing w:before="40" w:line="252" w:lineRule="auto"/>
              <w:ind w:left="143" w:right="66" w:firstLine="1"/>
              <w:rPr>
                <w:sz w:val="20"/>
                <w:szCs w:val="20"/>
              </w:rPr>
            </w:pPr>
            <w:r>
              <w:rPr>
                <w:spacing w:val="13"/>
                <w:sz w:val="20"/>
                <w:szCs w:val="20"/>
              </w:rPr>
              <w:t>广东省地方标准《固定污染源挥发性有机物</w:t>
            </w:r>
            <w:r>
              <w:rPr>
                <w:spacing w:val="9"/>
                <w:sz w:val="20"/>
                <w:szCs w:val="20"/>
              </w:rPr>
              <w:t xml:space="preserve"> </w:t>
            </w:r>
            <w:r>
              <w:rPr>
                <w:spacing w:val="6"/>
                <w:sz w:val="20"/>
                <w:szCs w:val="20"/>
              </w:rPr>
              <w:t>综合排放标准》（</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44/2367-2022</w:t>
            </w:r>
            <w:r>
              <w:rPr>
                <w:spacing w:val="6"/>
                <w:sz w:val="20"/>
                <w:szCs w:val="20"/>
              </w:rPr>
              <w:t>）中表</w:t>
            </w:r>
            <w:r>
              <w:rPr>
                <w:rFonts w:ascii="Times New Roman" w:hAnsi="Times New Roman" w:eastAsia="Times New Roman" w:cs="Times New Roman"/>
                <w:spacing w:val="6"/>
                <w:sz w:val="20"/>
                <w:szCs w:val="20"/>
              </w:rPr>
              <w:t>1</w:t>
            </w:r>
            <w:r>
              <w:rPr>
                <w:spacing w:val="6"/>
                <w:sz w:val="20"/>
                <w:szCs w:val="20"/>
              </w:rPr>
              <w:t xml:space="preserve">的 </w:t>
            </w:r>
            <w:r>
              <w:rPr>
                <w:rFonts w:ascii="Times New Roman" w:hAnsi="Times New Roman" w:eastAsia="Times New Roman" w:cs="Times New Roman"/>
                <w:sz w:val="20"/>
                <w:szCs w:val="20"/>
              </w:rPr>
              <w:t>TVOC</w:t>
            </w:r>
            <w:r>
              <w:rPr>
                <w:spacing w:val="12"/>
                <w:sz w:val="20"/>
                <w:szCs w:val="20"/>
              </w:rPr>
              <w:t>最高允许排放浓度</w:t>
            </w:r>
          </w:p>
          <w:p w14:paraId="0C942C06">
            <w:pPr>
              <w:pStyle w:val="6"/>
              <w:spacing w:before="1" w:line="246" w:lineRule="auto"/>
              <w:ind w:left="145" w:right="79"/>
              <w:rPr>
                <w:sz w:val="20"/>
                <w:szCs w:val="20"/>
              </w:rPr>
            </w:pPr>
            <w:r>
              <w:rPr>
                <w:spacing w:val="24"/>
                <w:sz w:val="20"/>
                <w:szCs w:val="20"/>
              </w:rPr>
              <w:t>广东省地方标准《大气污染物排放限值》</w:t>
            </w:r>
            <w:r>
              <w:rPr>
                <w:spacing w:val="11"/>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44/27-2001)</w:t>
            </w:r>
            <w:r>
              <w:rPr>
                <w:spacing w:val="7"/>
                <w:sz w:val="20"/>
                <w:szCs w:val="20"/>
              </w:rPr>
              <w:t>中第二时段二级排放标准</w:t>
            </w:r>
          </w:p>
          <w:p w14:paraId="71AE3D82">
            <w:pPr>
              <w:pStyle w:val="6"/>
              <w:spacing w:before="7" w:line="230" w:lineRule="auto"/>
              <w:ind w:left="154" w:right="79" w:hanging="4"/>
              <w:rPr>
                <w:sz w:val="20"/>
                <w:szCs w:val="20"/>
              </w:rPr>
            </w:pPr>
            <w:r>
              <w:rPr>
                <w:spacing w:val="-5"/>
                <w:sz w:val="20"/>
                <w:szCs w:val="20"/>
              </w:rPr>
              <w:t>《 工</w:t>
            </w:r>
            <w:r>
              <w:rPr>
                <w:spacing w:val="-15"/>
                <w:sz w:val="20"/>
                <w:szCs w:val="20"/>
              </w:rPr>
              <w:t xml:space="preserve"> </w:t>
            </w:r>
            <w:r>
              <w:rPr>
                <w:spacing w:val="-5"/>
                <w:sz w:val="20"/>
                <w:szCs w:val="20"/>
              </w:rPr>
              <w:t>业</w:t>
            </w:r>
            <w:r>
              <w:rPr>
                <w:spacing w:val="-24"/>
                <w:sz w:val="20"/>
                <w:szCs w:val="20"/>
              </w:rPr>
              <w:t xml:space="preserve"> </w:t>
            </w:r>
            <w:r>
              <w:rPr>
                <w:spacing w:val="-5"/>
                <w:sz w:val="20"/>
                <w:szCs w:val="20"/>
              </w:rPr>
              <w:t>炉</w:t>
            </w:r>
            <w:r>
              <w:rPr>
                <w:spacing w:val="-20"/>
                <w:sz w:val="20"/>
                <w:szCs w:val="20"/>
              </w:rPr>
              <w:t xml:space="preserve"> </w:t>
            </w:r>
            <w:r>
              <w:rPr>
                <w:spacing w:val="-5"/>
                <w:sz w:val="20"/>
                <w:szCs w:val="20"/>
              </w:rPr>
              <w:t>窑</w:t>
            </w:r>
            <w:r>
              <w:rPr>
                <w:spacing w:val="-23"/>
                <w:sz w:val="20"/>
                <w:szCs w:val="20"/>
              </w:rPr>
              <w:t xml:space="preserve"> </w:t>
            </w:r>
            <w:r>
              <w:rPr>
                <w:spacing w:val="-5"/>
                <w:sz w:val="20"/>
                <w:szCs w:val="20"/>
              </w:rPr>
              <w:t>大</w:t>
            </w:r>
            <w:r>
              <w:rPr>
                <w:spacing w:val="-24"/>
                <w:sz w:val="20"/>
                <w:szCs w:val="20"/>
              </w:rPr>
              <w:t xml:space="preserve"> </w:t>
            </w:r>
            <w:r>
              <w:rPr>
                <w:spacing w:val="-5"/>
                <w:sz w:val="20"/>
                <w:szCs w:val="20"/>
              </w:rPr>
              <w:t>气</w:t>
            </w:r>
            <w:r>
              <w:rPr>
                <w:spacing w:val="-25"/>
                <w:sz w:val="20"/>
                <w:szCs w:val="20"/>
              </w:rPr>
              <w:t xml:space="preserve"> </w:t>
            </w:r>
            <w:r>
              <w:rPr>
                <w:spacing w:val="-5"/>
                <w:sz w:val="20"/>
                <w:szCs w:val="20"/>
              </w:rPr>
              <w:t>污</w:t>
            </w:r>
            <w:r>
              <w:rPr>
                <w:spacing w:val="-22"/>
                <w:sz w:val="20"/>
                <w:szCs w:val="20"/>
              </w:rPr>
              <w:t xml:space="preserve"> </w:t>
            </w:r>
            <w:r>
              <w:rPr>
                <w:spacing w:val="-5"/>
                <w:sz w:val="20"/>
                <w:szCs w:val="20"/>
              </w:rPr>
              <w:t>染</w:t>
            </w:r>
            <w:r>
              <w:rPr>
                <w:spacing w:val="-25"/>
                <w:sz w:val="20"/>
                <w:szCs w:val="20"/>
              </w:rPr>
              <w:t xml:space="preserve"> </w:t>
            </w:r>
            <w:r>
              <w:rPr>
                <w:spacing w:val="-5"/>
                <w:sz w:val="20"/>
                <w:szCs w:val="20"/>
              </w:rPr>
              <w:t>物</w:t>
            </w:r>
            <w:r>
              <w:rPr>
                <w:spacing w:val="-24"/>
                <w:sz w:val="20"/>
                <w:szCs w:val="20"/>
              </w:rPr>
              <w:t xml:space="preserve"> </w:t>
            </w:r>
            <w:r>
              <w:rPr>
                <w:spacing w:val="-5"/>
                <w:sz w:val="20"/>
                <w:szCs w:val="20"/>
              </w:rPr>
              <w:t>排</w:t>
            </w:r>
            <w:r>
              <w:rPr>
                <w:spacing w:val="-28"/>
                <w:sz w:val="20"/>
                <w:szCs w:val="20"/>
              </w:rPr>
              <w:t xml:space="preserve"> </w:t>
            </w:r>
            <w:r>
              <w:rPr>
                <w:spacing w:val="-5"/>
                <w:sz w:val="20"/>
                <w:szCs w:val="20"/>
              </w:rPr>
              <w:t>放</w:t>
            </w:r>
            <w:r>
              <w:rPr>
                <w:spacing w:val="-24"/>
                <w:sz w:val="20"/>
                <w:szCs w:val="20"/>
              </w:rPr>
              <w:t xml:space="preserve"> </w:t>
            </w:r>
            <w:r>
              <w:rPr>
                <w:spacing w:val="-5"/>
                <w:sz w:val="20"/>
                <w:szCs w:val="20"/>
              </w:rPr>
              <w:t>标</w:t>
            </w:r>
            <w:r>
              <w:rPr>
                <w:spacing w:val="-23"/>
                <w:sz w:val="20"/>
                <w:szCs w:val="20"/>
              </w:rPr>
              <w:t xml:space="preserve"> </w:t>
            </w:r>
            <w:r>
              <w:rPr>
                <w:spacing w:val="-5"/>
                <w:sz w:val="20"/>
                <w:szCs w:val="20"/>
              </w:rPr>
              <w:t>准 》</w:t>
            </w:r>
            <w:r>
              <w:rPr>
                <w:sz w:val="20"/>
                <w:szCs w:val="20"/>
              </w:rPr>
              <w:t xml:space="preserve"> </w:t>
            </w: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9078-1996</w:t>
            </w:r>
            <w:r>
              <w:rPr>
                <w:spacing w:val="7"/>
                <w:sz w:val="20"/>
                <w:szCs w:val="20"/>
              </w:rPr>
              <w:t>）相关污染物排放浓度限值</w:t>
            </w:r>
          </w:p>
        </w:tc>
        <w:tc>
          <w:tcPr>
            <w:tcW w:w="294" w:type="dxa"/>
            <w:gridSpan w:val="2"/>
            <w:vMerge w:val="continue"/>
            <w:tcBorders>
              <w:top w:val="nil"/>
              <w:bottom w:val="nil"/>
              <w:right w:val="single" w:color="000000" w:sz="6" w:space="0"/>
            </w:tcBorders>
            <w:vAlign w:val="top"/>
          </w:tcPr>
          <w:p w14:paraId="1C3B197E">
            <w:pPr>
              <w:rPr>
                <w:rFonts w:ascii="Arial"/>
                <w:sz w:val="21"/>
              </w:rPr>
            </w:pPr>
          </w:p>
        </w:tc>
      </w:tr>
      <w:tr w14:paraId="0C1E7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605" w:type="dxa"/>
            <w:vMerge w:val="continue"/>
            <w:tcBorders>
              <w:top w:val="nil"/>
              <w:left w:val="single" w:color="000000" w:sz="6" w:space="0"/>
              <w:bottom w:val="nil"/>
            </w:tcBorders>
            <w:vAlign w:val="top"/>
          </w:tcPr>
          <w:p w14:paraId="69CE26FE">
            <w:pPr>
              <w:rPr>
                <w:rFonts w:ascii="Arial"/>
                <w:sz w:val="21"/>
              </w:rPr>
            </w:pPr>
          </w:p>
        </w:tc>
        <w:tc>
          <w:tcPr>
            <w:tcW w:w="253" w:type="dxa"/>
            <w:gridSpan w:val="2"/>
            <w:vMerge w:val="continue"/>
            <w:tcBorders>
              <w:top w:val="nil"/>
              <w:bottom w:val="nil"/>
            </w:tcBorders>
            <w:vAlign w:val="top"/>
          </w:tcPr>
          <w:p w14:paraId="6EFB3A2F">
            <w:pPr>
              <w:rPr>
                <w:rFonts w:ascii="Arial"/>
                <w:sz w:val="21"/>
              </w:rPr>
            </w:pPr>
          </w:p>
        </w:tc>
        <w:tc>
          <w:tcPr>
            <w:tcW w:w="1098" w:type="dxa"/>
            <w:gridSpan w:val="2"/>
            <w:vAlign w:val="top"/>
          </w:tcPr>
          <w:p w14:paraId="2FE349F3">
            <w:pPr>
              <w:spacing w:line="322" w:lineRule="auto"/>
              <w:rPr>
                <w:rFonts w:ascii="Arial"/>
                <w:sz w:val="21"/>
              </w:rPr>
            </w:pPr>
          </w:p>
          <w:p w14:paraId="5ACC3CA3">
            <w:pPr>
              <w:spacing w:before="5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006</w:t>
            </w:r>
          </w:p>
          <w:p w14:paraId="0D0562DD">
            <w:pPr>
              <w:spacing w:before="126" w:line="112"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p w14:paraId="6523BC03">
            <w:pPr>
              <w:spacing w:before="5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013</w:t>
            </w:r>
          </w:p>
        </w:tc>
        <w:tc>
          <w:tcPr>
            <w:tcW w:w="1393" w:type="dxa"/>
            <w:gridSpan w:val="2"/>
            <w:vAlign w:val="top"/>
          </w:tcPr>
          <w:p w14:paraId="05B1A1F0">
            <w:pPr>
              <w:pStyle w:val="6"/>
              <w:spacing w:before="43" w:line="228" w:lineRule="auto"/>
              <w:ind w:left="112"/>
              <w:rPr>
                <w:sz w:val="20"/>
                <w:szCs w:val="20"/>
              </w:rPr>
            </w:pPr>
            <w:r>
              <w:rPr>
                <w:spacing w:val="-6"/>
                <w:sz w:val="20"/>
                <w:szCs w:val="20"/>
              </w:rPr>
              <w:t>氯化氢、氟化</w:t>
            </w:r>
          </w:p>
          <w:p w14:paraId="2CEC54F4">
            <w:pPr>
              <w:pStyle w:val="6"/>
              <w:spacing w:before="24" w:line="251" w:lineRule="auto"/>
              <w:ind w:left="109" w:right="37"/>
              <w:jc w:val="both"/>
              <w:rPr>
                <w:sz w:val="20"/>
                <w:szCs w:val="20"/>
              </w:rPr>
            </w:pPr>
            <w:r>
              <w:rPr>
                <w:spacing w:val="-6"/>
                <w:sz w:val="20"/>
                <w:szCs w:val="20"/>
              </w:rPr>
              <w:t>氢（以氟化物</w:t>
            </w:r>
            <w:r>
              <w:rPr>
                <w:spacing w:val="3"/>
                <w:sz w:val="20"/>
                <w:szCs w:val="20"/>
              </w:rPr>
              <w:t xml:space="preserve"> </w:t>
            </w:r>
            <w:r>
              <w:rPr>
                <w:spacing w:val="-23"/>
                <w:sz w:val="20"/>
                <w:szCs w:val="20"/>
              </w:rPr>
              <w:t>计）、硫酸雾、</w:t>
            </w:r>
            <w:r>
              <w:rPr>
                <w:spacing w:val="1"/>
                <w:sz w:val="20"/>
                <w:szCs w:val="20"/>
              </w:rPr>
              <w:t xml:space="preserve"> </w:t>
            </w:r>
            <w:r>
              <w:rPr>
                <w:spacing w:val="21"/>
                <w:sz w:val="20"/>
                <w:szCs w:val="20"/>
              </w:rPr>
              <w:t>硝酸雾（以</w:t>
            </w:r>
          </w:p>
          <w:p w14:paraId="64D4827D">
            <w:pPr>
              <w:pStyle w:val="6"/>
              <w:spacing w:line="207" w:lineRule="auto"/>
              <w:ind w:left="247"/>
              <w:rPr>
                <w:sz w:val="20"/>
                <w:szCs w:val="20"/>
              </w:rPr>
            </w:pPr>
            <w:r>
              <w:rPr>
                <w:rFonts w:ascii="Times New Roman" w:hAnsi="Times New Roman" w:eastAsia="Times New Roman" w:cs="Times New Roman"/>
                <w:sz w:val="20"/>
                <w:szCs w:val="20"/>
              </w:rPr>
              <w:t>NOx</w:t>
            </w:r>
            <w:r>
              <w:rPr>
                <w:rFonts w:ascii="Times New Roman" w:hAnsi="Times New Roman" w:eastAsia="Times New Roman" w:cs="Times New Roman"/>
                <w:spacing w:val="10"/>
                <w:sz w:val="20"/>
                <w:szCs w:val="20"/>
              </w:rPr>
              <w:t xml:space="preserve"> </w:t>
            </w:r>
            <w:r>
              <w:rPr>
                <w:spacing w:val="10"/>
                <w:sz w:val="20"/>
                <w:szCs w:val="20"/>
              </w:rPr>
              <w:t>计）</w:t>
            </w:r>
          </w:p>
        </w:tc>
        <w:tc>
          <w:tcPr>
            <w:tcW w:w="1067" w:type="dxa"/>
            <w:vAlign w:val="top"/>
          </w:tcPr>
          <w:p w14:paraId="659A3D5A">
            <w:pPr>
              <w:spacing w:line="258" w:lineRule="auto"/>
              <w:rPr>
                <w:rFonts w:ascii="Arial"/>
                <w:sz w:val="21"/>
              </w:rPr>
            </w:pPr>
          </w:p>
          <w:p w14:paraId="7164776E">
            <w:pPr>
              <w:spacing w:line="259" w:lineRule="auto"/>
              <w:rPr>
                <w:rFonts w:ascii="Arial"/>
                <w:sz w:val="21"/>
              </w:rPr>
            </w:pPr>
          </w:p>
          <w:p w14:paraId="67294F73">
            <w:pPr>
              <w:pStyle w:val="6"/>
              <w:spacing w:before="65" w:line="228" w:lineRule="auto"/>
              <w:ind w:left="146"/>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1"/>
                <w:w w:val="101"/>
                <w:sz w:val="20"/>
                <w:szCs w:val="20"/>
              </w:rPr>
              <w:t xml:space="preserve"> </w:t>
            </w:r>
            <w:r>
              <w:rPr>
                <w:spacing w:val="-2"/>
                <w:sz w:val="20"/>
                <w:szCs w:val="20"/>
              </w:rPr>
              <w:t>次</w:t>
            </w:r>
            <w:r>
              <w:rPr>
                <w:rFonts w:ascii="Times New Roman" w:hAnsi="Times New Roman" w:eastAsia="Times New Roman" w:cs="Times New Roman"/>
                <w:spacing w:val="-2"/>
                <w:sz w:val="20"/>
                <w:szCs w:val="20"/>
              </w:rPr>
              <w:t>/</w:t>
            </w:r>
            <w:r>
              <w:rPr>
                <w:spacing w:val="-2"/>
                <w:sz w:val="20"/>
                <w:szCs w:val="20"/>
              </w:rPr>
              <w:t>半年</w:t>
            </w:r>
          </w:p>
        </w:tc>
        <w:tc>
          <w:tcPr>
            <w:tcW w:w="4275" w:type="dxa"/>
            <w:gridSpan w:val="6"/>
            <w:vAlign w:val="top"/>
          </w:tcPr>
          <w:p w14:paraId="665573DF">
            <w:pPr>
              <w:spacing w:line="383" w:lineRule="auto"/>
              <w:rPr>
                <w:rFonts w:ascii="Arial"/>
                <w:sz w:val="21"/>
              </w:rPr>
            </w:pPr>
          </w:p>
          <w:p w14:paraId="63E0B852">
            <w:pPr>
              <w:pStyle w:val="6"/>
              <w:spacing w:before="65" w:line="252" w:lineRule="auto"/>
              <w:ind w:left="508" w:right="225" w:hanging="221"/>
              <w:rPr>
                <w:sz w:val="20"/>
                <w:szCs w:val="20"/>
              </w:rPr>
            </w:pPr>
            <w:r>
              <w:rPr>
                <w:spacing w:val="8"/>
                <w:sz w:val="20"/>
                <w:szCs w:val="20"/>
              </w:rPr>
              <w:t>广东省地方标准《大气污染物排放限值》</w:t>
            </w:r>
            <w:r>
              <w:rPr>
                <w:spacing w:val="11"/>
                <w:sz w:val="20"/>
                <w:szCs w:val="20"/>
              </w:rPr>
              <w:t xml:space="preserve"> </w:t>
            </w:r>
            <w:r>
              <w:rPr>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44/27-2001</w:t>
            </w:r>
            <w:r>
              <w:rPr>
                <w:spacing w:val="6"/>
                <w:sz w:val="20"/>
                <w:szCs w:val="20"/>
              </w:rPr>
              <w:t>）第二时段二级标准</w:t>
            </w:r>
          </w:p>
        </w:tc>
        <w:tc>
          <w:tcPr>
            <w:tcW w:w="294" w:type="dxa"/>
            <w:gridSpan w:val="2"/>
            <w:vMerge w:val="continue"/>
            <w:tcBorders>
              <w:top w:val="nil"/>
              <w:bottom w:val="nil"/>
              <w:right w:val="single" w:color="000000" w:sz="6" w:space="0"/>
            </w:tcBorders>
            <w:vAlign w:val="top"/>
          </w:tcPr>
          <w:p w14:paraId="4A749CA3">
            <w:pPr>
              <w:rPr>
                <w:rFonts w:ascii="Arial"/>
                <w:sz w:val="21"/>
              </w:rPr>
            </w:pPr>
          </w:p>
        </w:tc>
      </w:tr>
      <w:tr w14:paraId="1B574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605" w:type="dxa"/>
            <w:vMerge w:val="continue"/>
            <w:tcBorders>
              <w:top w:val="nil"/>
              <w:left w:val="single" w:color="000000" w:sz="6" w:space="0"/>
              <w:bottom w:val="nil"/>
            </w:tcBorders>
            <w:vAlign w:val="top"/>
          </w:tcPr>
          <w:p w14:paraId="51409B4F">
            <w:pPr>
              <w:rPr>
                <w:rFonts w:ascii="Arial"/>
                <w:sz w:val="21"/>
              </w:rPr>
            </w:pPr>
          </w:p>
        </w:tc>
        <w:tc>
          <w:tcPr>
            <w:tcW w:w="253" w:type="dxa"/>
            <w:gridSpan w:val="2"/>
            <w:vMerge w:val="continue"/>
            <w:tcBorders>
              <w:top w:val="nil"/>
              <w:bottom w:val="nil"/>
            </w:tcBorders>
            <w:vAlign w:val="top"/>
          </w:tcPr>
          <w:p w14:paraId="4F1A93CB">
            <w:pPr>
              <w:rPr>
                <w:rFonts w:ascii="Arial"/>
                <w:sz w:val="21"/>
              </w:rPr>
            </w:pPr>
          </w:p>
        </w:tc>
        <w:tc>
          <w:tcPr>
            <w:tcW w:w="1098" w:type="dxa"/>
            <w:gridSpan w:val="2"/>
            <w:vMerge w:val="restart"/>
            <w:tcBorders>
              <w:bottom w:val="nil"/>
            </w:tcBorders>
            <w:vAlign w:val="top"/>
          </w:tcPr>
          <w:p w14:paraId="782EAD14">
            <w:pPr>
              <w:pStyle w:val="6"/>
              <w:spacing w:before="73" w:line="228" w:lineRule="auto"/>
              <w:ind w:left="154"/>
              <w:rPr>
                <w:sz w:val="20"/>
                <w:szCs w:val="20"/>
              </w:rPr>
            </w:pPr>
            <w:r>
              <w:rPr>
                <w:spacing w:val="-2"/>
                <w:sz w:val="20"/>
                <w:szCs w:val="20"/>
              </w:rPr>
              <w:t>项目周边</w:t>
            </w:r>
          </w:p>
          <w:p w14:paraId="71CA3BB7">
            <w:pPr>
              <w:pStyle w:val="6"/>
              <w:spacing w:before="26" w:line="251" w:lineRule="auto"/>
              <w:ind w:left="105" w:right="36" w:firstLine="48"/>
              <w:jc w:val="both"/>
              <w:rPr>
                <w:sz w:val="20"/>
                <w:szCs w:val="20"/>
              </w:rPr>
            </w:pPr>
            <w:r>
              <w:rPr>
                <w:spacing w:val="-3"/>
                <w:sz w:val="20"/>
                <w:szCs w:val="20"/>
              </w:rPr>
              <w:t>上向向监</w:t>
            </w:r>
            <w:r>
              <w:rPr>
                <w:spacing w:val="1"/>
                <w:sz w:val="20"/>
                <w:szCs w:val="20"/>
              </w:rPr>
              <w:t xml:space="preserve">  </w:t>
            </w:r>
            <w:r>
              <w:rPr>
                <w:sz w:val="20"/>
                <w:szCs w:val="20"/>
              </w:rPr>
              <w:t>控点</w:t>
            </w:r>
            <w:r>
              <w:rPr>
                <w:rFonts w:ascii="Times New Roman" w:hAnsi="Times New Roman" w:eastAsia="Times New Roman" w:cs="Times New Roman"/>
                <w:sz w:val="20"/>
                <w:szCs w:val="20"/>
              </w:rPr>
              <w:t xml:space="preserve">1 </w:t>
            </w:r>
            <w:r>
              <w:rPr>
                <w:sz w:val="20"/>
                <w:szCs w:val="20"/>
              </w:rPr>
              <w:t xml:space="preserve">个、 </w:t>
            </w:r>
            <w:r>
              <w:rPr>
                <w:spacing w:val="10"/>
                <w:sz w:val="20"/>
                <w:szCs w:val="20"/>
              </w:rPr>
              <w:t>下风向监</w:t>
            </w:r>
          </w:p>
          <w:p w14:paraId="26A3F6F9">
            <w:pPr>
              <w:pStyle w:val="6"/>
              <w:spacing w:line="227" w:lineRule="auto"/>
              <w:ind w:left="150"/>
              <w:rPr>
                <w:sz w:val="20"/>
                <w:szCs w:val="20"/>
              </w:rPr>
            </w:pPr>
            <w:r>
              <w:rPr>
                <w:spacing w:val="-1"/>
                <w:sz w:val="20"/>
                <w:szCs w:val="20"/>
              </w:rPr>
              <w:t>控点</w:t>
            </w:r>
            <w:r>
              <w:rPr>
                <w:spacing w:val="-50"/>
                <w:sz w:val="20"/>
                <w:szCs w:val="20"/>
              </w:rPr>
              <w:t xml:space="preserve"> </w:t>
            </w:r>
            <w:r>
              <w:rPr>
                <w:rFonts w:ascii="Times New Roman" w:hAnsi="Times New Roman" w:eastAsia="Times New Roman" w:cs="Times New Roman"/>
                <w:spacing w:val="-1"/>
                <w:sz w:val="20"/>
                <w:szCs w:val="20"/>
              </w:rPr>
              <w:t xml:space="preserve">3 </w:t>
            </w:r>
            <w:r>
              <w:rPr>
                <w:spacing w:val="-1"/>
                <w:sz w:val="20"/>
                <w:szCs w:val="20"/>
              </w:rPr>
              <w:t>个</w:t>
            </w:r>
          </w:p>
        </w:tc>
        <w:tc>
          <w:tcPr>
            <w:tcW w:w="1393" w:type="dxa"/>
            <w:gridSpan w:val="2"/>
            <w:vMerge w:val="restart"/>
            <w:tcBorders>
              <w:bottom w:val="nil"/>
            </w:tcBorders>
            <w:vAlign w:val="top"/>
          </w:tcPr>
          <w:p w14:paraId="25E773E1">
            <w:pPr>
              <w:spacing w:line="296" w:lineRule="auto"/>
              <w:rPr>
                <w:rFonts w:ascii="Arial"/>
                <w:sz w:val="21"/>
              </w:rPr>
            </w:pPr>
          </w:p>
          <w:p w14:paraId="1B792993">
            <w:pPr>
              <w:spacing w:line="296" w:lineRule="auto"/>
              <w:rPr>
                <w:rFonts w:ascii="Arial"/>
                <w:sz w:val="21"/>
              </w:rPr>
            </w:pPr>
          </w:p>
          <w:p w14:paraId="08DC0A06">
            <w:pPr>
              <w:spacing w:before="5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067" w:type="dxa"/>
            <w:vMerge w:val="restart"/>
            <w:tcBorders>
              <w:bottom w:val="nil"/>
            </w:tcBorders>
            <w:vAlign w:val="top"/>
          </w:tcPr>
          <w:p w14:paraId="11BC5B36">
            <w:pPr>
              <w:spacing w:line="274" w:lineRule="auto"/>
              <w:rPr>
                <w:rFonts w:ascii="Arial"/>
                <w:sz w:val="21"/>
              </w:rPr>
            </w:pPr>
          </w:p>
          <w:p w14:paraId="73293169">
            <w:pPr>
              <w:spacing w:line="274" w:lineRule="auto"/>
              <w:rPr>
                <w:rFonts w:ascii="Arial"/>
                <w:sz w:val="21"/>
              </w:rPr>
            </w:pPr>
          </w:p>
          <w:p w14:paraId="01DA686F">
            <w:pPr>
              <w:pStyle w:val="6"/>
              <w:spacing w:before="65" w:line="228" w:lineRule="auto"/>
              <w:ind w:left="25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2838" w:type="dxa"/>
            <w:gridSpan w:val="3"/>
            <w:vMerge w:val="restart"/>
            <w:tcBorders>
              <w:bottom w:val="nil"/>
            </w:tcBorders>
            <w:vAlign w:val="top"/>
          </w:tcPr>
          <w:p w14:paraId="30733290">
            <w:pPr>
              <w:pStyle w:val="6"/>
              <w:spacing w:before="209" w:line="228" w:lineRule="auto"/>
              <w:ind w:left="145"/>
              <w:rPr>
                <w:sz w:val="20"/>
                <w:szCs w:val="20"/>
              </w:rPr>
            </w:pPr>
            <w:r>
              <w:rPr>
                <w:spacing w:val="1"/>
                <w:sz w:val="20"/>
                <w:szCs w:val="20"/>
              </w:rPr>
              <w:t>广东省《固定污染源挥发性有</w:t>
            </w:r>
          </w:p>
          <w:p w14:paraId="787214FE">
            <w:pPr>
              <w:pStyle w:val="6"/>
              <w:spacing w:before="24" w:line="227" w:lineRule="auto"/>
              <w:ind w:left="511"/>
              <w:rPr>
                <w:sz w:val="20"/>
                <w:szCs w:val="20"/>
              </w:rPr>
            </w:pPr>
            <w:r>
              <w:rPr>
                <w:spacing w:val="7"/>
                <w:sz w:val="20"/>
                <w:szCs w:val="20"/>
              </w:rPr>
              <w:t>机物综合排放标准》</w:t>
            </w:r>
          </w:p>
          <w:p w14:paraId="29D048B8">
            <w:pPr>
              <w:pStyle w:val="6"/>
              <w:spacing w:before="28" w:line="228" w:lineRule="auto"/>
              <w:ind w:left="155"/>
              <w:rPr>
                <w:sz w:val="20"/>
                <w:szCs w:val="20"/>
              </w:rPr>
            </w:pPr>
            <w:r>
              <w:rPr>
                <w:spacing w:val="-2"/>
                <w:sz w:val="20"/>
                <w:szCs w:val="20"/>
              </w:rPr>
              <w:t>（</w:t>
            </w:r>
            <w:r>
              <w:rPr>
                <w:rFonts w:ascii="Times New Roman" w:hAnsi="Times New Roman" w:eastAsia="Times New Roman" w:cs="Times New Roman"/>
                <w:spacing w:val="-2"/>
                <w:sz w:val="20"/>
                <w:szCs w:val="20"/>
              </w:rPr>
              <w:t>DB44/2367-2022</w:t>
            </w:r>
            <w:r>
              <w:rPr>
                <w:spacing w:val="-2"/>
                <w:sz w:val="20"/>
                <w:szCs w:val="20"/>
              </w:rPr>
              <w:t>）表</w:t>
            </w:r>
            <w:r>
              <w:rPr>
                <w:spacing w:val="-21"/>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5"/>
                <w:sz w:val="20"/>
                <w:szCs w:val="20"/>
              </w:rPr>
              <w:t xml:space="preserve"> </w:t>
            </w:r>
            <w:r>
              <w:rPr>
                <w:spacing w:val="-2"/>
                <w:sz w:val="20"/>
                <w:szCs w:val="20"/>
              </w:rPr>
              <w:t>厂区</w:t>
            </w:r>
          </w:p>
          <w:p w14:paraId="45DC5D0F">
            <w:pPr>
              <w:pStyle w:val="6"/>
              <w:spacing w:before="23" w:line="228" w:lineRule="auto"/>
              <w:ind w:left="326"/>
              <w:rPr>
                <w:sz w:val="20"/>
                <w:szCs w:val="20"/>
              </w:rPr>
            </w:pPr>
            <w:r>
              <w:rPr>
                <w:spacing w:val="7"/>
                <w:sz w:val="20"/>
                <w:szCs w:val="20"/>
              </w:rPr>
              <w:t>内</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无组织排放限值</w:t>
            </w:r>
          </w:p>
        </w:tc>
        <w:tc>
          <w:tcPr>
            <w:tcW w:w="1437" w:type="dxa"/>
            <w:gridSpan w:val="3"/>
            <w:vAlign w:val="top"/>
          </w:tcPr>
          <w:p w14:paraId="1F8E96BA">
            <w:pPr>
              <w:pStyle w:val="6"/>
              <w:spacing w:before="67"/>
              <w:ind w:left="341" w:right="102" w:hanging="158"/>
              <w:rPr>
                <w:sz w:val="20"/>
                <w:szCs w:val="20"/>
              </w:rPr>
            </w:pPr>
            <w:r>
              <w:rPr>
                <w:spacing w:val="2"/>
                <w:sz w:val="20"/>
                <w:szCs w:val="20"/>
              </w:rPr>
              <w:t>监控点</w:t>
            </w:r>
            <w:r>
              <w:rPr>
                <w:spacing w:val="-20"/>
                <w:sz w:val="20"/>
                <w:szCs w:val="20"/>
              </w:rPr>
              <w:t xml:space="preserve"> </w:t>
            </w:r>
            <w:r>
              <w:rPr>
                <w:rFonts w:ascii="Times New Roman" w:hAnsi="Times New Roman" w:eastAsia="Times New Roman" w:cs="Times New Roman"/>
                <w:spacing w:val="2"/>
                <w:sz w:val="20"/>
                <w:szCs w:val="20"/>
              </w:rPr>
              <w:t xml:space="preserve">1h </w:t>
            </w:r>
            <w:r>
              <w:rPr>
                <w:spacing w:val="2"/>
                <w:sz w:val="20"/>
                <w:szCs w:val="20"/>
              </w:rPr>
              <w:t>平</w:t>
            </w:r>
            <w:r>
              <w:rPr>
                <w:sz w:val="20"/>
                <w:szCs w:val="20"/>
              </w:rPr>
              <w:t xml:space="preserve"> </w:t>
            </w:r>
            <w:r>
              <w:rPr>
                <w:spacing w:val="7"/>
                <w:sz w:val="20"/>
                <w:szCs w:val="20"/>
              </w:rPr>
              <w:t>均浓度值</w:t>
            </w:r>
          </w:p>
        </w:tc>
        <w:tc>
          <w:tcPr>
            <w:tcW w:w="294" w:type="dxa"/>
            <w:gridSpan w:val="2"/>
            <w:vMerge w:val="continue"/>
            <w:tcBorders>
              <w:top w:val="nil"/>
              <w:bottom w:val="nil"/>
              <w:right w:val="single" w:color="000000" w:sz="6" w:space="0"/>
            </w:tcBorders>
            <w:vAlign w:val="top"/>
          </w:tcPr>
          <w:p w14:paraId="65E51BFF">
            <w:pPr>
              <w:rPr>
                <w:rFonts w:ascii="Arial"/>
                <w:sz w:val="21"/>
              </w:rPr>
            </w:pPr>
          </w:p>
        </w:tc>
      </w:tr>
      <w:tr w14:paraId="2F660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605" w:type="dxa"/>
            <w:vMerge w:val="continue"/>
            <w:tcBorders>
              <w:top w:val="nil"/>
              <w:left w:val="single" w:color="000000" w:sz="6" w:space="0"/>
              <w:bottom w:val="single" w:color="000000" w:sz="6" w:space="0"/>
            </w:tcBorders>
            <w:vAlign w:val="top"/>
          </w:tcPr>
          <w:p w14:paraId="12CCAFFD">
            <w:pPr>
              <w:rPr>
                <w:rFonts w:ascii="Arial"/>
                <w:sz w:val="21"/>
              </w:rPr>
            </w:pPr>
          </w:p>
        </w:tc>
        <w:tc>
          <w:tcPr>
            <w:tcW w:w="253" w:type="dxa"/>
            <w:gridSpan w:val="2"/>
            <w:vMerge w:val="continue"/>
            <w:tcBorders>
              <w:top w:val="nil"/>
              <w:bottom w:val="single" w:color="000000" w:sz="6" w:space="0"/>
            </w:tcBorders>
            <w:vAlign w:val="top"/>
          </w:tcPr>
          <w:p w14:paraId="35B7F108">
            <w:pPr>
              <w:rPr>
                <w:rFonts w:ascii="Arial"/>
                <w:sz w:val="21"/>
              </w:rPr>
            </w:pPr>
          </w:p>
        </w:tc>
        <w:tc>
          <w:tcPr>
            <w:tcW w:w="1098" w:type="dxa"/>
            <w:gridSpan w:val="2"/>
            <w:vMerge w:val="continue"/>
            <w:tcBorders>
              <w:top w:val="nil"/>
              <w:bottom w:val="single" w:color="000000" w:sz="6" w:space="0"/>
            </w:tcBorders>
            <w:vAlign w:val="top"/>
          </w:tcPr>
          <w:p w14:paraId="194CFE65">
            <w:pPr>
              <w:rPr>
                <w:rFonts w:ascii="Arial"/>
                <w:sz w:val="21"/>
              </w:rPr>
            </w:pPr>
          </w:p>
        </w:tc>
        <w:tc>
          <w:tcPr>
            <w:tcW w:w="1393" w:type="dxa"/>
            <w:gridSpan w:val="2"/>
            <w:vMerge w:val="continue"/>
            <w:tcBorders>
              <w:top w:val="nil"/>
              <w:bottom w:val="single" w:color="000000" w:sz="6" w:space="0"/>
            </w:tcBorders>
            <w:vAlign w:val="top"/>
          </w:tcPr>
          <w:p w14:paraId="4878169D">
            <w:pPr>
              <w:rPr>
                <w:rFonts w:ascii="Arial"/>
                <w:sz w:val="21"/>
              </w:rPr>
            </w:pPr>
          </w:p>
        </w:tc>
        <w:tc>
          <w:tcPr>
            <w:tcW w:w="1067" w:type="dxa"/>
            <w:vMerge w:val="continue"/>
            <w:tcBorders>
              <w:top w:val="nil"/>
              <w:bottom w:val="single" w:color="000000" w:sz="6" w:space="0"/>
            </w:tcBorders>
            <w:vAlign w:val="top"/>
          </w:tcPr>
          <w:p w14:paraId="396102B4">
            <w:pPr>
              <w:rPr>
                <w:rFonts w:ascii="Arial"/>
                <w:sz w:val="21"/>
              </w:rPr>
            </w:pPr>
          </w:p>
        </w:tc>
        <w:tc>
          <w:tcPr>
            <w:tcW w:w="2838" w:type="dxa"/>
            <w:gridSpan w:val="3"/>
            <w:vMerge w:val="continue"/>
            <w:tcBorders>
              <w:top w:val="nil"/>
              <w:bottom w:val="single" w:color="000000" w:sz="6" w:space="0"/>
            </w:tcBorders>
            <w:vAlign w:val="top"/>
          </w:tcPr>
          <w:p w14:paraId="661B6D82">
            <w:pPr>
              <w:rPr>
                <w:rFonts w:ascii="Arial"/>
                <w:sz w:val="21"/>
              </w:rPr>
            </w:pPr>
          </w:p>
        </w:tc>
        <w:tc>
          <w:tcPr>
            <w:tcW w:w="1437" w:type="dxa"/>
            <w:gridSpan w:val="3"/>
            <w:tcBorders>
              <w:bottom w:val="single" w:color="000000" w:sz="6" w:space="0"/>
            </w:tcBorders>
            <w:vAlign w:val="top"/>
          </w:tcPr>
          <w:p w14:paraId="462EE0DA">
            <w:pPr>
              <w:pStyle w:val="6"/>
              <w:spacing w:before="45" w:line="228" w:lineRule="auto"/>
              <w:ind w:left="236"/>
              <w:rPr>
                <w:sz w:val="20"/>
                <w:szCs w:val="20"/>
              </w:rPr>
            </w:pPr>
            <w:r>
              <w:rPr>
                <w:spacing w:val="7"/>
                <w:sz w:val="20"/>
                <w:szCs w:val="20"/>
              </w:rPr>
              <w:t>监控点处任</w:t>
            </w:r>
          </w:p>
          <w:p w14:paraId="6992B3ED">
            <w:pPr>
              <w:pStyle w:val="6"/>
              <w:spacing w:before="24" w:line="228" w:lineRule="auto"/>
              <w:ind w:left="241"/>
              <w:rPr>
                <w:sz w:val="20"/>
                <w:szCs w:val="20"/>
              </w:rPr>
            </w:pPr>
            <w:r>
              <w:rPr>
                <w:spacing w:val="7"/>
                <w:sz w:val="20"/>
                <w:szCs w:val="20"/>
              </w:rPr>
              <w:t>意一点浓度</w:t>
            </w:r>
          </w:p>
          <w:p w14:paraId="4665AF9B">
            <w:pPr>
              <w:pStyle w:val="6"/>
              <w:spacing w:before="25" w:line="228" w:lineRule="auto"/>
              <w:ind w:left="655"/>
              <w:rPr>
                <w:sz w:val="20"/>
                <w:szCs w:val="20"/>
              </w:rPr>
            </w:pPr>
            <w:r>
              <w:rPr>
                <w:sz w:val="20"/>
                <w:szCs w:val="20"/>
              </w:rPr>
              <w:t>值</w:t>
            </w:r>
          </w:p>
        </w:tc>
        <w:tc>
          <w:tcPr>
            <w:tcW w:w="294" w:type="dxa"/>
            <w:gridSpan w:val="2"/>
            <w:vMerge w:val="continue"/>
            <w:tcBorders>
              <w:top w:val="nil"/>
              <w:bottom w:val="single" w:color="000000" w:sz="6" w:space="0"/>
              <w:right w:val="single" w:color="000000" w:sz="6" w:space="0"/>
            </w:tcBorders>
            <w:vAlign w:val="top"/>
          </w:tcPr>
          <w:p w14:paraId="10BD47E2">
            <w:pPr>
              <w:rPr>
                <w:rFonts w:ascii="Arial"/>
                <w:sz w:val="21"/>
              </w:rPr>
            </w:pPr>
          </w:p>
        </w:tc>
      </w:tr>
    </w:tbl>
    <w:p w14:paraId="4F913B50">
      <w:pPr>
        <w:rPr>
          <w:rFonts w:ascii="Arial"/>
          <w:sz w:val="21"/>
        </w:rPr>
      </w:pPr>
    </w:p>
    <w:p w14:paraId="389AF06A">
      <w:pPr>
        <w:rPr>
          <w:rFonts w:ascii="Arial" w:hAnsi="Arial" w:eastAsia="Arial" w:cs="Arial"/>
          <w:sz w:val="21"/>
          <w:szCs w:val="21"/>
        </w:rPr>
        <w:sectPr>
          <w:footerReference r:id="rId82" w:type="default"/>
          <w:pgSz w:w="11907" w:h="16840"/>
          <w:pgMar w:top="400" w:right="1453" w:bottom="1237" w:left="1453" w:header="0" w:footer="1077" w:gutter="0"/>
          <w:cols w:space="720" w:num="1"/>
        </w:sectPr>
      </w:pPr>
    </w:p>
    <w:p w14:paraId="565F9A19">
      <w:pPr>
        <w:spacing w:before="19"/>
      </w:pPr>
    </w:p>
    <w:p w14:paraId="5E4D5A2B">
      <w:pPr>
        <w:spacing w:before="19"/>
      </w:pPr>
    </w:p>
    <w:p w14:paraId="492B2A94">
      <w:pPr>
        <w:spacing w:before="19"/>
      </w:pPr>
    </w:p>
    <w:p w14:paraId="6B31BB9B">
      <w:pPr>
        <w:spacing w:before="18"/>
      </w:pPr>
    </w:p>
    <w:p w14:paraId="41678737">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252"/>
        <w:gridCol w:w="1098"/>
        <w:gridCol w:w="1394"/>
        <w:gridCol w:w="1098"/>
        <w:gridCol w:w="4275"/>
        <w:gridCol w:w="263"/>
      </w:tblGrid>
      <w:tr w14:paraId="16E66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605" w:type="dxa"/>
            <w:vMerge w:val="restart"/>
            <w:tcBorders>
              <w:top w:val="single" w:color="000000" w:sz="6" w:space="0"/>
              <w:left w:val="single" w:color="000000" w:sz="6" w:space="0"/>
              <w:bottom w:val="nil"/>
            </w:tcBorders>
            <w:vAlign w:val="top"/>
          </w:tcPr>
          <w:p w14:paraId="5FA7311F">
            <w:pPr>
              <w:rPr>
                <w:rFonts w:ascii="Arial"/>
                <w:sz w:val="21"/>
              </w:rPr>
            </w:pPr>
          </w:p>
        </w:tc>
        <w:tc>
          <w:tcPr>
            <w:tcW w:w="252" w:type="dxa"/>
            <w:tcBorders>
              <w:top w:val="single" w:color="000000" w:sz="6" w:space="0"/>
              <w:bottom w:val="nil"/>
            </w:tcBorders>
            <w:vAlign w:val="top"/>
          </w:tcPr>
          <w:p w14:paraId="4E4B5C88">
            <w:pPr>
              <w:rPr>
                <w:rFonts w:ascii="Arial"/>
                <w:sz w:val="21"/>
              </w:rPr>
            </w:pPr>
          </w:p>
        </w:tc>
        <w:tc>
          <w:tcPr>
            <w:tcW w:w="1098" w:type="dxa"/>
            <w:tcBorders>
              <w:top w:val="single" w:color="000000" w:sz="6" w:space="0"/>
            </w:tcBorders>
            <w:vAlign w:val="top"/>
          </w:tcPr>
          <w:p w14:paraId="662DFCA2">
            <w:pPr>
              <w:rPr>
                <w:rFonts w:ascii="Arial"/>
                <w:sz w:val="21"/>
              </w:rPr>
            </w:pPr>
          </w:p>
        </w:tc>
        <w:tc>
          <w:tcPr>
            <w:tcW w:w="1394" w:type="dxa"/>
            <w:tcBorders>
              <w:top w:val="single" w:color="000000" w:sz="6" w:space="0"/>
            </w:tcBorders>
            <w:vAlign w:val="top"/>
          </w:tcPr>
          <w:p w14:paraId="198DE46B">
            <w:pPr>
              <w:pStyle w:val="6"/>
              <w:spacing w:before="46" w:line="228" w:lineRule="auto"/>
              <w:ind w:left="113"/>
              <w:rPr>
                <w:sz w:val="20"/>
                <w:szCs w:val="20"/>
              </w:rPr>
            </w:pPr>
            <w:r>
              <w:rPr>
                <w:spacing w:val="-6"/>
                <w:sz w:val="20"/>
                <w:szCs w:val="20"/>
              </w:rPr>
              <w:t>氯化氢、氟化</w:t>
            </w:r>
          </w:p>
          <w:p w14:paraId="34C62F0B">
            <w:pPr>
              <w:pStyle w:val="6"/>
              <w:spacing w:before="26" w:line="251" w:lineRule="auto"/>
              <w:ind w:left="110" w:right="37"/>
              <w:jc w:val="both"/>
              <w:rPr>
                <w:sz w:val="20"/>
                <w:szCs w:val="20"/>
              </w:rPr>
            </w:pPr>
            <w:r>
              <w:rPr>
                <w:spacing w:val="-6"/>
                <w:sz w:val="20"/>
                <w:szCs w:val="20"/>
              </w:rPr>
              <w:t>氢（以氟化物</w:t>
            </w:r>
            <w:r>
              <w:rPr>
                <w:spacing w:val="3"/>
                <w:sz w:val="20"/>
                <w:szCs w:val="20"/>
              </w:rPr>
              <w:t xml:space="preserve"> </w:t>
            </w:r>
            <w:r>
              <w:rPr>
                <w:spacing w:val="-23"/>
                <w:sz w:val="20"/>
                <w:szCs w:val="20"/>
              </w:rPr>
              <w:t>计）、硫酸雾、</w:t>
            </w:r>
            <w:r>
              <w:rPr>
                <w:spacing w:val="1"/>
                <w:sz w:val="20"/>
                <w:szCs w:val="20"/>
              </w:rPr>
              <w:t xml:space="preserve"> </w:t>
            </w:r>
            <w:r>
              <w:rPr>
                <w:spacing w:val="21"/>
                <w:sz w:val="20"/>
                <w:szCs w:val="20"/>
              </w:rPr>
              <w:t>硝酸雾（以</w:t>
            </w:r>
            <w:r>
              <w:rPr>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6"/>
                <w:sz w:val="20"/>
                <w:szCs w:val="20"/>
              </w:rPr>
              <w:t xml:space="preserve"> </w:t>
            </w:r>
            <w:r>
              <w:rPr>
                <w:spacing w:val="16"/>
                <w:sz w:val="20"/>
                <w:szCs w:val="20"/>
              </w:rPr>
              <w:t>计）、</w:t>
            </w:r>
          </w:p>
          <w:p w14:paraId="01B6775D">
            <w:pPr>
              <w:pStyle w:val="6"/>
              <w:spacing w:line="216" w:lineRule="auto"/>
              <w:ind w:left="278"/>
              <w:rPr>
                <w:sz w:val="20"/>
                <w:szCs w:val="20"/>
              </w:rPr>
            </w:pPr>
            <w:r>
              <w:rPr>
                <w:spacing w:val="7"/>
                <w:sz w:val="20"/>
                <w:szCs w:val="20"/>
              </w:rPr>
              <w:t>臭气浓度</w:t>
            </w:r>
          </w:p>
        </w:tc>
        <w:tc>
          <w:tcPr>
            <w:tcW w:w="1098" w:type="dxa"/>
            <w:tcBorders>
              <w:top w:val="single" w:color="000000" w:sz="6" w:space="0"/>
            </w:tcBorders>
            <w:vAlign w:val="top"/>
          </w:tcPr>
          <w:p w14:paraId="16684115">
            <w:pPr>
              <w:rPr>
                <w:rFonts w:ascii="Arial"/>
                <w:sz w:val="21"/>
              </w:rPr>
            </w:pPr>
          </w:p>
        </w:tc>
        <w:tc>
          <w:tcPr>
            <w:tcW w:w="4275" w:type="dxa"/>
            <w:tcBorders>
              <w:top w:val="single" w:color="000000" w:sz="6" w:space="0"/>
            </w:tcBorders>
            <w:vAlign w:val="top"/>
          </w:tcPr>
          <w:p w14:paraId="5A1D1593">
            <w:pPr>
              <w:pStyle w:val="6"/>
              <w:spacing w:before="46" w:line="228" w:lineRule="auto"/>
              <w:ind w:left="256"/>
              <w:rPr>
                <w:sz w:val="20"/>
                <w:szCs w:val="20"/>
              </w:rPr>
            </w:pPr>
            <w:r>
              <w:rPr>
                <w:spacing w:val="8"/>
                <w:sz w:val="20"/>
                <w:szCs w:val="20"/>
              </w:rPr>
              <w:t>广东省地方标准《大气污染物排放限值》</w:t>
            </w:r>
          </w:p>
          <w:p w14:paraId="3F78036F">
            <w:pPr>
              <w:pStyle w:val="6"/>
              <w:spacing w:before="24" w:line="221" w:lineRule="auto"/>
              <w:ind w:left="186"/>
              <w:rPr>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44/27-2001)</w:t>
            </w:r>
            <w:r>
              <w:rPr>
                <w:spacing w:val="7"/>
                <w:sz w:val="20"/>
                <w:szCs w:val="20"/>
              </w:rPr>
              <w:t>中第二时段无组织排放监控</w:t>
            </w:r>
          </w:p>
          <w:p w14:paraId="28091EF3">
            <w:pPr>
              <w:pStyle w:val="6"/>
              <w:spacing w:before="31" w:line="228" w:lineRule="auto"/>
              <w:ind w:left="1727"/>
              <w:rPr>
                <w:sz w:val="20"/>
                <w:szCs w:val="20"/>
              </w:rPr>
            </w:pPr>
            <w:r>
              <w:rPr>
                <w:spacing w:val="7"/>
                <w:sz w:val="20"/>
                <w:szCs w:val="20"/>
              </w:rPr>
              <w:t>浓度限值</w:t>
            </w:r>
          </w:p>
          <w:p w14:paraId="7530E97E">
            <w:pPr>
              <w:pStyle w:val="6"/>
              <w:spacing w:before="26" w:line="228" w:lineRule="auto"/>
              <w:ind w:left="131"/>
              <w:rPr>
                <w:sz w:val="20"/>
                <w:szCs w:val="20"/>
              </w:rPr>
            </w:pPr>
            <w:r>
              <w:rPr>
                <w:spacing w:val="7"/>
                <w:sz w:val="20"/>
                <w:szCs w:val="20"/>
              </w:rPr>
              <w:t>《恶臭污染物排放标准》（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14554-1993</w:t>
            </w:r>
            <w:r>
              <w:rPr>
                <w:spacing w:val="7"/>
                <w:sz w:val="20"/>
                <w:szCs w:val="20"/>
              </w:rPr>
              <w:t>）</w:t>
            </w:r>
          </w:p>
          <w:p w14:paraId="507070F3">
            <w:pPr>
              <w:pStyle w:val="6"/>
              <w:spacing w:before="24" w:line="228" w:lineRule="auto"/>
              <w:ind w:left="149"/>
              <w:rPr>
                <w:sz w:val="20"/>
                <w:szCs w:val="20"/>
              </w:rPr>
            </w:pPr>
            <w:r>
              <w:rPr>
                <w:spacing w:val="6"/>
                <w:sz w:val="20"/>
                <w:szCs w:val="20"/>
              </w:rPr>
              <w:t>表</w:t>
            </w:r>
            <w:r>
              <w:rPr>
                <w:spacing w:val="-13"/>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9"/>
                <w:w w:val="101"/>
                <w:sz w:val="20"/>
                <w:szCs w:val="20"/>
              </w:rPr>
              <w:t xml:space="preserve"> </w:t>
            </w:r>
            <w:r>
              <w:rPr>
                <w:spacing w:val="6"/>
                <w:sz w:val="20"/>
                <w:szCs w:val="20"/>
              </w:rPr>
              <w:t>中臭气浓度二级新扩改建恶臭污染物厂</w:t>
            </w:r>
          </w:p>
          <w:p w14:paraId="3F5722D3">
            <w:pPr>
              <w:pStyle w:val="6"/>
              <w:spacing w:before="27" w:line="216" w:lineRule="auto"/>
              <w:ind w:left="1732"/>
              <w:rPr>
                <w:sz w:val="20"/>
                <w:szCs w:val="20"/>
              </w:rPr>
            </w:pPr>
            <w:r>
              <w:rPr>
                <w:spacing w:val="6"/>
                <w:sz w:val="20"/>
                <w:szCs w:val="20"/>
              </w:rPr>
              <w:t>界标准值</w:t>
            </w:r>
          </w:p>
        </w:tc>
        <w:tc>
          <w:tcPr>
            <w:tcW w:w="263" w:type="dxa"/>
            <w:tcBorders>
              <w:top w:val="single" w:color="000000" w:sz="6" w:space="0"/>
              <w:bottom w:val="nil"/>
              <w:right w:val="single" w:color="000000" w:sz="6" w:space="0"/>
            </w:tcBorders>
            <w:vAlign w:val="top"/>
          </w:tcPr>
          <w:p w14:paraId="0F67CDE4">
            <w:pPr>
              <w:rPr>
                <w:rFonts w:ascii="Arial"/>
                <w:sz w:val="21"/>
              </w:rPr>
            </w:pPr>
          </w:p>
        </w:tc>
      </w:tr>
      <w:tr w14:paraId="46AF7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4" w:hRule="atLeast"/>
        </w:trPr>
        <w:tc>
          <w:tcPr>
            <w:tcW w:w="605" w:type="dxa"/>
            <w:vMerge w:val="continue"/>
            <w:tcBorders>
              <w:top w:val="nil"/>
              <w:left w:val="single" w:color="000000" w:sz="6" w:space="0"/>
              <w:bottom w:val="single" w:color="000000" w:sz="6" w:space="0"/>
            </w:tcBorders>
            <w:vAlign w:val="top"/>
          </w:tcPr>
          <w:p w14:paraId="07D58E49">
            <w:pPr>
              <w:rPr>
                <w:rFonts w:ascii="Arial"/>
                <w:sz w:val="21"/>
              </w:rPr>
            </w:pPr>
          </w:p>
        </w:tc>
        <w:tc>
          <w:tcPr>
            <w:tcW w:w="8380" w:type="dxa"/>
            <w:gridSpan w:val="6"/>
            <w:tcBorders>
              <w:bottom w:val="single" w:color="000000" w:sz="6" w:space="0"/>
              <w:right w:val="single" w:color="000000" w:sz="6" w:space="0"/>
            </w:tcBorders>
            <w:vAlign w:val="top"/>
          </w:tcPr>
          <w:p w14:paraId="4CA17DD3">
            <w:pPr>
              <w:pStyle w:val="6"/>
              <w:spacing w:before="158" w:line="220" w:lineRule="auto"/>
              <w:ind w:left="599"/>
            </w:pPr>
            <w:r>
              <w:rPr>
                <w:spacing w:val="-2"/>
              </w:rPr>
              <w:t>（</w:t>
            </w:r>
            <w:r>
              <w:rPr>
                <w:rFonts w:ascii="Times New Roman" w:hAnsi="Times New Roman" w:eastAsia="Times New Roman" w:cs="Times New Roman"/>
                <w:spacing w:val="-2"/>
              </w:rPr>
              <w:t>8</w:t>
            </w:r>
            <w:r>
              <w:rPr>
                <w:spacing w:val="-2"/>
              </w:rPr>
              <w:t>）大气环境影响分析结论</w:t>
            </w:r>
          </w:p>
          <w:p w14:paraId="1B0BEDD3">
            <w:pPr>
              <w:pStyle w:val="6"/>
              <w:spacing w:before="179" w:line="359" w:lineRule="auto"/>
              <w:ind w:left="119" w:right="118" w:firstLine="471"/>
            </w:pPr>
            <w:r>
              <w:rPr>
                <w:spacing w:val="16"/>
              </w:rPr>
              <w:t>综上分析</w:t>
            </w:r>
            <w:r>
              <w:rPr>
                <w:spacing w:val="-67"/>
              </w:rPr>
              <w:t xml:space="preserve"> </w:t>
            </w:r>
            <w:r>
              <w:rPr>
                <w:spacing w:val="16"/>
              </w:rPr>
              <w:t>，项</w:t>
            </w:r>
            <w:r>
              <w:rPr>
                <w:spacing w:val="-38"/>
              </w:rPr>
              <w:t xml:space="preserve"> </w:t>
            </w:r>
            <w:r>
              <w:rPr>
                <w:spacing w:val="16"/>
              </w:rPr>
              <w:t>目所在</w:t>
            </w:r>
            <w:r>
              <w:rPr>
                <w:spacing w:val="-69"/>
              </w:rPr>
              <w:t xml:space="preserve"> </w:t>
            </w:r>
            <w:r>
              <w:rPr>
                <w:spacing w:val="16"/>
              </w:rPr>
              <w:t>区域环境空气质量属于</w:t>
            </w:r>
            <w:r>
              <w:rPr>
                <w:spacing w:val="15"/>
              </w:rPr>
              <w:t>《</w:t>
            </w:r>
            <w:r>
              <w:rPr>
                <w:spacing w:val="-61"/>
              </w:rPr>
              <w:t xml:space="preserve"> </w:t>
            </w:r>
            <w:r>
              <w:rPr>
                <w:spacing w:val="15"/>
              </w:rPr>
              <w:t>环境空气质量标准》</w:t>
            </w:r>
            <w:r>
              <w:t xml:space="preserve"> </w:t>
            </w:r>
            <w:r>
              <w:rPr>
                <w:spacing w:val="-1"/>
              </w:rPr>
              <w:t>（</w:t>
            </w:r>
            <w:r>
              <w:rPr>
                <w:rFonts w:ascii="Times New Roman" w:hAnsi="Times New Roman" w:eastAsia="Times New Roman" w:cs="Times New Roman"/>
                <w:spacing w:val="-1"/>
              </w:rPr>
              <w:t>GB3095-2012</w:t>
            </w:r>
            <w:r>
              <w:rPr>
                <w:spacing w:val="-1"/>
              </w:rPr>
              <w:t>）及其修改清单中二级标准达标区。</w:t>
            </w:r>
          </w:p>
          <w:p w14:paraId="38E4CEEE">
            <w:pPr>
              <w:pStyle w:val="6"/>
              <w:spacing w:line="359" w:lineRule="auto"/>
              <w:ind w:left="107" w:right="104" w:firstLine="484"/>
              <w:jc w:val="both"/>
            </w:pPr>
            <w:r>
              <w:rPr>
                <w:spacing w:val="-1"/>
              </w:rPr>
              <w:t>项目</w:t>
            </w:r>
            <w:r>
              <w:rPr>
                <w:spacing w:val="-49"/>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16"/>
              </w:rPr>
              <w:t xml:space="preserve"> </w:t>
            </w:r>
            <w:r>
              <w:rPr>
                <w:spacing w:val="-1"/>
              </w:rPr>
              <w:t>号楼厂房宝石注胶加工车间产生的有机废气，采取安装集气罩</w:t>
            </w:r>
            <w:r>
              <w:rPr>
                <w:spacing w:val="-2"/>
              </w:rPr>
              <w:t>，设</w:t>
            </w:r>
            <w:r>
              <w:t xml:space="preserve"> </w:t>
            </w:r>
            <w:r>
              <w:rPr>
                <w:spacing w:val="-1"/>
              </w:rPr>
              <w:t>备四周做围挡，做成包围型集气设备，操作面控制风速不小于</w:t>
            </w:r>
            <w:r>
              <w:rPr>
                <w:spacing w:val="-39"/>
              </w:rPr>
              <w:t xml:space="preserve"> </w:t>
            </w:r>
            <w:r>
              <w:rPr>
                <w:rFonts w:ascii="Times New Roman" w:hAnsi="Times New Roman" w:eastAsia="Times New Roman" w:cs="Times New Roman"/>
                <w:spacing w:val="-1"/>
              </w:rPr>
              <w:t>0.3m/s</w:t>
            </w:r>
            <w:r>
              <w:rPr>
                <w:rFonts w:ascii="Times New Roman" w:hAnsi="Times New Roman" w:eastAsia="Times New Roman" w:cs="Times New Roman"/>
                <w:spacing w:val="-33"/>
              </w:rPr>
              <w:t xml:space="preserve"> </w:t>
            </w:r>
            <w:r>
              <w:rPr>
                <w:spacing w:val="-1"/>
              </w:rPr>
              <w:t>，将车间</w:t>
            </w:r>
            <w:r>
              <w:t xml:space="preserve"> </w:t>
            </w:r>
            <w:r>
              <w:rPr>
                <w:spacing w:val="3"/>
              </w:rPr>
              <w:t>内的有机废气收集后引入楼顶废气治理措施（喷淋</w:t>
            </w:r>
            <w:r>
              <w:rPr>
                <w:rFonts w:ascii="Times New Roman" w:hAnsi="Times New Roman" w:eastAsia="Times New Roman" w:cs="Times New Roman"/>
                <w:spacing w:val="3"/>
              </w:rPr>
              <w:t>+</w:t>
            </w:r>
            <w:r>
              <w:rPr>
                <w:spacing w:val="3"/>
              </w:rPr>
              <w:t>吸附）进行处理。本项目</w:t>
            </w:r>
            <w:r>
              <w:t xml:space="preserve"> </w:t>
            </w:r>
            <w:r>
              <w:rPr>
                <w:spacing w:val="-1"/>
              </w:rPr>
              <w:t>共有</w:t>
            </w:r>
            <w:r>
              <w:rPr>
                <w:spacing w:val="-49"/>
              </w:rPr>
              <w:t xml:space="preserve"> </w:t>
            </w:r>
            <w:r>
              <w:rPr>
                <w:rFonts w:ascii="Times New Roman" w:hAnsi="Times New Roman" w:eastAsia="Times New Roman" w:cs="Times New Roman"/>
                <w:spacing w:val="-1"/>
              </w:rPr>
              <w:t xml:space="preserve">5 </w:t>
            </w:r>
            <w:r>
              <w:rPr>
                <w:spacing w:val="-1"/>
              </w:rPr>
              <w:t>座喷淋吸附装置，安置于</w:t>
            </w:r>
            <w:r>
              <w:rPr>
                <w:spacing w:val="-48"/>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17"/>
                <w:w w:val="101"/>
              </w:rPr>
              <w:t xml:space="preserve"> </w:t>
            </w:r>
            <w:r>
              <w:rPr>
                <w:spacing w:val="-1"/>
              </w:rPr>
              <w:t>号楼厂房楼顶，有机废气</w:t>
            </w:r>
            <w:r>
              <w:rPr>
                <w:spacing w:val="-2"/>
              </w:rPr>
              <w:t>经处理后尾气达到</w:t>
            </w:r>
            <w:r>
              <w:t xml:space="preserve"> 《固定污染源挥发性有机物综合排放标准》（</w:t>
            </w:r>
            <w:r>
              <w:rPr>
                <w:rFonts w:ascii="Times New Roman" w:hAnsi="Times New Roman" w:eastAsia="Times New Roman" w:cs="Times New Roman"/>
              </w:rPr>
              <w:t>DB44/2367-2022</w:t>
            </w:r>
            <w:r>
              <w:t>）的有关</w:t>
            </w:r>
            <w:r>
              <w:rPr>
                <w:spacing w:val="-1"/>
              </w:rPr>
              <w:t>排放限</w:t>
            </w:r>
            <w:r>
              <w:t xml:space="preserve"> </w:t>
            </w:r>
            <w:r>
              <w:rPr>
                <w:spacing w:val="-1"/>
              </w:rPr>
              <w:t>值，再通过楼顶</w:t>
            </w:r>
            <w:r>
              <w:rPr>
                <w:spacing w:val="-44"/>
              </w:rPr>
              <w:t xml:space="preserve"> </w:t>
            </w:r>
            <w:r>
              <w:rPr>
                <w:rFonts w:ascii="Times New Roman" w:hAnsi="Times New Roman" w:eastAsia="Times New Roman" w:cs="Times New Roman"/>
                <w:spacing w:val="-1"/>
              </w:rPr>
              <w:t>DA001~DA05</w:t>
            </w:r>
            <w:r>
              <w:rPr>
                <w:spacing w:val="-1"/>
              </w:rPr>
              <w:t>（均为</w:t>
            </w:r>
            <w:r>
              <w:rPr>
                <w:spacing w:val="-56"/>
              </w:rPr>
              <w:t xml:space="preserve"> </w:t>
            </w:r>
            <w:r>
              <w:rPr>
                <w:rFonts w:ascii="Times New Roman" w:hAnsi="Times New Roman" w:eastAsia="Times New Roman" w:cs="Times New Roman"/>
                <w:spacing w:val="-1"/>
              </w:rPr>
              <w:t>40m</w:t>
            </w:r>
            <w:r>
              <w:rPr>
                <w:spacing w:val="-1"/>
              </w:rPr>
              <w:t>）排气筒达标排放。</w:t>
            </w:r>
          </w:p>
          <w:p w14:paraId="1B4E7091">
            <w:pPr>
              <w:pStyle w:val="6"/>
              <w:spacing w:before="3" w:line="359" w:lineRule="auto"/>
              <w:ind w:left="108" w:right="101" w:firstLine="483"/>
              <w:jc w:val="both"/>
            </w:pPr>
            <w:r>
              <w:rPr>
                <w:spacing w:val="2"/>
              </w:rPr>
              <w:t>项目</w:t>
            </w:r>
            <w:r>
              <w:rPr>
                <w:rFonts w:ascii="Times New Roman" w:hAnsi="Times New Roman" w:eastAsia="Times New Roman" w:cs="Times New Roman"/>
                <w:spacing w:val="2"/>
              </w:rPr>
              <w:t xml:space="preserve">4 </w:t>
            </w:r>
            <w:r>
              <w:rPr>
                <w:spacing w:val="2"/>
              </w:rPr>
              <w:t>号楼厂房宝石泡酸加工车间产生的泡酸废</w:t>
            </w:r>
            <w:r>
              <w:rPr>
                <w:spacing w:val="1"/>
              </w:rPr>
              <w:t>气，分别通过在收集口末</w:t>
            </w:r>
            <w:r>
              <w:t xml:space="preserve"> 端安装管道，负压收集的方式，将车间泡酸区域产生的酸雾废气收集后引入楼 </w:t>
            </w:r>
            <w:r>
              <w:rPr>
                <w:spacing w:val="-1"/>
              </w:rPr>
              <w:t>顶废气治理措施（碱液喷淋塔）进行处理。本项目共有</w:t>
            </w:r>
            <w:r>
              <w:rPr>
                <w:spacing w:val="-29"/>
              </w:rPr>
              <w:t xml:space="preserve"> </w:t>
            </w:r>
            <w:r>
              <w:rPr>
                <w:rFonts w:ascii="Times New Roman" w:hAnsi="Times New Roman" w:eastAsia="Times New Roman" w:cs="Times New Roman"/>
                <w:spacing w:val="-1"/>
              </w:rPr>
              <w:t xml:space="preserve">8 </w:t>
            </w:r>
            <w:r>
              <w:rPr>
                <w:spacing w:val="-1"/>
              </w:rPr>
              <w:t>座碱液喷淋塔，安置</w:t>
            </w:r>
            <w:r>
              <w:t xml:space="preserve"> </w:t>
            </w:r>
            <w:r>
              <w:rPr>
                <w:spacing w:val="-1"/>
              </w:rPr>
              <w:t>于</w:t>
            </w:r>
            <w:r>
              <w:rPr>
                <w:spacing w:val="-45"/>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5"/>
                <w:w w:val="101"/>
              </w:rPr>
              <w:t xml:space="preserve"> </w:t>
            </w:r>
            <w:r>
              <w:rPr>
                <w:spacing w:val="-1"/>
              </w:rPr>
              <w:t>号楼厂房楼顶，泡酸废气经处理后尾气达到广东省地方标准《大气污染物</w:t>
            </w:r>
            <w:r>
              <w:t xml:space="preserve"> </w:t>
            </w:r>
            <w:r>
              <w:rPr>
                <w:spacing w:val="2"/>
              </w:rPr>
              <w:t>排放限值》（</w:t>
            </w:r>
            <w:r>
              <w:rPr>
                <w:rFonts w:ascii="Times New Roman" w:hAnsi="Times New Roman" w:eastAsia="Times New Roman" w:cs="Times New Roman"/>
              </w:rPr>
              <w:t>DB</w:t>
            </w:r>
            <w:r>
              <w:rPr>
                <w:rFonts w:ascii="Times New Roman" w:hAnsi="Times New Roman" w:eastAsia="Times New Roman" w:cs="Times New Roman"/>
                <w:spacing w:val="2"/>
              </w:rPr>
              <w:t>44/27-2001</w:t>
            </w:r>
            <w:r>
              <w:rPr>
                <w:spacing w:val="2"/>
              </w:rPr>
              <w:t>）第二时段二级标准，再通过</w:t>
            </w:r>
            <w:r>
              <w:rPr>
                <w:spacing w:val="1"/>
              </w:rPr>
              <w:t>楼顶</w:t>
            </w:r>
            <w:r>
              <w:rPr>
                <w:spacing w:val="-51"/>
              </w:rPr>
              <w:t xml:space="preserve"> </w:t>
            </w:r>
            <w:r>
              <w:rPr>
                <w:rFonts w:ascii="Times New Roman" w:hAnsi="Times New Roman" w:eastAsia="Times New Roman" w:cs="Times New Roman"/>
              </w:rPr>
              <w:t>DA</w:t>
            </w:r>
            <w:r>
              <w:rPr>
                <w:rFonts w:ascii="Times New Roman" w:hAnsi="Times New Roman" w:eastAsia="Times New Roman" w:cs="Times New Roman"/>
                <w:spacing w:val="1"/>
              </w:rPr>
              <w:t>006~</w:t>
            </w:r>
            <w:r>
              <w:rPr>
                <w:rFonts w:ascii="Times New Roman" w:hAnsi="Times New Roman" w:eastAsia="Times New Roman" w:cs="Times New Roman"/>
              </w:rPr>
              <w:t>DA</w:t>
            </w:r>
            <w:r>
              <w:rPr>
                <w:rFonts w:ascii="Times New Roman" w:hAnsi="Times New Roman" w:eastAsia="Times New Roman" w:cs="Times New Roman"/>
                <w:spacing w:val="1"/>
              </w:rPr>
              <w:t>013</w:t>
            </w:r>
            <w:r>
              <w:rPr>
                <w:rFonts w:ascii="Times New Roman" w:hAnsi="Times New Roman" w:eastAsia="Times New Roman" w:cs="Times New Roman"/>
              </w:rPr>
              <w:t xml:space="preserve"> </w:t>
            </w:r>
            <w:r>
              <w:rPr>
                <w:spacing w:val="-2"/>
              </w:rPr>
              <w:t>（均为</w:t>
            </w:r>
            <w:r>
              <w:rPr>
                <w:spacing w:val="-43"/>
              </w:rPr>
              <w:t xml:space="preserve"> </w:t>
            </w:r>
            <w:r>
              <w:rPr>
                <w:rFonts w:ascii="Times New Roman" w:hAnsi="Times New Roman" w:eastAsia="Times New Roman" w:cs="Times New Roman"/>
                <w:spacing w:val="-2"/>
              </w:rPr>
              <w:t>25m</w:t>
            </w:r>
            <w:r>
              <w:rPr>
                <w:spacing w:val="-2"/>
              </w:rPr>
              <w:t>）排气筒达标排放。</w:t>
            </w:r>
          </w:p>
          <w:p w14:paraId="6A3A62FE">
            <w:pPr>
              <w:pStyle w:val="6"/>
              <w:spacing w:line="358" w:lineRule="auto"/>
              <w:ind w:left="120" w:right="89" w:firstLine="446"/>
            </w:pPr>
            <w:r>
              <w:rPr>
                <w:spacing w:val="-13"/>
              </w:rPr>
              <w:t>综上分析，项目运营期排放的大气污染物均能达标排放，对周围</w:t>
            </w:r>
            <w:r>
              <w:rPr>
                <w:spacing w:val="-14"/>
              </w:rPr>
              <w:t>大气环境的影</w:t>
            </w:r>
            <w:r>
              <w:t xml:space="preserve"> </w:t>
            </w:r>
            <w:r>
              <w:rPr>
                <w:spacing w:val="-12"/>
              </w:rPr>
              <w:t>响较小。</w:t>
            </w:r>
          </w:p>
          <w:p w14:paraId="4DFDB583">
            <w:pPr>
              <w:pStyle w:val="6"/>
              <w:spacing w:line="219" w:lineRule="auto"/>
              <w:ind w:left="584"/>
            </w:pPr>
            <w:r>
              <w:rPr>
                <w:rFonts w:ascii="Times New Roman" w:hAnsi="Times New Roman" w:eastAsia="Times New Roman" w:cs="Times New Roman"/>
                <w:b/>
                <w:bCs/>
                <w:spacing w:val="-10"/>
              </w:rPr>
              <w:t>2</w:t>
            </w:r>
            <w:r>
              <w:rPr>
                <w:rFonts w:ascii="Times New Roman" w:hAnsi="Times New Roman" w:eastAsia="Times New Roman" w:cs="Times New Roman"/>
                <w:b/>
                <w:bCs/>
                <w:spacing w:val="-32"/>
              </w:rPr>
              <w:t xml:space="preserve"> </w:t>
            </w:r>
            <w:r>
              <w:rPr>
                <w:b/>
                <w:bCs/>
                <w:spacing w:val="-10"/>
              </w:rPr>
              <w:t>、废水</w:t>
            </w:r>
          </w:p>
          <w:p w14:paraId="393C3CA6">
            <w:pPr>
              <w:pStyle w:val="6"/>
              <w:spacing w:before="185" w:line="359" w:lineRule="auto"/>
              <w:ind w:left="110" w:right="101" w:firstLine="478"/>
              <w:jc w:val="both"/>
            </w:pPr>
            <w:r>
              <w:t>根据用水平衡分析，本项目用水包括配制酸液用水、高压冲洗用</w:t>
            </w:r>
            <w:r>
              <w:rPr>
                <w:spacing w:val="-1"/>
              </w:rPr>
              <w:t>水、泡酸</w:t>
            </w:r>
            <w:r>
              <w:t xml:space="preserve"> 后清洗用水、泡碱用水、泡碱后清洗用水、喷淋塔用水和员工生活用水</w:t>
            </w:r>
            <w:r>
              <w:rPr>
                <w:spacing w:val="-1"/>
              </w:rPr>
              <w:t>，总用</w:t>
            </w:r>
            <w:r>
              <w:t xml:space="preserve"> </w:t>
            </w:r>
            <w:r>
              <w:rPr>
                <w:spacing w:val="-2"/>
              </w:rPr>
              <w:t>水量约为</w:t>
            </w:r>
            <w:r>
              <w:rPr>
                <w:spacing w:val="-32"/>
              </w:rPr>
              <w:t xml:space="preserve"> </w:t>
            </w:r>
            <w:r>
              <w:rPr>
                <w:rFonts w:ascii="Times New Roman" w:hAnsi="Times New Roman" w:eastAsia="Times New Roman" w:cs="Times New Roman"/>
                <w:spacing w:val="-2"/>
              </w:rPr>
              <w:t>167163.3t/a</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557.21</w:t>
            </w:r>
            <w:r>
              <w:rPr>
                <w:rFonts w:ascii="Times New Roman" w:hAnsi="Times New Roman" w:eastAsia="Times New Roman" w:cs="Times New Roman"/>
                <w:spacing w:val="-3"/>
              </w:rPr>
              <w:t>1t/d</w:t>
            </w:r>
            <w:r>
              <w:rPr>
                <w:rFonts w:ascii="Times New Roman" w:hAnsi="Times New Roman" w:eastAsia="Times New Roman" w:cs="Times New Roman"/>
                <w:spacing w:val="-29"/>
              </w:rPr>
              <w:t xml:space="preserve"> </w:t>
            </w:r>
            <w:r>
              <w:rPr>
                <w:spacing w:val="-3"/>
              </w:rPr>
              <w:t>，产生的废水总量为</w:t>
            </w:r>
            <w:r>
              <w:rPr>
                <w:spacing w:val="-49"/>
              </w:rPr>
              <w:t xml:space="preserve"> </w:t>
            </w:r>
            <w:r>
              <w:rPr>
                <w:rFonts w:ascii="Times New Roman" w:hAnsi="Times New Roman" w:eastAsia="Times New Roman" w:cs="Times New Roman"/>
                <w:spacing w:val="-3"/>
              </w:rPr>
              <w:t>526.793t/d</w:t>
            </w:r>
            <w:r>
              <w:rPr>
                <w:spacing w:val="-3"/>
              </w:rPr>
              <w:t>。</w:t>
            </w:r>
          </w:p>
          <w:p w14:paraId="519310B4">
            <w:pPr>
              <w:pStyle w:val="6"/>
              <w:spacing w:before="1" w:line="360" w:lineRule="auto"/>
              <w:ind w:left="108" w:right="101" w:firstLine="483"/>
              <w:jc w:val="both"/>
            </w:pPr>
            <w:r>
              <w:t>项目是宝石加工行业，没有中水回用的硬性要求。建设单位宝</w:t>
            </w:r>
            <w:r>
              <w:rPr>
                <w:spacing w:val="-1"/>
              </w:rPr>
              <w:t>石泡酸的原</w:t>
            </w:r>
            <w:r>
              <w:t xml:space="preserve"> 料宝石品质好，主要生产高端宝石产品，泡酸过程对水质的要求较高，中水水 质达不到回用要求，或是回用成本太高，影响行业的集聚发展。因此本项目不</w:t>
            </w:r>
          </w:p>
        </w:tc>
      </w:tr>
    </w:tbl>
    <w:p w14:paraId="14E44EB0">
      <w:pPr>
        <w:rPr>
          <w:rFonts w:ascii="Arial"/>
          <w:sz w:val="21"/>
        </w:rPr>
      </w:pPr>
    </w:p>
    <w:p w14:paraId="692623AA">
      <w:pPr>
        <w:rPr>
          <w:rFonts w:ascii="Arial" w:hAnsi="Arial" w:eastAsia="Arial" w:cs="Arial"/>
          <w:sz w:val="21"/>
          <w:szCs w:val="21"/>
        </w:rPr>
        <w:sectPr>
          <w:footerReference r:id="rId83" w:type="default"/>
          <w:pgSz w:w="11907" w:h="16840"/>
          <w:pgMar w:top="400" w:right="1453" w:bottom="1240" w:left="1453" w:header="0" w:footer="1077" w:gutter="0"/>
          <w:cols w:space="720" w:num="1"/>
        </w:sectPr>
      </w:pPr>
    </w:p>
    <w:p w14:paraId="1E9F1E75">
      <w:pPr>
        <w:spacing w:before="19"/>
      </w:pPr>
    </w:p>
    <w:p w14:paraId="55F95F2D">
      <w:pPr>
        <w:spacing w:before="19"/>
      </w:pPr>
    </w:p>
    <w:p w14:paraId="26164842">
      <w:pPr>
        <w:spacing w:before="19"/>
      </w:pPr>
    </w:p>
    <w:p w14:paraId="05268B98">
      <w:pPr>
        <w:spacing w:before="18"/>
      </w:pPr>
    </w:p>
    <w:p w14:paraId="635D09F9">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6704F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04B999BF">
            <w:pPr>
              <w:rPr>
                <w:rFonts w:ascii="Arial"/>
                <w:sz w:val="21"/>
              </w:rPr>
            </w:pPr>
          </w:p>
        </w:tc>
        <w:tc>
          <w:tcPr>
            <w:tcW w:w="8381" w:type="dxa"/>
            <w:tcBorders>
              <w:left w:val="single" w:color="000000" w:sz="2" w:space="0"/>
            </w:tcBorders>
            <w:vAlign w:val="top"/>
          </w:tcPr>
          <w:p w14:paraId="60889B5E">
            <w:pPr>
              <w:pStyle w:val="6"/>
              <w:spacing w:before="39" w:line="219" w:lineRule="auto"/>
              <w:ind w:left="109"/>
            </w:pPr>
            <w:r>
              <w:rPr>
                <w:spacing w:val="-2"/>
              </w:rPr>
              <w:t>考虑中水回用问题。</w:t>
            </w:r>
          </w:p>
          <w:p w14:paraId="4D96FEAA">
            <w:pPr>
              <w:pStyle w:val="6"/>
              <w:spacing w:before="184" w:line="219" w:lineRule="auto"/>
              <w:ind w:left="585"/>
            </w:pPr>
            <w:r>
              <w:rPr>
                <w:rFonts w:ascii="Times New Roman" w:hAnsi="Times New Roman" w:eastAsia="Times New Roman" w:cs="Times New Roman"/>
                <w:b/>
                <w:bCs/>
                <w:spacing w:val="-4"/>
              </w:rPr>
              <w:t>2.1</w:t>
            </w:r>
            <w:r>
              <w:rPr>
                <w:rFonts w:ascii="Times New Roman" w:hAnsi="Times New Roman" w:eastAsia="Times New Roman" w:cs="Times New Roman"/>
                <w:b/>
                <w:bCs/>
                <w:spacing w:val="13"/>
              </w:rPr>
              <w:t xml:space="preserve"> </w:t>
            </w:r>
            <w:r>
              <w:rPr>
                <w:b/>
                <w:bCs/>
                <w:spacing w:val="-4"/>
              </w:rPr>
              <w:t>生产废水</w:t>
            </w:r>
          </w:p>
          <w:p w14:paraId="6A036761">
            <w:pPr>
              <w:pStyle w:val="6"/>
              <w:spacing w:before="182" w:line="359" w:lineRule="auto"/>
              <w:ind w:left="111" w:right="101" w:firstLine="479"/>
              <w:jc w:val="both"/>
            </w:pPr>
            <w:r>
              <w:t>本项目泡酸加工的宝石种类有海蓝宝、草莓晶、发晶、云母、闪光石</w:t>
            </w:r>
            <w:r>
              <w:rPr>
                <w:spacing w:val="-1"/>
              </w:rPr>
              <w:t>等，</w:t>
            </w:r>
            <w:r>
              <w:t xml:space="preserve"> 各种宝石主要成分有稍有差异，泡酸后的废水水质稍有不同，分布在项</w:t>
            </w:r>
            <w:r>
              <w:rPr>
                <w:spacing w:val="-1"/>
              </w:rPr>
              <w:t>目的各</w:t>
            </w:r>
            <w:r>
              <w:t xml:space="preserve"> 泡酸车间，泡酸、泡碱、清洗等各种操作同时存在，所产生的废水水质</w:t>
            </w:r>
            <w:r>
              <w:rPr>
                <w:spacing w:val="-1"/>
              </w:rPr>
              <w:t>稍有差</w:t>
            </w:r>
            <w:r>
              <w:t xml:space="preserve"> 异，但大体相同，从企业实际运行、管理需求、从严管理等方面考虑，</w:t>
            </w:r>
            <w:r>
              <w:rPr>
                <w:spacing w:val="-1"/>
              </w:rPr>
              <w:t>废水统</w:t>
            </w:r>
            <w:r>
              <w:t xml:space="preserve"> </w:t>
            </w:r>
            <w:r>
              <w:rPr>
                <w:spacing w:val="-2"/>
              </w:rPr>
              <w:t>一收集后集中处理。</w:t>
            </w:r>
          </w:p>
          <w:p w14:paraId="77923B3F">
            <w:pPr>
              <w:pStyle w:val="6"/>
              <w:spacing w:before="4" w:line="359" w:lineRule="auto"/>
              <w:ind w:left="103" w:right="101" w:firstLine="486"/>
              <w:jc w:val="both"/>
            </w:pPr>
            <w:r>
              <w:t>本项目的生产废水包括泡酸后清洗废水、泡碱废水、泡碱后清</w:t>
            </w:r>
            <w:r>
              <w:rPr>
                <w:spacing w:val="-1"/>
              </w:rPr>
              <w:t>洗废水、喷</w:t>
            </w:r>
            <w:r>
              <w:t xml:space="preserve"> </w:t>
            </w:r>
            <w:r>
              <w:rPr>
                <w:spacing w:val="9"/>
              </w:rPr>
              <w:t>淋塔废水</w:t>
            </w:r>
            <w:r>
              <w:rPr>
                <w:spacing w:val="-58"/>
              </w:rPr>
              <w:t xml:space="preserve"> </w:t>
            </w:r>
            <w:r>
              <w:rPr>
                <w:spacing w:val="9"/>
              </w:rPr>
              <w:t>。根据用水平衡分析</w:t>
            </w:r>
            <w:r>
              <w:rPr>
                <w:spacing w:val="-65"/>
              </w:rPr>
              <w:t xml:space="preserve"> </w:t>
            </w:r>
            <w:r>
              <w:rPr>
                <w:spacing w:val="9"/>
              </w:rPr>
              <w:t>，本项</w:t>
            </w:r>
            <w:r>
              <w:rPr>
                <w:spacing w:val="-36"/>
              </w:rPr>
              <w:t xml:space="preserve"> </w:t>
            </w:r>
            <w:r>
              <w:rPr>
                <w:spacing w:val="9"/>
              </w:rPr>
              <w:t>目</w:t>
            </w:r>
            <w:r>
              <w:rPr>
                <w:spacing w:val="-65"/>
              </w:rPr>
              <w:t xml:space="preserve"> </w:t>
            </w:r>
            <w:r>
              <w:rPr>
                <w:spacing w:val="9"/>
              </w:rPr>
              <w:t xml:space="preserve">的生产废水总量为 </w:t>
            </w:r>
            <w:r>
              <w:rPr>
                <w:rFonts w:ascii="Times New Roman" w:hAnsi="Times New Roman" w:eastAsia="Times New Roman" w:cs="Times New Roman"/>
                <w:spacing w:val="9"/>
              </w:rPr>
              <w:t>146164.8t/</w:t>
            </w:r>
            <w:r>
              <w:rPr>
                <w:rFonts w:ascii="Times New Roman" w:hAnsi="Times New Roman" w:eastAsia="Times New Roman" w:cs="Times New Roman"/>
                <w:spacing w:val="8"/>
              </w:rPr>
              <w:t xml:space="preserve">a </w:t>
            </w:r>
            <w:r>
              <w:rPr>
                <w:spacing w:val="8"/>
              </w:rPr>
              <w:t>，</w:t>
            </w:r>
            <w:r>
              <w:t xml:space="preserve"> </w:t>
            </w:r>
            <w:r>
              <w:rPr>
                <w:rFonts w:ascii="Times New Roman" w:hAnsi="Times New Roman" w:eastAsia="Times New Roman" w:cs="Times New Roman"/>
                <w:spacing w:val="-2"/>
              </w:rPr>
              <w:t>487.216t/d</w:t>
            </w:r>
            <w:r>
              <w:rPr>
                <w:spacing w:val="-2"/>
              </w:rPr>
              <w:t>。建设单位委托中山大学惠州研究院检测中心，对原项目的水质做过</w:t>
            </w:r>
            <w:r>
              <w:rPr>
                <w:spacing w:val="11"/>
              </w:rPr>
              <w:t xml:space="preserve"> </w:t>
            </w:r>
            <w:r>
              <w:rPr>
                <w:spacing w:val="-1"/>
              </w:rPr>
              <w:t>检测，监测结果如下：</w:t>
            </w:r>
          </w:p>
          <w:p w14:paraId="1784AF3E">
            <w:pPr>
              <w:pStyle w:val="6"/>
              <w:spacing w:before="116" w:line="219" w:lineRule="auto"/>
              <w:ind w:left="2013"/>
            </w:pPr>
            <w:r>
              <w:rPr>
                <w:b/>
                <w:bCs/>
                <w:spacing w:val="-2"/>
              </w:rPr>
              <w:t>表</w:t>
            </w:r>
            <w:r>
              <w:rPr>
                <w:spacing w:val="-48"/>
              </w:rPr>
              <w:t xml:space="preserve"> </w:t>
            </w:r>
            <w:r>
              <w:rPr>
                <w:rFonts w:ascii="Times New Roman" w:hAnsi="Times New Roman" w:eastAsia="Times New Roman" w:cs="Times New Roman"/>
                <w:b/>
                <w:bCs/>
                <w:spacing w:val="-2"/>
              </w:rPr>
              <w:t xml:space="preserve">4-15    </w:t>
            </w:r>
            <w:r>
              <w:rPr>
                <w:b/>
                <w:bCs/>
                <w:spacing w:val="-2"/>
              </w:rPr>
              <w:t>原项目泡酸废水自行监测结果表</w:t>
            </w:r>
          </w:p>
          <w:p w14:paraId="55A20249">
            <w:pPr>
              <w:spacing w:line="178" w:lineRule="exact"/>
            </w:pPr>
          </w:p>
          <w:tbl>
            <w:tblPr>
              <w:tblStyle w:val="5"/>
              <w:tblW w:w="812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2"/>
              <w:gridCol w:w="1603"/>
              <w:gridCol w:w="1187"/>
              <w:gridCol w:w="2191"/>
              <w:gridCol w:w="1375"/>
            </w:tblGrid>
            <w:tr w14:paraId="0291C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772" w:type="dxa"/>
                  <w:vAlign w:val="top"/>
                </w:tcPr>
                <w:p w14:paraId="471271E4">
                  <w:pPr>
                    <w:pStyle w:val="6"/>
                    <w:spacing w:before="98" w:line="227" w:lineRule="auto"/>
                    <w:ind w:left="494"/>
                    <w:rPr>
                      <w:sz w:val="20"/>
                      <w:szCs w:val="20"/>
                    </w:rPr>
                  </w:pPr>
                  <w:r>
                    <w:rPr>
                      <w:spacing w:val="-1"/>
                      <w:sz w:val="20"/>
                      <w:szCs w:val="20"/>
                    </w:rPr>
                    <w:t>采样点位</w:t>
                  </w:r>
                </w:p>
              </w:tc>
              <w:tc>
                <w:tcPr>
                  <w:tcW w:w="1603" w:type="dxa"/>
                  <w:vAlign w:val="top"/>
                </w:tcPr>
                <w:p w14:paraId="02A3EAC3">
                  <w:pPr>
                    <w:pStyle w:val="6"/>
                    <w:spacing w:before="97" w:line="228" w:lineRule="auto"/>
                    <w:ind w:left="409"/>
                    <w:rPr>
                      <w:sz w:val="20"/>
                      <w:szCs w:val="20"/>
                    </w:rPr>
                  </w:pPr>
                  <w:r>
                    <w:rPr>
                      <w:spacing w:val="-1"/>
                      <w:sz w:val="20"/>
                      <w:szCs w:val="20"/>
                    </w:rPr>
                    <w:t>样品性状</w:t>
                  </w:r>
                </w:p>
              </w:tc>
              <w:tc>
                <w:tcPr>
                  <w:tcW w:w="1187" w:type="dxa"/>
                  <w:vAlign w:val="top"/>
                </w:tcPr>
                <w:p w14:paraId="22E332D3">
                  <w:pPr>
                    <w:pStyle w:val="6"/>
                    <w:spacing w:before="97" w:line="228" w:lineRule="auto"/>
                    <w:ind w:left="201"/>
                    <w:rPr>
                      <w:sz w:val="20"/>
                      <w:szCs w:val="20"/>
                    </w:rPr>
                  </w:pPr>
                  <w:r>
                    <w:rPr>
                      <w:spacing w:val="-1"/>
                      <w:sz w:val="20"/>
                      <w:szCs w:val="20"/>
                    </w:rPr>
                    <w:t>检测项目</w:t>
                  </w:r>
                </w:p>
              </w:tc>
              <w:tc>
                <w:tcPr>
                  <w:tcW w:w="2191" w:type="dxa"/>
                  <w:vAlign w:val="top"/>
                </w:tcPr>
                <w:p w14:paraId="3D282C7E">
                  <w:pPr>
                    <w:pStyle w:val="6"/>
                    <w:spacing w:before="97" w:line="228" w:lineRule="auto"/>
                    <w:ind w:left="706"/>
                    <w:rPr>
                      <w:sz w:val="20"/>
                      <w:szCs w:val="20"/>
                    </w:rPr>
                  </w:pPr>
                  <w:r>
                    <w:rPr>
                      <w:spacing w:val="-1"/>
                      <w:sz w:val="20"/>
                      <w:szCs w:val="20"/>
                    </w:rPr>
                    <w:t>检测结果</w:t>
                  </w:r>
                </w:p>
              </w:tc>
              <w:tc>
                <w:tcPr>
                  <w:tcW w:w="1375" w:type="dxa"/>
                  <w:vAlign w:val="top"/>
                </w:tcPr>
                <w:p w14:paraId="13EE753F">
                  <w:pPr>
                    <w:pStyle w:val="6"/>
                    <w:spacing w:before="98" w:line="228" w:lineRule="auto"/>
                    <w:ind w:left="497"/>
                    <w:rPr>
                      <w:sz w:val="20"/>
                      <w:szCs w:val="20"/>
                    </w:rPr>
                  </w:pPr>
                  <w:r>
                    <w:rPr>
                      <w:spacing w:val="-1"/>
                      <w:sz w:val="20"/>
                      <w:szCs w:val="20"/>
                    </w:rPr>
                    <w:t>单位</w:t>
                  </w:r>
                </w:p>
              </w:tc>
            </w:tr>
            <w:tr w14:paraId="06C51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72" w:type="dxa"/>
                  <w:vMerge w:val="restart"/>
                  <w:tcBorders>
                    <w:bottom w:val="nil"/>
                  </w:tcBorders>
                  <w:vAlign w:val="top"/>
                </w:tcPr>
                <w:p w14:paraId="73B32FC5">
                  <w:pPr>
                    <w:pStyle w:val="6"/>
                    <w:spacing w:before="160" w:line="251" w:lineRule="auto"/>
                    <w:ind w:left="301" w:right="178" w:hanging="101"/>
                    <w:rPr>
                      <w:sz w:val="20"/>
                      <w:szCs w:val="20"/>
                    </w:rPr>
                  </w:pPr>
                  <w:r>
                    <w:rPr>
                      <w:spacing w:val="-2"/>
                      <w:sz w:val="20"/>
                      <w:szCs w:val="20"/>
                    </w:rPr>
                    <w:t>酸性废水处理站</w:t>
                  </w:r>
                  <w:r>
                    <w:rPr>
                      <w:sz w:val="20"/>
                      <w:szCs w:val="20"/>
                    </w:rPr>
                    <w:t xml:space="preserve"> </w:t>
                  </w:r>
                  <w:r>
                    <w:rPr>
                      <w:spacing w:val="-2"/>
                      <w:sz w:val="20"/>
                      <w:szCs w:val="20"/>
                    </w:rPr>
                    <w:t>处理前采样口</w:t>
                  </w:r>
                </w:p>
              </w:tc>
              <w:tc>
                <w:tcPr>
                  <w:tcW w:w="1603" w:type="dxa"/>
                  <w:vMerge w:val="restart"/>
                  <w:tcBorders>
                    <w:bottom w:val="nil"/>
                  </w:tcBorders>
                  <w:vAlign w:val="top"/>
                </w:tcPr>
                <w:p w14:paraId="7A7765F9">
                  <w:pPr>
                    <w:pStyle w:val="6"/>
                    <w:spacing w:before="159" w:line="252" w:lineRule="auto"/>
                    <w:ind w:left="312" w:right="96" w:hanging="201"/>
                    <w:rPr>
                      <w:sz w:val="20"/>
                      <w:szCs w:val="20"/>
                    </w:rPr>
                  </w:pPr>
                  <w:r>
                    <w:rPr>
                      <w:spacing w:val="-2"/>
                      <w:sz w:val="20"/>
                      <w:szCs w:val="20"/>
                    </w:rPr>
                    <w:t>黄色、微臭、无</w:t>
                  </w:r>
                  <w:r>
                    <w:rPr>
                      <w:spacing w:val="2"/>
                      <w:sz w:val="20"/>
                      <w:szCs w:val="20"/>
                    </w:rPr>
                    <w:t xml:space="preserve"> </w:t>
                  </w:r>
                  <w:r>
                    <w:rPr>
                      <w:spacing w:val="-2"/>
                      <w:sz w:val="20"/>
                      <w:szCs w:val="20"/>
                    </w:rPr>
                    <w:t>浮油、微浊</w:t>
                  </w:r>
                </w:p>
              </w:tc>
              <w:tc>
                <w:tcPr>
                  <w:tcW w:w="1187" w:type="dxa"/>
                  <w:vAlign w:val="top"/>
                </w:tcPr>
                <w:p w14:paraId="45315A20">
                  <w:pPr>
                    <w:pStyle w:val="6"/>
                    <w:spacing w:before="92" w:line="221" w:lineRule="auto"/>
                    <w:ind w:left="34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3"/>
                      <w:sz w:val="20"/>
                      <w:szCs w:val="20"/>
                    </w:rPr>
                    <w:t xml:space="preserve"> </w:t>
                  </w:r>
                  <w:r>
                    <w:rPr>
                      <w:spacing w:val="3"/>
                      <w:sz w:val="20"/>
                      <w:szCs w:val="20"/>
                    </w:rPr>
                    <w:t>值</w:t>
                  </w:r>
                </w:p>
              </w:tc>
              <w:tc>
                <w:tcPr>
                  <w:tcW w:w="2191" w:type="dxa"/>
                  <w:vAlign w:val="top"/>
                </w:tcPr>
                <w:p w14:paraId="3A85A02E">
                  <w:pPr>
                    <w:pStyle w:val="6"/>
                    <w:spacing w:before="92" w:line="231" w:lineRule="auto"/>
                    <w:ind w:left="510"/>
                    <w:rPr>
                      <w:sz w:val="20"/>
                      <w:szCs w:val="20"/>
                    </w:rPr>
                  </w:pPr>
                  <w:r>
                    <w:rPr>
                      <w:rFonts w:ascii="Times New Roman" w:hAnsi="Times New Roman" w:eastAsia="Times New Roman" w:cs="Times New Roman"/>
                      <w:spacing w:val="-2"/>
                      <w:sz w:val="20"/>
                      <w:szCs w:val="20"/>
                    </w:rPr>
                    <w:t>6.8</w:t>
                  </w:r>
                  <w:r>
                    <w:rPr>
                      <w:spacing w:val="-2"/>
                      <w:sz w:val="20"/>
                      <w:szCs w:val="20"/>
                    </w:rPr>
                    <w:t>（</w:t>
                  </w:r>
                  <w:r>
                    <w:rPr>
                      <w:rFonts w:ascii="Times New Roman" w:hAnsi="Times New Roman" w:eastAsia="Times New Roman" w:cs="Times New Roman"/>
                      <w:spacing w:val="-2"/>
                      <w:sz w:val="20"/>
                      <w:szCs w:val="20"/>
                    </w:rPr>
                    <w:t>25.1</w:t>
                  </w:r>
                  <w:r>
                    <w:rPr>
                      <w:spacing w:val="-2"/>
                      <w:sz w:val="20"/>
                      <w:szCs w:val="20"/>
                    </w:rPr>
                    <w:t>℃)</w:t>
                  </w:r>
                </w:p>
              </w:tc>
              <w:tc>
                <w:tcPr>
                  <w:tcW w:w="1375" w:type="dxa"/>
                  <w:vAlign w:val="top"/>
                </w:tcPr>
                <w:p w14:paraId="62AF1ECA">
                  <w:pPr>
                    <w:pStyle w:val="6"/>
                    <w:spacing w:before="93" w:line="228" w:lineRule="auto"/>
                    <w:ind w:left="396"/>
                    <w:rPr>
                      <w:sz w:val="20"/>
                      <w:szCs w:val="20"/>
                    </w:rPr>
                  </w:pPr>
                  <w:r>
                    <w:rPr>
                      <w:spacing w:val="-2"/>
                      <w:sz w:val="20"/>
                      <w:szCs w:val="20"/>
                    </w:rPr>
                    <w:t>无量纲</w:t>
                  </w:r>
                </w:p>
              </w:tc>
            </w:tr>
            <w:tr w14:paraId="13261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72" w:type="dxa"/>
                  <w:vMerge w:val="continue"/>
                  <w:tcBorders>
                    <w:top w:val="nil"/>
                  </w:tcBorders>
                  <w:vAlign w:val="top"/>
                </w:tcPr>
                <w:p w14:paraId="05C5C041">
                  <w:pPr>
                    <w:rPr>
                      <w:rFonts w:ascii="Arial"/>
                      <w:sz w:val="21"/>
                    </w:rPr>
                  </w:pPr>
                </w:p>
              </w:tc>
              <w:tc>
                <w:tcPr>
                  <w:tcW w:w="1603" w:type="dxa"/>
                  <w:vMerge w:val="continue"/>
                  <w:tcBorders>
                    <w:top w:val="nil"/>
                  </w:tcBorders>
                  <w:vAlign w:val="top"/>
                </w:tcPr>
                <w:p w14:paraId="2886DC08">
                  <w:pPr>
                    <w:rPr>
                      <w:rFonts w:ascii="Arial"/>
                      <w:sz w:val="21"/>
                    </w:rPr>
                  </w:pPr>
                </w:p>
              </w:tc>
              <w:tc>
                <w:tcPr>
                  <w:tcW w:w="1187" w:type="dxa"/>
                  <w:vAlign w:val="top"/>
                </w:tcPr>
                <w:p w14:paraId="1E7F4B10">
                  <w:pPr>
                    <w:pStyle w:val="6"/>
                    <w:spacing w:before="94" w:line="228" w:lineRule="auto"/>
                    <w:ind w:left="303"/>
                    <w:rPr>
                      <w:sz w:val="20"/>
                      <w:szCs w:val="20"/>
                    </w:rPr>
                  </w:pPr>
                  <w:r>
                    <w:rPr>
                      <w:spacing w:val="-2"/>
                      <w:sz w:val="20"/>
                      <w:szCs w:val="20"/>
                    </w:rPr>
                    <w:t>氟化物</w:t>
                  </w:r>
                </w:p>
              </w:tc>
              <w:tc>
                <w:tcPr>
                  <w:tcW w:w="2191" w:type="dxa"/>
                  <w:vAlign w:val="top"/>
                </w:tcPr>
                <w:p w14:paraId="53E18678">
                  <w:pPr>
                    <w:spacing w:before="130"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33.5</w:t>
                  </w:r>
                </w:p>
              </w:tc>
              <w:tc>
                <w:tcPr>
                  <w:tcW w:w="1375" w:type="dxa"/>
                  <w:vAlign w:val="top"/>
                </w:tcPr>
                <w:p w14:paraId="762A4654">
                  <w:pPr>
                    <w:spacing w:before="126" w:line="201" w:lineRule="auto"/>
                    <w:ind w:left="472"/>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p>
              </w:tc>
            </w:tr>
            <w:tr w14:paraId="60588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72" w:type="dxa"/>
                  <w:vMerge w:val="restart"/>
                  <w:tcBorders>
                    <w:bottom w:val="nil"/>
                  </w:tcBorders>
                  <w:vAlign w:val="top"/>
                </w:tcPr>
                <w:p w14:paraId="2A809325">
                  <w:pPr>
                    <w:pStyle w:val="6"/>
                    <w:spacing w:before="160" w:line="254" w:lineRule="auto"/>
                    <w:ind w:left="301" w:right="178" w:hanging="101"/>
                    <w:rPr>
                      <w:sz w:val="20"/>
                      <w:szCs w:val="20"/>
                    </w:rPr>
                  </w:pPr>
                  <w:r>
                    <w:rPr>
                      <w:spacing w:val="-2"/>
                      <w:sz w:val="20"/>
                      <w:szCs w:val="20"/>
                    </w:rPr>
                    <w:t>酸性废水处理站</w:t>
                  </w:r>
                  <w:r>
                    <w:rPr>
                      <w:sz w:val="20"/>
                      <w:szCs w:val="20"/>
                    </w:rPr>
                    <w:t xml:space="preserve"> </w:t>
                  </w:r>
                  <w:r>
                    <w:rPr>
                      <w:spacing w:val="-2"/>
                      <w:sz w:val="20"/>
                      <w:szCs w:val="20"/>
                    </w:rPr>
                    <w:t>处理后采样口</w:t>
                  </w:r>
                </w:p>
              </w:tc>
              <w:tc>
                <w:tcPr>
                  <w:tcW w:w="1603" w:type="dxa"/>
                  <w:vMerge w:val="restart"/>
                  <w:tcBorders>
                    <w:bottom w:val="nil"/>
                  </w:tcBorders>
                  <w:vAlign w:val="top"/>
                </w:tcPr>
                <w:p w14:paraId="41BB7AD4">
                  <w:pPr>
                    <w:pStyle w:val="6"/>
                    <w:spacing w:before="161" w:line="254" w:lineRule="auto"/>
                    <w:ind w:left="313" w:right="96" w:hanging="199"/>
                    <w:rPr>
                      <w:sz w:val="20"/>
                      <w:szCs w:val="20"/>
                    </w:rPr>
                  </w:pPr>
                  <w:r>
                    <w:rPr>
                      <w:spacing w:val="-2"/>
                      <w:sz w:val="20"/>
                      <w:szCs w:val="20"/>
                    </w:rPr>
                    <w:t>无色、无味、无</w:t>
                  </w:r>
                  <w:r>
                    <w:rPr>
                      <w:sz w:val="20"/>
                      <w:szCs w:val="20"/>
                    </w:rPr>
                    <w:t xml:space="preserve"> </w:t>
                  </w:r>
                  <w:r>
                    <w:rPr>
                      <w:spacing w:val="-2"/>
                      <w:sz w:val="20"/>
                      <w:szCs w:val="20"/>
                    </w:rPr>
                    <w:t>浮油、透明</w:t>
                  </w:r>
                </w:p>
              </w:tc>
              <w:tc>
                <w:tcPr>
                  <w:tcW w:w="1187" w:type="dxa"/>
                  <w:vAlign w:val="top"/>
                </w:tcPr>
                <w:p w14:paraId="330B4771">
                  <w:pPr>
                    <w:pStyle w:val="6"/>
                    <w:spacing w:before="94" w:line="221" w:lineRule="auto"/>
                    <w:ind w:left="34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3"/>
                      <w:sz w:val="20"/>
                      <w:szCs w:val="20"/>
                    </w:rPr>
                    <w:t xml:space="preserve"> </w:t>
                  </w:r>
                  <w:r>
                    <w:rPr>
                      <w:spacing w:val="3"/>
                      <w:sz w:val="20"/>
                      <w:szCs w:val="20"/>
                    </w:rPr>
                    <w:t>值</w:t>
                  </w:r>
                </w:p>
              </w:tc>
              <w:tc>
                <w:tcPr>
                  <w:tcW w:w="2191" w:type="dxa"/>
                  <w:vAlign w:val="top"/>
                </w:tcPr>
                <w:p w14:paraId="33F07FD7">
                  <w:pPr>
                    <w:pStyle w:val="6"/>
                    <w:spacing w:before="93" w:line="231" w:lineRule="auto"/>
                    <w:ind w:left="514"/>
                    <w:rPr>
                      <w:sz w:val="20"/>
                      <w:szCs w:val="20"/>
                    </w:rPr>
                  </w:pPr>
                  <w:r>
                    <w:rPr>
                      <w:rFonts w:ascii="Times New Roman" w:hAnsi="Times New Roman" w:eastAsia="Times New Roman" w:cs="Times New Roman"/>
                      <w:spacing w:val="-2"/>
                      <w:sz w:val="20"/>
                      <w:szCs w:val="20"/>
                    </w:rPr>
                    <w:t>8.3</w:t>
                  </w:r>
                  <w:r>
                    <w:rPr>
                      <w:spacing w:val="-2"/>
                      <w:sz w:val="20"/>
                      <w:szCs w:val="20"/>
                    </w:rPr>
                    <w:t>（</w:t>
                  </w:r>
                  <w:r>
                    <w:rPr>
                      <w:rFonts w:ascii="Times New Roman" w:hAnsi="Times New Roman" w:eastAsia="Times New Roman" w:cs="Times New Roman"/>
                      <w:spacing w:val="-2"/>
                      <w:sz w:val="20"/>
                      <w:szCs w:val="20"/>
                    </w:rPr>
                    <w:t>24.7</w:t>
                  </w:r>
                  <w:r>
                    <w:rPr>
                      <w:spacing w:val="-2"/>
                      <w:sz w:val="20"/>
                      <w:szCs w:val="20"/>
                    </w:rPr>
                    <w:t>℃)</w:t>
                  </w:r>
                </w:p>
              </w:tc>
              <w:tc>
                <w:tcPr>
                  <w:tcW w:w="1375" w:type="dxa"/>
                  <w:vAlign w:val="top"/>
                </w:tcPr>
                <w:p w14:paraId="50BDC724">
                  <w:pPr>
                    <w:pStyle w:val="6"/>
                    <w:spacing w:before="94" w:line="228" w:lineRule="auto"/>
                    <w:ind w:left="396"/>
                    <w:rPr>
                      <w:sz w:val="20"/>
                      <w:szCs w:val="20"/>
                    </w:rPr>
                  </w:pPr>
                  <w:r>
                    <w:rPr>
                      <w:spacing w:val="-2"/>
                      <w:sz w:val="20"/>
                      <w:szCs w:val="20"/>
                    </w:rPr>
                    <w:t>无量纲</w:t>
                  </w:r>
                </w:p>
              </w:tc>
            </w:tr>
            <w:tr w14:paraId="4C1FE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72" w:type="dxa"/>
                  <w:vMerge w:val="continue"/>
                  <w:tcBorders>
                    <w:top w:val="nil"/>
                  </w:tcBorders>
                  <w:vAlign w:val="top"/>
                </w:tcPr>
                <w:p w14:paraId="266547FB">
                  <w:pPr>
                    <w:rPr>
                      <w:rFonts w:ascii="Arial"/>
                      <w:sz w:val="21"/>
                    </w:rPr>
                  </w:pPr>
                </w:p>
              </w:tc>
              <w:tc>
                <w:tcPr>
                  <w:tcW w:w="1603" w:type="dxa"/>
                  <w:vMerge w:val="continue"/>
                  <w:tcBorders>
                    <w:top w:val="nil"/>
                  </w:tcBorders>
                  <w:vAlign w:val="top"/>
                </w:tcPr>
                <w:p w14:paraId="54A141B2">
                  <w:pPr>
                    <w:rPr>
                      <w:rFonts w:ascii="Arial"/>
                      <w:sz w:val="21"/>
                    </w:rPr>
                  </w:pPr>
                </w:p>
              </w:tc>
              <w:tc>
                <w:tcPr>
                  <w:tcW w:w="1187" w:type="dxa"/>
                  <w:vAlign w:val="top"/>
                </w:tcPr>
                <w:p w14:paraId="4A025250">
                  <w:pPr>
                    <w:pStyle w:val="6"/>
                    <w:spacing w:before="96" w:line="228" w:lineRule="auto"/>
                    <w:ind w:left="303"/>
                    <w:rPr>
                      <w:sz w:val="20"/>
                      <w:szCs w:val="20"/>
                    </w:rPr>
                  </w:pPr>
                  <w:r>
                    <w:rPr>
                      <w:spacing w:val="-2"/>
                      <w:sz w:val="20"/>
                      <w:szCs w:val="20"/>
                    </w:rPr>
                    <w:t>氟化物</w:t>
                  </w:r>
                </w:p>
              </w:tc>
              <w:tc>
                <w:tcPr>
                  <w:tcW w:w="2191" w:type="dxa"/>
                  <w:vAlign w:val="top"/>
                </w:tcPr>
                <w:p w14:paraId="626DE2FE">
                  <w:pPr>
                    <w:spacing w:before="132" w:line="195"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8.75</w:t>
                  </w:r>
                </w:p>
              </w:tc>
              <w:tc>
                <w:tcPr>
                  <w:tcW w:w="1375" w:type="dxa"/>
                  <w:vAlign w:val="top"/>
                </w:tcPr>
                <w:p w14:paraId="50C4040B">
                  <w:pPr>
                    <w:spacing w:before="128" w:line="201" w:lineRule="auto"/>
                    <w:ind w:left="472"/>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p>
              </w:tc>
            </w:tr>
            <w:tr w14:paraId="75350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8128" w:type="dxa"/>
                  <w:gridSpan w:val="5"/>
                  <w:vAlign w:val="top"/>
                </w:tcPr>
                <w:p w14:paraId="1E569065">
                  <w:pPr>
                    <w:pStyle w:val="6"/>
                    <w:spacing w:before="35" w:line="229" w:lineRule="auto"/>
                    <w:ind w:left="118"/>
                    <w:rPr>
                      <w:sz w:val="20"/>
                      <w:szCs w:val="20"/>
                    </w:rPr>
                  </w:pPr>
                  <w:r>
                    <w:rPr>
                      <w:spacing w:val="-2"/>
                      <w:sz w:val="20"/>
                      <w:szCs w:val="20"/>
                    </w:rPr>
                    <w:t>备注：</w:t>
                  </w:r>
                </w:p>
                <w:p w14:paraId="2F3EA9B1">
                  <w:pPr>
                    <w:pStyle w:val="6"/>
                    <w:spacing w:before="23" w:line="239" w:lineRule="auto"/>
                    <w:ind w:left="116" w:right="97" w:firstLine="15"/>
                    <w:rPr>
                      <w:sz w:val="20"/>
                      <w:szCs w:val="20"/>
                    </w:rPr>
                  </w:pPr>
                  <w:r>
                    <w:rPr>
                      <w:rFonts w:ascii="Times New Roman" w:hAnsi="Times New Roman" w:eastAsia="Times New Roman" w:cs="Times New Roman"/>
                      <w:spacing w:val="-3"/>
                      <w:sz w:val="20"/>
                      <w:szCs w:val="20"/>
                    </w:rPr>
                    <w:t>1.</w:t>
                  </w:r>
                  <w:r>
                    <w:rPr>
                      <w:spacing w:val="-3"/>
                      <w:sz w:val="20"/>
                      <w:szCs w:val="20"/>
                    </w:rPr>
                    <w:t>“</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0"/>
                      <w:sz w:val="20"/>
                      <w:szCs w:val="20"/>
                    </w:rPr>
                    <w:t xml:space="preserve"> </w:t>
                  </w:r>
                  <w:r>
                    <w:rPr>
                      <w:spacing w:val="-3"/>
                      <w:sz w:val="20"/>
                      <w:szCs w:val="20"/>
                    </w:rPr>
                    <w:t>”参考广东省地方标准《水污染物排放限值》</w:t>
                  </w:r>
                  <w:r>
                    <w:rPr>
                      <w:rFonts w:ascii="Times New Roman" w:hAnsi="Times New Roman" w:eastAsia="Times New Roman" w:cs="Times New Roman"/>
                      <w:spacing w:val="-3"/>
                      <w:sz w:val="20"/>
                      <w:szCs w:val="20"/>
                    </w:rPr>
                    <w:t>(DB 44/26-2001)</w:t>
                  </w:r>
                  <w:r>
                    <w:rPr>
                      <w:spacing w:val="-3"/>
                      <w:sz w:val="20"/>
                      <w:szCs w:val="20"/>
                    </w:rPr>
                    <w:t>表</w:t>
                  </w:r>
                  <w:r>
                    <w:rPr>
                      <w:spacing w:val="-57"/>
                      <w:sz w:val="20"/>
                      <w:szCs w:val="20"/>
                    </w:rPr>
                    <w:t xml:space="preserve"> </w:t>
                  </w:r>
                  <w:r>
                    <w:rPr>
                      <w:rFonts w:ascii="Times New Roman" w:hAnsi="Times New Roman" w:eastAsia="Times New Roman" w:cs="Times New Roman"/>
                      <w:spacing w:val="-3"/>
                      <w:sz w:val="20"/>
                      <w:szCs w:val="20"/>
                    </w:rPr>
                    <w:t xml:space="preserve">2 </w:t>
                  </w:r>
                  <w:r>
                    <w:rPr>
                      <w:spacing w:val="-3"/>
                      <w:sz w:val="20"/>
                      <w:szCs w:val="20"/>
                    </w:rPr>
                    <w:t>第二类污染物最高允</w:t>
                  </w:r>
                  <w:r>
                    <w:rPr>
                      <w:sz w:val="20"/>
                      <w:szCs w:val="20"/>
                    </w:rPr>
                    <w:t xml:space="preserve"> </w:t>
                  </w:r>
                  <w:r>
                    <w:rPr>
                      <w:spacing w:val="-2"/>
                      <w:sz w:val="20"/>
                      <w:szCs w:val="20"/>
                    </w:rPr>
                    <w:t>许排放浓度第一时段其他排污单位一级标准。</w:t>
                  </w:r>
                </w:p>
                <w:p w14:paraId="327150AF">
                  <w:pPr>
                    <w:pStyle w:val="6"/>
                    <w:spacing w:before="26" w:line="218" w:lineRule="auto"/>
                    <w:ind w:left="112"/>
                    <w:rPr>
                      <w:sz w:val="20"/>
                      <w:szCs w:val="20"/>
                    </w:rPr>
                  </w:pPr>
                  <w:r>
                    <w:rPr>
                      <w:rFonts w:ascii="Times New Roman" w:hAnsi="Times New Roman" w:eastAsia="Times New Roman" w:cs="Times New Roman"/>
                      <w:spacing w:val="-4"/>
                      <w:sz w:val="20"/>
                      <w:szCs w:val="20"/>
                    </w:rPr>
                    <w:t>2.</w:t>
                  </w:r>
                  <w:r>
                    <w:rPr>
                      <w:spacing w:val="-4"/>
                      <w:sz w:val="20"/>
                      <w:szCs w:val="20"/>
                    </w:rPr>
                    <w:t>“</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6"/>
                      <w:sz w:val="20"/>
                      <w:szCs w:val="20"/>
                    </w:rPr>
                    <w:t xml:space="preserve"> </w:t>
                  </w:r>
                  <w:r>
                    <w:rPr>
                      <w:spacing w:val="-4"/>
                      <w:sz w:val="20"/>
                      <w:szCs w:val="20"/>
                    </w:rPr>
                    <w:t>”表示无标准限值要求。</w:t>
                  </w:r>
                </w:p>
              </w:tc>
            </w:tr>
          </w:tbl>
          <w:p w14:paraId="1585B2BC">
            <w:pPr>
              <w:pStyle w:val="6"/>
              <w:spacing w:before="156" w:line="359" w:lineRule="auto"/>
              <w:ind w:left="109" w:right="101" w:firstLine="485"/>
            </w:pPr>
            <w:r>
              <w:t>结合行业内其他相同企业的实际情况，本项目产生的各种</w:t>
            </w:r>
            <w:r>
              <w:rPr>
                <w:spacing w:val="-1"/>
              </w:rPr>
              <w:t>废水的特征污染</w:t>
            </w:r>
            <w:r>
              <w:t xml:space="preserve"> </w:t>
            </w:r>
            <w:r>
              <w:rPr>
                <w:spacing w:val="-2"/>
              </w:rPr>
              <w:t>物详见下表：</w:t>
            </w:r>
          </w:p>
          <w:p w14:paraId="5A1781FE">
            <w:pPr>
              <w:pStyle w:val="6"/>
              <w:spacing w:line="218" w:lineRule="auto"/>
              <w:ind w:left="1893"/>
            </w:pPr>
            <w:r>
              <w:rPr>
                <w:b/>
                <w:bCs/>
                <w:spacing w:val="-2"/>
              </w:rPr>
              <w:t>表</w:t>
            </w:r>
            <w:r>
              <w:rPr>
                <w:spacing w:val="-49"/>
              </w:rPr>
              <w:t xml:space="preserve"> </w:t>
            </w:r>
            <w:r>
              <w:rPr>
                <w:rFonts w:ascii="Times New Roman" w:hAnsi="Times New Roman" w:eastAsia="Times New Roman" w:cs="Times New Roman"/>
                <w:b/>
                <w:bCs/>
                <w:spacing w:val="-2"/>
              </w:rPr>
              <w:t xml:space="preserve">4-16    </w:t>
            </w:r>
            <w:r>
              <w:rPr>
                <w:b/>
                <w:bCs/>
                <w:spacing w:val="-2"/>
              </w:rPr>
              <w:t>本项目泡酸废水特征污染物一览表</w:t>
            </w:r>
          </w:p>
          <w:p w14:paraId="737E7655">
            <w:pPr>
              <w:spacing w:line="179" w:lineRule="exact"/>
            </w:pPr>
          </w:p>
          <w:tbl>
            <w:tblPr>
              <w:tblStyle w:val="5"/>
              <w:tblW w:w="814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7"/>
              <w:gridCol w:w="6126"/>
            </w:tblGrid>
            <w:tr w14:paraId="28FF9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017" w:type="dxa"/>
                  <w:vAlign w:val="top"/>
                </w:tcPr>
                <w:p w14:paraId="0633D922">
                  <w:pPr>
                    <w:pStyle w:val="6"/>
                    <w:spacing w:before="120" w:line="228" w:lineRule="auto"/>
                    <w:ind w:left="592"/>
                    <w:rPr>
                      <w:sz w:val="20"/>
                      <w:szCs w:val="20"/>
                    </w:rPr>
                  </w:pPr>
                  <w:r>
                    <w:rPr>
                      <w:b/>
                      <w:bCs/>
                      <w:spacing w:val="6"/>
                      <w:sz w:val="20"/>
                      <w:szCs w:val="20"/>
                    </w:rPr>
                    <w:t>废水种类</w:t>
                  </w:r>
                </w:p>
              </w:tc>
              <w:tc>
                <w:tcPr>
                  <w:tcW w:w="6126" w:type="dxa"/>
                  <w:vAlign w:val="top"/>
                </w:tcPr>
                <w:p w14:paraId="201E668E">
                  <w:pPr>
                    <w:pStyle w:val="6"/>
                    <w:spacing w:before="120" w:line="228" w:lineRule="auto"/>
                    <w:ind w:left="2538"/>
                    <w:rPr>
                      <w:sz w:val="20"/>
                      <w:szCs w:val="20"/>
                    </w:rPr>
                  </w:pPr>
                  <w:r>
                    <w:rPr>
                      <w:b/>
                      <w:bCs/>
                      <w:spacing w:val="6"/>
                      <w:sz w:val="20"/>
                      <w:szCs w:val="20"/>
                    </w:rPr>
                    <w:t>特征污染物</w:t>
                  </w:r>
                </w:p>
              </w:tc>
            </w:tr>
            <w:tr w14:paraId="0FECC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2017" w:type="dxa"/>
                  <w:vAlign w:val="top"/>
                </w:tcPr>
                <w:p w14:paraId="4723BEFE">
                  <w:pPr>
                    <w:pStyle w:val="6"/>
                    <w:spacing w:before="196" w:line="228" w:lineRule="auto"/>
                    <w:ind w:left="280"/>
                    <w:rPr>
                      <w:sz w:val="20"/>
                      <w:szCs w:val="20"/>
                    </w:rPr>
                  </w:pPr>
                  <w:r>
                    <w:rPr>
                      <w:spacing w:val="8"/>
                      <w:sz w:val="20"/>
                      <w:szCs w:val="20"/>
                    </w:rPr>
                    <w:t>泡酸后清洗废水</w:t>
                  </w:r>
                </w:p>
              </w:tc>
              <w:tc>
                <w:tcPr>
                  <w:tcW w:w="6126" w:type="dxa"/>
                  <w:vAlign w:val="top"/>
                </w:tcPr>
                <w:p w14:paraId="4F027EC8">
                  <w:pPr>
                    <w:pStyle w:val="6"/>
                    <w:spacing w:before="59" w:line="228" w:lineRule="auto"/>
                    <w:ind w:right="13"/>
                    <w:jc w:val="right"/>
                    <w:rPr>
                      <w:sz w:val="20"/>
                      <w:szCs w:val="20"/>
                    </w:rPr>
                  </w:pPr>
                  <w:r>
                    <w:rPr>
                      <w:spacing w:val="6"/>
                      <w:sz w:val="20"/>
                      <w:szCs w:val="20"/>
                    </w:rPr>
                    <w:t>强酸、悬浮物、总铅、总镍、总铍、总银等重金属离子、氟化物、</w:t>
                  </w:r>
                </w:p>
                <w:p w14:paraId="40877DC1">
                  <w:pPr>
                    <w:pStyle w:val="6"/>
                    <w:spacing w:before="26" w:line="228" w:lineRule="auto"/>
                    <w:ind w:left="2758"/>
                    <w:rPr>
                      <w:sz w:val="20"/>
                      <w:szCs w:val="20"/>
                    </w:rPr>
                  </w:pPr>
                  <w:r>
                    <w:rPr>
                      <w:spacing w:val="5"/>
                      <w:sz w:val="20"/>
                      <w:szCs w:val="20"/>
                    </w:rPr>
                    <w:t>高盐度</w:t>
                  </w:r>
                </w:p>
              </w:tc>
            </w:tr>
            <w:tr w14:paraId="1820D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017" w:type="dxa"/>
                  <w:vAlign w:val="top"/>
                </w:tcPr>
                <w:p w14:paraId="08D98F3C">
                  <w:pPr>
                    <w:pStyle w:val="6"/>
                    <w:spacing w:before="196" w:line="228" w:lineRule="auto"/>
                    <w:ind w:left="597"/>
                    <w:rPr>
                      <w:sz w:val="20"/>
                      <w:szCs w:val="20"/>
                    </w:rPr>
                  </w:pPr>
                  <w:r>
                    <w:rPr>
                      <w:spacing w:val="6"/>
                      <w:sz w:val="20"/>
                      <w:szCs w:val="20"/>
                    </w:rPr>
                    <w:t>泡碱废水</w:t>
                  </w:r>
                </w:p>
              </w:tc>
              <w:tc>
                <w:tcPr>
                  <w:tcW w:w="6126" w:type="dxa"/>
                  <w:vAlign w:val="top"/>
                </w:tcPr>
                <w:p w14:paraId="18E8F49F">
                  <w:pPr>
                    <w:pStyle w:val="6"/>
                    <w:spacing w:before="61" w:line="228" w:lineRule="auto"/>
                    <w:ind w:right="13"/>
                    <w:jc w:val="right"/>
                    <w:rPr>
                      <w:sz w:val="20"/>
                      <w:szCs w:val="20"/>
                    </w:rPr>
                  </w:pPr>
                  <w:r>
                    <w:rPr>
                      <w:spacing w:val="6"/>
                      <w:sz w:val="20"/>
                      <w:szCs w:val="20"/>
                    </w:rPr>
                    <w:t>强碱、悬浮物、总铅、总镍、总铍、总银等重金属离子、氟化物、</w:t>
                  </w:r>
                </w:p>
                <w:p w14:paraId="5BEA1EEC">
                  <w:pPr>
                    <w:pStyle w:val="6"/>
                    <w:spacing w:before="24" w:line="228" w:lineRule="auto"/>
                    <w:ind w:left="2758"/>
                    <w:rPr>
                      <w:sz w:val="20"/>
                      <w:szCs w:val="20"/>
                    </w:rPr>
                  </w:pPr>
                  <w:r>
                    <w:rPr>
                      <w:spacing w:val="5"/>
                      <w:sz w:val="20"/>
                      <w:szCs w:val="20"/>
                    </w:rPr>
                    <w:t>高盐度</w:t>
                  </w:r>
                </w:p>
              </w:tc>
            </w:tr>
            <w:tr w14:paraId="52123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17" w:type="dxa"/>
                  <w:vAlign w:val="top"/>
                </w:tcPr>
                <w:p w14:paraId="27898274">
                  <w:pPr>
                    <w:pStyle w:val="6"/>
                    <w:spacing w:before="117" w:line="228" w:lineRule="auto"/>
                    <w:ind w:left="280"/>
                    <w:rPr>
                      <w:sz w:val="20"/>
                      <w:szCs w:val="20"/>
                    </w:rPr>
                  </w:pPr>
                  <w:r>
                    <w:rPr>
                      <w:spacing w:val="8"/>
                      <w:sz w:val="20"/>
                      <w:szCs w:val="20"/>
                    </w:rPr>
                    <w:t>泡碱后清洗废水</w:t>
                  </w:r>
                </w:p>
              </w:tc>
              <w:tc>
                <w:tcPr>
                  <w:tcW w:w="6126" w:type="dxa"/>
                  <w:vAlign w:val="top"/>
                </w:tcPr>
                <w:p w14:paraId="71AEE3E3">
                  <w:pPr>
                    <w:pStyle w:val="6"/>
                    <w:spacing w:before="117" w:line="228" w:lineRule="auto"/>
                    <w:ind w:left="130"/>
                    <w:rPr>
                      <w:sz w:val="20"/>
                      <w:szCs w:val="20"/>
                    </w:rPr>
                  </w:pPr>
                  <w:r>
                    <w:rPr>
                      <w:spacing w:val="9"/>
                      <w:sz w:val="20"/>
                      <w:szCs w:val="20"/>
                    </w:rPr>
                    <w:t>弱碱、悬浮物、总铅、总镍、总铍、总银等重金属离子、氟化物</w:t>
                  </w:r>
                </w:p>
              </w:tc>
            </w:tr>
            <w:tr w14:paraId="4DBE7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17" w:type="dxa"/>
                  <w:vAlign w:val="top"/>
                </w:tcPr>
                <w:p w14:paraId="6BF2F307">
                  <w:pPr>
                    <w:pStyle w:val="6"/>
                    <w:spacing w:before="124" w:line="226" w:lineRule="auto"/>
                    <w:ind w:left="498"/>
                    <w:rPr>
                      <w:sz w:val="20"/>
                      <w:szCs w:val="20"/>
                    </w:rPr>
                  </w:pPr>
                  <w:r>
                    <w:rPr>
                      <w:spacing w:val="6"/>
                      <w:sz w:val="20"/>
                      <w:szCs w:val="20"/>
                    </w:rPr>
                    <w:t>喷淋塔废水</w:t>
                  </w:r>
                </w:p>
              </w:tc>
              <w:tc>
                <w:tcPr>
                  <w:tcW w:w="6126" w:type="dxa"/>
                  <w:vAlign w:val="top"/>
                </w:tcPr>
                <w:p w14:paraId="2C0D044F">
                  <w:pPr>
                    <w:pStyle w:val="6"/>
                    <w:spacing w:before="124" w:line="229" w:lineRule="auto"/>
                    <w:ind w:left="2148"/>
                    <w:rPr>
                      <w:rFonts w:ascii="Times New Roman" w:hAnsi="Times New Roman" w:eastAsia="Times New Roman" w:cs="Times New Roman"/>
                      <w:sz w:val="13"/>
                      <w:szCs w:val="13"/>
                    </w:rPr>
                  </w:pPr>
                  <w:r>
                    <w:rPr>
                      <w:spacing w:val="13"/>
                      <w:sz w:val="20"/>
                      <w:szCs w:val="20"/>
                    </w:rPr>
                    <w:t>酸、悬浮物、</w:t>
                  </w: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p>
              </w:tc>
            </w:tr>
          </w:tbl>
          <w:p w14:paraId="4A1808EA">
            <w:pPr>
              <w:spacing w:line="40" w:lineRule="exact"/>
              <w:rPr>
                <w:rFonts w:ascii="Arial"/>
                <w:sz w:val="3"/>
              </w:rPr>
            </w:pPr>
          </w:p>
        </w:tc>
      </w:tr>
    </w:tbl>
    <w:p w14:paraId="2279C51D">
      <w:pPr>
        <w:rPr>
          <w:rFonts w:ascii="Arial"/>
          <w:sz w:val="21"/>
        </w:rPr>
      </w:pPr>
    </w:p>
    <w:p w14:paraId="712AF1FA">
      <w:pPr>
        <w:rPr>
          <w:rFonts w:ascii="Arial" w:hAnsi="Arial" w:eastAsia="Arial" w:cs="Arial"/>
          <w:sz w:val="21"/>
          <w:szCs w:val="21"/>
        </w:rPr>
        <w:sectPr>
          <w:footerReference r:id="rId84" w:type="default"/>
          <w:pgSz w:w="11907" w:h="16840"/>
          <w:pgMar w:top="400" w:right="1453" w:bottom="1237" w:left="1453" w:header="0" w:footer="1077" w:gutter="0"/>
          <w:cols w:space="720" w:num="1"/>
        </w:sectPr>
      </w:pPr>
    </w:p>
    <w:p w14:paraId="043C2D10">
      <w:pPr>
        <w:spacing w:before="19"/>
      </w:pPr>
    </w:p>
    <w:p w14:paraId="10AB7ACE">
      <w:pPr>
        <w:spacing w:before="19"/>
      </w:pPr>
    </w:p>
    <w:p w14:paraId="38E8EE34">
      <w:pPr>
        <w:spacing w:before="19"/>
      </w:pPr>
    </w:p>
    <w:p w14:paraId="05BEBA52">
      <w:pPr>
        <w:spacing w:before="18"/>
      </w:pPr>
    </w:p>
    <w:p w14:paraId="31A47951">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302"/>
        <w:gridCol w:w="1439"/>
        <w:gridCol w:w="2254"/>
        <w:gridCol w:w="2125"/>
        <w:gridCol w:w="1947"/>
        <w:gridCol w:w="313"/>
      </w:tblGrid>
      <w:tr w14:paraId="233AF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1" w:hRule="atLeast"/>
        </w:trPr>
        <w:tc>
          <w:tcPr>
            <w:tcW w:w="605" w:type="dxa"/>
            <w:vMerge w:val="restart"/>
            <w:tcBorders>
              <w:top w:val="single" w:color="000000" w:sz="6" w:space="0"/>
              <w:left w:val="single" w:color="000000" w:sz="6" w:space="0"/>
              <w:bottom w:val="nil"/>
            </w:tcBorders>
            <w:vAlign w:val="top"/>
          </w:tcPr>
          <w:p w14:paraId="3014E253">
            <w:pPr>
              <w:rPr>
                <w:rFonts w:ascii="Arial"/>
                <w:sz w:val="21"/>
              </w:rPr>
            </w:pPr>
          </w:p>
        </w:tc>
        <w:tc>
          <w:tcPr>
            <w:tcW w:w="8380" w:type="dxa"/>
            <w:gridSpan w:val="6"/>
            <w:tcBorders>
              <w:top w:val="single" w:color="000000" w:sz="6" w:space="0"/>
              <w:right w:val="single" w:color="000000" w:sz="6" w:space="0"/>
            </w:tcBorders>
            <w:vAlign w:val="top"/>
          </w:tcPr>
          <w:p w14:paraId="46CCF38E">
            <w:pPr>
              <w:pStyle w:val="6"/>
              <w:spacing w:before="41" w:line="359" w:lineRule="auto"/>
              <w:ind w:left="107" w:right="101" w:firstLine="480"/>
              <w:jc w:val="both"/>
            </w:pPr>
            <w:r>
              <w:rPr>
                <w:spacing w:val="-1"/>
              </w:rPr>
              <w:t>根据《污染源源强核算技术指南 准则》（</w:t>
            </w:r>
            <w:r>
              <w:rPr>
                <w:rFonts w:ascii="Times New Roman" w:hAnsi="Times New Roman" w:eastAsia="Times New Roman" w:cs="Times New Roman"/>
                <w:spacing w:val="-1"/>
              </w:rPr>
              <w:t>HJ884</w:t>
            </w:r>
            <w:r>
              <w:rPr>
                <w:spacing w:val="-1"/>
              </w:rPr>
              <w:t>—</w:t>
            </w:r>
            <w:r>
              <w:rPr>
                <w:rFonts w:ascii="Times New Roman" w:hAnsi="Times New Roman" w:eastAsia="Times New Roman" w:cs="Times New Roman"/>
                <w:spacing w:val="-1"/>
              </w:rPr>
              <w:t>2018</w:t>
            </w:r>
            <w:r>
              <w:rPr>
                <w:spacing w:val="2"/>
              </w:rPr>
              <w:t>），</w:t>
            </w:r>
            <w:r>
              <w:rPr>
                <w:spacing w:val="-1"/>
              </w:rPr>
              <w:t>污染源强核算</w:t>
            </w:r>
            <w:r>
              <w:rPr>
                <w:spacing w:val="1"/>
              </w:rPr>
              <w:t xml:space="preserve"> </w:t>
            </w:r>
            <w:r>
              <w:t xml:space="preserve">可采用实测法、物料衡算法、产污系数法、排放系数法、类比法、实验法等方 法。本项目的泡酸废水和原项目的泡酸废水水质相同，处理工艺增加了一级混 凝沉淀，因此本项目的废水的污染物浓度和处理后的出水浓度，参考原项目的 </w:t>
            </w:r>
            <w:r>
              <w:rPr>
                <w:spacing w:val="-1"/>
              </w:rPr>
              <w:t>检测结果，采用实测法。</w:t>
            </w:r>
          </w:p>
          <w:p w14:paraId="070D015C">
            <w:pPr>
              <w:pStyle w:val="6"/>
              <w:spacing w:before="1" w:line="384" w:lineRule="auto"/>
              <w:ind w:left="107" w:right="89" w:firstLine="460"/>
              <w:jc w:val="both"/>
            </w:pPr>
            <w:r>
              <w:rPr>
                <w:spacing w:val="-8"/>
              </w:rPr>
              <w:t>项目建设单位委托广东惠利通环境科技有限公司于</w:t>
            </w:r>
            <w:r>
              <w:rPr>
                <w:rFonts w:ascii="Times New Roman" w:hAnsi="Times New Roman" w:eastAsia="Times New Roman" w:cs="Times New Roman"/>
                <w:spacing w:val="-8"/>
              </w:rPr>
              <w:t xml:space="preserve">2025 </w:t>
            </w:r>
            <w:r>
              <w:rPr>
                <w:spacing w:val="-8"/>
              </w:rPr>
              <w:t>年</w:t>
            </w:r>
            <w:r>
              <w:rPr>
                <w:rFonts w:ascii="Times New Roman" w:hAnsi="Times New Roman" w:eastAsia="Times New Roman" w:cs="Times New Roman"/>
                <w:spacing w:val="-8"/>
              </w:rPr>
              <w:t xml:space="preserve">4 </w:t>
            </w:r>
            <w:r>
              <w:rPr>
                <w:spacing w:val="-8"/>
              </w:rPr>
              <w:t>月</w:t>
            </w:r>
            <w:r>
              <w:rPr>
                <w:rFonts w:ascii="Times New Roman" w:hAnsi="Times New Roman" w:eastAsia="Times New Roman" w:cs="Times New Roman"/>
                <w:spacing w:val="-8"/>
              </w:rPr>
              <w:t>26</w:t>
            </w:r>
            <w:r>
              <w:rPr>
                <w:rFonts w:ascii="Times New Roman" w:hAnsi="Times New Roman" w:eastAsia="Times New Roman" w:cs="Times New Roman"/>
                <w:spacing w:val="36"/>
              </w:rPr>
              <w:t xml:space="preserve"> </w:t>
            </w:r>
            <w:r>
              <w:rPr>
                <w:spacing w:val="-8"/>
              </w:rPr>
              <w:t>日对原项目</w:t>
            </w:r>
            <w:r>
              <w:t xml:space="preserve"> </w:t>
            </w:r>
            <w:r>
              <w:rPr>
                <w:spacing w:val="-12"/>
              </w:rPr>
              <w:t>废水站调节池内的泡酸废水进行取样检测（检测报告见</w:t>
            </w:r>
            <w:r>
              <w:rPr>
                <w:spacing w:val="-13"/>
              </w:rPr>
              <w:t>本报告附件</w:t>
            </w:r>
            <w:r>
              <w:rPr>
                <w:spacing w:val="-25"/>
              </w:rPr>
              <w:t>），</w:t>
            </w:r>
            <w:r>
              <w:rPr>
                <w:spacing w:val="-13"/>
              </w:rPr>
              <w:t>检测得泡酸</w:t>
            </w:r>
            <w:r>
              <w:t xml:space="preserve"> </w:t>
            </w:r>
            <w:r>
              <w:rPr>
                <w:spacing w:val="-11"/>
              </w:rPr>
              <w:t>废水的污染物源强为：</w:t>
            </w:r>
          </w:p>
          <w:p w14:paraId="344430E4">
            <w:pPr>
              <w:pStyle w:val="6"/>
              <w:spacing w:before="113" w:line="219" w:lineRule="auto"/>
              <w:ind w:left="2495"/>
            </w:pPr>
            <w:r>
              <w:rPr>
                <w:b/>
                <w:bCs/>
                <w:spacing w:val="-2"/>
              </w:rPr>
              <w:t>表</w:t>
            </w:r>
            <w:r>
              <w:rPr>
                <w:spacing w:val="-48"/>
              </w:rPr>
              <w:t xml:space="preserve"> </w:t>
            </w:r>
            <w:r>
              <w:rPr>
                <w:rFonts w:ascii="Times New Roman" w:hAnsi="Times New Roman" w:eastAsia="Times New Roman" w:cs="Times New Roman"/>
                <w:b/>
                <w:bCs/>
                <w:spacing w:val="-2"/>
              </w:rPr>
              <w:t xml:space="preserve">4-17    </w:t>
            </w:r>
            <w:r>
              <w:rPr>
                <w:b/>
                <w:bCs/>
                <w:spacing w:val="-2"/>
              </w:rPr>
              <w:t>泡酸废水各污染物源强</w:t>
            </w:r>
          </w:p>
        </w:tc>
      </w:tr>
      <w:tr w14:paraId="50119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05" w:type="dxa"/>
            <w:vMerge w:val="continue"/>
            <w:tcBorders>
              <w:top w:val="nil"/>
              <w:left w:val="single" w:color="000000" w:sz="6" w:space="0"/>
              <w:bottom w:val="nil"/>
            </w:tcBorders>
            <w:vAlign w:val="top"/>
          </w:tcPr>
          <w:p w14:paraId="6E4C43F2">
            <w:pPr>
              <w:rPr>
                <w:rFonts w:ascii="Arial"/>
                <w:sz w:val="21"/>
              </w:rPr>
            </w:pPr>
          </w:p>
        </w:tc>
        <w:tc>
          <w:tcPr>
            <w:tcW w:w="302" w:type="dxa"/>
            <w:vMerge w:val="restart"/>
            <w:tcBorders>
              <w:top w:val="nil"/>
              <w:bottom w:val="nil"/>
            </w:tcBorders>
            <w:vAlign w:val="top"/>
          </w:tcPr>
          <w:p w14:paraId="348AF4E3">
            <w:pPr>
              <w:rPr>
                <w:rFonts w:ascii="Arial"/>
                <w:sz w:val="21"/>
              </w:rPr>
            </w:pPr>
          </w:p>
        </w:tc>
        <w:tc>
          <w:tcPr>
            <w:tcW w:w="1439" w:type="dxa"/>
            <w:vAlign w:val="top"/>
          </w:tcPr>
          <w:p w14:paraId="2B7154B2">
            <w:pPr>
              <w:pStyle w:val="6"/>
              <w:spacing w:before="117" w:line="227" w:lineRule="auto"/>
              <w:ind w:left="192"/>
              <w:rPr>
                <w:sz w:val="20"/>
                <w:szCs w:val="20"/>
              </w:rPr>
            </w:pPr>
            <w:r>
              <w:rPr>
                <w:spacing w:val="8"/>
                <w:sz w:val="20"/>
                <w:szCs w:val="20"/>
              </w:rPr>
              <w:t>采样点位置</w:t>
            </w:r>
          </w:p>
        </w:tc>
        <w:tc>
          <w:tcPr>
            <w:tcW w:w="2254" w:type="dxa"/>
            <w:vAlign w:val="top"/>
          </w:tcPr>
          <w:p w14:paraId="671E2743">
            <w:pPr>
              <w:pStyle w:val="6"/>
              <w:spacing w:before="117" w:line="228" w:lineRule="auto"/>
              <w:ind w:left="711"/>
              <w:rPr>
                <w:sz w:val="20"/>
                <w:szCs w:val="20"/>
              </w:rPr>
            </w:pPr>
            <w:r>
              <w:rPr>
                <w:spacing w:val="7"/>
                <w:sz w:val="20"/>
                <w:szCs w:val="20"/>
              </w:rPr>
              <w:t>监测项目</w:t>
            </w:r>
          </w:p>
        </w:tc>
        <w:tc>
          <w:tcPr>
            <w:tcW w:w="2125" w:type="dxa"/>
            <w:vAlign w:val="top"/>
          </w:tcPr>
          <w:p w14:paraId="435226E2">
            <w:pPr>
              <w:pStyle w:val="6"/>
              <w:spacing w:before="117" w:line="228" w:lineRule="auto"/>
              <w:ind w:left="650"/>
              <w:rPr>
                <w:sz w:val="20"/>
                <w:szCs w:val="20"/>
              </w:rPr>
            </w:pPr>
            <w:r>
              <w:rPr>
                <w:spacing w:val="7"/>
                <w:sz w:val="20"/>
                <w:szCs w:val="20"/>
              </w:rPr>
              <w:t>检测结果</w:t>
            </w:r>
          </w:p>
        </w:tc>
        <w:tc>
          <w:tcPr>
            <w:tcW w:w="1947" w:type="dxa"/>
            <w:vAlign w:val="top"/>
          </w:tcPr>
          <w:p w14:paraId="5762738E">
            <w:pPr>
              <w:pStyle w:val="6"/>
              <w:spacing w:before="117" w:line="228" w:lineRule="auto"/>
              <w:ind w:left="775"/>
              <w:rPr>
                <w:sz w:val="20"/>
                <w:szCs w:val="20"/>
              </w:rPr>
            </w:pPr>
            <w:r>
              <w:rPr>
                <w:spacing w:val="3"/>
                <w:sz w:val="20"/>
                <w:szCs w:val="20"/>
              </w:rPr>
              <w:t>单位</w:t>
            </w:r>
          </w:p>
        </w:tc>
        <w:tc>
          <w:tcPr>
            <w:tcW w:w="313" w:type="dxa"/>
            <w:vMerge w:val="restart"/>
            <w:tcBorders>
              <w:top w:val="nil"/>
              <w:bottom w:val="nil"/>
              <w:right w:val="single" w:color="000000" w:sz="6" w:space="0"/>
            </w:tcBorders>
            <w:vAlign w:val="top"/>
          </w:tcPr>
          <w:p w14:paraId="09ED1FBD">
            <w:pPr>
              <w:rPr>
                <w:rFonts w:ascii="Arial"/>
                <w:sz w:val="21"/>
              </w:rPr>
            </w:pPr>
          </w:p>
        </w:tc>
      </w:tr>
      <w:tr w14:paraId="22EFC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34EA99F0">
            <w:pPr>
              <w:rPr>
                <w:rFonts w:ascii="Arial"/>
                <w:sz w:val="21"/>
              </w:rPr>
            </w:pPr>
          </w:p>
        </w:tc>
        <w:tc>
          <w:tcPr>
            <w:tcW w:w="302" w:type="dxa"/>
            <w:vMerge w:val="continue"/>
            <w:tcBorders>
              <w:top w:val="nil"/>
              <w:bottom w:val="nil"/>
            </w:tcBorders>
            <w:vAlign w:val="top"/>
          </w:tcPr>
          <w:p w14:paraId="15BD4D34">
            <w:pPr>
              <w:rPr>
                <w:rFonts w:ascii="Arial"/>
                <w:sz w:val="21"/>
              </w:rPr>
            </w:pPr>
          </w:p>
        </w:tc>
        <w:tc>
          <w:tcPr>
            <w:tcW w:w="1439" w:type="dxa"/>
            <w:vMerge w:val="restart"/>
            <w:tcBorders>
              <w:bottom w:val="nil"/>
            </w:tcBorders>
            <w:vAlign w:val="top"/>
          </w:tcPr>
          <w:p w14:paraId="7D048E5B">
            <w:pPr>
              <w:spacing w:line="244" w:lineRule="auto"/>
              <w:rPr>
                <w:rFonts w:ascii="Arial"/>
                <w:sz w:val="21"/>
              </w:rPr>
            </w:pPr>
          </w:p>
          <w:p w14:paraId="43DB6119">
            <w:pPr>
              <w:spacing w:line="244" w:lineRule="auto"/>
              <w:rPr>
                <w:rFonts w:ascii="Arial"/>
                <w:sz w:val="21"/>
              </w:rPr>
            </w:pPr>
          </w:p>
          <w:p w14:paraId="31DC6B22">
            <w:pPr>
              <w:spacing w:line="244" w:lineRule="auto"/>
              <w:rPr>
                <w:rFonts w:ascii="Arial"/>
                <w:sz w:val="21"/>
              </w:rPr>
            </w:pPr>
          </w:p>
          <w:p w14:paraId="3250DFB2">
            <w:pPr>
              <w:spacing w:line="244" w:lineRule="auto"/>
              <w:rPr>
                <w:rFonts w:ascii="Arial"/>
                <w:sz w:val="21"/>
              </w:rPr>
            </w:pPr>
          </w:p>
          <w:p w14:paraId="1D9D2610">
            <w:pPr>
              <w:spacing w:line="244" w:lineRule="auto"/>
              <w:rPr>
                <w:rFonts w:ascii="Arial"/>
                <w:sz w:val="21"/>
              </w:rPr>
            </w:pPr>
          </w:p>
          <w:p w14:paraId="41F4940B">
            <w:pPr>
              <w:spacing w:line="244" w:lineRule="auto"/>
              <w:rPr>
                <w:rFonts w:ascii="Arial"/>
                <w:sz w:val="21"/>
              </w:rPr>
            </w:pPr>
          </w:p>
          <w:p w14:paraId="6730BBBD">
            <w:pPr>
              <w:spacing w:line="244" w:lineRule="auto"/>
              <w:rPr>
                <w:rFonts w:ascii="Arial"/>
                <w:sz w:val="21"/>
              </w:rPr>
            </w:pPr>
          </w:p>
          <w:p w14:paraId="2FC1EC84">
            <w:pPr>
              <w:spacing w:line="244" w:lineRule="auto"/>
              <w:rPr>
                <w:rFonts w:ascii="Arial"/>
                <w:sz w:val="21"/>
              </w:rPr>
            </w:pPr>
          </w:p>
          <w:p w14:paraId="7C7DFC06">
            <w:pPr>
              <w:spacing w:line="244" w:lineRule="auto"/>
              <w:rPr>
                <w:rFonts w:ascii="Arial"/>
                <w:sz w:val="21"/>
              </w:rPr>
            </w:pPr>
          </w:p>
          <w:p w14:paraId="49AB1E2F">
            <w:pPr>
              <w:spacing w:line="244" w:lineRule="auto"/>
              <w:rPr>
                <w:rFonts w:ascii="Arial"/>
                <w:sz w:val="21"/>
              </w:rPr>
            </w:pPr>
          </w:p>
          <w:p w14:paraId="41D5C740">
            <w:pPr>
              <w:spacing w:line="244" w:lineRule="auto"/>
              <w:rPr>
                <w:rFonts w:ascii="Arial"/>
                <w:sz w:val="21"/>
              </w:rPr>
            </w:pPr>
          </w:p>
          <w:p w14:paraId="6E8A9A75">
            <w:pPr>
              <w:spacing w:line="244" w:lineRule="auto"/>
              <w:rPr>
                <w:rFonts w:ascii="Arial"/>
                <w:sz w:val="21"/>
              </w:rPr>
            </w:pPr>
          </w:p>
          <w:p w14:paraId="24D28F0E">
            <w:pPr>
              <w:spacing w:line="244" w:lineRule="auto"/>
              <w:rPr>
                <w:rFonts w:ascii="Arial"/>
                <w:sz w:val="21"/>
              </w:rPr>
            </w:pPr>
          </w:p>
          <w:p w14:paraId="3C91C2B1">
            <w:pPr>
              <w:spacing w:line="244" w:lineRule="auto"/>
              <w:rPr>
                <w:rFonts w:ascii="Arial"/>
                <w:sz w:val="21"/>
              </w:rPr>
            </w:pPr>
          </w:p>
          <w:p w14:paraId="27EF0BC2">
            <w:pPr>
              <w:spacing w:line="244" w:lineRule="auto"/>
              <w:rPr>
                <w:rFonts w:ascii="Arial"/>
                <w:sz w:val="21"/>
              </w:rPr>
            </w:pPr>
          </w:p>
          <w:p w14:paraId="42A7D21B">
            <w:pPr>
              <w:spacing w:line="245" w:lineRule="auto"/>
              <w:rPr>
                <w:rFonts w:ascii="Arial"/>
                <w:sz w:val="21"/>
              </w:rPr>
            </w:pPr>
          </w:p>
          <w:p w14:paraId="455A03C7">
            <w:pPr>
              <w:pStyle w:val="6"/>
              <w:spacing w:before="66" w:line="228" w:lineRule="auto"/>
              <w:ind w:left="89"/>
              <w:rPr>
                <w:sz w:val="20"/>
                <w:szCs w:val="20"/>
              </w:rPr>
            </w:pPr>
            <w:r>
              <w:rPr>
                <w:spacing w:val="8"/>
                <w:sz w:val="20"/>
                <w:szCs w:val="20"/>
              </w:rPr>
              <w:t>废水站调节池</w:t>
            </w:r>
          </w:p>
        </w:tc>
        <w:tc>
          <w:tcPr>
            <w:tcW w:w="2254" w:type="dxa"/>
            <w:vAlign w:val="top"/>
          </w:tcPr>
          <w:p w14:paraId="15E14E3B">
            <w:pPr>
              <w:pStyle w:val="6"/>
              <w:spacing w:before="94" w:line="188" w:lineRule="auto"/>
              <w:ind w:left="1022"/>
              <w:rPr>
                <w:sz w:val="20"/>
                <w:szCs w:val="20"/>
              </w:rPr>
            </w:pPr>
            <w:r>
              <w:rPr>
                <w:spacing w:val="2"/>
                <w:sz w:val="20"/>
                <w:szCs w:val="20"/>
              </w:rPr>
              <w:t>pH</w:t>
            </w:r>
          </w:p>
        </w:tc>
        <w:tc>
          <w:tcPr>
            <w:tcW w:w="2125" w:type="dxa"/>
            <w:vAlign w:val="top"/>
          </w:tcPr>
          <w:p w14:paraId="27532821">
            <w:pPr>
              <w:pStyle w:val="6"/>
              <w:spacing w:before="59" w:line="233" w:lineRule="auto"/>
              <w:ind w:left="914"/>
              <w:rPr>
                <w:sz w:val="20"/>
                <w:szCs w:val="20"/>
              </w:rPr>
            </w:pPr>
            <w:r>
              <w:rPr>
                <w:spacing w:val="1"/>
                <w:sz w:val="20"/>
                <w:szCs w:val="20"/>
              </w:rPr>
              <w:t>2.4</w:t>
            </w:r>
          </w:p>
        </w:tc>
        <w:tc>
          <w:tcPr>
            <w:tcW w:w="1947" w:type="dxa"/>
            <w:vAlign w:val="top"/>
          </w:tcPr>
          <w:p w14:paraId="217230D6">
            <w:pPr>
              <w:pStyle w:val="6"/>
              <w:spacing w:before="59" w:line="228" w:lineRule="auto"/>
              <w:ind w:left="670"/>
              <w:rPr>
                <w:sz w:val="20"/>
                <w:szCs w:val="20"/>
              </w:rPr>
            </w:pPr>
            <w:r>
              <w:rPr>
                <w:spacing w:val="6"/>
                <w:sz w:val="20"/>
                <w:szCs w:val="20"/>
              </w:rPr>
              <w:t>无量纲</w:t>
            </w:r>
          </w:p>
        </w:tc>
        <w:tc>
          <w:tcPr>
            <w:tcW w:w="313" w:type="dxa"/>
            <w:vMerge w:val="continue"/>
            <w:tcBorders>
              <w:top w:val="nil"/>
              <w:bottom w:val="nil"/>
              <w:right w:val="single" w:color="000000" w:sz="6" w:space="0"/>
            </w:tcBorders>
            <w:vAlign w:val="top"/>
          </w:tcPr>
          <w:p w14:paraId="177241F4">
            <w:pPr>
              <w:rPr>
                <w:rFonts w:ascii="Arial"/>
                <w:sz w:val="21"/>
              </w:rPr>
            </w:pPr>
          </w:p>
        </w:tc>
      </w:tr>
      <w:tr w14:paraId="1F840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692F8C70">
            <w:pPr>
              <w:rPr>
                <w:rFonts w:ascii="Arial"/>
                <w:sz w:val="21"/>
              </w:rPr>
            </w:pPr>
          </w:p>
        </w:tc>
        <w:tc>
          <w:tcPr>
            <w:tcW w:w="302" w:type="dxa"/>
            <w:vMerge w:val="continue"/>
            <w:tcBorders>
              <w:top w:val="nil"/>
              <w:bottom w:val="nil"/>
            </w:tcBorders>
            <w:vAlign w:val="top"/>
          </w:tcPr>
          <w:p w14:paraId="310380F3">
            <w:pPr>
              <w:rPr>
                <w:rFonts w:ascii="Arial"/>
                <w:sz w:val="21"/>
              </w:rPr>
            </w:pPr>
          </w:p>
        </w:tc>
        <w:tc>
          <w:tcPr>
            <w:tcW w:w="1439" w:type="dxa"/>
            <w:vMerge w:val="continue"/>
            <w:tcBorders>
              <w:top w:val="nil"/>
              <w:bottom w:val="nil"/>
            </w:tcBorders>
            <w:vAlign w:val="top"/>
          </w:tcPr>
          <w:p w14:paraId="7E63D036">
            <w:pPr>
              <w:rPr>
                <w:rFonts w:ascii="Arial"/>
                <w:sz w:val="21"/>
              </w:rPr>
            </w:pPr>
          </w:p>
        </w:tc>
        <w:tc>
          <w:tcPr>
            <w:tcW w:w="2254" w:type="dxa"/>
            <w:vAlign w:val="top"/>
          </w:tcPr>
          <w:p w14:paraId="7C115597">
            <w:pPr>
              <w:pStyle w:val="6"/>
              <w:spacing w:before="61" w:line="228" w:lineRule="auto"/>
              <w:ind w:left="922"/>
              <w:rPr>
                <w:sz w:val="20"/>
                <w:szCs w:val="20"/>
              </w:rPr>
            </w:pPr>
            <w:r>
              <w:rPr>
                <w:spacing w:val="3"/>
                <w:sz w:val="20"/>
                <w:szCs w:val="20"/>
              </w:rPr>
              <w:t>色度</w:t>
            </w:r>
          </w:p>
        </w:tc>
        <w:tc>
          <w:tcPr>
            <w:tcW w:w="2125" w:type="dxa"/>
            <w:vAlign w:val="top"/>
          </w:tcPr>
          <w:p w14:paraId="1010393C">
            <w:pPr>
              <w:pStyle w:val="6"/>
              <w:spacing w:before="61" w:line="231" w:lineRule="auto"/>
              <w:ind w:left="1020"/>
              <w:rPr>
                <w:sz w:val="20"/>
                <w:szCs w:val="20"/>
              </w:rPr>
            </w:pPr>
            <w:r>
              <w:rPr>
                <w:sz w:val="20"/>
                <w:szCs w:val="20"/>
              </w:rPr>
              <w:t>2</w:t>
            </w:r>
          </w:p>
        </w:tc>
        <w:tc>
          <w:tcPr>
            <w:tcW w:w="1947" w:type="dxa"/>
            <w:vAlign w:val="top"/>
          </w:tcPr>
          <w:p w14:paraId="5A9797E0">
            <w:pPr>
              <w:pStyle w:val="6"/>
              <w:spacing w:before="61" w:line="228" w:lineRule="auto"/>
              <w:ind w:left="879"/>
              <w:rPr>
                <w:sz w:val="20"/>
                <w:szCs w:val="20"/>
              </w:rPr>
            </w:pPr>
            <w:r>
              <w:rPr>
                <w:sz w:val="20"/>
                <w:szCs w:val="20"/>
              </w:rPr>
              <w:t>倍</w:t>
            </w:r>
          </w:p>
        </w:tc>
        <w:tc>
          <w:tcPr>
            <w:tcW w:w="313" w:type="dxa"/>
            <w:vMerge w:val="continue"/>
            <w:tcBorders>
              <w:top w:val="nil"/>
              <w:bottom w:val="nil"/>
              <w:right w:val="single" w:color="000000" w:sz="6" w:space="0"/>
            </w:tcBorders>
            <w:vAlign w:val="top"/>
          </w:tcPr>
          <w:p w14:paraId="455971BC">
            <w:pPr>
              <w:rPr>
                <w:rFonts w:ascii="Arial"/>
                <w:sz w:val="21"/>
              </w:rPr>
            </w:pPr>
          </w:p>
        </w:tc>
      </w:tr>
      <w:tr w14:paraId="66E92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2F224D59">
            <w:pPr>
              <w:rPr>
                <w:rFonts w:ascii="Arial"/>
                <w:sz w:val="21"/>
              </w:rPr>
            </w:pPr>
          </w:p>
        </w:tc>
        <w:tc>
          <w:tcPr>
            <w:tcW w:w="302" w:type="dxa"/>
            <w:vMerge w:val="continue"/>
            <w:tcBorders>
              <w:top w:val="nil"/>
              <w:bottom w:val="nil"/>
            </w:tcBorders>
            <w:vAlign w:val="top"/>
          </w:tcPr>
          <w:p w14:paraId="3F8FB535">
            <w:pPr>
              <w:rPr>
                <w:rFonts w:ascii="Arial"/>
                <w:sz w:val="21"/>
              </w:rPr>
            </w:pPr>
          </w:p>
        </w:tc>
        <w:tc>
          <w:tcPr>
            <w:tcW w:w="1439" w:type="dxa"/>
            <w:vMerge w:val="continue"/>
            <w:tcBorders>
              <w:top w:val="nil"/>
              <w:bottom w:val="nil"/>
            </w:tcBorders>
            <w:vAlign w:val="top"/>
          </w:tcPr>
          <w:p w14:paraId="35BC8DB5">
            <w:pPr>
              <w:rPr>
                <w:rFonts w:ascii="Arial"/>
                <w:sz w:val="21"/>
              </w:rPr>
            </w:pPr>
          </w:p>
        </w:tc>
        <w:tc>
          <w:tcPr>
            <w:tcW w:w="2254" w:type="dxa"/>
            <w:vAlign w:val="top"/>
          </w:tcPr>
          <w:p w14:paraId="173D3CD8">
            <w:pPr>
              <w:pStyle w:val="6"/>
              <w:spacing w:before="93" w:line="189" w:lineRule="auto"/>
              <w:ind w:left="1025"/>
              <w:rPr>
                <w:sz w:val="20"/>
                <w:szCs w:val="20"/>
              </w:rPr>
            </w:pPr>
            <w:r>
              <w:rPr>
                <w:sz w:val="20"/>
                <w:szCs w:val="20"/>
              </w:rPr>
              <w:t>SS</w:t>
            </w:r>
          </w:p>
        </w:tc>
        <w:tc>
          <w:tcPr>
            <w:tcW w:w="2125" w:type="dxa"/>
            <w:vAlign w:val="top"/>
          </w:tcPr>
          <w:p w14:paraId="20900E3B">
            <w:pPr>
              <w:pStyle w:val="6"/>
              <w:spacing w:before="60" w:line="232" w:lineRule="auto"/>
              <w:ind w:left="980"/>
              <w:rPr>
                <w:sz w:val="20"/>
                <w:szCs w:val="20"/>
              </w:rPr>
            </w:pPr>
            <w:r>
              <w:rPr>
                <w:spacing w:val="-7"/>
                <w:sz w:val="20"/>
                <w:szCs w:val="20"/>
              </w:rPr>
              <w:t>15</w:t>
            </w:r>
          </w:p>
        </w:tc>
        <w:tc>
          <w:tcPr>
            <w:tcW w:w="1947" w:type="dxa"/>
            <w:vAlign w:val="top"/>
          </w:tcPr>
          <w:p w14:paraId="459E3CA5">
            <w:pPr>
              <w:pStyle w:val="6"/>
              <w:spacing w:before="60"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15D7BA75">
            <w:pPr>
              <w:rPr>
                <w:rFonts w:ascii="Arial"/>
                <w:sz w:val="21"/>
              </w:rPr>
            </w:pPr>
          </w:p>
        </w:tc>
      </w:tr>
      <w:tr w14:paraId="2833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7C4332D0">
            <w:pPr>
              <w:rPr>
                <w:rFonts w:ascii="Arial"/>
                <w:sz w:val="21"/>
              </w:rPr>
            </w:pPr>
          </w:p>
        </w:tc>
        <w:tc>
          <w:tcPr>
            <w:tcW w:w="302" w:type="dxa"/>
            <w:vMerge w:val="continue"/>
            <w:tcBorders>
              <w:top w:val="nil"/>
              <w:bottom w:val="nil"/>
            </w:tcBorders>
            <w:vAlign w:val="top"/>
          </w:tcPr>
          <w:p w14:paraId="00CBD1D8">
            <w:pPr>
              <w:rPr>
                <w:rFonts w:ascii="Arial"/>
                <w:sz w:val="21"/>
              </w:rPr>
            </w:pPr>
          </w:p>
        </w:tc>
        <w:tc>
          <w:tcPr>
            <w:tcW w:w="1439" w:type="dxa"/>
            <w:vMerge w:val="continue"/>
            <w:tcBorders>
              <w:top w:val="nil"/>
              <w:bottom w:val="nil"/>
            </w:tcBorders>
            <w:vAlign w:val="top"/>
          </w:tcPr>
          <w:p w14:paraId="1FD870FF">
            <w:pPr>
              <w:rPr>
                <w:rFonts w:ascii="Arial"/>
                <w:sz w:val="21"/>
              </w:rPr>
            </w:pPr>
          </w:p>
        </w:tc>
        <w:tc>
          <w:tcPr>
            <w:tcW w:w="2254" w:type="dxa"/>
            <w:vAlign w:val="top"/>
          </w:tcPr>
          <w:p w14:paraId="14FE7DFB">
            <w:pPr>
              <w:pStyle w:val="6"/>
              <w:spacing w:before="95" w:line="201" w:lineRule="auto"/>
              <w:ind w:left="941"/>
              <w:rPr>
                <w:sz w:val="10"/>
                <w:szCs w:val="10"/>
              </w:rPr>
            </w:pPr>
            <w:r>
              <w:rPr>
                <w:spacing w:val="4"/>
                <w:sz w:val="20"/>
                <w:szCs w:val="20"/>
              </w:rPr>
              <w:t>BOD</w:t>
            </w:r>
            <w:r>
              <w:rPr>
                <w:spacing w:val="4"/>
                <w:position w:val="-2"/>
                <w:sz w:val="10"/>
                <w:szCs w:val="10"/>
              </w:rPr>
              <w:t>5</w:t>
            </w:r>
          </w:p>
        </w:tc>
        <w:tc>
          <w:tcPr>
            <w:tcW w:w="2125" w:type="dxa"/>
            <w:vAlign w:val="top"/>
          </w:tcPr>
          <w:p w14:paraId="60162FA4">
            <w:pPr>
              <w:pStyle w:val="6"/>
              <w:spacing w:before="62" w:line="231" w:lineRule="auto"/>
              <w:ind w:left="861"/>
              <w:rPr>
                <w:sz w:val="20"/>
                <w:szCs w:val="20"/>
              </w:rPr>
            </w:pPr>
            <w:r>
              <w:rPr>
                <w:spacing w:val="2"/>
                <w:sz w:val="20"/>
                <w:szCs w:val="20"/>
              </w:rPr>
              <w:t>22.2</w:t>
            </w:r>
          </w:p>
        </w:tc>
        <w:tc>
          <w:tcPr>
            <w:tcW w:w="1947" w:type="dxa"/>
            <w:vAlign w:val="top"/>
          </w:tcPr>
          <w:p w14:paraId="79854D14">
            <w:pPr>
              <w:pStyle w:val="6"/>
              <w:spacing w:before="62"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53D4674E">
            <w:pPr>
              <w:rPr>
                <w:rFonts w:ascii="Arial"/>
                <w:sz w:val="21"/>
              </w:rPr>
            </w:pPr>
          </w:p>
        </w:tc>
      </w:tr>
      <w:tr w14:paraId="19FE3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5CE7A31F">
            <w:pPr>
              <w:rPr>
                <w:rFonts w:ascii="Arial"/>
                <w:sz w:val="21"/>
              </w:rPr>
            </w:pPr>
          </w:p>
        </w:tc>
        <w:tc>
          <w:tcPr>
            <w:tcW w:w="302" w:type="dxa"/>
            <w:vMerge w:val="continue"/>
            <w:tcBorders>
              <w:top w:val="nil"/>
              <w:bottom w:val="nil"/>
            </w:tcBorders>
            <w:vAlign w:val="top"/>
          </w:tcPr>
          <w:p w14:paraId="381D0ADC">
            <w:pPr>
              <w:rPr>
                <w:rFonts w:ascii="Arial"/>
                <w:sz w:val="21"/>
              </w:rPr>
            </w:pPr>
          </w:p>
        </w:tc>
        <w:tc>
          <w:tcPr>
            <w:tcW w:w="1439" w:type="dxa"/>
            <w:vMerge w:val="continue"/>
            <w:tcBorders>
              <w:top w:val="nil"/>
              <w:bottom w:val="nil"/>
            </w:tcBorders>
            <w:vAlign w:val="top"/>
          </w:tcPr>
          <w:p w14:paraId="56F912A4">
            <w:pPr>
              <w:rPr>
                <w:rFonts w:ascii="Arial"/>
                <w:sz w:val="21"/>
              </w:rPr>
            </w:pPr>
          </w:p>
        </w:tc>
        <w:tc>
          <w:tcPr>
            <w:tcW w:w="2254" w:type="dxa"/>
            <w:vAlign w:val="top"/>
          </w:tcPr>
          <w:p w14:paraId="342BEFD0">
            <w:pPr>
              <w:pStyle w:val="6"/>
              <w:spacing w:before="96" w:line="199" w:lineRule="auto"/>
              <w:ind w:left="917"/>
              <w:rPr>
                <w:sz w:val="10"/>
                <w:szCs w:val="10"/>
              </w:rPr>
            </w:pPr>
            <w:r>
              <w:rPr>
                <w:spacing w:val="3"/>
                <w:sz w:val="20"/>
                <w:szCs w:val="20"/>
              </w:rPr>
              <w:t>COD</w:t>
            </w:r>
            <w:r>
              <w:rPr>
                <w:spacing w:val="3"/>
                <w:position w:val="-2"/>
                <w:sz w:val="10"/>
                <w:szCs w:val="10"/>
              </w:rPr>
              <w:t>Cr</w:t>
            </w:r>
          </w:p>
        </w:tc>
        <w:tc>
          <w:tcPr>
            <w:tcW w:w="2125" w:type="dxa"/>
            <w:vAlign w:val="top"/>
          </w:tcPr>
          <w:p w14:paraId="31D26658">
            <w:pPr>
              <w:pStyle w:val="6"/>
              <w:spacing w:before="62" w:line="231" w:lineRule="auto"/>
              <w:ind w:left="969"/>
              <w:rPr>
                <w:sz w:val="20"/>
                <w:szCs w:val="20"/>
              </w:rPr>
            </w:pPr>
            <w:r>
              <w:rPr>
                <w:spacing w:val="-2"/>
                <w:sz w:val="20"/>
                <w:szCs w:val="20"/>
              </w:rPr>
              <w:t>78</w:t>
            </w:r>
          </w:p>
        </w:tc>
        <w:tc>
          <w:tcPr>
            <w:tcW w:w="1947" w:type="dxa"/>
            <w:vAlign w:val="top"/>
          </w:tcPr>
          <w:p w14:paraId="427FF5F7">
            <w:pPr>
              <w:pStyle w:val="6"/>
              <w:spacing w:before="63"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7432730D">
            <w:pPr>
              <w:rPr>
                <w:rFonts w:ascii="Arial"/>
                <w:sz w:val="21"/>
              </w:rPr>
            </w:pPr>
          </w:p>
        </w:tc>
      </w:tr>
      <w:tr w14:paraId="6D8D2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0E73C8F6">
            <w:pPr>
              <w:rPr>
                <w:rFonts w:ascii="Arial"/>
                <w:sz w:val="21"/>
              </w:rPr>
            </w:pPr>
          </w:p>
        </w:tc>
        <w:tc>
          <w:tcPr>
            <w:tcW w:w="302" w:type="dxa"/>
            <w:vMerge w:val="continue"/>
            <w:tcBorders>
              <w:top w:val="nil"/>
              <w:bottom w:val="nil"/>
            </w:tcBorders>
            <w:vAlign w:val="top"/>
          </w:tcPr>
          <w:p w14:paraId="5F07E447">
            <w:pPr>
              <w:rPr>
                <w:rFonts w:ascii="Arial"/>
                <w:sz w:val="21"/>
              </w:rPr>
            </w:pPr>
          </w:p>
        </w:tc>
        <w:tc>
          <w:tcPr>
            <w:tcW w:w="1439" w:type="dxa"/>
            <w:vMerge w:val="continue"/>
            <w:tcBorders>
              <w:top w:val="nil"/>
              <w:bottom w:val="nil"/>
            </w:tcBorders>
            <w:vAlign w:val="top"/>
          </w:tcPr>
          <w:p w14:paraId="52439C9E">
            <w:pPr>
              <w:rPr>
                <w:rFonts w:ascii="Arial"/>
                <w:sz w:val="21"/>
              </w:rPr>
            </w:pPr>
          </w:p>
        </w:tc>
        <w:tc>
          <w:tcPr>
            <w:tcW w:w="2254" w:type="dxa"/>
            <w:vAlign w:val="top"/>
          </w:tcPr>
          <w:p w14:paraId="505881B4">
            <w:pPr>
              <w:pStyle w:val="6"/>
              <w:spacing w:before="61" w:line="229" w:lineRule="auto"/>
              <w:ind w:left="815"/>
              <w:rPr>
                <w:sz w:val="20"/>
                <w:szCs w:val="20"/>
              </w:rPr>
            </w:pPr>
            <w:r>
              <w:rPr>
                <w:spacing w:val="7"/>
                <w:sz w:val="20"/>
                <w:szCs w:val="20"/>
              </w:rPr>
              <w:t>硫化物</w:t>
            </w:r>
          </w:p>
        </w:tc>
        <w:tc>
          <w:tcPr>
            <w:tcW w:w="2125" w:type="dxa"/>
            <w:vAlign w:val="top"/>
          </w:tcPr>
          <w:p w14:paraId="21B4FB4E">
            <w:pPr>
              <w:pStyle w:val="6"/>
              <w:spacing w:before="61" w:line="232" w:lineRule="auto"/>
              <w:ind w:left="860"/>
              <w:rPr>
                <w:sz w:val="20"/>
                <w:szCs w:val="20"/>
              </w:rPr>
            </w:pPr>
            <w:r>
              <w:rPr>
                <w:spacing w:val="2"/>
                <w:sz w:val="20"/>
                <w:szCs w:val="20"/>
              </w:rPr>
              <w:t>0.01</w:t>
            </w:r>
          </w:p>
        </w:tc>
        <w:tc>
          <w:tcPr>
            <w:tcW w:w="1947" w:type="dxa"/>
            <w:vAlign w:val="top"/>
          </w:tcPr>
          <w:p w14:paraId="7D81E738">
            <w:pPr>
              <w:pStyle w:val="6"/>
              <w:spacing w:before="61"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2BFEE9BC">
            <w:pPr>
              <w:rPr>
                <w:rFonts w:ascii="Arial"/>
                <w:sz w:val="21"/>
              </w:rPr>
            </w:pPr>
          </w:p>
        </w:tc>
      </w:tr>
      <w:tr w14:paraId="05229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04C0124E">
            <w:pPr>
              <w:rPr>
                <w:rFonts w:ascii="Arial"/>
                <w:sz w:val="21"/>
              </w:rPr>
            </w:pPr>
          </w:p>
        </w:tc>
        <w:tc>
          <w:tcPr>
            <w:tcW w:w="302" w:type="dxa"/>
            <w:vMerge w:val="continue"/>
            <w:tcBorders>
              <w:top w:val="nil"/>
              <w:bottom w:val="nil"/>
            </w:tcBorders>
            <w:vAlign w:val="top"/>
          </w:tcPr>
          <w:p w14:paraId="6F6F8FF1">
            <w:pPr>
              <w:rPr>
                <w:rFonts w:ascii="Arial"/>
                <w:sz w:val="21"/>
              </w:rPr>
            </w:pPr>
          </w:p>
        </w:tc>
        <w:tc>
          <w:tcPr>
            <w:tcW w:w="1439" w:type="dxa"/>
            <w:vMerge w:val="continue"/>
            <w:tcBorders>
              <w:top w:val="nil"/>
              <w:bottom w:val="nil"/>
            </w:tcBorders>
            <w:vAlign w:val="top"/>
          </w:tcPr>
          <w:p w14:paraId="0E84C1DD">
            <w:pPr>
              <w:rPr>
                <w:rFonts w:ascii="Arial"/>
                <w:sz w:val="21"/>
              </w:rPr>
            </w:pPr>
          </w:p>
        </w:tc>
        <w:tc>
          <w:tcPr>
            <w:tcW w:w="2254" w:type="dxa"/>
            <w:vAlign w:val="top"/>
          </w:tcPr>
          <w:p w14:paraId="72BAE2C8">
            <w:pPr>
              <w:pStyle w:val="6"/>
              <w:spacing w:before="62" w:line="228" w:lineRule="auto"/>
              <w:ind w:left="817"/>
              <w:rPr>
                <w:sz w:val="20"/>
                <w:szCs w:val="20"/>
              </w:rPr>
            </w:pPr>
            <w:r>
              <w:rPr>
                <w:spacing w:val="6"/>
                <w:sz w:val="20"/>
                <w:szCs w:val="20"/>
              </w:rPr>
              <w:t>氟化物</w:t>
            </w:r>
          </w:p>
        </w:tc>
        <w:tc>
          <w:tcPr>
            <w:tcW w:w="2125" w:type="dxa"/>
            <w:vAlign w:val="top"/>
          </w:tcPr>
          <w:p w14:paraId="7F07CE8D">
            <w:pPr>
              <w:pStyle w:val="6"/>
              <w:spacing w:before="62" w:line="231" w:lineRule="auto"/>
              <w:ind w:left="859"/>
              <w:rPr>
                <w:sz w:val="20"/>
                <w:szCs w:val="20"/>
              </w:rPr>
            </w:pPr>
            <w:r>
              <w:rPr>
                <w:spacing w:val="3"/>
                <w:sz w:val="20"/>
                <w:szCs w:val="20"/>
              </w:rPr>
              <w:t>92.1</w:t>
            </w:r>
          </w:p>
        </w:tc>
        <w:tc>
          <w:tcPr>
            <w:tcW w:w="1947" w:type="dxa"/>
            <w:vAlign w:val="top"/>
          </w:tcPr>
          <w:p w14:paraId="2695C9C7">
            <w:pPr>
              <w:pStyle w:val="6"/>
              <w:spacing w:before="62"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097D1043">
            <w:pPr>
              <w:rPr>
                <w:rFonts w:ascii="Arial"/>
                <w:sz w:val="21"/>
              </w:rPr>
            </w:pPr>
          </w:p>
        </w:tc>
      </w:tr>
      <w:tr w14:paraId="43122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153095AB">
            <w:pPr>
              <w:rPr>
                <w:rFonts w:ascii="Arial"/>
                <w:sz w:val="21"/>
              </w:rPr>
            </w:pPr>
          </w:p>
        </w:tc>
        <w:tc>
          <w:tcPr>
            <w:tcW w:w="302" w:type="dxa"/>
            <w:vMerge w:val="continue"/>
            <w:tcBorders>
              <w:top w:val="nil"/>
              <w:bottom w:val="nil"/>
            </w:tcBorders>
            <w:vAlign w:val="top"/>
          </w:tcPr>
          <w:p w14:paraId="6658CE6F">
            <w:pPr>
              <w:rPr>
                <w:rFonts w:ascii="Arial"/>
                <w:sz w:val="21"/>
              </w:rPr>
            </w:pPr>
          </w:p>
        </w:tc>
        <w:tc>
          <w:tcPr>
            <w:tcW w:w="1439" w:type="dxa"/>
            <w:vMerge w:val="continue"/>
            <w:tcBorders>
              <w:top w:val="nil"/>
              <w:bottom w:val="nil"/>
            </w:tcBorders>
            <w:vAlign w:val="top"/>
          </w:tcPr>
          <w:p w14:paraId="2C82D8FC">
            <w:pPr>
              <w:rPr>
                <w:rFonts w:ascii="Arial"/>
                <w:sz w:val="21"/>
              </w:rPr>
            </w:pPr>
          </w:p>
        </w:tc>
        <w:tc>
          <w:tcPr>
            <w:tcW w:w="2254" w:type="dxa"/>
            <w:vAlign w:val="top"/>
          </w:tcPr>
          <w:p w14:paraId="51CF22E2">
            <w:pPr>
              <w:pStyle w:val="6"/>
              <w:spacing w:before="63" w:line="229" w:lineRule="auto"/>
              <w:ind w:left="819"/>
              <w:rPr>
                <w:sz w:val="20"/>
                <w:szCs w:val="20"/>
              </w:rPr>
            </w:pPr>
            <w:r>
              <w:rPr>
                <w:spacing w:val="5"/>
                <w:sz w:val="20"/>
                <w:szCs w:val="20"/>
              </w:rPr>
              <w:t>氯化物</w:t>
            </w:r>
          </w:p>
        </w:tc>
        <w:tc>
          <w:tcPr>
            <w:tcW w:w="2125" w:type="dxa"/>
            <w:vAlign w:val="top"/>
          </w:tcPr>
          <w:p w14:paraId="2DB75B80">
            <w:pPr>
              <w:pStyle w:val="6"/>
              <w:spacing w:before="62" w:line="231" w:lineRule="auto"/>
              <w:ind w:left="914"/>
              <w:rPr>
                <w:sz w:val="20"/>
                <w:szCs w:val="20"/>
              </w:rPr>
            </w:pPr>
            <w:r>
              <w:rPr>
                <w:spacing w:val="1"/>
                <w:sz w:val="20"/>
                <w:szCs w:val="20"/>
              </w:rPr>
              <w:t>252</w:t>
            </w:r>
          </w:p>
        </w:tc>
        <w:tc>
          <w:tcPr>
            <w:tcW w:w="1947" w:type="dxa"/>
            <w:vAlign w:val="top"/>
          </w:tcPr>
          <w:p w14:paraId="681F2B64">
            <w:pPr>
              <w:pStyle w:val="6"/>
              <w:spacing w:before="63"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1C9FD8BE">
            <w:pPr>
              <w:rPr>
                <w:rFonts w:ascii="Arial"/>
                <w:sz w:val="21"/>
              </w:rPr>
            </w:pPr>
          </w:p>
        </w:tc>
      </w:tr>
      <w:tr w14:paraId="0774E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067A183B">
            <w:pPr>
              <w:rPr>
                <w:rFonts w:ascii="Arial"/>
                <w:sz w:val="21"/>
              </w:rPr>
            </w:pPr>
          </w:p>
        </w:tc>
        <w:tc>
          <w:tcPr>
            <w:tcW w:w="302" w:type="dxa"/>
            <w:vMerge w:val="continue"/>
            <w:tcBorders>
              <w:top w:val="nil"/>
              <w:bottom w:val="nil"/>
            </w:tcBorders>
            <w:vAlign w:val="top"/>
          </w:tcPr>
          <w:p w14:paraId="0F48AC06">
            <w:pPr>
              <w:rPr>
                <w:rFonts w:ascii="Arial"/>
                <w:sz w:val="21"/>
              </w:rPr>
            </w:pPr>
          </w:p>
        </w:tc>
        <w:tc>
          <w:tcPr>
            <w:tcW w:w="1439" w:type="dxa"/>
            <w:vMerge w:val="continue"/>
            <w:tcBorders>
              <w:top w:val="nil"/>
              <w:bottom w:val="nil"/>
            </w:tcBorders>
            <w:vAlign w:val="top"/>
          </w:tcPr>
          <w:p w14:paraId="2C6AFE0A">
            <w:pPr>
              <w:rPr>
                <w:rFonts w:ascii="Arial"/>
                <w:sz w:val="21"/>
              </w:rPr>
            </w:pPr>
          </w:p>
        </w:tc>
        <w:tc>
          <w:tcPr>
            <w:tcW w:w="2254" w:type="dxa"/>
            <w:vAlign w:val="top"/>
          </w:tcPr>
          <w:p w14:paraId="39818137">
            <w:pPr>
              <w:pStyle w:val="6"/>
              <w:spacing w:before="61" w:line="229" w:lineRule="auto"/>
              <w:ind w:left="815"/>
              <w:rPr>
                <w:sz w:val="20"/>
                <w:szCs w:val="20"/>
              </w:rPr>
            </w:pPr>
            <w:r>
              <w:rPr>
                <w:spacing w:val="7"/>
                <w:sz w:val="20"/>
                <w:szCs w:val="20"/>
              </w:rPr>
              <w:t>硫酸盐</w:t>
            </w:r>
          </w:p>
        </w:tc>
        <w:tc>
          <w:tcPr>
            <w:tcW w:w="2125" w:type="dxa"/>
            <w:vAlign w:val="top"/>
          </w:tcPr>
          <w:p w14:paraId="0F93150B">
            <w:pPr>
              <w:pStyle w:val="6"/>
              <w:spacing w:before="61" w:line="232" w:lineRule="auto"/>
              <w:ind w:left="980"/>
              <w:rPr>
                <w:sz w:val="20"/>
                <w:szCs w:val="20"/>
              </w:rPr>
            </w:pPr>
            <w:r>
              <w:rPr>
                <w:spacing w:val="-7"/>
                <w:sz w:val="20"/>
                <w:szCs w:val="20"/>
              </w:rPr>
              <w:t>16</w:t>
            </w:r>
          </w:p>
        </w:tc>
        <w:tc>
          <w:tcPr>
            <w:tcW w:w="1947" w:type="dxa"/>
            <w:vAlign w:val="top"/>
          </w:tcPr>
          <w:p w14:paraId="17FC2C68">
            <w:pPr>
              <w:pStyle w:val="6"/>
              <w:spacing w:before="61"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2BC3FF70">
            <w:pPr>
              <w:rPr>
                <w:rFonts w:ascii="Arial"/>
                <w:sz w:val="21"/>
              </w:rPr>
            </w:pPr>
          </w:p>
        </w:tc>
      </w:tr>
      <w:tr w14:paraId="21E9E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1DAC51A8">
            <w:pPr>
              <w:rPr>
                <w:rFonts w:ascii="Arial"/>
                <w:sz w:val="21"/>
              </w:rPr>
            </w:pPr>
          </w:p>
        </w:tc>
        <w:tc>
          <w:tcPr>
            <w:tcW w:w="302" w:type="dxa"/>
            <w:vMerge w:val="continue"/>
            <w:tcBorders>
              <w:top w:val="nil"/>
              <w:bottom w:val="nil"/>
            </w:tcBorders>
            <w:vAlign w:val="top"/>
          </w:tcPr>
          <w:p w14:paraId="6FC71785">
            <w:pPr>
              <w:rPr>
                <w:rFonts w:ascii="Arial"/>
                <w:sz w:val="21"/>
              </w:rPr>
            </w:pPr>
          </w:p>
        </w:tc>
        <w:tc>
          <w:tcPr>
            <w:tcW w:w="1439" w:type="dxa"/>
            <w:vMerge w:val="continue"/>
            <w:tcBorders>
              <w:top w:val="nil"/>
              <w:bottom w:val="nil"/>
            </w:tcBorders>
            <w:vAlign w:val="top"/>
          </w:tcPr>
          <w:p w14:paraId="76334A93">
            <w:pPr>
              <w:rPr>
                <w:rFonts w:ascii="Arial"/>
                <w:sz w:val="21"/>
              </w:rPr>
            </w:pPr>
          </w:p>
        </w:tc>
        <w:tc>
          <w:tcPr>
            <w:tcW w:w="2254" w:type="dxa"/>
            <w:vAlign w:val="top"/>
          </w:tcPr>
          <w:p w14:paraId="00979C52">
            <w:pPr>
              <w:pStyle w:val="6"/>
              <w:spacing w:before="62" w:line="227" w:lineRule="auto"/>
              <w:ind w:left="919"/>
              <w:rPr>
                <w:sz w:val="20"/>
                <w:szCs w:val="20"/>
              </w:rPr>
            </w:pPr>
            <w:r>
              <w:rPr>
                <w:spacing w:val="4"/>
                <w:sz w:val="20"/>
                <w:szCs w:val="20"/>
              </w:rPr>
              <w:t>氨氮</w:t>
            </w:r>
          </w:p>
        </w:tc>
        <w:tc>
          <w:tcPr>
            <w:tcW w:w="2125" w:type="dxa"/>
            <w:vAlign w:val="top"/>
          </w:tcPr>
          <w:p w14:paraId="2E3060DB">
            <w:pPr>
              <w:pStyle w:val="6"/>
              <w:spacing w:before="62" w:line="231" w:lineRule="auto"/>
              <w:ind w:left="858"/>
              <w:rPr>
                <w:sz w:val="20"/>
                <w:szCs w:val="20"/>
              </w:rPr>
            </w:pPr>
            <w:r>
              <w:rPr>
                <w:spacing w:val="3"/>
                <w:sz w:val="20"/>
                <w:szCs w:val="20"/>
              </w:rPr>
              <w:t>4.31</w:t>
            </w:r>
          </w:p>
        </w:tc>
        <w:tc>
          <w:tcPr>
            <w:tcW w:w="1947" w:type="dxa"/>
            <w:vAlign w:val="top"/>
          </w:tcPr>
          <w:p w14:paraId="1E3B4D36">
            <w:pPr>
              <w:pStyle w:val="6"/>
              <w:spacing w:before="62"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65EFEE2C">
            <w:pPr>
              <w:rPr>
                <w:rFonts w:ascii="Arial"/>
                <w:sz w:val="21"/>
              </w:rPr>
            </w:pPr>
          </w:p>
        </w:tc>
      </w:tr>
      <w:tr w14:paraId="13AB0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5231B42E">
            <w:pPr>
              <w:rPr>
                <w:rFonts w:ascii="Arial"/>
                <w:sz w:val="21"/>
              </w:rPr>
            </w:pPr>
          </w:p>
        </w:tc>
        <w:tc>
          <w:tcPr>
            <w:tcW w:w="302" w:type="dxa"/>
            <w:vMerge w:val="continue"/>
            <w:tcBorders>
              <w:top w:val="nil"/>
              <w:bottom w:val="nil"/>
            </w:tcBorders>
            <w:vAlign w:val="top"/>
          </w:tcPr>
          <w:p w14:paraId="2433A9D0">
            <w:pPr>
              <w:rPr>
                <w:rFonts w:ascii="Arial"/>
                <w:sz w:val="21"/>
              </w:rPr>
            </w:pPr>
          </w:p>
        </w:tc>
        <w:tc>
          <w:tcPr>
            <w:tcW w:w="1439" w:type="dxa"/>
            <w:vMerge w:val="continue"/>
            <w:tcBorders>
              <w:top w:val="nil"/>
              <w:bottom w:val="nil"/>
            </w:tcBorders>
            <w:vAlign w:val="top"/>
          </w:tcPr>
          <w:p w14:paraId="5F5913E2">
            <w:pPr>
              <w:rPr>
                <w:rFonts w:ascii="Arial"/>
                <w:sz w:val="21"/>
              </w:rPr>
            </w:pPr>
          </w:p>
        </w:tc>
        <w:tc>
          <w:tcPr>
            <w:tcW w:w="2254" w:type="dxa"/>
            <w:vAlign w:val="top"/>
          </w:tcPr>
          <w:p w14:paraId="3BB12FE1">
            <w:pPr>
              <w:pStyle w:val="6"/>
              <w:spacing w:before="63" w:line="227" w:lineRule="auto"/>
              <w:ind w:left="925"/>
              <w:rPr>
                <w:sz w:val="20"/>
                <w:szCs w:val="20"/>
              </w:rPr>
            </w:pPr>
            <w:r>
              <w:rPr>
                <w:spacing w:val="2"/>
                <w:sz w:val="20"/>
                <w:szCs w:val="20"/>
              </w:rPr>
              <w:t>总氮</w:t>
            </w:r>
          </w:p>
        </w:tc>
        <w:tc>
          <w:tcPr>
            <w:tcW w:w="2125" w:type="dxa"/>
            <w:vAlign w:val="top"/>
          </w:tcPr>
          <w:p w14:paraId="23411151">
            <w:pPr>
              <w:pStyle w:val="6"/>
              <w:spacing w:before="62" w:line="231" w:lineRule="auto"/>
              <w:ind w:left="860"/>
              <w:rPr>
                <w:sz w:val="20"/>
                <w:szCs w:val="20"/>
              </w:rPr>
            </w:pPr>
            <w:r>
              <w:rPr>
                <w:spacing w:val="2"/>
                <w:sz w:val="20"/>
                <w:szCs w:val="20"/>
              </w:rPr>
              <w:t>6.46</w:t>
            </w:r>
          </w:p>
        </w:tc>
        <w:tc>
          <w:tcPr>
            <w:tcW w:w="1947" w:type="dxa"/>
            <w:vAlign w:val="top"/>
          </w:tcPr>
          <w:p w14:paraId="33D2A478">
            <w:pPr>
              <w:pStyle w:val="6"/>
              <w:spacing w:before="63"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49EFE939">
            <w:pPr>
              <w:rPr>
                <w:rFonts w:ascii="Arial"/>
                <w:sz w:val="21"/>
              </w:rPr>
            </w:pPr>
          </w:p>
        </w:tc>
      </w:tr>
      <w:tr w14:paraId="485A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2A96B652">
            <w:pPr>
              <w:rPr>
                <w:rFonts w:ascii="Arial"/>
                <w:sz w:val="21"/>
              </w:rPr>
            </w:pPr>
          </w:p>
        </w:tc>
        <w:tc>
          <w:tcPr>
            <w:tcW w:w="302" w:type="dxa"/>
            <w:vMerge w:val="continue"/>
            <w:tcBorders>
              <w:top w:val="nil"/>
              <w:bottom w:val="nil"/>
            </w:tcBorders>
            <w:vAlign w:val="top"/>
          </w:tcPr>
          <w:p w14:paraId="0909E60B">
            <w:pPr>
              <w:rPr>
                <w:rFonts w:ascii="Arial"/>
                <w:sz w:val="21"/>
              </w:rPr>
            </w:pPr>
          </w:p>
        </w:tc>
        <w:tc>
          <w:tcPr>
            <w:tcW w:w="1439" w:type="dxa"/>
            <w:vMerge w:val="continue"/>
            <w:tcBorders>
              <w:top w:val="nil"/>
              <w:bottom w:val="nil"/>
            </w:tcBorders>
            <w:vAlign w:val="top"/>
          </w:tcPr>
          <w:p w14:paraId="098CAAC5">
            <w:pPr>
              <w:rPr>
                <w:rFonts w:ascii="Arial"/>
                <w:sz w:val="21"/>
              </w:rPr>
            </w:pPr>
          </w:p>
        </w:tc>
        <w:tc>
          <w:tcPr>
            <w:tcW w:w="2254" w:type="dxa"/>
            <w:vAlign w:val="top"/>
          </w:tcPr>
          <w:p w14:paraId="5924D741">
            <w:pPr>
              <w:pStyle w:val="6"/>
              <w:spacing w:before="61" w:line="228" w:lineRule="auto"/>
              <w:ind w:left="925"/>
              <w:rPr>
                <w:sz w:val="20"/>
                <w:szCs w:val="20"/>
              </w:rPr>
            </w:pPr>
            <w:r>
              <w:rPr>
                <w:spacing w:val="2"/>
                <w:sz w:val="20"/>
                <w:szCs w:val="20"/>
              </w:rPr>
              <w:t>总磷</w:t>
            </w:r>
          </w:p>
        </w:tc>
        <w:tc>
          <w:tcPr>
            <w:tcW w:w="2125" w:type="dxa"/>
            <w:vAlign w:val="top"/>
          </w:tcPr>
          <w:p w14:paraId="3C9355AF">
            <w:pPr>
              <w:pStyle w:val="6"/>
              <w:spacing w:before="61" w:line="231" w:lineRule="auto"/>
              <w:ind w:left="863"/>
              <w:rPr>
                <w:sz w:val="20"/>
                <w:szCs w:val="20"/>
              </w:rPr>
            </w:pPr>
            <w:r>
              <w:rPr>
                <w:spacing w:val="2"/>
                <w:sz w:val="20"/>
                <w:szCs w:val="20"/>
              </w:rPr>
              <w:t>3.96</w:t>
            </w:r>
          </w:p>
        </w:tc>
        <w:tc>
          <w:tcPr>
            <w:tcW w:w="1947" w:type="dxa"/>
            <w:vAlign w:val="top"/>
          </w:tcPr>
          <w:p w14:paraId="36E29B7C">
            <w:pPr>
              <w:pStyle w:val="6"/>
              <w:spacing w:before="61"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1100DD4E">
            <w:pPr>
              <w:rPr>
                <w:rFonts w:ascii="Arial"/>
                <w:sz w:val="21"/>
              </w:rPr>
            </w:pPr>
          </w:p>
        </w:tc>
      </w:tr>
      <w:tr w14:paraId="59D03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36F5310B">
            <w:pPr>
              <w:rPr>
                <w:rFonts w:ascii="Arial"/>
                <w:sz w:val="21"/>
              </w:rPr>
            </w:pPr>
          </w:p>
        </w:tc>
        <w:tc>
          <w:tcPr>
            <w:tcW w:w="302" w:type="dxa"/>
            <w:vMerge w:val="continue"/>
            <w:tcBorders>
              <w:top w:val="nil"/>
              <w:bottom w:val="nil"/>
            </w:tcBorders>
            <w:vAlign w:val="top"/>
          </w:tcPr>
          <w:p w14:paraId="65793517">
            <w:pPr>
              <w:rPr>
                <w:rFonts w:ascii="Arial"/>
                <w:sz w:val="21"/>
              </w:rPr>
            </w:pPr>
          </w:p>
        </w:tc>
        <w:tc>
          <w:tcPr>
            <w:tcW w:w="1439" w:type="dxa"/>
            <w:vMerge w:val="continue"/>
            <w:tcBorders>
              <w:top w:val="nil"/>
              <w:bottom w:val="nil"/>
            </w:tcBorders>
            <w:vAlign w:val="top"/>
          </w:tcPr>
          <w:p w14:paraId="5B540D0C">
            <w:pPr>
              <w:rPr>
                <w:rFonts w:ascii="Arial"/>
                <w:sz w:val="21"/>
              </w:rPr>
            </w:pPr>
          </w:p>
        </w:tc>
        <w:tc>
          <w:tcPr>
            <w:tcW w:w="2254" w:type="dxa"/>
            <w:vAlign w:val="top"/>
          </w:tcPr>
          <w:p w14:paraId="3E1DA4DC">
            <w:pPr>
              <w:pStyle w:val="6"/>
              <w:spacing w:before="63" w:line="229" w:lineRule="auto"/>
              <w:ind w:left="925"/>
              <w:rPr>
                <w:sz w:val="20"/>
                <w:szCs w:val="20"/>
              </w:rPr>
            </w:pPr>
            <w:r>
              <w:rPr>
                <w:spacing w:val="2"/>
                <w:sz w:val="20"/>
                <w:szCs w:val="20"/>
              </w:rPr>
              <w:t>总铜</w:t>
            </w:r>
          </w:p>
        </w:tc>
        <w:tc>
          <w:tcPr>
            <w:tcW w:w="2125" w:type="dxa"/>
            <w:vAlign w:val="top"/>
          </w:tcPr>
          <w:p w14:paraId="1EA3706E">
            <w:pPr>
              <w:pStyle w:val="6"/>
              <w:spacing w:before="63" w:line="230" w:lineRule="auto"/>
              <w:ind w:left="860"/>
              <w:rPr>
                <w:sz w:val="20"/>
                <w:szCs w:val="20"/>
              </w:rPr>
            </w:pPr>
            <w:r>
              <w:rPr>
                <w:spacing w:val="2"/>
                <w:sz w:val="20"/>
                <w:szCs w:val="20"/>
              </w:rPr>
              <w:t>0.11</w:t>
            </w:r>
          </w:p>
        </w:tc>
        <w:tc>
          <w:tcPr>
            <w:tcW w:w="1947" w:type="dxa"/>
            <w:vAlign w:val="top"/>
          </w:tcPr>
          <w:p w14:paraId="0D070712">
            <w:pPr>
              <w:pStyle w:val="6"/>
              <w:spacing w:before="63"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479B0BC8">
            <w:pPr>
              <w:rPr>
                <w:rFonts w:ascii="Arial"/>
                <w:sz w:val="21"/>
              </w:rPr>
            </w:pPr>
          </w:p>
        </w:tc>
      </w:tr>
      <w:tr w14:paraId="00C2F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06D10B46">
            <w:pPr>
              <w:rPr>
                <w:rFonts w:ascii="Arial"/>
                <w:sz w:val="21"/>
              </w:rPr>
            </w:pPr>
          </w:p>
        </w:tc>
        <w:tc>
          <w:tcPr>
            <w:tcW w:w="302" w:type="dxa"/>
            <w:vMerge w:val="continue"/>
            <w:tcBorders>
              <w:top w:val="nil"/>
              <w:bottom w:val="nil"/>
            </w:tcBorders>
            <w:vAlign w:val="top"/>
          </w:tcPr>
          <w:p w14:paraId="7008940A">
            <w:pPr>
              <w:rPr>
                <w:rFonts w:ascii="Arial"/>
                <w:sz w:val="21"/>
              </w:rPr>
            </w:pPr>
          </w:p>
        </w:tc>
        <w:tc>
          <w:tcPr>
            <w:tcW w:w="1439" w:type="dxa"/>
            <w:vMerge w:val="continue"/>
            <w:tcBorders>
              <w:top w:val="nil"/>
              <w:bottom w:val="nil"/>
            </w:tcBorders>
            <w:vAlign w:val="top"/>
          </w:tcPr>
          <w:p w14:paraId="79C6D32E">
            <w:pPr>
              <w:rPr>
                <w:rFonts w:ascii="Arial"/>
                <w:sz w:val="21"/>
              </w:rPr>
            </w:pPr>
          </w:p>
        </w:tc>
        <w:tc>
          <w:tcPr>
            <w:tcW w:w="2254" w:type="dxa"/>
            <w:vAlign w:val="top"/>
          </w:tcPr>
          <w:p w14:paraId="781C385A">
            <w:pPr>
              <w:pStyle w:val="6"/>
              <w:spacing w:before="64" w:line="228" w:lineRule="auto"/>
              <w:ind w:left="925"/>
              <w:rPr>
                <w:sz w:val="20"/>
                <w:szCs w:val="20"/>
              </w:rPr>
            </w:pPr>
            <w:r>
              <w:rPr>
                <w:spacing w:val="2"/>
                <w:sz w:val="20"/>
                <w:szCs w:val="20"/>
              </w:rPr>
              <w:t>总锌</w:t>
            </w:r>
          </w:p>
        </w:tc>
        <w:tc>
          <w:tcPr>
            <w:tcW w:w="2125" w:type="dxa"/>
            <w:vAlign w:val="top"/>
          </w:tcPr>
          <w:p w14:paraId="0A14318D">
            <w:pPr>
              <w:pStyle w:val="6"/>
              <w:spacing w:before="63" w:line="229" w:lineRule="auto"/>
              <w:ind w:left="860"/>
              <w:rPr>
                <w:sz w:val="20"/>
                <w:szCs w:val="20"/>
              </w:rPr>
            </w:pPr>
            <w:r>
              <w:rPr>
                <w:spacing w:val="2"/>
                <w:sz w:val="20"/>
                <w:szCs w:val="20"/>
              </w:rPr>
              <w:t>0.23</w:t>
            </w:r>
          </w:p>
        </w:tc>
        <w:tc>
          <w:tcPr>
            <w:tcW w:w="1947" w:type="dxa"/>
            <w:vAlign w:val="top"/>
          </w:tcPr>
          <w:p w14:paraId="6A8AF465">
            <w:pPr>
              <w:pStyle w:val="6"/>
              <w:spacing w:before="64"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334162F7">
            <w:pPr>
              <w:rPr>
                <w:rFonts w:ascii="Arial"/>
                <w:sz w:val="21"/>
              </w:rPr>
            </w:pPr>
          </w:p>
        </w:tc>
      </w:tr>
      <w:tr w14:paraId="595D1729">
        <w:tblPrEx>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13D732A2">
            <w:pPr>
              <w:rPr>
                <w:rFonts w:ascii="Arial"/>
                <w:sz w:val="21"/>
              </w:rPr>
            </w:pPr>
          </w:p>
        </w:tc>
        <w:tc>
          <w:tcPr>
            <w:tcW w:w="302" w:type="dxa"/>
            <w:vMerge w:val="continue"/>
            <w:tcBorders>
              <w:top w:val="nil"/>
              <w:bottom w:val="nil"/>
            </w:tcBorders>
            <w:vAlign w:val="top"/>
          </w:tcPr>
          <w:p w14:paraId="562C6342">
            <w:pPr>
              <w:rPr>
                <w:rFonts w:ascii="Arial"/>
                <w:sz w:val="21"/>
              </w:rPr>
            </w:pPr>
          </w:p>
        </w:tc>
        <w:tc>
          <w:tcPr>
            <w:tcW w:w="1439" w:type="dxa"/>
            <w:vMerge w:val="continue"/>
            <w:tcBorders>
              <w:top w:val="nil"/>
              <w:bottom w:val="nil"/>
            </w:tcBorders>
            <w:vAlign w:val="top"/>
          </w:tcPr>
          <w:p w14:paraId="7071A1ED">
            <w:pPr>
              <w:rPr>
                <w:rFonts w:ascii="Arial"/>
                <w:sz w:val="21"/>
              </w:rPr>
            </w:pPr>
          </w:p>
        </w:tc>
        <w:tc>
          <w:tcPr>
            <w:tcW w:w="2254" w:type="dxa"/>
            <w:vAlign w:val="top"/>
          </w:tcPr>
          <w:p w14:paraId="56BC433B">
            <w:pPr>
              <w:pStyle w:val="6"/>
              <w:spacing w:before="63" w:line="230" w:lineRule="auto"/>
              <w:ind w:left="925"/>
              <w:rPr>
                <w:sz w:val="20"/>
                <w:szCs w:val="20"/>
              </w:rPr>
            </w:pPr>
            <w:r>
              <w:rPr>
                <w:spacing w:val="2"/>
                <w:sz w:val="20"/>
                <w:szCs w:val="20"/>
              </w:rPr>
              <w:t>总锰</w:t>
            </w:r>
          </w:p>
        </w:tc>
        <w:tc>
          <w:tcPr>
            <w:tcW w:w="2125" w:type="dxa"/>
            <w:vAlign w:val="top"/>
          </w:tcPr>
          <w:p w14:paraId="7322B4C1">
            <w:pPr>
              <w:pStyle w:val="6"/>
              <w:spacing w:before="63" w:line="230" w:lineRule="auto"/>
              <w:ind w:left="860"/>
              <w:rPr>
                <w:sz w:val="20"/>
                <w:szCs w:val="20"/>
              </w:rPr>
            </w:pPr>
            <w:r>
              <w:rPr>
                <w:spacing w:val="2"/>
                <w:sz w:val="20"/>
                <w:szCs w:val="20"/>
              </w:rPr>
              <w:t>0.56</w:t>
            </w:r>
          </w:p>
        </w:tc>
        <w:tc>
          <w:tcPr>
            <w:tcW w:w="1947" w:type="dxa"/>
            <w:vAlign w:val="top"/>
          </w:tcPr>
          <w:p w14:paraId="78BAD3F7">
            <w:pPr>
              <w:pStyle w:val="6"/>
              <w:spacing w:before="63"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3CD4887C">
            <w:pPr>
              <w:rPr>
                <w:rFonts w:ascii="Arial"/>
                <w:sz w:val="21"/>
              </w:rPr>
            </w:pPr>
          </w:p>
        </w:tc>
      </w:tr>
      <w:tr w14:paraId="210F3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22654693">
            <w:pPr>
              <w:rPr>
                <w:rFonts w:ascii="Arial"/>
                <w:sz w:val="21"/>
              </w:rPr>
            </w:pPr>
          </w:p>
        </w:tc>
        <w:tc>
          <w:tcPr>
            <w:tcW w:w="302" w:type="dxa"/>
            <w:vMerge w:val="continue"/>
            <w:tcBorders>
              <w:top w:val="nil"/>
              <w:bottom w:val="nil"/>
            </w:tcBorders>
            <w:vAlign w:val="top"/>
          </w:tcPr>
          <w:p w14:paraId="1B72EBF1">
            <w:pPr>
              <w:rPr>
                <w:rFonts w:ascii="Arial"/>
                <w:sz w:val="21"/>
              </w:rPr>
            </w:pPr>
          </w:p>
        </w:tc>
        <w:tc>
          <w:tcPr>
            <w:tcW w:w="1439" w:type="dxa"/>
            <w:vMerge w:val="continue"/>
            <w:tcBorders>
              <w:top w:val="nil"/>
              <w:bottom w:val="nil"/>
            </w:tcBorders>
            <w:vAlign w:val="top"/>
          </w:tcPr>
          <w:p w14:paraId="2C5DBE04">
            <w:pPr>
              <w:rPr>
                <w:rFonts w:ascii="Arial"/>
                <w:sz w:val="21"/>
              </w:rPr>
            </w:pPr>
          </w:p>
        </w:tc>
        <w:tc>
          <w:tcPr>
            <w:tcW w:w="2254" w:type="dxa"/>
            <w:vAlign w:val="top"/>
          </w:tcPr>
          <w:p w14:paraId="64D98C5B">
            <w:pPr>
              <w:pStyle w:val="6"/>
              <w:spacing w:before="65" w:line="228" w:lineRule="auto"/>
              <w:ind w:left="925"/>
              <w:rPr>
                <w:sz w:val="20"/>
                <w:szCs w:val="20"/>
              </w:rPr>
            </w:pPr>
            <w:r>
              <w:rPr>
                <w:spacing w:val="2"/>
                <w:sz w:val="20"/>
                <w:szCs w:val="20"/>
              </w:rPr>
              <w:t>总铁</w:t>
            </w:r>
          </w:p>
        </w:tc>
        <w:tc>
          <w:tcPr>
            <w:tcW w:w="2125" w:type="dxa"/>
            <w:vAlign w:val="top"/>
          </w:tcPr>
          <w:p w14:paraId="71F7936A">
            <w:pPr>
              <w:pStyle w:val="6"/>
              <w:spacing w:before="65" w:line="228" w:lineRule="auto"/>
              <w:ind w:left="980"/>
              <w:rPr>
                <w:sz w:val="20"/>
                <w:szCs w:val="20"/>
              </w:rPr>
            </w:pPr>
            <w:r>
              <w:rPr>
                <w:spacing w:val="-7"/>
                <w:sz w:val="20"/>
                <w:szCs w:val="20"/>
              </w:rPr>
              <w:t>14</w:t>
            </w:r>
          </w:p>
        </w:tc>
        <w:tc>
          <w:tcPr>
            <w:tcW w:w="1947" w:type="dxa"/>
            <w:vAlign w:val="top"/>
          </w:tcPr>
          <w:p w14:paraId="3E94BEB8">
            <w:pPr>
              <w:pStyle w:val="6"/>
              <w:spacing w:before="64"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15B141B0">
            <w:pPr>
              <w:rPr>
                <w:rFonts w:ascii="Arial"/>
                <w:sz w:val="21"/>
              </w:rPr>
            </w:pPr>
          </w:p>
        </w:tc>
      </w:tr>
      <w:tr w14:paraId="30D9A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3360C36B">
            <w:pPr>
              <w:rPr>
                <w:rFonts w:ascii="Arial"/>
                <w:sz w:val="21"/>
              </w:rPr>
            </w:pPr>
          </w:p>
        </w:tc>
        <w:tc>
          <w:tcPr>
            <w:tcW w:w="302" w:type="dxa"/>
            <w:vMerge w:val="continue"/>
            <w:tcBorders>
              <w:top w:val="nil"/>
              <w:bottom w:val="nil"/>
            </w:tcBorders>
            <w:vAlign w:val="top"/>
          </w:tcPr>
          <w:p w14:paraId="72F23375">
            <w:pPr>
              <w:rPr>
                <w:rFonts w:ascii="Arial"/>
                <w:sz w:val="21"/>
              </w:rPr>
            </w:pPr>
          </w:p>
        </w:tc>
        <w:tc>
          <w:tcPr>
            <w:tcW w:w="1439" w:type="dxa"/>
            <w:vMerge w:val="continue"/>
            <w:tcBorders>
              <w:top w:val="nil"/>
              <w:bottom w:val="nil"/>
            </w:tcBorders>
            <w:vAlign w:val="top"/>
          </w:tcPr>
          <w:p w14:paraId="2BBB3160">
            <w:pPr>
              <w:rPr>
                <w:rFonts w:ascii="Arial"/>
                <w:sz w:val="21"/>
              </w:rPr>
            </w:pPr>
          </w:p>
        </w:tc>
        <w:tc>
          <w:tcPr>
            <w:tcW w:w="2254" w:type="dxa"/>
            <w:vAlign w:val="top"/>
          </w:tcPr>
          <w:p w14:paraId="6E74E600">
            <w:pPr>
              <w:pStyle w:val="6"/>
              <w:spacing w:before="65" w:line="228" w:lineRule="auto"/>
              <w:ind w:left="925"/>
              <w:rPr>
                <w:sz w:val="20"/>
                <w:szCs w:val="20"/>
              </w:rPr>
            </w:pPr>
            <w:r>
              <w:rPr>
                <w:spacing w:val="2"/>
                <w:sz w:val="20"/>
                <w:szCs w:val="20"/>
              </w:rPr>
              <w:t>总汞</w:t>
            </w:r>
          </w:p>
        </w:tc>
        <w:tc>
          <w:tcPr>
            <w:tcW w:w="2125" w:type="dxa"/>
            <w:vAlign w:val="top"/>
          </w:tcPr>
          <w:p w14:paraId="63CF7ED3">
            <w:pPr>
              <w:pStyle w:val="6"/>
              <w:spacing w:before="65" w:line="228" w:lineRule="auto"/>
              <w:ind w:left="704"/>
              <w:rPr>
                <w:sz w:val="20"/>
                <w:szCs w:val="20"/>
              </w:rPr>
            </w:pPr>
            <w:r>
              <w:rPr>
                <w:spacing w:val="3"/>
                <w:sz w:val="20"/>
                <w:szCs w:val="20"/>
              </w:rPr>
              <w:t>0.00034</w:t>
            </w:r>
          </w:p>
        </w:tc>
        <w:tc>
          <w:tcPr>
            <w:tcW w:w="1947" w:type="dxa"/>
            <w:vAlign w:val="top"/>
          </w:tcPr>
          <w:p w14:paraId="62ECA4D0">
            <w:pPr>
              <w:pStyle w:val="6"/>
              <w:spacing w:before="66"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5FAF9910">
            <w:pPr>
              <w:rPr>
                <w:rFonts w:ascii="Arial"/>
                <w:sz w:val="21"/>
              </w:rPr>
            </w:pPr>
          </w:p>
        </w:tc>
      </w:tr>
      <w:tr w14:paraId="4D4EB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6C75B654">
            <w:pPr>
              <w:rPr>
                <w:rFonts w:ascii="Arial"/>
                <w:sz w:val="21"/>
              </w:rPr>
            </w:pPr>
          </w:p>
        </w:tc>
        <w:tc>
          <w:tcPr>
            <w:tcW w:w="302" w:type="dxa"/>
            <w:vMerge w:val="continue"/>
            <w:tcBorders>
              <w:top w:val="nil"/>
              <w:bottom w:val="nil"/>
            </w:tcBorders>
            <w:vAlign w:val="top"/>
          </w:tcPr>
          <w:p w14:paraId="43676BBD">
            <w:pPr>
              <w:rPr>
                <w:rFonts w:ascii="Arial"/>
                <w:sz w:val="21"/>
              </w:rPr>
            </w:pPr>
          </w:p>
        </w:tc>
        <w:tc>
          <w:tcPr>
            <w:tcW w:w="1439" w:type="dxa"/>
            <w:vMerge w:val="continue"/>
            <w:tcBorders>
              <w:top w:val="nil"/>
              <w:bottom w:val="nil"/>
            </w:tcBorders>
            <w:vAlign w:val="top"/>
          </w:tcPr>
          <w:p w14:paraId="1B320B28">
            <w:pPr>
              <w:rPr>
                <w:rFonts w:ascii="Arial"/>
                <w:sz w:val="21"/>
              </w:rPr>
            </w:pPr>
          </w:p>
        </w:tc>
        <w:tc>
          <w:tcPr>
            <w:tcW w:w="2254" w:type="dxa"/>
            <w:vAlign w:val="top"/>
          </w:tcPr>
          <w:p w14:paraId="26C6F5E6">
            <w:pPr>
              <w:pStyle w:val="6"/>
              <w:spacing w:before="64" w:line="229" w:lineRule="auto"/>
              <w:ind w:left="925"/>
              <w:rPr>
                <w:sz w:val="20"/>
                <w:szCs w:val="20"/>
              </w:rPr>
            </w:pPr>
            <w:r>
              <w:rPr>
                <w:spacing w:val="2"/>
                <w:sz w:val="20"/>
                <w:szCs w:val="20"/>
              </w:rPr>
              <w:t>总镉</w:t>
            </w:r>
          </w:p>
        </w:tc>
        <w:tc>
          <w:tcPr>
            <w:tcW w:w="2125" w:type="dxa"/>
            <w:vAlign w:val="top"/>
          </w:tcPr>
          <w:p w14:paraId="75BA1DC3">
            <w:pPr>
              <w:pStyle w:val="6"/>
              <w:spacing w:before="64" w:line="229" w:lineRule="auto"/>
              <w:ind w:left="704"/>
              <w:rPr>
                <w:sz w:val="20"/>
                <w:szCs w:val="20"/>
              </w:rPr>
            </w:pPr>
            <w:r>
              <w:rPr>
                <w:spacing w:val="3"/>
                <w:sz w:val="20"/>
                <w:szCs w:val="20"/>
              </w:rPr>
              <w:t>0.00153</w:t>
            </w:r>
          </w:p>
        </w:tc>
        <w:tc>
          <w:tcPr>
            <w:tcW w:w="1947" w:type="dxa"/>
            <w:vAlign w:val="top"/>
          </w:tcPr>
          <w:p w14:paraId="7C28188C">
            <w:pPr>
              <w:pStyle w:val="6"/>
              <w:spacing w:before="64"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038D6F4F">
            <w:pPr>
              <w:rPr>
                <w:rFonts w:ascii="Arial"/>
                <w:sz w:val="21"/>
              </w:rPr>
            </w:pPr>
          </w:p>
        </w:tc>
      </w:tr>
      <w:tr w14:paraId="11175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1D162CE8">
            <w:pPr>
              <w:rPr>
                <w:rFonts w:ascii="Arial"/>
                <w:sz w:val="21"/>
              </w:rPr>
            </w:pPr>
          </w:p>
        </w:tc>
        <w:tc>
          <w:tcPr>
            <w:tcW w:w="302" w:type="dxa"/>
            <w:vMerge w:val="continue"/>
            <w:tcBorders>
              <w:top w:val="nil"/>
              <w:bottom w:val="nil"/>
            </w:tcBorders>
            <w:vAlign w:val="top"/>
          </w:tcPr>
          <w:p w14:paraId="08CAC091">
            <w:pPr>
              <w:rPr>
                <w:rFonts w:ascii="Arial"/>
                <w:sz w:val="21"/>
              </w:rPr>
            </w:pPr>
          </w:p>
        </w:tc>
        <w:tc>
          <w:tcPr>
            <w:tcW w:w="1439" w:type="dxa"/>
            <w:vMerge w:val="continue"/>
            <w:tcBorders>
              <w:top w:val="nil"/>
              <w:bottom w:val="nil"/>
            </w:tcBorders>
            <w:vAlign w:val="top"/>
          </w:tcPr>
          <w:p w14:paraId="0249D307">
            <w:pPr>
              <w:rPr>
                <w:rFonts w:ascii="Arial"/>
                <w:sz w:val="21"/>
              </w:rPr>
            </w:pPr>
          </w:p>
        </w:tc>
        <w:tc>
          <w:tcPr>
            <w:tcW w:w="2254" w:type="dxa"/>
            <w:vAlign w:val="top"/>
          </w:tcPr>
          <w:p w14:paraId="0A01172A">
            <w:pPr>
              <w:pStyle w:val="6"/>
              <w:spacing w:before="65" w:line="228" w:lineRule="auto"/>
              <w:ind w:left="925"/>
              <w:rPr>
                <w:sz w:val="20"/>
                <w:szCs w:val="20"/>
              </w:rPr>
            </w:pPr>
            <w:r>
              <w:rPr>
                <w:spacing w:val="2"/>
                <w:sz w:val="20"/>
                <w:szCs w:val="20"/>
              </w:rPr>
              <w:t>总铬</w:t>
            </w:r>
          </w:p>
        </w:tc>
        <w:tc>
          <w:tcPr>
            <w:tcW w:w="2125" w:type="dxa"/>
            <w:vAlign w:val="top"/>
          </w:tcPr>
          <w:p w14:paraId="62E8D6A2">
            <w:pPr>
              <w:pStyle w:val="6"/>
              <w:spacing w:before="65" w:line="228" w:lineRule="auto"/>
              <w:ind w:left="810"/>
              <w:rPr>
                <w:sz w:val="20"/>
                <w:szCs w:val="20"/>
              </w:rPr>
            </w:pPr>
            <w:r>
              <w:rPr>
                <w:spacing w:val="2"/>
                <w:sz w:val="20"/>
                <w:szCs w:val="20"/>
              </w:rPr>
              <w:t>0.009</w:t>
            </w:r>
          </w:p>
        </w:tc>
        <w:tc>
          <w:tcPr>
            <w:tcW w:w="1947" w:type="dxa"/>
            <w:vAlign w:val="top"/>
          </w:tcPr>
          <w:p w14:paraId="6ABA0B24">
            <w:pPr>
              <w:pStyle w:val="6"/>
              <w:spacing w:before="65"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4E62CA44">
            <w:pPr>
              <w:rPr>
                <w:rFonts w:ascii="Arial"/>
                <w:sz w:val="21"/>
              </w:rPr>
            </w:pPr>
          </w:p>
        </w:tc>
      </w:tr>
      <w:tr w14:paraId="3A62B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3B8B824E">
            <w:pPr>
              <w:rPr>
                <w:rFonts w:ascii="Arial"/>
                <w:sz w:val="21"/>
              </w:rPr>
            </w:pPr>
          </w:p>
        </w:tc>
        <w:tc>
          <w:tcPr>
            <w:tcW w:w="302" w:type="dxa"/>
            <w:vMerge w:val="continue"/>
            <w:tcBorders>
              <w:top w:val="nil"/>
              <w:bottom w:val="nil"/>
            </w:tcBorders>
            <w:vAlign w:val="top"/>
          </w:tcPr>
          <w:p w14:paraId="7BC6F090">
            <w:pPr>
              <w:rPr>
                <w:rFonts w:ascii="Arial"/>
                <w:sz w:val="21"/>
              </w:rPr>
            </w:pPr>
          </w:p>
        </w:tc>
        <w:tc>
          <w:tcPr>
            <w:tcW w:w="1439" w:type="dxa"/>
            <w:vMerge w:val="continue"/>
            <w:tcBorders>
              <w:top w:val="nil"/>
              <w:bottom w:val="nil"/>
            </w:tcBorders>
            <w:vAlign w:val="top"/>
          </w:tcPr>
          <w:p w14:paraId="4BEEE48D">
            <w:pPr>
              <w:rPr>
                <w:rFonts w:ascii="Arial"/>
                <w:sz w:val="21"/>
              </w:rPr>
            </w:pPr>
          </w:p>
        </w:tc>
        <w:tc>
          <w:tcPr>
            <w:tcW w:w="2254" w:type="dxa"/>
            <w:vAlign w:val="top"/>
          </w:tcPr>
          <w:p w14:paraId="3688B342">
            <w:pPr>
              <w:pStyle w:val="6"/>
              <w:spacing w:before="67" w:line="226" w:lineRule="auto"/>
              <w:ind w:left="818"/>
              <w:rPr>
                <w:sz w:val="20"/>
                <w:szCs w:val="20"/>
              </w:rPr>
            </w:pPr>
            <w:r>
              <w:rPr>
                <w:spacing w:val="6"/>
                <w:sz w:val="20"/>
                <w:szCs w:val="20"/>
              </w:rPr>
              <w:t>六价铬</w:t>
            </w:r>
          </w:p>
        </w:tc>
        <w:tc>
          <w:tcPr>
            <w:tcW w:w="2125" w:type="dxa"/>
            <w:vAlign w:val="top"/>
          </w:tcPr>
          <w:p w14:paraId="4DE98251">
            <w:pPr>
              <w:pStyle w:val="6"/>
              <w:spacing w:before="67" w:line="227" w:lineRule="auto"/>
              <w:ind w:left="810"/>
              <w:rPr>
                <w:sz w:val="20"/>
                <w:szCs w:val="20"/>
              </w:rPr>
            </w:pPr>
            <w:r>
              <w:rPr>
                <w:spacing w:val="2"/>
                <w:sz w:val="20"/>
                <w:szCs w:val="20"/>
              </w:rPr>
              <w:t>0.004</w:t>
            </w:r>
          </w:p>
        </w:tc>
        <w:tc>
          <w:tcPr>
            <w:tcW w:w="1947" w:type="dxa"/>
            <w:vAlign w:val="top"/>
          </w:tcPr>
          <w:p w14:paraId="03DA72A0">
            <w:pPr>
              <w:pStyle w:val="6"/>
              <w:spacing w:before="67"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653DCDCA">
            <w:pPr>
              <w:rPr>
                <w:rFonts w:ascii="Arial"/>
                <w:sz w:val="21"/>
              </w:rPr>
            </w:pPr>
          </w:p>
        </w:tc>
      </w:tr>
      <w:tr w14:paraId="0EA9D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61208484">
            <w:pPr>
              <w:rPr>
                <w:rFonts w:ascii="Arial"/>
                <w:sz w:val="21"/>
              </w:rPr>
            </w:pPr>
          </w:p>
        </w:tc>
        <w:tc>
          <w:tcPr>
            <w:tcW w:w="302" w:type="dxa"/>
            <w:vMerge w:val="continue"/>
            <w:tcBorders>
              <w:top w:val="nil"/>
              <w:bottom w:val="nil"/>
            </w:tcBorders>
            <w:vAlign w:val="top"/>
          </w:tcPr>
          <w:p w14:paraId="2E2A251F">
            <w:pPr>
              <w:rPr>
                <w:rFonts w:ascii="Arial"/>
                <w:sz w:val="21"/>
              </w:rPr>
            </w:pPr>
          </w:p>
        </w:tc>
        <w:tc>
          <w:tcPr>
            <w:tcW w:w="1439" w:type="dxa"/>
            <w:vMerge w:val="continue"/>
            <w:tcBorders>
              <w:top w:val="nil"/>
              <w:bottom w:val="nil"/>
            </w:tcBorders>
            <w:vAlign w:val="top"/>
          </w:tcPr>
          <w:p w14:paraId="500D6B0B">
            <w:pPr>
              <w:rPr>
                <w:rFonts w:ascii="Arial"/>
                <w:sz w:val="21"/>
              </w:rPr>
            </w:pPr>
          </w:p>
        </w:tc>
        <w:tc>
          <w:tcPr>
            <w:tcW w:w="2254" w:type="dxa"/>
            <w:vAlign w:val="top"/>
          </w:tcPr>
          <w:p w14:paraId="3D6C626B">
            <w:pPr>
              <w:pStyle w:val="6"/>
              <w:spacing w:before="66" w:line="227" w:lineRule="auto"/>
              <w:ind w:left="925"/>
              <w:rPr>
                <w:sz w:val="20"/>
                <w:szCs w:val="20"/>
              </w:rPr>
            </w:pPr>
            <w:r>
              <w:rPr>
                <w:spacing w:val="2"/>
                <w:sz w:val="20"/>
                <w:szCs w:val="20"/>
              </w:rPr>
              <w:t>总砷</w:t>
            </w:r>
          </w:p>
        </w:tc>
        <w:tc>
          <w:tcPr>
            <w:tcW w:w="2125" w:type="dxa"/>
            <w:vAlign w:val="top"/>
          </w:tcPr>
          <w:p w14:paraId="6D51D510">
            <w:pPr>
              <w:pStyle w:val="6"/>
              <w:spacing w:before="66" w:line="227" w:lineRule="auto"/>
              <w:ind w:left="755"/>
              <w:rPr>
                <w:sz w:val="20"/>
                <w:szCs w:val="20"/>
              </w:rPr>
            </w:pPr>
            <w:r>
              <w:rPr>
                <w:spacing w:val="3"/>
                <w:sz w:val="20"/>
                <w:szCs w:val="20"/>
              </w:rPr>
              <w:t>0.0003</w:t>
            </w:r>
          </w:p>
        </w:tc>
        <w:tc>
          <w:tcPr>
            <w:tcW w:w="1947" w:type="dxa"/>
            <w:vAlign w:val="top"/>
          </w:tcPr>
          <w:p w14:paraId="3F4BB2F7">
            <w:pPr>
              <w:pStyle w:val="6"/>
              <w:spacing w:before="65"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57DF0CD0">
            <w:pPr>
              <w:rPr>
                <w:rFonts w:ascii="Arial"/>
                <w:sz w:val="21"/>
              </w:rPr>
            </w:pPr>
          </w:p>
        </w:tc>
      </w:tr>
      <w:tr w14:paraId="6C86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093D16A8">
            <w:pPr>
              <w:rPr>
                <w:rFonts w:ascii="Arial"/>
                <w:sz w:val="21"/>
              </w:rPr>
            </w:pPr>
          </w:p>
        </w:tc>
        <w:tc>
          <w:tcPr>
            <w:tcW w:w="302" w:type="dxa"/>
            <w:vMerge w:val="continue"/>
            <w:tcBorders>
              <w:top w:val="nil"/>
              <w:bottom w:val="nil"/>
            </w:tcBorders>
            <w:vAlign w:val="top"/>
          </w:tcPr>
          <w:p w14:paraId="234FB39F">
            <w:pPr>
              <w:rPr>
                <w:rFonts w:ascii="Arial"/>
                <w:sz w:val="21"/>
              </w:rPr>
            </w:pPr>
          </w:p>
        </w:tc>
        <w:tc>
          <w:tcPr>
            <w:tcW w:w="1439" w:type="dxa"/>
            <w:vMerge w:val="continue"/>
            <w:tcBorders>
              <w:top w:val="nil"/>
              <w:bottom w:val="nil"/>
            </w:tcBorders>
            <w:vAlign w:val="top"/>
          </w:tcPr>
          <w:p w14:paraId="753E95A1">
            <w:pPr>
              <w:rPr>
                <w:rFonts w:ascii="Arial"/>
                <w:sz w:val="21"/>
              </w:rPr>
            </w:pPr>
          </w:p>
        </w:tc>
        <w:tc>
          <w:tcPr>
            <w:tcW w:w="2254" w:type="dxa"/>
            <w:vAlign w:val="top"/>
          </w:tcPr>
          <w:p w14:paraId="0C5E136B">
            <w:pPr>
              <w:pStyle w:val="6"/>
              <w:spacing w:before="67" w:line="227" w:lineRule="auto"/>
              <w:ind w:left="925"/>
              <w:rPr>
                <w:sz w:val="20"/>
                <w:szCs w:val="20"/>
              </w:rPr>
            </w:pPr>
            <w:r>
              <w:rPr>
                <w:spacing w:val="2"/>
                <w:sz w:val="20"/>
                <w:szCs w:val="20"/>
              </w:rPr>
              <w:t>总铅</w:t>
            </w:r>
          </w:p>
        </w:tc>
        <w:tc>
          <w:tcPr>
            <w:tcW w:w="2125" w:type="dxa"/>
            <w:vAlign w:val="top"/>
          </w:tcPr>
          <w:p w14:paraId="350C56B3">
            <w:pPr>
              <w:pStyle w:val="6"/>
              <w:spacing w:before="67" w:line="227" w:lineRule="auto"/>
              <w:ind w:left="755"/>
              <w:rPr>
                <w:sz w:val="20"/>
                <w:szCs w:val="20"/>
              </w:rPr>
            </w:pPr>
            <w:r>
              <w:rPr>
                <w:spacing w:val="3"/>
                <w:sz w:val="20"/>
                <w:szCs w:val="20"/>
              </w:rPr>
              <w:t>0.0604</w:t>
            </w:r>
          </w:p>
        </w:tc>
        <w:tc>
          <w:tcPr>
            <w:tcW w:w="1947" w:type="dxa"/>
            <w:vAlign w:val="top"/>
          </w:tcPr>
          <w:p w14:paraId="0A215A7B">
            <w:pPr>
              <w:pStyle w:val="6"/>
              <w:spacing w:before="67"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5187476F">
            <w:pPr>
              <w:rPr>
                <w:rFonts w:ascii="Arial"/>
                <w:sz w:val="21"/>
              </w:rPr>
            </w:pPr>
          </w:p>
        </w:tc>
      </w:tr>
      <w:tr w14:paraId="50F06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5" w:type="dxa"/>
            <w:vMerge w:val="continue"/>
            <w:tcBorders>
              <w:top w:val="nil"/>
              <w:left w:val="single" w:color="000000" w:sz="6" w:space="0"/>
              <w:bottom w:val="nil"/>
            </w:tcBorders>
            <w:vAlign w:val="top"/>
          </w:tcPr>
          <w:p w14:paraId="344F700E">
            <w:pPr>
              <w:rPr>
                <w:rFonts w:ascii="Arial"/>
                <w:sz w:val="21"/>
              </w:rPr>
            </w:pPr>
          </w:p>
        </w:tc>
        <w:tc>
          <w:tcPr>
            <w:tcW w:w="302" w:type="dxa"/>
            <w:vMerge w:val="continue"/>
            <w:tcBorders>
              <w:top w:val="nil"/>
              <w:bottom w:val="nil"/>
            </w:tcBorders>
            <w:vAlign w:val="top"/>
          </w:tcPr>
          <w:p w14:paraId="585E2A61">
            <w:pPr>
              <w:rPr>
                <w:rFonts w:ascii="Arial"/>
                <w:sz w:val="21"/>
              </w:rPr>
            </w:pPr>
          </w:p>
        </w:tc>
        <w:tc>
          <w:tcPr>
            <w:tcW w:w="1439" w:type="dxa"/>
            <w:vMerge w:val="continue"/>
            <w:tcBorders>
              <w:top w:val="nil"/>
              <w:bottom w:val="nil"/>
            </w:tcBorders>
            <w:vAlign w:val="top"/>
          </w:tcPr>
          <w:p w14:paraId="0ACC63D4">
            <w:pPr>
              <w:rPr>
                <w:rFonts w:ascii="Arial"/>
                <w:sz w:val="21"/>
              </w:rPr>
            </w:pPr>
          </w:p>
        </w:tc>
        <w:tc>
          <w:tcPr>
            <w:tcW w:w="2254" w:type="dxa"/>
            <w:vAlign w:val="top"/>
          </w:tcPr>
          <w:p w14:paraId="4676F0EE">
            <w:pPr>
              <w:pStyle w:val="6"/>
              <w:spacing w:before="68" w:line="226" w:lineRule="auto"/>
              <w:ind w:left="925"/>
              <w:rPr>
                <w:sz w:val="20"/>
                <w:szCs w:val="20"/>
              </w:rPr>
            </w:pPr>
            <w:r>
              <w:rPr>
                <w:spacing w:val="2"/>
                <w:sz w:val="20"/>
                <w:szCs w:val="20"/>
              </w:rPr>
              <w:t>总镍</w:t>
            </w:r>
          </w:p>
        </w:tc>
        <w:tc>
          <w:tcPr>
            <w:tcW w:w="2125" w:type="dxa"/>
            <w:vAlign w:val="top"/>
          </w:tcPr>
          <w:p w14:paraId="7EEAC9AF">
            <w:pPr>
              <w:pStyle w:val="6"/>
              <w:spacing w:before="68" w:line="226" w:lineRule="auto"/>
              <w:ind w:left="860"/>
              <w:rPr>
                <w:sz w:val="20"/>
                <w:szCs w:val="20"/>
              </w:rPr>
            </w:pPr>
            <w:r>
              <w:rPr>
                <w:spacing w:val="2"/>
                <w:sz w:val="20"/>
                <w:szCs w:val="20"/>
              </w:rPr>
              <w:t>0.03</w:t>
            </w:r>
          </w:p>
        </w:tc>
        <w:tc>
          <w:tcPr>
            <w:tcW w:w="1947" w:type="dxa"/>
            <w:vAlign w:val="top"/>
          </w:tcPr>
          <w:p w14:paraId="1AA2CB34">
            <w:pPr>
              <w:pStyle w:val="6"/>
              <w:spacing w:before="68"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07A5AF91">
            <w:pPr>
              <w:rPr>
                <w:rFonts w:ascii="Arial"/>
                <w:sz w:val="21"/>
              </w:rPr>
            </w:pPr>
          </w:p>
        </w:tc>
      </w:tr>
      <w:tr w14:paraId="769A6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5" w:type="dxa"/>
            <w:vMerge w:val="continue"/>
            <w:tcBorders>
              <w:top w:val="nil"/>
              <w:left w:val="single" w:color="000000" w:sz="6" w:space="0"/>
              <w:bottom w:val="nil"/>
            </w:tcBorders>
            <w:vAlign w:val="top"/>
          </w:tcPr>
          <w:p w14:paraId="69B0808F">
            <w:pPr>
              <w:rPr>
                <w:rFonts w:ascii="Arial"/>
                <w:sz w:val="21"/>
              </w:rPr>
            </w:pPr>
          </w:p>
        </w:tc>
        <w:tc>
          <w:tcPr>
            <w:tcW w:w="302" w:type="dxa"/>
            <w:vMerge w:val="continue"/>
            <w:tcBorders>
              <w:top w:val="nil"/>
              <w:bottom w:val="nil"/>
            </w:tcBorders>
            <w:vAlign w:val="top"/>
          </w:tcPr>
          <w:p w14:paraId="1383ED90">
            <w:pPr>
              <w:rPr>
                <w:rFonts w:ascii="Arial"/>
                <w:sz w:val="21"/>
              </w:rPr>
            </w:pPr>
          </w:p>
        </w:tc>
        <w:tc>
          <w:tcPr>
            <w:tcW w:w="1439" w:type="dxa"/>
            <w:vMerge w:val="continue"/>
            <w:tcBorders>
              <w:top w:val="nil"/>
              <w:bottom w:val="nil"/>
            </w:tcBorders>
            <w:vAlign w:val="top"/>
          </w:tcPr>
          <w:p w14:paraId="0D49EA85">
            <w:pPr>
              <w:rPr>
                <w:rFonts w:ascii="Arial"/>
                <w:sz w:val="21"/>
              </w:rPr>
            </w:pPr>
          </w:p>
        </w:tc>
        <w:tc>
          <w:tcPr>
            <w:tcW w:w="2254" w:type="dxa"/>
            <w:vAlign w:val="top"/>
          </w:tcPr>
          <w:p w14:paraId="74EBA508">
            <w:pPr>
              <w:pStyle w:val="6"/>
              <w:spacing w:before="67" w:line="226" w:lineRule="auto"/>
              <w:ind w:left="925"/>
              <w:rPr>
                <w:sz w:val="20"/>
                <w:szCs w:val="20"/>
              </w:rPr>
            </w:pPr>
            <w:r>
              <w:rPr>
                <w:spacing w:val="2"/>
                <w:sz w:val="20"/>
                <w:szCs w:val="20"/>
              </w:rPr>
              <w:t>总铍</w:t>
            </w:r>
          </w:p>
        </w:tc>
        <w:tc>
          <w:tcPr>
            <w:tcW w:w="2125" w:type="dxa"/>
            <w:vAlign w:val="top"/>
          </w:tcPr>
          <w:p w14:paraId="0B482167">
            <w:pPr>
              <w:pStyle w:val="6"/>
              <w:spacing w:before="67" w:line="226" w:lineRule="auto"/>
              <w:ind w:left="810"/>
              <w:rPr>
                <w:sz w:val="20"/>
                <w:szCs w:val="20"/>
              </w:rPr>
            </w:pPr>
            <w:r>
              <w:rPr>
                <w:spacing w:val="2"/>
                <w:sz w:val="20"/>
                <w:szCs w:val="20"/>
              </w:rPr>
              <w:t>0.081</w:t>
            </w:r>
          </w:p>
        </w:tc>
        <w:tc>
          <w:tcPr>
            <w:tcW w:w="1947" w:type="dxa"/>
            <w:vAlign w:val="top"/>
          </w:tcPr>
          <w:p w14:paraId="0328B552">
            <w:pPr>
              <w:pStyle w:val="6"/>
              <w:spacing w:before="66" w:line="222" w:lineRule="auto"/>
              <w:ind w:left="768"/>
              <w:rPr>
                <w:sz w:val="20"/>
                <w:szCs w:val="20"/>
              </w:rPr>
            </w:pPr>
            <w:r>
              <w:rPr>
                <w:sz w:val="20"/>
                <w:szCs w:val="20"/>
              </w:rPr>
              <w:t>mg</w:t>
            </w:r>
            <w:r>
              <w:rPr>
                <w:spacing w:val="9"/>
                <w:sz w:val="20"/>
                <w:szCs w:val="20"/>
              </w:rPr>
              <w:t>/L</w:t>
            </w:r>
          </w:p>
        </w:tc>
        <w:tc>
          <w:tcPr>
            <w:tcW w:w="313" w:type="dxa"/>
            <w:vMerge w:val="continue"/>
            <w:tcBorders>
              <w:top w:val="nil"/>
              <w:bottom w:val="nil"/>
              <w:right w:val="single" w:color="000000" w:sz="6" w:space="0"/>
            </w:tcBorders>
            <w:vAlign w:val="top"/>
          </w:tcPr>
          <w:p w14:paraId="087CF476">
            <w:pPr>
              <w:rPr>
                <w:rFonts w:ascii="Arial"/>
                <w:sz w:val="21"/>
              </w:rPr>
            </w:pPr>
          </w:p>
        </w:tc>
      </w:tr>
      <w:tr w14:paraId="0BB5E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605" w:type="dxa"/>
            <w:vMerge w:val="continue"/>
            <w:tcBorders>
              <w:top w:val="nil"/>
              <w:left w:val="single" w:color="000000" w:sz="6" w:space="0"/>
              <w:bottom w:val="single" w:color="000000" w:sz="6" w:space="0"/>
            </w:tcBorders>
            <w:vAlign w:val="top"/>
          </w:tcPr>
          <w:p w14:paraId="4B5E67ED">
            <w:pPr>
              <w:rPr>
                <w:rFonts w:ascii="Arial"/>
                <w:sz w:val="21"/>
              </w:rPr>
            </w:pPr>
          </w:p>
        </w:tc>
        <w:tc>
          <w:tcPr>
            <w:tcW w:w="302" w:type="dxa"/>
            <w:vMerge w:val="continue"/>
            <w:tcBorders>
              <w:top w:val="nil"/>
              <w:bottom w:val="single" w:color="000000" w:sz="6" w:space="0"/>
            </w:tcBorders>
            <w:vAlign w:val="top"/>
          </w:tcPr>
          <w:p w14:paraId="0B9D5DA1">
            <w:pPr>
              <w:rPr>
                <w:rFonts w:ascii="Arial"/>
                <w:sz w:val="21"/>
              </w:rPr>
            </w:pPr>
          </w:p>
        </w:tc>
        <w:tc>
          <w:tcPr>
            <w:tcW w:w="1439" w:type="dxa"/>
            <w:vMerge w:val="continue"/>
            <w:tcBorders>
              <w:top w:val="nil"/>
              <w:bottom w:val="single" w:color="000000" w:sz="6" w:space="0"/>
            </w:tcBorders>
            <w:vAlign w:val="top"/>
          </w:tcPr>
          <w:p w14:paraId="491C32AB">
            <w:pPr>
              <w:rPr>
                <w:rFonts w:ascii="Arial"/>
                <w:sz w:val="21"/>
              </w:rPr>
            </w:pPr>
          </w:p>
        </w:tc>
        <w:tc>
          <w:tcPr>
            <w:tcW w:w="2254" w:type="dxa"/>
            <w:tcBorders>
              <w:bottom w:val="single" w:color="000000" w:sz="6" w:space="0"/>
            </w:tcBorders>
            <w:vAlign w:val="top"/>
          </w:tcPr>
          <w:p w14:paraId="4E023D12">
            <w:pPr>
              <w:pStyle w:val="6"/>
              <w:spacing w:before="68" w:line="231" w:lineRule="auto"/>
              <w:ind w:left="925"/>
              <w:rPr>
                <w:sz w:val="20"/>
                <w:szCs w:val="20"/>
              </w:rPr>
            </w:pPr>
            <w:r>
              <w:rPr>
                <w:spacing w:val="2"/>
                <w:sz w:val="20"/>
                <w:szCs w:val="20"/>
              </w:rPr>
              <w:t>总银</w:t>
            </w:r>
          </w:p>
        </w:tc>
        <w:tc>
          <w:tcPr>
            <w:tcW w:w="2125" w:type="dxa"/>
            <w:tcBorders>
              <w:bottom w:val="single" w:color="000000" w:sz="6" w:space="0"/>
            </w:tcBorders>
            <w:vAlign w:val="top"/>
          </w:tcPr>
          <w:p w14:paraId="24B77028">
            <w:pPr>
              <w:pStyle w:val="6"/>
              <w:spacing w:before="68" w:line="268" w:lineRule="exact"/>
              <w:ind w:left="860"/>
              <w:rPr>
                <w:sz w:val="20"/>
                <w:szCs w:val="20"/>
              </w:rPr>
            </w:pPr>
            <w:r>
              <w:rPr>
                <w:spacing w:val="2"/>
                <w:position w:val="1"/>
                <w:sz w:val="20"/>
                <w:szCs w:val="20"/>
              </w:rPr>
              <w:t>0.03</w:t>
            </w:r>
          </w:p>
        </w:tc>
        <w:tc>
          <w:tcPr>
            <w:tcW w:w="1947" w:type="dxa"/>
            <w:tcBorders>
              <w:bottom w:val="single" w:color="000000" w:sz="6" w:space="0"/>
            </w:tcBorders>
            <w:vAlign w:val="top"/>
          </w:tcPr>
          <w:p w14:paraId="164A62C3">
            <w:pPr>
              <w:pStyle w:val="6"/>
              <w:spacing w:before="68" w:line="222" w:lineRule="auto"/>
              <w:ind w:left="768"/>
              <w:rPr>
                <w:sz w:val="20"/>
                <w:szCs w:val="20"/>
              </w:rPr>
            </w:pPr>
            <w:r>
              <w:rPr>
                <w:sz w:val="20"/>
                <w:szCs w:val="20"/>
              </w:rPr>
              <w:t>mg</w:t>
            </w:r>
            <w:r>
              <w:rPr>
                <w:spacing w:val="9"/>
                <w:sz w:val="20"/>
                <w:szCs w:val="20"/>
              </w:rPr>
              <w:t>/L</w:t>
            </w:r>
          </w:p>
        </w:tc>
        <w:tc>
          <w:tcPr>
            <w:tcW w:w="313" w:type="dxa"/>
            <w:vMerge w:val="continue"/>
            <w:tcBorders>
              <w:top w:val="nil"/>
              <w:bottom w:val="single" w:color="000000" w:sz="6" w:space="0"/>
              <w:right w:val="single" w:color="000000" w:sz="6" w:space="0"/>
            </w:tcBorders>
            <w:vAlign w:val="top"/>
          </w:tcPr>
          <w:p w14:paraId="6ED06FF8">
            <w:pPr>
              <w:rPr>
                <w:rFonts w:ascii="Arial"/>
                <w:sz w:val="21"/>
              </w:rPr>
            </w:pPr>
          </w:p>
        </w:tc>
      </w:tr>
    </w:tbl>
    <w:p w14:paraId="4027BA2E">
      <w:pPr>
        <w:rPr>
          <w:rFonts w:ascii="Arial"/>
          <w:sz w:val="21"/>
        </w:rPr>
      </w:pPr>
    </w:p>
    <w:p w14:paraId="3A0285D6">
      <w:pPr>
        <w:rPr>
          <w:rFonts w:ascii="Arial" w:hAnsi="Arial" w:eastAsia="Arial" w:cs="Arial"/>
          <w:sz w:val="21"/>
          <w:szCs w:val="21"/>
        </w:rPr>
        <w:sectPr>
          <w:footerReference r:id="rId85" w:type="default"/>
          <w:pgSz w:w="11907" w:h="16840"/>
          <w:pgMar w:top="400" w:right="1453" w:bottom="1240" w:left="1453" w:header="0" w:footer="1077" w:gutter="0"/>
          <w:cols w:space="720" w:num="1"/>
        </w:sectPr>
      </w:pPr>
    </w:p>
    <w:p w14:paraId="586F7F0C">
      <w:pPr>
        <w:spacing w:before="19"/>
      </w:pPr>
    </w:p>
    <w:p w14:paraId="52CCFBF3">
      <w:pPr>
        <w:spacing w:before="19"/>
      </w:pPr>
    </w:p>
    <w:p w14:paraId="40814538">
      <w:pPr>
        <w:spacing w:before="19"/>
      </w:pPr>
    </w:p>
    <w:p w14:paraId="01FD8D4F">
      <w:pPr>
        <w:spacing w:before="18"/>
      </w:pPr>
    </w:p>
    <w:p w14:paraId="28E04167">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47214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8" w:hRule="atLeast"/>
        </w:trPr>
        <w:tc>
          <w:tcPr>
            <w:tcW w:w="604" w:type="dxa"/>
            <w:tcBorders>
              <w:right w:val="single" w:color="000000" w:sz="2" w:space="0"/>
            </w:tcBorders>
            <w:vAlign w:val="top"/>
          </w:tcPr>
          <w:p w14:paraId="198392A2">
            <w:pPr>
              <w:rPr>
                <w:rFonts w:ascii="Arial"/>
                <w:sz w:val="21"/>
              </w:rPr>
            </w:pPr>
          </w:p>
        </w:tc>
        <w:tc>
          <w:tcPr>
            <w:tcW w:w="8381" w:type="dxa"/>
            <w:tcBorders>
              <w:left w:val="single" w:color="000000" w:sz="2" w:space="0"/>
            </w:tcBorders>
            <w:vAlign w:val="top"/>
          </w:tcPr>
          <w:p w14:paraId="7DED88E2">
            <w:pPr>
              <w:spacing w:line="52" w:lineRule="auto"/>
              <w:rPr>
                <w:rFonts w:ascii="Arial"/>
                <w:sz w:val="2"/>
              </w:rPr>
            </w:pPr>
          </w:p>
          <w:tbl>
            <w:tblPr>
              <w:tblStyle w:val="5"/>
              <w:tblW w:w="7782" w:type="dxa"/>
              <w:tblInd w:w="292" w:type="dxa"/>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782"/>
            </w:tblGrid>
            <w:tr w14:paraId="0B89262F">
              <w:tblPrEx>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03" w:hRule="atLeast"/>
              </w:trPr>
              <w:tc>
                <w:tcPr>
                  <w:tcW w:w="7782" w:type="dxa"/>
                  <w:vAlign w:val="top"/>
                </w:tcPr>
                <w:p w14:paraId="6D5451B4">
                  <w:pPr>
                    <w:pStyle w:val="6"/>
                    <w:spacing w:before="42" w:line="232" w:lineRule="auto"/>
                    <w:ind w:left="12"/>
                    <w:rPr>
                      <w:sz w:val="20"/>
                      <w:szCs w:val="20"/>
                    </w:rPr>
                  </w:pPr>
                  <w:r>
                    <w:rPr>
                      <w:sz w:val="20"/>
                      <w:szCs w:val="20"/>
                    </w:rPr>
                    <w:t>注：</w:t>
                  </w:r>
                </w:p>
                <w:p w14:paraId="0A414C31">
                  <w:pPr>
                    <w:pStyle w:val="6"/>
                    <w:spacing w:before="19" w:line="228" w:lineRule="auto"/>
                    <w:ind w:left="27"/>
                    <w:rPr>
                      <w:sz w:val="20"/>
                      <w:szCs w:val="20"/>
                    </w:rPr>
                  </w:pPr>
                  <w:r>
                    <w:rPr>
                      <w:spacing w:val="5"/>
                      <w:sz w:val="20"/>
                      <w:szCs w:val="20"/>
                    </w:rPr>
                    <w:t>1、“L</w:t>
                  </w:r>
                  <w:r>
                    <w:rPr>
                      <w:spacing w:val="-58"/>
                      <w:sz w:val="20"/>
                      <w:szCs w:val="20"/>
                    </w:rPr>
                    <w:t xml:space="preserve"> </w:t>
                  </w:r>
                  <w:r>
                    <w:rPr>
                      <w:spacing w:val="5"/>
                      <w:sz w:val="20"/>
                      <w:szCs w:val="20"/>
                    </w:rPr>
                    <w:t>”表示检测浓度低于检出限，</w:t>
                  </w:r>
                  <w:r>
                    <w:rPr>
                      <w:spacing w:val="-60"/>
                      <w:sz w:val="20"/>
                      <w:szCs w:val="20"/>
                    </w:rPr>
                    <w:t xml:space="preserve"> </w:t>
                  </w:r>
                  <w:r>
                    <w:rPr>
                      <w:spacing w:val="5"/>
                      <w:sz w:val="20"/>
                      <w:szCs w:val="20"/>
                    </w:rPr>
                    <w:t>以方法检出限加</w:t>
                  </w:r>
                  <w:r>
                    <w:rPr>
                      <w:spacing w:val="-41"/>
                      <w:sz w:val="20"/>
                      <w:szCs w:val="20"/>
                    </w:rPr>
                    <w:t xml:space="preserve"> </w:t>
                  </w:r>
                  <w:r>
                    <w:rPr>
                      <w:spacing w:val="5"/>
                      <w:sz w:val="20"/>
                      <w:szCs w:val="20"/>
                    </w:rPr>
                    <w:t>L</w:t>
                  </w:r>
                  <w:r>
                    <w:rPr>
                      <w:spacing w:val="-38"/>
                      <w:sz w:val="20"/>
                      <w:szCs w:val="20"/>
                    </w:rPr>
                    <w:t xml:space="preserve"> </w:t>
                  </w:r>
                  <w:r>
                    <w:rPr>
                      <w:spacing w:val="5"/>
                      <w:sz w:val="20"/>
                      <w:szCs w:val="20"/>
                    </w:rPr>
                    <w:t>表示结果；</w:t>
                  </w:r>
                </w:p>
                <w:p w14:paraId="58575100">
                  <w:pPr>
                    <w:pStyle w:val="6"/>
                    <w:spacing w:before="24" w:line="223" w:lineRule="auto"/>
                    <w:ind w:left="14"/>
                    <w:rPr>
                      <w:sz w:val="20"/>
                      <w:szCs w:val="20"/>
                    </w:rPr>
                  </w:pPr>
                  <w:r>
                    <w:rPr>
                      <w:spacing w:val="6"/>
                      <w:sz w:val="20"/>
                      <w:szCs w:val="20"/>
                    </w:rPr>
                    <w:t>2、</w:t>
                  </w:r>
                  <w:r>
                    <w:rPr>
                      <w:sz w:val="20"/>
                      <w:szCs w:val="20"/>
                    </w:rPr>
                    <w:t>pH</w:t>
                  </w:r>
                  <w:r>
                    <w:rPr>
                      <w:spacing w:val="-26"/>
                      <w:sz w:val="20"/>
                      <w:szCs w:val="20"/>
                    </w:rPr>
                    <w:t xml:space="preserve"> </w:t>
                  </w:r>
                  <w:r>
                    <w:rPr>
                      <w:spacing w:val="6"/>
                      <w:sz w:val="20"/>
                      <w:szCs w:val="20"/>
                    </w:rPr>
                    <w:t>值测定时水温：24.1℃;</w:t>
                  </w:r>
                </w:p>
                <w:p w14:paraId="4B575636">
                  <w:pPr>
                    <w:pStyle w:val="6"/>
                    <w:spacing w:before="32" w:line="217" w:lineRule="auto"/>
                    <w:ind w:left="16"/>
                    <w:rPr>
                      <w:sz w:val="20"/>
                      <w:szCs w:val="20"/>
                    </w:rPr>
                  </w:pPr>
                  <w:r>
                    <w:rPr>
                      <w:spacing w:val="7"/>
                      <w:sz w:val="20"/>
                      <w:szCs w:val="20"/>
                    </w:rPr>
                    <w:t>3、样品性状特征：无色透明。</w:t>
                  </w:r>
                </w:p>
              </w:tc>
            </w:tr>
          </w:tbl>
          <w:p w14:paraId="3B50B725">
            <w:pPr>
              <w:pStyle w:val="6"/>
              <w:spacing w:before="159" w:line="359" w:lineRule="auto"/>
              <w:ind w:left="108" w:right="101" w:firstLine="481"/>
              <w:jc w:val="both"/>
            </w:pPr>
            <w:r>
              <w:t>本项目的宝石泡酸废水和原项目的宝石泡酸废水全部一并进入本项目</w:t>
            </w:r>
            <w:r>
              <w:rPr>
                <w:spacing w:val="-1"/>
              </w:rPr>
              <w:t>配套</w:t>
            </w:r>
            <w:r>
              <w:t xml:space="preserve"> 建设的废水处理站。因泡酸废水中有重金属污染物，按要求必须车间排放口达 标排放，但项目各车间不具备建设废水处理设施的条件，所有泡酸车间的含重 金属废水统一汇集进入配套建设的废水站进行预处理，预处理达标排再排入市 </w:t>
            </w:r>
            <w:r>
              <w:rPr>
                <w:spacing w:val="-1"/>
              </w:rPr>
              <w:t>政管网。本项目新建的废水站的处理工艺为：</w:t>
            </w:r>
          </w:p>
          <w:p w14:paraId="6405C940">
            <w:pPr>
              <w:spacing w:before="202" w:line="4332" w:lineRule="exact"/>
              <w:ind w:firstLine="222"/>
            </w:pPr>
            <w:r>
              <w:rPr>
                <w:position w:val="-86"/>
              </w:rPr>
              <w:drawing>
                <wp:inline distT="0" distB="0" distL="0" distR="0">
                  <wp:extent cx="5031740" cy="27508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02"/>
                          <a:stretch>
                            <a:fillRect/>
                          </a:stretch>
                        </pic:blipFill>
                        <pic:spPr>
                          <a:xfrm>
                            <a:off x="0" y="0"/>
                            <a:ext cx="5032248" cy="2750820"/>
                          </a:xfrm>
                          <a:prstGeom prst="rect">
                            <a:avLst/>
                          </a:prstGeom>
                        </pic:spPr>
                      </pic:pic>
                    </a:graphicData>
                  </a:graphic>
                </wp:inline>
              </w:drawing>
            </w:r>
          </w:p>
          <w:p w14:paraId="5E5BCE8B">
            <w:pPr>
              <w:pStyle w:val="6"/>
              <w:spacing w:before="291" w:line="219" w:lineRule="auto"/>
              <w:ind w:left="2400"/>
            </w:pPr>
            <w:r>
              <w:rPr>
                <w:b/>
                <w:bCs/>
                <w:spacing w:val="-4"/>
              </w:rPr>
              <w:t>图</w:t>
            </w:r>
            <w:r>
              <w:rPr>
                <w:spacing w:val="-46"/>
              </w:rPr>
              <w:t xml:space="preserve"> </w:t>
            </w:r>
            <w:r>
              <w:rPr>
                <w:rFonts w:ascii="Times New Roman" w:hAnsi="Times New Roman" w:eastAsia="Times New Roman" w:cs="Times New Roman"/>
                <w:b/>
                <w:bCs/>
                <w:spacing w:val="-4"/>
              </w:rPr>
              <w:t xml:space="preserve">4-1  </w:t>
            </w:r>
            <w:r>
              <w:rPr>
                <w:b/>
                <w:bCs/>
                <w:spacing w:val="-4"/>
              </w:rPr>
              <w:t>本项目废水处理工艺流程图</w:t>
            </w:r>
          </w:p>
          <w:p w14:paraId="33934377">
            <w:pPr>
              <w:pStyle w:val="6"/>
              <w:spacing w:before="304" w:line="219" w:lineRule="auto"/>
              <w:ind w:left="592"/>
            </w:pPr>
            <w:r>
              <w:rPr>
                <w:spacing w:val="-2"/>
              </w:rPr>
              <w:t>工艺流程说明：</w:t>
            </w:r>
          </w:p>
          <w:p w14:paraId="076F09C5">
            <w:pPr>
              <w:pStyle w:val="6"/>
              <w:spacing w:before="179" w:line="357" w:lineRule="auto"/>
              <w:ind w:left="99" w:right="101" w:firstLine="492"/>
              <w:jc w:val="both"/>
            </w:pPr>
            <w:r>
              <w:t>厂区产生的泡酸废水等，首先通过管道汇集进入含重金属废水收</w:t>
            </w:r>
            <w:r>
              <w:rPr>
                <w:spacing w:val="-1"/>
              </w:rPr>
              <w:t>集池，用</w:t>
            </w:r>
            <w:r>
              <w:t xml:space="preserve"> </w:t>
            </w:r>
            <w:r>
              <w:rPr>
                <w:spacing w:val="2"/>
              </w:rPr>
              <w:t>泵提升进入废水处理站的一级</w:t>
            </w:r>
            <w:r>
              <w:rPr>
                <w:spacing w:val="-51"/>
              </w:rPr>
              <w:t xml:space="preserve"> </w:t>
            </w:r>
            <w:r>
              <w:rPr>
                <w:rFonts w:ascii="Times New Roman" w:hAnsi="Times New Roman" w:eastAsia="Times New Roman" w:cs="Times New Roman"/>
              </w:rPr>
              <w:t>pH</w:t>
            </w:r>
            <w:r>
              <w:rPr>
                <w:rFonts w:ascii="Times New Roman" w:hAnsi="Times New Roman" w:eastAsia="Times New Roman" w:cs="Times New Roman"/>
                <w:spacing w:val="2"/>
              </w:rPr>
              <w:t xml:space="preserve"> </w:t>
            </w:r>
            <w:r>
              <w:rPr>
                <w:spacing w:val="2"/>
              </w:rPr>
              <w:t>调节池，投加酸或碱，继续提升至一级反应</w:t>
            </w:r>
            <w:r>
              <w:t xml:space="preserve"> 池，一级反应池分别投加高效除氟剂、重捕剂、混凝剂、絮凝剂等药剂，进行 </w:t>
            </w:r>
            <w:r>
              <w:rPr>
                <w:rFonts w:ascii="Times New Roman" w:hAnsi="Times New Roman" w:eastAsia="Times New Roman" w:cs="Times New Roman"/>
                <w:spacing w:val="-3"/>
              </w:rPr>
              <w:t xml:space="preserve">pH </w:t>
            </w:r>
            <w:r>
              <w:rPr>
                <w:spacing w:val="-3"/>
              </w:rPr>
              <w:t>调整和充分反应后，进入一级沉淀池进行泥水分离，去除大部分的重金属和</w:t>
            </w:r>
            <w:r>
              <w:rPr>
                <w:spacing w:val="3"/>
              </w:rPr>
              <w:t xml:space="preserve"> </w:t>
            </w:r>
            <w:r>
              <w:rPr>
                <w:spacing w:val="2"/>
              </w:rPr>
              <w:t>氟化物。一级沉淀池出水进入二级</w:t>
            </w:r>
            <w:r>
              <w:rPr>
                <w:spacing w:val="-51"/>
              </w:rPr>
              <w:t xml:space="preserve"> </w:t>
            </w:r>
            <w:r>
              <w:rPr>
                <w:rFonts w:ascii="Times New Roman" w:hAnsi="Times New Roman" w:eastAsia="Times New Roman" w:cs="Times New Roman"/>
              </w:rPr>
              <w:t>pH</w:t>
            </w:r>
            <w:r>
              <w:rPr>
                <w:rFonts w:ascii="Times New Roman" w:hAnsi="Times New Roman" w:eastAsia="Times New Roman" w:cs="Times New Roman"/>
                <w:spacing w:val="2"/>
              </w:rPr>
              <w:t xml:space="preserve"> </w:t>
            </w:r>
            <w:r>
              <w:rPr>
                <w:spacing w:val="2"/>
              </w:rPr>
              <w:t>调节池，投加酸或碱，继续提升至二级</w:t>
            </w:r>
            <w:r>
              <w:t xml:space="preserve"> 反应池，二级反应池分别投加高效除氟剂、重捕剂、混凝剂、絮凝剂等药剂，</w:t>
            </w:r>
            <w:r>
              <w:rPr>
                <w:spacing w:val="9"/>
              </w:rPr>
              <w:t xml:space="preserve"> </w:t>
            </w:r>
            <w:r>
              <w:t>经充分反应后，进入二级沉淀池进行泥水分离，进一步去除重金属和氟化物，</w:t>
            </w:r>
            <w:r>
              <w:rPr>
                <w:spacing w:val="9"/>
              </w:rPr>
              <w:t xml:space="preserve"> </w:t>
            </w:r>
            <w:r>
              <w:t>出水达标排放。</w:t>
            </w:r>
          </w:p>
        </w:tc>
      </w:tr>
    </w:tbl>
    <w:p w14:paraId="7C1CBC42">
      <w:pPr>
        <w:rPr>
          <w:rFonts w:ascii="Arial"/>
          <w:sz w:val="21"/>
        </w:rPr>
      </w:pPr>
    </w:p>
    <w:p w14:paraId="5A22F58A">
      <w:pPr>
        <w:rPr>
          <w:rFonts w:ascii="Arial" w:hAnsi="Arial" w:eastAsia="Arial" w:cs="Arial"/>
          <w:sz w:val="21"/>
          <w:szCs w:val="21"/>
        </w:rPr>
        <w:sectPr>
          <w:footerReference r:id="rId86" w:type="default"/>
          <w:pgSz w:w="11907" w:h="16840"/>
          <w:pgMar w:top="400" w:right="1453" w:bottom="1240" w:left="1453" w:header="0" w:footer="1077" w:gutter="0"/>
          <w:cols w:space="720" w:num="1"/>
        </w:sectPr>
      </w:pPr>
    </w:p>
    <w:p w14:paraId="4485643D">
      <w:pPr>
        <w:spacing w:before="19"/>
      </w:pPr>
    </w:p>
    <w:p w14:paraId="34953CF2">
      <w:pPr>
        <w:spacing w:before="19"/>
      </w:pPr>
    </w:p>
    <w:p w14:paraId="5304092C">
      <w:pPr>
        <w:spacing w:before="19"/>
      </w:pPr>
    </w:p>
    <w:p w14:paraId="075436D1">
      <w:pPr>
        <w:spacing w:before="18"/>
      </w:pPr>
    </w:p>
    <w:p w14:paraId="7C64CE0C">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23"/>
        <w:gridCol w:w="1174"/>
        <w:gridCol w:w="1471"/>
        <w:gridCol w:w="1283"/>
        <w:gridCol w:w="1399"/>
        <w:gridCol w:w="1519"/>
        <w:gridCol w:w="1278"/>
        <w:gridCol w:w="133"/>
      </w:tblGrid>
      <w:tr w14:paraId="5B475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6" w:hRule="atLeast"/>
        </w:trPr>
        <w:tc>
          <w:tcPr>
            <w:tcW w:w="605" w:type="dxa"/>
            <w:vMerge w:val="restart"/>
            <w:tcBorders>
              <w:top w:val="single" w:color="000000" w:sz="6" w:space="0"/>
              <w:left w:val="single" w:color="000000" w:sz="6" w:space="0"/>
              <w:bottom w:val="nil"/>
            </w:tcBorders>
            <w:vAlign w:val="top"/>
          </w:tcPr>
          <w:p w14:paraId="769A7982">
            <w:pPr>
              <w:rPr>
                <w:rFonts w:ascii="Arial"/>
                <w:sz w:val="21"/>
              </w:rPr>
            </w:pPr>
          </w:p>
        </w:tc>
        <w:tc>
          <w:tcPr>
            <w:tcW w:w="8380" w:type="dxa"/>
            <w:gridSpan w:val="8"/>
            <w:tcBorders>
              <w:top w:val="single" w:color="000000" w:sz="6" w:space="0"/>
              <w:right w:val="single" w:color="000000" w:sz="6" w:space="0"/>
            </w:tcBorders>
            <w:vAlign w:val="top"/>
          </w:tcPr>
          <w:p w14:paraId="2ABBAB0A">
            <w:pPr>
              <w:pStyle w:val="6"/>
              <w:spacing w:before="39" w:line="359" w:lineRule="auto"/>
              <w:ind w:left="110" w:right="101" w:firstLine="477"/>
            </w:pPr>
            <w:r>
              <w:t xml:space="preserve">在一级沉淀出水处设置第一类污染物达标排放监控点。项目产生的少量喷 </w:t>
            </w:r>
            <w:r>
              <w:rPr>
                <w:spacing w:val="-1"/>
              </w:rPr>
              <w:t>淋废水在二级调节池处汇入处理系统。</w:t>
            </w:r>
          </w:p>
          <w:p w14:paraId="63344FE1">
            <w:pPr>
              <w:pStyle w:val="6"/>
              <w:spacing w:line="359" w:lineRule="auto"/>
              <w:ind w:left="110" w:right="101" w:firstLine="481"/>
            </w:pPr>
            <w:r>
              <w:t>一级、二级沉淀池的污泥排入污泥浓缩池浓缩，采用压滤机进</w:t>
            </w:r>
            <w:r>
              <w:rPr>
                <w:spacing w:val="-1"/>
              </w:rPr>
              <w:t>行脱水，污</w:t>
            </w:r>
            <w:r>
              <w:t xml:space="preserve"> </w:t>
            </w:r>
            <w:r>
              <w:rPr>
                <w:spacing w:val="-1"/>
              </w:rPr>
              <w:t>泥形成干泥饼后外运处置。</w:t>
            </w:r>
          </w:p>
          <w:p w14:paraId="59345B01">
            <w:pPr>
              <w:pStyle w:val="6"/>
              <w:spacing w:before="1" w:line="383" w:lineRule="auto"/>
              <w:ind w:left="109" w:right="89" w:firstLine="457"/>
              <w:jc w:val="both"/>
            </w:pPr>
            <w:r>
              <w:rPr>
                <w:spacing w:val="-8"/>
              </w:rPr>
              <w:t>建设单位委托广东惠利通环境科技有限公司于</w:t>
            </w:r>
            <w:r>
              <w:rPr>
                <w:rFonts w:ascii="Times New Roman" w:hAnsi="Times New Roman" w:eastAsia="Times New Roman" w:cs="Times New Roman"/>
                <w:spacing w:val="-8"/>
              </w:rPr>
              <w:t xml:space="preserve">2025 </w:t>
            </w:r>
            <w:r>
              <w:rPr>
                <w:spacing w:val="-8"/>
              </w:rPr>
              <w:t>年</w:t>
            </w:r>
            <w:r>
              <w:rPr>
                <w:rFonts w:ascii="Times New Roman" w:hAnsi="Times New Roman" w:eastAsia="Times New Roman" w:cs="Times New Roman"/>
                <w:spacing w:val="-8"/>
              </w:rPr>
              <w:t xml:space="preserve">4 </w:t>
            </w:r>
            <w:r>
              <w:rPr>
                <w:spacing w:val="-8"/>
              </w:rPr>
              <w:t>月</w:t>
            </w:r>
            <w:r>
              <w:rPr>
                <w:rFonts w:ascii="Times New Roman" w:hAnsi="Times New Roman" w:eastAsia="Times New Roman" w:cs="Times New Roman"/>
                <w:spacing w:val="-8"/>
              </w:rPr>
              <w:t>26</w:t>
            </w:r>
            <w:r>
              <w:rPr>
                <w:rFonts w:ascii="Times New Roman" w:hAnsi="Times New Roman" w:eastAsia="Times New Roman" w:cs="Times New Roman"/>
                <w:spacing w:val="36"/>
              </w:rPr>
              <w:t xml:space="preserve"> </w:t>
            </w:r>
            <w:r>
              <w:rPr>
                <w:spacing w:val="-8"/>
              </w:rPr>
              <w:t>日对原项目废水</w:t>
            </w:r>
            <w:r>
              <w:t xml:space="preserve"> </w:t>
            </w:r>
            <w:r>
              <w:rPr>
                <w:spacing w:val="-12"/>
              </w:rPr>
              <w:t>站出水进行取样检测（检测报告见本报告附件</w:t>
            </w:r>
            <w:r>
              <w:rPr>
                <w:spacing w:val="-25"/>
              </w:rPr>
              <w:t>），</w:t>
            </w:r>
            <w:r>
              <w:rPr>
                <w:spacing w:val="-12"/>
              </w:rPr>
              <w:t>检测</w:t>
            </w:r>
            <w:r>
              <w:rPr>
                <w:spacing w:val="-13"/>
              </w:rPr>
              <w:t>得经废水站处理后的泡酸废</w:t>
            </w:r>
            <w:r>
              <w:t xml:space="preserve"> </w:t>
            </w:r>
            <w:r>
              <w:rPr>
                <w:spacing w:val="-11"/>
              </w:rPr>
              <w:t>水的污染物浓度为：</w:t>
            </w:r>
          </w:p>
          <w:p w14:paraId="713F8969">
            <w:pPr>
              <w:pStyle w:val="6"/>
              <w:spacing w:line="219" w:lineRule="auto"/>
              <w:ind w:left="2012"/>
            </w:pPr>
            <w:r>
              <w:rPr>
                <w:b/>
                <w:bCs/>
                <w:spacing w:val="-2"/>
              </w:rPr>
              <w:t>表</w:t>
            </w:r>
            <w:r>
              <w:rPr>
                <w:spacing w:val="-48"/>
              </w:rPr>
              <w:t xml:space="preserve"> </w:t>
            </w:r>
            <w:r>
              <w:rPr>
                <w:rFonts w:ascii="Times New Roman" w:hAnsi="Times New Roman" w:eastAsia="Times New Roman" w:cs="Times New Roman"/>
                <w:b/>
                <w:bCs/>
                <w:spacing w:val="-2"/>
              </w:rPr>
              <w:t xml:space="preserve">4-18    </w:t>
            </w:r>
            <w:r>
              <w:rPr>
                <w:b/>
                <w:bCs/>
                <w:spacing w:val="-2"/>
              </w:rPr>
              <w:t>泡酸废水经处理后的污染物浓度</w:t>
            </w:r>
          </w:p>
        </w:tc>
      </w:tr>
      <w:tr w14:paraId="3AD32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05" w:type="dxa"/>
            <w:vMerge w:val="continue"/>
            <w:tcBorders>
              <w:top w:val="nil"/>
              <w:left w:val="single" w:color="000000" w:sz="6" w:space="0"/>
              <w:bottom w:val="nil"/>
            </w:tcBorders>
            <w:vAlign w:val="top"/>
          </w:tcPr>
          <w:p w14:paraId="1869879B">
            <w:pPr>
              <w:rPr>
                <w:rFonts w:ascii="Arial"/>
                <w:sz w:val="21"/>
              </w:rPr>
            </w:pPr>
          </w:p>
        </w:tc>
        <w:tc>
          <w:tcPr>
            <w:tcW w:w="123" w:type="dxa"/>
            <w:tcBorders>
              <w:top w:val="nil"/>
              <w:bottom w:val="nil"/>
            </w:tcBorders>
            <w:vAlign w:val="top"/>
          </w:tcPr>
          <w:p w14:paraId="0E47DDFD">
            <w:pPr>
              <w:rPr>
                <w:rFonts w:ascii="Arial"/>
                <w:sz w:val="21"/>
              </w:rPr>
            </w:pPr>
          </w:p>
        </w:tc>
        <w:tc>
          <w:tcPr>
            <w:tcW w:w="1174" w:type="dxa"/>
            <w:vAlign w:val="top"/>
          </w:tcPr>
          <w:p w14:paraId="4EAF114B">
            <w:pPr>
              <w:pStyle w:val="6"/>
              <w:spacing w:before="169" w:line="227" w:lineRule="auto"/>
              <w:ind w:left="59"/>
              <w:rPr>
                <w:sz w:val="20"/>
                <w:szCs w:val="20"/>
              </w:rPr>
            </w:pPr>
            <w:r>
              <w:rPr>
                <w:spacing w:val="8"/>
                <w:sz w:val="20"/>
                <w:szCs w:val="20"/>
              </w:rPr>
              <w:t>采样点位置</w:t>
            </w:r>
          </w:p>
        </w:tc>
        <w:tc>
          <w:tcPr>
            <w:tcW w:w="1471" w:type="dxa"/>
            <w:vAlign w:val="top"/>
          </w:tcPr>
          <w:p w14:paraId="6E867705">
            <w:pPr>
              <w:pStyle w:val="6"/>
              <w:spacing w:before="170" w:line="228" w:lineRule="auto"/>
              <w:ind w:left="317"/>
              <w:rPr>
                <w:sz w:val="20"/>
                <w:szCs w:val="20"/>
              </w:rPr>
            </w:pPr>
            <w:r>
              <w:rPr>
                <w:spacing w:val="7"/>
                <w:sz w:val="20"/>
                <w:szCs w:val="20"/>
              </w:rPr>
              <w:t>监测项目</w:t>
            </w:r>
          </w:p>
        </w:tc>
        <w:tc>
          <w:tcPr>
            <w:tcW w:w="1283" w:type="dxa"/>
            <w:vAlign w:val="top"/>
          </w:tcPr>
          <w:p w14:paraId="5B64B121">
            <w:pPr>
              <w:pStyle w:val="6"/>
              <w:spacing w:before="170" w:line="228" w:lineRule="auto"/>
              <w:ind w:left="436"/>
              <w:rPr>
                <w:sz w:val="20"/>
                <w:szCs w:val="20"/>
              </w:rPr>
            </w:pPr>
            <w:r>
              <w:rPr>
                <w:spacing w:val="3"/>
                <w:sz w:val="20"/>
                <w:szCs w:val="20"/>
              </w:rPr>
              <w:t>单位</w:t>
            </w:r>
          </w:p>
        </w:tc>
        <w:tc>
          <w:tcPr>
            <w:tcW w:w="1399" w:type="dxa"/>
            <w:vAlign w:val="top"/>
          </w:tcPr>
          <w:p w14:paraId="3D6BB1B3">
            <w:pPr>
              <w:pStyle w:val="6"/>
              <w:spacing w:before="169" w:line="228" w:lineRule="auto"/>
              <w:ind w:left="284"/>
              <w:rPr>
                <w:sz w:val="20"/>
                <w:szCs w:val="20"/>
              </w:rPr>
            </w:pPr>
            <w:r>
              <w:rPr>
                <w:spacing w:val="7"/>
                <w:sz w:val="20"/>
                <w:szCs w:val="20"/>
              </w:rPr>
              <w:t>检测结果</w:t>
            </w:r>
          </w:p>
        </w:tc>
        <w:tc>
          <w:tcPr>
            <w:tcW w:w="1519" w:type="dxa"/>
            <w:vAlign w:val="top"/>
          </w:tcPr>
          <w:p w14:paraId="1DA385C1">
            <w:pPr>
              <w:pStyle w:val="6"/>
              <w:spacing w:before="36" w:line="232" w:lineRule="auto"/>
              <w:ind w:left="531" w:right="20" w:hanging="498"/>
              <w:rPr>
                <w:rFonts w:ascii="Times New Roman" w:hAnsi="Times New Roman" w:eastAsia="Times New Roman" w:cs="Times New Roman"/>
                <w:sz w:val="20"/>
                <w:szCs w:val="20"/>
              </w:rPr>
            </w:pPr>
            <w:r>
              <w:rPr>
                <w:spacing w:val="8"/>
                <w:sz w:val="20"/>
                <w:szCs w:val="20"/>
              </w:rPr>
              <w:t>本项目泡酸废水</w:t>
            </w:r>
            <w:r>
              <w:rPr>
                <w:spacing w:val="2"/>
                <w:sz w:val="20"/>
                <w:szCs w:val="20"/>
              </w:rPr>
              <w:t xml:space="preserve"> </w:t>
            </w:r>
            <w:r>
              <w:rPr>
                <w:spacing w:val="1"/>
                <w:sz w:val="20"/>
                <w:szCs w:val="20"/>
              </w:rPr>
              <w:t>量</w:t>
            </w:r>
            <w:r>
              <w:rPr>
                <w:spacing w:val="-44"/>
                <w:sz w:val="20"/>
                <w:szCs w:val="20"/>
              </w:rPr>
              <w:t xml:space="preserve"> </w:t>
            </w:r>
            <w:r>
              <w:rPr>
                <w:rFonts w:ascii="Times New Roman" w:hAnsi="Times New Roman" w:eastAsia="Times New Roman" w:cs="Times New Roman"/>
                <w:spacing w:val="1"/>
                <w:sz w:val="20"/>
                <w:szCs w:val="20"/>
              </w:rPr>
              <w:t>t/a</w:t>
            </w:r>
          </w:p>
        </w:tc>
        <w:tc>
          <w:tcPr>
            <w:tcW w:w="1278" w:type="dxa"/>
            <w:vAlign w:val="top"/>
          </w:tcPr>
          <w:p w14:paraId="55F5AF9C">
            <w:pPr>
              <w:pStyle w:val="6"/>
              <w:spacing w:before="50" w:line="228" w:lineRule="auto"/>
              <w:ind w:left="128"/>
              <w:rPr>
                <w:sz w:val="20"/>
                <w:szCs w:val="20"/>
              </w:rPr>
            </w:pPr>
            <w:r>
              <w:rPr>
                <w:spacing w:val="7"/>
                <w:sz w:val="20"/>
                <w:szCs w:val="20"/>
              </w:rPr>
              <w:t>污染物的量</w:t>
            </w:r>
          </w:p>
          <w:p w14:paraId="203AF0A6">
            <w:pPr>
              <w:spacing w:before="41" w:line="199"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33" w:type="dxa"/>
            <w:tcBorders>
              <w:top w:val="nil"/>
              <w:bottom w:val="nil"/>
              <w:right w:val="single" w:color="000000" w:sz="6" w:space="0"/>
            </w:tcBorders>
            <w:vAlign w:val="top"/>
          </w:tcPr>
          <w:p w14:paraId="135B6A01">
            <w:pPr>
              <w:rPr>
                <w:rFonts w:ascii="Arial"/>
                <w:sz w:val="21"/>
              </w:rPr>
            </w:pPr>
          </w:p>
        </w:tc>
      </w:tr>
      <w:tr w14:paraId="20E57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5" w:type="dxa"/>
            <w:vMerge w:val="continue"/>
            <w:tcBorders>
              <w:top w:val="nil"/>
              <w:left w:val="single" w:color="000000" w:sz="6" w:space="0"/>
              <w:bottom w:val="nil"/>
            </w:tcBorders>
            <w:vAlign w:val="top"/>
          </w:tcPr>
          <w:p w14:paraId="79A89775">
            <w:pPr>
              <w:rPr>
                <w:rFonts w:ascii="Arial"/>
                <w:sz w:val="21"/>
              </w:rPr>
            </w:pPr>
          </w:p>
        </w:tc>
        <w:tc>
          <w:tcPr>
            <w:tcW w:w="123" w:type="dxa"/>
            <w:tcBorders>
              <w:top w:val="nil"/>
              <w:bottom w:val="nil"/>
            </w:tcBorders>
            <w:vAlign w:val="top"/>
          </w:tcPr>
          <w:p w14:paraId="7E1B8CC0">
            <w:pPr>
              <w:rPr>
                <w:rFonts w:ascii="Arial"/>
                <w:sz w:val="21"/>
              </w:rPr>
            </w:pPr>
          </w:p>
        </w:tc>
        <w:tc>
          <w:tcPr>
            <w:tcW w:w="1174" w:type="dxa"/>
            <w:vMerge w:val="restart"/>
            <w:tcBorders>
              <w:bottom w:val="nil"/>
            </w:tcBorders>
            <w:vAlign w:val="top"/>
          </w:tcPr>
          <w:p w14:paraId="39B76472">
            <w:pPr>
              <w:spacing w:line="252" w:lineRule="auto"/>
              <w:rPr>
                <w:rFonts w:ascii="Arial"/>
                <w:sz w:val="21"/>
              </w:rPr>
            </w:pPr>
          </w:p>
          <w:p w14:paraId="4A764E3D">
            <w:pPr>
              <w:spacing w:line="252" w:lineRule="auto"/>
              <w:rPr>
                <w:rFonts w:ascii="Arial"/>
                <w:sz w:val="21"/>
              </w:rPr>
            </w:pPr>
          </w:p>
          <w:p w14:paraId="48819C38">
            <w:pPr>
              <w:spacing w:line="252" w:lineRule="auto"/>
              <w:rPr>
                <w:rFonts w:ascii="Arial"/>
                <w:sz w:val="21"/>
              </w:rPr>
            </w:pPr>
          </w:p>
          <w:p w14:paraId="3FAE2543">
            <w:pPr>
              <w:spacing w:line="252" w:lineRule="auto"/>
              <w:rPr>
                <w:rFonts w:ascii="Arial"/>
                <w:sz w:val="21"/>
              </w:rPr>
            </w:pPr>
          </w:p>
          <w:p w14:paraId="6240A8E1">
            <w:pPr>
              <w:spacing w:line="252" w:lineRule="auto"/>
              <w:rPr>
                <w:rFonts w:ascii="Arial"/>
                <w:sz w:val="21"/>
              </w:rPr>
            </w:pPr>
          </w:p>
          <w:p w14:paraId="6FE5A065">
            <w:pPr>
              <w:spacing w:line="252" w:lineRule="auto"/>
              <w:rPr>
                <w:rFonts w:ascii="Arial"/>
                <w:sz w:val="21"/>
              </w:rPr>
            </w:pPr>
          </w:p>
          <w:p w14:paraId="6769FA86">
            <w:pPr>
              <w:spacing w:line="252" w:lineRule="auto"/>
              <w:rPr>
                <w:rFonts w:ascii="Arial"/>
                <w:sz w:val="21"/>
              </w:rPr>
            </w:pPr>
          </w:p>
          <w:p w14:paraId="228B9DFF">
            <w:pPr>
              <w:spacing w:line="253" w:lineRule="auto"/>
              <w:rPr>
                <w:rFonts w:ascii="Arial"/>
                <w:sz w:val="21"/>
              </w:rPr>
            </w:pPr>
          </w:p>
          <w:p w14:paraId="11509319">
            <w:pPr>
              <w:spacing w:line="253" w:lineRule="auto"/>
              <w:rPr>
                <w:rFonts w:ascii="Arial"/>
                <w:sz w:val="21"/>
              </w:rPr>
            </w:pPr>
          </w:p>
          <w:p w14:paraId="2BDA04AE">
            <w:pPr>
              <w:spacing w:line="253" w:lineRule="auto"/>
              <w:rPr>
                <w:rFonts w:ascii="Arial"/>
                <w:sz w:val="21"/>
              </w:rPr>
            </w:pPr>
          </w:p>
          <w:p w14:paraId="1DC8958E">
            <w:pPr>
              <w:spacing w:line="253" w:lineRule="auto"/>
              <w:rPr>
                <w:rFonts w:ascii="Arial"/>
                <w:sz w:val="21"/>
              </w:rPr>
            </w:pPr>
          </w:p>
          <w:p w14:paraId="38583D9A">
            <w:pPr>
              <w:spacing w:line="253" w:lineRule="auto"/>
              <w:rPr>
                <w:rFonts w:ascii="Arial"/>
                <w:sz w:val="21"/>
              </w:rPr>
            </w:pPr>
          </w:p>
          <w:p w14:paraId="426CA6C4">
            <w:pPr>
              <w:spacing w:line="253" w:lineRule="auto"/>
              <w:rPr>
                <w:rFonts w:ascii="Arial"/>
                <w:sz w:val="21"/>
              </w:rPr>
            </w:pPr>
          </w:p>
          <w:p w14:paraId="5281EF07">
            <w:pPr>
              <w:spacing w:line="253" w:lineRule="auto"/>
              <w:rPr>
                <w:rFonts w:ascii="Arial"/>
                <w:sz w:val="21"/>
              </w:rPr>
            </w:pPr>
          </w:p>
          <w:p w14:paraId="6258235B">
            <w:pPr>
              <w:spacing w:line="253" w:lineRule="auto"/>
              <w:rPr>
                <w:rFonts w:ascii="Arial"/>
                <w:sz w:val="21"/>
              </w:rPr>
            </w:pPr>
          </w:p>
          <w:p w14:paraId="71DED71F">
            <w:pPr>
              <w:spacing w:line="253" w:lineRule="auto"/>
              <w:rPr>
                <w:rFonts w:ascii="Arial"/>
                <w:sz w:val="21"/>
              </w:rPr>
            </w:pPr>
          </w:p>
          <w:p w14:paraId="58B98F06">
            <w:pPr>
              <w:pStyle w:val="6"/>
              <w:spacing w:before="65" w:line="252" w:lineRule="auto"/>
              <w:ind w:left="166" w:right="67" w:hanging="101"/>
              <w:rPr>
                <w:sz w:val="20"/>
                <w:szCs w:val="20"/>
              </w:rPr>
            </w:pPr>
            <w:r>
              <w:rPr>
                <w:spacing w:val="7"/>
                <w:sz w:val="20"/>
                <w:szCs w:val="20"/>
              </w:rPr>
              <w:t>原项目废水</w:t>
            </w:r>
            <w:r>
              <w:rPr>
                <w:sz w:val="20"/>
                <w:szCs w:val="20"/>
              </w:rPr>
              <w:t xml:space="preserve"> </w:t>
            </w:r>
            <w:r>
              <w:rPr>
                <w:spacing w:val="4"/>
                <w:sz w:val="20"/>
                <w:szCs w:val="20"/>
              </w:rPr>
              <w:t>站出水。</w:t>
            </w:r>
          </w:p>
        </w:tc>
        <w:tc>
          <w:tcPr>
            <w:tcW w:w="1471" w:type="dxa"/>
            <w:vAlign w:val="top"/>
          </w:tcPr>
          <w:p w14:paraId="0C7F208A">
            <w:pPr>
              <w:spacing w:before="107" w:line="194"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83" w:type="dxa"/>
            <w:vAlign w:val="top"/>
          </w:tcPr>
          <w:p w14:paraId="7F37868A">
            <w:pPr>
              <w:pStyle w:val="6"/>
              <w:spacing w:before="69" w:line="228" w:lineRule="auto"/>
              <w:ind w:left="333"/>
              <w:rPr>
                <w:sz w:val="20"/>
                <w:szCs w:val="20"/>
              </w:rPr>
            </w:pPr>
            <w:r>
              <w:rPr>
                <w:spacing w:val="6"/>
                <w:sz w:val="20"/>
                <w:szCs w:val="20"/>
              </w:rPr>
              <w:t>无量纲</w:t>
            </w:r>
          </w:p>
        </w:tc>
        <w:tc>
          <w:tcPr>
            <w:tcW w:w="1399" w:type="dxa"/>
            <w:vAlign w:val="top"/>
          </w:tcPr>
          <w:p w14:paraId="75018724">
            <w:pPr>
              <w:spacing w:before="105"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6.0~9.0</w:t>
            </w:r>
          </w:p>
        </w:tc>
        <w:tc>
          <w:tcPr>
            <w:tcW w:w="1519" w:type="dxa"/>
            <w:vMerge w:val="restart"/>
            <w:tcBorders>
              <w:bottom w:val="nil"/>
            </w:tcBorders>
            <w:vAlign w:val="top"/>
          </w:tcPr>
          <w:p w14:paraId="323684B7">
            <w:pPr>
              <w:spacing w:line="248" w:lineRule="auto"/>
              <w:rPr>
                <w:rFonts w:ascii="Arial"/>
                <w:sz w:val="21"/>
              </w:rPr>
            </w:pPr>
          </w:p>
          <w:p w14:paraId="14219EAA">
            <w:pPr>
              <w:spacing w:line="248" w:lineRule="auto"/>
              <w:rPr>
                <w:rFonts w:ascii="Arial"/>
                <w:sz w:val="21"/>
              </w:rPr>
            </w:pPr>
          </w:p>
          <w:p w14:paraId="6E6067A7">
            <w:pPr>
              <w:spacing w:line="248" w:lineRule="auto"/>
              <w:rPr>
                <w:rFonts w:ascii="Arial"/>
                <w:sz w:val="21"/>
              </w:rPr>
            </w:pPr>
          </w:p>
          <w:p w14:paraId="2FF7B3FE">
            <w:pPr>
              <w:spacing w:line="248" w:lineRule="auto"/>
              <w:rPr>
                <w:rFonts w:ascii="Arial"/>
                <w:sz w:val="21"/>
              </w:rPr>
            </w:pPr>
          </w:p>
          <w:p w14:paraId="121B6F41">
            <w:pPr>
              <w:spacing w:line="248" w:lineRule="auto"/>
              <w:rPr>
                <w:rFonts w:ascii="Arial"/>
                <w:sz w:val="21"/>
              </w:rPr>
            </w:pPr>
          </w:p>
          <w:p w14:paraId="6355D641">
            <w:pPr>
              <w:spacing w:line="248" w:lineRule="auto"/>
              <w:rPr>
                <w:rFonts w:ascii="Arial"/>
                <w:sz w:val="21"/>
              </w:rPr>
            </w:pPr>
          </w:p>
          <w:p w14:paraId="0CFD5053">
            <w:pPr>
              <w:spacing w:line="248" w:lineRule="auto"/>
              <w:rPr>
                <w:rFonts w:ascii="Arial"/>
                <w:sz w:val="21"/>
              </w:rPr>
            </w:pPr>
          </w:p>
          <w:p w14:paraId="6E112D0C">
            <w:pPr>
              <w:spacing w:line="248" w:lineRule="auto"/>
              <w:rPr>
                <w:rFonts w:ascii="Arial"/>
                <w:sz w:val="21"/>
              </w:rPr>
            </w:pPr>
          </w:p>
          <w:p w14:paraId="5E70B07D">
            <w:pPr>
              <w:spacing w:line="248" w:lineRule="auto"/>
              <w:rPr>
                <w:rFonts w:ascii="Arial"/>
                <w:sz w:val="21"/>
              </w:rPr>
            </w:pPr>
          </w:p>
          <w:p w14:paraId="0270DBAF">
            <w:pPr>
              <w:spacing w:line="248" w:lineRule="auto"/>
              <w:rPr>
                <w:rFonts w:ascii="Arial"/>
                <w:sz w:val="21"/>
              </w:rPr>
            </w:pPr>
          </w:p>
          <w:p w14:paraId="25E822BA">
            <w:pPr>
              <w:spacing w:line="248" w:lineRule="auto"/>
              <w:rPr>
                <w:rFonts w:ascii="Arial"/>
                <w:sz w:val="21"/>
              </w:rPr>
            </w:pPr>
          </w:p>
          <w:p w14:paraId="7337860A">
            <w:pPr>
              <w:spacing w:line="248" w:lineRule="auto"/>
              <w:rPr>
                <w:rFonts w:ascii="Arial"/>
                <w:sz w:val="21"/>
              </w:rPr>
            </w:pPr>
          </w:p>
          <w:p w14:paraId="3A2212E5">
            <w:pPr>
              <w:spacing w:line="249" w:lineRule="auto"/>
              <w:rPr>
                <w:rFonts w:ascii="Arial"/>
                <w:sz w:val="21"/>
              </w:rPr>
            </w:pPr>
          </w:p>
          <w:p w14:paraId="38A3D13D">
            <w:pPr>
              <w:spacing w:line="249" w:lineRule="auto"/>
              <w:rPr>
                <w:rFonts w:ascii="Arial"/>
                <w:sz w:val="21"/>
              </w:rPr>
            </w:pPr>
          </w:p>
          <w:p w14:paraId="49CE0FE7">
            <w:pPr>
              <w:spacing w:line="249" w:lineRule="auto"/>
              <w:rPr>
                <w:rFonts w:ascii="Arial"/>
                <w:sz w:val="21"/>
              </w:rPr>
            </w:pPr>
          </w:p>
          <w:p w14:paraId="31EA1DE8">
            <w:pPr>
              <w:spacing w:line="249" w:lineRule="auto"/>
              <w:rPr>
                <w:rFonts w:ascii="Arial"/>
                <w:sz w:val="21"/>
              </w:rPr>
            </w:pPr>
          </w:p>
          <w:p w14:paraId="33378E12">
            <w:pPr>
              <w:spacing w:line="249" w:lineRule="auto"/>
              <w:rPr>
                <w:rFonts w:ascii="Arial"/>
                <w:sz w:val="21"/>
              </w:rPr>
            </w:pPr>
          </w:p>
          <w:p w14:paraId="5AA129F4">
            <w:pPr>
              <w:spacing w:before="58"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146164.8</w:t>
            </w:r>
          </w:p>
        </w:tc>
        <w:tc>
          <w:tcPr>
            <w:tcW w:w="1278" w:type="dxa"/>
            <w:vAlign w:val="top"/>
          </w:tcPr>
          <w:p w14:paraId="6C62D5CE">
            <w:pPr>
              <w:spacing w:before="101" w:line="199"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 w:type="dxa"/>
            <w:tcBorders>
              <w:top w:val="nil"/>
              <w:bottom w:val="nil"/>
              <w:right w:val="single" w:color="000000" w:sz="6" w:space="0"/>
            </w:tcBorders>
            <w:vAlign w:val="top"/>
          </w:tcPr>
          <w:p w14:paraId="20F931EA">
            <w:pPr>
              <w:rPr>
                <w:rFonts w:ascii="Arial"/>
                <w:sz w:val="21"/>
              </w:rPr>
            </w:pPr>
          </w:p>
        </w:tc>
      </w:tr>
      <w:tr w14:paraId="71921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4CC72714">
            <w:pPr>
              <w:rPr>
                <w:rFonts w:ascii="Arial"/>
                <w:sz w:val="21"/>
              </w:rPr>
            </w:pPr>
          </w:p>
        </w:tc>
        <w:tc>
          <w:tcPr>
            <w:tcW w:w="123" w:type="dxa"/>
            <w:tcBorders>
              <w:top w:val="nil"/>
              <w:bottom w:val="nil"/>
            </w:tcBorders>
            <w:vAlign w:val="top"/>
          </w:tcPr>
          <w:p w14:paraId="52997E87">
            <w:pPr>
              <w:rPr>
                <w:rFonts w:ascii="Arial"/>
                <w:sz w:val="21"/>
              </w:rPr>
            </w:pPr>
          </w:p>
        </w:tc>
        <w:tc>
          <w:tcPr>
            <w:tcW w:w="1174" w:type="dxa"/>
            <w:vMerge w:val="continue"/>
            <w:tcBorders>
              <w:top w:val="nil"/>
              <w:bottom w:val="nil"/>
            </w:tcBorders>
            <w:vAlign w:val="top"/>
          </w:tcPr>
          <w:p w14:paraId="46584863">
            <w:pPr>
              <w:rPr>
                <w:rFonts w:ascii="Arial"/>
                <w:sz w:val="21"/>
              </w:rPr>
            </w:pPr>
          </w:p>
        </w:tc>
        <w:tc>
          <w:tcPr>
            <w:tcW w:w="1471" w:type="dxa"/>
            <w:vAlign w:val="top"/>
          </w:tcPr>
          <w:p w14:paraId="5E1D93C6">
            <w:pPr>
              <w:pStyle w:val="6"/>
              <w:spacing w:before="75" w:line="228" w:lineRule="auto"/>
              <w:ind w:left="530"/>
              <w:rPr>
                <w:sz w:val="20"/>
                <w:szCs w:val="20"/>
              </w:rPr>
            </w:pPr>
            <w:r>
              <w:rPr>
                <w:spacing w:val="3"/>
                <w:sz w:val="20"/>
                <w:szCs w:val="20"/>
              </w:rPr>
              <w:t>色度</w:t>
            </w:r>
          </w:p>
        </w:tc>
        <w:tc>
          <w:tcPr>
            <w:tcW w:w="1283" w:type="dxa"/>
            <w:vAlign w:val="top"/>
          </w:tcPr>
          <w:p w14:paraId="528275E5">
            <w:pPr>
              <w:pStyle w:val="6"/>
              <w:spacing w:before="75" w:line="228" w:lineRule="auto"/>
              <w:ind w:left="540"/>
              <w:rPr>
                <w:sz w:val="20"/>
                <w:szCs w:val="20"/>
              </w:rPr>
            </w:pPr>
            <w:r>
              <w:rPr>
                <w:sz w:val="20"/>
                <w:szCs w:val="20"/>
              </w:rPr>
              <w:t>倍</w:t>
            </w:r>
          </w:p>
        </w:tc>
        <w:tc>
          <w:tcPr>
            <w:tcW w:w="1399" w:type="dxa"/>
            <w:vAlign w:val="top"/>
          </w:tcPr>
          <w:p w14:paraId="1821E337">
            <w:pPr>
              <w:spacing w:before="113" w:line="195" w:lineRule="auto"/>
              <w:ind w:left="65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9" w:type="dxa"/>
            <w:vMerge w:val="continue"/>
            <w:tcBorders>
              <w:top w:val="nil"/>
              <w:bottom w:val="nil"/>
            </w:tcBorders>
            <w:vAlign w:val="top"/>
          </w:tcPr>
          <w:p w14:paraId="0ABC1F4E">
            <w:pPr>
              <w:rPr>
                <w:rFonts w:ascii="Arial"/>
                <w:sz w:val="21"/>
              </w:rPr>
            </w:pPr>
          </w:p>
        </w:tc>
        <w:tc>
          <w:tcPr>
            <w:tcW w:w="1278" w:type="dxa"/>
            <w:vAlign w:val="top"/>
          </w:tcPr>
          <w:p w14:paraId="071107FA">
            <w:pPr>
              <w:spacing w:before="109" w:line="199"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 w:type="dxa"/>
            <w:tcBorders>
              <w:top w:val="nil"/>
              <w:bottom w:val="nil"/>
              <w:right w:val="single" w:color="000000" w:sz="6" w:space="0"/>
            </w:tcBorders>
            <w:vAlign w:val="top"/>
          </w:tcPr>
          <w:p w14:paraId="029847D4">
            <w:pPr>
              <w:rPr>
                <w:rFonts w:ascii="Arial"/>
                <w:sz w:val="21"/>
              </w:rPr>
            </w:pPr>
          </w:p>
        </w:tc>
      </w:tr>
      <w:tr w14:paraId="465CF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1705E72C">
            <w:pPr>
              <w:rPr>
                <w:rFonts w:ascii="Arial"/>
                <w:sz w:val="21"/>
              </w:rPr>
            </w:pPr>
          </w:p>
        </w:tc>
        <w:tc>
          <w:tcPr>
            <w:tcW w:w="123" w:type="dxa"/>
            <w:tcBorders>
              <w:top w:val="nil"/>
              <w:bottom w:val="nil"/>
            </w:tcBorders>
            <w:vAlign w:val="top"/>
          </w:tcPr>
          <w:p w14:paraId="18E7549E">
            <w:pPr>
              <w:rPr>
                <w:rFonts w:ascii="Arial"/>
                <w:sz w:val="21"/>
              </w:rPr>
            </w:pPr>
          </w:p>
        </w:tc>
        <w:tc>
          <w:tcPr>
            <w:tcW w:w="1174" w:type="dxa"/>
            <w:vMerge w:val="continue"/>
            <w:tcBorders>
              <w:top w:val="nil"/>
              <w:bottom w:val="nil"/>
            </w:tcBorders>
            <w:vAlign w:val="top"/>
          </w:tcPr>
          <w:p w14:paraId="5667FA4D">
            <w:pPr>
              <w:rPr>
                <w:rFonts w:ascii="Arial"/>
                <w:sz w:val="21"/>
              </w:rPr>
            </w:pPr>
          </w:p>
        </w:tc>
        <w:tc>
          <w:tcPr>
            <w:tcW w:w="1471" w:type="dxa"/>
            <w:vAlign w:val="top"/>
          </w:tcPr>
          <w:p w14:paraId="65FAED4B">
            <w:pPr>
              <w:spacing w:before="118"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83" w:type="dxa"/>
            <w:vAlign w:val="top"/>
          </w:tcPr>
          <w:p w14:paraId="0B6B9D88">
            <w:pPr>
              <w:spacing w:before="115"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2FF3350A">
            <w:pPr>
              <w:spacing w:before="118" w:line="195" w:lineRule="auto"/>
              <w:ind w:left="65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19" w:type="dxa"/>
            <w:vMerge w:val="continue"/>
            <w:tcBorders>
              <w:top w:val="nil"/>
              <w:bottom w:val="nil"/>
            </w:tcBorders>
            <w:vAlign w:val="top"/>
          </w:tcPr>
          <w:p w14:paraId="2DB279C1">
            <w:pPr>
              <w:rPr>
                <w:rFonts w:ascii="Arial"/>
                <w:sz w:val="21"/>
              </w:rPr>
            </w:pPr>
          </w:p>
        </w:tc>
        <w:tc>
          <w:tcPr>
            <w:tcW w:w="1278" w:type="dxa"/>
            <w:vAlign w:val="top"/>
          </w:tcPr>
          <w:p w14:paraId="3FF238EC">
            <w:pPr>
              <w:spacing w:before="118"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1.169</w:t>
            </w:r>
          </w:p>
        </w:tc>
        <w:tc>
          <w:tcPr>
            <w:tcW w:w="133" w:type="dxa"/>
            <w:tcBorders>
              <w:top w:val="nil"/>
              <w:bottom w:val="nil"/>
              <w:right w:val="single" w:color="000000" w:sz="6" w:space="0"/>
            </w:tcBorders>
            <w:vAlign w:val="top"/>
          </w:tcPr>
          <w:p w14:paraId="223B543C">
            <w:pPr>
              <w:rPr>
                <w:rFonts w:ascii="Arial"/>
                <w:sz w:val="21"/>
              </w:rPr>
            </w:pPr>
          </w:p>
        </w:tc>
      </w:tr>
      <w:tr w14:paraId="4DABB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05" w:type="dxa"/>
            <w:vMerge w:val="continue"/>
            <w:tcBorders>
              <w:top w:val="nil"/>
              <w:left w:val="single" w:color="000000" w:sz="6" w:space="0"/>
              <w:bottom w:val="nil"/>
            </w:tcBorders>
            <w:vAlign w:val="top"/>
          </w:tcPr>
          <w:p w14:paraId="1A3BB07B">
            <w:pPr>
              <w:rPr>
                <w:rFonts w:ascii="Arial"/>
                <w:sz w:val="21"/>
              </w:rPr>
            </w:pPr>
          </w:p>
        </w:tc>
        <w:tc>
          <w:tcPr>
            <w:tcW w:w="123" w:type="dxa"/>
            <w:tcBorders>
              <w:top w:val="nil"/>
              <w:bottom w:val="nil"/>
            </w:tcBorders>
            <w:vAlign w:val="top"/>
          </w:tcPr>
          <w:p w14:paraId="4221E586">
            <w:pPr>
              <w:rPr>
                <w:rFonts w:ascii="Arial"/>
                <w:sz w:val="21"/>
              </w:rPr>
            </w:pPr>
          </w:p>
        </w:tc>
        <w:tc>
          <w:tcPr>
            <w:tcW w:w="1174" w:type="dxa"/>
            <w:vMerge w:val="continue"/>
            <w:tcBorders>
              <w:top w:val="nil"/>
              <w:bottom w:val="nil"/>
            </w:tcBorders>
            <w:vAlign w:val="top"/>
          </w:tcPr>
          <w:p w14:paraId="4D314A7F">
            <w:pPr>
              <w:rPr>
                <w:rFonts w:ascii="Arial"/>
                <w:sz w:val="21"/>
              </w:rPr>
            </w:pPr>
          </w:p>
        </w:tc>
        <w:tc>
          <w:tcPr>
            <w:tcW w:w="1471" w:type="dxa"/>
            <w:vAlign w:val="top"/>
          </w:tcPr>
          <w:p w14:paraId="627099D5">
            <w:pPr>
              <w:spacing w:before="123" w:line="200" w:lineRule="auto"/>
              <w:ind w:left="47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283" w:type="dxa"/>
            <w:vAlign w:val="top"/>
          </w:tcPr>
          <w:p w14:paraId="69B24741">
            <w:pPr>
              <w:spacing w:before="120"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731E66D0">
            <w:pPr>
              <w:spacing w:before="124"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519" w:type="dxa"/>
            <w:vMerge w:val="continue"/>
            <w:tcBorders>
              <w:top w:val="nil"/>
              <w:bottom w:val="nil"/>
            </w:tcBorders>
            <w:vAlign w:val="top"/>
          </w:tcPr>
          <w:p w14:paraId="27C4D603">
            <w:pPr>
              <w:rPr>
                <w:rFonts w:ascii="Arial"/>
                <w:sz w:val="21"/>
              </w:rPr>
            </w:pPr>
          </w:p>
        </w:tc>
        <w:tc>
          <w:tcPr>
            <w:tcW w:w="1278" w:type="dxa"/>
            <w:vAlign w:val="top"/>
          </w:tcPr>
          <w:p w14:paraId="3EA16E4A">
            <w:pPr>
              <w:spacing w:before="124"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1.769</w:t>
            </w:r>
          </w:p>
        </w:tc>
        <w:tc>
          <w:tcPr>
            <w:tcW w:w="133" w:type="dxa"/>
            <w:tcBorders>
              <w:top w:val="nil"/>
              <w:bottom w:val="nil"/>
              <w:right w:val="single" w:color="000000" w:sz="6" w:space="0"/>
            </w:tcBorders>
            <w:vAlign w:val="top"/>
          </w:tcPr>
          <w:p w14:paraId="532FC363">
            <w:pPr>
              <w:rPr>
                <w:rFonts w:ascii="Arial"/>
                <w:sz w:val="21"/>
              </w:rPr>
            </w:pPr>
          </w:p>
        </w:tc>
      </w:tr>
      <w:tr w14:paraId="7EEDC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2364951D">
            <w:pPr>
              <w:rPr>
                <w:rFonts w:ascii="Arial"/>
                <w:sz w:val="21"/>
              </w:rPr>
            </w:pPr>
          </w:p>
        </w:tc>
        <w:tc>
          <w:tcPr>
            <w:tcW w:w="123" w:type="dxa"/>
            <w:tcBorders>
              <w:top w:val="nil"/>
              <w:bottom w:val="nil"/>
            </w:tcBorders>
            <w:vAlign w:val="top"/>
          </w:tcPr>
          <w:p w14:paraId="3657B660">
            <w:pPr>
              <w:rPr>
                <w:rFonts w:ascii="Arial"/>
                <w:sz w:val="21"/>
              </w:rPr>
            </w:pPr>
          </w:p>
        </w:tc>
        <w:tc>
          <w:tcPr>
            <w:tcW w:w="1174" w:type="dxa"/>
            <w:vMerge w:val="continue"/>
            <w:tcBorders>
              <w:top w:val="nil"/>
              <w:bottom w:val="nil"/>
            </w:tcBorders>
            <w:vAlign w:val="top"/>
          </w:tcPr>
          <w:p w14:paraId="5DD3A34B">
            <w:pPr>
              <w:rPr>
                <w:rFonts w:ascii="Arial"/>
                <w:sz w:val="21"/>
              </w:rPr>
            </w:pPr>
          </w:p>
        </w:tc>
        <w:tc>
          <w:tcPr>
            <w:tcW w:w="1471" w:type="dxa"/>
            <w:vAlign w:val="top"/>
          </w:tcPr>
          <w:p w14:paraId="19AACEF0">
            <w:pPr>
              <w:spacing w:before="109" w:line="202" w:lineRule="auto"/>
              <w:ind w:left="44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283" w:type="dxa"/>
            <w:vAlign w:val="top"/>
          </w:tcPr>
          <w:p w14:paraId="1C12EE54">
            <w:pPr>
              <w:spacing w:before="105"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1C78CEC2">
            <w:pPr>
              <w:spacing w:before="109"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519" w:type="dxa"/>
            <w:vMerge w:val="continue"/>
            <w:tcBorders>
              <w:top w:val="nil"/>
              <w:bottom w:val="nil"/>
            </w:tcBorders>
            <w:vAlign w:val="top"/>
          </w:tcPr>
          <w:p w14:paraId="45992343">
            <w:pPr>
              <w:rPr>
                <w:rFonts w:ascii="Arial"/>
                <w:sz w:val="21"/>
              </w:rPr>
            </w:pPr>
          </w:p>
        </w:tc>
        <w:tc>
          <w:tcPr>
            <w:tcW w:w="1278" w:type="dxa"/>
            <w:vAlign w:val="top"/>
          </w:tcPr>
          <w:p w14:paraId="6561B8BD">
            <w:pPr>
              <w:spacing w:before="109"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5.993</w:t>
            </w:r>
          </w:p>
        </w:tc>
        <w:tc>
          <w:tcPr>
            <w:tcW w:w="133" w:type="dxa"/>
            <w:tcBorders>
              <w:top w:val="nil"/>
              <w:bottom w:val="nil"/>
              <w:right w:val="single" w:color="000000" w:sz="6" w:space="0"/>
            </w:tcBorders>
            <w:vAlign w:val="top"/>
          </w:tcPr>
          <w:p w14:paraId="1CFF288F">
            <w:pPr>
              <w:rPr>
                <w:rFonts w:ascii="Arial"/>
                <w:sz w:val="21"/>
              </w:rPr>
            </w:pPr>
          </w:p>
        </w:tc>
      </w:tr>
      <w:tr w14:paraId="61283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0A5DFE37">
            <w:pPr>
              <w:rPr>
                <w:rFonts w:ascii="Arial"/>
                <w:sz w:val="21"/>
              </w:rPr>
            </w:pPr>
          </w:p>
        </w:tc>
        <w:tc>
          <w:tcPr>
            <w:tcW w:w="123" w:type="dxa"/>
            <w:tcBorders>
              <w:top w:val="nil"/>
              <w:bottom w:val="nil"/>
            </w:tcBorders>
            <w:vAlign w:val="top"/>
          </w:tcPr>
          <w:p w14:paraId="455E3C2F">
            <w:pPr>
              <w:rPr>
                <w:rFonts w:ascii="Arial"/>
                <w:sz w:val="21"/>
              </w:rPr>
            </w:pPr>
          </w:p>
        </w:tc>
        <w:tc>
          <w:tcPr>
            <w:tcW w:w="1174" w:type="dxa"/>
            <w:vMerge w:val="continue"/>
            <w:tcBorders>
              <w:top w:val="nil"/>
              <w:bottom w:val="nil"/>
            </w:tcBorders>
            <w:vAlign w:val="top"/>
          </w:tcPr>
          <w:p w14:paraId="0E90F15B">
            <w:pPr>
              <w:rPr>
                <w:rFonts w:ascii="Arial"/>
                <w:sz w:val="21"/>
              </w:rPr>
            </w:pPr>
          </w:p>
        </w:tc>
        <w:tc>
          <w:tcPr>
            <w:tcW w:w="1471" w:type="dxa"/>
            <w:vAlign w:val="top"/>
          </w:tcPr>
          <w:p w14:paraId="7EC6F212">
            <w:pPr>
              <w:pStyle w:val="6"/>
              <w:spacing w:before="78" w:line="229" w:lineRule="auto"/>
              <w:ind w:left="421"/>
              <w:rPr>
                <w:sz w:val="20"/>
                <w:szCs w:val="20"/>
              </w:rPr>
            </w:pPr>
            <w:r>
              <w:rPr>
                <w:spacing w:val="7"/>
                <w:sz w:val="20"/>
                <w:szCs w:val="20"/>
              </w:rPr>
              <w:t>硫化物</w:t>
            </w:r>
          </w:p>
        </w:tc>
        <w:tc>
          <w:tcPr>
            <w:tcW w:w="1283" w:type="dxa"/>
            <w:vAlign w:val="top"/>
          </w:tcPr>
          <w:p w14:paraId="4AA07DA8">
            <w:pPr>
              <w:spacing w:before="110"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411CCED5">
            <w:pPr>
              <w:spacing w:before="114"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519" w:type="dxa"/>
            <w:vMerge w:val="continue"/>
            <w:tcBorders>
              <w:top w:val="nil"/>
              <w:bottom w:val="nil"/>
            </w:tcBorders>
            <w:vAlign w:val="top"/>
          </w:tcPr>
          <w:p w14:paraId="35E1F32D">
            <w:pPr>
              <w:rPr>
                <w:rFonts w:ascii="Arial"/>
                <w:sz w:val="21"/>
              </w:rPr>
            </w:pPr>
          </w:p>
        </w:tc>
        <w:tc>
          <w:tcPr>
            <w:tcW w:w="1278" w:type="dxa"/>
            <w:vAlign w:val="top"/>
          </w:tcPr>
          <w:p w14:paraId="5E3BD40C">
            <w:pPr>
              <w:spacing w:before="114"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33" w:type="dxa"/>
            <w:tcBorders>
              <w:top w:val="nil"/>
              <w:bottom w:val="nil"/>
              <w:right w:val="single" w:color="000000" w:sz="6" w:space="0"/>
            </w:tcBorders>
            <w:vAlign w:val="top"/>
          </w:tcPr>
          <w:p w14:paraId="19D37311">
            <w:pPr>
              <w:rPr>
                <w:rFonts w:ascii="Arial"/>
                <w:sz w:val="21"/>
              </w:rPr>
            </w:pPr>
          </w:p>
        </w:tc>
      </w:tr>
      <w:tr w14:paraId="146D2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08FE4529">
            <w:pPr>
              <w:rPr>
                <w:rFonts w:ascii="Arial"/>
                <w:sz w:val="21"/>
              </w:rPr>
            </w:pPr>
          </w:p>
        </w:tc>
        <w:tc>
          <w:tcPr>
            <w:tcW w:w="123" w:type="dxa"/>
            <w:tcBorders>
              <w:top w:val="nil"/>
              <w:bottom w:val="nil"/>
            </w:tcBorders>
            <w:vAlign w:val="top"/>
          </w:tcPr>
          <w:p w14:paraId="54056A23">
            <w:pPr>
              <w:rPr>
                <w:rFonts w:ascii="Arial"/>
                <w:sz w:val="21"/>
              </w:rPr>
            </w:pPr>
          </w:p>
        </w:tc>
        <w:tc>
          <w:tcPr>
            <w:tcW w:w="1174" w:type="dxa"/>
            <w:vMerge w:val="continue"/>
            <w:tcBorders>
              <w:top w:val="nil"/>
              <w:bottom w:val="nil"/>
            </w:tcBorders>
            <w:vAlign w:val="top"/>
          </w:tcPr>
          <w:p w14:paraId="1F5BBB11">
            <w:pPr>
              <w:rPr>
                <w:rFonts w:ascii="Arial"/>
                <w:sz w:val="21"/>
              </w:rPr>
            </w:pPr>
          </w:p>
        </w:tc>
        <w:tc>
          <w:tcPr>
            <w:tcW w:w="1471" w:type="dxa"/>
            <w:vAlign w:val="top"/>
          </w:tcPr>
          <w:p w14:paraId="76F6700E">
            <w:pPr>
              <w:pStyle w:val="6"/>
              <w:spacing w:before="84" w:line="227" w:lineRule="auto"/>
              <w:ind w:left="423"/>
              <w:rPr>
                <w:sz w:val="20"/>
                <w:szCs w:val="20"/>
              </w:rPr>
            </w:pPr>
            <w:r>
              <w:rPr>
                <w:spacing w:val="6"/>
                <w:sz w:val="20"/>
                <w:szCs w:val="20"/>
              </w:rPr>
              <w:t>氟化物</w:t>
            </w:r>
          </w:p>
        </w:tc>
        <w:tc>
          <w:tcPr>
            <w:tcW w:w="1283" w:type="dxa"/>
            <w:vAlign w:val="top"/>
          </w:tcPr>
          <w:p w14:paraId="66469CA6">
            <w:pPr>
              <w:spacing w:before="116"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11AF7E8E">
            <w:pPr>
              <w:spacing w:before="120"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c>
          <w:tcPr>
            <w:tcW w:w="1519" w:type="dxa"/>
            <w:vMerge w:val="continue"/>
            <w:tcBorders>
              <w:top w:val="nil"/>
              <w:bottom w:val="nil"/>
            </w:tcBorders>
            <w:vAlign w:val="top"/>
          </w:tcPr>
          <w:p w14:paraId="53601A70">
            <w:pPr>
              <w:rPr>
                <w:rFonts w:ascii="Arial"/>
                <w:sz w:val="21"/>
              </w:rPr>
            </w:pPr>
          </w:p>
        </w:tc>
        <w:tc>
          <w:tcPr>
            <w:tcW w:w="1278" w:type="dxa"/>
            <w:vAlign w:val="top"/>
          </w:tcPr>
          <w:p w14:paraId="03FD2AB9">
            <w:pPr>
              <w:spacing w:before="12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1.181</w:t>
            </w:r>
          </w:p>
        </w:tc>
        <w:tc>
          <w:tcPr>
            <w:tcW w:w="133" w:type="dxa"/>
            <w:tcBorders>
              <w:top w:val="nil"/>
              <w:bottom w:val="nil"/>
              <w:right w:val="single" w:color="000000" w:sz="6" w:space="0"/>
            </w:tcBorders>
            <w:vAlign w:val="top"/>
          </w:tcPr>
          <w:p w14:paraId="3554AB65">
            <w:pPr>
              <w:rPr>
                <w:rFonts w:ascii="Arial"/>
                <w:sz w:val="21"/>
              </w:rPr>
            </w:pPr>
          </w:p>
        </w:tc>
      </w:tr>
      <w:tr w14:paraId="04517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05" w:type="dxa"/>
            <w:vMerge w:val="continue"/>
            <w:tcBorders>
              <w:top w:val="nil"/>
              <w:left w:val="single" w:color="000000" w:sz="6" w:space="0"/>
              <w:bottom w:val="nil"/>
            </w:tcBorders>
            <w:vAlign w:val="top"/>
          </w:tcPr>
          <w:p w14:paraId="37031159">
            <w:pPr>
              <w:rPr>
                <w:rFonts w:ascii="Arial"/>
                <w:sz w:val="21"/>
              </w:rPr>
            </w:pPr>
          </w:p>
        </w:tc>
        <w:tc>
          <w:tcPr>
            <w:tcW w:w="123" w:type="dxa"/>
            <w:tcBorders>
              <w:top w:val="nil"/>
              <w:bottom w:val="nil"/>
            </w:tcBorders>
            <w:vAlign w:val="top"/>
          </w:tcPr>
          <w:p w14:paraId="5AEECF8C">
            <w:pPr>
              <w:rPr>
                <w:rFonts w:ascii="Arial"/>
                <w:sz w:val="21"/>
              </w:rPr>
            </w:pPr>
          </w:p>
        </w:tc>
        <w:tc>
          <w:tcPr>
            <w:tcW w:w="1174" w:type="dxa"/>
            <w:vMerge w:val="continue"/>
            <w:tcBorders>
              <w:top w:val="nil"/>
              <w:bottom w:val="nil"/>
            </w:tcBorders>
            <w:vAlign w:val="top"/>
          </w:tcPr>
          <w:p w14:paraId="16475228">
            <w:pPr>
              <w:rPr>
                <w:rFonts w:ascii="Arial"/>
                <w:sz w:val="21"/>
              </w:rPr>
            </w:pPr>
          </w:p>
        </w:tc>
        <w:tc>
          <w:tcPr>
            <w:tcW w:w="1471" w:type="dxa"/>
            <w:vAlign w:val="top"/>
          </w:tcPr>
          <w:p w14:paraId="3A06114F">
            <w:pPr>
              <w:pStyle w:val="6"/>
              <w:spacing w:before="87" w:line="229" w:lineRule="auto"/>
              <w:ind w:left="426"/>
              <w:rPr>
                <w:sz w:val="20"/>
                <w:szCs w:val="20"/>
              </w:rPr>
            </w:pPr>
            <w:r>
              <w:rPr>
                <w:spacing w:val="5"/>
                <w:sz w:val="20"/>
                <w:szCs w:val="20"/>
              </w:rPr>
              <w:t>氯化物</w:t>
            </w:r>
          </w:p>
        </w:tc>
        <w:tc>
          <w:tcPr>
            <w:tcW w:w="1283" w:type="dxa"/>
            <w:vAlign w:val="top"/>
          </w:tcPr>
          <w:p w14:paraId="2CCD1F9A">
            <w:pPr>
              <w:spacing w:before="121"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0113FF5C">
            <w:pPr>
              <w:spacing w:before="125"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c>
          <w:tcPr>
            <w:tcW w:w="1519" w:type="dxa"/>
            <w:vMerge w:val="continue"/>
            <w:tcBorders>
              <w:top w:val="nil"/>
              <w:bottom w:val="nil"/>
            </w:tcBorders>
            <w:vAlign w:val="top"/>
          </w:tcPr>
          <w:p w14:paraId="2582C5E9">
            <w:pPr>
              <w:rPr>
                <w:rFonts w:ascii="Arial"/>
                <w:sz w:val="21"/>
              </w:rPr>
            </w:pPr>
          </w:p>
        </w:tc>
        <w:tc>
          <w:tcPr>
            <w:tcW w:w="1278" w:type="dxa"/>
            <w:vAlign w:val="top"/>
          </w:tcPr>
          <w:p w14:paraId="52D9709F">
            <w:pPr>
              <w:spacing w:before="125"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36.834</w:t>
            </w:r>
          </w:p>
        </w:tc>
        <w:tc>
          <w:tcPr>
            <w:tcW w:w="133" w:type="dxa"/>
            <w:tcBorders>
              <w:top w:val="nil"/>
              <w:bottom w:val="nil"/>
              <w:right w:val="single" w:color="000000" w:sz="6" w:space="0"/>
            </w:tcBorders>
            <w:vAlign w:val="top"/>
          </w:tcPr>
          <w:p w14:paraId="1D60E4A3">
            <w:pPr>
              <w:rPr>
                <w:rFonts w:ascii="Arial"/>
                <w:sz w:val="21"/>
              </w:rPr>
            </w:pPr>
          </w:p>
        </w:tc>
      </w:tr>
      <w:tr w14:paraId="52C47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6BBA4EF7">
            <w:pPr>
              <w:rPr>
                <w:rFonts w:ascii="Arial"/>
                <w:sz w:val="21"/>
              </w:rPr>
            </w:pPr>
          </w:p>
        </w:tc>
        <w:tc>
          <w:tcPr>
            <w:tcW w:w="123" w:type="dxa"/>
            <w:tcBorders>
              <w:top w:val="nil"/>
              <w:bottom w:val="nil"/>
            </w:tcBorders>
            <w:vAlign w:val="top"/>
          </w:tcPr>
          <w:p w14:paraId="43F4239E">
            <w:pPr>
              <w:rPr>
                <w:rFonts w:ascii="Arial"/>
                <w:sz w:val="21"/>
              </w:rPr>
            </w:pPr>
          </w:p>
        </w:tc>
        <w:tc>
          <w:tcPr>
            <w:tcW w:w="1174" w:type="dxa"/>
            <w:vMerge w:val="continue"/>
            <w:tcBorders>
              <w:top w:val="nil"/>
              <w:bottom w:val="nil"/>
            </w:tcBorders>
            <w:vAlign w:val="top"/>
          </w:tcPr>
          <w:p w14:paraId="72853987">
            <w:pPr>
              <w:rPr>
                <w:rFonts w:ascii="Arial"/>
                <w:sz w:val="21"/>
              </w:rPr>
            </w:pPr>
          </w:p>
        </w:tc>
        <w:tc>
          <w:tcPr>
            <w:tcW w:w="1471" w:type="dxa"/>
            <w:vAlign w:val="top"/>
          </w:tcPr>
          <w:p w14:paraId="3E5D9604">
            <w:pPr>
              <w:pStyle w:val="6"/>
              <w:spacing w:before="74" w:line="229" w:lineRule="auto"/>
              <w:ind w:left="421"/>
              <w:rPr>
                <w:sz w:val="20"/>
                <w:szCs w:val="20"/>
              </w:rPr>
            </w:pPr>
            <w:r>
              <w:rPr>
                <w:spacing w:val="7"/>
                <w:sz w:val="20"/>
                <w:szCs w:val="20"/>
              </w:rPr>
              <w:t>硫酸盐</w:t>
            </w:r>
          </w:p>
        </w:tc>
        <w:tc>
          <w:tcPr>
            <w:tcW w:w="1283" w:type="dxa"/>
            <w:vAlign w:val="top"/>
          </w:tcPr>
          <w:p w14:paraId="1BD508B0">
            <w:pPr>
              <w:spacing w:before="109"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0458654D">
            <w:pPr>
              <w:spacing w:before="112"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519" w:type="dxa"/>
            <w:vMerge w:val="continue"/>
            <w:tcBorders>
              <w:top w:val="nil"/>
              <w:bottom w:val="nil"/>
            </w:tcBorders>
            <w:vAlign w:val="top"/>
          </w:tcPr>
          <w:p w14:paraId="70A3500B">
            <w:pPr>
              <w:rPr>
                <w:rFonts w:ascii="Arial"/>
                <w:sz w:val="21"/>
              </w:rPr>
            </w:pPr>
          </w:p>
        </w:tc>
        <w:tc>
          <w:tcPr>
            <w:tcW w:w="1278" w:type="dxa"/>
            <w:vAlign w:val="top"/>
          </w:tcPr>
          <w:p w14:paraId="4CAEF9F6">
            <w:pPr>
              <w:spacing w:before="11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2.339</w:t>
            </w:r>
          </w:p>
        </w:tc>
        <w:tc>
          <w:tcPr>
            <w:tcW w:w="133" w:type="dxa"/>
            <w:tcBorders>
              <w:top w:val="nil"/>
              <w:bottom w:val="nil"/>
              <w:right w:val="single" w:color="000000" w:sz="6" w:space="0"/>
            </w:tcBorders>
            <w:vAlign w:val="top"/>
          </w:tcPr>
          <w:p w14:paraId="4AA8FCD1">
            <w:pPr>
              <w:rPr>
                <w:rFonts w:ascii="Arial"/>
                <w:sz w:val="21"/>
              </w:rPr>
            </w:pPr>
          </w:p>
        </w:tc>
      </w:tr>
      <w:tr w14:paraId="477A3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7D249C19">
            <w:pPr>
              <w:rPr>
                <w:rFonts w:ascii="Arial"/>
                <w:sz w:val="21"/>
              </w:rPr>
            </w:pPr>
          </w:p>
        </w:tc>
        <w:tc>
          <w:tcPr>
            <w:tcW w:w="123" w:type="dxa"/>
            <w:tcBorders>
              <w:top w:val="nil"/>
              <w:bottom w:val="nil"/>
            </w:tcBorders>
            <w:vAlign w:val="top"/>
          </w:tcPr>
          <w:p w14:paraId="4BF0931D">
            <w:pPr>
              <w:rPr>
                <w:rFonts w:ascii="Arial"/>
                <w:sz w:val="21"/>
              </w:rPr>
            </w:pPr>
          </w:p>
        </w:tc>
        <w:tc>
          <w:tcPr>
            <w:tcW w:w="1174" w:type="dxa"/>
            <w:vMerge w:val="continue"/>
            <w:tcBorders>
              <w:top w:val="nil"/>
              <w:bottom w:val="nil"/>
            </w:tcBorders>
            <w:vAlign w:val="top"/>
          </w:tcPr>
          <w:p w14:paraId="0D938B96">
            <w:pPr>
              <w:rPr>
                <w:rFonts w:ascii="Arial"/>
                <w:sz w:val="21"/>
              </w:rPr>
            </w:pPr>
          </w:p>
        </w:tc>
        <w:tc>
          <w:tcPr>
            <w:tcW w:w="1471" w:type="dxa"/>
            <w:vAlign w:val="top"/>
          </w:tcPr>
          <w:p w14:paraId="378BEBC5">
            <w:pPr>
              <w:pStyle w:val="6"/>
              <w:spacing w:before="79" w:line="227" w:lineRule="auto"/>
              <w:ind w:left="528"/>
              <w:rPr>
                <w:sz w:val="20"/>
                <w:szCs w:val="20"/>
              </w:rPr>
            </w:pPr>
            <w:r>
              <w:rPr>
                <w:spacing w:val="4"/>
                <w:sz w:val="20"/>
                <w:szCs w:val="20"/>
              </w:rPr>
              <w:t>氨氮</w:t>
            </w:r>
          </w:p>
        </w:tc>
        <w:tc>
          <w:tcPr>
            <w:tcW w:w="1283" w:type="dxa"/>
            <w:vAlign w:val="top"/>
          </w:tcPr>
          <w:p w14:paraId="0BCE3F36">
            <w:pPr>
              <w:spacing w:before="114"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7511A473">
            <w:pPr>
              <w:spacing w:before="118"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0.633</w:t>
            </w:r>
          </w:p>
        </w:tc>
        <w:tc>
          <w:tcPr>
            <w:tcW w:w="1519" w:type="dxa"/>
            <w:vMerge w:val="continue"/>
            <w:tcBorders>
              <w:top w:val="nil"/>
              <w:bottom w:val="nil"/>
            </w:tcBorders>
            <w:vAlign w:val="top"/>
          </w:tcPr>
          <w:p w14:paraId="7B82DD66">
            <w:pPr>
              <w:rPr>
                <w:rFonts w:ascii="Arial"/>
                <w:sz w:val="21"/>
              </w:rPr>
            </w:pPr>
          </w:p>
        </w:tc>
        <w:tc>
          <w:tcPr>
            <w:tcW w:w="1278" w:type="dxa"/>
            <w:vAlign w:val="top"/>
          </w:tcPr>
          <w:p w14:paraId="4B3B0540">
            <w:pPr>
              <w:spacing w:before="11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0.093</w:t>
            </w:r>
          </w:p>
        </w:tc>
        <w:tc>
          <w:tcPr>
            <w:tcW w:w="133" w:type="dxa"/>
            <w:tcBorders>
              <w:top w:val="nil"/>
              <w:bottom w:val="nil"/>
              <w:right w:val="single" w:color="000000" w:sz="6" w:space="0"/>
            </w:tcBorders>
            <w:vAlign w:val="top"/>
          </w:tcPr>
          <w:p w14:paraId="7FDAFFD7">
            <w:pPr>
              <w:rPr>
                <w:rFonts w:ascii="Arial"/>
                <w:sz w:val="21"/>
              </w:rPr>
            </w:pPr>
          </w:p>
        </w:tc>
      </w:tr>
      <w:tr w14:paraId="36810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468A6579">
            <w:pPr>
              <w:rPr>
                <w:rFonts w:ascii="Arial"/>
                <w:sz w:val="21"/>
              </w:rPr>
            </w:pPr>
          </w:p>
        </w:tc>
        <w:tc>
          <w:tcPr>
            <w:tcW w:w="123" w:type="dxa"/>
            <w:tcBorders>
              <w:top w:val="nil"/>
              <w:bottom w:val="nil"/>
            </w:tcBorders>
            <w:vAlign w:val="top"/>
          </w:tcPr>
          <w:p w14:paraId="20F0F512">
            <w:pPr>
              <w:rPr>
                <w:rFonts w:ascii="Arial"/>
                <w:sz w:val="21"/>
              </w:rPr>
            </w:pPr>
          </w:p>
        </w:tc>
        <w:tc>
          <w:tcPr>
            <w:tcW w:w="1174" w:type="dxa"/>
            <w:vMerge w:val="continue"/>
            <w:tcBorders>
              <w:top w:val="nil"/>
              <w:bottom w:val="nil"/>
            </w:tcBorders>
            <w:vAlign w:val="top"/>
          </w:tcPr>
          <w:p w14:paraId="58512786">
            <w:pPr>
              <w:rPr>
                <w:rFonts w:ascii="Arial"/>
                <w:sz w:val="21"/>
              </w:rPr>
            </w:pPr>
          </w:p>
        </w:tc>
        <w:tc>
          <w:tcPr>
            <w:tcW w:w="1471" w:type="dxa"/>
            <w:vAlign w:val="top"/>
          </w:tcPr>
          <w:p w14:paraId="4CAB4670">
            <w:pPr>
              <w:pStyle w:val="6"/>
              <w:spacing w:before="85" w:line="226" w:lineRule="auto"/>
              <w:ind w:left="533"/>
              <w:rPr>
                <w:sz w:val="20"/>
                <w:szCs w:val="20"/>
              </w:rPr>
            </w:pPr>
            <w:r>
              <w:rPr>
                <w:spacing w:val="2"/>
                <w:sz w:val="20"/>
                <w:szCs w:val="20"/>
              </w:rPr>
              <w:t>总氮</w:t>
            </w:r>
          </w:p>
        </w:tc>
        <w:tc>
          <w:tcPr>
            <w:tcW w:w="1283" w:type="dxa"/>
            <w:vAlign w:val="top"/>
          </w:tcPr>
          <w:p w14:paraId="625DBBEC">
            <w:pPr>
              <w:spacing w:before="117"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6EAB371E">
            <w:pPr>
              <w:spacing w:before="121"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1.65</w:t>
            </w:r>
          </w:p>
        </w:tc>
        <w:tc>
          <w:tcPr>
            <w:tcW w:w="1519" w:type="dxa"/>
            <w:vMerge w:val="continue"/>
            <w:tcBorders>
              <w:top w:val="nil"/>
              <w:bottom w:val="nil"/>
            </w:tcBorders>
            <w:vAlign w:val="top"/>
          </w:tcPr>
          <w:p w14:paraId="18226AD3">
            <w:pPr>
              <w:rPr>
                <w:rFonts w:ascii="Arial"/>
                <w:sz w:val="21"/>
              </w:rPr>
            </w:pPr>
          </w:p>
        </w:tc>
        <w:tc>
          <w:tcPr>
            <w:tcW w:w="1278" w:type="dxa"/>
            <w:vAlign w:val="top"/>
          </w:tcPr>
          <w:p w14:paraId="2C56A962">
            <w:pPr>
              <w:spacing w:before="12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0.241</w:t>
            </w:r>
          </w:p>
        </w:tc>
        <w:tc>
          <w:tcPr>
            <w:tcW w:w="133" w:type="dxa"/>
            <w:tcBorders>
              <w:top w:val="nil"/>
              <w:bottom w:val="nil"/>
              <w:right w:val="single" w:color="000000" w:sz="6" w:space="0"/>
            </w:tcBorders>
            <w:vAlign w:val="top"/>
          </w:tcPr>
          <w:p w14:paraId="34871363">
            <w:pPr>
              <w:rPr>
                <w:rFonts w:ascii="Arial"/>
                <w:sz w:val="21"/>
              </w:rPr>
            </w:pPr>
          </w:p>
        </w:tc>
      </w:tr>
      <w:tr w14:paraId="5B330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05" w:type="dxa"/>
            <w:vMerge w:val="continue"/>
            <w:tcBorders>
              <w:top w:val="nil"/>
              <w:left w:val="single" w:color="000000" w:sz="6" w:space="0"/>
              <w:bottom w:val="nil"/>
            </w:tcBorders>
            <w:vAlign w:val="top"/>
          </w:tcPr>
          <w:p w14:paraId="04A29561">
            <w:pPr>
              <w:rPr>
                <w:rFonts w:ascii="Arial"/>
                <w:sz w:val="21"/>
              </w:rPr>
            </w:pPr>
          </w:p>
        </w:tc>
        <w:tc>
          <w:tcPr>
            <w:tcW w:w="123" w:type="dxa"/>
            <w:tcBorders>
              <w:top w:val="nil"/>
              <w:bottom w:val="nil"/>
            </w:tcBorders>
            <w:vAlign w:val="top"/>
          </w:tcPr>
          <w:p w14:paraId="5D0627C0">
            <w:pPr>
              <w:rPr>
                <w:rFonts w:ascii="Arial"/>
                <w:sz w:val="21"/>
              </w:rPr>
            </w:pPr>
          </w:p>
        </w:tc>
        <w:tc>
          <w:tcPr>
            <w:tcW w:w="1174" w:type="dxa"/>
            <w:vMerge w:val="continue"/>
            <w:tcBorders>
              <w:top w:val="nil"/>
              <w:bottom w:val="nil"/>
            </w:tcBorders>
            <w:vAlign w:val="top"/>
          </w:tcPr>
          <w:p w14:paraId="383F8276">
            <w:pPr>
              <w:rPr>
                <w:rFonts w:ascii="Arial"/>
                <w:sz w:val="21"/>
              </w:rPr>
            </w:pPr>
          </w:p>
        </w:tc>
        <w:tc>
          <w:tcPr>
            <w:tcW w:w="1471" w:type="dxa"/>
            <w:vAlign w:val="top"/>
          </w:tcPr>
          <w:p w14:paraId="5C30CD80">
            <w:pPr>
              <w:pStyle w:val="6"/>
              <w:spacing w:before="90" w:line="228" w:lineRule="auto"/>
              <w:ind w:left="533"/>
              <w:rPr>
                <w:sz w:val="20"/>
                <w:szCs w:val="20"/>
              </w:rPr>
            </w:pPr>
            <w:r>
              <w:rPr>
                <w:spacing w:val="2"/>
                <w:sz w:val="20"/>
                <w:szCs w:val="20"/>
              </w:rPr>
              <w:t>总磷</w:t>
            </w:r>
          </w:p>
        </w:tc>
        <w:tc>
          <w:tcPr>
            <w:tcW w:w="1283" w:type="dxa"/>
            <w:vAlign w:val="top"/>
          </w:tcPr>
          <w:p w14:paraId="4459C5CB">
            <w:pPr>
              <w:spacing w:before="122"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70FDE9CE">
            <w:pPr>
              <w:spacing w:before="126"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19" w:type="dxa"/>
            <w:vMerge w:val="continue"/>
            <w:tcBorders>
              <w:top w:val="nil"/>
              <w:bottom w:val="nil"/>
            </w:tcBorders>
            <w:vAlign w:val="top"/>
          </w:tcPr>
          <w:p w14:paraId="69EAB9B9">
            <w:pPr>
              <w:rPr>
                <w:rFonts w:ascii="Arial"/>
                <w:sz w:val="21"/>
              </w:rPr>
            </w:pPr>
          </w:p>
        </w:tc>
        <w:tc>
          <w:tcPr>
            <w:tcW w:w="1278" w:type="dxa"/>
            <w:vAlign w:val="top"/>
          </w:tcPr>
          <w:p w14:paraId="156ABFD9">
            <w:pPr>
              <w:spacing w:before="126"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133" w:type="dxa"/>
            <w:tcBorders>
              <w:top w:val="nil"/>
              <w:bottom w:val="nil"/>
              <w:right w:val="single" w:color="000000" w:sz="6" w:space="0"/>
            </w:tcBorders>
            <w:vAlign w:val="top"/>
          </w:tcPr>
          <w:p w14:paraId="63C484B8">
            <w:pPr>
              <w:rPr>
                <w:rFonts w:ascii="Arial"/>
                <w:sz w:val="21"/>
              </w:rPr>
            </w:pPr>
          </w:p>
        </w:tc>
      </w:tr>
      <w:tr w14:paraId="420A6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4DFE7337">
            <w:pPr>
              <w:rPr>
                <w:rFonts w:ascii="Arial"/>
                <w:sz w:val="21"/>
              </w:rPr>
            </w:pPr>
          </w:p>
        </w:tc>
        <w:tc>
          <w:tcPr>
            <w:tcW w:w="123" w:type="dxa"/>
            <w:tcBorders>
              <w:top w:val="nil"/>
              <w:bottom w:val="nil"/>
            </w:tcBorders>
            <w:vAlign w:val="top"/>
          </w:tcPr>
          <w:p w14:paraId="3B691C6B">
            <w:pPr>
              <w:rPr>
                <w:rFonts w:ascii="Arial"/>
                <w:sz w:val="21"/>
              </w:rPr>
            </w:pPr>
          </w:p>
        </w:tc>
        <w:tc>
          <w:tcPr>
            <w:tcW w:w="1174" w:type="dxa"/>
            <w:vMerge w:val="continue"/>
            <w:tcBorders>
              <w:top w:val="nil"/>
              <w:bottom w:val="nil"/>
            </w:tcBorders>
            <w:vAlign w:val="top"/>
          </w:tcPr>
          <w:p w14:paraId="61EBE3BF">
            <w:pPr>
              <w:rPr>
                <w:rFonts w:ascii="Arial"/>
                <w:sz w:val="21"/>
              </w:rPr>
            </w:pPr>
          </w:p>
        </w:tc>
        <w:tc>
          <w:tcPr>
            <w:tcW w:w="1471" w:type="dxa"/>
            <w:vAlign w:val="top"/>
          </w:tcPr>
          <w:p w14:paraId="53630DA7">
            <w:pPr>
              <w:pStyle w:val="6"/>
              <w:spacing w:before="78" w:line="229" w:lineRule="auto"/>
              <w:ind w:left="533"/>
              <w:rPr>
                <w:sz w:val="20"/>
                <w:szCs w:val="20"/>
              </w:rPr>
            </w:pPr>
            <w:r>
              <w:rPr>
                <w:spacing w:val="2"/>
                <w:sz w:val="20"/>
                <w:szCs w:val="20"/>
              </w:rPr>
              <w:t>总铜</w:t>
            </w:r>
          </w:p>
        </w:tc>
        <w:tc>
          <w:tcPr>
            <w:tcW w:w="1283" w:type="dxa"/>
            <w:vAlign w:val="top"/>
          </w:tcPr>
          <w:p w14:paraId="45E48214">
            <w:pPr>
              <w:spacing w:before="110"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06C59665">
            <w:pPr>
              <w:spacing w:before="114"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19" w:type="dxa"/>
            <w:vMerge w:val="continue"/>
            <w:tcBorders>
              <w:top w:val="nil"/>
              <w:bottom w:val="nil"/>
            </w:tcBorders>
            <w:vAlign w:val="top"/>
          </w:tcPr>
          <w:p w14:paraId="236BF382">
            <w:pPr>
              <w:rPr>
                <w:rFonts w:ascii="Arial"/>
                <w:sz w:val="21"/>
              </w:rPr>
            </w:pPr>
          </w:p>
        </w:tc>
        <w:tc>
          <w:tcPr>
            <w:tcW w:w="1278" w:type="dxa"/>
            <w:vAlign w:val="top"/>
          </w:tcPr>
          <w:p w14:paraId="25625976">
            <w:pPr>
              <w:spacing w:before="11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0.0073</w:t>
            </w:r>
          </w:p>
        </w:tc>
        <w:tc>
          <w:tcPr>
            <w:tcW w:w="133" w:type="dxa"/>
            <w:tcBorders>
              <w:top w:val="nil"/>
              <w:bottom w:val="nil"/>
              <w:right w:val="single" w:color="000000" w:sz="6" w:space="0"/>
            </w:tcBorders>
            <w:vAlign w:val="top"/>
          </w:tcPr>
          <w:p w14:paraId="43548B96">
            <w:pPr>
              <w:rPr>
                <w:rFonts w:ascii="Arial"/>
                <w:sz w:val="21"/>
              </w:rPr>
            </w:pPr>
          </w:p>
        </w:tc>
      </w:tr>
      <w:tr w14:paraId="761A1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11909424">
            <w:pPr>
              <w:rPr>
                <w:rFonts w:ascii="Arial"/>
                <w:sz w:val="21"/>
              </w:rPr>
            </w:pPr>
          </w:p>
        </w:tc>
        <w:tc>
          <w:tcPr>
            <w:tcW w:w="123" w:type="dxa"/>
            <w:tcBorders>
              <w:top w:val="nil"/>
              <w:bottom w:val="nil"/>
            </w:tcBorders>
            <w:vAlign w:val="top"/>
          </w:tcPr>
          <w:p w14:paraId="5F57A50F">
            <w:pPr>
              <w:rPr>
                <w:rFonts w:ascii="Arial"/>
                <w:sz w:val="21"/>
              </w:rPr>
            </w:pPr>
          </w:p>
        </w:tc>
        <w:tc>
          <w:tcPr>
            <w:tcW w:w="1174" w:type="dxa"/>
            <w:vMerge w:val="continue"/>
            <w:tcBorders>
              <w:top w:val="nil"/>
              <w:bottom w:val="nil"/>
            </w:tcBorders>
            <w:vAlign w:val="top"/>
          </w:tcPr>
          <w:p w14:paraId="7ADCFC37">
            <w:pPr>
              <w:rPr>
                <w:rFonts w:ascii="Arial"/>
                <w:sz w:val="21"/>
              </w:rPr>
            </w:pPr>
          </w:p>
        </w:tc>
        <w:tc>
          <w:tcPr>
            <w:tcW w:w="1471" w:type="dxa"/>
            <w:vAlign w:val="top"/>
          </w:tcPr>
          <w:p w14:paraId="3589E3E5">
            <w:pPr>
              <w:pStyle w:val="6"/>
              <w:spacing w:before="81" w:line="228" w:lineRule="auto"/>
              <w:ind w:left="533"/>
              <w:rPr>
                <w:sz w:val="20"/>
                <w:szCs w:val="20"/>
              </w:rPr>
            </w:pPr>
            <w:r>
              <w:rPr>
                <w:spacing w:val="2"/>
                <w:sz w:val="20"/>
                <w:szCs w:val="20"/>
              </w:rPr>
              <w:t>总锌</w:t>
            </w:r>
          </w:p>
        </w:tc>
        <w:tc>
          <w:tcPr>
            <w:tcW w:w="1283" w:type="dxa"/>
            <w:vAlign w:val="top"/>
          </w:tcPr>
          <w:p w14:paraId="3019B132">
            <w:pPr>
              <w:spacing w:before="115"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32BF5E46">
            <w:pPr>
              <w:spacing w:before="11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19" w:type="dxa"/>
            <w:vMerge w:val="continue"/>
            <w:tcBorders>
              <w:top w:val="nil"/>
              <w:bottom w:val="nil"/>
            </w:tcBorders>
            <w:vAlign w:val="top"/>
          </w:tcPr>
          <w:p w14:paraId="3BEBFDBA">
            <w:pPr>
              <w:rPr>
                <w:rFonts w:ascii="Arial"/>
                <w:sz w:val="21"/>
              </w:rPr>
            </w:pPr>
          </w:p>
        </w:tc>
        <w:tc>
          <w:tcPr>
            <w:tcW w:w="1278" w:type="dxa"/>
            <w:vAlign w:val="top"/>
          </w:tcPr>
          <w:p w14:paraId="1837FEC3">
            <w:pPr>
              <w:spacing w:before="11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0.0073</w:t>
            </w:r>
          </w:p>
        </w:tc>
        <w:tc>
          <w:tcPr>
            <w:tcW w:w="133" w:type="dxa"/>
            <w:tcBorders>
              <w:top w:val="nil"/>
              <w:bottom w:val="nil"/>
              <w:right w:val="single" w:color="000000" w:sz="6" w:space="0"/>
            </w:tcBorders>
            <w:vAlign w:val="top"/>
          </w:tcPr>
          <w:p w14:paraId="4D57CAE0">
            <w:pPr>
              <w:rPr>
                <w:rFonts w:ascii="Arial"/>
                <w:sz w:val="21"/>
              </w:rPr>
            </w:pPr>
          </w:p>
        </w:tc>
      </w:tr>
      <w:tr w14:paraId="6B7FF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1875C9CD">
            <w:pPr>
              <w:rPr>
                <w:rFonts w:ascii="Arial"/>
                <w:sz w:val="21"/>
              </w:rPr>
            </w:pPr>
          </w:p>
        </w:tc>
        <w:tc>
          <w:tcPr>
            <w:tcW w:w="123" w:type="dxa"/>
            <w:tcBorders>
              <w:top w:val="nil"/>
              <w:bottom w:val="nil"/>
            </w:tcBorders>
            <w:vAlign w:val="top"/>
          </w:tcPr>
          <w:p w14:paraId="2EF6C26A">
            <w:pPr>
              <w:rPr>
                <w:rFonts w:ascii="Arial"/>
                <w:sz w:val="21"/>
              </w:rPr>
            </w:pPr>
          </w:p>
        </w:tc>
        <w:tc>
          <w:tcPr>
            <w:tcW w:w="1174" w:type="dxa"/>
            <w:vMerge w:val="continue"/>
            <w:tcBorders>
              <w:top w:val="nil"/>
              <w:bottom w:val="nil"/>
            </w:tcBorders>
            <w:vAlign w:val="top"/>
          </w:tcPr>
          <w:p w14:paraId="59A368DA">
            <w:pPr>
              <w:rPr>
                <w:rFonts w:ascii="Arial"/>
                <w:sz w:val="21"/>
              </w:rPr>
            </w:pPr>
          </w:p>
        </w:tc>
        <w:tc>
          <w:tcPr>
            <w:tcW w:w="1471" w:type="dxa"/>
            <w:vAlign w:val="top"/>
          </w:tcPr>
          <w:p w14:paraId="646EF1A8">
            <w:pPr>
              <w:pStyle w:val="6"/>
              <w:spacing w:before="86" w:line="225" w:lineRule="auto"/>
              <w:ind w:left="533"/>
              <w:rPr>
                <w:sz w:val="20"/>
                <w:szCs w:val="20"/>
              </w:rPr>
            </w:pPr>
            <w:r>
              <w:rPr>
                <w:spacing w:val="2"/>
                <w:sz w:val="20"/>
                <w:szCs w:val="20"/>
              </w:rPr>
              <w:t>总锰</w:t>
            </w:r>
          </w:p>
        </w:tc>
        <w:tc>
          <w:tcPr>
            <w:tcW w:w="1283" w:type="dxa"/>
            <w:vAlign w:val="top"/>
          </w:tcPr>
          <w:p w14:paraId="4E5F86A4">
            <w:pPr>
              <w:spacing w:before="121"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75C70457">
            <w:pPr>
              <w:spacing w:before="124"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19" w:type="dxa"/>
            <w:vMerge w:val="continue"/>
            <w:tcBorders>
              <w:top w:val="nil"/>
              <w:bottom w:val="nil"/>
            </w:tcBorders>
            <w:vAlign w:val="top"/>
          </w:tcPr>
          <w:p w14:paraId="4A5E3A2F">
            <w:pPr>
              <w:rPr>
                <w:rFonts w:ascii="Arial"/>
                <w:sz w:val="21"/>
              </w:rPr>
            </w:pPr>
          </w:p>
        </w:tc>
        <w:tc>
          <w:tcPr>
            <w:tcW w:w="1278" w:type="dxa"/>
            <w:vAlign w:val="top"/>
          </w:tcPr>
          <w:p w14:paraId="16B4B9DC">
            <w:pPr>
              <w:spacing w:before="12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0.0132</w:t>
            </w:r>
          </w:p>
        </w:tc>
        <w:tc>
          <w:tcPr>
            <w:tcW w:w="133" w:type="dxa"/>
            <w:tcBorders>
              <w:top w:val="nil"/>
              <w:bottom w:val="nil"/>
              <w:right w:val="single" w:color="000000" w:sz="6" w:space="0"/>
            </w:tcBorders>
            <w:vAlign w:val="top"/>
          </w:tcPr>
          <w:p w14:paraId="0717561D">
            <w:pPr>
              <w:rPr>
                <w:rFonts w:ascii="Arial"/>
                <w:sz w:val="21"/>
              </w:rPr>
            </w:pPr>
          </w:p>
        </w:tc>
      </w:tr>
      <w:tr w14:paraId="04020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05" w:type="dxa"/>
            <w:vMerge w:val="continue"/>
            <w:tcBorders>
              <w:top w:val="nil"/>
              <w:left w:val="single" w:color="000000" w:sz="6" w:space="0"/>
              <w:bottom w:val="nil"/>
            </w:tcBorders>
            <w:vAlign w:val="top"/>
          </w:tcPr>
          <w:p w14:paraId="5D523171">
            <w:pPr>
              <w:rPr>
                <w:rFonts w:ascii="Arial"/>
                <w:sz w:val="21"/>
              </w:rPr>
            </w:pPr>
          </w:p>
        </w:tc>
        <w:tc>
          <w:tcPr>
            <w:tcW w:w="123" w:type="dxa"/>
            <w:tcBorders>
              <w:top w:val="nil"/>
              <w:bottom w:val="nil"/>
            </w:tcBorders>
            <w:vAlign w:val="top"/>
          </w:tcPr>
          <w:p w14:paraId="3607B710">
            <w:pPr>
              <w:rPr>
                <w:rFonts w:ascii="Arial"/>
                <w:sz w:val="21"/>
              </w:rPr>
            </w:pPr>
          </w:p>
        </w:tc>
        <w:tc>
          <w:tcPr>
            <w:tcW w:w="1174" w:type="dxa"/>
            <w:vMerge w:val="continue"/>
            <w:tcBorders>
              <w:top w:val="nil"/>
              <w:bottom w:val="nil"/>
            </w:tcBorders>
            <w:vAlign w:val="top"/>
          </w:tcPr>
          <w:p w14:paraId="7FDE2374">
            <w:pPr>
              <w:rPr>
                <w:rFonts w:ascii="Arial"/>
                <w:sz w:val="21"/>
              </w:rPr>
            </w:pPr>
          </w:p>
        </w:tc>
        <w:tc>
          <w:tcPr>
            <w:tcW w:w="1471" w:type="dxa"/>
            <w:vAlign w:val="top"/>
          </w:tcPr>
          <w:p w14:paraId="17169159">
            <w:pPr>
              <w:pStyle w:val="6"/>
              <w:spacing w:before="92" w:line="229" w:lineRule="auto"/>
              <w:ind w:left="533"/>
              <w:rPr>
                <w:sz w:val="20"/>
                <w:szCs w:val="20"/>
              </w:rPr>
            </w:pPr>
            <w:r>
              <w:rPr>
                <w:spacing w:val="2"/>
                <w:sz w:val="20"/>
                <w:szCs w:val="20"/>
              </w:rPr>
              <w:t>总铁</w:t>
            </w:r>
          </w:p>
        </w:tc>
        <w:tc>
          <w:tcPr>
            <w:tcW w:w="1283" w:type="dxa"/>
            <w:vAlign w:val="top"/>
          </w:tcPr>
          <w:p w14:paraId="410E230C">
            <w:pPr>
              <w:spacing w:before="126"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10B0FC90">
            <w:pPr>
              <w:spacing w:before="130"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1519" w:type="dxa"/>
            <w:vMerge w:val="continue"/>
            <w:tcBorders>
              <w:top w:val="nil"/>
              <w:bottom w:val="nil"/>
            </w:tcBorders>
            <w:vAlign w:val="top"/>
          </w:tcPr>
          <w:p w14:paraId="19CE85BB">
            <w:pPr>
              <w:rPr>
                <w:rFonts w:ascii="Arial"/>
                <w:sz w:val="21"/>
              </w:rPr>
            </w:pPr>
          </w:p>
        </w:tc>
        <w:tc>
          <w:tcPr>
            <w:tcW w:w="1278" w:type="dxa"/>
            <w:vAlign w:val="top"/>
          </w:tcPr>
          <w:p w14:paraId="0B7C418D">
            <w:pPr>
              <w:spacing w:before="13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0.0322</w:t>
            </w:r>
          </w:p>
        </w:tc>
        <w:tc>
          <w:tcPr>
            <w:tcW w:w="133" w:type="dxa"/>
            <w:tcBorders>
              <w:top w:val="nil"/>
              <w:bottom w:val="nil"/>
              <w:right w:val="single" w:color="000000" w:sz="6" w:space="0"/>
            </w:tcBorders>
            <w:vAlign w:val="top"/>
          </w:tcPr>
          <w:p w14:paraId="67B0FFD2">
            <w:pPr>
              <w:rPr>
                <w:rFonts w:ascii="Arial"/>
                <w:sz w:val="21"/>
              </w:rPr>
            </w:pPr>
          </w:p>
        </w:tc>
      </w:tr>
      <w:tr w14:paraId="552A8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224490A3">
            <w:pPr>
              <w:rPr>
                <w:rFonts w:ascii="Arial"/>
                <w:sz w:val="21"/>
              </w:rPr>
            </w:pPr>
          </w:p>
        </w:tc>
        <w:tc>
          <w:tcPr>
            <w:tcW w:w="123" w:type="dxa"/>
            <w:tcBorders>
              <w:top w:val="nil"/>
              <w:bottom w:val="nil"/>
            </w:tcBorders>
            <w:vAlign w:val="top"/>
          </w:tcPr>
          <w:p w14:paraId="7E85A69C">
            <w:pPr>
              <w:rPr>
                <w:rFonts w:ascii="Arial"/>
                <w:sz w:val="21"/>
              </w:rPr>
            </w:pPr>
          </w:p>
        </w:tc>
        <w:tc>
          <w:tcPr>
            <w:tcW w:w="1174" w:type="dxa"/>
            <w:vMerge w:val="continue"/>
            <w:tcBorders>
              <w:top w:val="nil"/>
              <w:bottom w:val="nil"/>
            </w:tcBorders>
            <w:vAlign w:val="top"/>
          </w:tcPr>
          <w:p w14:paraId="2836DAFD">
            <w:pPr>
              <w:rPr>
                <w:rFonts w:ascii="Arial"/>
                <w:sz w:val="21"/>
              </w:rPr>
            </w:pPr>
          </w:p>
        </w:tc>
        <w:tc>
          <w:tcPr>
            <w:tcW w:w="1471" w:type="dxa"/>
            <w:vAlign w:val="top"/>
          </w:tcPr>
          <w:p w14:paraId="1E213E04">
            <w:pPr>
              <w:pStyle w:val="6"/>
              <w:spacing w:before="79" w:line="228" w:lineRule="auto"/>
              <w:ind w:left="533"/>
              <w:rPr>
                <w:sz w:val="20"/>
                <w:szCs w:val="20"/>
              </w:rPr>
            </w:pPr>
            <w:r>
              <w:rPr>
                <w:spacing w:val="2"/>
                <w:sz w:val="20"/>
                <w:szCs w:val="20"/>
              </w:rPr>
              <w:t>总汞</w:t>
            </w:r>
          </w:p>
        </w:tc>
        <w:tc>
          <w:tcPr>
            <w:tcW w:w="1283" w:type="dxa"/>
            <w:vAlign w:val="top"/>
          </w:tcPr>
          <w:p w14:paraId="3C41BC18">
            <w:pPr>
              <w:spacing w:before="111"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36831AAD">
            <w:pPr>
              <w:spacing w:before="115"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0.00024</w:t>
            </w:r>
          </w:p>
        </w:tc>
        <w:tc>
          <w:tcPr>
            <w:tcW w:w="1519" w:type="dxa"/>
            <w:vMerge w:val="continue"/>
            <w:tcBorders>
              <w:top w:val="nil"/>
              <w:bottom w:val="nil"/>
            </w:tcBorders>
            <w:vAlign w:val="top"/>
          </w:tcPr>
          <w:p w14:paraId="6A26F2FE">
            <w:pPr>
              <w:rPr>
                <w:rFonts w:ascii="Arial"/>
                <w:sz w:val="21"/>
              </w:rPr>
            </w:pPr>
          </w:p>
        </w:tc>
        <w:tc>
          <w:tcPr>
            <w:tcW w:w="1278" w:type="dxa"/>
            <w:vAlign w:val="top"/>
          </w:tcPr>
          <w:p w14:paraId="20036086">
            <w:pPr>
              <w:spacing w:before="115"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0.000035</w:t>
            </w:r>
          </w:p>
        </w:tc>
        <w:tc>
          <w:tcPr>
            <w:tcW w:w="133" w:type="dxa"/>
            <w:tcBorders>
              <w:top w:val="nil"/>
              <w:bottom w:val="nil"/>
              <w:right w:val="single" w:color="000000" w:sz="6" w:space="0"/>
            </w:tcBorders>
            <w:vAlign w:val="top"/>
          </w:tcPr>
          <w:p w14:paraId="4FFE8285">
            <w:pPr>
              <w:rPr>
                <w:rFonts w:ascii="Arial"/>
                <w:sz w:val="21"/>
              </w:rPr>
            </w:pPr>
          </w:p>
        </w:tc>
      </w:tr>
      <w:tr w14:paraId="25F07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5ECA80AB">
            <w:pPr>
              <w:rPr>
                <w:rFonts w:ascii="Arial"/>
                <w:sz w:val="21"/>
              </w:rPr>
            </w:pPr>
          </w:p>
        </w:tc>
        <w:tc>
          <w:tcPr>
            <w:tcW w:w="123" w:type="dxa"/>
            <w:tcBorders>
              <w:top w:val="nil"/>
              <w:bottom w:val="nil"/>
            </w:tcBorders>
            <w:vAlign w:val="top"/>
          </w:tcPr>
          <w:p w14:paraId="4D27B9DB">
            <w:pPr>
              <w:rPr>
                <w:rFonts w:ascii="Arial"/>
                <w:sz w:val="21"/>
              </w:rPr>
            </w:pPr>
          </w:p>
        </w:tc>
        <w:tc>
          <w:tcPr>
            <w:tcW w:w="1174" w:type="dxa"/>
            <w:vMerge w:val="continue"/>
            <w:tcBorders>
              <w:top w:val="nil"/>
              <w:bottom w:val="nil"/>
            </w:tcBorders>
            <w:vAlign w:val="top"/>
          </w:tcPr>
          <w:p w14:paraId="26818669">
            <w:pPr>
              <w:rPr>
                <w:rFonts w:ascii="Arial"/>
                <w:sz w:val="21"/>
              </w:rPr>
            </w:pPr>
          </w:p>
        </w:tc>
        <w:tc>
          <w:tcPr>
            <w:tcW w:w="1471" w:type="dxa"/>
            <w:vAlign w:val="top"/>
          </w:tcPr>
          <w:p w14:paraId="50776882">
            <w:pPr>
              <w:pStyle w:val="6"/>
              <w:spacing w:before="85" w:line="226" w:lineRule="auto"/>
              <w:ind w:left="533"/>
              <w:rPr>
                <w:sz w:val="20"/>
                <w:szCs w:val="20"/>
              </w:rPr>
            </w:pPr>
            <w:r>
              <w:rPr>
                <w:spacing w:val="2"/>
                <w:sz w:val="20"/>
                <w:szCs w:val="20"/>
              </w:rPr>
              <w:t>总镉</w:t>
            </w:r>
          </w:p>
        </w:tc>
        <w:tc>
          <w:tcPr>
            <w:tcW w:w="1283" w:type="dxa"/>
            <w:vAlign w:val="top"/>
          </w:tcPr>
          <w:p w14:paraId="0820F0A6">
            <w:pPr>
              <w:spacing w:before="116"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08AADF82">
            <w:pPr>
              <w:spacing w:before="12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0.00046</w:t>
            </w:r>
          </w:p>
        </w:tc>
        <w:tc>
          <w:tcPr>
            <w:tcW w:w="1519" w:type="dxa"/>
            <w:vMerge w:val="continue"/>
            <w:tcBorders>
              <w:top w:val="nil"/>
              <w:bottom w:val="nil"/>
            </w:tcBorders>
            <w:vAlign w:val="top"/>
          </w:tcPr>
          <w:p w14:paraId="5848B567">
            <w:pPr>
              <w:rPr>
                <w:rFonts w:ascii="Arial"/>
                <w:sz w:val="21"/>
              </w:rPr>
            </w:pPr>
          </w:p>
        </w:tc>
        <w:tc>
          <w:tcPr>
            <w:tcW w:w="1278" w:type="dxa"/>
            <w:vAlign w:val="top"/>
          </w:tcPr>
          <w:p w14:paraId="0675AFFA">
            <w:pPr>
              <w:spacing w:before="12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0.000067</w:t>
            </w:r>
          </w:p>
        </w:tc>
        <w:tc>
          <w:tcPr>
            <w:tcW w:w="133" w:type="dxa"/>
            <w:tcBorders>
              <w:top w:val="nil"/>
              <w:bottom w:val="nil"/>
              <w:right w:val="single" w:color="000000" w:sz="6" w:space="0"/>
            </w:tcBorders>
            <w:vAlign w:val="top"/>
          </w:tcPr>
          <w:p w14:paraId="14D0BC5E">
            <w:pPr>
              <w:rPr>
                <w:rFonts w:ascii="Arial"/>
                <w:sz w:val="21"/>
              </w:rPr>
            </w:pPr>
          </w:p>
        </w:tc>
      </w:tr>
      <w:tr w14:paraId="06CAE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59933DC7">
            <w:pPr>
              <w:rPr>
                <w:rFonts w:ascii="Arial"/>
                <w:sz w:val="21"/>
              </w:rPr>
            </w:pPr>
          </w:p>
        </w:tc>
        <w:tc>
          <w:tcPr>
            <w:tcW w:w="123" w:type="dxa"/>
            <w:tcBorders>
              <w:top w:val="nil"/>
              <w:bottom w:val="nil"/>
            </w:tcBorders>
            <w:vAlign w:val="top"/>
          </w:tcPr>
          <w:p w14:paraId="5E8ACDBD">
            <w:pPr>
              <w:rPr>
                <w:rFonts w:ascii="Arial"/>
                <w:sz w:val="21"/>
              </w:rPr>
            </w:pPr>
          </w:p>
        </w:tc>
        <w:tc>
          <w:tcPr>
            <w:tcW w:w="1174" w:type="dxa"/>
            <w:vMerge w:val="continue"/>
            <w:tcBorders>
              <w:top w:val="nil"/>
              <w:bottom w:val="nil"/>
            </w:tcBorders>
            <w:vAlign w:val="top"/>
          </w:tcPr>
          <w:p w14:paraId="5EE2E97C">
            <w:pPr>
              <w:rPr>
                <w:rFonts w:ascii="Arial"/>
                <w:sz w:val="21"/>
              </w:rPr>
            </w:pPr>
          </w:p>
        </w:tc>
        <w:tc>
          <w:tcPr>
            <w:tcW w:w="1471" w:type="dxa"/>
            <w:vAlign w:val="top"/>
          </w:tcPr>
          <w:p w14:paraId="14F70018">
            <w:pPr>
              <w:pStyle w:val="6"/>
              <w:spacing w:before="90" w:line="221" w:lineRule="auto"/>
              <w:ind w:left="533"/>
              <w:rPr>
                <w:sz w:val="20"/>
                <w:szCs w:val="20"/>
              </w:rPr>
            </w:pPr>
            <w:r>
              <w:rPr>
                <w:spacing w:val="2"/>
                <w:sz w:val="20"/>
                <w:szCs w:val="20"/>
              </w:rPr>
              <w:t>总铬</w:t>
            </w:r>
          </w:p>
        </w:tc>
        <w:tc>
          <w:tcPr>
            <w:tcW w:w="1283" w:type="dxa"/>
            <w:vAlign w:val="top"/>
          </w:tcPr>
          <w:p w14:paraId="7A7B626A">
            <w:pPr>
              <w:spacing w:before="122"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001AB0CD">
            <w:pPr>
              <w:spacing w:before="126"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519" w:type="dxa"/>
            <w:vMerge w:val="continue"/>
            <w:tcBorders>
              <w:top w:val="nil"/>
              <w:bottom w:val="nil"/>
            </w:tcBorders>
            <w:vAlign w:val="top"/>
          </w:tcPr>
          <w:p w14:paraId="5556A197">
            <w:pPr>
              <w:rPr>
                <w:rFonts w:ascii="Arial"/>
                <w:sz w:val="21"/>
              </w:rPr>
            </w:pPr>
          </w:p>
        </w:tc>
        <w:tc>
          <w:tcPr>
            <w:tcW w:w="1278" w:type="dxa"/>
            <w:vAlign w:val="top"/>
          </w:tcPr>
          <w:p w14:paraId="07F416D5">
            <w:pPr>
              <w:spacing w:before="126"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0.000585</w:t>
            </w:r>
          </w:p>
        </w:tc>
        <w:tc>
          <w:tcPr>
            <w:tcW w:w="133" w:type="dxa"/>
            <w:tcBorders>
              <w:top w:val="nil"/>
              <w:bottom w:val="nil"/>
              <w:right w:val="single" w:color="000000" w:sz="6" w:space="0"/>
            </w:tcBorders>
            <w:vAlign w:val="top"/>
          </w:tcPr>
          <w:p w14:paraId="74F3017A">
            <w:pPr>
              <w:rPr>
                <w:rFonts w:ascii="Arial"/>
                <w:sz w:val="21"/>
              </w:rPr>
            </w:pPr>
          </w:p>
        </w:tc>
      </w:tr>
      <w:tr w14:paraId="7EE44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05" w:type="dxa"/>
            <w:vMerge w:val="continue"/>
            <w:tcBorders>
              <w:top w:val="nil"/>
              <w:left w:val="single" w:color="000000" w:sz="6" w:space="0"/>
              <w:bottom w:val="nil"/>
            </w:tcBorders>
            <w:vAlign w:val="top"/>
          </w:tcPr>
          <w:p w14:paraId="0D287BF4">
            <w:pPr>
              <w:rPr>
                <w:rFonts w:ascii="Arial"/>
                <w:sz w:val="21"/>
              </w:rPr>
            </w:pPr>
          </w:p>
        </w:tc>
        <w:tc>
          <w:tcPr>
            <w:tcW w:w="123" w:type="dxa"/>
            <w:tcBorders>
              <w:top w:val="nil"/>
              <w:bottom w:val="nil"/>
            </w:tcBorders>
            <w:vAlign w:val="top"/>
          </w:tcPr>
          <w:p w14:paraId="0DD9233F">
            <w:pPr>
              <w:rPr>
                <w:rFonts w:ascii="Arial"/>
                <w:sz w:val="21"/>
              </w:rPr>
            </w:pPr>
          </w:p>
        </w:tc>
        <w:tc>
          <w:tcPr>
            <w:tcW w:w="1174" w:type="dxa"/>
            <w:vMerge w:val="continue"/>
            <w:tcBorders>
              <w:top w:val="nil"/>
              <w:bottom w:val="nil"/>
            </w:tcBorders>
            <w:vAlign w:val="top"/>
          </w:tcPr>
          <w:p w14:paraId="7D51BF96">
            <w:pPr>
              <w:rPr>
                <w:rFonts w:ascii="Arial"/>
                <w:sz w:val="21"/>
              </w:rPr>
            </w:pPr>
          </w:p>
        </w:tc>
        <w:tc>
          <w:tcPr>
            <w:tcW w:w="1471" w:type="dxa"/>
            <w:vAlign w:val="top"/>
          </w:tcPr>
          <w:p w14:paraId="73F8B526">
            <w:pPr>
              <w:pStyle w:val="6"/>
              <w:spacing w:before="93" w:line="226" w:lineRule="auto"/>
              <w:ind w:left="424"/>
              <w:rPr>
                <w:sz w:val="20"/>
                <w:szCs w:val="20"/>
              </w:rPr>
            </w:pPr>
            <w:r>
              <w:rPr>
                <w:spacing w:val="6"/>
                <w:sz w:val="20"/>
                <w:szCs w:val="20"/>
              </w:rPr>
              <w:t>六价铬</w:t>
            </w:r>
          </w:p>
        </w:tc>
        <w:tc>
          <w:tcPr>
            <w:tcW w:w="1283" w:type="dxa"/>
            <w:vAlign w:val="top"/>
          </w:tcPr>
          <w:p w14:paraId="2FB1EE9E">
            <w:pPr>
              <w:spacing w:before="127"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39C6035C">
            <w:pPr>
              <w:spacing w:before="131"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519" w:type="dxa"/>
            <w:vMerge w:val="continue"/>
            <w:tcBorders>
              <w:top w:val="nil"/>
              <w:bottom w:val="nil"/>
            </w:tcBorders>
            <w:vAlign w:val="top"/>
          </w:tcPr>
          <w:p w14:paraId="27FC6483">
            <w:pPr>
              <w:rPr>
                <w:rFonts w:ascii="Arial"/>
                <w:sz w:val="21"/>
              </w:rPr>
            </w:pPr>
          </w:p>
        </w:tc>
        <w:tc>
          <w:tcPr>
            <w:tcW w:w="1278" w:type="dxa"/>
            <w:vAlign w:val="top"/>
          </w:tcPr>
          <w:p w14:paraId="3F387A19">
            <w:pPr>
              <w:spacing w:before="131"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0.000292</w:t>
            </w:r>
          </w:p>
        </w:tc>
        <w:tc>
          <w:tcPr>
            <w:tcW w:w="133" w:type="dxa"/>
            <w:tcBorders>
              <w:top w:val="nil"/>
              <w:bottom w:val="nil"/>
              <w:right w:val="single" w:color="000000" w:sz="6" w:space="0"/>
            </w:tcBorders>
            <w:vAlign w:val="top"/>
          </w:tcPr>
          <w:p w14:paraId="41A17F14">
            <w:pPr>
              <w:rPr>
                <w:rFonts w:ascii="Arial"/>
                <w:sz w:val="21"/>
              </w:rPr>
            </w:pPr>
          </w:p>
        </w:tc>
      </w:tr>
      <w:tr w14:paraId="542E0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0161E973">
            <w:pPr>
              <w:rPr>
                <w:rFonts w:ascii="Arial"/>
                <w:sz w:val="21"/>
              </w:rPr>
            </w:pPr>
          </w:p>
        </w:tc>
        <w:tc>
          <w:tcPr>
            <w:tcW w:w="123" w:type="dxa"/>
            <w:tcBorders>
              <w:top w:val="nil"/>
              <w:bottom w:val="nil"/>
            </w:tcBorders>
            <w:vAlign w:val="top"/>
          </w:tcPr>
          <w:p w14:paraId="3D89BF73">
            <w:pPr>
              <w:rPr>
                <w:rFonts w:ascii="Arial"/>
                <w:sz w:val="21"/>
              </w:rPr>
            </w:pPr>
          </w:p>
        </w:tc>
        <w:tc>
          <w:tcPr>
            <w:tcW w:w="1174" w:type="dxa"/>
            <w:vMerge w:val="continue"/>
            <w:tcBorders>
              <w:top w:val="nil"/>
              <w:bottom w:val="nil"/>
            </w:tcBorders>
            <w:vAlign w:val="top"/>
          </w:tcPr>
          <w:p w14:paraId="5E94915B">
            <w:pPr>
              <w:rPr>
                <w:rFonts w:ascii="Arial"/>
                <w:sz w:val="21"/>
              </w:rPr>
            </w:pPr>
          </w:p>
        </w:tc>
        <w:tc>
          <w:tcPr>
            <w:tcW w:w="1471" w:type="dxa"/>
            <w:vAlign w:val="top"/>
          </w:tcPr>
          <w:p w14:paraId="4DEF7A3F">
            <w:pPr>
              <w:pStyle w:val="6"/>
              <w:spacing w:before="81" w:line="228" w:lineRule="auto"/>
              <w:ind w:left="533"/>
              <w:rPr>
                <w:sz w:val="20"/>
                <w:szCs w:val="20"/>
              </w:rPr>
            </w:pPr>
            <w:r>
              <w:rPr>
                <w:spacing w:val="2"/>
                <w:sz w:val="20"/>
                <w:szCs w:val="20"/>
              </w:rPr>
              <w:t>总砷</w:t>
            </w:r>
          </w:p>
        </w:tc>
        <w:tc>
          <w:tcPr>
            <w:tcW w:w="1283" w:type="dxa"/>
            <w:vAlign w:val="top"/>
          </w:tcPr>
          <w:p w14:paraId="0BB71F6C">
            <w:pPr>
              <w:spacing w:before="115"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7E82E941">
            <w:pPr>
              <w:spacing w:before="11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519" w:type="dxa"/>
            <w:vMerge w:val="continue"/>
            <w:tcBorders>
              <w:top w:val="nil"/>
              <w:bottom w:val="nil"/>
            </w:tcBorders>
            <w:vAlign w:val="top"/>
          </w:tcPr>
          <w:p w14:paraId="3B802455">
            <w:pPr>
              <w:rPr>
                <w:rFonts w:ascii="Arial"/>
                <w:sz w:val="21"/>
              </w:rPr>
            </w:pPr>
          </w:p>
        </w:tc>
        <w:tc>
          <w:tcPr>
            <w:tcW w:w="1278" w:type="dxa"/>
            <w:vAlign w:val="top"/>
          </w:tcPr>
          <w:p w14:paraId="155CB5E6">
            <w:pPr>
              <w:spacing w:before="118"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0.000022</w:t>
            </w:r>
          </w:p>
        </w:tc>
        <w:tc>
          <w:tcPr>
            <w:tcW w:w="133" w:type="dxa"/>
            <w:tcBorders>
              <w:top w:val="nil"/>
              <w:bottom w:val="nil"/>
              <w:right w:val="single" w:color="000000" w:sz="6" w:space="0"/>
            </w:tcBorders>
            <w:vAlign w:val="top"/>
          </w:tcPr>
          <w:p w14:paraId="7E038CC9">
            <w:pPr>
              <w:rPr>
                <w:rFonts w:ascii="Arial"/>
                <w:sz w:val="21"/>
              </w:rPr>
            </w:pPr>
          </w:p>
        </w:tc>
      </w:tr>
      <w:tr w14:paraId="16A14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10B8F2C2">
            <w:pPr>
              <w:rPr>
                <w:rFonts w:ascii="Arial"/>
                <w:sz w:val="21"/>
              </w:rPr>
            </w:pPr>
          </w:p>
        </w:tc>
        <w:tc>
          <w:tcPr>
            <w:tcW w:w="123" w:type="dxa"/>
            <w:tcBorders>
              <w:top w:val="nil"/>
              <w:bottom w:val="nil"/>
            </w:tcBorders>
            <w:vAlign w:val="top"/>
          </w:tcPr>
          <w:p w14:paraId="18EB9ECA">
            <w:pPr>
              <w:rPr>
                <w:rFonts w:ascii="Arial"/>
                <w:sz w:val="21"/>
              </w:rPr>
            </w:pPr>
          </w:p>
        </w:tc>
        <w:tc>
          <w:tcPr>
            <w:tcW w:w="1174" w:type="dxa"/>
            <w:vMerge w:val="continue"/>
            <w:tcBorders>
              <w:top w:val="nil"/>
              <w:bottom w:val="nil"/>
            </w:tcBorders>
            <w:vAlign w:val="top"/>
          </w:tcPr>
          <w:p w14:paraId="4F655B92">
            <w:pPr>
              <w:rPr>
                <w:rFonts w:ascii="Arial"/>
                <w:sz w:val="21"/>
              </w:rPr>
            </w:pPr>
          </w:p>
        </w:tc>
        <w:tc>
          <w:tcPr>
            <w:tcW w:w="1471" w:type="dxa"/>
            <w:vAlign w:val="top"/>
          </w:tcPr>
          <w:p w14:paraId="2850BF7F">
            <w:pPr>
              <w:pStyle w:val="6"/>
              <w:spacing w:before="86" w:line="225" w:lineRule="auto"/>
              <w:ind w:left="533"/>
              <w:rPr>
                <w:sz w:val="20"/>
                <w:szCs w:val="20"/>
              </w:rPr>
            </w:pPr>
            <w:r>
              <w:rPr>
                <w:spacing w:val="2"/>
                <w:sz w:val="20"/>
                <w:szCs w:val="20"/>
              </w:rPr>
              <w:t>总铅</w:t>
            </w:r>
          </w:p>
        </w:tc>
        <w:tc>
          <w:tcPr>
            <w:tcW w:w="1283" w:type="dxa"/>
            <w:vAlign w:val="top"/>
          </w:tcPr>
          <w:p w14:paraId="489D126A">
            <w:pPr>
              <w:spacing w:before="120"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5A24799B">
            <w:pPr>
              <w:spacing w:before="124"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0.0018</w:t>
            </w:r>
          </w:p>
        </w:tc>
        <w:tc>
          <w:tcPr>
            <w:tcW w:w="1519" w:type="dxa"/>
            <w:vMerge w:val="continue"/>
            <w:tcBorders>
              <w:top w:val="nil"/>
              <w:bottom w:val="nil"/>
            </w:tcBorders>
            <w:vAlign w:val="top"/>
          </w:tcPr>
          <w:p w14:paraId="3785494E">
            <w:pPr>
              <w:rPr>
                <w:rFonts w:ascii="Arial"/>
                <w:sz w:val="21"/>
              </w:rPr>
            </w:pPr>
          </w:p>
        </w:tc>
        <w:tc>
          <w:tcPr>
            <w:tcW w:w="1278" w:type="dxa"/>
            <w:vAlign w:val="top"/>
          </w:tcPr>
          <w:p w14:paraId="2A5F2FFA">
            <w:pPr>
              <w:spacing w:before="124"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0.000263</w:t>
            </w:r>
          </w:p>
        </w:tc>
        <w:tc>
          <w:tcPr>
            <w:tcW w:w="133" w:type="dxa"/>
            <w:tcBorders>
              <w:top w:val="nil"/>
              <w:bottom w:val="nil"/>
              <w:right w:val="single" w:color="000000" w:sz="6" w:space="0"/>
            </w:tcBorders>
            <w:vAlign w:val="top"/>
          </w:tcPr>
          <w:p w14:paraId="56B352F9">
            <w:pPr>
              <w:rPr>
                <w:rFonts w:ascii="Arial"/>
                <w:sz w:val="21"/>
              </w:rPr>
            </w:pPr>
          </w:p>
        </w:tc>
      </w:tr>
      <w:tr w14:paraId="348F0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5" w:type="dxa"/>
            <w:vMerge w:val="continue"/>
            <w:tcBorders>
              <w:top w:val="nil"/>
              <w:left w:val="single" w:color="000000" w:sz="6" w:space="0"/>
              <w:bottom w:val="nil"/>
            </w:tcBorders>
            <w:vAlign w:val="top"/>
          </w:tcPr>
          <w:p w14:paraId="7BCF86B1">
            <w:pPr>
              <w:rPr>
                <w:rFonts w:ascii="Arial"/>
                <w:sz w:val="21"/>
              </w:rPr>
            </w:pPr>
          </w:p>
        </w:tc>
        <w:tc>
          <w:tcPr>
            <w:tcW w:w="123" w:type="dxa"/>
            <w:tcBorders>
              <w:top w:val="nil"/>
              <w:bottom w:val="nil"/>
            </w:tcBorders>
            <w:vAlign w:val="top"/>
          </w:tcPr>
          <w:p w14:paraId="5A1325AA">
            <w:pPr>
              <w:rPr>
                <w:rFonts w:ascii="Arial"/>
                <w:sz w:val="21"/>
              </w:rPr>
            </w:pPr>
          </w:p>
        </w:tc>
        <w:tc>
          <w:tcPr>
            <w:tcW w:w="1174" w:type="dxa"/>
            <w:vMerge w:val="continue"/>
            <w:tcBorders>
              <w:top w:val="nil"/>
              <w:bottom w:val="nil"/>
            </w:tcBorders>
            <w:vAlign w:val="top"/>
          </w:tcPr>
          <w:p w14:paraId="44704B7A">
            <w:pPr>
              <w:rPr>
                <w:rFonts w:ascii="Arial"/>
                <w:sz w:val="21"/>
              </w:rPr>
            </w:pPr>
          </w:p>
        </w:tc>
        <w:tc>
          <w:tcPr>
            <w:tcW w:w="1471" w:type="dxa"/>
            <w:vAlign w:val="top"/>
          </w:tcPr>
          <w:p w14:paraId="29C0CEF5">
            <w:pPr>
              <w:pStyle w:val="6"/>
              <w:spacing w:before="91" w:line="220" w:lineRule="auto"/>
              <w:ind w:left="533"/>
              <w:rPr>
                <w:sz w:val="20"/>
                <w:szCs w:val="20"/>
              </w:rPr>
            </w:pPr>
            <w:r>
              <w:rPr>
                <w:spacing w:val="2"/>
                <w:sz w:val="20"/>
                <w:szCs w:val="20"/>
              </w:rPr>
              <w:t>总镍</w:t>
            </w:r>
          </w:p>
        </w:tc>
        <w:tc>
          <w:tcPr>
            <w:tcW w:w="1283" w:type="dxa"/>
            <w:vAlign w:val="top"/>
          </w:tcPr>
          <w:p w14:paraId="0550DF72">
            <w:pPr>
              <w:spacing w:before="123"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1A92767C">
            <w:pPr>
              <w:spacing w:before="127"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0.0181</w:t>
            </w:r>
          </w:p>
        </w:tc>
        <w:tc>
          <w:tcPr>
            <w:tcW w:w="1519" w:type="dxa"/>
            <w:vMerge w:val="continue"/>
            <w:tcBorders>
              <w:top w:val="nil"/>
              <w:bottom w:val="nil"/>
            </w:tcBorders>
            <w:vAlign w:val="top"/>
          </w:tcPr>
          <w:p w14:paraId="0EC80A81">
            <w:pPr>
              <w:rPr>
                <w:rFonts w:ascii="Arial"/>
                <w:sz w:val="21"/>
              </w:rPr>
            </w:pPr>
          </w:p>
        </w:tc>
        <w:tc>
          <w:tcPr>
            <w:tcW w:w="1278" w:type="dxa"/>
            <w:vAlign w:val="top"/>
          </w:tcPr>
          <w:p w14:paraId="144B16DD">
            <w:pPr>
              <w:spacing w:before="12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0.002646</w:t>
            </w:r>
          </w:p>
        </w:tc>
        <w:tc>
          <w:tcPr>
            <w:tcW w:w="133" w:type="dxa"/>
            <w:tcBorders>
              <w:top w:val="nil"/>
              <w:bottom w:val="nil"/>
              <w:right w:val="single" w:color="000000" w:sz="6" w:space="0"/>
            </w:tcBorders>
            <w:vAlign w:val="top"/>
          </w:tcPr>
          <w:p w14:paraId="134642E2">
            <w:pPr>
              <w:rPr>
                <w:rFonts w:ascii="Arial"/>
                <w:sz w:val="21"/>
              </w:rPr>
            </w:pPr>
          </w:p>
        </w:tc>
      </w:tr>
      <w:tr w14:paraId="4905D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05" w:type="dxa"/>
            <w:vMerge w:val="continue"/>
            <w:tcBorders>
              <w:top w:val="nil"/>
              <w:left w:val="single" w:color="000000" w:sz="6" w:space="0"/>
              <w:bottom w:val="nil"/>
            </w:tcBorders>
            <w:vAlign w:val="top"/>
          </w:tcPr>
          <w:p w14:paraId="315A8FC2">
            <w:pPr>
              <w:rPr>
                <w:rFonts w:ascii="Arial"/>
                <w:sz w:val="21"/>
              </w:rPr>
            </w:pPr>
          </w:p>
        </w:tc>
        <w:tc>
          <w:tcPr>
            <w:tcW w:w="123" w:type="dxa"/>
            <w:tcBorders>
              <w:top w:val="nil"/>
              <w:bottom w:val="nil"/>
            </w:tcBorders>
            <w:vAlign w:val="top"/>
          </w:tcPr>
          <w:p w14:paraId="6CD8EEC8">
            <w:pPr>
              <w:rPr>
                <w:rFonts w:ascii="Arial"/>
                <w:sz w:val="21"/>
              </w:rPr>
            </w:pPr>
          </w:p>
        </w:tc>
        <w:tc>
          <w:tcPr>
            <w:tcW w:w="1174" w:type="dxa"/>
            <w:vMerge w:val="continue"/>
            <w:tcBorders>
              <w:top w:val="nil"/>
              <w:bottom w:val="nil"/>
            </w:tcBorders>
            <w:vAlign w:val="top"/>
          </w:tcPr>
          <w:p w14:paraId="076D7CA1">
            <w:pPr>
              <w:rPr>
                <w:rFonts w:ascii="Arial"/>
                <w:sz w:val="21"/>
              </w:rPr>
            </w:pPr>
          </w:p>
        </w:tc>
        <w:tc>
          <w:tcPr>
            <w:tcW w:w="1471" w:type="dxa"/>
            <w:vAlign w:val="top"/>
          </w:tcPr>
          <w:p w14:paraId="78FD1C51">
            <w:pPr>
              <w:pStyle w:val="6"/>
              <w:spacing w:before="97" w:line="228" w:lineRule="auto"/>
              <w:ind w:left="533"/>
              <w:rPr>
                <w:sz w:val="20"/>
                <w:szCs w:val="20"/>
              </w:rPr>
            </w:pPr>
            <w:r>
              <w:rPr>
                <w:spacing w:val="2"/>
                <w:sz w:val="20"/>
                <w:szCs w:val="20"/>
              </w:rPr>
              <w:t>总铍</w:t>
            </w:r>
          </w:p>
        </w:tc>
        <w:tc>
          <w:tcPr>
            <w:tcW w:w="1283" w:type="dxa"/>
            <w:vAlign w:val="top"/>
          </w:tcPr>
          <w:p w14:paraId="5A3A57C6">
            <w:pPr>
              <w:spacing w:before="128"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vAlign w:val="top"/>
          </w:tcPr>
          <w:p w14:paraId="2F9EA10B">
            <w:pPr>
              <w:spacing w:before="132"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0.00264</w:t>
            </w:r>
          </w:p>
        </w:tc>
        <w:tc>
          <w:tcPr>
            <w:tcW w:w="1519" w:type="dxa"/>
            <w:vMerge w:val="continue"/>
            <w:tcBorders>
              <w:top w:val="nil"/>
              <w:bottom w:val="nil"/>
            </w:tcBorders>
            <w:vAlign w:val="top"/>
          </w:tcPr>
          <w:p w14:paraId="633E6AC7">
            <w:pPr>
              <w:rPr>
                <w:rFonts w:ascii="Arial"/>
                <w:sz w:val="21"/>
              </w:rPr>
            </w:pPr>
          </w:p>
        </w:tc>
        <w:tc>
          <w:tcPr>
            <w:tcW w:w="1278" w:type="dxa"/>
            <w:vAlign w:val="top"/>
          </w:tcPr>
          <w:p w14:paraId="4339BE3F">
            <w:pPr>
              <w:spacing w:before="132"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0.000386</w:t>
            </w:r>
          </w:p>
        </w:tc>
        <w:tc>
          <w:tcPr>
            <w:tcW w:w="133" w:type="dxa"/>
            <w:tcBorders>
              <w:top w:val="nil"/>
              <w:bottom w:val="nil"/>
              <w:right w:val="single" w:color="000000" w:sz="6" w:space="0"/>
            </w:tcBorders>
            <w:vAlign w:val="top"/>
          </w:tcPr>
          <w:p w14:paraId="1DD37A7C">
            <w:pPr>
              <w:rPr>
                <w:rFonts w:ascii="Arial"/>
                <w:sz w:val="21"/>
              </w:rPr>
            </w:pPr>
          </w:p>
        </w:tc>
      </w:tr>
      <w:tr w14:paraId="5F176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05" w:type="dxa"/>
            <w:vMerge w:val="continue"/>
            <w:tcBorders>
              <w:top w:val="nil"/>
              <w:left w:val="single" w:color="000000" w:sz="6" w:space="0"/>
              <w:bottom w:val="single" w:color="000000" w:sz="6" w:space="0"/>
            </w:tcBorders>
            <w:vAlign w:val="top"/>
          </w:tcPr>
          <w:p w14:paraId="438E2CB6">
            <w:pPr>
              <w:rPr>
                <w:rFonts w:ascii="Arial"/>
                <w:sz w:val="21"/>
              </w:rPr>
            </w:pPr>
          </w:p>
        </w:tc>
        <w:tc>
          <w:tcPr>
            <w:tcW w:w="123" w:type="dxa"/>
            <w:tcBorders>
              <w:top w:val="nil"/>
              <w:bottom w:val="single" w:color="000000" w:sz="6" w:space="0"/>
            </w:tcBorders>
            <w:vAlign w:val="top"/>
          </w:tcPr>
          <w:p w14:paraId="71224B2A">
            <w:pPr>
              <w:rPr>
                <w:rFonts w:ascii="Arial"/>
                <w:sz w:val="21"/>
              </w:rPr>
            </w:pPr>
          </w:p>
        </w:tc>
        <w:tc>
          <w:tcPr>
            <w:tcW w:w="1174" w:type="dxa"/>
            <w:vMerge w:val="continue"/>
            <w:tcBorders>
              <w:top w:val="nil"/>
              <w:bottom w:val="single" w:color="000000" w:sz="6" w:space="0"/>
            </w:tcBorders>
            <w:vAlign w:val="top"/>
          </w:tcPr>
          <w:p w14:paraId="5854B4BD">
            <w:pPr>
              <w:rPr>
                <w:rFonts w:ascii="Arial"/>
                <w:sz w:val="21"/>
              </w:rPr>
            </w:pPr>
          </w:p>
        </w:tc>
        <w:tc>
          <w:tcPr>
            <w:tcW w:w="1471" w:type="dxa"/>
            <w:tcBorders>
              <w:bottom w:val="single" w:color="000000" w:sz="6" w:space="0"/>
            </w:tcBorders>
            <w:vAlign w:val="top"/>
          </w:tcPr>
          <w:p w14:paraId="4E8D6186">
            <w:pPr>
              <w:pStyle w:val="6"/>
              <w:spacing w:before="84" w:line="231" w:lineRule="auto"/>
              <w:ind w:left="533"/>
              <w:rPr>
                <w:sz w:val="20"/>
                <w:szCs w:val="20"/>
              </w:rPr>
            </w:pPr>
            <w:r>
              <w:rPr>
                <w:spacing w:val="2"/>
                <w:sz w:val="20"/>
                <w:szCs w:val="20"/>
              </w:rPr>
              <w:t>总银</w:t>
            </w:r>
          </w:p>
        </w:tc>
        <w:tc>
          <w:tcPr>
            <w:tcW w:w="1283" w:type="dxa"/>
            <w:tcBorders>
              <w:bottom w:val="single" w:color="000000" w:sz="6" w:space="0"/>
            </w:tcBorders>
            <w:vAlign w:val="top"/>
          </w:tcPr>
          <w:p w14:paraId="1B854333">
            <w:pPr>
              <w:spacing w:before="116" w:line="201"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99" w:type="dxa"/>
            <w:tcBorders>
              <w:bottom w:val="single" w:color="000000" w:sz="6" w:space="0"/>
            </w:tcBorders>
            <w:vAlign w:val="top"/>
          </w:tcPr>
          <w:p w14:paraId="6B3F0D04">
            <w:pPr>
              <w:spacing w:before="120"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519" w:type="dxa"/>
            <w:vMerge w:val="continue"/>
            <w:tcBorders>
              <w:top w:val="nil"/>
              <w:bottom w:val="single" w:color="000000" w:sz="6" w:space="0"/>
            </w:tcBorders>
            <w:vAlign w:val="top"/>
          </w:tcPr>
          <w:p w14:paraId="54C92FD1">
            <w:pPr>
              <w:rPr>
                <w:rFonts w:ascii="Arial"/>
                <w:sz w:val="21"/>
              </w:rPr>
            </w:pPr>
          </w:p>
        </w:tc>
        <w:tc>
          <w:tcPr>
            <w:tcW w:w="1278" w:type="dxa"/>
            <w:tcBorders>
              <w:bottom w:val="single" w:color="000000" w:sz="6" w:space="0"/>
            </w:tcBorders>
            <w:vAlign w:val="top"/>
          </w:tcPr>
          <w:p w14:paraId="2D451717">
            <w:pPr>
              <w:spacing w:before="12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0.002192</w:t>
            </w:r>
          </w:p>
        </w:tc>
        <w:tc>
          <w:tcPr>
            <w:tcW w:w="133" w:type="dxa"/>
            <w:tcBorders>
              <w:top w:val="nil"/>
              <w:bottom w:val="single" w:color="000000" w:sz="6" w:space="0"/>
              <w:right w:val="single" w:color="000000" w:sz="6" w:space="0"/>
            </w:tcBorders>
            <w:vAlign w:val="top"/>
          </w:tcPr>
          <w:p w14:paraId="4EF91E34">
            <w:pPr>
              <w:rPr>
                <w:rFonts w:ascii="Arial"/>
                <w:sz w:val="21"/>
              </w:rPr>
            </w:pPr>
          </w:p>
        </w:tc>
      </w:tr>
    </w:tbl>
    <w:p w14:paraId="6EE4F3C1">
      <w:pPr>
        <w:rPr>
          <w:rFonts w:ascii="Arial"/>
          <w:sz w:val="21"/>
        </w:rPr>
      </w:pPr>
    </w:p>
    <w:p w14:paraId="05C60B5B">
      <w:pPr>
        <w:rPr>
          <w:rFonts w:ascii="Arial" w:hAnsi="Arial" w:eastAsia="Arial" w:cs="Arial"/>
          <w:sz w:val="21"/>
          <w:szCs w:val="21"/>
        </w:rPr>
        <w:sectPr>
          <w:footerReference r:id="rId87" w:type="default"/>
          <w:pgSz w:w="11907" w:h="16840"/>
          <w:pgMar w:top="400" w:right="1453" w:bottom="1240" w:left="1453" w:header="0" w:footer="1077" w:gutter="0"/>
          <w:cols w:space="720" w:num="1"/>
        </w:sectPr>
      </w:pPr>
    </w:p>
    <w:p w14:paraId="305BD769">
      <w:pPr>
        <w:spacing w:before="19"/>
      </w:pPr>
    </w:p>
    <w:p w14:paraId="735210CC">
      <w:pPr>
        <w:spacing w:before="19"/>
      </w:pPr>
    </w:p>
    <w:p w14:paraId="75323FFF">
      <w:pPr>
        <w:spacing w:before="19"/>
      </w:pPr>
    </w:p>
    <w:p w14:paraId="1D171DF0">
      <w:pPr>
        <w:spacing w:before="18"/>
      </w:pPr>
    </w:p>
    <w:p w14:paraId="7ACFAC24">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7A72C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45" w:hRule="atLeast"/>
        </w:trPr>
        <w:tc>
          <w:tcPr>
            <w:tcW w:w="604" w:type="dxa"/>
            <w:tcBorders>
              <w:right w:val="single" w:color="000000" w:sz="2" w:space="0"/>
            </w:tcBorders>
            <w:vAlign w:val="top"/>
          </w:tcPr>
          <w:p w14:paraId="5C136252">
            <w:pPr>
              <w:rPr>
                <w:rFonts w:ascii="Arial"/>
                <w:sz w:val="21"/>
              </w:rPr>
            </w:pPr>
          </w:p>
        </w:tc>
        <w:tc>
          <w:tcPr>
            <w:tcW w:w="8381" w:type="dxa"/>
            <w:tcBorders>
              <w:left w:val="single" w:color="000000" w:sz="2" w:space="0"/>
            </w:tcBorders>
            <w:vAlign w:val="top"/>
          </w:tcPr>
          <w:p w14:paraId="7718A8F4">
            <w:pPr>
              <w:pStyle w:val="6"/>
              <w:spacing w:before="161" w:line="359" w:lineRule="auto"/>
              <w:ind w:left="109" w:right="101" w:firstLine="456"/>
              <w:jc w:val="both"/>
            </w:pPr>
            <w:r>
              <w:rPr>
                <w:spacing w:val="-7"/>
              </w:rPr>
              <w:t>本项目废水处理技术可达性分析：根据上表，原项目废水经处理后，出水达</w:t>
            </w:r>
            <w:r>
              <w:rPr>
                <w:spacing w:val="13"/>
              </w:rPr>
              <w:t xml:space="preserve"> </w:t>
            </w:r>
            <w:r>
              <w:rPr>
                <w:spacing w:val="7"/>
              </w:rPr>
              <w:t>可达到可塘镇污水厂设计进水标准限值、《污水排入城镇下水道水</w:t>
            </w:r>
            <w:r>
              <w:rPr>
                <w:spacing w:val="6"/>
              </w:rPr>
              <w:t>质标准》</w:t>
            </w:r>
            <w:r>
              <w:t xml:space="preserve"> </w:t>
            </w:r>
            <w:r>
              <w:rPr>
                <w:spacing w:val="12"/>
              </w:rPr>
              <w:t>（</w:t>
            </w:r>
            <w:r>
              <w:rPr>
                <w:rFonts w:ascii="Times New Roman" w:hAnsi="Times New Roman" w:eastAsia="Times New Roman" w:cs="Times New Roman"/>
              </w:rPr>
              <w:t>GB</w:t>
            </w:r>
            <w:r>
              <w:rPr>
                <w:rFonts w:ascii="Times New Roman" w:hAnsi="Times New Roman" w:eastAsia="Times New Roman" w:cs="Times New Roman"/>
                <w:spacing w:val="12"/>
              </w:rPr>
              <w:t>/T31962-2015</w:t>
            </w:r>
            <w:r>
              <w:rPr>
                <w:spacing w:val="12"/>
              </w:rPr>
              <w:t>）</w:t>
            </w:r>
            <w:r>
              <w:rPr>
                <w:rFonts w:ascii="Times New Roman" w:hAnsi="Times New Roman" w:eastAsia="Times New Roman" w:cs="Times New Roman"/>
                <w:spacing w:val="12"/>
              </w:rPr>
              <w:t>B</w:t>
            </w:r>
            <w:r>
              <w:rPr>
                <w:rFonts w:ascii="Times New Roman" w:hAnsi="Times New Roman" w:eastAsia="Times New Roman" w:cs="Times New Roman"/>
                <w:spacing w:val="31"/>
              </w:rPr>
              <w:t xml:space="preserve"> </w:t>
            </w:r>
            <w:r>
              <w:rPr>
                <w:spacing w:val="12"/>
              </w:rPr>
              <w:t>级标准限值广东</w:t>
            </w:r>
            <w:r>
              <w:rPr>
                <w:spacing w:val="11"/>
              </w:rPr>
              <w:t>省地方标准《水污染物排放限值》</w:t>
            </w:r>
            <w:r>
              <w:t xml:space="preserve"> （</w:t>
            </w:r>
            <w:r>
              <w:rPr>
                <w:rFonts w:ascii="Times New Roman" w:hAnsi="Times New Roman" w:eastAsia="Times New Roman" w:cs="Times New Roman"/>
              </w:rPr>
              <w:t>DB44/26-2001</w:t>
            </w:r>
            <w:r>
              <w:t>）第一类污染物最高允许排放浓度限值和第二时段三</w:t>
            </w:r>
            <w:r>
              <w:rPr>
                <w:spacing w:val="-1"/>
              </w:rPr>
              <w:t>级标准限</w:t>
            </w:r>
            <w:r>
              <w:t xml:space="preserve"> </w:t>
            </w:r>
            <w:r>
              <w:rPr>
                <w:spacing w:val="-2"/>
              </w:rPr>
              <w:t>值三者最严值。</w:t>
            </w:r>
          </w:p>
          <w:p w14:paraId="6123D691">
            <w:pPr>
              <w:pStyle w:val="6"/>
              <w:spacing w:line="359" w:lineRule="auto"/>
              <w:ind w:left="110" w:right="35" w:firstLine="460"/>
              <w:jc w:val="both"/>
            </w:pPr>
            <w:r>
              <w:rPr>
                <w:spacing w:val="-14"/>
              </w:rPr>
              <w:t>原项目废水处理工艺为“调节</w:t>
            </w:r>
            <w:r>
              <w:rPr>
                <w:rFonts w:ascii="Times New Roman" w:hAnsi="Times New Roman" w:eastAsia="Times New Roman" w:cs="Times New Roman"/>
                <w:spacing w:val="-14"/>
              </w:rPr>
              <w:t>+</w:t>
            </w:r>
            <w:r>
              <w:rPr>
                <w:spacing w:val="-14"/>
              </w:rPr>
              <w:t>混凝</w:t>
            </w:r>
            <w:r>
              <w:rPr>
                <w:rFonts w:ascii="Times New Roman" w:hAnsi="Times New Roman" w:eastAsia="Times New Roman" w:cs="Times New Roman"/>
                <w:spacing w:val="-14"/>
              </w:rPr>
              <w:t>+</w:t>
            </w:r>
            <w:r>
              <w:rPr>
                <w:spacing w:val="-14"/>
              </w:rPr>
              <w:t>沉淀”，出水根据建设单位</w:t>
            </w:r>
            <w:r>
              <w:rPr>
                <w:spacing w:val="-15"/>
              </w:rPr>
              <w:t>的实测和《海</w:t>
            </w:r>
            <w:r>
              <w:t xml:space="preserve"> </w:t>
            </w:r>
            <w:r>
              <w:rPr>
                <w:spacing w:val="2"/>
              </w:rPr>
              <w:t>丰县金盛宝石首饰有限公司宝石泡酸和注胶工序加工项目</w:t>
            </w:r>
            <w:r>
              <w:rPr>
                <w:rFonts w:ascii="Times New Roman" w:hAnsi="Times New Roman" w:eastAsia="Times New Roman" w:cs="Times New Roman"/>
                <w:spacing w:val="2"/>
              </w:rPr>
              <w:t>(</w:t>
            </w:r>
            <w:r>
              <w:rPr>
                <w:spacing w:val="2"/>
              </w:rPr>
              <w:t>泡酸工序</w:t>
            </w:r>
            <w:r>
              <w:rPr>
                <w:rFonts w:ascii="Times New Roman" w:hAnsi="Times New Roman" w:eastAsia="Times New Roman" w:cs="Times New Roman"/>
                <w:spacing w:val="2"/>
              </w:rPr>
              <w:t>)</w:t>
            </w:r>
            <w:r>
              <w:rPr>
                <w:spacing w:val="2"/>
              </w:rPr>
              <w:t>竣工环境</w:t>
            </w:r>
            <w:r>
              <w:rPr>
                <w:spacing w:val="6"/>
              </w:rPr>
              <w:t xml:space="preserve"> </w:t>
            </w:r>
            <w:r>
              <w:rPr>
                <w:spacing w:val="-12"/>
              </w:rPr>
              <w:t>保护验收监测报告表》均达标。本项目的泡酸废水和原项目的泡酸废水水质相同，</w:t>
            </w:r>
            <w:r>
              <w:rPr>
                <w:spacing w:val="16"/>
              </w:rPr>
              <w:t xml:space="preserve"> </w:t>
            </w:r>
            <w:r>
              <w:rPr>
                <w:spacing w:val="-14"/>
              </w:rPr>
              <w:t>处理工艺“调节</w:t>
            </w:r>
            <w:r>
              <w:rPr>
                <w:rFonts w:ascii="Times New Roman" w:hAnsi="Times New Roman" w:eastAsia="Times New Roman" w:cs="Times New Roman"/>
                <w:spacing w:val="-14"/>
              </w:rPr>
              <w:t>+</w:t>
            </w:r>
            <w:r>
              <w:rPr>
                <w:spacing w:val="-14"/>
              </w:rPr>
              <w:t>一级混凝</w:t>
            </w:r>
            <w:r>
              <w:rPr>
                <w:rFonts w:ascii="Times New Roman" w:hAnsi="Times New Roman" w:eastAsia="Times New Roman" w:cs="Times New Roman"/>
                <w:spacing w:val="-14"/>
              </w:rPr>
              <w:t>+</w:t>
            </w:r>
            <w:r>
              <w:rPr>
                <w:spacing w:val="-14"/>
              </w:rPr>
              <w:t>一级沉淀</w:t>
            </w:r>
            <w:r>
              <w:rPr>
                <w:rFonts w:ascii="Times New Roman" w:hAnsi="Times New Roman" w:eastAsia="Times New Roman" w:cs="Times New Roman"/>
                <w:spacing w:val="-14"/>
              </w:rPr>
              <w:t>+</w:t>
            </w:r>
            <w:r>
              <w:rPr>
                <w:spacing w:val="-14"/>
              </w:rPr>
              <w:t>二级混凝</w:t>
            </w:r>
            <w:r>
              <w:rPr>
                <w:rFonts w:ascii="Times New Roman" w:hAnsi="Times New Roman" w:eastAsia="Times New Roman" w:cs="Times New Roman"/>
                <w:spacing w:val="-14"/>
              </w:rPr>
              <w:t>+</w:t>
            </w:r>
            <w:r>
              <w:rPr>
                <w:spacing w:val="-14"/>
              </w:rPr>
              <w:t>二级沉淀”，相比原项目的废水处</w:t>
            </w:r>
            <w:r>
              <w:t xml:space="preserve"> </w:t>
            </w:r>
            <w:r>
              <w:rPr>
                <w:spacing w:val="-13"/>
              </w:rPr>
              <w:t>理工艺，多了一级混凝沉淀，处理效果比原项目更可靠，完全满足本项目泡酸</w:t>
            </w:r>
            <w:r>
              <w:rPr>
                <w:spacing w:val="-14"/>
              </w:rPr>
              <w:t>废水</w:t>
            </w:r>
            <w:r>
              <w:t xml:space="preserve"> </w:t>
            </w:r>
            <w:r>
              <w:rPr>
                <w:spacing w:val="-10"/>
              </w:rPr>
              <w:t>的处理要求。</w:t>
            </w:r>
          </w:p>
          <w:p w14:paraId="25627142">
            <w:pPr>
              <w:pStyle w:val="6"/>
              <w:spacing w:line="219" w:lineRule="auto"/>
              <w:ind w:left="585"/>
            </w:pPr>
            <w:r>
              <w:rPr>
                <w:rFonts w:ascii="Times New Roman" w:hAnsi="Times New Roman" w:eastAsia="Times New Roman" w:cs="Times New Roman"/>
                <w:b/>
                <w:bCs/>
                <w:spacing w:val="-4"/>
              </w:rPr>
              <w:t>2.2</w:t>
            </w:r>
            <w:r>
              <w:rPr>
                <w:rFonts w:ascii="Times New Roman" w:hAnsi="Times New Roman" w:eastAsia="Times New Roman" w:cs="Times New Roman"/>
                <w:b/>
                <w:bCs/>
                <w:spacing w:val="13"/>
              </w:rPr>
              <w:t xml:space="preserve"> </w:t>
            </w:r>
            <w:r>
              <w:rPr>
                <w:b/>
                <w:bCs/>
                <w:spacing w:val="-4"/>
              </w:rPr>
              <w:t>生活污水</w:t>
            </w:r>
          </w:p>
          <w:p w14:paraId="799E52CB">
            <w:pPr>
              <w:pStyle w:val="6"/>
              <w:spacing w:before="182" w:line="360" w:lineRule="auto"/>
              <w:ind w:left="109" w:right="101" w:firstLine="480"/>
              <w:jc w:val="both"/>
              <w:rPr>
                <w:sz w:val="20"/>
                <w:szCs w:val="20"/>
              </w:rPr>
            </w:pPr>
            <w:r>
              <w:rPr>
                <w:spacing w:val="-2"/>
              </w:rPr>
              <w:t>本项目员工用水量为</w:t>
            </w:r>
            <w:r>
              <w:rPr>
                <w:spacing w:val="-32"/>
              </w:rPr>
              <w:t xml:space="preserve"> </w:t>
            </w:r>
            <w:r>
              <w:rPr>
                <w:rFonts w:ascii="Times New Roman" w:hAnsi="Times New Roman" w:eastAsia="Times New Roman" w:cs="Times New Roman"/>
                <w:spacing w:val="-2"/>
              </w:rPr>
              <w:t>1500t/a</w:t>
            </w:r>
            <w:r>
              <w:rPr>
                <w:spacing w:val="-2"/>
              </w:rPr>
              <w:t>（约</w:t>
            </w:r>
            <w:r>
              <w:rPr>
                <w:spacing w:val="-49"/>
              </w:rPr>
              <w:t xml:space="preserve"> </w:t>
            </w:r>
            <w:r>
              <w:rPr>
                <w:rFonts w:ascii="Times New Roman" w:hAnsi="Times New Roman" w:eastAsia="Times New Roman" w:cs="Times New Roman"/>
                <w:spacing w:val="-2"/>
              </w:rPr>
              <w:t>5t/d</w:t>
            </w:r>
            <w:r>
              <w:rPr>
                <w:spacing w:val="-3"/>
              </w:rPr>
              <w:t>），</w:t>
            </w:r>
            <w:r>
              <w:rPr>
                <w:spacing w:val="-2"/>
              </w:rPr>
              <w:t>生活污水产生量按用</w:t>
            </w:r>
            <w:r>
              <w:rPr>
                <w:spacing w:val="-3"/>
              </w:rPr>
              <w:t>水量的</w:t>
            </w:r>
            <w:r>
              <w:rPr>
                <w:spacing w:val="-50"/>
              </w:rPr>
              <w:t xml:space="preserve"> </w:t>
            </w:r>
            <w:r>
              <w:rPr>
                <w:rFonts w:ascii="Times New Roman" w:hAnsi="Times New Roman" w:eastAsia="Times New Roman" w:cs="Times New Roman"/>
                <w:spacing w:val="-3"/>
              </w:rPr>
              <w:t>90%</w:t>
            </w:r>
            <w:r>
              <w:rPr>
                <w:rFonts w:ascii="Times New Roman" w:hAnsi="Times New Roman" w:eastAsia="Times New Roman" w:cs="Times New Roman"/>
              </w:rPr>
              <w:t xml:space="preserve"> </w:t>
            </w:r>
            <w:r>
              <w:t>核算，则生活污水产生量为</w:t>
            </w:r>
            <w:r>
              <w:rPr>
                <w:spacing w:val="-32"/>
              </w:rPr>
              <w:t xml:space="preserve"> </w:t>
            </w:r>
            <w:r>
              <w:rPr>
                <w:rFonts w:ascii="Times New Roman" w:hAnsi="Times New Roman" w:eastAsia="Times New Roman" w:cs="Times New Roman"/>
              </w:rPr>
              <w:t>1350t/a</w:t>
            </w:r>
            <w:r>
              <w:t>（约</w:t>
            </w:r>
            <w:r>
              <w:rPr>
                <w:spacing w:val="-54"/>
              </w:rPr>
              <w:t xml:space="preserve"> </w:t>
            </w:r>
            <w:r>
              <w:rPr>
                <w:rFonts w:ascii="Times New Roman" w:hAnsi="Times New Roman" w:eastAsia="Times New Roman" w:cs="Times New Roman"/>
              </w:rPr>
              <w:t>4.5t/d</w:t>
            </w:r>
            <w:r>
              <w:t>）。参照《给水排水设计手册》 第</w:t>
            </w:r>
            <w:r>
              <w:rPr>
                <w:spacing w:val="-48"/>
              </w:rPr>
              <w:t xml:space="preserve"> </w:t>
            </w:r>
            <w:r>
              <w:rPr>
                <w:rFonts w:ascii="Times New Roman" w:hAnsi="Times New Roman" w:eastAsia="Times New Roman" w:cs="Times New Roman"/>
              </w:rPr>
              <w:t xml:space="preserve">5 </w:t>
            </w:r>
            <w:r>
              <w:t>册中典型生活污水水质表，并结合实际情况</w:t>
            </w:r>
            <w:r>
              <w:rPr>
                <w:spacing w:val="-1"/>
              </w:rPr>
              <w:t>，确定项目生活污水污染产生</w:t>
            </w:r>
            <w:r>
              <w:t xml:space="preserve"> </w:t>
            </w:r>
            <w:r>
              <w:rPr>
                <w:spacing w:val="-4"/>
              </w:rPr>
              <w:t>浓度为</w:t>
            </w:r>
            <w:r>
              <w:rPr>
                <w:spacing w:val="-43"/>
              </w:rPr>
              <w:t xml:space="preserve"> </w:t>
            </w:r>
            <w:r>
              <w:rPr>
                <w:rFonts w:ascii="Times New Roman" w:hAnsi="Times New Roman" w:eastAsia="Times New Roman" w:cs="Times New Roman"/>
                <w:spacing w:val="-4"/>
              </w:rPr>
              <w:t>COD</w:t>
            </w:r>
            <w:r>
              <w:rPr>
                <w:rFonts w:ascii="Times New Roman" w:hAnsi="Times New Roman" w:eastAsia="Times New Roman" w:cs="Times New Roman"/>
                <w:spacing w:val="-4"/>
                <w:position w:val="-1"/>
                <w:sz w:val="15"/>
                <w:szCs w:val="15"/>
              </w:rPr>
              <w:t>Cr</w:t>
            </w:r>
            <w:r>
              <w:rPr>
                <w:rFonts w:ascii="Times New Roman" w:hAnsi="Times New Roman" w:eastAsia="Times New Roman" w:cs="Times New Roman"/>
                <w:spacing w:val="-14"/>
                <w:position w:val="-1"/>
                <w:sz w:val="15"/>
                <w:szCs w:val="15"/>
              </w:rPr>
              <w:t xml:space="preserve"> </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3"/>
                <w:position w:val="-1"/>
                <w:sz w:val="15"/>
                <w:szCs w:val="15"/>
              </w:rPr>
              <w:t xml:space="preserve"> </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rPr>
              <w:t>-N</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SS</w:t>
            </w:r>
            <w:r>
              <w:rPr>
                <w:spacing w:val="-4"/>
                <w:sz w:val="20"/>
                <w:szCs w:val="20"/>
              </w:rPr>
              <w:t>。</w:t>
            </w:r>
          </w:p>
          <w:p w14:paraId="63B2D934">
            <w:pPr>
              <w:pStyle w:val="6"/>
              <w:spacing w:before="115" w:line="219" w:lineRule="auto"/>
              <w:ind w:left="2256"/>
            </w:pPr>
            <w:r>
              <w:rPr>
                <w:b/>
                <w:bCs/>
                <w:spacing w:val="-2"/>
              </w:rPr>
              <w:t>表</w:t>
            </w:r>
            <w:r>
              <w:rPr>
                <w:spacing w:val="-49"/>
              </w:rPr>
              <w:t xml:space="preserve"> </w:t>
            </w:r>
            <w:r>
              <w:rPr>
                <w:rFonts w:ascii="Times New Roman" w:hAnsi="Times New Roman" w:eastAsia="Times New Roman" w:cs="Times New Roman"/>
                <w:b/>
                <w:bCs/>
                <w:spacing w:val="-2"/>
              </w:rPr>
              <w:t xml:space="preserve">4-19    </w:t>
            </w:r>
            <w:r>
              <w:rPr>
                <w:b/>
                <w:bCs/>
                <w:spacing w:val="-2"/>
              </w:rPr>
              <w:t>项目生活污水污染源信息表</w:t>
            </w:r>
          </w:p>
          <w:p w14:paraId="798652B5">
            <w:pPr>
              <w:spacing w:line="146" w:lineRule="exact"/>
            </w:pPr>
          </w:p>
          <w:tbl>
            <w:tblPr>
              <w:tblStyle w:val="5"/>
              <w:tblW w:w="7840" w:type="dxa"/>
              <w:tblInd w:w="2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2"/>
              <w:gridCol w:w="368"/>
              <w:gridCol w:w="368"/>
              <w:gridCol w:w="806"/>
              <w:gridCol w:w="367"/>
              <w:gridCol w:w="587"/>
              <w:gridCol w:w="477"/>
              <w:gridCol w:w="780"/>
              <w:gridCol w:w="353"/>
              <w:gridCol w:w="517"/>
              <w:gridCol w:w="394"/>
              <w:gridCol w:w="588"/>
              <w:gridCol w:w="550"/>
              <w:gridCol w:w="768"/>
              <w:gridCol w:w="495"/>
            </w:tblGrid>
            <w:tr w14:paraId="0A920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22" w:type="dxa"/>
                  <w:vMerge w:val="restart"/>
                  <w:tcBorders>
                    <w:bottom w:val="nil"/>
                  </w:tcBorders>
                  <w:vAlign w:val="top"/>
                </w:tcPr>
                <w:p w14:paraId="42E2C3AA">
                  <w:pPr>
                    <w:pStyle w:val="6"/>
                    <w:spacing w:before="175" w:line="252" w:lineRule="auto"/>
                    <w:ind w:left="81" w:right="73" w:firstLine="32"/>
                    <w:jc w:val="both"/>
                    <w:rPr>
                      <w:sz w:val="20"/>
                      <w:szCs w:val="20"/>
                    </w:rPr>
                  </w:pPr>
                  <w:r>
                    <w:rPr>
                      <w:spacing w:val="-2"/>
                      <w:sz w:val="20"/>
                      <w:szCs w:val="20"/>
                    </w:rPr>
                    <w:t>工</w:t>
                  </w:r>
                  <w:r>
                    <w:rPr>
                      <w:sz w:val="20"/>
                      <w:szCs w:val="20"/>
                    </w:rPr>
                    <w:t xml:space="preserve"> </w:t>
                  </w:r>
                  <w:r>
                    <w:rPr>
                      <w:spacing w:val="3"/>
                      <w:sz w:val="20"/>
                      <w:szCs w:val="20"/>
                    </w:rPr>
                    <w:t>序</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spacing w:val="30"/>
                      <w:sz w:val="20"/>
                      <w:szCs w:val="20"/>
                    </w:rPr>
                    <w:t>生</w:t>
                  </w:r>
                </w:p>
                <w:p w14:paraId="4F360D11">
                  <w:pPr>
                    <w:pStyle w:val="6"/>
                    <w:spacing w:line="227" w:lineRule="auto"/>
                    <w:ind w:left="110"/>
                    <w:rPr>
                      <w:sz w:val="20"/>
                      <w:szCs w:val="20"/>
                    </w:rPr>
                  </w:pPr>
                  <w:r>
                    <w:rPr>
                      <w:sz w:val="20"/>
                      <w:szCs w:val="20"/>
                    </w:rPr>
                    <w:t>产</w:t>
                  </w:r>
                </w:p>
                <w:p w14:paraId="4ED743B6">
                  <w:pPr>
                    <w:pStyle w:val="6"/>
                    <w:spacing w:before="24" w:line="228" w:lineRule="auto"/>
                    <w:ind w:left="113"/>
                    <w:rPr>
                      <w:sz w:val="20"/>
                      <w:szCs w:val="20"/>
                    </w:rPr>
                  </w:pPr>
                  <w:r>
                    <w:rPr>
                      <w:sz w:val="20"/>
                      <w:szCs w:val="20"/>
                    </w:rPr>
                    <w:t>线</w:t>
                  </w:r>
                </w:p>
              </w:tc>
              <w:tc>
                <w:tcPr>
                  <w:tcW w:w="368" w:type="dxa"/>
                  <w:vMerge w:val="restart"/>
                  <w:tcBorders>
                    <w:bottom w:val="nil"/>
                  </w:tcBorders>
                  <w:textDirection w:val="tbRlV"/>
                  <w:vAlign w:val="top"/>
                </w:tcPr>
                <w:p w14:paraId="159D5D8B">
                  <w:pPr>
                    <w:pStyle w:val="6"/>
                    <w:spacing w:before="79" w:line="218" w:lineRule="auto"/>
                    <w:ind w:left="584"/>
                    <w:rPr>
                      <w:sz w:val="20"/>
                      <w:szCs w:val="20"/>
                    </w:rPr>
                  </w:pPr>
                  <w:r>
                    <w:rPr>
                      <w:spacing w:val="8"/>
                      <w:sz w:val="20"/>
                      <w:szCs w:val="20"/>
                    </w:rPr>
                    <w:t>装</w:t>
                  </w:r>
                  <w:r>
                    <w:rPr>
                      <w:spacing w:val="-38"/>
                      <w:sz w:val="20"/>
                      <w:szCs w:val="20"/>
                    </w:rPr>
                    <w:t xml:space="preserve"> </w:t>
                  </w:r>
                  <w:r>
                    <w:rPr>
                      <w:spacing w:val="8"/>
                      <w:sz w:val="20"/>
                      <w:szCs w:val="20"/>
                    </w:rPr>
                    <w:t>置</w:t>
                  </w:r>
                </w:p>
              </w:tc>
              <w:tc>
                <w:tcPr>
                  <w:tcW w:w="368" w:type="dxa"/>
                  <w:vMerge w:val="restart"/>
                  <w:tcBorders>
                    <w:bottom w:val="nil"/>
                  </w:tcBorders>
                  <w:textDirection w:val="tbRlV"/>
                  <w:vAlign w:val="top"/>
                </w:tcPr>
                <w:p w14:paraId="15B03472">
                  <w:pPr>
                    <w:pStyle w:val="6"/>
                    <w:spacing w:before="80" w:line="217" w:lineRule="auto"/>
                    <w:ind w:left="447"/>
                    <w:rPr>
                      <w:sz w:val="20"/>
                      <w:szCs w:val="20"/>
                    </w:rPr>
                  </w:pPr>
                  <w:r>
                    <w:rPr>
                      <w:spacing w:val="8"/>
                      <w:sz w:val="20"/>
                      <w:szCs w:val="20"/>
                    </w:rPr>
                    <w:t>污</w:t>
                  </w:r>
                  <w:r>
                    <w:rPr>
                      <w:spacing w:val="-34"/>
                      <w:sz w:val="20"/>
                      <w:szCs w:val="20"/>
                    </w:rPr>
                    <w:t xml:space="preserve"> </w:t>
                  </w:r>
                  <w:r>
                    <w:rPr>
                      <w:spacing w:val="8"/>
                      <w:sz w:val="20"/>
                      <w:szCs w:val="20"/>
                    </w:rPr>
                    <w:t>染</w:t>
                  </w:r>
                  <w:r>
                    <w:rPr>
                      <w:spacing w:val="-38"/>
                      <w:sz w:val="20"/>
                      <w:szCs w:val="20"/>
                    </w:rPr>
                    <w:t xml:space="preserve"> </w:t>
                  </w:r>
                  <w:r>
                    <w:rPr>
                      <w:spacing w:val="8"/>
                      <w:sz w:val="20"/>
                      <w:szCs w:val="20"/>
                    </w:rPr>
                    <w:t>源</w:t>
                  </w:r>
                </w:p>
              </w:tc>
              <w:tc>
                <w:tcPr>
                  <w:tcW w:w="806" w:type="dxa"/>
                  <w:vMerge w:val="restart"/>
                  <w:tcBorders>
                    <w:bottom w:val="nil"/>
                  </w:tcBorders>
                  <w:vAlign w:val="top"/>
                </w:tcPr>
                <w:p w14:paraId="0E5C4FE3">
                  <w:pPr>
                    <w:spacing w:line="326" w:lineRule="auto"/>
                    <w:rPr>
                      <w:rFonts w:ascii="Arial"/>
                      <w:sz w:val="21"/>
                    </w:rPr>
                  </w:pPr>
                </w:p>
                <w:p w14:paraId="2C82975E">
                  <w:pPr>
                    <w:spacing w:line="326" w:lineRule="auto"/>
                    <w:rPr>
                      <w:rFonts w:ascii="Arial"/>
                      <w:sz w:val="21"/>
                    </w:rPr>
                  </w:pPr>
                </w:p>
                <w:p w14:paraId="2191F3EA">
                  <w:pPr>
                    <w:pStyle w:val="6"/>
                    <w:spacing w:before="65" w:line="228" w:lineRule="auto"/>
                    <w:ind w:left="94"/>
                    <w:rPr>
                      <w:sz w:val="20"/>
                      <w:szCs w:val="20"/>
                    </w:rPr>
                  </w:pPr>
                  <w:r>
                    <w:rPr>
                      <w:spacing w:val="6"/>
                      <w:sz w:val="20"/>
                      <w:szCs w:val="20"/>
                    </w:rPr>
                    <w:t>污染物</w:t>
                  </w:r>
                </w:p>
              </w:tc>
              <w:tc>
                <w:tcPr>
                  <w:tcW w:w="2211" w:type="dxa"/>
                  <w:gridSpan w:val="4"/>
                  <w:vAlign w:val="top"/>
                </w:tcPr>
                <w:p w14:paraId="3C1BF256">
                  <w:pPr>
                    <w:pStyle w:val="6"/>
                    <w:spacing w:before="170" w:line="228" w:lineRule="auto"/>
                    <w:ind w:left="587"/>
                    <w:rPr>
                      <w:sz w:val="20"/>
                      <w:szCs w:val="20"/>
                    </w:rPr>
                  </w:pPr>
                  <w:r>
                    <w:rPr>
                      <w:spacing w:val="7"/>
                      <w:sz w:val="20"/>
                      <w:szCs w:val="20"/>
                    </w:rPr>
                    <w:t>污染物产生</w:t>
                  </w:r>
                </w:p>
              </w:tc>
              <w:tc>
                <w:tcPr>
                  <w:tcW w:w="870" w:type="dxa"/>
                  <w:gridSpan w:val="2"/>
                  <w:vAlign w:val="top"/>
                </w:tcPr>
                <w:p w14:paraId="1FCA680C">
                  <w:pPr>
                    <w:pStyle w:val="6"/>
                    <w:spacing w:before="34" w:line="233" w:lineRule="auto"/>
                    <w:ind w:left="236"/>
                    <w:rPr>
                      <w:sz w:val="20"/>
                      <w:szCs w:val="20"/>
                    </w:rPr>
                  </w:pPr>
                  <w:r>
                    <w:rPr>
                      <w:spacing w:val="2"/>
                      <w:sz w:val="20"/>
                      <w:szCs w:val="20"/>
                    </w:rPr>
                    <w:t>治理</w:t>
                  </w:r>
                </w:p>
                <w:p w14:paraId="66DC939A">
                  <w:pPr>
                    <w:pStyle w:val="6"/>
                    <w:spacing w:before="21" w:line="218" w:lineRule="auto"/>
                    <w:ind w:left="231"/>
                    <w:rPr>
                      <w:sz w:val="20"/>
                      <w:szCs w:val="20"/>
                    </w:rPr>
                  </w:pPr>
                  <w:r>
                    <w:rPr>
                      <w:spacing w:val="4"/>
                      <w:sz w:val="20"/>
                      <w:szCs w:val="20"/>
                    </w:rPr>
                    <w:t>措施</w:t>
                  </w:r>
                </w:p>
              </w:tc>
              <w:tc>
                <w:tcPr>
                  <w:tcW w:w="2300" w:type="dxa"/>
                  <w:gridSpan w:val="4"/>
                  <w:vAlign w:val="top"/>
                </w:tcPr>
                <w:p w14:paraId="02846CB8">
                  <w:pPr>
                    <w:pStyle w:val="6"/>
                    <w:spacing w:before="171" w:line="228" w:lineRule="auto"/>
                    <w:ind w:left="633"/>
                    <w:rPr>
                      <w:sz w:val="20"/>
                      <w:szCs w:val="20"/>
                    </w:rPr>
                  </w:pPr>
                  <w:r>
                    <w:rPr>
                      <w:spacing w:val="7"/>
                      <w:sz w:val="20"/>
                      <w:szCs w:val="20"/>
                    </w:rPr>
                    <w:t>污染物排放</w:t>
                  </w:r>
                </w:p>
              </w:tc>
              <w:tc>
                <w:tcPr>
                  <w:tcW w:w="495" w:type="dxa"/>
                  <w:vMerge w:val="restart"/>
                  <w:tcBorders>
                    <w:bottom w:val="nil"/>
                  </w:tcBorders>
                  <w:vAlign w:val="top"/>
                </w:tcPr>
                <w:p w14:paraId="1593D2CB">
                  <w:pPr>
                    <w:pStyle w:val="6"/>
                    <w:spacing w:before="190" w:line="230" w:lineRule="auto"/>
                    <w:ind w:left="148"/>
                    <w:rPr>
                      <w:sz w:val="20"/>
                      <w:szCs w:val="20"/>
                    </w:rPr>
                  </w:pPr>
                  <w:r>
                    <w:rPr>
                      <w:sz w:val="20"/>
                      <w:szCs w:val="20"/>
                    </w:rPr>
                    <w:t>排</w:t>
                  </w:r>
                </w:p>
                <w:p w14:paraId="31D7EA18">
                  <w:pPr>
                    <w:pStyle w:val="6"/>
                    <w:spacing w:before="24" w:line="229" w:lineRule="auto"/>
                    <w:ind w:left="148"/>
                    <w:rPr>
                      <w:sz w:val="20"/>
                      <w:szCs w:val="20"/>
                    </w:rPr>
                  </w:pPr>
                  <w:r>
                    <w:rPr>
                      <w:sz w:val="20"/>
                      <w:szCs w:val="20"/>
                    </w:rPr>
                    <w:t>放</w:t>
                  </w:r>
                </w:p>
                <w:p w14:paraId="002239A7">
                  <w:pPr>
                    <w:pStyle w:val="6"/>
                    <w:spacing w:before="22" w:line="230" w:lineRule="auto"/>
                    <w:ind w:left="158"/>
                    <w:rPr>
                      <w:sz w:val="20"/>
                      <w:szCs w:val="20"/>
                    </w:rPr>
                  </w:pPr>
                  <w:r>
                    <w:rPr>
                      <w:sz w:val="20"/>
                      <w:szCs w:val="20"/>
                    </w:rPr>
                    <w:t>时</w:t>
                  </w:r>
                </w:p>
                <w:p w14:paraId="026F33E2">
                  <w:pPr>
                    <w:pStyle w:val="6"/>
                    <w:spacing w:before="25" w:line="259" w:lineRule="auto"/>
                    <w:ind w:left="164" w:right="140"/>
                    <w:rPr>
                      <w:rFonts w:ascii="Times New Roman" w:hAnsi="Times New Roman" w:eastAsia="Times New Roman" w:cs="Times New Roman"/>
                      <w:sz w:val="20"/>
                      <w:szCs w:val="20"/>
                    </w:rPr>
                  </w:pPr>
                  <w:r>
                    <w:rPr>
                      <w:spacing w:val="-16"/>
                      <w:sz w:val="20"/>
                      <w:szCs w:val="20"/>
                    </w:rPr>
                    <w:t>间</w:t>
                  </w:r>
                  <w:r>
                    <w:rPr>
                      <w:sz w:val="20"/>
                      <w:szCs w:val="20"/>
                    </w:rPr>
                    <w:t xml:space="preserve"> </w:t>
                  </w:r>
                  <w:r>
                    <w:rPr>
                      <w:rFonts w:ascii="Times New Roman" w:hAnsi="Times New Roman" w:eastAsia="Times New Roman" w:cs="Times New Roman"/>
                      <w:spacing w:val="3"/>
                      <w:sz w:val="20"/>
                      <w:szCs w:val="20"/>
                    </w:rPr>
                    <w:t>/h</w:t>
                  </w:r>
                </w:p>
              </w:tc>
            </w:tr>
            <w:tr w14:paraId="7C5B1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22" w:type="dxa"/>
                  <w:vMerge w:val="continue"/>
                  <w:tcBorders>
                    <w:top w:val="nil"/>
                  </w:tcBorders>
                  <w:vAlign w:val="top"/>
                </w:tcPr>
                <w:p w14:paraId="0382CE33">
                  <w:pPr>
                    <w:rPr>
                      <w:rFonts w:ascii="Arial"/>
                      <w:sz w:val="21"/>
                    </w:rPr>
                  </w:pPr>
                </w:p>
              </w:tc>
              <w:tc>
                <w:tcPr>
                  <w:tcW w:w="368" w:type="dxa"/>
                  <w:vMerge w:val="continue"/>
                  <w:tcBorders>
                    <w:top w:val="nil"/>
                  </w:tcBorders>
                  <w:textDirection w:val="tbRlV"/>
                  <w:vAlign w:val="top"/>
                </w:tcPr>
                <w:p w14:paraId="677DE2FE">
                  <w:pPr>
                    <w:rPr>
                      <w:rFonts w:ascii="Arial"/>
                      <w:sz w:val="21"/>
                    </w:rPr>
                  </w:pPr>
                </w:p>
              </w:tc>
              <w:tc>
                <w:tcPr>
                  <w:tcW w:w="368" w:type="dxa"/>
                  <w:vMerge w:val="continue"/>
                  <w:tcBorders>
                    <w:top w:val="nil"/>
                  </w:tcBorders>
                  <w:textDirection w:val="tbRlV"/>
                  <w:vAlign w:val="top"/>
                </w:tcPr>
                <w:p w14:paraId="4443B743">
                  <w:pPr>
                    <w:rPr>
                      <w:rFonts w:ascii="Arial"/>
                      <w:sz w:val="21"/>
                    </w:rPr>
                  </w:pPr>
                </w:p>
              </w:tc>
              <w:tc>
                <w:tcPr>
                  <w:tcW w:w="806" w:type="dxa"/>
                  <w:vMerge w:val="continue"/>
                  <w:tcBorders>
                    <w:top w:val="nil"/>
                  </w:tcBorders>
                  <w:vAlign w:val="top"/>
                </w:tcPr>
                <w:p w14:paraId="6687E662">
                  <w:pPr>
                    <w:rPr>
                      <w:rFonts w:ascii="Arial"/>
                      <w:sz w:val="21"/>
                    </w:rPr>
                  </w:pPr>
                </w:p>
              </w:tc>
              <w:tc>
                <w:tcPr>
                  <w:tcW w:w="367" w:type="dxa"/>
                  <w:textDirection w:val="tbRlV"/>
                  <w:vAlign w:val="top"/>
                </w:tcPr>
                <w:p w14:paraId="70C062D2">
                  <w:pPr>
                    <w:pStyle w:val="6"/>
                    <w:spacing w:before="77" w:line="215" w:lineRule="auto"/>
                    <w:ind w:left="32"/>
                    <w:rPr>
                      <w:sz w:val="20"/>
                      <w:szCs w:val="20"/>
                    </w:rPr>
                  </w:pPr>
                  <w:r>
                    <w:rPr>
                      <w:spacing w:val="8"/>
                      <w:sz w:val="20"/>
                      <w:szCs w:val="20"/>
                    </w:rPr>
                    <w:t>核</w:t>
                  </w:r>
                  <w:r>
                    <w:rPr>
                      <w:spacing w:val="-36"/>
                      <w:sz w:val="20"/>
                      <w:szCs w:val="20"/>
                    </w:rPr>
                    <w:t xml:space="preserve"> </w:t>
                  </w:r>
                  <w:r>
                    <w:rPr>
                      <w:spacing w:val="8"/>
                      <w:sz w:val="20"/>
                      <w:szCs w:val="20"/>
                    </w:rPr>
                    <w:t>算</w:t>
                  </w:r>
                  <w:r>
                    <w:rPr>
                      <w:spacing w:val="-38"/>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587" w:type="dxa"/>
                  <w:vAlign w:val="top"/>
                </w:tcPr>
                <w:p w14:paraId="7BAE9707">
                  <w:pPr>
                    <w:pStyle w:val="6"/>
                    <w:spacing w:before="46" w:line="228" w:lineRule="auto"/>
                    <w:ind w:left="88"/>
                    <w:rPr>
                      <w:sz w:val="20"/>
                      <w:szCs w:val="20"/>
                    </w:rPr>
                  </w:pPr>
                  <w:r>
                    <w:rPr>
                      <w:spacing w:val="4"/>
                      <w:sz w:val="20"/>
                      <w:szCs w:val="20"/>
                    </w:rPr>
                    <w:t>产生</w:t>
                  </w:r>
                </w:p>
                <w:p w14:paraId="161F8592">
                  <w:pPr>
                    <w:pStyle w:val="6"/>
                    <w:spacing w:before="24" w:line="228" w:lineRule="auto"/>
                    <w:ind w:left="87"/>
                    <w:rPr>
                      <w:sz w:val="20"/>
                      <w:szCs w:val="20"/>
                    </w:rPr>
                  </w:pPr>
                  <w:r>
                    <w:rPr>
                      <w:spacing w:val="5"/>
                      <w:sz w:val="20"/>
                      <w:szCs w:val="20"/>
                    </w:rPr>
                    <w:t>废水</w:t>
                  </w:r>
                </w:p>
                <w:p w14:paraId="14163839">
                  <w:pPr>
                    <w:pStyle w:val="6"/>
                    <w:spacing w:before="27" w:line="233" w:lineRule="auto"/>
                    <w:ind w:left="220"/>
                    <w:rPr>
                      <w:sz w:val="20"/>
                      <w:szCs w:val="20"/>
                    </w:rPr>
                  </w:pPr>
                  <w:r>
                    <w:rPr>
                      <w:sz w:val="20"/>
                      <w:szCs w:val="20"/>
                    </w:rPr>
                    <w:t>量</w:t>
                  </w:r>
                </w:p>
                <w:p w14:paraId="34EA9D90">
                  <w:pPr>
                    <w:spacing w:before="36" w:line="199"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m³/h</w:t>
                  </w:r>
                </w:p>
              </w:tc>
              <w:tc>
                <w:tcPr>
                  <w:tcW w:w="477" w:type="dxa"/>
                  <w:vAlign w:val="top"/>
                </w:tcPr>
                <w:p w14:paraId="63ABEE30">
                  <w:pPr>
                    <w:pStyle w:val="6"/>
                    <w:spacing w:before="183" w:line="228" w:lineRule="auto"/>
                    <w:ind w:left="34"/>
                    <w:rPr>
                      <w:sz w:val="20"/>
                      <w:szCs w:val="20"/>
                    </w:rPr>
                  </w:pPr>
                  <w:r>
                    <w:rPr>
                      <w:spacing w:val="4"/>
                      <w:sz w:val="20"/>
                      <w:szCs w:val="20"/>
                    </w:rPr>
                    <w:t>产生</w:t>
                  </w:r>
                </w:p>
                <w:p w14:paraId="171E9F44">
                  <w:pPr>
                    <w:pStyle w:val="6"/>
                    <w:spacing w:before="24" w:line="259" w:lineRule="auto"/>
                    <w:ind w:left="10" w:right="10"/>
                    <w:rPr>
                      <w:rFonts w:ascii="Times New Roman" w:hAnsi="Times New Roman" w:eastAsia="Times New Roman" w:cs="Times New Roman"/>
                      <w:sz w:val="20"/>
                      <w:szCs w:val="20"/>
                    </w:rPr>
                  </w:pPr>
                  <w:r>
                    <w:rPr>
                      <w:spacing w:val="6"/>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780" w:type="dxa"/>
                  <w:vAlign w:val="top"/>
                </w:tcPr>
                <w:p w14:paraId="6852C5D0">
                  <w:pPr>
                    <w:spacing w:line="251" w:lineRule="auto"/>
                    <w:rPr>
                      <w:rFonts w:ascii="Arial"/>
                      <w:sz w:val="21"/>
                    </w:rPr>
                  </w:pPr>
                </w:p>
                <w:p w14:paraId="431AA0E3">
                  <w:pPr>
                    <w:pStyle w:val="6"/>
                    <w:spacing w:before="65" w:line="259" w:lineRule="auto"/>
                    <w:ind w:left="203" w:right="73" w:hanging="123"/>
                    <w:rPr>
                      <w:rFonts w:ascii="Times New Roman" w:hAnsi="Times New Roman" w:eastAsia="Times New Roman" w:cs="Times New Roman"/>
                      <w:sz w:val="20"/>
                      <w:szCs w:val="20"/>
                    </w:rPr>
                  </w:pPr>
                  <w:r>
                    <w:rPr>
                      <w:spacing w:val="6"/>
                      <w:sz w:val="20"/>
                      <w:szCs w:val="20"/>
                    </w:rPr>
                    <w:t>产生量</w:t>
                  </w:r>
                  <w:r>
                    <w:rPr>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353" w:type="dxa"/>
                  <w:textDirection w:val="tbRlV"/>
                  <w:vAlign w:val="top"/>
                </w:tcPr>
                <w:p w14:paraId="3B178F08">
                  <w:pPr>
                    <w:pStyle w:val="6"/>
                    <w:spacing w:before="68" w:line="223" w:lineRule="auto"/>
                    <w:ind w:left="303"/>
                    <w:rPr>
                      <w:sz w:val="20"/>
                      <w:szCs w:val="20"/>
                    </w:rPr>
                  </w:pPr>
                  <w:r>
                    <w:rPr>
                      <w:spacing w:val="8"/>
                      <w:sz w:val="20"/>
                      <w:szCs w:val="20"/>
                    </w:rPr>
                    <w:t>工</w:t>
                  </w:r>
                  <w:r>
                    <w:rPr>
                      <w:spacing w:val="-38"/>
                      <w:sz w:val="20"/>
                      <w:szCs w:val="20"/>
                    </w:rPr>
                    <w:t xml:space="preserve"> </w:t>
                  </w:r>
                  <w:r>
                    <w:rPr>
                      <w:spacing w:val="8"/>
                      <w:sz w:val="20"/>
                      <w:szCs w:val="20"/>
                    </w:rPr>
                    <w:t>艺</w:t>
                  </w:r>
                </w:p>
              </w:tc>
              <w:tc>
                <w:tcPr>
                  <w:tcW w:w="517" w:type="dxa"/>
                  <w:vAlign w:val="top"/>
                </w:tcPr>
                <w:p w14:paraId="7C30CC34">
                  <w:pPr>
                    <w:spacing w:line="250" w:lineRule="auto"/>
                    <w:rPr>
                      <w:rFonts w:ascii="Arial"/>
                      <w:sz w:val="21"/>
                    </w:rPr>
                  </w:pPr>
                </w:p>
                <w:p w14:paraId="1276034A">
                  <w:pPr>
                    <w:pStyle w:val="6"/>
                    <w:spacing w:before="65" w:line="228" w:lineRule="auto"/>
                    <w:ind w:left="59"/>
                    <w:rPr>
                      <w:sz w:val="20"/>
                      <w:szCs w:val="20"/>
                    </w:rPr>
                  </w:pPr>
                  <w:r>
                    <w:rPr>
                      <w:spacing w:val="2"/>
                      <w:sz w:val="20"/>
                      <w:szCs w:val="20"/>
                    </w:rPr>
                    <w:t>效率</w:t>
                  </w:r>
                </w:p>
                <w:p w14:paraId="120F2812">
                  <w:pPr>
                    <w:spacing w:before="42" w:line="199"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p>
              </w:tc>
              <w:tc>
                <w:tcPr>
                  <w:tcW w:w="394" w:type="dxa"/>
                  <w:textDirection w:val="tbRlV"/>
                  <w:vAlign w:val="top"/>
                </w:tcPr>
                <w:p w14:paraId="736E51C4">
                  <w:pPr>
                    <w:pStyle w:val="6"/>
                    <w:spacing w:before="89" w:line="215" w:lineRule="auto"/>
                    <w:ind w:left="32"/>
                    <w:rPr>
                      <w:sz w:val="20"/>
                      <w:szCs w:val="20"/>
                    </w:rPr>
                  </w:pPr>
                  <w:r>
                    <w:rPr>
                      <w:spacing w:val="8"/>
                      <w:sz w:val="20"/>
                      <w:szCs w:val="20"/>
                    </w:rPr>
                    <w:t>核</w:t>
                  </w:r>
                  <w:r>
                    <w:rPr>
                      <w:spacing w:val="-36"/>
                      <w:sz w:val="20"/>
                      <w:szCs w:val="20"/>
                    </w:rPr>
                    <w:t xml:space="preserve"> </w:t>
                  </w:r>
                  <w:r>
                    <w:rPr>
                      <w:spacing w:val="8"/>
                      <w:sz w:val="20"/>
                      <w:szCs w:val="20"/>
                    </w:rPr>
                    <w:t>算</w:t>
                  </w:r>
                  <w:r>
                    <w:rPr>
                      <w:spacing w:val="-38"/>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588" w:type="dxa"/>
                  <w:vAlign w:val="top"/>
                </w:tcPr>
                <w:p w14:paraId="3080B83C">
                  <w:pPr>
                    <w:pStyle w:val="6"/>
                    <w:spacing w:before="46" w:line="229" w:lineRule="auto"/>
                    <w:ind w:left="91"/>
                    <w:rPr>
                      <w:sz w:val="20"/>
                      <w:szCs w:val="20"/>
                    </w:rPr>
                  </w:pPr>
                  <w:r>
                    <w:rPr>
                      <w:spacing w:val="4"/>
                      <w:sz w:val="20"/>
                      <w:szCs w:val="20"/>
                    </w:rPr>
                    <w:t>排放</w:t>
                  </w:r>
                </w:p>
                <w:p w14:paraId="5A683276">
                  <w:pPr>
                    <w:pStyle w:val="6"/>
                    <w:spacing w:before="22" w:line="228" w:lineRule="auto"/>
                    <w:ind w:left="90"/>
                    <w:rPr>
                      <w:sz w:val="20"/>
                      <w:szCs w:val="20"/>
                    </w:rPr>
                  </w:pPr>
                  <w:r>
                    <w:rPr>
                      <w:spacing w:val="5"/>
                      <w:sz w:val="20"/>
                      <w:szCs w:val="20"/>
                    </w:rPr>
                    <w:t>废水</w:t>
                  </w:r>
                </w:p>
                <w:p w14:paraId="3EB7734E">
                  <w:pPr>
                    <w:pStyle w:val="6"/>
                    <w:spacing w:before="27" w:line="233" w:lineRule="auto"/>
                    <w:ind w:left="220"/>
                    <w:rPr>
                      <w:sz w:val="20"/>
                      <w:szCs w:val="20"/>
                    </w:rPr>
                  </w:pPr>
                  <w:r>
                    <w:rPr>
                      <w:sz w:val="20"/>
                      <w:szCs w:val="20"/>
                    </w:rPr>
                    <w:t>量</w:t>
                  </w:r>
                </w:p>
                <w:p w14:paraId="61FC1A78">
                  <w:pPr>
                    <w:spacing w:before="36" w:line="199" w:lineRule="auto"/>
                    <w:ind w:left="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m³/h</w:t>
                  </w:r>
                </w:p>
              </w:tc>
              <w:tc>
                <w:tcPr>
                  <w:tcW w:w="550" w:type="dxa"/>
                  <w:vAlign w:val="top"/>
                </w:tcPr>
                <w:p w14:paraId="3ADEA759">
                  <w:pPr>
                    <w:spacing w:line="251" w:lineRule="auto"/>
                    <w:rPr>
                      <w:rFonts w:ascii="Arial"/>
                      <w:sz w:val="21"/>
                    </w:rPr>
                  </w:pPr>
                </w:p>
                <w:p w14:paraId="2B724BBE">
                  <w:pPr>
                    <w:pStyle w:val="6"/>
                    <w:spacing w:before="65" w:line="259" w:lineRule="auto"/>
                    <w:ind w:left="46" w:right="46" w:firstLine="25"/>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768" w:type="dxa"/>
                  <w:vAlign w:val="top"/>
                </w:tcPr>
                <w:p w14:paraId="3CE7396C">
                  <w:pPr>
                    <w:spacing w:line="251" w:lineRule="auto"/>
                    <w:rPr>
                      <w:rFonts w:ascii="Arial"/>
                      <w:sz w:val="21"/>
                    </w:rPr>
                  </w:pPr>
                </w:p>
                <w:p w14:paraId="068EBBEE">
                  <w:pPr>
                    <w:pStyle w:val="6"/>
                    <w:spacing w:before="65" w:line="259" w:lineRule="auto"/>
                    <w:ind w:left="199" w:right="65" w:hanging="123"/>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95" w:type="dxa"/>
                  <w:vMerge w:val="continue"/>
                  <w:tcBorders>
                    <w:top w:val="nil"/>
                  </w:tcBorders>
                  <w:vAlign w:val="top"/>
                </w:tcPr>
                <w:p w14:paraId="7B85F9A7">
                  <w:pPr>
                    <w:rPr>
                      <w:rFonts w:ascii="Arial"/>
                      <w:sz w:val="21"/>
                    </w:rPr>
                  </w:pPr>
                </w:p>
              </w:tc>
            </w:tr>
            <w:tr w14:paraId="1386A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22" w:type="dxa"/>
                  <w:vMerge w:val="restart"/>
                  <w:tcBorders>
                    <w:bottom w:val="nil"/>
                  </w:tcBorders>
                  <w:textDirection w:val="tbRlV"/>
                  <w:vAlign w:val="top"/>
                </w:tcPr>
                <w:p w14:paraId="3A3CAA8F">
                  <w:pPr>
                    <w:pStyle w:val="6"/>
                    <w:spacing w:before="104" w:line="215" w:lineRule="auto"/>
                    <w:ind w:left="410"/>
                    <w:rPr>
                      <w:sz w:val="20"/>
                      <w:szCs w:val="20"/>
                    </w:rPr>
                  </w:pPr>
                  <w:r>
                    <w:rPr>
                      <w:spacing w:val="8"/>
                      <w:sz w:val="20"/>
                      <w:szCs w:val="20"/>
                    </w:rPr>
                    <w:t>员</w:t>
                  </w:r>
                  <w:r>
                    <w:rPr>
                      <w:spacing w:val="-36"/>
                      <w:sz w:val="20"/>
                      <w:szCs w:val="20"/>
                    </w:rPr>
                    <w:t xml:space="preserve"> </w:t>
                  </w:r>
                  <w:r>
                    <w:rPr>
                      <w:spacing w:val="8"/>
                      <w:sz w:val="20"/>
                      <w:szCs w:val="20"/>
                    </w:rPr>
                    <w:t>工</w:t>
                  </w:r>
                  <w:r>
                    <w:rPr>
                      <w:spacing w:val="-35"/>
                      <w:sz w:val="20"/>
                      <w:szCs w:val="20"/>
                    </w:rPr>
                    <w:t xml:space="preserve"> </w:t>
                  </w:r>
                  <w:r>
                    <w:rPr>
                      <w:spacing w:val="8"/>
                      <w:sz w:val="20"/>
                      <w:szCs w:val="20"/>
                    </w:rPr>
                    <w:t>生</w:t>
                  </w:r>
                  <w:r>
                    <w:rPr>
                      <w:spacing w:val="-38"/>
                      <w:sz w:val="20"/>
                      <w:szCs w:val="20"/>
                    </w:rPr>
                    <w:t xml:space="preserve"> </w:t>
                  </w:r>
                  <w:r>
                    <w:rPr>
                      <w:spacing w:val="8"/>
                      <w:sz w:val="20"/>
                      <w:szCs w:val="20"/>
                    </w:rPr>
                    <w:t>活</w:t>
                  </w:r>
                </w:p>
              </w:tc>
              <w:tc>
                <w:tcPr>
                  <w:tcW w:w="368" w:type="dxa"/>
                  <w:vMerge w:val="restart"/>
                  <w:tcBorders>
                    <w:bottom w:val="nil"/>
                  </w:tcBorders>
                  <w:textDirection w:val="tbRlV"/>
                  <w:vAlign w:val="top"/>
                </w:tcPr>
                <w:p w14:paraId="34CA21EA">
                  <w:pPr>
                    <w:pStyle w:val="6"/>
                    <w:spacing w:before="79" w:line="216" w:lineRule="auto"/>
                    <w:ind w:left="547"/>
                    <w:rPr>
                      <w:sz w:val="20"/>
                      <w:szCs w:val="20"/>
                    </w:rPr>
                  </w:pPr>
                  <w:r>
                    <w:rPr>
                      <w:spacing w:val="8"/>
                      <w:sz w:val="20"/>
                      <w:szCs w:val="20"/>
                    </w:rPr>
                    <w:t>化</w:t>
                  </w:r>
                  <w:r>
                    <w:rPr>
                      <w:spacing w:val="-37"/>
                      <w:sz w:val="20"/>
                      <w:szCs w:val="20"/>
                    </w:rPr>
                    <w:t xml:space="preserve"> </w:t>
                  </w:r>
                  <w:r>
                    <w:rPr>
                      <w:spacing w:val="8"/>
                      <w:sz w:val="20"/>
                      <w:szCs w:val="20"/>
                    </w:rPr>
                    <w:t>粪</w:t>
                  </w:r>
                  <w:r>
                    <w:rPr>
                      <w:spacing w:val="-37"/>
                      <w:sz w:val="20"/>
                      <w:szCs w:val="20"/>
                    </w:rPr>
                    <w:t xml:space="preserve"> </w:t>
                  </w:r>
                  <w:r>
                    <w:rPr>
                      <w:spacing w:val="8"/>
                      <w:sz w:val="20"/>
                      <w:szCs w:val="20"/>
                    </w:rPr>
                    <w:t>池</w:t>
                  </w:r>
                </w:p>
              </w:tc>
              <w:tc>
                <w:tcPr>
                  <w:tcW w:w="368" w:type="dxa"/>
                  <w:vMerge w:val="restart"/>
                  <w:tcBorders>
                    <w:bottom w:val="nil"/>
                  </w:tcBorders>
                  <w:textDirection w:val="tbRlV"/>
                  <w:vAlign w:val="top"/>
                </w:tcPr>
                <w:p w14:paraId="11DFA416">
                  <w:pPr>
                    <w:pStyle w:val="6"/>
                    <w:spacing w:before="80" w:line="214" w:lineRule="auto"/>
                    <w:ind w:left="410"/>
                    <w:rPr>
                      <w:sz w:val="20"/>
                      <w:szCs w:val="20"/>
                    </w:rPr>
                  </w:pPr>
                  <w:r>
                    <w:rPr>
                      <w:spacing w:val="8"/>
                      <w:sz w:val="20"/>
                      <w:szCs w:val="20"/>
                    </w:rPr>
                    <w:t>生</w:t>
                  </w:r>
                  <w:r>
                    <w:rPr>
                      <w:spacing w:val="-36"/>
                      <w:sz w:val="20"/>
                      <w:szCs w:val="20"/>
                    </w:rPr>
                    <w:t xml:space="preserve"> </w:t>
                  </w:r>
                  <w:r>
                    <w:rPr>
                      <w:spacing w:val="8"/>
                      <w:sz w:val="20"/>
                      <w:szCs w:val="20"/>
                    </w:rPr>
                    <w:t>活</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水</w:t>
                  </w:r>
                </w:p>
              </w:tc>
              <w:tc>
                <w:tcPr>
                  <w:tcW w:w="806" w:type="dxa"/>
                  <w:vAlign w:val="top"/>
                </w:tcPr>
                <w:p w14:paraId="30F011F3">
                  <w:pPr>
                    <w:spacing w:before="129" w:line="202" w:lineRule="auto"/>
                    <w:ind w:left="11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367" w:type="dxa"/>
                  <w:vMerge w:val="restart"/>
                  <w:tcBorders>
                    <w:bottom w:val="nil"/>
                  </w:tcBorders>
                  <w:textDirection w:val="tbRlV"/>
                  <w:vAlign w:val="top"/>
                </w:tcPr>
                <w:p w14:paraId="6221EBB0">
                  <w:pPr>
                    <w:pStyle w:val="6"/>
                    <w:spacing w:before="76" w:line="216" w:lineRule="auto"/>
                    <w:ind w:left="273"/>
                    <w:rPr>
                      <w:sz w:val="20"/>
                      <w:szCs w:val="20"/>
                    </w:rPr>
                  </w:pPr>
                  <w:r>
                    <w:rPr>
                      <w:spacing w:val="8"/>
                      <w:sz w:val="20"/>
                      <w:szCs w:val="20"/>
                    </w:rPr>
                    <w:t>产</w:t>
                  </w:r>
                  <w:r>
                    <w:rPr>
                      <w:spacing w:val="-33"/>
                      <w:sz w:val="20"/>
                      <w:szCs w:val="20"/>
                    </w:rPr>
                    <w:t xml:space="preserve"> </w:t>
                  </w:r>
                  <w:r>
                    <w:rPr>
                      <w:spacing w:val="8"/>
                      <w:sz w:val="20"/>
                      <w:szCs w:val="20"/>
                    </w:rPr>
                    <w:t>污</w:t>
                  </w:r>
                  <w:r>
                    <w:rPr>
                      <w:spacing w:val="-37"/>
                      <w:sz w:val="20"/>
                      <w:szCs w:val="20"/>
                    </w:rPr>
                    <w:t xml:space="preserve"> </w:t>
                  </w:r>
                  <w:r>
                    <w:rPr>
                      <w:spacing w:val="8"/>
                      <w:sz w:val="20"/>
                      <w:szCs w:val="20"/>
                    </w:rPr>
                    <w:t>系</w:t>
                  </w:r>
                  <w:r>
                    <w:rPr>
                      <w:spacing w:val="-36"/>
                      <w:sz w:val="20"/>
                      <w:szCs w:val="20"/>
                    </w:rPr>
                    <w:t xml:space="preserve"> </w:t>
                  </w:r>
                  <w:r>
                    <w:rPr>
                      <w:spacing w:val="8"/>
                      <w:sz w:val="20"/>
                      <w:szCs w:val="20"/>
                    </w:rPr>
                    <w:t>数</w:t>
                  </w:r>
                  <w:r>
                    <w:rPr>
                      <w:spacing w:val="-37"/>
                      <w:sz w:val="20"/>
                      <w:szCs w:val="20"/>
                    </w:rPr>
                    <w:t xml:space="preserve"> </w:t>
                  </w:r>
                  <w:r>
                    <w:rPr>
                      <w:spacing w:val="8"/>
                      <w:sz w:val="20"/>
                      <w:szCs w:val="20"/>
                    </w:rPr>
                    <w:t>法</w:t>
                  </w:r>
                </w:p>
              </w:tc>
              <w:tc>
                <w:tcPr>
                  <w:tcW w:w="587" w:type="dxa"/>
                  <w:vMerge w:val="restart"/>
                  <w:tcBorders>
                    <w:bottom w:val="nil"/>
                  </w:tcBorders>
                  <w:vAlign w:val="top"/>
                </w:tcPr>
                <w:p w14:paraId="219C6792">
                  <w:pPr>
                    <w:spacing w:line="263" w:lineRule="auto"/>
                    <w:rPr>
                      <w:rFonts w:ascii="Arial"/>
                      <w:sz w:val="21"/>
                    </w:rPr>
                  </w:pPr>
                </w:p>
                <w:p w14:paraId="5BFD50CF">
                  <w:pPr>
                    <w:spacing w:line="264" w:lineRule="auto"/>
                    <w:rPr>
                      <w:rFonts w:ascii="Arial"/>
                      <w:sz w:val="21"/>
                    </w:rPr>
                  </w:pPr>
                </w:p>
                <w:p w14:paraId="7FF64FB4">
                  <w:pPr>
                    <w:spacing w:line="264" w:lineRule="auto"/>
                    <w:rPr>
                      <w:rFonts w:ascii="Arial"/>
                      <w:sz w:val="21"/>
                    </w:rPr>
                  </w:pPr>
                </w:p>
                <w:p w14:paraId="4FE412B0">
                  <w:pPr>
                    <w:spacing w:before="58" w:line="195" w:lineRule="auto"/>
                    <w:ind w:left="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0.5625</w:t>
                  </w:r>
                </w:p>
              </w:tc>
              <w:tc>
                <w:tcPr>
                  <w:tcW w:w="477" w:type="dxa"/>
                  <w:vAlign w:val="top"/>
                </w:tcPr>
                <w:p w14:paraId="62E0AF65">
                  <w:pPr>
                    <w:spacing w:before="158" w:line="195" w:lineRule="auto"/>
                    <w:ind w:left="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80" w:type="dxa"/>
                  <w:vAlign w:val="top"/>
                </w:tcPr>
                <w:p w14:paraId="4C26E709">
                  <w:pPr>
                    <w:spacing w:before="1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141</w:t>
                  </w:r>
                </w:p>
              </w:tc>
              <w:tc>
                <w:tcPr>
                  <w:tcW w:w="353" w:type="dxa"/>
                  <w:vMerge w:val="restart"/>
                  <w:tcBorders>
                    <w:bottom w:val="nil"/>
                  </w:tcBorders>
                  <w:textDirection w:val="tbRlV"/>
                  <w:vAlign w:val="top"/>
                </w:tcPr>
                <w:p w14:paraId="2E5A75C5">
                  <w:pPr>
                    <w:pStyle w:val="6"/>
                    <w:spacing w:before="68" w:line="216" w:lineRule="auto"/>
                    <w:ind w:left="273"/>
                    <w:rPr>
                      <w:sz w:val="20"/>
                      <w:szCs w:val="20"/>
                    </w:rPr>
                  </w:pPr>
                  <w:r>
                    <w:rPr>
                      <w:spacing w:val="8"/>
                      <w:sz w:val="20"/>
                      <w:szCs w:val="20"/>
                    </w:rPr>
                    <w:t>三</w:t>
                  </w:r>
                  <w:r>
                    <w:rPr>
                      <w:spacing w:val="-33"/>
                      <w:sz w:val="20"/>
                      <w:szCs w:val="20"/>
                    </w:rPr>
                    <w:t xml:space="preserve"> </w:t>
                  </w:r>
                  <w:r>
                    <w:rPr>
                      <w:spacing w:val="8"/>
                      <w:sz w:val="20"/>
                      <w:szCs w:val="20"/>
                    </w:rPr>
                    <w:t>级</w:t>
                  </w:r>
                  <w:r>
                    <w:rPr>
                      <w:spacing w:val="-37"/>
                      <w:sz w:val="20"/>
                      <w:szCs w:val="20"/>
                    </w:rPr>
                    <w:t xml:space="preserve"> </w:t>
                  </w:r>
                  <w:r>
                    <w:rPr>
                      <w:spacing w:val="8"/>
                      <w:sz w:val="20"/>
                      <w:szCs w:val="20"/>
                    </w:rPr>
                    <w:t>化</w:t>
                  </w:r>
                  <w:r>
                    <w:rPr>
                      <w:spacing w:val="-36"/>
                      <w:sz w:val="20"/>
                      <w:szCs w:val="20"/>
                    </w:rPr>
                    <w:t xml:space="preserve"> </w:t>
                  </w:r>
                  <w:r>
                    <w:rPr>
                      <w:spacing w:val="8"/>
                      <w:sz w:val="20"/>
                      <w:szCs w:val="20"/>
                    </w:rPr>
                    <w:t>粪</w:t>
                  </w:r>
                  <w:r>
                    <w:rPr>
                      <w:spacing w:val="-37"/>
                      <w:sz w:val="20"/>
                      <w:szCs w:val="20"/>
                    </w:rPr>
                    <w:t xml:space="preserve"> </w:t>
                  </w:r>
                  <w:r>
                    <w:rPr>
                      <w:spacing w:val="8"/>
                      <w:sz w:val="20"/>
                      <w:szCs w:val="20"/>
                    </w:rPr>
                    <w:t>池</w:t>
                  </w:r>
                </w:p>
              </w:tc>
              <w:tc>
                <w:tcPr>
                  <w:tcW w:w="517" w:type="dxa"/>
                  <w:vAlign w:val="top"/>
                </w:tcPr>
                <w:p w14:paraId="009941FC">
                  <w:pPr>
                    <w:spacing w:before="158" w:line="195" w:lineRule="auto"/>
                    <w:ind w:left="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56.55</w:t>
                  </w:r>
                </w:p>
              </w:tc>
              <w:tc>
                <w:tcPr>
                  <w:tcW w:w="394" w:type="dxa"/>
                  <w:vMerge w:val="restart"/>
                  <w:tcBorders>
                    <w:bottom w:val="nil"/>
                  </w:tcBorders>
                  <w:textDirection w:val="tbRlV"/>
                  <w:vAlign w:val="top"/>
                </w:tcPr>
                <w:p w14:paraId="46AB3FB8">
                  <w:pPr>
                    <w:pStyle w:val="6"/>
                    <w:spacing w:before="88" w:line="216" w:lineRule="auto"/>
                    <w:ind w:left="273"/>
                    <w:rPr>
                      <w:sz w:val="20"/>
                      <w:szCs w:val="20"/>
                    </w:rPr>
                  </w:pPr>
                  <w:r>
                    <w:rPr>
                      <w:spacing w:val="8"/>
                      <w:sz w:val="20"/>
                      <w:szCs w:val="20"/>
                    </w:rPr>
                    <w:t>产</w:t>
                  </w:r>
                  <w:r>
                    <w:rPr>
                      <w:spacing w:val="-33"/>
                      <w:sz w:val="20"/>
                      <w:szCs w:val="20"/>
                    </w:rPr>
                    <w:t xml:space="preserve"> </w:t>
                  </w:r>
                  <w:r>
                    <w:rPr>
                      <w:spacing w:val="8"/>
                      <w:sz w:val="20"/>
                      <w:szCs w:val="20"/>
                    </w:rPr>
                    <w:t>污</w:t>
                  </w:r>
                  <w:r>
                    <w:rPr>
                      <w:spacing w:val="-37"/>
                      <w:sz w:val="20"/>
                      <w:szCs w:val="20"/>
                    </w:rPr>
                    <w:t xml:space="preserve"> </w:t>
                  </w:r>
                  <w:r>
                    <w:rPr>
                      <w:spacing w:val="8"/>
                      <w:sz w:val="20"/>
                      <w:szCs w:val="20"/>
                    </w:rPr>
                    <w:t>系</w:t>
                  </w:r>
                  <w:r>
                    <w:rPr>
                      <w:spacing w:val="-36"/>
                      <w:sz w:val="20"/>
                      <w:szCs w:val="20"/>
                    </w:rPr>
                    <w:t xml:space="preserve"> </w:t>
                  </w:r>
                  <w:r>
                    <w:rPr>
                      <w:spacing w:val="8"/>
                      <w:sz w:val="20"/>
                      <w:szCs w:val="20"/>
                    </w:rPr>
                    <w:t>数</w:t>
                  </w:r>
                  <w:r>
                    <w:rPr>
                      <w:spacing w:val="-37"/>
                      <w:sz w:val="20"/>
                      <w:szCs w:val="20"/>
                    </w:rPr>
                    <w:t xml:space="preserve"> </w:t>
                  </w:r>
                  <w:r>
                    <w:rPr>
                      <w:spacing w:val="8"/>
                      <w:sz w:val="20"/>
                      <w:szCs w:val="20"/>
                    </w:rPr>
                    <w:t>法</w:t>
                  </w:r>
                </w:p>
              </w:tc>
              <w:tc>
                <w:tcPr>
                  <w:tcW w:w="588" w:type="dxa"/>
                  <w:vMerge w:val="restart"/>
                  <w:tcBorders>
                    <w:bottom w:val="nil"/>
                  </w:tcBorders>
                  <w:vAlign w:val="top"/>
                </w:tcPr>
                <w:p w14:paraId="2786A262">
                  <w:pPr>
                    <w:spacing w:line="263" w:lineRule="auto"/>
                    <w:rPr>
                      <w:rFonts w:ascii="Arial"/>
                      <w:sz w:val="21"/>
                    </w:rPr>
                  </w:pPr>
                </w:p>
                <w:p w14:paraId="77836F21">
                  <w:pPr>
                    <w:spacing w:line="264" w:lineRule="auto"/>
                    <w:rPr>
                      <w:rFonts w:ascii="Arial"/>
                      <w:sz w:val="21"/>
                    </w:rPr>
                  </w:pPr>
                </w:p>
                <w:p w14:paraId="4FA49FF8">
                  <w:pPr>
                    <w:spacing w:line="264" w:lineRule="auto"/>
                    <w:rPr>
                      <w:rFonts w:ascii="Arial"/>
                      <w:sz w:val="21"/>
                    </w:rPr>
                  </w:pPr>
                </w:p>
                <w:p w14:paraId="49092C31">
                  <w:pPr>
                    <w:spacing w:before="58" w:line="195" w:lineRule="auto"/>
                    <w:ind w:left="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0.5625</w:t>
                  </w:r>
                </w:p>
              </w:tc>
              <w:tc>
                <w:tcPr>
                  <w:tcW w:w="550" w:type="dxa"/>
                  <w:vAlign w:val="top"/>
                </w:tcPr>
                <w:p w14:paraId="40061E95">
                  <w:pPr>
                    <w:spacing w:before="1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768" w:type="dxa"/>
                  <w:vAlign w:val="top"/>
                </w:tcPr>
                <w:p w14:paraId="025B4C11">
                  <w:pPr>
                    <w:spacing w:before="158"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0.061</w:t>
                  </w:r>
                </w:p>
              </w:tc>
              <w:tc>
                <w:tcPr>
                  <w:tcW w:w="495" w:type="dxa"/>
                  <w:vMerge w:val="restart"/>
                  <w:tcBorders>
                    <w:bottom w:val="nil"/>
                  </w:tcBorders>
                  <w:vAlign w:val="top"/>
                </w:tcPr>
                <w:p w14:paraId="10655586">
                  <w:pPr>
                    <w:spacing w:line="263" w:lineRule="auto"/>
                    <w:rPr>
                      <w:rFonts w:ascii="Arial"/>
                      <w:sz w:val="21"/>
                    </w:rPr>
                  </w:pPr>
                </w:p>
                <w:p w14:paraId="11162F91">
                  <w:pPr>
                    <w:spacing w:line="264" w:lineRule="auto"/>
                    <w:rPr>
                      <w:rFonts w:ascii="Arial"/>
                      <w:sz w:val="21"/>
                    </w:rPr>
                  </w:pPr>
                </w:p>
                <w:p w14:paraId="6BB4D0AA">
                  <w:pPr>
                    <w:spacing w:line="264" w:lineRule="auto"/>
                    <w:rPr>
                      <w:rFonts w:ascii="Arial"/>
                      <w:sz w:val="21"/>
                    </w:rPr>
                  </w:pPr>
                </w:p>
                <w:p w14:paraId="0A31577A">
                  <w:pPr>
                    <w:spacing w:before="58" w:line="195" w:lineRule="auto"/>
                    <w:ind w:left="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r>
            <w:tr w14:paraId="1FFA0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22" w:type="dxa"/>
                  <w:vMerge w:val="continue"/>
                  <w:tcBorders>
                    <w:top w:val="nil"/>
                    <w:bottom w:val="nil"/>
                  </w:tcBorders>
                  <w:textDirection w:val="tbRlV"/>
                  <w:vAlign w:val="top"/>
                </w:tcPr>
                <w:p w14:paraId="4FC3A09B">
                  <w:pPr>
                    <w:rPr>
                      <w:rFonts w:ascii="Arial"/>
                      <w:sz w:val="21"/>
                    </w:rPr>
                  </w:pPr>
                </w:p>
              </w:tc>
              <w:tc>
                <w:tcPr>
                  <w:tcW w:w="368" w:type="dxa"/>
                  <w:vMerge w:val="continue"/>
                  <w:tcBorders>
                    <w:top w:val="nil"/>
                    <w:bottom w:val="nil"/>
                  </w:tcBorders>
                  <w:textDirection w:val="tbRlV"/>
                  <w:vAlign w:val="top"/>
                </w:tcPr>
                <w:p w14:paraId="0E77F4DD">
                  <w:pPr>
                    <w:rPr>
                      <w:rFonts w:ascii="Arial"/>
                      <w:sz w:val="21"/>
                    </w:rPr>
                  </w:pPr>
                </w:p>
              </w:tc>
              <w:tc>
                <w:tcPr>
                  <w:tcW w:w="368" w:type="dxa"/>
                  <w:vMerge w:val="continue"/>
                  <w:tcBorders>
                    <w:top w:val="nil"/>
                    <w:bottom w:val="nil"/>
                  </w:tcBorders>
                  <w:textDirection w:val="tbRlV"/>
                  <w:vAlign w:val="top"/>
                </w:tcPr>
                <w:p w14:paraId="289B8136">
                  <w:pPr>
                    <w:rPr>
                      <w:rFonts w:ascii="Arial"/>
                      <w:sz w:val="21"/>
                    </w:rPr>
                  </w:pPr>
                </w:p>
              </w:tc>
              <w:tc>
                <w:tcPr>
                  <w:tcW w:w="806" w:type="dxa"/>
                  <w:vAlign w:val="top"/>
                </w:tcPr>
                <w:p w14:paraId="45BD3B37">
                  <w:pPr>
                    <w:spacing w:before="129" w:line="202" w:lineRule="auto"/>
                    <w:ind w:left="14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367" w:type="dxa"/>
                  <w:vMerge w:val="continue"/>
                  <w:tcBorders>
                    <w:top w:val="nil"/>
                    <w:bottom w:val="nil"/>
                  </w:tcBorders>
                  <w:textDirection w:val="tbRlV"/>
                  <w:vAlign w:val="top"/>
                </w:tcPr>
                <w:p w14:paraId="07DB4240">
                  <w:pPr>
                    <w:rPr>
                      <w:rFonts w:ascii="Arial"/>
                      <w:sz w:val="21"/>
                    </w:rPr>
                  </w:pPr>
                </w:p>
              </w:tc>
              <w:tc>
                <w:tcPr>
                  <w:tcW w:w="587" w:type="dxa"/>
                  <w:vMerge w:val="continue"/>
                  <w:tcBorders>
                    <w:top w:val="nil"/>
                    <w:bottom w:val="nil"/>
                  </w:tcBorders>
                  <w:vAlign w:val="top"/>
                </w:tcPr>
                <w:p w14:paraId="18EAB524">
                  <w:pPr>
                    <w:rPr>
                      <w:rFonts w:ascii="Arial"/>
                      <w:sz w:val="21"/>
                    </w:rPr>
                  </w:pPr>
                </w:p>
              </w:tc>
              <w:tc>
                <w:tcPr>
                  <w:tcW w:w="477" w:type="dxa"/>
                  <w:vAlign w:val="top"/>
                </w:tcPr>
                <w:p w14:paraId="6D9C59B8">
                  <w:pPr>
                    <w:spacing w:before="160" w:line="195" w:lineRule="auto"/>
                    <w:ind w:left="1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80" w:type="dxa"/>
                  <w:vAlign w:val="top"/>
                </w:tcPr>
                <w:p w14:paraId="09167D0A">
                  <w:pPr>
                    <w:spacing w:before="160"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0.084</w:t>
                  </w:r>
                </w:p>
              </w:tc>
              <w:tc>
                <w:tcPr>
                  <w:tcW w:w="353" w:type="dxa"/>
                  <w:vMerge w:val="continue"/>
                  <w:tcBorders>
                    <w:top w:val="nil"/>
                    <w:bottom w:val="nil"/>
                  </w:tcBorders>
                  <w:textDirection w:val="tbRlV"/>
                  <w:vAlign w:val="top"/>
                </w:tcPr>
                <w:p w14:paraId="50C8EA00">
                  <w:pPr>
                    <w:rPr>
                      <w:rFonts w:ascii="Arial"/>
                      <w:sz w:val="21"/>
                    </w:rPr>
                  </w:pPr>
                </w:p>
              </w:tc>
              <w:tc>
                <w:tcPr>
                  <w:tcW w:w="517" w:type="dxa"/>
                  <w:vAlign w:val="top"/>
                </w:tcPr>
                <w:p w14:paraId="6D1112A5">
                  <w:pPr>
                    <w:spacing w:before="160" w:line="195" w:lineRule="auto"/>
                    <w:ind w:left="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62.25</w:t>
                  </w:r>
                </w:p>
              </w:tc>
              <w:tc>
                <w:tcPr>
                  <w:tcW w:w="394" w:type="dxa"/>
                  <w:vMerge w:val="continue"/>
                  <w:tcBorders>
                    <w:top w:val="nil"/>
                    <w:bottom w:val="nil"/>
                  </w:tcBorders>
                  <w:textDirection w:val="tbRlV"/>
                  <w:vAlign w:val="top"/>
                </w:tcPr>
                <w:p w14:paraId="175AC571">
                  <w:pPr>
                    <w:rPr>
                      <w:rFonts w:ascii="Arial"/>
                      <w:sz w:val="21"/>
                    </w:rPr>
                  </w:pPr>
                </w:p>
              </w:tc>
              <w:tc>
                <w:tcPr>
                  <w:tcW w:w="588" w:type="dxa"/>
                  <w:vMerge w:val="continue"/>
                  <w:tcBorders>
                    <w:top w:val="nil"/>
                    <w:bottom w:val="nil"/>
                  </w:tcBorders>
                  <w:vAlign w:val="top"/>
                </w:tcPr>
                <w:p w14:paraId="74BDE695">
                  <w:pPr>
                    <w:rPr>
                      <w:rFonts w:ascii="Arial"/>
                      <w:sz w:val="21"/>
                    </w:rPr>
                  </w:pPr>
                </w:p>
              </w:tc>
              <w:tc>
                <w:tcPr>
                  <w:tcW w:w="550" w:type="dxa"/>
                  <w:vAlign w:val="top"/>
                </w:tcPr>
                <w:p w14:paraId="5F73B874">
                  <w:pPr>
                    <w:spacing w:before="160" w:line="195"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68" w:type="dxa"/>
                  <w:vAlign w:val="top"/>
                </w:tcPr>
                <w:p w14:paraId="19050018">
                  <w:pPr>
                    <w:spacing w:before="160"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0.032</w:t>
                  </w:r>
                </w:p>
              </w:tc>
              <w:tc>
                <w:tcPr>
                  <w:tcW w:w="495" w:type="dxa"/>
                  <w:vMerge w:val="continue"/>
                  <w:tcBorders>
                    <w:top w:val="nil"/>
                    <w:bottom w:val="nil"/>
                  </w:tcBorders>
                  <w:vAlign w:val="top"/>
                </w:tcPr>
                <w:p w14:paraId="458E28E3">
                  <w:pPr>
                    <w:rPr>
                      <w:rFonts w:ascii="Arial"/>
                      <w:sz w:val="21"/>
                    </w:rPr>
                  </w:pPr>
                </w:p>
              </w:tc>
            </w:tr>
            <w:tr w14:paraId="37B44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22" w:type="dxa"/>
                  <w:vMerge w:val="continue"/>
                  <w:tcBorders>
                    <w:top w:val="nil"/>
                    <w:bottom w:val="nil"/>
                  </w:tcBorders>
                  <w:textDirection w:val="tbRlV"/>
                  <w:vAlign w:val="top"/>
                </w:tcPr>
                <w:p w14:paraId="14D906C6">
                  <w:pPr>
                    <w:rPr>
                      <w:rFonts w:ascii="Arial"/>
                      <w:sz w:val="21"/>
                    </w:rPr>
                  </w:pPr>
                </w:p>
              </w:tc>
              <w:tc>
                <w:tcPr>
                  <w:tcW w:w="368" w:type="dxa"/>
                  <w:vMerge w:val="continue"/>
                  <w:tcBorders>
                    <w:top w:val="nil"/>
                    <w:bottom w:val="nil"/>
                  </w:tcBorders>
                  <w:textDirection w:val="tbRlV"/>
                  <w:vAlign w:val="top"/>
                </w:tcPr>
                <w:p w14:paraId="22223192">
                  <w:pPr>
                    <w:rPr>
                      <w:rFonts w:ascii="Arial"/>
                      <w:sz w:val="21"/>
                    </w:rPr>
                  </w:pPr>
                </w:p>
              </w:tc>
              <w:tc>
                <w:tcPr>
                  <w:tcW w:w="368" w:type="dxa"/>
                  <w:vMerge w:val="continue"/>
                  <w:tcBorders>
                    <w:top w:val="nil"/>
                    <w:bottom w:val="nil"/>
                  </w:tcBorders>
                  <w:textDirection w:val="tbRlV"/>
                  <w:vAlign w:val="top"/>
                </w:tcPr>
                <w:p w14:paraId="0D8A800E">
                  <w:pPr>
                    <w:rPr>
                      <w:rFonts w:ascii="Arial"/>
                      <w:sz w:val="21"/>
                    </w:rPr>
                  </w:pPr>
                </w:p>
              </w:tc>
              <w:tc>
                <w:tcPr>
                  <w:tcW w:w="806" w:type="dxa"/>
                  <w:vAlign w:val="top"/>
                </w:tcPr>
                <w:p w14:paraId="3F11885A">
                  <w:pPr>
                    <w:spacing w:before="134" w:line="209" w:lineRule="auto"/>
                    <w:ind w:left="99"/>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sz w:val="20"/>
                      <w:szCs w:val="20"/>
                    </w:rPr>
                    <w:t>-N</w:t>
                  </w:r>
                </w:p>
              </w:tc>
              <w:tc>
                <w:tcPr>
                  <w:tcW w:w="367" w:type="dxa"/>
                  <w:vMerge w:val="continue"/>
                  <w:tcBorders>
                    <w:top w:val="nil"/>
                    <w:bottom w:val="nil"/>
                  </w:tcBorders>
                  <w:textDirection w:val="tbRlV"/>
                  <w:vAlign w:val="top"/>
                </w:tcPr>
                <w:p w14:paraId="241E22C3">
                  <w:pPr>
                    <w:rPr>
                      <w:rFonts w:ascii="Arial"/>
                      <w:sz w:val="21"/>
                    </w:rPr>
                  </w:pPr>
                </w:p>
              </w:tc>
              <w:tc>
                <w:tcPr>
                  <w:tcW w:w="587" w:type="dxa"/>
                  <w:vMerge w:val="continue"/>
                  <w:tcBorders>
                    <w:top w:val="nil"/>
                    <w:bottom w:val="nil"/>
                  </w:tcBorders>
                  <w:vAlign w:val="top"/>
                </w:tcPr>
                <w:p w14:paraId="02FAE841">
                  <w:pPr>
                    <w:rPr>
                      <w:rFonts w:ascii="Arial"/>
                      <w:sz w:val="21"/>
                    </w:rPr>
                  </w:pPr>
                </w:p>
              </w:tc>
              <w:tc>
                <w:tcPr>
                  <w:tcW w:w="477" w:type="dxa"/>
                  <w:vAlign w:val="top"/>
                </w:tcPr>
                <w:p w14:paraId="63886435">
                  <w:pPr>
                    <w:spacing w:before="160"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80" w:type="dxa"/>
                  <w:vAlign w:val="top"/>
                </w:tcPr>
                <w:p w14:paraId="74C9E867">
                  <w:pPr>
                    <w:spacing w:before="160"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w:t>
                  </w:r>
                </w:p>
              </w:tc>
              <w:tc>
                <w:tcPr>
                  <w:tcW w:w="353" w:type="dxa"/>
                  <w:vMerge w:val="continue"/>
                  <w:tcBorders>
                    <w:top w:val="nil"/>
                    <w:bottom w:val="nil"/>
                  </w:tcBorders>
                  <w:textDirection w:val="tbRlV"/>
                  <w:vAlign w:val="top"/>
                </w:tcPr>
                <w:p w14:paraId="6979B305">
                  <w:pPr>
                    <w:rPr>
                      <w:rFonts w:ascii="Arial"/>
                      <w:sz w:val="21"/>
                    </w:rPr>
                  </w:pPr>
                </w:p>
              </w:tc>
              <w:tc>
                <w:tcPr>
                  <w:tcW w:w="517" w:type="dxa"/>
                  <w:vAlign w:val="top"/>
                </w:tcPr>
                <w:p w14:paraId="67B6DD2F">
                  <w:pPr>
                    <w:spacing w:before="160" w:line="195" w:lineRule="auto"/>
                    <w:ind w:left="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16.56</w:t>
                  </w:r>
                </w:p>
              </w:tc>
              <w:tc>
                <w:tcPr>
                  <w:tcW w:w="394" w:type="dxa"/>
                  <w:vMerge w:val="continue"/>
                  <w:tcBorders>
                    <w:top w:val="nil"/>
                    <w:bottom w:val="nil"/>
                  </w:tcBorders>
                  <w:textDirection w:val="tbRlV"/>
                  <w:vAlign w:val="top"/>
                </w:tcPr>
                <w:p w14:paraId="332DA971">
                  <w:pPr>
                    <w:rPr>
                      <w:rFonts w:ascii="Arial"/>
                      <w:sz w:val="21"/>
                    </w:rPr>
                  </w:pPr>
                </w:p>
              </w:tc>
              <w:tc>
                <w:tcPr>
                  <w:tcW w:w="588" w:type="dxa"/>
                  <w:vMerge w:val="continue"/>
                  <w:tcBorders>
                    <w:top w:val="nil"/>
                    <w:bottom w:val="nil"/>
                  </w:tcBorders>
                  <w:vAlign w:val="top"/>
                </w:tcPr>
                <w:p w14:paraId="2B89C298">
                  <w:pPr>
                    <w:rPr>
                      <w:rFonts w:ascii="Arial"/>
                      <w:sz w:val="21"/>
                    </w:rPr>
                  </w:pPr>
                </w:p>
              </w:tc>
              <w:tc>
                <w:tcPr>
                  <w:tcW w:w="550" w:type="dxa"/>
                  <w:vAlign w:val="top"/>
                </w:tcPr>
                <w:p w14:paraId="08CD51A4">
                  <w:pPr>
                    <w:spacing w:before="161"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68" w:type="dxa"/>
                  <w:vAlign w:val="top"/>
                </w:tcPr>
                <w:p w14:paraId="10B3DF59">
                  <w:pPr>
                    <w:spacing w:before="160"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495" w:type="dxa"/>
                  <w:vMerge w:val="continue"/>
                  <w:tcBorders>
                    <w:top w:val="nil"/>
                    <w:bottom w:val="nil"/>
                  </w:tcBorders>
                  <w:vAlign w:val="top"/>
                </w:tcPr>
                <w:p w14:paraId="588BF7E3">
                  <w:pPr>
                    <w:rPr>
                      <w:rFonts w:ascii="Arial"/>
                      <w:sz w:val="21"/>
                    </w:rPr>
                  </w:pPr>
                </w:p>
              </w:tc>
            </w:tr>
            <w:tr w14:paraId="487DA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22" w:type="dxa"/>
                  <w:vMerge w:val="continue"/>
                  <w:tcBorders>
                    <w:top w:val="nil"/>
                  </w:tcBorders>
                  <w:textDirection w:val="tbRlV"/>
                  <w:vAlign w:val="top"/>
                </w:tcPr>
                <w:p w14:paraId="6959448B">
                  <w:pPr>
                    <w:rPr>
                      <w:rFonts w:ascii="Arial"/>
                      <w:sz w:val="21"/>
                    </w:rPr>
                  </w:pPr>
                </w:p>
              </w:tc>
              <w:tc>
                <w:tcPr>
                  <w:tcW w:w="368" w:type="dxa"/>
                  <w:vMerge w:val="continue"/>
                  <w:tcBorders>
                    <w:top w:val="nil"/>
                  </w:tcBorders>
                  <w:textDirection w:val="tbRlV"/>
                  <w:vAlign w:val="top"/>
                </w:tcPr>
                <w:p w14:paraId="28CD40D9">
                  <w:pPr>
                    <w:rPr>
                      <w:rFonts w:ascii="Arial"/>
                      <w:sz w:val="21"/>
                    </w:rPr>
                  </w:pPr>
                </w:p>
              </w:tc>
              <w:tc>
                <w:tcPr>
                  <w:tcW w:w="368" w:type="dxa"/>
                  <w:vMerge w:val="continue"/>
                  <w:tcBorders>
                    <w:top w:val="nil"/>
                  </w:tcBorders>
                  <w:textDirection w:val="tbRlV"/>
                  <w:vAlign w:val="top"/>
                </w:tcPr>
                <w:p w14:paraId="3C8181E5">
                  <w:pPr>
                    <w:rPr>
                      <w:rFonts w:ascii="Arial"/>
                      <w:sz w:val="21"/>
                    </w:rPr>
                  </w:pPr>
                </w:p>
              </w:tc>
              <w:tc>
                <w:tcPr>
                  <w:tcW w:w="806" w:type="dxa"/>
                  <w:vAlign w:val="top"/>
                </w:tcPr>
                <w:p w14:paraId="740636CB">
                  <w:pPr>
                    <w:spacing w:before="16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67" w:type="dxa"/>
                  <w:vMerge w:val="continue"/>
                  <w:tcBorders>
                    <w:top w:val="nil"/>
                  </w:tcBorders>
                  <w:textDirection w:val="tbRlV"/>
                  <w:vAlign w:val="top"/>
                </w:tcPr>
                <w:p w14:paraId="0B91DB69">
                  <w:pPr>
                    <w:rPr>
                      <w:rFonts w:ascii="Arial"/>
                      <w:sz w:val="21"/>
                    </w:rPr>
                  </w:pPr>
                </w:p>
              </w:tc>
              <w:tc>
                <w:tcPr>
                  <w:tcW w:w="587" w:type="dxa"/>
                  <w:vMerge w:val="continue"/>
                  <w:tcBorders>
                    <w:top w:val="nil"/>
                  </w:tcBorders>
                  <w:vAlign w:val="top"/>
                </w:tcPr>
                <w:p w14:paraId="53F4DD05">
                  <w:pPr>
                    <w:rPr>
                      <w:rFonts w:ascii="Arial"/>
                      <w:sz w:val="21"/>
                    </w:rPr>
                  </w:pPr>
                </w:p>
              </w:tc>
              <w:tc>
                <w:tcPr>
                  <w:tcW w:w="477" w:type="dxa"/>
                  <w:vAlign w:val="top"/>
                </w:tcPr>
                <w:p w14:paraId="2F6B10FB">
                  <w:pPr>
                    <w:spacing w:before="161" w:line="195" w:lineRule="auto"/>
                    <w:ind w:left="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80" w:type="dxa"/>
                  <w:vAlign w:val="top"/>
                </w:tcPr>
                <w:p w14:paraId="574E09A4">
                  <w:pPr>
                    <w:spacing w:before="161"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0.113</w:t>
                  </w:r>
                </w:p>
              </w:tc>
              <w:tc>
                <w:tcPr>
                  <w:tcW w:w="353" w:type="dxa"/>
                  <w:vMerge w:val="continue"/>
                  <w:tcBorders>
                    <w:top w:val="nil"/>
                  </w:tcBorders>
                  <w:textDirection w:val="tbRlV"/>
                  <w:vAlign w:val="top"/>
                </w:tcPr>
                <w:p w14:paraId="0C6918A0">
                  <w:pPr>
                    <w:rPr>
                      <w:rFonts w:ascii="Arial"/>
                      <w:sz w:val="21"/>
                    </w:rPr>
                  </w:pPr>
                </w:p>
              </w:tc>
              <w:tc>
                <w:tcPr>
                  <w:tcW w:w="517" w:type="dxa"/>
                  <w:vAlign w:val="top"/>
                </w:tcPr>
                <w:p w14:paraId="2C61E660">
                  <w:pPr>
                    <w:spacing w:before="161" w:line="195" w:lineRule="auto"/>
                    <w:ind w:left="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92.45</w:t>
                  </w:r>
                </w:p>
              </w:tc>
              <w:tc>
                <w:tcPr>
                  <w:tcW w:w="394" w:type="dxa"/>
                  <w:vMerge w:val="continue"/>
                  <w:tcBorders>
                    <w:top w:val="nil"/>
                  </w:tcBorders>
                  <w:textDirection w:val="tbRlV"/>
                  <w:vAlign w:val="top"/>
                </w:tcPr>
                <w:p w14:paraId="36F6BEF1">
                  <w:pPr>
                    <w:rPr>
                      <w:rFonts w:ascii="Arial"/>
                      <w:sz w:val="21"/>
                    </w:rPr>
                  </w:pPr>
                </w:p>
              </w:tc>
              <w:tc>
                <w:tcPr>
                  <w:tcW w:w="588" w:type="dxa"/>
                  <w:vMerge w:val="continue"/>
                  <w:tcBorders>
                    <w:top w:val="nil"/>
                  </w:tcBorders>
                  <w:vAlign w:val="top"/>
                </w:tcPr>
                <w:p w14:paraId="7E7AE1FC">
                  <w:pPr>
                    <w:rPr>
                      <w:rFonts w:ascii="Arial"/>
                      <w:sz w:val="21"/>
                    </w:rPr>
                  </w:pPr>
                </w:p>
              </w:tc>
              <w:tc>
                <w:tcPr>
                  <w:tcW w:w="550" w:type="dxa"/>
                  <w:vAlign w:val="top"/>
                </w:tcPr>
                <w:p w14:paraId="47E9F244">
                  <w:pPr>
                    <w:spacing w:before="161"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68" w:type="dxa"/>
                  <w:vAlign w:val="top"/>
                </w:tcPr>
                <w:p w14:paraId="0485FFCF">
                  <w:pPr>
                    <w:spacing w:before="161"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c>
                <w:tcPr>
                  <w:tcW w:w="495" w:type="dxa"/>
                  <w:vMerge w:val="continue"/>
                  <w:tcBorders>
                    <w:top w:val="nil"/>
                  </w:tcBorders>
                  <w:vAlign w:val="top"/>
                </w:tcPr>
                <w:p w14:paraId="7B14EE8B">
                  <w:pPr>
                    <w:rPr>
                      <w:rFonts w:ascii="Arial"/>
                      <w:sz w:val="21"/>
                    </w:rPr>
                  </w:pPr>
                </w:p>
              </w:tc>
            </w:tr>
          </w:tbl>
          <w:p w14:paraId="04318DE6">
            <w:pPr>
              <w:pStyle w:val="6"/>
              <w:spacing w:before="157" w:line="353" w:lineRule="auto"/>
              <w:ind w:left="109" w:right="101" w:firstLine="483"/>
              <w:jc w:val="both"/>
            </w:pPr>
            <w:r>
              <w:t>项目的生产废水经废水处理站预处理、生活污水经三级化粪池</w:t>
            </w:r>
            <w:r>
              <w:rPr>
                <w:spacing w:val="-1"/>
              </w:rPr>
              <w:t>预处理达标</w:t>
            </w:r>
            <w:r>
              <w:t xml:space="preserve"> 后，排入可塘镇市政污水管网，经可塘镇污水处理厂处理达标后，就</w:t>
            </w:r>
            <w:r>
              <w:rPr>
                <w:spacing w:val="-1"/>
              </w:rPr>
              <w:t>近排入东</w:t>
            </w:r>
            <w:r>
              <w:t xml:space="preserve"> </w:t>
            </w:r>
            <w:r>
              <w:rPr>
                <w:spacing w:val="-5"/>
              </w:rPr>
              <w:t>溪。</w:t>
            </w:r>
          </w:p>
        </w:tc>
      </w:tr>
    </w:tbl>
    <w:p w14:paraId="407BE0AB">
      <w:pPr>
        <w:rPr>
          <w:rFonts w:ascii="Arial"/>
          <w:sz w:val="21"/>
        </w:rPr>
      </w:pPr>
    </w:p>
    <w:p w14:paraId="189049C6">
      <w:pPr>
        <w:rPr>
          <w:rFonts w:ascii="Arial" w:hAnsi="Arial" w:eastAsia="Arial" w:cs="Arial"/>
          <w:sz w:val="21"/>
          <w:szCs w:val="21"/>
        </w:rPr>
        <w:sectPr>
          <w:footerReference r:id="rId88" w:type="default"/>
          <w:pgSz w:w="11907" w:h="16840"/>
          <w:pgMar w:top="400" w:right="1453" w:bottom="1240" w:left="1453" w:header="0" w:footer="1077" w:gutter="0"/>
          <w:cols w:space="720" w:num="1"/>
        </w:sectPr>
      </w:pPr>
    </w:p>
    <w:p w14:paraId="5F320C35">
      <w:pPr>
        <w:spacing w:before="19"/>
      </w:pPr>
    </w:p>
    <w:p w14:paraId="30467119">
      <w:pPr>
        <w:spacing w:before="19"/>
      </w:pPr>
    </w:p>
    <w:p w14:paraId="4D5294CC">
      <w:pPr>
        <w:spacing w:before="19"/>
      </w:pPr>
    </w:p>
    <w:p w14:paraId="7644FEAF">
      <w:pPr>
        <w:spacing w:before="18"/>
      </w:pPr>
    </w:p>
    <w:p w14:paraId="63C849D4">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48B45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1" w:hRule="atLeast"/>
        </w:trPr>
        <w:tc>
          <w:tcPr>
            <w:tcW w:w="604" w:type="dxa"/>
            <w:tcBorders>
              <w:right w:val="single" w:color="000000" w:sz="2" w:space="0"/>
            </w:tcBorders>
            <w:vAlign w:val="top"/>
          </w:tcPr>
          <w:p w14:paraId="3A38B7CF">
            <w:pPr>
              <w:rPr>
                <w:rFonts w:ascii="Arial"/>
                <w:sz w:val="21"/>
              </w:rPr>
            </w:pPr>
          </w:p>
        </w:tc>
        <w:tc>
          <w:tcPr>
            <w:tcW w:w="8381" w:type="dxa"/>
            <w:tcBorders>
              <w:left w:val="single" w:color="000000" w:sz="2" w:space="0"/>
            </w:tcBorders>
            <w:vAlign w:val="top"/>
          </w:tcPr>
          <w:p w14:paraId="4FC565F5">
            <w:pPr>
              <w:pStyle w:val="6"/>
              <w:spacing w:before="159" w:line="352" w:lineRule="auto"/>
              <w:ind w:left="103" w:right="101" w:firstLine="489"/>
              <w:jc w:val="both"/>
            </w:pPr>
            <w:r>
              <w:t>项目周边已经建成了市政污水管网，通过重力流方式收集镇区</w:t>
            </w:r>
            <w:r>
              <w:rPr>
                <w:spacing w:val="-1"/>
              </w:rPr>
              <w:t>的污水，详</w:t>
            </w:r>
            <w:r>
              <w:t xml:space="preserve"> </w:t>
            </w:r>
            <w:r>
              <w:rPr>
                <w:spacing w:val="2"/>
              </w:rPr>
              <w:t>见附图。项目需自建一段污水管（管材为双壁螺纹</w:t>
            </w:r>
            <w:r>
              <w:rPr>
                <w:spacing w:val="1"/>
              </w:rPr>
              <w:t>管，管径为</w:t>
            </w:r>
            <w:r>
              <w:rPr>
                <w:spacing w:val="-52"/>
              </w:rPr>
              <w:t xml:space="preserve"> </w:t>
            </w:r>
            <w:r>
              <w:rPr>
                <w:rFonts w:ascii="Times New Roman" w:hAnsi="Times New Roman" w:eastAsia="Times New Roman" w:cs="Times New Roman"/>
              </w:rPr>
              <w:t>DN</w:t>
            </w:r>
            <w:r>
              <w:rPr>
                <w:rFonts w:ascii="Times New Roman" w:hAnsi="Times New Roman" w:eastAsia="Times New Roman" w:cs="Times New Roman"/>
                <w:spacing w:val="1"/>
              </w:rPr>
              <w:t>250</w:t>
            </w:r>
            <w:r>
              <w:rPr>
                <w:rFonts w:ascii="Times New Roman" w:hAnsi="Times New Roman" w:eastAsia="Times New Roman" w:cs="Times New Roman"/>
              </w:rPr>
              <w:t>mm</w:t>
            </w:r>
            <w:r>
              <w:rPr>
                <w:spacing w:val="2"/>
              </w:rPr>
              <w:t>），</w:t>
            </w:r>
            <w:r>
              <w:t xml:space="preserve"> 将项目的废水引入周边的市政污水管网的支管中，支管管材为水</w:t>
            </w:r>
            <w:r>
              <w:rPr>
                <w:spacing w:val="-1"/>
              </w:rPr>
              <w:t>泥管，管径为</w:t>
            </w:r>
            <w:r>
              <w:t xml:space="preserve"> </w:t>
            </w:r>
            <w:r>
              <w:rPr>
                <w:rFonts w:ascii="Times New Roman" w:hAnsi="Times New Roman" w:eastAsia="Times New Roman" w:cs="Times New Roman"/>
                <w:spacing w:val="-1"/>
              </w:rPr>
              <w:t>DN300mm</w:t>
            </w:r>
            <w:r>
              <w:rPr>
                <w:spacing w:val="-1"/>
              </w:rPr>
              <w:t>。</w:t>
            </w:r>
          </w:p>
          <w:p w14:paraId="2383BEC4">
            <w:pPr>
              <w:pStyle w:val="6"/>
              <w:spacing w:before="37" w:line="219" w:lineRule="auto"/>
              <w:ind w:left="585"/>
            </w:pPr>
            <w:r>
              <w:rPr>
                <w:rFonts w:ascii="Times New Roman" w:hAnsi="Times New Roman" w:eastAsia="Times New Roman" w:cs="Times New Roman"/>
                <w:b/>
                <w:bCs/>
                <w:spacing w:val="-2"/>
              </w:rPr>
              <w:t xml:space="preserve">2.3 </w:t>
            </w:r>
            <w:r>
              <w:rPr>
                <w:b/>
                <w:bCs/>
                <w:spacing w:val="-2"/>
              </w:rPr>
              <w:t>可塘镇污水处理厂概况</w:t>
            </w:r>
          </w:p>
          <w:p w14:paraId="6ABBCB6E">
            <w:pPr>
              <w:pStyle w:val="6"/>
              <w:spacing w:before="184" w:line="359" w:lineRule="auto"/>
              <w:ind w:left="108" w:right="101" w:firstLine="482"/>
              <w:jc w:val="both"/>
            </w:pPr>
            <w:r>
              <w:t>污水厂处理能力：海丰县可塘污水处理厂位于海丰县可塘镇</w:t>
            </w:r>
            <w:r>
              <w:rPr>
                <w:spacing w:val="-1"/>
              </w:rPr>
              <w:t>溪头村委君硕</w:t>
            </w:r>
            <w:r>
              <w:t xml:space="preserve"> </w:t>
            </w:r>
            <w:r>
              <w:rPr>
                <w:spacing w:val="-5"/>
              </w:rPr>
              <w:t>围，于</w:t>
            </w:r>
            <w:r>
              <w:rPr>
                <w:spacing w:val="-55"/>
              </w:rPr>
              <w:t xml:space="preserve"> </w:t>
            </w:r>
            <w:r>
              <w:rPr>
                <w:rFonts w:ascii="Times New Roman" w:hAnsi="Times New Roman" w:eastAsia="Times New Roman" w:cs="Times New Roman"/>
                <w:spacing w:val="-5"/>
              </w:rPr>
              <w:t xml:space="preserve">2015 </w:t>
            </w:r>
            <w:r>
              <w:rPr>
                <w:spacing w:val="-5"/>
              </w:rPr>
              <w:t>年</w:t>
            </w:r>
            <w:r>
              <w:rPr>
                <w:spacing w:val="-32"/>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w w:val="101"/>
              </w:rPr>
              <w:t xml:space="preserve"> </w:t>
            </w:r>
            <w:r>
              <w:rPr>
                <w:spacing w:val="-5"/>
              </w:rPr>
              <w:t>月厂区开始动工建设，</w:t>
            </w:r>
            <w:r>
              <w:rPr>
                <w:rFonts w:ascii="Times New Roman" w:hAnsi="Times New Roman" w:eastAsia="Times New Roman" w:cs="Times New Roman"/>
                <w:spacing w:val="-5"/>
              </w:rPr>
              <w:t xml:space="preserve">2016 </w:t>
            </w:r>
            <w:r>
              <w:rPr>
                <w:spacing w:val="-5"/>
              </w:rPr>
              <w:t>年</w:t>
            </w:r>
            <w:r>
              <w:rPr>
                <w:spacing w:val="-32"/>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rPr>
              <w:t xml:space="preserve"> </w:t>
            </w:r>
            <w:r>
              <w:rPr>
                <w:spacing w:val="-5"/>
              </w:rPr>
              <w:t>月底建成，占地面积</w:t>
            </w:r>
            <w:r>
              <w:rPr>
                <w:spacing w:val="-55"/>
              </w:rPr>
              <w:t xml:space="preserve"> </w:t>
            </w:r>
            <w:r>
              <w:rPr>
                <w:rFonts w:ascii="Times New Roman" w:hAnsi="Times New Roman" w:eastAsia="Times New Roman" w:cs="Times New Roman"/>
                <w:spacing w:val="-5"/>
              </w:rPr>
              <w:t>250</w:t>
            </w:r>
            <w:r>
              <w:rPr>
                <w:rFonts w:ascii="Times New Roman" w:hAnsi="Times New Roman" w:eastAsia="Times New Roman" w:cs="Times New Roman"/>
                <w:spacing w:val="-6"/>
              </w:rPr>
              <w:t>00</w:t>
            </w:r>
            <w:r>
              <w:rPr>
                <w:rFonts w:ascii="Times New Roman" w:hAnsi="Times New Roman" w:eastAsia="Times New Roman" w:cs="Times New Roman"/>
              </w:rPr>
              <w:t xml:space="preserve"> </w:t>
            </w:r>
            <w:r>
              <w:rPr>
                <w:spacing w:val="-3"/>
              </w:rPr>
              <w:t>平方米。</w:t>
            </w:r>
          </w:p>
          <w:p w14:paraId="52A55733">
            <w:pPr>
              <w:pStyle w:val="6"/>
              <w:spacing w:line="358" w:lineRule="auto"/>
              <w:ind w:left="108" w:right="104" w:firstLine="482"/>
            </w:pPr>
            <w:r>
              <w:rPr>
                <w:spacing w:val="-1"/>
              </w:rPr>
              <w:t>可塘镇污水处理厂的设计日处理污水量</w:t>
            </w:r>
            <w:r>
              <w:rPr>
                <w:spacing w:val="-48"/>
              </w:rPr>
              <w:t xml:space="preserve"> </w:t>
            </w:r>
            <w:r>
              <w:rPr>
                <w:rFonts w:ascii="Times New Roman" w:hAnsi="Times New Roman" w:eastAsia="Times New Roman" w:cs="Times New Roman"/>
                <w:spacing w:val="-1"/>
              </w:rPr>
              <w:t>2.5</w:t>
            </w:r>
            <w:r>
              <w:rPr>
                <w:rFonts w:ascii="Times New Roman" w:hAnsi="Times New Roman" w:eastAsia="Times New Roman" w:cs="Times New Roman"/>
                <w:spacing w:val="18"/>
              </w:rPr>
              <w:t xml:space="preserve"> </w:t>
            </w:r>
            <w:r>
              <w:rPr>
                <w:spacing w:val="-1"/>
              </w:rPr>
              <w:t>万吨，</w:t>
            </w:r>
            <w:r>
              <w:rPr>
                <w:spacing w:val="-63"/>
              </w:rPr>
              <w:t xml:space="preserve"> </w:t>
            </w:r>
            <w:r>
              <w:rPr>
                <w:spacing w:val="-1"/>
              </w:rPr>
              <w:t>目前运行状况良好，负</w:t>
            </w:r>
            <w:r>
              <w:t xml:space="preserve"> </w:t>
            </w:r>
            <w:r>
              <w:rPr>
                <w:spacing w:val="-3"/>
              </w:rPr>
              <w:t>荷率约为</w:t>
            </w:r>
            <w:r>
              <w:rPr>
                <w:spacing w:val="-46"/>
              </w:rPr>
              <w:t xml:space="preserve"> </w:t>
            </w:r>
            <w:r>
              <w:rPr>
                <w:rFonts w:ascii="Times New Roman" w:hAnsi="Times New Roman" w:eastAsia="Times New Roman" w:cs="Times New Roman"/>
                <w:spacing w:val="-3"/>
              </w:rPr>
              <w:t>60%</w:t>
            </w:r>
            <w:r>
              <w:rPr>
                <w:spacing w:val="-3"/>
              </w:rPr>
              <w:t>。</w:t>
            </w:r>
          </w:p>
          <w:p w14:paraId="4C49ABE7">
            <w:pPr>
              <w:pStyle w:val="6"/>
              <w:spacing w:before="1" w:line="362" w:lineRule="auto"/>
              <w:ind w:left="110" w:right="101" w:firstLine="480"/>
            </w:pPr>
            <w:r>
              <w:t>污水厂处理工艺：可塘镇污水处理厂采用“改良</w:t>
            </w:r>
            <w:r>
              <w:rPr>
                <w:spacing w:val="-47"/>
              </w:rPr>
              <w:t xml:space="preserve"> </w:t>
            </w:r>
            <w:r>
              <w:rPr>
                <w:rFonts w:ascii="Times New Roman" w:hAnsi="Times New Roman" w:eastAsia="Times New Roman" w:cs="Times New Roman"/>
              </w:rPr>
              <w:t>A2/O</w:t>
            </w:r>
            <w:r>
              <w:rPr>
                <w:rFonts w:ascii="Times New Roman" w:hAnsi="Times New Roman" w:eastAsia="Times New Roman" w:cs="Times New Roman"/>
                <w:spacing w:val="16"/>
                <w:w w:val="101"/>
              </w:rPr>
              <w:t xml:space="preserve"> </w:t>
            </w:r>
            <w:r>
              <w:t>处理工艺</w:t>
            </w:r>
            <w:r>
              <w:rPr>
                <w:spacing w:val="-86"/>
              </w:rPr>
              <w:t xml:space="preserve"> </w:t>
            </w:r>
            <w:r>
              <w:t xml:space="preserve">”，工艺 </w:t>
            </w:r>
            <w:r>
              <w:rPr>
                <w:spacing w:val="-2"/>
              </w:rPr>
              <w:t>流程图如下：</w:t>
            </w:r>
          </w:p>
        </w:tc>
      </w:tr>
    </w:tbl>
    <w:p w14:paraId="44EA57E7">
      <w:pPr>
        <w:rPr>
          <w:rFonts w:ascii="Arial"/>
          <w:sz w:val="21"/>
        </w:rPr>
      </w:pPr>
    </w:p>
    <w:p w14:paraId="41D4BE9C">
      <w:pPr>
        <w:rPr>
          <w:rFonts w:ascii="Arial" w:hAnsi="Arial" w:eastAsia="Arial" w:cs="Arial"/>
          <w:sz w:val="21"/>
          <w:szCs w:val="21"/>
        </w:rPr>
        <w:sectPr>
          <w:footerReference r:id="rId89" w:type="default"/>
          <w:pgSz w:w="11907" w:h="16840"/>
          <w:pgMar w:top="400" w:right="1453" w:bottom="1240" w:left="1453" w:header="0" w:footer="1077" w:gutter="0"/>
          <w:cols w:space="720" w:num="1"/>
        </w:sectPr>
      </w:pPr>
    </w:p>
    <w:p w14:paraId="30E3EBCC">
      <w:pPr>
        <w:spacing w:before="19"/>
      </w:pPr>
    </w:p>
    <w:p w14:paraId="07DCB33B">
      <w:pPr>
        <w:spacing w:before="19"/>
      </w:pPr>
    </w:p>
    <w:p w14:paraId="5BFB7BAB">
      <w:pPr>
        <w:spacing w:before="19"/>
      </w:pPr>
    </w:p>
    <w:p w14:paraId="0EC5827A">
      <w:pPr>
        <w:spacing w:before="18"/>
      </w:pPr>
    </w:p>
    <w:p w14:paraId="0F0220FD">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3CA88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6" w:hRule="atLeast"/>
        </w:trPr>
        <w:tc>
          <w:tcPr>
            <w:tcW w:w="604" w:type="dxa"/>
            <w:tcBorders>
              <w:right w:val="single" w:color="000000" w:sz="2" w:space="0"/>
            </w:tcBorders>
            <w:vAlign w:val="top"/>
          </w:tcPr>
          <w:p w14:paraId="74D0DB08">
            <w:pPr>
              <w:rPr>
                <w:rFonts w:ascii="Arial"/>
                <w:sz w:val="21"/>
              </w:rPr>
            </w:pPr>
          </w:p>
        </w:tc>
        <w:tc>
          <w:tcPr>
            <w:tcW w:w="8381" w:type="dxa"/>
            <w:tcBorders>
              <w:left w:val="single" w:color="000000" w:sz="2" w:space="0"/>
            </w:tcBorders>
            <w:vAlign w:val="top"/>
          </w:tcPr>
          <w:p w14:paraId="5EA8CE78">
            <w:pPr>
              <w:spacing w:line="415" w:lineRule="auto"/>
              <w:rPr>
                <w:rFonts w:ascii="Arial"/>
                <w:sz w:val="21"/>
              </w:rPr>
            </w:pPr>
          </w:p>
          <w:p w14:paraId="55EA9C8D">
            <w:pPr>
              <w:spacing w:line="9477" w:lineRule="exact"/>
              <w:ind w:firstLine="771"/>
            </w:pPr>
            <w:r>
              <w:rPr>
                <w:position w:val="-189"/>
              </w:rPr>
              <w:drawing>
                <wp:inline distT="0" distB="0" distL="0" distR="0">
                  <wp:extent cx="4333875" cy="60178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03"/>
                          <a:stretch>
                            <a:fillRect/>
                          </a:stretch>
                        </pic:blipFill>
                        <pic:spPr>
                          <a:xfrm>
                            <a:off x="0" y="0"/>
                            <a:ext cx="4334255" cy="6018275"/>
                          </a:xfrm>
                          <a:prstGeom prst="rect">
                            <a:avLst/>
                          </a:prstGeom>
                        </pic:spPr>
                      </pic:pic>
                    </a:graphicData>
                  </a:graphic>
                </wp:inline>
              </w:drawing>
            </w:r>
          </w:p>
          <w:p w14:paraId="0ED1472B">
            <w:pPr>
              <w:pStyle w:val="6"/>
              <w:spacing w:before="277" w:line="219" w:lineRule="auto"/>
              <w:ind w:left="2220"/>
            </w:pPr>
            <w:r>
              <w:rPr>
                <w:b/>
                <w:bCs/>
                <w:spacing w:val="-3"/>
              </w:rPr>
              <w:t>图</w:t>
            </w:r>
            <w:r>
              <w:rPr>
                <w:spacing w:val="-54"/>
              </w:rPr>
              <w:t xml:space="preserve"> </w:t>
            </w:r>
            <w:r>
              <w:rPr>
                <w:rFonts w:ascii="Times New Roman" w:hAnsi="Times New Roman" w:eastAsia="Times New Roman" w:cs="Times New Roman"/>
                <w:b/>
                <w:bCs/>
                <w:spacing w:val="-3"/>
              </w:rPr>
              <w:t xml:space="preserve">4-2    </w:t>
            </w:r>
            <w:r>
              <w:rPr>
                <w:b/>
                <w:bCs/>
                <w:spacing w:val="-3"/>
              </w:rPr>
              <w:t>可塘镇污水处理厂工艺流程图</w:t>
            </w:r>
          </w:p>
          <w:p w14:paraId="1500B1AA">
            <w:pPr>
              <w:spacing w:line="356" w:lineRule="auto"/>
              <w:rPr>
                <w:rFonts w:ascii="Arial"/>
                <w:sz w:val="21"/>
              </w:rPr>
            </w:pPr>
          </w:p>
          <w:p w14:paraId="5F2B5BA1">
            <w:pPr>
              <w:pStyle w:val="6"/>
              <w:spacing w:before="78" w:line="357" w:lineRule="auto"/>
              <w:ind w:left="108" w:right="40" w:firstLine="482"/>
              <w:jc w:val="both"/>
            </w:pPr>
            <w:r>
              <w:t>污水厂设计进出水指标：根据《海丰县可塘镇污水处理厂工程项目</w:t>
            </w:r>
            <w:r>
              <w:rPr>
                <w:spacing w:val="-1"/>
              </w:rPr>
              <w:t>环境影</w:t>
            </w:r>
            <w:r>
              <w:t xml:space="preserve"> </w:t>
            </w:r>
            <w:r>
              <w:rPr>
                <w:spacing w:val="-4"/>
              </w:rPr>
              <w:t>响报告表》，可塘镇污水处理厂的设计进水指标为：</w:t>
            </w:r>
            <w:r>
              <w:rPr>
                <w:rFonts w:ascii="Times New Roman" w:hAnsi="Times New Roman" w:eastAsia="Times New Roman" w:cs="Times New Roman"/>
                <w:spacing w:val="-4"/>
              </w:rPr>
              <w:t>pH6~8</w:t>
            </w:r>
            <w:r>
              <w:rPr>
                <w:rFonts w:ascii="Times New Roman" w:hAnsi="Times New Roman" w:eastAsia="Times New Roman" w:cs="Times New Roman"/>
                <w:spacing w:val="-30"/>
              </w:rPr>
              <w:t xml:space="preserve"> </w:t>
            </w:r>
            <w:r>
              <w:rPr>
                <w:spacing w:val="-4"/>
              </w:rPr>
              <w:t>，悬浮物</w:t>
            </w:r>
            <w:r>
              <w:rPr>
                <w:spacing w:val="-32"/>
              </w:rPr>
              <w:t xml:space="preserve"> </w:t>
            </w:r>
            <w:r>
              <w:rPr>
                <w:rFonts w:ascii="Times New Roman" w:hAnsi="Times New Roman" w:eastAsia="Times New Roman" w:cs="Times New Roman"/>
                <w:spacing w:val="-4"/>
              </w:rPr>
              <w:t>150mg/L</w:t>
            </w:r>
            <w:r>
              <w:rPr>
                <w:spacing w:val="-4"/>
              </w:rPr>
              <w:t>，</w:t>
            </w:r>
            <w:r>
              <w:t xml:space="preserve"> </w:t>
            </w:r>
            <w:r>
              <w:rPr>
                <w:rFonts w:ascii="Times New Roman" w:hAnsi="Times New Roman" w:eastAsia="Times New Roman" w:cs="Times New Roman"/>
                <w:spacing w:val="-2"/>
              </w:rPr>
              <w:t>COD</w:t>
            </w:r>
            <w:r>
              <w:rPr>
                <w:rFonts w:ascii="Times New Roman" w:hAnsi="Times New Roman" w:eastAsia="Times New Roman" w:cs="Times New Roman"/>
                <w:spacing w:val="-2"/>
                <w:position w:val="-1"/>
                <w:sz w:val="15"/>
                <w:szCs w:val="15"/>
              </w:rPr>
              <w:t>Cr</w:t>
            </w:r>
            <w:r>
              <w:rPr>
                <w:rFonts w:ascii="Times New Roman" w:hAnsi="Times New Roman" w:eastAsia="Times New Roman" w:cs="Times New Roman"/>
                <w:spacing w:val="-2"/>
              </w:rPr>
              <w:t>250mg/L</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2"/>
              </w:rPr>
              <w:t>130mg/L</w:t>
            </w:r>
            <w:r>
              <w:rPr>
                <w:spacing w:val="-2"/>
              </w:rPr>
              <w:t>，</w:t>
            </w:r>
            <w:r>
              <w:rPr>
                <w:spacing w:val="-3"/>
              </w:rPr>
              <w:t>氨氮</w:t>
            </w:r>
            <w:r>
              <w:rPr>
                <w:spacing w:val="-50"/>
              </w:rPr>
              <w:t xml:space="preserve"> </w:t>
            </w:r>
            <w:r>
              <w:rPr>
                <w:rFonts w:ascii="Times New Roman" w:hAnsi="Times New Roman" w:eastAsia="Times New Roman" w:cs="Times New Roman"/>
                <w:spacing w:val="-3"/>
              </w:rPr>
              <w:t>30mg/L</w:t>
            </w:r>
            <w:r>
              <w:rPr>
                <w:rFonts w:ascii="Times New Roman" w:hAnsi="Times New Roman" w:eastAsia="Times New Roman" w:cs="Times New Roman"/>
                <w:spacing w:val="-29"/>
              </w:rPr>
              <w:t xml:space="preserve"> </w:t>
            </w:r>
            <w:r>
              <w:rPr>
                <w:spacing w:val="-3"/>
              </w:rPr>
              <w:t>，阴离子表面活性剂</w:t>
            </w:r>
            <w:r>
              <w:rPr>
                <w:spacing w:val="-55"/>
              </w:rPr>
              <w:t xml:space="preserve"> </w:t>
            </w:r>
            <w:r>
              <w:rPr>
                <w:rFonts w:ascii="Times New Roman" w:hAnsi="Times New Roman" w:eastAsia="Times New Roman" w:cs="Times New Roman"/>
                <w:spacing w:val="-3"/>
              </w:rPr>
              <w:t>20mg/L</w:t>
            </w:r>
            <w:r>
              <w:rPr>
                <w:spacing w:val="-3"/>
              </w:rPr>
              <w:t>。本</w:t>
            </w:r>
            <w:r>
              <w:t xml:space="preserve"> </w:t>
            </w:r>
            <w:r>
              <w:rPr>
                <w:spacing w:val="-1"/>
              </w:rPr>
              <w:t>项目废水排入可塘镇污水处理厂的水质指标详见下表：</w:t>
            </w:r>
          </w:p>
        </w:tc>
      </w:tr>
    </w:tbl>
    <w:p w14:paraId="48C9B634">
      <w:pPr>
        <w:rPr>
          <w:rFonts w:ascii="Arial"/>
          <w:sz w:val="21"/>
        </w:rPr>
      </w:pPr>
    </w:p>
    <w:p w14:paraId="58230204">
      <w:pPr>
        <w:rPr>
          <w:rFonts w:ascii="Arial" w:hAnsi="Arial" w:eastAsia="Arial" w:cs="Arial"/>
          <w:sz w:val="21"/>
          <w:szCs w:val="21"/>
        </w:rPr>
        <w:sectPr>
          <w:footerReference r:id="rId90" w:type="default"/>
          <w:pgSz w:w="11907" w:h="16840"/>
          <w:pgMar w:top="400" w:right="1453" w:bottom="1240" w:left="1453" w:header="0" w:footer="1077" w:gutter="0"/>
          <w:cols w:space="720" w:num="1"/>
        </w:sectPr>
      </w:pPr>
    </w:p>
    <w:p w14:paraId="64FE62C3">
      <w:pPr>
        <w:spacing w:before="19"/>
      </w:pPr>
    </w:p>
    <w:p w14:paraId="4CE968DA">
      <w:pPr>
        <w:spacing w:before="19"/>
      </w:pPr>
    </w:p>
    <w:p w14:paraId="22080B67">
      <w:pPr>
        <w:spacing w:before="19"/>
      </w:pPr>
    </w:p>
    <w:p w14:paraId="540D0DF6">
      <w:pPr>
        <w:spacing w:before="18"/>
      </w:pPr>
    </w:p>
    <w:p w14:paraId="17758CFB">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463F7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32" w:hRule="atLeast"/>
        </w:trPr>
        <w:tc>
          <w:tcPr>
            <w:tcW w:w="604" w:type="dxa"/>
            <w:tcBorders>
              <w:right w:val="single" w:color="000000" w:sz="2" w:space="0"/>
            </w:tcBorders>
            <w:vAlign w:val="top"/>
          </w:tcPr>
          <w:p w14:paraId="5093D7E3">
            <w:pPr>
              <w:rPr>
                <w:rFonts w:ascii="Arial"/>
                <w:sz w:val="21"/>
              </w:rPr>
            </w:pPr>
          </w:p>
        </w:tc>
        <w:tc>
          <w:tcPr>
            <w:tcW w:w="8381" w:type="dxa"/>
            <w:tcBorders>
              <w:left w:val="single" w:color="000000" w:sz="2" w:space="0"/>
            </w:tcBorders>
            <w:vAlign w:val="top"/>
          </w:tcPr>
          <w:p w14:paraId="3F29FCB0">
            <w:pPr>
              <w:spacing w:line="320" w:lineRule="auto"/>
              <w:rPr>
                <w:rFonts w:ascii="Arial"/>
                <w:sz w:val="21"/>
              </w:rPr>
            </w:pPr>
          </w:p>
          <w:p w14:paraId="230F41C3">
            <w:pPr>
              <w:pStyle w:val="6"/>
              <w:spacing w:before="78" w:line="219" w:lineRule="auto"/>
              <w:ind w:left="1413"/>
            </w:pPr>
            <w:r>
              <w:rPr>
                <w:b/>
                <w:bCs/>
                <w:spacing w:val="-2"/>
              </w:rPr>
              <w:t>表</w:t>
            </w:r>
            <w:r>
              <w:rPr>
                <w:spacing w:val="-48"/>
              </w:rPr>
              <w:t xml:space="preserve"> </w:t>
            </w:r>
            <w:r>
              <w:rPr>
                <w:rFonts w:ascii="Times New Roman" w:hAnsi="Times New Roman" w:eastAsia="Times New Roman" w:cs="Times New Roman"/>
                <w:b/>
                <w:bCs/>
                <w:spacing w:val="-2"/>
              </w:rPr>
              <w:t xml:space="preserve">4-20    </w:t>
            </w:r>
            <w:r>
              <w:rPr>
                <w:b/>
                <w:bCs/>
                <w:spacing w:val="-2"/>
              </w:rPr>
              <w:t>项目废水进入可塘镇污水处理厂的水质要求</w:t>
            </w:r>
          </w:p>
          <w:p w14:paraId="1CFCCCB4">
            <w:pPr>
              <w:spacing w:line="147" w:lineRule="exact"/>
            </w:pPr>
          </w:p>
          <w:tbl>
            <w:tblPr>
              <w:tblStyle w:val="5"/>
              <w:tblW w:w="7882" w:type="dxa"/>
              <w:tblInd w:w="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5"/>
              <w:gridCol w:w="2253"/>
              <w:gridCol w:w="2125"/>
              <w:gridCol w:w="2419"/>
            </w:tblGrid>
            <w:tr w14:paraId="415E3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85" w:type="dxa"/>
                  <w:vAlign w:val="top"/>
                </w:tcPr>
                <w:p w14:paraId="04C31DAF">
                  <w:pPr>
                    <w:pStyle w:val="6"/>
                    <w:spacing w:before="69" w:line="229" w:lineRule="auto"/>
                    <w:ind w:left="337"/>
                    <w:rPr>
                      <w:sz w:val="20"/>
                      <w:szCs w:val="20"/>
                    </w:rPr>
                  </w:pPr>
                  <w:r>
                    <w:rPr>
                      <w:spacing w:val="5"/>
                      <w:sz w:val="20"/>
                      <w:szCs w:val="20"/>
                    </w:rPr>
                    <w:t>序号</w:t>
                  </w:r>
                </w:p>
              </w:tc>
              <w:tc>
                <w:tcPr>
                  <w:tcW w:w="2253" w:type="dxa"/>
                  <w:vAlign w:val="top"/>
                </w:tcPr>
                <w:p w14:paraId="354D99BF">
                  <w:pPr>
                    <w:pStyle w:val="6"/>
                    <w:spacing w:before="69" w:line="228" w:lineRule="auto"/>
                    <w:ind w:left="937"/>
                    <w:rPr>
                      <w:sz w:val="20"/>
                      <w:szCs w:val="20"/>
                    </w:rPr>
                  </w:pPr>
                  <w:r>
                    <w:rPr>
                      <w:spacing w:val="-4"/>
                      <w:sz w:val="20"/>
                      <w:szCs w:val="20"/>
                    </w:rPr>
                    <w:t>因子</w:t>
                  </w:r>
                </w:p>
              </w:tc>
              <w:tc>
                <w:tcPr>
                  <w:tcW w:w="2125" w:type="dxa"/>
                  <w:vAlign w:val="top"/>
                </w:tcPr>
                <w:p w14:paraId="2060D8A4">
                  <w:pPr>
                    <w:pStyle w:val="6"/>
                    <w:spacing w:before="69" w:line="228" w:lineRule="auto"/>
                    <w:ind w:left="861"/>
                    <w:rPr>
                      <w:sz w:val="20"/>
                      <w:szCs w:val="20"/>
                    </w:rPr>
                  </w:pPr>
                  <w:r>
                    <w:rPr>
                      <w:spacing w:val="3"/>
                      <w:sz w:val="20"/>
                      <w:szCs w:val="20"/>
                    </w:rPr>
                    <w:t>单位</w:t>
                  </w:r>
                </w:p>
              </w:tc>
              <w:tc>
                <w:tcPr>
                  <w:tcW w:w="2419" w:type="dxa"/>
                  <w:vAlign w:val="top"/>
                </w:tcPr>
                <w:p w14:paraId="6D3419DA">
                  <w:pPr>
                    <w:pStyle w:val="6"/>
                    <w:spacing w:before="68" w:line="228" w:lineRule="auto"/>
                    <w:ind w:left="901"/>
                    <w:rPr>
                      <w:sz w:val="20"/>
                      <w:szCs w:val="20"/>
                    </w:rPr>
                  </w:pPr>
                  <w:r>
                    <w:rPr>
                      <w:spacing w:val="6"/>
                      <w:sz w:val="20"/>
                      <w:szCs w:val="20"/>
                    </w:rPr>
                    <w:t>指标值</w:t>
                  </w:r>
                </w:p>
              </w:tc>
            </w:tr>
            <w:tr w14:paraId="1D954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85" w:type="dxa"/>
                  <w:vAlign w:val="top"/>
                </w:tcPr>
                <w:p w14:paraId="4EFDD06A">
                  <w:pPr>
                    <w:spacing w:before="101" w:line="195" w:lineRule="auto"/>
                    <w:ind w:left="5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3" w:type="dxa"/>
                  <w:vAlign w:val="top"/>
                </w:tcPr>
                <w:p w14:paraId="0BFE5483">
                  <w:pPr>
                    <w:spacing w:before="104" w:line="194" w:lineRule="auto"/>
                    <w:ind w:left="99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125" w:type="dxa"/>
                  <w:vAlign w:val="top"/>
                </w:tcPr>
                <w:p w14:paraId="30C36474">
                  <w:pPr>
                    <w:pStyle w:val="6"/>
                    <w:spacing w:before="63" w:line="228" w:lineRule="auto"/>
                    <w:ind w:left="755"/>
                    <w:rPr>
                      <w:sz w:val="20"/>
                      <w:szCs w:val="20"/>
                    </w:rPr>
                  </w:pPr>
                  <w:r>
                    <w:rPr>
                      <w:spacing w:val="6"/>
                      <w:sz w:val="20"/>
                      <w:szCs w:val="20"/>
                    </w:rPr>
                    <w:t>无量纲</w:t>
                  </w:r>
                </w:p>
              </w:tc>
              <w:tc>
                <w:tcPr>
                  <w:tcW w:w="2419" w:type="dxa"/>
                  <w:vAlign w:val="top"/>
                </w:tcPr>
                <w:p w14:paraId="7EDE28A8">
                  <w:pPr>
                    <w:spacing w:before="101" w:line="195" w:lineRule="auto"/>
                    <w:ind w:left="8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6.0~9.0</w:t>
                  </w:r>
                </w:p>
              </w:tc>
            </w:tr>
            <w:tr w14:paraId="7D681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85" w:type="dxa"/>
                  <w:vAlign w:val="top"/>
                </w:tcPr>
                <w:p w14:paraId="4168A0A1">
                  <w:pPr>
                    <w:spacing w:before="10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3" w:type="dxa"/>
                  <w:vAlign w:val="top"/>
                </w:tcPr>
                <w:p w14:paraId="7B7D41D8">
                  <w:pPr>
                    <w:pStyle w:val="6"/>
                    <w:spacing w:before="65" w:line="228" w:lineRule="auto"/>
                    <w:ind w:left="923"/>
                    <w:rPr>
                      <w:sz w:val="20"/>
                      <w:szCs w:val="20"/>
                    </w:rPr>
                  </w:pPr>
                  <w:r>
                    <w:rPr>
                      <w:spacing w:val="3"/>
                      <w:sz w:val="20"/>
                      <w:szCs w:val="20"/>
                    </w:rPr>
                    <w:t>色度</w:t>
                  </w:r>
                </w:p>
              </w:tc>
              <w:tc>
                <w:tcPr>
                  <w:tcW w:w="2125" w:type="dxa"/>
                  <w:vAlign w:val="top"/>
                </w:tcPr>
                <w:p w14:paraId="1EF4AE1F">
                  <w:pPr>
                    <w:pStyle w:val="6"/>
                    <w:spacing w:before="65" w:line="228" w:lineRule="auto"/>
                    <w:ind w:left="962"/>
                    <w:rPr>
                      <w:sz w:val="20"/>
                      <w:szCs w:val="20"/>
                    </w:rPr>
                  </w:pPr>
                  <w:r>
                    <w:rPr>
                      <w:sz w:val="20"/>
                      <w:szCs w:val="20"/>
                    </w:rPr>
                    <w:t>倍</w:t>
                  </w:r>
                </w:p>
              </w:tc>
              <w:tc>
                <w:tcPr>
                  <w:tcW w:w="2419" w:type="dxa"/>
                  <w:vAlign w:val="top"/>
                </w:tcPr>
                <w:p w14:paraId="2C524B8F">
                  <w:pPr>
                    <w:spacing w:before="102" w:line="195" w:lineRule="auto"/>
                    <w:ind w:left="1111"/>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r>
            <w:tr w14:paraId="1F437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85" w:type="dxa"/>
                  <w:vAlign w:val="top"/>
                </w:tcPr>
                <w:p w14:paraId="618F444F">
                  <w:pPr>
                    <w:spacing w:before="104"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53" w:type="dxa"/>
                  <w:vAlign w:val="top"/>
                </w:tcPr>
                <w:p w14:paraId="528D6DF9">
                  <w:pPr>
                    <w:spacing w:before="104"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125" w:type="dxa"/>
                  <w:vAlign w:val="top"/>
                </w:tcPr>
                <w:p w14:paraId="527A0341">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063E066C">
                  <w:pPr>
                    <w:spacing w:before="104" w:line="195" w:lineRule="auto"/>
                    <w:ind w:left="10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r w14:paraId="7C4A7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75474BF8">
                  <w:pPr>
                    <w:spacing w:before="103"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53" w:type="dxa"/>
                  <w:vAlign w:val="top"/>
                </w:tcPr>
                <w:p w14:paraId="0A2100A6">
                  <w:pPr>
                    <w:spacing w:before="103" w:line="195" w:lineRule="auto"/>
                    <w:ind w:left="85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2125" w:type="dxa"/>
                  <w:vAlign w:val="top"/>
                </w:tcPr>
                <w:p w14:paraId="33AAEA24">
                  <w:pPr>
                    <w:spacing w:before="99"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4D298046">
                  <w:pPr>
                    <w:spacing w:before="103" w:line="195" w:lineRule="auto"/>
                    <w:ind w:left="10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r>
            <w:tr w14:paraId="3602E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082911EB">
                  <w:pPr>
                    <w:spacing w:before="106" w:line="192" w:lineRule="auto"/>
                    <w:ind w:left="4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3" w:type="dxa"/>
                  <w:vAlign w:val="top"/>
                </w:tcPr>
                <w:p w14:paraId="7A1A8118">
                  <w:pPr>
                    <w:spacing w:before="103" w:line="195" w:lineRule="auto"/>
                    <w:ind w:left="8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2125" w:type="dxa"/>
                  <w:vAlign w:val="top"/>
                </w:tcPr>
                <w:p w14:paraId="6404AE99">
                  <w:pPr>
                    <w:spacing w:before="99"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4DD21BBE">
                  <w:pPr>
                    <w:spacing w:before="103" w:line="195" w:lineRule="auto"/>
                    <w:ind w:left="10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r>
            <w:tr w14:paraId="30236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4AE2C562">
                  <w:pPr>
                    <w:spacing w:before="104"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3" w:type="dxa"/>
                  <w:vAlign w:val="top"/>
                </w:tcPr>
                <w:p w14:paraId="0858C6A8">
                  <w:pPr>
                    <w:pStyle w:val="6"/>
                    <w:spacing w:before="68" w:line="229" w:lineRule="auto"/>
                    <w:ind w:left="814"/>
                    <w:rPr>
                      <w:sz w:val="20"/>
                      <w:szCs w:val="20"/>
                    </w:rPr>
                  </w:pPr>
                  <w:r>
                    <w:rPr>
                      <w:spacing w:val="7"/>
                      <w:sz w:val="20"/>
                      <w:szCs w:val="20"/>
                    </w:rPr>
                    <w:t>硫化物</w:t>
                  </w:r>
                </w:p>
              </w:tc>
              <w:tc>
                <w:tcPr>
                  <w:tcW w:w="2125" w:type="dxa"/>
                  <w:vAlign w:val="top"/>
                </w:tcPr>
                <w:p w14:paraId="7B726CE9">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3293220E">
                  <w:pPr>
                    <w:spacing w:before="104" w:line="195" w:lineRule="auto"/>
                    <w:ind w:left="11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EC37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066B6FF7">
                  <w:pPr>
                    <w:spacing w:before="107" w:line="192"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53" w:type="dxa"/>
                  <w:vAlign w:val="top"/>
                </w:tcPr>
                <w:p w14:paraId="12814A42">
                  <w:pPr>
                    <w:pStyle w:val="6"/>
                    <w:spacing w:before="65" w:line="228" w:lineRule="auto"/>
                    <w:ind w:left="816"/>
                    <w:rPr>
                      <w:sz w:val="20"/>
                      <w:szCs w:val="20"/>
                    </w:rPr>
                  </w:pPr>
                  <w:r>
                    <w:rPr>
                      <w:spacing w:val="6"/>
                      <w:sz w:val="20"/>
                      <w:szCs w:val="20"/>
                    </w:rPr>
                    <w:t>氟化物</w:t>
                  </w:r>
                </w:p>
              </w:tc>
              <w:tc>
                <w:tcPr>
                  <w:tcW w:w="2125" w:type="dxa"/>
                  <w:vAlign w:val="top"/>
                </w:tcPr>
                <w:p w14:paraId="252D87F8">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1F66CC3F">
                  <w:pPr>
                    <w:spacing w:before="104" w:line="195" w:lineRule="auto"/>
                    <w:ind w:left="1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9A5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07E06DB8">
                  <w:pPr>
                    <w:spacing w:before="104"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53" w:type="dxa"/>
                  <w:vAlign w:val="top"/>
                </w:tcPr>
                <w:p w14:paraId="13F8D0B0">
                  <w:pPr>
                    <w:pStyle w:val="6"/>
                    <w:spacing w:before="66" w:line="229" w:lineRule="auto"/>
                    <w:ind w:left="819"/>
                    <w:rPr>
                      <w:sz w:val="20"/>
                      <w:szCs w:val="20"/>
                    </w:rPr>
                  </w:pPr>
                  <w:r>
                    <w:rPr>
                      <w:spacing w:val="5"/>
                      <w:sz w:val="20"/>
                      <w:szCs w:val="20"/>
                    </w:rPr>
                    <w:t>氯化物</w:t>
                  </w:r>
                </w:p>
              </w:tc>
              <w:tc>
                <w:tcPr>
                  <w:tcW w:w="2125" w:type="dxa"/>
                  <w:vAlign w:val="top"/>
                </w:tcPr>
                <w:p w14:paraId="5CAB5035">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423F30BB">
                  <w:pPr>
                    <w:spacing w:before="104" w:line="195" w:lineRule="auto"/>
                    <w:ind w:left="1062"/>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r>
            <w:tr w14:paraId="31E3D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4D4147EC">
                  <w:pPr>
                    <w:spacing w:before="105"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53" w:type="dxa"/>
                  <w:vAlign w:val="top"/>
                </w:tcPr>
                <w:p w14:paraId="0E89F484">
                  <w:pPr>
                    <w:pStyle w:val="6"/>
                    <w:spacing w:before="67" w:line="229" w:lineRule="auto"/>
                    <w:ind w:left="814"/>
                    <w:rPr>
                      <w:sz w:val="20"/>
                      <w:szCs w:val="20"/>
                    </w:rPr>
                  </w:pPr>
                  <w:r>
                    <w:rPr>
                      <w:spacing w:val="7"/>
                      <w:sz w:val="20"/>
                      <w:szCs w:val="20"/>
                    </w:rPr>
                    <w:t>硫酸盐</w:t>
                  </w:r>
                </w:p>
              </w:tc>
              <w:tc>
                <w:tcPr>
                  <w:tcW w:w="2125" w:type="dxa"/>
                  <w:vAlign w:val="top"/>
                </w:tcPr>
                <w:p w14:paraId="194A3538">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4F7EDCE8">
                  <w:pPr>
                    <w:spacing w:before="105" w:line="195" w:lineRule="auto"/>
                    <w:ind w:left="10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r>
            <w:tr w14:paraId="010DE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3820AE66">
                  <w:pPr>
                    <w:spacing w:before="103"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253" w:type="dxa"/>
                  <w:vAlign w:val="top"/>
                </w:tcPr>
                <w:p w14:paraId="7D63444B">
                  <w:pPr>
                    <w:pStyle w:val="6"/>
                    <w:spacing w:before="67" w:line="227" w:lineRule="auto"/>
                    <w:ind w:left="921"/>
                    <w:rPr>
                      <w:sz w:val="20"/>
                      <w:szCs w:val="20"/>
                    </w:rPr>
                  </w:pPr>
                  <w:r>
                    <w:rPr>
                      <w:spacing w:val="4"/>
                      <w:sz w:val="20"/>
                      <w:szCs w:val="20"/>
                    </w:rPr>
                    <w:t>氨氮</w:t>
                  </w:r>
                </w:p>
              </w:tc>
              <w:tc>
                <w:tcPr>
                  <w:tcW w:w="2125" w:type="dxa"/>
                  <w:vAlign w:val="top"/>
                </w:tcPr>
                <w:p w14:paraId="082FFC58">
                  <w:pPr>
                    <w:spacing w:before="99"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49C36E51">
                  <w:pPr>
                    <w:spacing w:before="103"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5CBA2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2960D470">
                  <w:pPr>
                    <w:spacing w:before="103"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253" w:type="dxa"/>
                  <w:vAlign w:val="top"/>
                </w:tcPr>
                <w:p w14:paraId="1D683FB1">
                  <w:pPr>
                    <w:pStyle w:val="6"/>
                    <w:spacing w:before="67" w:line="227" w:lineRule="auto"/>
                    <w:ind w:left="926"/>
                    <w:rPr>
                      <w:sz w:val="20"/>
                      <w:szCs w:val="20"/>
                    </w:rPr>
                  </w:pPr>
                  <w:r>
                    <w:rPr>
                      <w:spacing w:val="2"/>
                      <w:sz w:val="20"/>
                      <w:szCs w:val="20"/>
                    </w:rPr>
                    <w:t>总氮</w:t>
                  </w:r>
                </w:p>
              </w:tc>
              <w:tc>
                <w:tcPr>
                  <w:tcW w:w="2125" w:type="dxa"/>
                  <w:vAlign w:val="top"/>
                </w:tcPr>
                <w:p w14:paraId="713E97D3">
                  <w:pPr>
                    <w:spacing w:before="99"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0E3115A6">
                  <w:pPr>
                    <w:spacing w:before="103"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14:paraId="0BB29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4183BF4F">
                  <w:pPr>
                    <w:spacing w:before="104"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253" w:type="dxa"/>
                  <w:vAlign w:val="top"/>
                </w:tcPr>
                <w:p w14:paraId="13F5CF5F">
                  <w:pPr>
                    <w:pStyle w:val="6"/>
                    <w:spacing w:before="67" w:line="228" w:lineRule="auto"/>
                    <w:ind w:left="926"/>
                    <w:rPr>
                      <w:sz w:val="20"/>
                      <w:szCs w:val="20"/>
                    </w:rPr>
                  </w:pPr>
                  <w:r>
                    <w:rPr>
                      <w:spacing w:val="2"/>
                      <w:sz w:val="20"/>
                      <w:szCs w:val="20"/>
                    </w:rPr>
                    <w:t>总磷</w:t>
                  </w:r>
                </w:p>
              </w:tc>
              <w:tc>
                <w:tcPr>
                  <w:tcW w:w="2125" w:type="dxa"/>
                  <w:vAlign w:val="top"/>
                </w:tcPr>
                <w:p w14:paraId="3775D031">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5B4795A0">
                  <w:pPr>
                    <w:spacing w:before="104" w:line="195" w:lineRule="auto"/>
                    <w:ind w:left="10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r>
            <w:tr w14:paraId="3468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25F83EF6">
                  <w:pPr>
                    <w:spacing w:before="104"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253" w:type="dxa"/>
                  <w:vAlign w:val="top"/>
                </w:tcPr>
                <w:p w14:paraId="19C637C1">
                  <w:pPr>
                    <w:pStyle w:val="6"/>
                    <w:spacing w:before="66" w:line="229" w:lineRule="auto"/>
                    <w:ind w:left="926"/>
                    <w:rPr>
                      <w:sz w:val="20"/>
                      <w:szCs w:val="20"/>
                    </w:rPr>
                  </w:pPr>
                  <w:r>
                    <w:rPr>
                      <w:spacing w:val="2"/>
                      <w:sz w:val="20"/>
                      <w:szCs w:val="20"/>
                    </w:rPr>
                    <w:t>总铜</w:t>
                  </w:r>
                </w:p>
              </w:tc>
              <w:tc>
                <w:tcPr>
                  <w:tcW w:w="2125" w:type="dxa"/>
                  <w:vAlign w:val="top"/>
                </w:tcPr>
                <w:p w14:paraId="0321777C">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1001E23A">
                  <w:pPr>
                    <w:spacing w:before="104" w:line="195" w:lineRule="auto"/>
                    <w:ind w:left="10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0A5F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4A00053C">
                  <w:pPr>
                    <w:spacing w:before="105"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253" w:type="dxa"/>
                  <w:vAlign w:val="top"/>
                </w:tcPr>
                <w:p w14:paraId="41558383">
                  <w:pPr>
                    <w:pStyle w:val="6"/>
                    <w:spacing w:before="67" w:line="228" w:lineRule="auto"/>
                    <w:ind w:left="926"/>
                    <w:rPr>
                      <w:sz w:val="20"/>
                      <w:szCs w:val="20"/>
                    </w:rPr>
                  </w:pPr>
                  <w:r>
                    <w:rPr>
                      <w:spacing w:val="2"/>
                      <w:sz w:val="20"/>
                      <w:szCs w:val="20"/>
                    </w:rPr>
                    <w:t>总锌</w:t>
                  </w:r>
                </w:p>
              </w:tc>
              <w:tc>
                <w:tcPr>
                  <w:tcW w:w="2125" w:type="dxa"/>
                  <w:vAlign w:val="top"/>
                </w:tcPr>
                <w:p w14:paraId="737B4F57">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4C204A7F">
                  <w:pPr>
                    <w:spacing w:before="107" w:line="192" w:lineRule="auto"/>
                    <w:ind w:left="116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1147A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19F394B0">
                  <w:pPr>
                    <w:spacing w:before="105"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253" w:type="dxa"/>
                  <w:vAlign w:val="top"/>
                </w:tcPr>
                <w:p w14:paraId="5225F444">
                  <w:pPr>
                    <w:pStyle w:val="6"/>
                    <w:spacing w:before="67" w:line="234" w:lineRule="auto"/>
                    <w:ind w:left="926"/>
                    <w:rPr>
                      <w:sz w:val="20"/>
                      <w:szCs w:val="20"/>
                    </w:rPr>
                  </w:pPr>
                  <w:r>
                    <w:rPr>
                      <w:spacing w:val="2"/>
                      <w:sz w:val="20"/>
                      <w:szCs w:val="20"/>
                    </w:rPr>
                    <w:t>总锰</w:t>
                  </w:r>
                </w:p>
              </w:tc>
              <w:tc>
                <w:tcPr>
                  <w:tcW w:w="2125" w:type="dxa"/>
                  <w:vAlign w:val="top"/>
                </w:tcPr>
                <w:p w14:paraId="18C1E7F1">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75FEA13E">
                  <w:pPr>
                    <w:spacing w:before="108" w:line="192" w:lineRule="auto"/>
                    <w:ind w:left="116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79B8E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205CB64B">
                  <w:pPr>
                    <w:spacing w:before="103"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253" w:type="dxa"/>
                  <w:vAlign w:val="top"/>
                </w:tcPr>
                <w:p w14:paraId="53F6ED36">
                  <w:pPr>
                    <w:pStyle w:val="6"/>
                    <w:spacing w:before="67" w:line="229" w:lineRule="auto"/>
                    <w:ind w:left="926"/>
                    <w:rPr>
                      <w:sz w:val="20"/>
                      <w:szCs w:val="20"/>
                    </w:rPr>
                  </w:pPr>
                  <w:r>
                    <w:rPr>
                      <w:spacing w:val="2"/>
                      <w:sz w:val="20"/>
                      <w:szCs w:val="20"/>
                    </w:rPr>
                    <w:t>总铁</w:t>
                  </w:r>
                </w:p>
              </w:tc>
              <w:tc>
                <w:tcPr>
                  <w:tcW w:w="2125" w:type="dxa"/>
                  <w:vAlign w:val="top"/>
                </w:tcPr>
                <w:p w14:paraId="37E2C661">
                  <w:pPr>
                    <w:spacing w:before="99"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267571FF">
                  <w:pPr>
                    <w:spacing w:before="103" w:line="195" w:lineRule="auto"/>
                    <w:ind w:left="1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559D9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68E6C7B1">
                  <w:pPr>
                    <w:spacing w:before="103"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253" w:type="dxa"/>
                  <w:vAlign w:val="top"/>
                </w:tcPr>
                <w:p w14:paraId="43A27037">
                  <w:pPr>
                    <w:pStyle w:val="6"/>
                    <w:spacing w:before="68" w:line="228" w:lineRule="auto"/>
                    <w:ind w:left="926"/>
                    <w:rPr>
                      <w:sz w:val="20"/>
                      <w:szCs w:val="20"/>
                    </w:rPr>
                  </w:pPr>
                  <w:r>
                    <w:rPr>
                      <w:spacing w:val="2"/>
                      <w:sz w:val="20"/>
                      <w:szCs w:val="20"/>
                    </w:rPr>
                    <w:t>总汞</w:t>
                  </w:r>
                </w:p>
              </w:tc>
              <w:tc>
                <w:tcPr>
                  <w:tcW w:w="2125" w:type="dxa"/>
                  <w:vAlign w:val="top"/>
                </w:tcPr>
                <w:p w14:paraId="5A588B4B">
                  <w:pPr>
                    <w:spacing w:before="99"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6A9E64C2">
                  <w:pPr>
                    <w:spacing w:before="103" w:line="195" w:lineRule="auto"/>
                    <w:ind w:left="9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r>
            <w:tr w14:paraId="04B65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6226CA4E">
                  <w:pPr>
                    <w:spacing w:before="104"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253" w:type="dxa"/>
                  <w:vAlign w:val="top"/>
                </w:tcPr>
                <w:p w14:paraId="463A47B8">
                  <w:pPr>
                    <w:pStyle w:val="6"/>
                    <w:spacing w:before="67" w:line="231" w:lineRule="auto"/>
                    <w:ind w:left="926"/>
                    <w:rPr>
                      <w:sz w:val="20"/>
                      <w:szCs w:val="20"/>
                    </w:rPr>
                  </w:pPr>
                  <w:r>
                    <w:rPr>
                      <w:spacing w:val="2"/>
                      <w:sz w:val="20"/>
                      <w:szCs w:val="20"/>
                    </w:rPr>
                    <w:t>总镉</w:t>
                  </w:r>
                </w:p>
              </w:tc>
              <w:tc>
                <w:tcPr>
                  <w:tcW w:w="2125" w:type="dxa"/>
                  <w:vAlign w:val="top"/>
                </w:tcPr>
                <w:p w14:paraId="35CCEBED">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45391851">
                  <w:pPr>
                    <w:spacing w:before="104" w:line="195" w:lineRule="auto"/>
                    <w:ind w:left="10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39AA7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6A64295D">
                  <w:pPr>
                    <w:spacing w:before="104"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253" w:type="dxa"/>
                  <w:vAlign w:val="top"/>
                </w:tcPr>
                <w:p w14:paraId="1F6A8847">
                  <w:pPr>
                    <w:pStyle w:val="6"/>
                    <w:spacing w:before="66" w:line="230" w:lineRule="auto"/>
                    <w:ind w:left="926"/>
                    <w:rPr>
                      <w:sz w:val="20"/>
                      <w:szCs w:val="20"/>
                    </w:rPr>
                  </w:pPr>
                  <w:r>
                    <w:rPr>
                      <w:spacing w:val="2"/>
                      <w:sz w:val="20"/>
                      <w:szCs w:val="20"/>
                    </w:rPr>
                    <w:t>总铬</w:t>
                  </w:r>
                </w:p>
              </w:tc>
              <w:tc>
                <w:tcPr>
                  <w:tcW w:w="2125" w:type="dxa"/>
                  <w:vAlign w:val="top"/>
                </w:tcPr>
                <w:p w14:paraId="0123EF7D">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07F6C80B">
                  <w:pPr>
                    <w:spacing w:before="104" w:line="195" w:lineRule="auto"/>
                    <w:ind w:left="10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76E61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0A559540">
                  <w:pPr>
                    <w:spacing w:before="10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253" w:type="dxa"/>
                  <w:vAlign w:val="top"/>
                </w:tcPr>
                <w:p w14:paraId="2617E9BE">
                  <w:pPr>
                    <w:pStyle w:val="6"/>
                    <w:spacing w:before="66" w:line="226" w:lineRule="auto"/>
                    <w:ind w:left="817"/>
                    <w:rPr>
                      <w:sz w:val="20"/>
                      <w:szCs w:val="20"/>
                    </w:rPr>
                  </w:pPr>
                  <w:r>
                    <w:rPr>
                      <w:spacing w:val="6"/>
                      <w:sz w:val="20"/>
                      <w:szCs w:val="20"/>
                    </w:rPr>
                    <w:t>六价铬</w:t>
                  </w:r>
                </w:p>
              </w:tc>
              <w:tc>
                <w:tcPr>
                  <w:tcW w:w="2125" w:type="dxa"/>
                  <w:vAlign w:val="top"/>
                </w:tcPr>
                <w:p w14:paraId="4CC88759">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6BFA299B">
                  <w:pPr>
                    <w:spacing w:before="104" w:line="195" w:lineRule="auto"/>
                    <w:ind w:left="10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33B9A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85" w:type="dxa"/>
                  <w:vAlign w:val="top"/>
                </w:tcPr>
                <w:p w14:paraId="1C1973E4">
                  <w:pPr>
                    <w:spacing w:before="105"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253" w:type="dxa"/>
                  <w:vAlign w:val="top"/>
                </w:tcPr>
                <w:p w14:paraId="2D7C4765">
                  <w:pPr>
                    <w:pStyle w:val="6"/>
                    <w:spacing w:before="67" w:line="228" w:lineRule="auto"/>
                    <w:ind w:left="926"/>
                    <w:rPr>
                      <w:sz w:val="20"/>
                      <w:szCs w:val="20"/>
                    </w:rPr>
                  </w:pPr>
                  <w:r>
                    <w:rPr>
                      <w:spacing w:val="2"/>
                      <w:sz w:val="20"/>
                      <w:szCs w:val="20"/>
                    </w:rPr>
                    <w:t>总砷</w:t>
                  </w:r>
                </w:p>
              </w:tc>
              <w:tc>
                <w:tcPr>
                  <w:tcW w:w="2125" w:type="dxa"/>
                  <w:vAlign w:val="top"/>
                </w:tcPr>
                <w:p w14:paraId="5F2CF3A1">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210F2EF8">
                  <w:pPr>
                    <w:spacing w:before="105" w:line="195" w:lineRule="auto"/>
                    <w:ind w:left="10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14:paraId="016F4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5A55977C">
                  <w:pPr>
                    <w:spacing w:before="10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253" w:type="dxa"/>
                  <w:vAlign w:val="top"/>
                </w:tcPr>
                <w:p w14:paraId="510B2F89">
                  <w:pPr>
                    <w:pStyle w:val="6"/>
                    <w:spacing w:before="68" w:line="232" w:lineRule="auto"/>
                    <w:ind w:left="926"/>
                    <w:rPr>
                      <w:sz w:val="20"/>
                      <w:szCs w:val="20"/>
                    </w:rPr>
                  </w:pPr>
                  <w:r>
                    <w:rPr>
                      <w:spacing w:val="2"/>
                      <w:sz w:val="20"/>
                      <w:szCs w:val="20"/>
                    </w:rPr>
                    <w:t>总铅</w:t>
                  </w:r>
                </w:p>
              </w:tc>
              <w:tc>
                <w:tcPr>
                  <w:tcW w:w="2125" w:type="dxa"/>
                  <w:vAlign w:val="top"/>
                </w:tcPr>
                <w:p w14:paraId="479AE53F">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58B86190">
                  <w:pPr>
                    <w:spacing w:before="104" w:line="195" w:lineRule="auto"/>
                    <w:ind w:left="10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9C42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629AEC75">
                  <w:pPr>
                    <w:spacing w:before="10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253" w:type="dxa"/>
                  <w:vAlign w:val="top"/>
                </w:tcPr>
                <w:p w14:paraId="71F1317D">
                  <w:pPr>
                    <w:pStyle w:val="6"/>
                    <w:spacing w:before="69" w:line="228" w:lineRule="auto"/>
                    <w:ind w:left="926"/>
                    <w:rPr>
                      <w:sz w:val="20"/>
                      <w:szCs w:val="20"/>
                    </w:rPr>
                  </w:pPr>
                  <w:r>
                    <w:rPr>
                      <w:spacing w:val="2"/>
                      <w:sz w:val="20"/>
                      <w:szCs w:val="20"/>
                    </w:rPr>
                    <w:t>总镍</w:t>
                  </w:r>
                </w:p>
              </w:tc>
              <w:tc>
                <w:tcPr>
                  <w:tcW w:w="2125" w:type="dxa"/>
                  <w:vAlign w:val="top"/>
                </w:tcPr>
                <w:p w14:paraId="0D257860">
                  <w:pPr>
                    <w:spacing w:before="100"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2EC1B3F0">
                  <w:pPr>
                    <w:spacing w:before="104" w:line="195" w:lineRule="auto"/>
                    <w:ind w:left="10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546EB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5" w:type="dxa"/>
                  <w:vAlign w:val="top"/>
                </w:tcPr>
                <w:p w14:paraId="28B5F043">
                  <w:pPr>
                    <w:spacing w:before="105"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253" w:type="dxa"/>
                  <w:vAlign w:val="top"/>
                </w:tcPr>
                <w:p w14:paraId="056C04C2">
                  <w:pPr>
                    <w:pStyle w:val="6"/>
                    <w:spacing w:before="69" w:line="228" w:lineRule="auto"/>
                    <w:ind w:left="926"/>
                    <w:rPr>
                      <w:sz w:val="20"/>
                      <w:szCs w:val="20"/>
                    </w:rPr>
                  </w:pPr>
                  <w:r>
                    <w:rPr>
                      <w:spacing w:val="2"/>
                      <w:sz w:val="20"/>
                      <w:szCs w:val="20"/>
                    </w:rPr>
                    <w:t>总铍</w:t>
                  </w:r>
                </w:p>
              </w:tc>
              <w:tc>
                <w:tcPr>
                  <w:tcW w:w="2125" w:type="dxa"/>
                  <w:vAlign w:val="top"/>
                </w:tcPr>
                <w:p w14:paraId="77A4FEA5">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7A6BAFBC">
                  <w:pPr>
                    <w:spacing w:before="105" w:line="195" w:lineRule="auto"/>
                    <w:ind w:left="9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r>
            <w:tr w14:paraId="3A901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85" w:type="dxa"/>
                  <w:vAlign w:val="top"/>
                </w:tcPr>
                <w:p w14:paraId="70E7B78E">
                  <w:pPr>
                    <w:spacing w:before="105"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253" w:type="dxa"/>
                  <w:vAlign w:val="top"/>
                </w:tcPr>
                <w:p w14:paraId="1F51E4BC">
                  <w:pPr>
                    <w:pStyle w:val="6"/>
                    <w:spacing w:before="67" w:line="231" w:lineRule="auto"/>
                    <w:ind w:left="926"/>
                    <w:rPr>
                      <w:sz w:val="20"/>
                      <w:szCs w:val="20"/>
                    </w:rPr>
                  </w:pPr>
                  <w:r>
                    <w:rPr>
                      <w:spacing w:val="2"/>
                      <w:sz w:val="20"/>
                      <w:szCs w:val="20"/>
                    </w:rPr>
                    <w:t>总银</w:t>
                  </w:r>
                </w:p>
              </w:tc>
              <w:tc>
                <w:tcPr>
                  <w:tcW w:w="2125" w:type="dxa"/>
                  <w:vAlign w:val="top"/>
                </w:tcPr>
                <w:p w14:paraId="68CF8F55">
                  <w:pPr>
                    <w:spacing w:before="101" w:line="201"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419" w:type="dxa"/>
                  <w:vAlign w:val="top"/>
                </w:tcPr>
                <w:p w14:paraId="73CA0D77">
                  <w:pPr>
                    <w:spacing w:before="105" w:line="195" w:lineRule="auto"/>
                    <w:ind w:left="10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bl>
          <w:p w14:paraId="69D20979">
            <w:pPr>
              <w:pStyle w:val="6"/>
              <w:spacing w:before="31" w:line="360" w:lineRule="auto"/>
              <w:ind w:left="110" w:right="40" w:firstLine="482"/>
              <w:jc w:val="both"/>
            </w:pPr>
            <w:r>
              <w:t>项目所在地是海丰县宝石加工企业集聚镇，全镇目前现状是所</w:t>
            </w:r>
            <w:r>
              <w:rPr>
                <w:spacing w:val="-1"/>
              </w:rPr>
              <w:t>有宝石加工</w:t>
            </w:r>
            <w:r>
              <w:t xml:space="preserve"> 企业产生的生产废水，经过预处理后，通过镇区已经建成的市政管网汇入</w:t>
            </w:r>
            <w:r>
              <w:rPr>
                <w:spacing w:val="-1"/>
              </w:rPr>
              <w:t>海丰</w:t>
            </w:r>
            <w:r>
              <w:t xml:space="preserve"> 县可塘镇污水处理厂。海丰县可塘镇人民政府已出具相关证明文件（附件</w:t>
            </w:r>
            <w:r>
              <w:rPr>
                <w:rFonts w:ascii="Times New Roman" w:hAnsi="Times New Roman" w:eastAsia="Times New Roman" w:cs="Times New Roman"/>
              </w:rPr>
              <w:t>5</w:t>
            </w:r>
            <w:r>
              <w:rPr>
                <w:spacing w:val="-31"/>
              </w:rPr>
              <w:t>），</w:t>
            </w:r>
            <w:r>
              <w:rPr>
                <w:spacing w:val="1"/>
              </w:rPr>
              <w:t xml:space="preserve"> </w:t>
            </w:r>
            <w:r>
              <w:t>明确本项目的生产废水纳入可塘镇污水管网，最</w:t>
            </w:r>
            <w:r>
              <w:rPr>
                <w:spacing w:val="-1"/>
              </w:rPr>
              <w:t>终汇入可塘镇污水处理厂。</w:t>
            </w:r>
          </w:p>
          <w:p w14:paraId="4B8F88A1">
            <w:pPr>
              <w:pStyle w:val="6"/>
              <w:spacing w:line="353" w:lineRule="auto"/>
              <w:ind w:left="109" w:right="101" w:firstLine="480"/>
              <w:jc w:val="both"/>
            </w:pPr>
            <w:r>
              <w:t xml:space="preserve">根据可塘镇污水厂验收报告，污水厂运行稳定，出水低于《城镇污水处理 </w:t>
            </w:r>
            <w:r>
              <w:rPr>
                <w:spacing w:val="-3"/>
              </w:rPr>
              <w:t>厂污染物排放标准》（</w:t>
            </w:r>
            <w:r>
              <w:rPr>
                <w:rFonts w:ascii="Times New Roman" w:hAnsi="Times New Roman" w:eastAsia="Times New Roman" w:cs="Times New Roman"/>
                <w:spacing w:val="-3"/>
              </w:rPr>
              <w:t>GB18918-2002</w:t>
            </w:r>
            <w:r>
              <w:rPr>
                <w:spacing w:val="-3"/>
              </w:rPr>
              <w:t>）一级</w:t>
            </w:r>
            <w:r>
              <w:rPr>
                <w:spacing w:val="-45"/>
              </w:rPr>
              <w:t xml:space="preserve"> </w:t>
            </w:r>
            <w:r>
              <w:rPr>
                <w:rFonts w:ascii="Times New Roman" w:hAnsi="Times New Roman" w:eastAsia="Times New Roman" w:cs="Times New Roman"/>
                <w:spacing w:val="-3"/>
              </w:rPr>
              <w:t xml:space="preserve">A </w:t>
            </w:r>
            <w:r>
              <w:rPr>
                <w:spacing w:val="-3"/>
              </w:rPr>
              <w:t>标准及广东省地方标准《水污染</w:t>
            </w:r>
            <w:r>
              <w:t xml:space="preserve"> 物排放限值》（</w:t>
            </w:r>
            <w:r>
              <w:rPr>
                <w:rFonts w:ascii="Times New Roman" w:hAnsi="Times New Roman" w:eastAsia="Times New Roman" w:cs="Times New Roman"/>
              </w:rPr>
              <w:t>DB44/26-2001</w:t>
            </w:r>
            <w:r>
              <w:t>）第二</w:t>
            </w:r>
            <w:r>
              <w:rPr>
                <w:spacing w:val="-1"/>
              </w:rPr>
              <w:t>时段一级标准的较严值。</w:t>
            </w:r>
          </w:p>
        </w:tc>
      </w:tr>
    </w:tbl>
    <w:p w14:paraId="09EB30E3">
      <w:pPr>
        <w:rPr>
          <w:rFonts w:ascii="Arial"/>
          <w:sz w:val="21"/>
        </w:rPr>
      </w:pPr>
    </w:p>
    <w:p w14:paraId="5C640674">
      <w:pPr>
        <w:rPr>
          <w:rFonts w:ascii="Arial" w:hAnsi="Arial" w:eastAsia="Arial" w:cs="Arial"/>
          <w:sz w:val="21"/>
          <w:szCs w:val="21"/>
        </w:rPr>
        <w:sectPr>
          <w:footerReference r:id="rId91" w:type="default"/>
          <w:pgSz w:w="11907" w:h="16840"/>
          <w:pgMar w:top="400" w:right="1453" w:bottom="1240" w:left="1453" w:header="0" w:footer="1077" w:gutter="0"/>
          <w:cols w:space="720" w:num="1"/>
        </w:sectPr>
      </w:pPr>
    </w:p>
    <w:p w14:paraId="68C377CC">
      <w:pPr>
        <w:spacing w:before="19"/>
      </w:pPr>
    </w:p>
    <w:p w14:paraId="5B894D4A">
      <w:pPr>
        <w:spacing w:before="19"/>
      </w:pPr>
    </w:p>
    <w:p w14:paraId="3AFADC22">
      <w:pPr>
        <w:spacing w:before="19"/>
      </w:pPr>
    </w:p>
    <w:p w14:paraId="49053A1C">
      <w:pPr>
        <w:spacing w:before="18"/>
      </w:pPr>
    </w:p>
    <w:p w14:paraId="6B7450D6">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05F7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52DDBF3B">
            <w:pPr>
              <w:rPr>
                <w:rFonts w:ascii="Arial"/>
                <w:sz w:val="21"/>
              </w:rPr>
            </w:pPr>
          </w:p>
        </w:tc>
        <w:tc>
          <w:tcPr>
            <w:tcW w:w="8381" w:type="dxa"/>
            <w:tcBorders>
              <w:left w:val="single" w:color="000000" w:sz="2" w:space="0"/>
            </w:tcBorders>
            <w:vAlign w:val="top"/>
          </w:tcPr>
          <w:p w14:paraId="4F0C29B7">
            <w:pPr>
              <w:pStyle w:val="6"/>
              <w:spacing w:before="39" w:line="219" w:lineRule="auto"/>
              <w:ind w:left="585"/>
            </w:pPr>
            <w:r>
              <w:rPr>
                <w:rFonts w:ascii="Times New Roman" w:hAnsi="Times New Roman" w:eastAsia="Times New Roman" w:cs="Times New Roman"/>
                <w:b/>
                <w:bCs/>
                <w:spacing w:val="-2"/>
              </w:rPr>
              <w:t xml:space="preserve">2.4 </w:t>
            </w:r>
            <w:r>
              <w:rPr>
                <w:b/>
                <w:bCs/>
                <w:spacing w:val="-2"/>
              </w:rPr>
              <w:t>依托可塘镇污水处理厂可行性</w:t>
            </w:r>
          </w:p>
          <w:p w14:paraId="2B9A4212">
            <w:pPr>
              <w:pStyle w:val="6"/>
              <w:spacing w:before="185" w:line="359" w:lineRule="auto"/>
              <w:ind w:left="112" w:right="40" w:firstLine="476"/>
              <w:jc w:val="both"/>
            </w:pPr>
            <w:r>
              <w:t>根据《海丰县可塘镇污水处理厂工程项目环境影响报告表》，污水厂服务 范围为海丰县可塘镇生活污水。项目位于可塘镇建成区，属于污水</w:t>
            </w:r>
            <w:r>
              <w:rPr>
                <w:spacing w:val="-1"/>
              </w:rPr>
              <w:t>厂的纳污范</w:t>
            </w:r>
            <w:r>
              <w:t xml:space="preserve"> </w:t>
            </w:r>
            <w:r>
              <w:rPr>
                <w:spacing w:val="-5"/>
              </w:rPr>
              <w:t>围，项目员工排放的生活污水与可塘镇其他居民排放的生活</w:t>
            </w:r>
            <w:r>
              <w:rPr>
                <w:spacing w:val="-6"/>
              </w:rPr>
              <w:t>污水没有多大区别，</w:t>
            </w:r>
            <w:r>
              <w:t xml:space="preserve"> 因此项目排放的生活污水排入市政管网，依托可塘镇污水处理厂是</w:t>
            </w:r>
            <w:r>
              <w:rPr>
                <w:spacing w:val="-1"/>
              </w:rPr>
              <w:t>合情合理可</w:t>
            </w:r>
            <w:r>
              <w:t xml:space="preserve"> </w:t>
            </w:r>
            <w:r>
              <w:rPr>
                <w:spacing w:val="-5"/>
              </w:rPr>
              <w:t>行的。</w:t>
            </w:r>
          </w:p>
          <w:p w14:paraId="37834416">
            <w:pPr>
              <w:pStyle w:val="6"/>
              <w:spacing w:line="359" w:lineRule="auto"/>
              <w:ind w:left="109" w:right="101" w:firstLine="483"/>
            </w:pPr>
            <w:r>
              <w:rPr>
                <w:spacing w:val="-2"/>
              </w:rPr>
              <w:t>项目正常运营时产生的废水量约为</w:t>
            </w:r>
            <w:r>
              <w:rPr>
                <w:spacing w:val="-31"/>
              </w:rPr>
              <w:t xml:space="preserve"> </w:t>
            </w:r>
            <w:r>
              <w:rPr>
                <w:rFonts w:ascii="Times New Roman" w:hAnsi="Times New Roman" w:eastAsia="Times New Roman" w:cs="Times New Roman"/>
                <w:spacing w:val="-2"/>
              </w:rPr>
              <w:t>146164</w:t>
            </w:r>
            <w:r>
              <w:rPr>
                <w:rFonts w:ascii="Times New Roman" w:hAnsi="Times New Roman" w:eastAsia="Times New Roman" w:cs="Times New Roman"/>
                <w:spacing w:val="-3"/>
              </w:rPr>
              <w:t>.8t/a</w:t>
            </w:r>
            <w:r>
              <w:rPr>
                <w:spacing w:val="-3"/>
              </w:rPr>
              <w:t>（</w:t>
            </w:r>
            <w:r>
              <w:rPr>
                <w:rFonts w:ascii="Times New Roman" w:hAnsi="Times New Roman" w:eastAsia="Times New Roman" w:cs="Times New Roman"/>
                <w:spacing w:val="-3"/>
              </w:rPr>
              <w:t>487.216t/d</w:t>
            </w:r>
            <w:r>
              <w:rPr>
                <w:spacing w:val="-1"/>
              </w:rPr>
              <w:t>），</w:t>
            </w:r>
            <w:r>
              <w:rPr>
                <w:spacing w:val="-3"/>
              </w:rPr>
              <w:t>经过建设单</w:t>
            </w:r>
            <w:r>
              <w:t xml:space="preserve"> 位自建的废水处理站预处理后，废水的污染物浓度满足可塘镇污水厂</w:t>
            </w:r>
            <w:r>
              <w:rPr>
                <w:spacing w:val="-1"/>
              </w:rPr>
              <w:t>的设计进</w:t>
            </w:r>
            <w:r>
              <w:t xml:space="preserve"> </w:t>
            </w:r>
            <w:r>
              <w:rPr>
                <w:spacing w:val="13"/>
              </w:rPr>
              <w:t>水指标</w:t>
            </w:r>
            <w:r>
              <w:rPr>
                <w:spacing w:val="-57"/>
              </w:rPr>
              <w:t xml:space="preserve"> </w:t>
            </w:r>
            <w:r>
              <w:rPr>
                <w:spacing w:val="13"/>
              </w:rPr>
              <w:t>。根据可塘污水厂实际运行中的管理要求，可接纳实际处理水量的</w:t>
            </w:r>
            <w:r>
              <w:t xml:space="preserve"> </w:t>
            </w:r>
            <w:r>
              <w:rPr>
                <w:rFonts w:ascii="Times New Roman" w:hAnsi="Times New Roman" w:eastAsia="Times New Roman" w:cs="Times New Roman"/>
                <w:spacing w:val="-1"/>
              </w:rPr>
              <w:t>5%~20%</w:t>
            </w:r>
            <w:r>
              <w:rPr>
                <w:spacing w:val="-1"/>
              </w:rPr>
              <w:t>的工业废水量（</w:t>
            </w:r>
            <w:r>
              <w:rPr>
                <w:spacing w:val="-27"/>
              </w:rPr>
              <w:t xml:space="preserve"> </w:t>
            </w:r>
            <w:r>
              <w:rPr>
                <w:spacing w:val="-1"/>
              </w:rPr>
              <w:t>目前已经在接受的工业废水的占比为</w:t>
            </w:r>
            <w:r>
              <w:rPr>
                <w:spacing w:val="-46"/>
              </w:rPr>
              <w:t xml:space="preserve"> </w:t>
            </w:r>
            <w:r>
              <w:rPr>
                <w:rFonts w:ascii="Times New Roman" w:hAnsi="Times New Roman" w:eastAsia="Times New Roman" w:cs="Times New Roman"/>
                <w:spacing w:val="-1"/>
              </w:rPr>
              <w:t>0.26%</w:t>
            </w:r>
            <w:r>
              <w:rPr>
                <w:spacing w:val="18"/>
              </w:rPr>
              <w:t>），</w:t>
            </w:r>
            <w:r>
              <w:rPr>
                <w:spacing w:val="-1"/>
              </w:rPr>
              <w:t>约为</w:t>
            </w:r>
            <w:r>
              <w:t xml:space="preserve"> </w:t>
            </w:r>
            <w:r>
              <w:rPr>
                <w:rFonts w:ascii="Times New Roman" w:hAnsi="Times New Roman" w:eastAsia="Times New Roman" w:cs="Times New Roman"/>
                <w:spacing w:val="2"/>
              </w:rPr>
              <w:t>54.85~219.4</w:t>
            </w:r>
            <w:r>
              <w:rPr>
                <w:rFonts w:ascii="Times New Roman" w:hAnsi="Times New Roman" w:eastAsia="Times New Roman" w:cs="Times New Roman"/>
                <w:spacing w:val="20"/>
              </w:rPr>
              <w:t xml:space="preserve"> </w:t>
            </w:r>
            <w:r>
              <w:rPr>
                <w:spacing w:val="2"/>
              </w:rPr>
              <w:t>万吨</w:t>
            </w:r>
            <w:r>
              <w:rPr>
                <w:rFonts w:ascii="Times New Roman" w:hAnsi="Times New Roman" w:eastAsia="Times New Roman" w:cs="Times New Roman"/>
                <w:spacing w:val="2"/>
              </w:rPr>
              <w:t>/</w:t>
            </w:r>
            <w:r>
              <w:rPr>
                <w:spacing w:val="2"/>
              </w:rPr>
              <w:t>年，项目外排生产废水约占可塘污水厂可接纳的工业废水量</w:t>
            </w:r>
            <w:r>
              <w:t xml:space="preserve"> </w:t>
            </w:r>
            <w:r>
              <w:rPr>
                <w:spacing w:val="-2"/>
              </w:rPr>
              <w:t>的</w:t>
            </w:r>
            <w:r>
              <w:rPr>
                <w:spacing w:val="-56"/>
              </w:rPr>
              <w:t xml:space="preserve"> </w:t>
            </w:r>
            <w:r>
              <w:rPr>
                <w:rFonts w:ascii="Times New Roman" w:hAnsi="Times New Roman" w:eastAsia="Times New Roman" w:cs="Times New Roman"/>
                <w:spacing w:val="-2"/>
              </w:rPr>
              <w:t>4.46~</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17.9%</w:t>
            </w:r>
            <w:r>
              <w:rPr>
                <w:rFonts w:ascii="Times New Roman" w:hAnsi="Times New Roman" w:eastAsia="Times New Roman" w:cs="Times New Roman"/>
                <w:spacing w:val="-32"/>
              </w:rPr>
              <w:t xml:space="preserve"> </w:t>
            </w:r>
            <w:r>
              <w:rPr>
                <w:spacing w:val="-2"/>
              </w:rPr>
              <w:t>，满足污水厂可接受范围，对污水</w:t>
            </w:r>
            <w:r>
              <w:rPr>
                <w:spacing w:val="-3"/>
              </w:rPr>
              <w:t>厂的负荷不会造成冲击影响。</w:t>
            </w:r>
            <w:r>
              <w:t xml:space="preserve"> 另考虑到可塘镇污水厂的建设初衷，就是改善人居环境促进经济发展，宝石加 工业既是可塘镇的支柱产业又是污染大户，因此在有废水预处理和不影响污水 厂正常运行的前提下，可接收镇区的宝石加工废水。因此项目的生产废水经预 </w:t>
            </w:r>
            <w:r>
              <w:rPr>
                <w:spacing w:val="-1"/>
              </w:rPr>
              <w:t>处理后依托可塘镇污水处理厂深化处理是可行的。</w:t>
            </w:r>
          </w:p>
          <w:p w14:paraId="49E8A059">
            <w:pPr>
              <w:pStyle w:val="6"/>
              <w:spacing w:line="359" w:lineRule="auto"/>
              <w:ind w:left="108" w:right="101" w:firstLine="483"/>
              <w:jc w:val="both"/>
            </w:pPr>
            <w:r>
              <w:t>综上所述，从污水处理设施的日处理能力、处理工艺、设</w:t>
            </w:r>
            <w:r>
              <w:rPr>
                <w:spacing w:val="-1"/>
              </w:rPr>
              <w:t>计进水水质、处</w:t>
            </w:r>
            <w:r>
              <w:t xml:space="preserve"> 理后的废水稳定达标排放情况及排放标准是否涵盖建设项目排放的有毒有害的 特征水污染物等方面开展评价，满足依托的环境可行性要求分析，本项目外排 </w:t>
            </w:r>
            <w:r>
              <w:rPr>
                <w:spacing w:val="-1"/>
              </w:rPr>
              <w:t>废水接入可塘镇污水处理厂处理是可行</w:t>
            </w:r>
          </w:p>
          <w:p w14:paraId="0FF1D75F">
            <w:pPr>
              <w:pStyle w:val="6"/>
              <w:spacing w:line="219" w:lineRule="auto"/>
              <w:ind w:left="585"/>
            </w:pPr>
            <w:r>
              <w:rPr>
                <w:rFonts w:ascii="Times New Roman" w:hAnsi="Times New Roman" w:eastAsia="Times New Roman" w:cs="Times New Roman"/>
                <w:b/>
                <w:bCs/>
                <w:spacing w:val="-2"/>
              </w:rPr>
              <w:t xml:space="preserve">2.5 </w:t>
            </w:r>
            <w:r>
              <w:rPr>
                <w:b/>
                <w:bCs/>
                <w:spacing w:val="-2"/>
              </w:rPr>
              <w:t>废水处理工艺可行性</w:t>
            </w:r>
          </w:p>
          <w:p w14:paraId="67B9D313">
            <w:pPr>
              <w:pStyle w:val="6"/>
              <w:spacing w:before="180" w:line="358" w:lineRule="auto"/>
              <w:ind w:left="109" w:right="101" w:firstLine="479"/>
              <w:jc w:val="both"/>
            </w:pPr>
            <w:r>
              <w:t>废水站工艺论证：收集的废水首先进入废水站的调节池进行均质均</w:t>
            </w:r>
            <w:r>
              <w:rPr>
                <w:spacing w:val="-1"/>
              </w:rPr>
              <w:t>量，用</w:t>
            </w:r>
            <w:r>
              <w:t xml:space="preserve"> 泵提升至一级反应池，一级反应池分别投加复合碱、氯化钙、混凝剂、絮凝剂 </w:t>
            </w:r>
            <w:r>
              <w:rPr>
                <w:spacing w:val="2"/>
              </w:rPr>
              <w:t>等药剂，进行</w:t>
            </w:r>
            <w:r>
              <w:rPr>
                <w:spacing w:val="-58"/>
              </w:rPr>
              <w:t xml:space="preserve"> </w:t>
            </w:r>
            <w:r>
              <w:rPr>
                <w:rFonts w:ascii="Times New Roman" w:hAnsi="Times New Roman" w:eastAsia="Times New Roman" w:cs="Times New Roman"/>
              </w:rPr>
              <w:t>pH</w:t>
            </w:r>
            <w:r>
              <w:rPr>
                <w:rFonts w:ascii="Times New Roman" w:hAnsi="Times New Roman" w:eastAsia="Times New Roman" w:cs="Times New Roman"/>
                <w:spacing w:val="2"/>
              </w:rPr>
              <w:t xml:space="preserve"> </w:t>
            </w:r>
            <w:r>
              <w:rPr>
                <w:spacing w:val="2"/>
              </w:rPr>
              <w:t>调整和充分反应后，进入一级沉淀池进行泥水分离，</w:t>
            </w:r>
            <w:r>
              <w:rPr>
                <w:spacing w:val="1"/>
              </w:rPr>
              <w:t>去除大</w:t>
            </w:r>
            <w:r>
              <w:t xml:space="preserve"> 部分的重金属和氟化物。一级沉淀池出水进入二级反应池，二级反应池分别投 加高效除氟剂、混凝剂、絮凝剂等药剂，经充分反应后，进入二级沉淀池进行 泥水分离，进一步去除重金属和氟化物，出水达可达到可塘镇污水厂</w:t>
            </w:r>
            <w:r>
              <w:rPr>
                <w:spacing w:val="-1"/>
              </w:rPr>
              <w:t>设计进水</w:t>
            </w:r>
            <w:r>
              <w:t xml:space="preserve"> 标准限值、《污水排入城镇下水道水质标准》（</w:t>
            </w:r>
            <w:r>
              <w:rPr>
                <w:rFonts w:ascii="Times New Roman" w:hAnsi="Times New Roman" w:eastAsia="Times New Roman" w:cs="Times New Roman"/>
              </w:rPr>
              <w:t>GB/T31962-2</w:t>
            </w:r>
            <w:r>
              <w:rPr>
                <w:rFonts w:ascii="Times New Roman" w:hAnsi="Times New Roman" w:eastAsia="Times New Roman" w:cs="Times New Roman"/>
                <w:spacing w:val="-1"/>
              </w:rPr>
              <w:t>015</w:t>
            </w:r>
            <w:r>
              <w:rPr>
                <w:spacing w:val="-1"/>
              </w:rPr>
              <w:t>）</w:t>
            </w:r>
            <w:r>
              <w:rPr>
                <w:rFonts w:ascii="Times New Roman" w:hAnsi="Times New Roman" w:eastAsia="Times New Roman" w:cs="Times New Roman"/>
                <w:spacing w:val="-1"/>
              </w:rPr>
              <w:t xml:space="preserve">B </w:t>
            </w:r>
            <w:r>
              <w:rPr>
                <w:spacing w:val="-1"/>
              </w:rPr>
              <w:t>级标准限</w:t>
            </w:r>
          </w:p>
        </w:tc>
      </w:tr>
    </w:tbl>
    <w:p w14:paraId="7BBE7504">
      <w:pPr>
        <w:rPr>
          <w:rFonts w:ascii="Arial"/>
          <w:sz w:val="21"/>
        </w:rPr>
      </w:pPr>
    </w:p>
    <w:p w14:paraId="09F77C0D">
      <w:pPr>
        <w:rPr>
          <w:rFonts w:ascii="Arial" w:hAnsi="Arial" w:eastAsia="Arial" w:cs="Arial"/>
          <w:sz w:val="21"/>
          <w:szCs w:val="21"/>
        </w:rPr>
        <w:sectPr>
          <w:footerReference r:id="rId92" w:type="default"/>
          <w:pgSz w:w="11907" w:h="16840"/>
          <w:pgMar w:top="400" w:right="1453" w:bottom="1240" w:left="1453" w:header="0" w:footer="1077" w:gutter="0"/>
          <w:cols w:space="720" w:num="1"/>
        </w:sectPr>
      </w:pPr>
    </w:p>
    <w:p w14:paraId="03BAE0BA">
      <w:pPr>
        <w:spacing w:before="19"/>
      </w:pPr>
    </w:p>
    <w:p w14:paraId="239B0C72">
      <w:pPr>
        <w:spacing w:before="19"/>
      </w:pPr>
    </w:p>
    <w:p w14:paraId="71342D94">
      <w:pPr>
        <w:spacing w:before="19"/>
      </w:pPr>
    </w:p>
    <w:p w14:paraId="76D60A8A">
      <w:pPr>
        <w:spacing w:before="18"/>
      </w:pPr>
    </w:p>
    <w:p w14:paraId="2E676779">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63D0A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6A8BBB92">
            <w:pPr>
              <w:rPr>
                <w:rFonts w:ascii="Arial"/>
                <w:sz w:val="21"/>
              </w:rPr>
            </w:pPr>
          </w:p>
        </w:tc>
        <w:tc>
          <w:tcPr>
            <w:tcW w:w="8381" w:type="dxa"/>
            <w:tcBorders>
              <w:left w:val="single" w:color="000000" w:sz="2" w:space="0"/>
            </w:tcBorders>
            <w:vAlign w:val="top"/>
          </w:tcPr>
          <w:p w14:paraId="0C2A9667">
            <w:pPr>
              <w:pStyle w:val="6"/>
              <w:spacing w:before="39" w:line="359" w:lineRule="auto"/>
              <w:ind w:left="117" w:right="104" w:hanging="8"/>
            </w:pPr>
            <w:r>
              <w:t>值广东省地方标准《水污染物排放限值》（</w:t>
            </w:r>
            <w:r>
              <w:rPr>
                <w:rFonts w:ascii="Times New Roman" w:hAnsi="Times New Roman" w:eastAsia="Times New Roman" w:cs="Times New Roman"/>
              </w:rPr>
              <w:t>DB44/26-2001</w:t>
            </w:r>
            <w:r>
              <w:t>）第一类污</w:t>
            </w:r>
            <w:r>
              <w:rPr>
                <w:spacing w:val="-1"/>
              </w:rPr>
              <w:t>染物最高</w:t>
            </w:r>
            <w:r>
              <w:t xml:space="preserve"> </w:t>
            </w:r>
            <w:r>
              <w:rPr>
                <w:spacing w:val="-1"/>
              </w:rPr>
              <w:t>允许排放浓度限值和第二时段三级标准限值三者最严值。</w:t>
            </w:r>
          </w:p>
          <w:p w14:paraId="0DCE4420">
            <w:pPr>
              <w:pStyle w:val="6"/>
              <w:spacing w:line="359" w:lineRule="auto"/>
              <w:ind w:left="109" w:right="101" w:firstLine="480"/>
              <w:jc w:val="both"/>
            </w:pPr>
            <w:r>
              <w:t>化粪池工艺论证：化粪池的设计容积至少需满足污水一天的停留时间</w:t>
            </w:r>
            <w:r>
              <w:rPr>
                <w:spacing w:val="-1"/>
              </w:rPr>
              <w:t>，因</w:t>
            </w:r>
            <w:r>
              <w:t xml:space="preserve"> 比重不同粪液可自然分为三层，上层为糊状粪皮，下层为块状或颗状粪渣，中 层为比较澄清的粪液。在上层粪皮和下层粪渣中含细菌和寄生虫卵最多，中层 含虫卵最少，初步发酵的中层粪液经过粪管溢流至第二池，而将大部分未经充 分发酵的粪皮和粪渣阻留在第一池内继续发酵。流入第二池的粪液进一步发酵 分解，虫卵继续下沉，病原体逐渐死亡，粪液得到进一步无害化，产生的粪皮 和粪厚度比第一池显著减少。流人第三池的粪液一般已经腐熟，其中病菌和寄 生虫卵已基本杀灭。第三池功能主要起储存已</w:t>
            </w:r>
            <w:r>
              <w:rPr>
                <w:spacing w:val="-1"/>
              </w:rPr>
              <w:t>基本无害化的粪液作用。</w:t>
            </w:r>
          </w:p>
          <w:p w14:paraId="2F2A2577">
            <w:pPr>
              <w:pStyle w:val="6"/>
              <w:spacing w:before="1" w:line="359" w:lineRule="auto"/>
              <w:ind w:left="111" w:right="5" w:firstLine="479"/>
              <w:jc w:val="both"/>
            </w:pPr>
            <w:r>
              <w:rPr>
                <w:spacing w:val="-1"/>
              </w:rPr>
              <w:t>生产废水处理工艺可行性论证：本项目废水处理工艺采用调节</w:t>
            </w:r>
            <w:r>
              <w:rPr>
                <w:rFonts w:ascii="Times New Roman" w:hAnsi="Times New Roman" w:eastAsia="Times New Roman" w:cs="Times New Roman"/>
                <w:spacing w:val="-1"/>
              </w:rPr>
              <w:t>+</w:t>
            </w:r>
            <w:r>
              <w:rPr>
                <w:spacing w:val="-1"/>
              </w:rPr>
              <w:t>二级</w:t>
            </w:r>
            <w:r>
              <w:rPr>
                <w:spacing w:val="-2"/>
              </w:rPr>
              <w:t>混凝</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1"/>
              </w:rPr>
              <w:t>二级沉淀处理工艺，参考《排污许可证申请与核发技术规范 水处理（试行）》</w:t>
            </w:r>
            <w:r>
              <w:rPr>
                <w:spacing w:val="8"/>
              </w:rPr>
              <w:t xml:space="preserve"> </w:t>
            </w:r>
            <w:r>
              <w:rPr>
                <w:spacing w:val="-1"/>
              </w:rPr>
              <w:t>（</w:t>
            </w:r>
            <w:r>
              <w:rPr>
                <w:rFonts w:ascii="Times New Roman" w:hAnsi="Times New Roman" w:eastAsia="Times New Roman" w:cs="Times New Roman"/>
                <w:spacing w:val="-1"/>
              </w:rPr>
              <w:t>HJ 978-2018</w:t>
            </w:r>
            <w:r>
              <w:rPr>
                <w:spacing w:val="-1"/>
              </w:rPr>
              <w:t>）中</w:t>
            </w:r>
            <w:r>
              <w:rPr>
                <w:rFonts w:ascii="Times New Roman" w:hAnsi="Times New Roman" w:eastAsia="Times New Roman" w:cs="Times New Roman"/>
                <w:spacing w:val="-1"/>
              </w:rPr>
              <w:t>“</w:t>
            </w:r>
            <w:r>
              <w:rPr>
                <w:spacing w:val="-1"/>
              </w:rPr>
              <w:t>表</w:t>
            </w:r>
            <w:r>
              <w:rPr>
                <w:spacing w:val="-56"/>
              </w:rPr>
              <w:t xml:space="preserve"> </w:t>
            </w:r>
            <w:r>
              <w:rPr>
                <w:rFonts w:ascii="Times New Roman" w:hAnsi="Times New Roman" w:eastAsia="Times New Roman" w:cs="Times New Roman"/>
                <w:spacing w:val="-1"/>
              </w:rPr>
              <w:t xml:space="preserve">4 </w:t>
            </w:r>
            <w:r>
              <w:rPr>
                <w:spacing w:val="-1"/>
              </w:rPr>
              <w:t>污水处理可行技术参</w:t>
            </w:r>
            <w:r>
              <w:rPr>
                <w:spacing w:val="-2"/>
              </w:rPr>
              <w:t>照表</w:t>
            </w:r>
            <w:r>
              <w:rPr>
                <w:rFonts w:ascii="Times New Roman" w:hAnsi="Times New Roman" w:eastAsia="Times New Roman" w:cs="Times New Roman"/>
                <w:spacing w:val="-2"/>
              </w:rPr>
              <w:t>”</w:t>
            </w:r>
            <w:r>
              <w:rPr>
                <w:rFonts w:ascii="Times New Roman" w:hAnsi="Times New Roman" w:eastAsia="Times New Roman" w:cs="Times New Roman"/>
                <w:spacing w:val="-30"/>
              </w:rPr>
              <w:t xml:space="preserve"> </w:t>
            </w:r>
            <w:r>
              <w:rPr>
                <w:spacing w:val="-2"/>
              </w:rPr>
              <w:t>，工业废水可行技术为“预</w:t>
            </w:r>
            <w:r>
              <w:t xml:space="preserve"> </w:t>
            </w:r>
            <w:r>
              <w:rPr>
                <w:spacing w:val="-1"/>
              </w:rPr>
              <w:t>处理：沉淀、调节、气浮、水解酸化</w:t>
            </w:r>
            <w:r>
              <w:rPr>
                <w:spacing w:val="-89"/>
              </w:rPr>
              <w:t xml:space="preserve"> </w:t>
            </w:r>
            <w:r>
              <w:rPr>
                <w:spacing w:val="-1"/>
              </w:rPr>
              <w:t>”。因此项目采取的生产废水处理工艺有</w:t>
            </w:r>
            <w:r>
              <w:t xml:space="preserve"> </w:t>
            </w:r>
            <w:r>
              <w:rPr>
                <w:spacing w:val="-1"/>
              </w:rPr>
              <w:t>调节和沉淀，是可行技术。</w:t>
            </w:r>
          </w:p>
          <w:p w14:paraId="35AD6CB4">
            <w:pPr>
              <w:pStyle w:val="6"/>
              <w:spacing w:line="359" w:lineRule="auto"/>
              <w:ind w:left="112" w:right="101" w:firstLine="479"/>
              <w:jc w:val="both"/>
            </w:pPr>
            <w:r>
              <w:rPr>
                <w:spacing w:val="-4"/>
              </w:rPr>
              <w:t>生活污水处理工艺可行性论证：参考《排污许可证申请与核发技术规范 水</w:t>
            </w:r>
            <w:r>
              <w:rPr>
                <w:spacing w:val="9"/>
              </w:rPr>
              <w:t xml:space="preserve"> </w:t>
            </w:r>
            <w:r>
              <w:rPr>
                <w:spacing w:val="-2"/>
              </w:rPr>
              <w:t>处理（试行）》（</w:t>
            </w:r>
            <w:r>
              <w:rPr>
                <w:rFonts w:ascii="Times New Roman" w:hAnsi="Times New Roman" w:eastAsia="Times New Roman" w:cs="Times New Roman"/>
                <w:spacing w:val="-2"/>
              </w:rPr>
              <w:t>HJ 978-2018</w:t>
            </w:r>
            <w:r>
              <w:rPr>
                <w:spacing w:val="-2"/>
              </w:rPr>
              <w:t>）表</w:t>
            </w:r>
            <w:r>
              <w:rPr>
                <w:spacing w:val="-56"/>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w w:val="101"/>
              </w:rPr>
              <w:t xml:space="preserve"> </w:t>
            </w:r>
            <w:r>
              <w:rPr>
                <w:spacing w:val="-2"/>
              </w:rPr>
              <w:t>中，沉淀（沉砂、初沉）</w:t>
            </w:r>
            <w:r>
              <w:rPr>
                <w:spacing w:val="-3"/>
              </w:rPr>
              <w:t>为生活污水预处</w:t>
            </w:r>
            <w:r>
              <w:t xml:space="preserve"> </w:t>
            </w:r>
            <w:r>
              <w:rPr>
                <w:spacing w:val="-1"/>
              </w:rPr>
              <w:t>理可行技术，因此项目生活污水采用三级化粪池处理工艺（主要作用为沉淀）</w:t>
            </w:r>
            <w:r>
              <w:rPr>
                <w:spacing w:val="14"/>
              </w:rPr>
              <w:t xml:space="preserve"> </w:t>
            </w:r>
            <w:r>
              <w:rPr>
                <w:spacing w:val="-3"/>
              </w:rPr>
              <w:t>为可行技术。</w:t>
            </w:r>
          </w:p>
          <w:p w14:paraId="1F12CE03">
            <w:pPr>
              <w:pStyle w:val="6"/>
              <w:spacing w:before="1" w:line="220" w:lineRule="auto"/>
              <w:ind w:left="585"/>
            </w:pPr>
            <w:r>
              <w:rPr>
                <w:rFonts w:ascii="Times New Roman" w:hAnsi="Times New Roman" w:eastAsia="Times New Roman" w:cs="Times New Roman"/>
                <w:b/>
                <w:bCs/>
                <w:spacing w:val="-2"/>
              </w:rPr>
              <w:t xml:space="preserve">2.6 </w:t>
            </w:r>
            <w:r>
              <w:rPr>
                <w:b/>
                <w:bCs/>
                <w:spacing w:val="-2"/>
              </w:rPr>
              <w:t>排放口设置</w:t>
            </w:r>
          </w:p>
          <w:p w14:paraId="23B4215C">
            <w:pPr>
              <w:pStyle w:val="6"/>
              <w:spacing w:before="181" w:line="219" w:lineRule="auto"/>
              <w:ind w:left="592"/>
            </w:pPr>
            <w:r>
              <w:rPr>
                <w:spacing w:val="-2"/>
              </w:rPr>
              <w:t>项目排放口基本情况：</w:t>
            </w:r>
          </w:p>
          <w:p w14:paraId="7EB785E7">
            <w:pPr>
              <w:pStyle w:val="6"/>
              <w:spacing w:before="301" w:line="219" w:lineRule="auto"/>
              <w:ind w:left="2618"/>
            </w:pPr>
            <w:r>
              <w:rPr>
                <w:b/>
                <w:bCs/>
                <w:spacing w:val="-2"/>
              </w:rPr>
              <w:t>表</w:t>
            </w:r>
            <w:r>
              <w:rPr>
                <w:spacing w:val="-53"/>
              </w:rPr>
              <w:t xml:space="preserve"> </w:t>
            </w:r>
            <w:r>
              <w:rPr>
                <w:rFonts w:ascii="Times New Roman" w:hAnsi="Times New Roman" w:eastAsia="Times New Roman" w:cs="Times New Roman"/>
                <w:b/>
                <w:bCs/>
                <w:spacing w:val="-2"/>
              </w:rPr>
              <w:t xml:space="preserve">4-21    </w:t>
            </w:r>
            <w:r>
              <w:rPr>
                <w:b/>
                <w:bCs/>
                <w:spacing w:val="-2"/>
              </w:rPr>
              <w:t>废水排放口基本情况</w:t>
            </w:r>
          </w:p>
          <w:p w14:paraId="68F7F1E2">
            <w:pPr>
              <w:spacing w:line="148" w:lineRule="exact"/>
            </w:pPr>
          </w:p>
          <w:tbl>
            <w:tblPr>
              <w:tblStyle w:val="5"/>
              <w:tblW w:w="7716"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1027"/>
              <w:gridCol w:w="499"/>
              <w:gridCol w:w="1354"/>
              <w:gridCol w:w="1199"/>
              <w:gridCol w:w="2774"/>
            </w:tblGrid>
            <w:tr w14:paraId="3AF14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3" w:type="dxa"/>
                  <w:vMerge w:val="restart"/>
                  <w:tcBorders>
                    <w:bottom w:val="nil"/>
                  </w:tcBorders>
                  <w:vAlign w:val="top"/>
                </w:tcPr>
                <w:p w14:paraId="1A947E05">
                  <w:pPr>
                    <w:pStyle w:val="6"/>
                    <w:spacing w:before="272" w:line="228" w:lineRule="auto"/>
                    <w:ind w:left="228"/>
                    <w:rPr>
                      <w:sz w:val="20"/>
                      <w:szCs w:val="20"/>
                    </w:rPr>
                  </w:pPr>
                  <w:r>
                    <w:rPr>
                      <w:spacing w:val="3"/>
                      <w:sz w:val="20"/>
                      <w:szCs w:val="20"/>
                    </w:rPr>
                    <w:t>编号</w:t>
                  </w:r>
                </w:p>
              </w:tc>
              <w:tc>
                <w:tcPr>
                  <w:tcW w:w="1027" w:type="dxa"/>
                  <w:vMerge w:val="restart"/>
                  <w:tcBorders>
                    <w:bottom w:val="nil"/>
                  </w:tcBorders>
                  <w:vAlign w:val="top"/>
                </w:tcPr>
                <w:p w14:paraId="1B0DBE75">
                  <w:pPr>
                    <w:pStyle w:val="6"/>
                    <w:spacing w:before="273" w:line="230" w:lineRule="auto"/>
                    <w:ind w:left="311"/>
                    <w:rPr>
                      <w:sz w:val="20"/>
                      <w:szCs w:val="20"/>
                    </w:rPr>
                  </w:pPr>
                  <w:r>
                    <w:rPr>
                      <w:spacing w:val="3"/>
                      <w:sz w:val="20"/>
                      <w:szCs w:val="20"/>
                    </w:rPr>
                    <w:t>名称</w:t>
                  </w:r>
                </w:p>
              </w:tc>
              <w:tc>
                <w:tcPr>
                  <w:tcW w:w="499" w:type="dxa"/>
                  <w:vMerge w:val="restart"/>
                  <w:tcBorders>
                    <w:bottom w:val="nil"/>
                  </w:tcBorders>
                  <w:vAlign w:val="top"/>
                </w:tcPr>
                <w:p w14:paraId="6C0CED3E">
                  <w:pPr>
                    <w:pStyle w:val="6"/>
                    <w:spacing w:before="272" w:line="228" w:lineRule="auto"/>
                    <w:ind w:left="42"/>
                    <w:rPr>
                      <w:sz w:val="20"/>
                      <w:szCs w:val="20"/>
                    </w:rPr>
                  </w:pPr>
                  <w:r>
                    <w:rPr>
                      <w:spacing w:val="4"/>
                      <w:sz w:val="20"/>
                      <w:szCs w:val="20"/>
                    </w:rPr>
                    <w:t>类型</w:t>
                  </w:r>
                </w:p>
              </w:tc>
              <w:tc>
                <w:tcPr>
                  <w:tcW w:w="2553" w:type="dxa"/>
                  <w:gridSpan w:val="2"/>
                  <w:vAlign w:val="top"/>
                </w:tcPr>
                <w:p w14:paraId="6B18F825">
                  <w:pPr>
                    <w:pStyle w:val="6"/>
                    <w:spacing w:before="84" w:line="228" w:lineRule="auto"/>
                    <w:ind w:left="546"/>
                    <w:rPr>
                      <w:sz w:val="20"/>
                      <w:szCs w:val="20"/>
                    </w:rPr>
                  </w:pPr>
                  <w:r>
                    <w:rPr>
                      <w:spacing w:val="8"/>
                      <w:sz w:val="20"/>
                      <w:szCs w:val="20"/>
                    </w:rPr>
                    <w:t>排放口地理坐标</w:t>
                  </w:r>
                </w:p>
              </w:tc>
              <w:tc>
                <w:tcPr>
                  <w:tcW w:w="2774" w:type="dxa"/>
                  <w:vMerge w:val="restart"/>
                  <w:tcBorders>
                    <w:bottom w:val="nil"/>
                  </w:tcBorders>
                  <w:vAlign w:val="top"/>
                </w:tcPr>
                <w:p w14:paraId="575B3B63">
                  <w:pPr>
                    <w:pStyle w:val="6"/>
                    <w:spacing w:before="273" w:line="228" w:lineRule="auto"/>
                    <w:ind w:left="972"/>
                    <w:rPr>
                      <w:sz w:val="20"/>
                      <w:szCs w:val="20"/>
                    </w:rPr>
                  </w:pPr>
                  <w:r>
                    <w:rPr>
                      <w:spacing w:val="7"/>
                      <w:sz w:val="20"/>
                      <w:szCs w:val="20"/>
                    </w:rPr>
                    <w:t>排放标准</w:t>
                  </w:r>
                </w:p>
              </w:tc>
            </w:tr>
            <w:tr w14:paraId="28AFA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63" w:type="dxa"/>
                  <w:vMerge w:val="continue"/>
                  <w:tcBorders>
                    <w:top w:val="nil"/>
                  </w:tcBorders>
                  <w:vAlign w:val="top"/>
                </w:tcPr>
                <w:p w14:paraId="2E86F3C8">
                  <w:pPr>
                    <w:rPr>
                      <w:rFonts w:ascii="Arial"/>
                      <w:sz w:val="21"/>
                    </w:rPr>
                  </w:pPr>
                </w:p>
              </w:tc>
              <w:tc>
                <w:tcPr>
                  <w:tcW w:w="1027" w:type="dxa"/>
                  <w:vMerge w:val="continue"/>
                  <w:tcBorders>
                    <w:top w:val="nil"/>
                  </w:tcBorders>
                  <w:vAlign w:val="top"/>
                </w:tcPr>
                <w:p w14:paraId="2050F8DD">
                  <w:pPr>
                    <w:rPr>
                      <w:rFonts w:ascii="Arial"/>
                      <w:sz w:val="21"/>
                    </w:rPr>
                  </w:pPr>
                </w:p>
              </w:tc>
              <w:tc>
                <w:tcPr>
                  <w:tcW w:w="499" w:type="dxa"/>
                  <w:vMerge w:val="continue"/>
                  <w:tcBorders>
                    <w:top w:val="nil"/>
                  </w:tcBorders>
                  <w:vAlign w:val="top"/>
                </w:tcPr>
                <w:p w14:paraId="3615B15E">
                  <w:pPr>
                    <w:rPr>
                      <w:rFonts w:ascii="Arial"/>
                      <w:sz w:val="21"/>
                    </w:rPr>
                  </w:pPr>
                </w:p>
              </w:tc>
              <w:tc>
                <w:tcPr>
                  <w:tcW w:w="1354" w:type="dxa"/>
                  <w:vAlign w:val="top"/>
                </w:tcPr>
                <w:p w14:paraId="65345B90">
                  <w:pPr>
                    <w:pStyle w:val="6"/>
                    <w:spacing w:before="80" w:line="228" w:lineRule="auto"/>
                    <w:ind w:left="474"/>
                    <w:rPr>
                      <w:sz w:val="20"/>
                      <w:szCs w:val="20"/>
                    </w:rPr>
                  </w:pPr>
                  <w:r>
                    <w:rPr>
                      <w:spacing w:val="3"/>
                      <w:sz w:val="20"/>
                      <w:szCs w:val="20"/>
                    </w:rPr>
                    <w:t>经度</w:t>
                  </w:r>
                </w:p>
              </w:tc>
              <w:tc>
                <w:tcPr>
                  <w:tcW w:w="1199" w:type="dxa"/>
                  <w:vAlign w:val="top"/>
                </w:tcPr>
                <w:p w14:paraId="7377AAEC">
                  <w:pPr>
                    <w:pStyle w:val="6"/>
                    <w:spacing w:before="80" w:line="228" w:lineRule="auto"/>
                    <w:ind w:left="396"/>
                    <w:rPr>
                      <w:sz w:val="20"/>
                      <w:szCs w:val="20"/>
                    </w:rPr>
                  </w:pPr>
                  <w:r>
                    <w:rPr>
                      <w:spacing w:val="4"/>
                      <w:sz w:val="20"/>
                      <w:szCs w:val="20"/>
                    </w:rPr>
                    <w:t>纬度</w:t>
                  </w:r>
                </w:p>
              </w:tc>
              <w:tc>
                <w:tcPr>
                  <w:tcW w:w="2774" w:type="dxa"/>
                  <w:vMerge w:val="continue"/>
                  <w:tcBorders>
                    <w:top w:val="nil"/>
                  </w:tcBorders>
                  <w:vAlign w:val="top"/>
                </w:tcPr>
                <w:p w14:paraId="2FC662A8">
                  <w:pPr>
                    <w:rPr>
                      <w:rFonts w:ascii="Arial"/>
                      <w:sz w:val="21"/>
                    </w:rPr>
                  </w:pPr>
                </w:p>
              </w:tc>
            </w:tr>
            <w:tr w14:paraId="489F5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63" w:type="dxa"/>
                  <w:vAlign w:val="top"/>
                </w:tcPr>
                <w:p w14:paraId="60124A4C">
                  <w:pPr>
                    <w:spacing w:line="280" w:lineRule="auto"/>
                    <w:rPr>
                      <w:rFonts w:ascii="Arial"/>
                      <w:sz w:val="21"/>
                    </w:rPr>
                  </w:pPr>
                </w:p>
                <w:p w14:paraId="0652CB19">
                  <w:pPr>
                    <w:spacing w:before="58" w:line="195" w:lineRule="auto"/>
                    <w:ind w:left="99"/>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027" w:type="dxa"/>
                  <w:vAlign w:val="top"/>
                </w:tcPr>
                <w:p w14:paraId="76408DA8">
                  <w:pPr>
                    <w:pStyle w:val="6"/>
                    <w:spacing w:before="170" w:line="252" w:lineRule="auto"/>
                    <w:ind w:left="202" w:right="94" w:hanging="103"/>
                    <w:rPr>
                      <w:sz w:val="20"/>
                      <w:szCs w:val="20"/>
                    </w:rPr>
                  </w:pPr>
                  <w:r>
                    <w:rPr>
                      <w:spacing w:val="6"/>
                      <w:sz w:val="20"/>
                      <w:szCs w:val="20"/>
                    </w:rPr>
                    <w:t>生产废水</w:t>
                  </w:r>
                  <w:r>
                    <w:rPr>
                      <w:spacing w:val="2"/>
                      <w:sz w:val="20"/>
                      <w:szCs w:val="20"/>
                    </w:rPr>
                    <w:t xml:space="preserve"> </w:t>
                  </w:r>
                  <w:r>
                    <w:rPr>
                      <w:spacing w:val="6"/>
                      <w:sz w:val="20"/>
                      <w:szCs w:val="20"/>
                    </w:rPr>
                    <w:t>排放口</w:t>
                  </w:r>
                </w:p>
              </w:tc>
              <w:tc>
                <w:tcPr>
                  <w:tcW w:w="499" w:type="dxa"/>
                  <w:vAlign w:val="top"/>
                </w:tcPr>
                <w:p w14:paraId="69818A33">
                  <w:pPr>
                    <w:pStyle w:val="6"/>
                    <w:spacing w:before="33" w:line="229" w:lineRule="auto"/>
                    <w:ind w:left="46"/>
                    <w:rPr>
                      <w:sz w:val="20"/>
                      <w:szCs w:val="20"/>
                    </w:rPr>
                  </w:pPr>
                  <w:r>
                    <w:rPr>
                      <w:spacing w:val="3"/>
                      <w:sz w:val="20"/>
                      <w:szCs w:val="20"/>
                    </w:rPr>
                    <w:t>一般</w:t>
                  </w:r>
                </w:p>
                <w:p w14:paraId="400A6D26">
                  <w:pPr>
                    <w:pStyle w:val="6"/>
                    <w:spacing w:before="23" w:line="233" w:lineRule="auto"/>
                    <w:ind w:left="179" w:right="41" w:hanging="137"/>
                    <w:rPr>
                      <w:sz w:val="20"/>
                      <w:szCs w:val="20"/>
                    </w:rPr>
                  </w:pPr>
                  <w:r>
                    <w:rPr>
                      <w:spacing w:val="4"/>
                      <w:sz w:val="20"/>
                      <w:szCs w:val="20"/>
                    </w:rPr>
                    <w:t>排放</w:t>
                  </w:r>
                  <w:r>
                    <w:rPr>
                      <w:sz w:val="20"/>
                      <w:szCs w:val="20"/>
                    </w:rPr>
                    <w:t xml:space="preserve"> 口</w:t>
                  </w:r>
                </w:p>
              </w:tc>
              <w:tc>
                <w:tcPr>
                  <w:tcW w:w="1354" w:type="dxa"/>
                  <w:vAlign w:val="top"/>
                </w:tcPr>
                <w:p w14:paraId="7F70C940">
                  <w:pPr>
                    <w:spacing w:line="280" w:lineRule="auto"/>
                    <w:rPr>
                      <w:rFonts w:ascii="Arial"/>
                      <w:sz w:val="21"/>
                    </w:rPr>
                  </w:pPr>
                </w:p>
                <w:p w14:paraId="22221740">
                  <w:pPr>
                    <w:spacing w:before="58" w:line="195" w:lineRule="auto"/>
                    <w:ind w:left="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115°27′42.34″</w:t>
                  </w:r>
                </w:p>
              </w:tc>
              <w:tc>
                <w:tcPr>
                  <w:tcW w:w="1199" w:type="dxa"/>
                  <w:vAlign w:val="top"/>
                </w:tcPr>
                <w:p w14:paraId="6E4C91B4">
                  <w:pPr>
                    <w:spacing w:line="280" w:lineRule="auto"/>
                    <w:rPr>
                      <w:rFonts w:ascii="Arial"/>
                      <w:sz w:val="21"/>
                    </w:rPr>
                  </w:pPr>
                </w:p>
                <w:p w14:paraId="1326E340">
                  <w:pPr>
                    <w:spacing w:before="58" w:line="195" w:lineRule="auto"/>
                    <w:ind w:left="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22°57′40.36″</w:t>
                  </w:r>
                </w:p>
              </w:tc>
              <w:tc>
                <w:tcPr>
                  <w:tcW w:w="2774" w:type="dxa"/>
                  <w:vMerge w:val="restart"/>
                  <w:tcBorders>
                    <w:bottom w:val="nil"/>
                  </w:tcBorders>
                  <w:vAlign w:val="top"/>
                </w:tcPr>
                <w:p w14:paraId="10DC8B4D">
                  <w:pPr>
                    <w:spacing w:line="244" w:lineRule="auto"/>
                    <w:rPr>
                      <w:rFonts w:ascii="Arial"/>
                      <w:sz w:val="21"/>
                    </w:rPr>
                  </w:pPr>
                </w:p>
                <w:p w14:paraId="6A0DBDFA">
                  <w:pPr>
                    <w:pStyle w:val="6"/>
                    <w:spacing w:before="65" w:line="228" w:lineRule="auto"/>
                    <w:ind w:left="26"/>
                    <w:rPr>
                      <w:sz w:val="20"/>
                      <w:szCs w:val="20"/>
                    </w:rPr>
                  </w:pPr>
                  <w:r>
                    <w:rPr>
                      <w:spacing w:val="9"/>
                      <w:sz w:val="20"/>
                      <w:szCs w:val="20"/>
                    </w:rPr>
                    <w:t>广东省地方标准《水污染物排</w:t>
                  </w:r>
                </w:p>
                <w:p w14:paraId="626AD257">
                  <w:pPr>
                    <w:pStyle w:val="6"/>
                    <w:spacing w:before="24" w:line="228" w:lineRule="auto"/>
                    <w:ind w:left="26"/>
                    <w:rPr>
                      <w:sz w:val="20"/>
                      <w:szCs w:val="20"/>
                    </w:rPr>
                  </w:pPr>
                  <w:r>
                    <w:rPr>
                      <w:spacing w:val="7"/>
                      <w:sz w:val="20"/>
                      <w:szCs w:val="20"/>
                    </w:rPr>
                    <w:t>放限值》（</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44/26-2001</w:t>
                  </w:r>
                  <w:r>
                    <w:rPr>
                      <w:spacing w:val="7"/>
                      <w:sz w:val="20"/>
                      <w:szCs w:val="20"/>
                    </w:rPr>
                    <w:t>）第</w:t>
                  </w:r>
                </w:p>
                <w:p w14:paraId="298EEA61">
                  <w:pPr>
                    <w:pStyle w:val="6"/>
                    <w:spacing w:before="24" w:line="228" w:lineRule="auto"/>
                    <w:ind w:left="30"/>
                    <w:rPr>
                      <w:sz w:val="20"/>
                      <w:szCs w:val="20"/>
                    </w:rPr>
                  </w:pPr>
                  <w:r>
                    <w:rPr>
                      <w:spacing w:val="9"/>
                      <w:sz w:val="20"/>
                      <w:szCs w:val="20"/>
                    </w:rPr>
                    <w:t>二时段三级标准及可塘镇污水</w:t>
                  </w:r>
                </w:p>
                <w:p w14:paraId="0E064431">
                  <w:pPr>
                    <w:pStyle w:val="6"/>
                    <w:spacing w:before="26" w:line="228" w:lineRule="auto"/>
                    <w:ind w:left="136"/>
                    <w:rPr>
                      <w:sz w:val="20"/>
                      <w:szCs w:val="20"/>
                    </w:rPr>
                  </w:pPr>
                  <w:r>
                    <w:rPr>
                      <w:spacing w:val="8"/>
                      <w:sz w:val="20"/>
                      <w:szCs w:val="20"/>
                    </w:rPr>
                    <w:t>处理厂设计进水标准较严值</w:t>
                  </w:r>
                </w:p>
              </w:tc>
            </w:tr>
            <w:tr w14:paraId="6C05E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63" w:type="dxa"/>
                  <w:vAlign w:val="top"/>
                </w:tcPr>
                <w:p w14:paraId="46900871">
                  <w:pPr>
                    <w:spacing w:line="283" w:lineRule="auto"/>
                    <w:rPr>
                      <w:rFonts w:ascii="Arial"/>
                      <w:sz w:val="21"/>
                    </w:rPr>
                  </w:pPr>
                </w:p>
                <w:p w14:paraId="14349CF0">
                  <w:pPr>
                    <w:spacing w:before="58" w:line="195" w:lineRule="auto"/>
                    <w:ind w:left="99"/>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002</w:t>
                  </w:r>
                </w:p>
              </w:tc>
              <w:tc>
                <w:tcPr>
                  <w:tcW w:w="1027" w:type="dxa"/>
                  <w:vAlign w:val="top"/>
                </w:tcPr>
                <w:p w14:paraId="7ED4D6FA">
                  <w:pPr>
                    <w:pStyle w:val="6"/>
                    <w:spacing w:before="169" w:line="255" w:lineRule="auto"/>
                    <w:ind w:left="202" w:right="94" w:hanging="103"/>
                    <w:rPr>
                      <w:sz w:val="20"/>
                      <w:szCs w:val="20"/>
                    </w:rPr>
                  </w:pPr>
                  <w:r>
                    <w:rPr>
                      <w:spacing w:val="6"/>
                      <w:sz w:val="20"/>
                      <w:szCs w:val="20"/>
                    </w:rPr>
                    <w:t>生活污水</w:t>
                  </w:r>
                  <w:r>
                    <w:rPr>
                      <w:spacing w:val="2"/>
                      <w:sz w:val="20"/>
                      <w:szCs w:val="20"/>
                    </w:rPr>
                    <w:t xml:space="preserve"> </w:t>
                  </w:r>
                  <w:r>
                    <w:rPr>
                      <w:spacing w:val="6"/>
                      <w:sz w:val="20"/>
                      <w:szCs w:val="20"/>
                    </w:rPr>
                    <w:t>排放口</w:t>
                  </w:r>
                </w:p>
              </w:tc>
              <w:tc>
                <w:tcPr>
                  <w:tcW w:w="499" w:type="dxa"/>
                  <w:vAlign w:val="top"/>
                </w:tcPr>
                <w:p w14:paraId="17FA8D6C">
                  <w:pPr>
                    <w:pStyle w:val="6"/>
                    <w:spacing w:before="36" w:line="229" w:lineRule="auto"/>
                    <w:ind w:left="46"/>
                    <w:rPr>
                      <w:sz w:val="20"/>
                      <w:szCs w:val="20"/>
                    </w:rPr>
                  </w:pPr>
                  <w:r>
                    <w:rPr>
                      <w:spacing w:val="3"/>
                      <w:sz w:val="20"/>
                      <w:szCs w:val="20"/>
                    </w:rPr>
                    <w:t>一般</w:t>
                  </w:r>
                </w:p>
                <w:p w14:paraId="0C6A0BE9">
                  <w:pPr>
                    <w:pStyle w:val="6"/>
                    <w:spacing w:before="23" w:line="234" w:lineRule="auto"/>
                    <w:ind w:left="179" w:right="41" w:hanging="137"/>
                    <w:rPr>
                      <w:sz w:val="20"/>
                      <w:szCs w:val="20"/>
                    </w:rPr>
                  </w:pPr>
                  <w:r>
                    <w:rPr>
                      <w:spacing w:val="4"/>
                      <w:sz w:val="20"/>
                      <w:szCs w:val="20"/>
                    </w:rPr>
                    <w:t>排放</w:t>
                  </w:r>
                  <w:r>
                    <w:rPr>
                      <w:sz w:val="20"/>
                      <w:szCs w:val="20"/>
                    </w:rPr>
                    <w:t xml:space="preserve"> 口</w:t>
                  </w:r>
                </w:p>
              </w:tc>
              <w:tc>
                <w:tcPr>
                  <w:tcW w:w="1354" w:type="dxa"/>
                  <w:vAlign w:val="top"/>
                </w:tcPr>
                <w:p w14:paraId="352C6082">
                  <w:pPr>
                    <w:spacing w:line="283" w:lineRule="auto"/>
                    <w:rPr>
                      <w:rFonts w:ascii="Arial"/>
                      <w:sz w:val="21"/>
                    </w:rPr>
                  </w:pPr>
                </w:p>
                <w:p w14:paraId="5FAF9395">
                  <w:pPr>
                    <w:spacing w:before="58" w:line="195" w:lineRule="auto"/>
                    <w:ind w:left="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115°27′39.52″</w:t>
                  </w:r>
                </w:p>
              </w:tc>
              <w:tc>
                <w:tcPr>
                  <w:tcW w:w="1199" w:type="dxa"/>
                  <w:vAlign w:val="top"/>
                </w:tcPr>
                <w:p w14:paraId="4752701B">
                  <w:pPr>
                    <w:spacing w:line="283" w:lineRule="auto"/>
                    <w:rPr>
                      <w:rFonts w:ascii="Arial"/>
                      <w:sz w:val="21"/>
                    </w:rPr>
                  </w:pPr>
                </w:p>
                <w:p w14:paraId="78A08D4C">
                  <w:pPr>
                    <w:spacing w:before="58" w:line="195" w:lineRule="auto"/>
                    <w:ind w:left="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22°57′42.64″</w:t>
                  </w:r>
                </w:p>
              </w:tc>
              <w:tc>
                <w:tcPr>
                  <w:tcW w:w="2774" w:type="dxa"/>
                  <w:vMerge w:val="continue"/>
                  <w:tcBorders>
                    <w:top w:val="nil"/>
                  </w:tcBorders>
                  <w:vAlign w:val="top"/>
                </w:tcPr>
                <w:p w14:paraId="634B7663">
                  <w:pPr>
                    <w:rPr>
                      <w:rFonts w:ascii="Arial"/>
                      <w:sz w:val="21"/>
                    </w:rPr>
                  </w:pPr>
                </w:p>
              </w:tc>
            </w:tr>
          </w:tbl>
          <w:p w14:paraId="1C284933">
            <w:pPr>
              <w:rPr>
                <w:rFonts w:ascii="Arial"/>
                <w:sz w:val="21"/>
              </w:rPr>
            </w:pPr>
          </w:p>
        </w:tc>
      </w:tr>
    </w:tbl>
    <w:p w14:paraId="06F8A64B">
      <w:pPr>
        <w:rPr>
          <w:rFonts w:ascii="Arial"/>
          <w:sz w:val="21"/>
        </w:rPr>
      </w:pPr>
    </w:p>
    <w:p w14:paraId="2BA190F5">
      <w:pPr>
        <w:rPr>
          <w:rFonts w:ascii="Arial" w:hAnsi="Arial" w:eastAsia="Arial" w:cs="Arial"/>
          <w:sz w:val="21"/>
          <w:szCs w:val="21"/>
        </w:rPr>
        <w:sectPr>
          <w:footerReference r:id="rId93" w:type="default"/>
          <w:pgSz w:w="11907" w:h="16840"/>
          <w:pgMar w:top="400" w:right="1453" w:bottom="1240" w:left="1453" w:header="0" w:footer="1077" w:gutter="0"/>
          <w:cols w:space="720" w:num="1"/>
        </w:sectPr>
      </w:pPr>
    </w:p>
    <w:p w14:paraId="390B9474">
      <w:pPr>
        <w:spacing w:before="19"/>
      </w:pPr>
    </w:p>
    <w:p w14:paraId="301BB53D">
      <w:pPr>
        <w:spacing w:before="19"/>
      </w:pPr>
    </w:p>
    <w:p w14:paraId="1C2C0329">
      <w:pPr>
        <w:spacing w:before="19"/>
      </w:pPr>
    </w:p>
    <w:p w14:paraId="6DD5A1FC">
      <w:pPr>
        <w:spacing w:before="18"/>
      </w:pPr>
    </w:p>
    <w:p w14:paraId="6E4A63A5">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72107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3D16F1EB">
            <w:pPr>
              <w:rPr>
                <w:rFonts w:ascii="Arial"/>
                <w:sz w:val="21"/>
              </w:rPr>
            </w:pPr>
          </w:p>
        </w:tc>
        <w:tc>
          <w:tcPr>
            <w:tcW w:w="8381" w:type="dxa"/>
            <w:tcBorders>
              <w:left w:val="single" w:color="000000" w:sz="2" w:space="0"/>
            </w:tcBorders>
            <w:vAlign w:val="top"/>
          </w:tcPr>
          <w:p w14:paraId="71E0D628">
            <w:pPr>
              <w:pStyle w:val="6"/>
              <w:spacing w:before="159" w:line="221" w:lineRule="auto"/>
              <w:ind w:left="585"/>
            </w:pPr>
            <w:r>
              <w:rPr>
                <w:rFonts w:ascii="Times New Roman" w:hAnsi="Times New Roman" w:eastAsia="Times New Roman" w:cs="Times New Roman"/>
                <w:b/>
                <w:bCs/>
                <w:spacing w:val="-2"/>
              </w:rPr>
              <w:t xml:space="preserve">2.7 </w:t>
            </w:r>
            <w:r>
              <w:rPr>
                <w:b/>
                <w:bCs/>
                <w:spacing w:val="-2"/>
              </w:rPr>
              <w:t>监测计划</w:t>
            </w:r>
          </w:p>
          <w:p w14:paraId="2C232EFD">
            <w:pPr>
              <w:pStyle w:val="6"/>
              <w:spacing w:before="180" w:line="360" w:lineRule="auto"/>
              <w:ind w:left="112" w:right="41" w:firstLine="476"/>
            </w:pPr>
            <w:r>
              <w:rPr>
                <w:spacing w:val="-3"/>
              </w:rPr>
              <w:t>根据《排污单位自行监测技术指南 总则》（</w:t>
            </w:r>
            <w:r>
              <w:rPr>
                <w:rFonts w:ascii="Times New Roman" w:hAnsi="Times New Roman" w:eastAsia="Times New Roman" w:cs="Times New Roman"/>
                <w:spacing w:val="-3"/>
              </w:rPr>
              <w:t>HJ819-2017</w:t>
            </w:r>
            <w:r>
              <w:rPr>
                <w:spacing w:val="-3"/>
              </w:rPr>
              <w:t>）和《排污单位自</w:t>
            </w:r>
            <w:r>
              <w:rPr>
                <w:spacing w:val="4"/>
              </w:rPr>
              <w:t xml:space="preserve"> </w:t>
            </w:r>
            <w:r>
              <w:rPr>
                <w:spacing w:val="-4"/>
              </w:rPr>
              <w:t>行监测技术指南 水处理》（</w:t>
            </w:r>
            <w:r>
              <w:rPr>
                <w:rFonts w:ascii="Times New Roman" w:hAnsi="Times New Roman" w:eastAsia="Times New Roman" w:cs="Times New Roman"/>
                <w:spacing w:val="-4"/>
              </w:rPr>
              <w:t>HJ</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1083—2020</w:t>
            </w:r>
            <w:r>
              <w:rPr>
                <w:spacing w:val="-13"/>
              </w:rPr>
              <w:t>），</w:t>
            </w:r>
            <w:r>
              <w:rPr>
                <w:spacing w:val="-4"/>
              </w:rPr>
              <w:t>制定本项目废水监测计划如下：</w:t>
            </w:r>
          </w:p>
          <w:p w14:paraId="000DBC6E">
            <w:pPr>
              <w:pStyle w:val="6"/>
              <w:spacing w:before="117" w:line="219" w:lineRule="auto"/>
              <w:ind w:left="2618"/>
            </w:pPr>
            <w:r>
              <w:rPr>
                <w:b/>
                <w:bCs/>
                <w:spacing w:val="-2"/>
              </w:rPr>
              <w:t>表</w:t>
            </w:r>
            <w:r>
              <w:rPr>
                <w:spacing w:val="-53"/>
              </w:rPr>
              <w:t xml:space="preserve"> </w:t>
            </w:r>
            <w:r>
              <w:rPr>
                <w:rFonts w:ascii="Times New Roman" w:hAnsi="Times New Roman" w:eastAsia="Times New Roman" w:cs="Times New Roman"/>
                <w:b/>
                <w:bCs/>
                <w:spacing w:val="-2"/>
              </w:rPr>
              <w:t xml:space="preserve">4-22    </w:t>
            </w:r>
            <w:r>
              <w:rPr>
                <w:b/>
                <w:bCs/>
                <w:spacing w:val="-2"/>
              </w:rPr>
              <w:t>废水排放口基本情况</w:t>
            </w:r>
          </w:p>
          <w:p w14:paraId="6F5A3D14">
            <w:pPr>
              <w:spacing w:line="147" w:lineRule="exact"/>
            </w:pPr>
          </w:p>
          <w:tbl>
            <w:tblPr>
              <w:tblStyle w:val="5"/>
              <w:tblW w:w="8160"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835"/>
              <w:gridCol w:w="4216"/>
              <w:gridCol w:w="1258"/>
            </w:tblGrid>
            <w:tr w14:paraId="2A935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51" w:type="dxa"/>
                  <w:vAlign w:val="top"/>
                </w:tcPr>
                <w:p w14:paraId="0A4EBCA1">
                  <w:pPr>
                    <w:pStyle w:val="6"/>
                    <w:spacing w:before="35" w:line="228" w:lineRule="auto"/>
                    <w:ind w:left="222"/>
                    <w:rPr>
                      <w:sz w:val="20"/>
                      <w:szCs w:val="20"/>
                    </w:rPr>
                  </w:pPr>
                  <w:r>
                    <w:rPr>
                      <w:spacing w:val="3"/>
                      <w:sz w:val="20"/>
                      <w:szCs w:val="20"/>
                    </w:rPr>
                    <w:t>污水</w:t>
                  </w:r>
                </w:p>
                <w:p w14:paraId="1BDAB9BD">
                  <w:pPr>
                    <w:pStyle w:val="6"/>
                    <w:spacing w:before="25" w:line="217" w:lineRule="auto"/>
                    <w:ind w:left="220"/>
                    <w:rPr>
                      <w:sz w:val="20"/>
                      <w:szCs w:val="20"/>
                    </w:rPr>
                  </w:pPr>
                  <w:r>
                    <w:rPr>
                      <w:spacing w:val="4"/>
                      <w:sz w:val="20"/>
                      <w:szCs w:val="20"/>
                    </w:rPr>
                    <w:t>类型</w:t>
                  </w:r>
                </w:p>
              </w:tc>
              <w:tc>
                <w:tcPr>
                  <w:tcW w:w="1835" w:type="dxa"/>
                  <w:vAlign w:val="top"/>
                </w:tcPr>
                <w:p w14:paraId="4D2ED962">
                  <w:pPr>
                    <w:pStyle w:val="6"/>
                    <w:spacing w:before="170" w:line="229" w:lineRule="auto"/>
                    <w:ind w:left="503"/>
                    <w:rPr>
                      <w:sz w:val="20"/>
                      <w:szCs w:val="20"/>
                    </w:rPr>
                  </w:pPr>
                  <w:r>
                    <w:rPr>
                      <w:spacing w:val="7"/>
                      <w:sz w:val="20"/>
                      <w:szCs w:val="20"/>
                    </w:rPr>
                    <w:t>监测点位</w:t>
                  </w:r>
                </w:p>
              </w:tc>
              <w:tc>
                <w:tcPr>
                  <w:tcW w:w="4216" w:type="dxa"/>
                  <w:vAlign w:val="top"/>
                </w:tcPr>
                <w:p w14:paraId="60B0AECE">
                  <w:pPr>
                    <w:pStyle w:val="6"/>
                    <w:spacing w:before="171" w:line="228" w:lineRule="auto"/>
                    <w:ind w:left="1694"/>
                    <w:rPr>
                      <w:sz w:val="20"/>
                      <w:szCs w:val="20"/>
                    </w:rPr>
                  </w:pPr>
                  <w:r>
                    <w:rPr>
                      <w:spacing w:val="7"/>
                      <w:sz w:val="20"/>
                      <w:szCs w:val="20"/>
                    </w:rPr>
                    <w:t>监测因子</w:t>
                  </w:r>
                </w:p>
              </w:tc>
              <w:tc>
                <w:tcPr>
                  <w:tcW w:w="1258" w:type="dxa"/>
                  <w:vAlign w:val="top"/>
                </w:tcPr>
                <w:p w14:paraId="1C1FEC37">
                  <w:pPr>
                    <w:pStyle w:val="6"/>
                    <w:spacing w:before="170" w:line="228" w:lineRule="auto"/>
                    <w:ind w:left="214"/>
                    <w:rPr>
                      <w:sz w:val="20"/>
                      <w:szCs w:val="20"/>
                    </w:rPr>
                  </w:pPr>
                  <w:r>
                    <w:rPr>
                      <w:spacing w:val="7"/>
                      <w:sz w:val="20"/>
                      <w:szCs w:val="20"/>
                    </w:rPr>
                    <w:t>监测频次</w:t>
                  </w:r>
                </w:p>
              </w:tc>
            </w:tr>
            <w:tr w14:paraId="5FAF4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51" w:type="dxa"/>
                  <w:vMerge w:val="restart"/>
                  <w:tcBorders>
                    <w:bottom w:val="nil"/>
                  </w:tcBorders>
                  <w:vAlign w:val="top"/>
                </w:tcPr>
                <w:p w14:paraId="5011CA52">
                  <w:pPr>
                    <w:spacing w:line="257" w:lineRule="auto"/>
                    <w:rPr>
                      <w:rFonts w:ascii="Arial"/>
                      <w:sz w:val="21"/>
                    </w:rPr>
                  </w:pPr>
                </w:p>
                <w:p w14:paraId="244CF6EA">
                  <w:pPr>
                    <w:spacing w:line="257" w:lineRule="auto"/>
                    <w:rPr>
                      <w:rFonts w:ascii="Arial"/>
                      <w:sz w:val="21"/>
                    </w:rPr>
                  </w:pPr>
                </w:p>
                <w:p w14:paraId="327C921D">
                  <w:pPr>
                    <w:spacing w:line="257" w:lineRule="auto"/>
                    <w:rPr>
                      <w:rFonts w:ascii="Arial"/>
                      <w:sz w:val="21"/>
                    </w:rPr>
                  </w:pPr>
                </w:p>
                <w:p w14:paraId="08A10EC3">
                  <w:pPr>
                    <w:spacing w:line="257" w:lineRule="auto"/>
                    <w:rPr>
                      <w:rFonts w:ascii="Arial"/>
                      <w:sz w:val="21"/>
                    </w:rPr>
                  </w:pPr>
                </w:p>
                <w:p w14:paraId="53B512B0">
                  <w:pPr>
                    <w:pStyle w:val="6"/>
                    <w:spacing w:before="65" w:line="228" w:lineRule="auto"/>
                    <w:ind w:left="222"/>
                    <w:rPr>
                      <w:sz w:val="20"/>
                      <w:szCs w:val="20"/>
                    </w:rPr>
                  </w:pPr>
                  <w:r>
                    <w:rPr>
                      <w:spacing w:val="3"/>
                      <w:sz w:val="20"/>
                      <w:szCs w:val="20"/>
                    </w:rPr>
                    <w:t>生产</w:t>
                  </w:r>
                </w:p>
                <w:p w14:paraId="2687C049">
                  <w:pPr>
                    <w:pStyle w:val="6"/>
                    <w:spacing w:before="26" w:line="228" w:lineRule="auto"/>
                    <w:ind w:left="219"/>
                    <w:rPr>
                      <w:sz w:val="20"/>
                      <w:szCs w:val="20"/>
                    </w:rPr>
                  </w:pPr>
                  <w:r>
                    <w:rPr>
                      <w:spacing w:val="5"/>
                      <w:sz w:val="20"/>
                      <w:szCs w:val="20"/>
                    </w:rPr>
                    <w:t>废水</w:t>
                  </w:r>
                </w:p>
              </w:tc>
              <w:tc>
                <w:tcPr>
                  <w:tcW w:w="1835" w:type="dxa"/>
                  <w:vAlign w:val="top"/>
                </w:tcPr>
                <w:p w14:paraId="0220DD4D">
                  <w:pPr>
                    <w:pStyle w:val="6"/>
                    <w:spacing w:before="32" w:line="228" w:lineRule="auto"/>
                    <w:ind w:left="189"/>
                    <w:rPr>
                      <w:sz w:val="20"/>
                      <w:szCs w:val="20"/>
                    </w:rPr>
                  </w:pPr>
                  <w:r>
                    <w:rPr>
                      <w:spacing w:val="8"/>
                      <w:sz w:val="20"/>
                      <w:szCs w:val="20"/>
                    </w:rPr>
                    <w:t>生产废水处理设</w:t>
                  </w:r>
                </w:p>
                <w:p w14:paraId="336CB06F">
                  <w:pPr>
                    <w:pStyle w:val="6"/>
                    <w:spacing w:before="25" w:line="228" w:lineRule="auto"/>
                    <w:ind w:left="187"/>
                    <w:rPr>
                      <w:sz w:val="20"/>
                      <w:szCs w:val="20"/>
                    </w:rPr>
                  </w:pPr>
                  <w:r>
                    <w:rPr>
                      <w:spacing w:val="8"/>
                      <w:sz w:val="20"/>
                      <w:szCs w:val="20"/>
                    </w:rPr>
                    <w:t>施一级沉淀池出</w:t>
                  </w:r>
                </w:p>
                <w:p w14:paraId="21280EB6">
                  <w:pPr>
                    <w:pStyle w:val="6"/>
                    <w:spacing w:before="25" w:line="216" w:lineRule="auto"/>
                    <w:ind w:left="713"/>
                    <w:rPr>
                      <w:sz w:val="20"/>
                      <w:szCs w:val="20"/>
                    </w:rPr>
                  </w:pPr>
                  <w:r>
                    <w:rPr>
                      <w:spacing w:val="3"/>
                      <w:sz w:val="20"/>
                      <w:szCs w:val="20"/>
                    </w:rPr>
                    <w:t>水处</w:t>
                  </w:r>
                </w:p>
              </w:tc>
              <w:tc>
                <w:tcPr>
                  <w:tcW w:w="4216" w:type="dxa"/>
                  <w:vAlign w:val="top"/>
                </w:tcPr>
                <w:p w14:paraId="242FA241">
                  <w:pPr>
                    <w:pStyle w:val="6"/>
                    <w:spacing w:before="169" w:line="226" w:lineRule="auto"/>
                    <w:ind w:left="124"/>
                    <w:rPr>
                      <w:sz w:val="20"/>
                      <w:szCs w:val="20"/>
                    </w:rPr>
                  </w:pPr>
                  <w:r>
                    <w:rPr>
                      <w:spacing w:val="8"/>
                      <w:sz w:val="20"/>
                      <w:szCs w:val="20"/>
                    </w:rPr>
                    <w:t>总汞、总砷、总铍、总镉、总铬、六价铬、</w:t>
                  </w:r>
                </w:p>
                <w:p w14:paraId="3C4C87C3">
                  <w:pPr>
                    <w:pStyle w:val="6"/>
                    <w:spacing w:before="26" w:line="228" w:lineRule="auto"/>
                    <w:ind w:left="1279"/>
                    <w:rPr>
                      <w:sz w:val="20"/>
                      <w:szCs w:val="20"/>
                    </w:rPr>
                  </w:pPr>
                  <w:r>
                    <w:rPr>
                      <w:spacing w:val="7"/>
                      <w:sz w:val="20"/>
                      <w:szCs w:val="20"/>
                    </w:rPr>
                    <w:t>总铅、总镍、总银</w:t>
                  </w:r>
                </w:p>
              </w:tc>
              <w:tc>
                <w:tcPr>
                  <w:tcW w:w="1258" w:type="dxa"/>
                  <w:vAlign w:val="top"/>
                </w:tcPr>
                <w:p w14:paraId="673B5901">
                  <w:pPr>
                    <w:pStyle w:val="6"/>
                    <w:spacing w:before="303" w:line="228" w:lineRule="auto"/>
                    <w:ind w:left="359"/>
                    <w:rPr>
                      <w:sz w:val="20"/>
                      <w:szCs w:val="20"/>
                    </w:rPr>
                  </w:pPr>
                  <w:r>
                    <w:rPr>
                      <w:rFonts w:ascii="Times New Roman" w:hAnsi="Times New Roman" w:eastAsia="Times New Roman" w:cs="Times New Roman"/>
                      <w:sz w:val="20"/>
                      <w:szCs w:val="20"/>
                    </w:rPr>
                    <w:t>1</w:t>
                  </w:r>
                  <w:r>
                    <w:rPr>
                      <w:sz w:val="20"/>
                      <w:szCs w:val="20"/>
                    </w:rPr>
                    <w:t>次</w:t>
                  </w:r>
                  <w:r>
                    <w:rPr>
                      <w:rFonts w:ascii="Times New Roman" w:hAnsi="Times New Roman" w:eastAsia="Times New Roman" w:cs="Times New Roman"/>
                      <w:sz w:val="20"/>
                      <w:szCs w:val="20"/>
                    </w:rPr>
                    <w:t>/</w:t>
                  </w:r>
                  <w:r>
                    <w:rPr>
                      <w:sz w:val="20"/>
                      <w:szCs w:val="20"/>
                    </w:rPr>
                    <w:t>季</w:t>
                  </w:r>
                </w:p>
              </w:tc>
            </w:tr>
            <w:tr w14:paraId="6797D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1" w:type="dxa"/>
                  <w:vMerge w:val="continue"/>
                  <w:tcBorders>
                    <w:top w:val="nil"/>
                    <w:bottom w:val="nil"/>
                  </w:tcBorders>
                  <w:vAlign w:val="top"/>
                </w:tcPr>
                <w:p w14:paraId="2AB4999D">
                  <w:pPr>
                    <w:rPr>
                      <w:rFonts w:ascii="Arial"/>
                      <w:sz w:val="21"/>
                    </w:rPr>
                  </w:pPr>
                </w:p>
              </w:tc>
              <w:tc>
                <w:tcPr>
                  <w:tcW w:w="1835" w:type="dxa"/>
                  <w:vMerge w:val="restart"/>
                  <w:tcBorders>
                    <w:bottom w:val="nil"/>
                  </w:tcBorders>
                  <w:vAlign w:val="top"/>
                </w:tcPr>
                <w:p w14:paraId="0098DBD0">
                  <w:pPr>
                    <w:spacing w:line="251" w:lineRule="auto"/>
                    <w:rPr>
                      <w:rFonts w:ascii="Arial"/>
                      <w:sz w:val="21"/>
                    </w:rPr>
                  </w:pPr>
                </w:p>
                <w:p w14:paraId="767C64AD">
                  <w:pPr>
                    <w:spacing w:line="251" w:lineRule="auto"/>
                    <w:rPr>
                      <w:rFonts w:ascii="Arial"/>
                      <w:sz w:val="21"/>
                    </w:rPr>
                  </w:pPr>
                </w:p>
                <w:p w14:paraId="7DD7AD60">
                  <w:pPr>
                    <w:spacing w:line="252" w:lineRule="auto"/>
                    <w:rPr>
                      <w:rFonts w:ascii="Arial"/>
                      <w:sz w:val="21"/>
                    </w:rPr>
                  </w:pPr>
                </w:p>
                <w:p w14:paraId="5ED59B2B">
                  <w:pPr>
                    <w:pStyle w:val="6"/>
                    <w:spacing w:before="65" w:line="228" w:lineRule="auto"/>
                    <w:ind w:left="189"/>
                    <w:rPr>
                      <w:sz w:val="20"/>
                      <w:szCs w:val="20"/>
                    </w:rPr>
                  </w:pPr>
                  <w:r>
                    <w:rPr>
                      <w:spacing w:val="8"/>
                      <w:sz w:val="20"/>
                      <w:szCs w:val="20"/>
                    </w:rPr>
                    <w:t>生产废水排放口</w:t>
                  </w:r>
                </w:p>
              </w:tc>
              <w:tc>
                <w:tcPr>
                  <w:tcW w:w="4216" w:type="dxa"/>
                  <w:vAlign w:val="top"/>
                </w:tcPr>
                <w:p w14:paraId="5EBA0A0B">
                  <w:pPr>
                    <w:pStyle w:val="6"/>
                    <w:spacing w:before="169" w:line="221" w:lineRule="auto"/>
                    <w:ind w:left="621"/>
                    <w:rPr>
                      <w:sz w:val="20"/>
                      <w:szCs w:val="20"/>
                    </w:rPr>
                  </w:pPr>
                  <w:r>
                    <w:rPr>
                      <w:spacing w:val="8"/>
                      <w:sz w:val="20"/>
                      <w:szCs w:val="20"/>
                    </w:rPr>
                    <w:t>流量、</w:t>
                  </w:r>
                  <w:r>
                    <w:rPr>
                      <w:rFonts w:ascii="Times New Roman" w:hAnsi="Times New Roman" w:eastAsia="Times New Roman" w:cs="Times New Roman"/>
                      <w:sz w:val="20"/>
                      <w:szCs w:val="20"/>
                    </w:rPr>
                    <w:t>pH</w:t>
                  </w:r>
                  <w:r>
                    <w:rPr>
                      <w:rFonts w:ascii="Times New Roman" w:hAnsi="Times New Roman" w:eastAsia="Times New Roman" w:cs="Times New Roman"/>
                      <w:spacing w:val="-26"/>
                      <w:sz w:val="20"/>
                      <w:szCs w:val="20"/>
                    </w:rPr>
                    <w:t xml:space="preserve"> </w:t>
                  </w:r>
                  <w:r>
                    <w:rPr>
                      <w:spacing w:val="8"/>
                      <w:sz w:val="20"/>
                      <w:szCs w:val="20"/>
                    </w:rPr>
                    <w:t>、化学需氧量、氟化物</w:t>
                  </w:r>
                </w:p>
              </w:tc>
              <w:tc>
                <w:tcPr>
                  <w:tcW w:w="1258" w:type="dxa"/>
                  <w:vAlign w:val="top"/>
                </w:tcPr>
                <w:p w14:paraId="0973169B">
                  <w:pPr>
                    <w:pStyle w:val="6"/>
                    <w:spacing w:before="32" w:line="228" w:lineRule="auto"/>
                    <w:ind w:left="114"/>
                    <w:rPr>
                      <w:sz w:val="20"/>
                      <w:szCs w:val="20"/>
                    </w:rPr>
                  </w:pPr>
                  <w:r>
                    <w:rPr>
                      <w:spacing w:val="6"/>
                      <w:sz w:val="20"/>
                      <w:szCs w:val="20"/>
                    </w:rPr>
                    <w:t>在线监测，</w:t>
                  </w:r>
                </w:p>
                <w:p w14:paraId="037DC592">
                  <w:pPr>
                    <w:pStyle w:val="6"/>
                    <w:spacing w:before="26" w:line="215" w:lineRule="auto"/>
                    <w:ind w:left="254"/>
                    <w:rPr>
                      <w:sz w:val="20"/>
                      <w:szCs w:val="20"/>
                    </w:rPr>
                  </w:pPr>
                  <w:r>
                    <w:rPr>
                      <w:rFonts w:ascii="Times New Roman" w:hAnsi="Times New Roman" w:eastAsia="Times New Roman" w:cs="Times New Roman"/>
                      <w:spacing w:val="1"/>
                      <w:sz w:val="20"/>
                      <w:szCs w:val="20"/>
                    </w:rPr>
                    <w:t>1</w:t>
                  </w:r>
                  <w:r>
                    <w:rPr>
                      <w:spacing w:val="1"/>
                      <w:sz w:val="20"/>
                      <w:szCs w:val="20"/>
                    </w:rPr>
                    <w:t>次</w:t>
                  </w:r>
                  <w:r>
                    <w:rPr>
                      <w:rFonts w:ascii="Times New Roman" w:hAnsi="Times New Roman" w:eastAsia="Times New Roman" w:cs="Times New Roman"/>
                      <w:spacing w:val="1"/>
                      <w:sz w:val="20"/>
                      <w:szCs w:val="20"/>
                    </w:rPr>
                    <w:t>/</w:t>
                  </w:r>
                  <w:r>
                    <w:rPr>
                      <w:spacing w:val="1"/>
                      <w:sz w:val="20"/>
                      <w:szCs w:val="20"/>
                    </w:rPr>
                    <w:t>小时</w:t>
                  </w:r>
                </w:p>
              </w:tc>
            </w:tr>
            <w:tr w14:paraId="00C09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51" w:type="dxa"/>
                  <w:vMerge w:val="continue"/>
                  <w:tcBorders>
                    <w:top w:val="nil"/>
                    <w:bottom w:val="nil"/>
                  </w:tcBorders>
                  <w:vAlign w:val="top"/>
                </w:tcPr>
                <w:p w14:paraId="663AF5FE">
                  <w:pPr>
                    <w:rPr>
                      <w:rFonts w:ascii="Arial"/>
                      <w:sz w:val="21"/>
                    </w:rPr>
                  </w:pPr>
                </w:p>
              </w:tc>
              <w:tc>
                <w:tcPr>
                  <w:tcW w:w="1835" w:type="dxa"/>
                  <w:vMerge w:val="continue"/>
                  <w:tcBorders>
                    <w:top w:val="nil"/>
                    <w:bottom w:val="nil"/>
                  </w:tcBorders>
                  <w:vAlign w:val="top"/>
                </w:tcPr>
                <w:p w14:paraId="5953B367">
                  <w:pPr>
                    <w:rPr>
                      <w:rFonts w:ascii="Arial"/>
                      <w:sz w:val="21"/>
                    </w:rPr>
                  </w:pPr>
                </w:p>
              </w:tc>
              <w:tc>
                <w:tcPr>
                  <w:tcW w:w="4216" w:type="dxa"/>
                  <w:vAlign w:val="top"/>
                </w:tcPr>
                <w:p w14:paraId="7B17211F">
                  <w:pPr>
                    <w:pStyle w:val="6"/>
                    <w:spacing w:before="82" w:line="227" w:lineRule="auto"/>
                    <w:ind w:left="122"/>
                    <w:rPr>
                      <w:sz w:val="20"/>
                      <w:szCs w:val="20"/>
                    </w:rPr>
                  </w:pPr>
                  <w:r>
                    <w:rPr>
                      <w:spacing w:val="9"/>
                      <w:sz w:val="20"/>
                      <w:szCs w:val="20"/>
                    </w:rPr>
                    <w:t>五日生化需氧量、悬浮物、氨氮、总氮、总</w:t>
                  </w:r>
                </w:p>
                <w:p w14:paraId="4145569B">
                  <w:pPr>
                    <w:pStyle w:val="6"/>
                    <w:spacing w:before="24" w:line="228" w:lineRule="auto"/>
                    <w:ind w:left="2008"/>
                    <w:rPr>
                      <w:sz w:val="20"/>
                      <w:szCs w:val="20"/>
                    </w:rPr>
                  </w:pPr>
                  <w:r>
                    <w:rPr>
                      <w:sz w:val="20"/>
                      <w:szCs w:val="20"/>
                    </w:rPr>
                    <w:t>磷</w:t>
                  </w:r>
                </w:p>
              </w:tc>
              <w:tc>
                <w:tcPr>
                  <w:tcW w:w="1258" w:type="dxa"/>
                  <w:vAlign w:val="top"/>
                </w:tcPr>
                <w:p w14:paraId="0B47D550">
                  <w:pPr>
                    <w:pStyle w:val="6"/>
                    <w:spacing w:before="219" w:line="228" w:lineRule="auto"/>
                    <w:ind w:left="359"/>
                    <w:rPr>
                      <w:sz w:val="20"/>
                      <w:szCs w:val="20"/>
                    </w:rPr>
                  </w:pPr>
                  <w:r>
                    <w:rPr>
                      <w:rFonts w:ascii="Times New Roman" w:hAnsi="Times New Roman" w:eastAsia="Times New Roman" w:cs="Times New Roman"/>
                      <w:sz w:val="20"/>
                      <w:szCs w:val="20"/>
                    </w:rPr>
                    <w:t>1</w:t>
                  </w:r>
                  <w:r>
                    <w:rPr>
                      <w:sz w:val="20"/>
                      <w:szCs w:val="20"/>
                    </w:rPr>
                    <w:t>次</w:t>
                  </w:r>
                  <w:r>
                    <w:rPr>
                      <w:rFonts w:ascii="Times New Roman" w:hAnsi="Times New Roman" w:eastAsia="Times New Roman" w:cs="Times New Roman"/>
                      <w:sz w:val="20"/>
                      <w:szCs w:val="20"/>
                    </w:rPr>
                    <w:t>/</w:t>
                  </w:r>
                  <w:r>
                    <w:rPr>
                      <w:sz w:val="20"/>
                      <w:szCs w:val="20"/>
                    </w:rPr>
                    <w:t>季</w:t>
                  </w:r>
                </w:p>
              </w:tc>
            </w:tr>
            <w:tr w14:paraId="7BDEB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51" w:type="dxa"/>
                  <w:vMerge w:val="continue"/>
                  <w:tcBorders>
                    <w:top w:val="nil"/>
                  </w:tcBorders>
                  <w:vAlign w:val="top"/>
                </w:tcPr>
                <w:p w14:paraId="3CE85DCD">
                  <w:pPr>
                    <w:rPr>
                      <w:rFonts w:ascii="Arial"/>
                      <w:sz w:val="21"/>
                    </w:rPr>
                  </w:pPr>
                </w:p>
              </w:tc>
              <w:tc>
                <w:tcPr>
                  <w:tcW w:w="1835" w:type="dxa"/>
                  <w:vMerge w:val="continue"/>
                  <w:tcBorders>
                    <w:top w:val="nil"/>
                  </w:tcBorders>
                  <w:vAlign w:val="top"/>
                </w:tcPr>
                <w:p w14:paraId="0AF1AD04">
                  <w:pPr>
                    <w:rPr>
                      <w:rFonts w:ascii="Arial"/>
                      <w:sz w:val="21"/>
                    </w:rPr>
                  </w:pPr>
                </w:p>
              </w:tc>
              <w:tc>
                <w:tcPr>
                  <w:tcW w:w="4216" w:type="dxa"/>
                  <w:vAlign w:val="top"/>
                </w:tcPr>
                <w:p w14:paraId="50AA1E8E">
                  <w:pPr>
                    <w:pStyle w:val="6"/>
                    <w:spacing w:before="83" w:line="228" w:lineRule="auto"/>
                    <w:ind w:left="118"/>
                    <w:rPr>
                      <w:sz w:val="20"/>
                      <w:szCs w:val="20"/>
                    </w:rPr>
                  </w:pPr>
                  <w:r>
                    <w:rPr>
                      <w:spacing w:val="9"/>
                      <w:sz w:val="20"/>
                      <w:szCs w:val="20"/>
                    </w:rPr>
                    <w:t>硫化物、硫酸盐、总铜、总锌、总铝、总锰</w:t>
                  </w:r>
                </w:p>
                <w:p w14:paraId="535791B0">
                  <w:pPr>
                    <w:pStyle w:val="6"/>
                    <w:spacing w:before="26" w:line="228" w:lineRule="auto"/>
                    <w:ind w:left="973"/>
                    <w:rPr>
                      <w:sz w:val="20"/>
                      <w:szCs w:val="20"/>
                    </w:rPr>
                  </w:pPr>
                  <w:r>
                    <w:rPr>
                      <w:spacing w:val="7"/>
                      <w:sz w:val="20"/>
                      <w:szCs w:val="20"/>
                    </w:rPr>
                    <w:t>、氯离子、色度、氯化物</w:t>
                  </w:r>
                </w:p>
              </w:tc>
              <w:tc>
                <w:tcPr>
                  <w:tcW w:w="1258" w:type="dxa"/>
                  <w:vAlign w:val="top"/>
                </w:tcPr>
                <w:p w14:paraId="31B5B3F3">
                  <w:pPr>
                    <w:pStyle w:val="6"/>
                    <w:spacing w:before="219" w:line="228" w:lineRule="auto"/>
                    <w:ind w:left="359"/>
                    <w:rPr>
                      <w:sz w:val="20"/>
                      <w:szCs w:val="20"/>
                    </w:rPr>
                  </w:pPr>
                  <w:r>
                    <w:rPr>
                      <w:rFonts w:ascii="Times New Roman" w:hAnsi="Times New Roman" w:eastAsia="Times New Roman" w:cs="Times New Roman"/>
                      <w:sz w:val="20"/>
                      <w:szCs w:val="20"/>
                    </w:rPr>
                    <w:t>1</w:t>
                  </w:r>
                  <w:r>
                    <w:rPr>
                      <w:sz w:val="20"/>
                      <w:szCs w:val="20"/>
                    </w:rPr>
                    <w:t>次</w:t>
                  </w:r>
                  <w:r>
                    <w:rPr>
                      <w:rFonts w:ascii="Times New Roman" w:hAnsi="Times New Roman" w:eastAsia="Times New Roman" w:cs="Times New Roman"/>
                      <w:sz w:val="20"/>
                      <w:szCs w:val="20"/>
                    </w:rPr>
                    <w:t>/</w:t>
                  </w:r>
                  <w:r>
                    <w:rPr>
                      <w:sz w:val="20"/>
                      <w:szCs w:val="20"/>
                    </w:rPr>
                    <w:t>年</w:t>
                  </w:r>
                </w:p>
              </w:tc>
            </w:tr>
            <w:tr w14:paraId="34C61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51" w:type="dxa"/>
                  <w:vAlign w:val="top"/>
                </w:tcPr>
                <w:p w14:paraId="581FF488">
                  <w:pPr>
                    <w:pStyle w:val="6"/>
                    <w:spacing w:before="86" w:line="228" w:lineRule="auto"/>
                    <w:ind w:left="222"/>
                    <w:rPr>
                      <w:sz w:val="20"/>
                      <w:szCs w:val="20"/>
                    </w:rPr>
                  </w:pPr>
                  <w:r>
                    <w:rPr>
                      <w:spacing w:val="3"/>
                      <w:sz w:val="20"/>
                      <w:szCs w:val="20"/>
                    </w:rPr>
                    <w:t>生活</w:t>
                  </w:r>
                </w:p>
                <w:p w14:paraId="7C605067">
                  <w:pPr>
                    <w:pStyle w:val="6"/>
                    <w:spacing w:before="23" w:line="228" w:lineRule="auto"/>
                    <w:ind w:left="219"/>
                    <w:rPr>
                      <w:sz w:val="20"/>
                      <w:szCs w:val="20"/>
                    </w:rPr>
                  </w:pPr>
                  <w:r>
                    <w:rPr>
                      <w:spacing w:val="5"/>
                      <w:sz w:val="20"/>
                      <w:szCs w:val="20"/>
                    </w:rPr>
                    <w:t>废水</w:t>
                  </w:r>
                </w:p>
              </w:tc>
              <w:tc>
                <w:tcPr>
                  <w:tcW w:w="1835" w:type="dxa"/>
                  <w:vAlign w:val="top"/>
                </w:tcPr>
                <w:p w14:paraId="1E3D3D20">
                  <w:pPr>
                    <w:pStyle w:val="6"/>
                    <w:spacing w:before="219" w:line="228" w:lineRule="auto"/>
                    <w:ind w:left="189"/>
                    <w:rPr>
                      <w:sz w:val="20"/>
                      <w:szCs w:val="20"/>
                    </w:rPr>
                  </w:pPr>
                  <w:r>
                    <w:rPr>
                      <w:spacing w:val="8"/>
                      <w:sz w:val="20"/>
                      <w:szCs w:val="20"/>
                    </w:rPr>
                    <w:t>生活污水排放口</w:t>
                  </w:r>
                </w:p>
              </w:tc>
              <w:tc>
                <w:tcPr>
                  <w:tcW w:w="4216" w:type="dxa"/>
                  <w:vAlign w:val="top"/>
                </w:tcPr>
                <w:p w14:paraId="10CF63BD">
                  <w:pPr>
                    <w:pStyle w:val="6"/>
                    <w:spacing w:before="220" w:line="227" w:lineRule="auto"/>
                    <w:ind w:left="1274"/>
                    <w:rPr>
                      <w:sz w:val="20"/>
                      <w:szCs w:val="20"/>
                    </w:rPr>
                  </w:pPr>
                  <w:r>
                    <w:rPr>
                      <w:spacing w:val="8"/>
                      <w:sz w:val="20"/>
                      <w:szCs w:val="20"/>
                    </w:rPr>
                    <w:t>化学需氧量、氨氮</w:t>
                  </w:r>
                </w:p>
              </w:tc>
              <w:tc>
                <w:tcPr>
                  <w:tcW w:w="1258" w:type="dxa"/>
                  <w:vAlign w:val="top"/>
                </w:tcPr>
                <w:p w14:paraId="124F222D">
                  <w:pPr>
                    <w:pStyle w:val="6"/>
                    <w:spacing w:before="219" w:line="228" w:lineRule="auto"/>
                    <w:ind w:left="359"/>
                    <w:rPr>
                      <w:sz w:val="20"/>
                      <w:szCs w:val="20"/>
                    </w:rPr>
                  </w:pPr>
                  <w:r>
                    <w:rPr>
                      <w:rFonts w:ascii="Times New Roman" w:hAnsi="Times New Roman" w:eastAsia="Times New Roman" w:cs="Times New Roman"/>
                      <w:sz w:val="20"/>
                      <w:szCs w:val="20"/>
                    </w:rPr>
                    <w:t>1</w:t>
                  </w:r>
                  <w:r>
                    <w:rPr>
                      <w:sz w:val="20"/>
                      <w:szCs w:val="20"/>
                    </w:rPr>
                    <w:t>次</w:t>
                  </w:r>
                  <w:r>
                    <w:rPr>
                      <w:rFonts w:ascii="Times New Roman" w:hAnsi="Times New Roman" w:eastAsia="Times New Roman" w:cs="Times New Roman"/>
                      <w:sz w:val="20"/>
                      <w:szCs w:val="20"/>
                    </w:rPr>
                    <w:t>/</w:t>
                  </w:r>
                  <w:r>
                    <w:rPr>
                      <w:sz w:val="20"/>
                      <w:szCs w:val="20"/>
                    </w:rPr>
                    <w:t>年</w:t>
                  </w:r>
                </w:p>
              </w:tc>
            </w:tr>
          </w:tbl>
          <w:p w14:paraId="09A81C86">
            <w:pPr>
              <w:pStyle w:val="6"/>
              <w:spacing w:before="155" w:line="219" w:lineRule="auto"/>
              <w:ind w:left="585"/>
            </w:pPr>
            <w:r>
              <w:rPr>
                <w:rFonts w:ascii="Times New Roman" w:hAnsi="Times New Roman" w:eastAsia="Times New Roman" w:cs="Times New Roman"/>
                <w:b/>
                <w:bCs/>
                <w:spacing w:val="-2"/>
              </w:rPr>
              <w:t xml:space="preserve">2.8 </w:t>
            </w:r>
            <w:r>
              <w:rPr>
                <w:b/>
                <w:bCs/>
                <w:spacing w:val="-2"/>
              </w:rPr>
              <w:t>对可塘镇污水处理厂的影响</w:t>
            </w:r>
          </w:p>
          <w:p w14:paraId="4E74BBF4">
            <w:pPr>
              <w:pStyle w:val="6"/>
              <w:spacing w:before="182" w:line="360" w:lineRule="auto"/>
              <w:ind w:left="110" w:right="101" w:firstLine="479"/>
              <w:jc w:val="both"/>
            </w:pPr>
            <w:r>
              <w:t>根据上述分析，本项目外排生产废水约</w:t>
            </w:r>
            <w:r>
              <w:rPr>
                <w:spacing w:val="-42"/>
              </w:rPr>
              <w:t xml:space="preserve"> </w:t>
            </w:r>
            <w:r>
              <w:rPr>
                <w:rFonts w:ascii="Times New Roman" w:hAnsi="Times New Roman" w:eastAsia="Times New Roman" w:cs="Times New Roman"/>
              </w:rPr>
              <w:t>515.716t/d</w:t>
            </w:r>
            <w:r>
              <w:rPr>
                <w:rFonts w:ascii="Times New Roman" w:hAnsi="Times New Roman" w:eastAsia="Times New Roman" w:cs="Times New Roman"/>
                <w:spacing w:val="-29"/>
              </w:rPr>
              <w:t xml:space="preserve"> </w:t>
            </w:r>
            <w:r>
              <w:t>，</w:t>
            </w:r>
            <w:r>
              <w:rPr>
                <w:spacing w:val="-66"/>
              </w:rPr>
              <w:t xml:space="preserve"> </w:t>
            </w:r>
            <w:r>
              <w:t xml:space="preserve">占可塘污水厂可接纳 </w:t>
            </w:r>
            <w:r>
              <w:rPr>
                <w:spacing w:val="-5"/>
              </w:rPr>
              <w:t>的工业废水量的</w:t>
            </w:r>
            <w:r>
              <w:rPr>
                <w:spacing w:val="-56"/>
              </w:rPr>
              <w:t xml:space="preserve"> </w:t>
            </w:r>
            <w:r>
              <w:rPr>
                <w:rFonts w:ascii="Times New Roman" w:hAnsi="Times New Roman" w:eastAsia="Times New Roman" w:cs="Times New Roman"/>
                <w:spacing w:val="-5"/>
              </w:rPr>
              <w:t>4.46~</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17.9%</w:t>
            </w:r>
            <w:r>
              <w:rPr>
                <w:rFonts w:ascii="Times New Roman" w:hAnsi="Times New Roman" w:eastAsia="Times New Roman" w:cs="Times New Roman"/>
                <w:spacing w:val="-32"/>
              </w:rPr>
              <w:t xml:space="preserve"> </w:t>
            </w:r>
            <w:r>
              <w:rPr>
                <w:spacing w:val="-5"/>
              </w:rPr>
              <w:t>，占可塘污水厂设计处理能力的</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spacing w:val="-5"/>
              </w:rPr>
              <w:t>，对污水厂的</w:t>
            </w:r>
            <w:r>
              <w:t xml:space="preserve"> </w:t>
            </w:r>
            <w:r>
              <w:rPr>
                <w:spacing w:val="20"/>
              </w:rPr>
              <w:t>冲击影响很小</w:t>
            </w:r>
            <w:r>
              <w:rPr>
                <w:spacing w:val="-67"/>
              </w:rPr>
              <w:t xml:space="preserve"> </w:t>
            </w:r>
            <w:r>
              <w:rPr>
                <w:spacing w:val="20"/>
              </w:rPr>
              <w:t>，污水厂的出水低于《</w:t>
            </w:r>
            <w:r>
              <w:rPr>
                <w:spacing w:val="-63"/>
              </w:rPr>
              <w:t xml:space="preserve"> </w:t>
            </w:r>
            <w:r>
              <w:rPr>
                <w:spacing w:val="20"/>
              </w:rPr>
              <w:t>城镇污</w:t>
            </w:r>
            <w:r>
              <w:rPr>
                <w:spacing w:val="19"/>
              </w:rPr>
              <w:t>水处理厂污染物排放标准》</w:t>
            </w:r>
            <w: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1"/>
              </w:rPr>
              <w:t xml:space="preserve">18918-2002 </w:t>
            </w:r>
            <w:r>
              <w:rPr>
                <w:spacing w:val="11"/>
              </w:rPr>
              <w:t>）一级</w:t>
            </w:r>
            <w:r>
              <w:rPr>
                <w:spacing w:val="-34"/>
              </w:rPr>
              <w:t xml:space="preserve"> </w:t>
            </w:r>
            <w:r>
              <w:rPr>
                <w:rFonts w:ascii="Times New Roman" w:hAnsi="Times New Roman" w:eastAsia="Times New Roman" w:cs="Times New Roman"/>
                <w:spacing w:val="11"/>
              </w:rPr>
              <w:t>A</w:t>
            </w:r>
            <w:r>
              <w:rPr>
                <w:rFonts w:ascii="Times New Roman" w:hAnsi="Times New Roman" w:eastAsia="Times New Roman" w:cs="Times New Roman"/>
                <w:spacing w:val="34"/>
                <w:w w:val="101"/>
              </w:rPr>
              <w:t xml:space="preserve"> </w:t>
            </w:r>
            <w:r>
              <w:rPr>
                <w:spacing w:val="11"/>
              </w:rPr>
              <w:t>标准及广东</w:t>
            </w:r>
            <w:r>
              <w:rPr>
                <w:spacing w:val="10"/>
              </w:rPr>
              <w:t>省地方标准《</w:t>
            </w:r>
            <w:r>
              <w:rPr>
                <w:spacing w:val="-61"/>
              </w:rPr>
              <w:t xml:space="preserve"> </w:t>
            </w:r>
            <w:r>
              <w:rPr>
                <w:spacing w:val="10"/>
              </w:rPr>
              <w:t>水污染物排放</w:t>
            </w:r>
            <w:r>
              <w:rPr>
                <w:spacing w:val="-69"/>
              </w:rPr>
              <w:t xml:space="preserve"> </w:t>
            </w:r>
            <w:r>
              <w:rPr>
                <w:spacing w:val="10"/>
              </w:rPr>
              <w:t>限值》</w:t>
            </w:r>
            <w:r>
              <w:t xml:space="preserve"> </w:t>
            </w:r>
            <w:r>
              <w:rPr>
                <w:spacing w:val="-1"/>
              </w:rPr>
              <w:t>（</w:t>
            </w:r>
            <w:r>
              <w:rPr>
                <w:rFonts w:ascii="Times New Roman" w:hAnsi="Times New Roman" w:eastAsia="Times New Roman" w:cs="Times New Roman"/>
                <w:spacing w:val="-1"/>
              </w:rPr>
              <w:t>DB44/26-2001</w:t>
            </w:r>
            <w:r>
              <w:rPr>
                <w:spacing w:val="-1"/>
              </w:rPr>
              <w:t>）第二时段一级标准的较严值。</w:t>
            </w:r>
          </w:p>
          <w:p w14:paraId="439E543C">
            <w:pPr>
              <w:pStyle w:val="6"/>
              <w:spacing w:before="116" w:line="219" w:lineRule="auto"/>
              <w:ind w:left="585"/>
            </w:pPr>
            <w:r>
              <w:rPr>
                <w:rFonts w:ascii="Times New Roman" w:hAnsi="Times New Roman" w:eastAsia="Times New Roman" w:cs="Times New Roman"/>
                <w:b/>
                <w:bCs/>
                <w:spacing w:val="-2"/>
              </w:rPr>
              <w:t xml:space="preserve">2.9 </w:t>
            </w:r>
            <w:r>
              <w:rPr>
                <w:b/>
                <w:bCs/>
                <w:spacing w:val="-2"/>
              </w:rPr>
              <w:t>对东溪河水质的影响</w:t>
            </w:r>
          </w:p>
          <w:p w14:paraId="69168E27">
            <w:pPr>
              <w:pStyle w:val="6"/>
              <w:spacing w:before="182" w:line="359" w:lineRule="auto"/>
              <w:ind w:left="112" w:right="101" w:firstLine="478"/>
              <w:jc w:val="both"/>
            </w:pPr>
            <w:r>
              <w:t>本项目的建设，可有效集聚可塘镇的同类型企业，做到废水的统一收</w:t>
            </w:r>
            <w:r>
              <w:rPr>
                <w:spacing w:val="-1"/>
              </w:rPr>
              <w:t>集和</w:t>
            </w:r>
            <w:r>
              <w:t xml:space="preserve"> 处理，保证污染物达标排放，消减污染物总量和减少污染物未经处理</w:t>
            </w:r>
            <w:r>
              <w:rPr>
                <w:spacing w:val="-1"/>
              </w:rPr>
              <w:t>直接排入</w:t>
            </w:r>
            <w:r>
              <w:t xml:space="preserve"> </w:t>
            </w:r>
            <w:r>
              <w:rPr>
                <w:spacing w:val="-1"/>
              </w:rPr>
              <w:t>水体，可有效改善东溪河水质。</w:t>
            </w:r>
          </w:p>
          <w:p w14:paraId="7126589D">
            <w:pPr>
              <w:pStyle w:val="6"/>
              <w:spacing w:line="220" w:lineRule="auto"/>
              <w:ind w:left="583"/>
            </w:pPr>
            <w:r>
              <w:rPr>
                <w:rFonts w:ascii="Times New Roman" w:hAnsi="Times New Roman" w:eastAsia="Times New Roman" w:cs="Times New Roman"/>
                <w:b/>
                <w:bCs/>
                <w:spacing w:val="-9"/>
              </w:rPr>
              <w:t>3</w:t>
            </w:r>
            <w:r>
              <w:rPr>
                <w:rFonts w:ascii="Times New Roman" w:hAnsi="Times New Roman" w:eastAsia="Times New Roman" w:cs="Times New Roman"/>
                <w:b/>
                <w:bCs/>
                <w:spacing w:val="-34"/>
              </w:rPr>
              <w:t xml:space="preserve"> </w:t>
            </w:r>
            <w:r>
              <w:rPr>
                <w:b/>
                <w:bCs/>
                <w:spacing w:val="-9"/>
              </w:rPr>
              <w:t>、噪声</w:t>
            </w:r>
          </w:p>
          <w:p w14:paraId="660BC035">
            <w:pPr>
              <w:pStyle w:val="6"/>
              <w:spacing w:before="179" w:line="218" w:lineRule="auto"/>
              <w:ind w:left="583"/>
            </w:pPr>
            <w:r>
              <w:rPr>
                <w:rFonts w:ascii="Times New Roman" w:hAnsi="Times New Roman" w:eastAsia="Times New Roman" w:cs="Times New Roman"/>
                <w:b/>
                <w:bCs/>
                <w:spacing w:val="-5"/>
              </w:rPr>
              <w:t>3.1</w:t>
            </w:r>
            <w:r>
              <w:rPr>
                <w:rFonts w:ascii="Times New Roman" w:hAnsi="Times New Roman" w:eastAsia="Times New Roman" w:cs="Times New Roman"/>
                <w:b/>
                <w:bCs/>
                <w:spacing w:val="22"/>
              </w:rPr>
              <w:t xml:space="preserve"> </w:t>
            </w:r>
            <w:r>
              <w:rPr>
                <w:b/>
                <w:bCs/>
                <w:spacing w:val="-5"/>
              </w:rPr>
              <w:t>噪声估算</w:t>
            </w:r>
          </w:p>
          <w:p w14:paraId="59510313">
            <w:pPr>
              <w:pStyle w:val="6"/>
              <w:spacing w:before="184" w:line="360" w:lineRule="auto"/>
              <w:ind w:left="112" w:right="101" w:firstLine="480"/>
            </w:pPr>
            <w:r>
              <w:t>项目运营期噪声主要来自废气治理风机运行产生的噪声，主要</w:t>
            </w:r>
            <w:r>
              <w:rPr>
                <w:spacing w:val="-1"/>
              </w:rPr>
              <w:t>噪声源源强</w:t>
            </w:r>
            <w:r>
              <w:t xml:space="preserve"> </w:t>
            </w:r>
            <w:r>
              <w:rPr>
                <w:spacing w:val="-1"/>
              </w:rPr>
              <w:t>为</w:t>
            </w:r>
            <w:r>
              <w:rPr>
                <w:spacing w:val="-45"/>
              </w:rPr>
              <w:t xml:space="preserve"> </w:t>
            </w:r>
            <w:r>
              <w:rPr>
                <w:rFonts w:ascii="Times New Roman" w:hAnsi="Times New Roman" w:eastAsia="Times New Roman" w:cs="Times New Roman"/>
                <w:spacing w:val="-1"/>
              </w:rPr>
              <w:t>80~85dB(A</w:t>
            </w:r>
            <w:r>
              <w:rPr>
                <w:spacing w:val="-1"/>
              </w:rPr>
              <w:t>）。本项目主要噪声污染情况见下</w:t>
            </w:r>
            <w:r>
              <w:rPr>
                <w:spacing w:val="-2"/>
              </w:rPr>
              <w:t>表：</w:t>
            </w:r>
          </w:p>
        </w:tc>
      </w:tr>
    </w:tbl>
    <w:p w14:paraId="0BBD8E14">
      <w:pPr>
        <w:rPr>
          <w:rFonts w:ascii="Arial"/>
          <w:sz w:val="21"/>
        </w:rPr>
      </w:pPr>
    </w:p>
    <w:p w14:paraId="72EB7E4C">
      <w:pPr>
        <w:rPr>
          <w:rFonts w:ascii="Arial" w:hAnsi="Arial" w:eastAsia="Arial" w:cs="Arial"/>
          <w:sz w:val="21"/>
          <w:szCs w:val="21"/>
        </w:rPr>
        <w:sectPr>
          <w:footerReference r:id="rId94" w:type="default"/>
          <w:pgSz w:w="11907" w:h="16840"/>
          <w:pgMar w:top="400" w:right="1453" w:bottom="1240" w:left="1453" w:header="0" w:footer="1077" w:gutter="0"/>
          <w:cols w:space="720" w:num="1"/>
        </w:sectPr>
      </w:pPr>
    </w:p>
    <w:p w14:paraId="6C2B8D28">
      <w:pPr>
        <w:spacing w:before="19"/>
      </w:pPr>
    </w:p>
    <w:p w14:paraId="61BB1CEE">
      <w:pPr>
        <w:spacing w:before="19"/>
      </w:pPr>
    </w:p>
    <w:p w14:paraId="3CF0F2BF">
      <w:pPr>
        <w:spacing w:before="19"/>
      </w:pPr>
    </w:p>
    <w:p w14:paraId="6C69288B">
      <w:pPr>
        <w:spacing w:before="18"/>
      </w:pPr>
    </w:p>
    <w:p w14:paraId="10A331CF">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63048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79275CD4">
            <w:pPr>
              <w:rPr>
                <w:rFonts w:ascii="Arial"/>
                <w:sz w:val="21"/>
              </w:rPr>
            </w:pPr>
          </w:p>
        </w:tc>
        <w:tc>
          <w:tcPr>
            <w:tcW w:w="8381" w:type="dxa"/>
            <w:tcBorders>
              <w:left w:val="single" w:color="000000" w:sz="2" w:space="0"/>
            </w:tcBorders>
            <w:vAlign w:val="top"/>
          </w:tcPr>
          <w:p w14:paraId="4EB92F53">
            <w:pPr>
              <w:spacing w:line="320" w:lineRule="auto"/>
              <w:rPr>
                <w:rFonts w:ascii="Arial"/>
                <w:sz w:val="21"/>
              </w:rPr>
            </w:pPr>
          </w:p>
          <w:p w14:paraId="46AD5C8F">
            <w:pPr>
              <w:pStyle w:val="6"/>
              <w:spacing w:before="78" w:line="219" w:lineRule="auto"/>
              <w:ind w:left="1171"/>
            </w:pPr>
            <w:r>
              <w:rPr>
                <w:b/>
                <w:bCs/>
                <w:spacing w:val="-2"/>
              </w:rPr>
              <w:t>表</w:t>
            </w:r>
            <w:r>
              <w:rPr>
                <w:spacing w:val="-45"/>
              </w:rPr>
              <w:t xml:space="preserve"> </w:t>
            </w:r>
            <w:r>
              <w:rPr>
                <w:rFonts w:ascii="Times New Roman" w:hAnsi="Times New Roman" w:eastAsia="Times New Roman" w:cs="Times New Roman"/>
                <w:b/>
                <w:bCs/>
                <w:spacing w:val="-2"/>
              </w:rPr>
              <w:t xml:space="preserve">4-23    </w:t>
            </w:r>
            <w:r>
              <w:rPr>
                <w:b/>
                <w:bCs/>
                <w:spacing w:val="-2"/>
              </w:rPr>
              <w:t>项目噪声污染源源强核算结果及相关参数一览表</w:t>
            </w:r>
          </w:p>
          <w:p w14:paraId="5920F502">
            <w:pPr>
              <w:spacing w:line="147" w:lineRule="exact"/>
            </w:pPr>
          </w:p>
          <w:tbl>
            <w:tblPr>
              <w:tblStyle w:val="5"/>
              <w:tblW w:w="8061"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094"/>
              <w:gridCol w:w="1411"/>
              <w:gridCol w:w="813"/>
              <w:gridCol w:w="1168"/>
              <w:gridCol w:w="1036"/>
              <w:gridCol w:w="1861"/>
            </w:tblGrid>
            <w:tr w14:paraId="307E8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678" w:type="dxa"/>
                  <w:vAlign w:val="top"/>
                </w:tcPr>
                <w:p w14:paraId="264B1090">
                  <w:pPr>
                    <w:pStyle w:val="6"/>
                    <w:spacing w:before="242" w:line="229" w:lineRule="auto"/>
                    <w:ind w:left="133"/>
                    <w:rPr>
                      <w:sz w:val="20"/>
                      <w:szCs w:val="20"/>
                    </w:rPr>
                  </w:pPr>
                  <w:r>
                    <w:rPr>
                      <w:b/>
                      <w:bCs/>
                      <w:spacing w:val="4"/>
                      <w:sz w:val="20"/>
                      <w:szCs w:val="20"/>
                    </w:rPr>
                    <w:t>序号</w:t>
                  </w:r>
                </w:p>
              </w:tc>
              <w:tc>
                <w:tcPr>
                  <w:tcW w:w="1094" w:type="dxa"/>
                  <w:vAlign w:val="top"/>
                </w:tcPr>
                <w:p w14:paraId="6D367AA0">
                  <w:pPr>
                    <w:pStyle w:val="6"/>
                    <w:spacing w:before="242" w:line="229" w:lineRule="auto"/>
                    <w:ind w:left="134"/>
                    <w:rPr>
                      <w:sz w:val="20"/>
                      <w:szCs w:val="20"/>
                    </w:rPr>
                  </w:pPr>
                  <w:r>
                    <w:rPr>
                      <w:b/>
                      <w:bCs/>
                      <w:spacing w:val="5"/>
                      <w:sz w:val="20"/>
                      <w:szCs w:val="20"/>
                    </w:rPr>
                    <w:t>设备名称</w:t>
                  </w:r>
                </w:p>
              </w:tc>
              <w:tc>
                <w:tcPr>
                  <w:tcW w:w="1411" w:type="dxa"/>
                  <w:vAlign w:val="top"/>
                </w:tcPr>
                <w:p w14:paraId="7391322B">
                  <w:pPr>
                    <w:pStyle w:val="6"/>
                    <w:spacing w:before="106" w:line="255" w:lineRule="auto"/>
                    <w:ind w:left="169" w:right="177" w:firstLine="17"/>
                    <w:rPr>
                      <w:sz w:val="20"/>
                      <w:szCs w:val="20"/>
                    </w:rPr>
                  </w:pPr>
                  <w:r>
                    <w:rPr>
                      <w:b/>
                      <w:bCs/>
                      <w:spacing w:val="5"/>
                      <w:sz w:val="20"/>
                      <w:szCs w:val="20"/>
                    </w:rPr>
                    <w:t>设备噪声源</w:t>
                  </w:r>
                  <w:r>
                    <w:rPr>
                      <w:spacing w:val="3"/>
                      <w:sz w:val="20"/>
                      <w:szCs w:val="20"/>
                    </w:rPr>
                    <w:t xml:space="preserve"> </w:t>
                  </w:r>
                  <w:r>
                    <w:rPr>
                      <w:b/>
                      <w:bCs/>
                      <w:sz w:val="20"/>
                      <w:szCs w:val="20"/>
                    </w:rPr>
                    <w:t>强</w:t>
                  </w:r>
                  <w:r>
                    <w:rPr>
                      <w:spacing w:val="-39"/>
                      <w:sz w:val="20"/>
                      <w:szCs w:val="20"/>
                    </w:rPr>
                    <w:t xml:space="preserve"> </w:t>
                  </w:r>
                  <w:r>
                    <w:rPr>
                      <w:rFonts w:ascii="Times New Roman" w:hAnsi="Times New Roman" w:eastAsia="Times New Roman" w:cs="Times New Roman"/>
                      <w:b/>
                      <w:bCs/>
                      <w:sz w:val="20"/>
                      <w:szCs w:val="20"/>
                    </w:rPr>
                    <w:t>dB</w:t>
                  </w:r>
                  <w:r>
                    <w:rPr>
                      <w:b/>
                      <w:bCs/>
                      <w:sz w:val="20"/>
                      <w:szCs w:val="20"/>
                    </w:rPr>
                    <w:t>（</w:t>
                  </w:r>
                  <w:r>
                    <w:rPr>
                      <w:rFonts w:ascii="Times New Roman" w:hAnsi="Times New Roman" w:eastAsia="Times New Roman" w:cs="Times New Roman"/>
                      <w:b/>
                      <w:bCs/>
                      <w:sz w:val="20"/>
                      <w:szCs w:val="20"/>
                    </w:rPr>
                    <w:t>A</w:t>
                  </w:r>
                  <w:r>
                    <w:rPr>
                      <w:b/>
                      <w:bCs/>
                      <w:sz w:val="20"/>
                      <w:szCs w:val="20"/>
                    </w:rPr>
                    <w:t>）</w:t>
                  </w:r>
                </w:p>
              </w:tc>
              <w:tc>
                <w:tcPr>
                  <w:tcW w:w="813" w:type="dxa"/>
                  <w:vAlign w:val="top"/>
                </w:tcPr>
                <w:p w14:paraId="3660EE1F">
                  <w:pPr>
                    <w:pStyle w:val="6"/>
                    <w:spacing w:before="241" w:line="228" w:lineRule="auto"/>
                    <w:ind w:left="202"/>
                    <w:rPr>
                      <w:sz w:val="20"/>
                      <w:szCs w:val="20"/>
                    </w:rPr>
                  </w:pPr>
                  <w:r>
                    <w:rPr>
                      <w:b/>
                      <w:bCs/>
                      <w:spacing w:val="3"/>
                      <w:sz w:val="20"/>
                      <w:szCs w:val="20"/>
                    </w:rPr>
                    <w:t>数量</w:t>
                  </w:r>
                </w:p>
              </w:tc>
              <w:tc>
                <w:tcPr>
                  <w:tcW w:w="1168" w:type="dxa"/>
                  <w:vAlign w:val="top"/>
                </w:tcPr>
                <w:p w14:paraId="3766123C">
                  <w:pPr>
                    <w:pStyle w:val="6"/>
                    <w:spacing w:before="104" w:line="228" w:lineRule="auto"/>
                    <w:ind w:left="170"/>
                    <w:rPr>
                      <w:sz w:val="20"/>
                      <w:szCs w:val="20"/>
                    </w:rPr>
                  </w:pPr>
                  <w:r>
                    <w:rPr>
                      <w:b/>
                      <w:bCs/>
                      <w:spacing w:val="5"/>
                      <w:sz w:val="20"/>
                      <w:szCs w:val="20"/>
                    </w:rPr>
                    <w:t>持续时间</w:t>
                  </w:r>
                </w:p>
                <w:p w14:paraId="392B3BD6">
                  <w:pPr>
                    <w:pStyle w:val="6"/>
                    <w:spacing w:before="26"/>
                    <w:ind w:left="243"/>
                    <w:rPr>
                      <w:sz w:val="20"/>
                      <w:szCs w:val="20"/>
                    </w:rPr>
                  </w:pPr>
                  <w:r>
                    <w:rPr>
                      <w:b/>
                      <w:bCs/>
                      <w:spacing w:val="-1"/>
                      <w:sz w:val="20"/>
                      <w:szCs w:val="20"/>
                    </w:rPr>
                    <w:t>（</w:t>
                  </w:r>
                  <w:r>
                    <w:rPr>
                      <w:rFonts w:ascii="Times New Roman" w:hAnsi="Times New Roman" w:eastAsia="Times New Roman" w:cs="Times New Roman"/>
                      <w:b/>
                      <w:bCs/>
                      <w:spacing w:val="-1"/>
                      <w:sz w:val="20"/>
                      <w:szCs w:val="20"/>
                    </w:rPr>
                    <w:t>h/d</w:t>
                  </w:r>
                  <w:r>
                    <w:rPr>
                      <w:b/>
                      <w:bCs/>
                      <w:spacing w:val="-1"/>
                      <w:sz w:val="20"/>
                      <w:szCs w:val="20"/>
                    </w:rPr>
                    <w:t>）</w:t>
                  </w:r>
                </w:p>
              </w:tc>
              <w:tc>
                <w:tcPr>
                  <w:tcW w:w="1036" w:type="dxa"/>
                  <w:vAlign w:val="top"/>
                </w:tcPr>
                <w:p w14:paraId="1C37ABB8">
                  <w:pPr>
                    <w:pStyle w:val="6"/>
                    <w:spacing w:before="105" w:line="228" w:lineRule="auto"/>
                    <w:ind w:left="317"/>
                    <w:rPr>
                      <w:sz w:val="20"/>
                      <w:szCs w:val="20"/>
                    </w:rPr>
                  </w:pPr>
                  <w:r>
                    <w:rPr>
                      <w:b/>
                      <w:bCs/>
                      <w:spacing w:val="1"/>
                      <w:sz w:val="20"/>
                      <w:szCs w:val="20"/>
                    </w:rPr>
                    <w:t>声源</w:t>
                  </w:r>
                </w:p>
                <w:p w14:paraId="5DAB19B5">
                  <w:pPr>
                    <w:pStyle w:val="6"/>
                    <w:spacing w:before="25" w:line="228" w:lineRule="auto"/>
                    <w:ind w:left="312"/>
                    <w:rPr>
                      <w:sz w:val="20"/>
                      <w:szCs w:val="20"/>
                    </w:rPr>
                  </w:pPr>
                  <w:r>
                    <w:rPr>
                      <w:b/>
                      <w:bCs/>
                      <w:spacing w:val="3"/>
                      <w:sz w:val="20"/>
                      <w:szCs w:val="20"/>
                    </w:rPr>
                    <w:t>类型</w:t>
                  </w:r>
                </w:p>
              </w:tc>
              <w:tc>
                <w:tcPr>
                  <w:tcW w:w="1861" w:type="dxa"/>
                  <w:vAlign w:val="top"/>
                </w:tcPr>
                <w:p w14:paraId="0AC1B2F0">
                  <w:pPr>
                    <w:pStyle w:val="6"/>
                    <w:spacing w:before="105" w:line="227" w:lineRule="auto"/>
                    <w:ind w:left="304"/>
                    <w:rPr>
                      <w:sz w:val="20"/>
                      <w:szCs w:val="20"/>
                    </w:rPr>
                  </w:pPr>
                  <w:r>
                    <w:rPr>
                      <w:b/>
                      <w:bCs/>
                      <w:spacing w:val="6"/>
                      <w:sz w:val="20"/>
                      <w:szCs w:val="20"/>
                    </w:rPr>
                    <w:t>拟采取的防治</w:t>
                  </w:r>
                </w:p>
                <w:p w14:paraId="62FCC00A">
                  <w:pPr>
                    <w:pStyle w:val="6"/>
                    <w:spacing w:before="28" w:line="228" w:lineRule="auto"/>
                    <w:ind w:left="724"/>
                    <w:rPr>
                      <w:sz w:val="20"/>
                      <w:szCs w:val="20"/>
                    </w:rPr>
                  </w:pPr>
                  <w:r>
                    <w:rPr>
                      <w:b/>
                      <w:bCs/>
                      <w:spacing w:val="3"/>
                      <w:sz w:val="20"/>
                      <w:szCs w:val="20"/>
                    </w:rPr>
                    <w:t>措施</w:t>
                  </w:r>
                </w:p>
              </w:tc>
            </w:tr>
            <w:tr w14:paraId="25AA2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trPr>
              <w:tc>
                <w:tcPr>
                  <w:tcW w:w="678" w:type="dxa"/>
                  <w:vAlign w:val="top"/>
                </w:tcPr>
                <w:p w14:paraId="756D7303">
                  <w:pPr>
                    <w:spacing w:line="450" w:lineRule="auto"/>
                    <w:rPr>
                      <w:rFonts w:ascii="Arial"/>
                      <w:sz w:val="21"/>
                    </w:rPr>
                  </w:pPr>
                </w:p>
                <w:p w14:paraId="49FA3C93">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94" w:type="dxa"/>
                  <w:vAlign w:val="top"/>
                </w:tcPr>
                <w:p w14:paraId="4342DD2D">
                  <w:pPr>
                    <w:spacing w:line="271" w:lineRule="auto"/>
                    <w:rPr>
                      <w:rFonts w:ascii="Arial"/>
                      <w:sz w:val="21"/>
                    </w:rPr>
                  </w:pPr>
                </w:p>
                <w:p w14:paraId="3C17F450">
                  <w:pPr>
                    <w:pStyle w:val="6"/>
                    <w:spacing w:before="65" w:line="228" w:lineRule="auto"/>
                    <w:ind w:left="130"/>
                    <w:rPr>
                      <w:sz w:val="20"/>
                      <w:szCs w:val="20"/>
                    </w:rPr>
                  </w:pPr>
                  <w:r>
                    <w:rPr>
                      <w:spacing w:val="7"/>
                      <w:sz w:val="20"/>
                      <w:szCs w:val="20"/>
                    </w:rPr>
                    <w:t>废气治理</w:t>
                  </w:r>
                </w:p>
                <w:p w14:paraId="65AD3981">
                  <w:pPr>
                    <w:pStyle w:val="6"/>
                    <w:spacing w:before="26" w:line="227" w:lineRule="auto"/>
                    <w:ind w:left="340"/>
                    <w:rPr>
                      <w:sz w:val="20"/>
                      <w:szCs w:val="20"/>
                    </w:rPr>
                  </w:pPr>
                  <w:r>
                    <w:rPr>
                      <w:spacing w:val="4"/>
                      <w:sz w:val="20"/>
                      <w:szCs w:val="20"/>
                    </w:rPr>
                    <w:t>风机</w:t>
                  </w:r>
                </w:p>
              </w:tc>
              <w:tc>
                <w:tcPr>
                  <w:tcW w:w="1411" w:type="dxa"/>
                  <w:vAlign w:val="top"/>
                </w:tcPr>
                <w:p w14:paraId="4E6D4938">
                  <w:pPr>
                    <w:spacing w:line="450" w:lineRule="auto"/>
                    <w:rPr>
                      <w:rFonts w:ascii="Arial"/>
                      <w:sz w:val="21"/>
                    </w:rPr>
                  </w:pPr>
                </w:p>
                <w:p w14:paraId="687F1958">
                  <w:pPr>
                    <w:spacing w:before="57"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80~85</w:t>
                  </w:r>
                </w:p>
              </w:tc>
              <w:tc>
                <w:tcPr>
                  <w:tcW w:w="813" w:type="dxa"/>
                  <w:vAlign w:val="top"/>
                </w:tcPr>
                <w:p w14:paraId="124A9641">
                  <w:pPr>
                    <w:spacing w:line="406" w:lineRule="auto"/>
                    <w:rPr>
                      <w:rFonts w:ascii="Arial"/>
                      <w:sz w:val="21"/>
                    </w:rPr>
                  </w:pPr>
                </w:p>
                <w:p w14:paraId="1AAF7587">
                  <w:pPr>
                    <w:pStyle w:val="6"/>
                    <w:spacing w:before="65" w:line="230" w:lineRule="auto"/>
                    <w:ind w:left="191"/>
                    <w:rPr>
                      <w:sz w:val="20"/>
                      <w:szCs w:val="20"/>
                    </w:rPr>
                  </w:pPr>
                  <w:r>
                    <w:rPr>
                      <w:rFonts w:ascii="Times New Roman" w:hAnsi="Times New Roman" w:eastAsia="Times New Roman" w:cs="Times New Roman"/>
                      <w:spacing w:val="-5"/>
                      <w:sz w:val="20"/>
                      <w:szCs w:val="20"/>
                    </w:rPr>
                    <w:t>13</w:t>
                  </w:r>
                  <w:r>
                    <w:rPr>
                      <w:rFonts w:ascii="Times New Roman" w:hAnsi="Times New Roman" w:eastAsia="Times New Roman" w:cs="Times New Roman"/>
                      <w:spacing w:val="28"/>
                      <w:sz w:val="20"/>
                      <w:szCs w:val="20"/>
                    </w:rPr>
                    <w:t xml:space="preserve"> </w:t>
                  </w:r>
                  <w:r>
                    <w:rPr>
                      <w:spacing w:val="-5"/>
                      <w:sz w:val="20"/>
                      <w:szCs w:val="20"/>
                    </w:rPr>
                    <w:t>台</w:t>
                  </w:r>
                </w:p>
              </w:tc>
              <w:tc>
                <w:tcPr>
                  <w:tcW w:w="1168" w:type="dxa"/>
                  <w:vAlign w:val="top"/>
                </w:tcPr>
                <w:p w14:paraId="2F0C4F00">
                  <w:pPr>
                    <w:spacing w:line="450" w:lineRule="auto"/>
                    <w:rPr>
                      <w:rFonts w:ascii="Arial"/>
                      <w:sz w:val="21"/>
                    </w:rPr>
                  </w:pPr>
                </w:p>
                <w:p w14:paraId="50A8577D">
                  <w:pPr>
                    <w:spacing w:before="57"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36" w:type="dxa"/>
                  <w:vAlign w:val="top"/>
                </w:tcPr>
                <w:p w14:paraId="252C2651">
                  <w:pPr>
                    <w:spacing w:line="407" w:lineRule="auto"/>
                    <w:rPr>
                      <w:rFonts w:ascii="Arial"/>
                      <w:sz w:val="21"/>
                    </w:rPr>
                  </w:pPr>
                </w:p>
                <w:p w14:paraId="1D706BD7">
                  <w:pPr>
                    <w:pStyle w:val="6"/>
                    <w:spacing w:before="65" w:line="228" w:lineRule="auto"/>
                    <w:ind w:left="316"/>
                    <w:rPr>
                      <w:sz w:val="20"/>
                      <w:szCs w:val="20"/>
                    </w:rPr>
                  </w:pPr>
                  <w:r>
                    <w:rPr>
                      <w:spacing w:val="4"/>
                      <w:sz w:val="20"/>
                      <w:szCs w:val="20"/>
                    </w:rPr>
                    <w:t>频发</w:t>
                  </w:r>
                </w:p>
              </w:tc>
              <w:tc>
                <w:tcPr>
                  <w:tcW w:w="1861" w:type="dxa"/>
                  <w:vAlign w:val="top"/>
                </w:tcPr>
                <w:p w14:paraId="73FA2970">
                  <w:pPr>
                    <w:pStyle w:val="6"/>
                    <w:spacing w:before="66" w:line="227" w:lineRule="auto"/>
                    <w:ind w:left="200"/>
                    <w:rPr>
                      <w:sz w:val="20"/>
                      <w:szCs w:val="20"/>
                    </w:rPr>
                  </w:pPr>
                  <w:r>
                    <w:rPr>
                      <w:spacing w:val="8"/>
                      <w:sz w:val="20"/>
                      <w:szCs w:val="20"/>
                    </w:rPr>
                    <w:t>采购低噪声型设</w:t>
                  </w:r>
                </w:p>
                <w:p w14:paraId="6B8CD01A">
                  <w:pPr>
                    <w:pStyle w:val="6"/>
                    <w:spacing w:before="25" w:line="228" w:lineRule="auto"/>
                    <w:ind w:left="119"/>
                    <w:rPr>
                      <w:sz w:val="20"/>
                      <w:szCs w:val="20"/>
                    </w:rPr>
                  </w:pPr>
                  <w:r>
                    <w:rPr>
                      <w:spacing w:val="3"/>
                      <w:sz w:val="20"/>
                      <w:szCs w:val="20"/>
                    </w:rPr>
                    <w:t>备源头降噪，安装</w:t>
                  </w:r>
                </w:p>
                <w:p w14:paraId="4FAE3EF8">
                  <w:pPr>
                    <w:pStyle w:val="6"/>
                    <w:spacing w:before="26" w:line="228" w:lineRule="auto"/>
                    <w:ind w:left="129"/>
                    <w:rPr>
                      <w:sz w:val="20"/>
                      <w:szCs w:val="20"/>
                    </w:rPr>
                  </w:pPr>
                  <w:r>
                    <w:rPr>
                      <w:spacing w:val="2"/>
                      <w:sz w:val="20"/>
                      <w:szCs w:val="20"/>
                    </w:rPr>
                    <w:t>隔声罩，底座安装</w:t>
                  </w:r>
                </w:p>
                <w:p w14:paraId="63C548E4">
                  <w:pPr>
                    <w:pStyle w:val="6"/>
                    <w:spacing w:before="24" w:line="228" w:lineRule="auto"/>
                    <w:ind w:left="620"/>
                    <w:rPr>
                      <w:sz w:val="20"/>
                      <w:szCs w:val="20"/>
                    </w:rPr>
                  </w:pPr>
                  <w:r>
                    <w:rPr>
                      <w:spacing w:val="6"/>
                      <w:sz w:val="20"/>
                      <w:szCs w:val="20"/>
                    </w:rPr>
                    <w:t>减震垫</w:t>
                  </w:r>
                </w:p>
              </w:tc>
            </w:tr>
          </w:tbl>
          <w:p w14:paraId="5A3DA06E">
            <w:pPr>
              <w:pStyle w:val="6"/>
              <w:spacing w:before="154" w:line="220" w:lineRule="auto"/>
              <w:ind w:left="583"/>
            </w:pPr>
            <w:r>
              <w:rPr>
                <w:rFonts w:ascii="Times New Roman" w:hAnsi="Times New Roman" w:eastAsia="Times New Roman" w:cs="Times New Roman"/>
                <w:b/>
                <w:bCs/>
                <w:spacing w:val="-4"/>
              </w:rPr>
              <w:t>3.2</w:t>
            </w:r>
            <w:r>
              <w:rPr>
                <w:rFonts w:ascii="Times New Roman" w:hAnsi="Times New Roman" w:eastAsia="Times New Roman" w:cs="Times New Roman"/>
                <w:b/>
                <w:bCs/>
                <w:spacing w:val="27"/>
                <w:w w:val="101"/>
              </w:rPr>
              <w:t xml:space="preserve"> </w:t>
            </w:r>
            <w:r>
              <w:rPr>
                <w:b/>
                <w:bCs/>
                <w:spacing w:val="-4"/>
              </w:rPr>
              <w:t>噪声影响及达标分析</w:t>
            </w:r>
          </w:p>
          <w:p w14:paraId="79972738">
            <w:pPr>
              <w:pStyle w:val="6"/>
              <w:spacing w:before="182" w:line="219" w:lineRule="auto"/>
              <w:ind w:left="583"/>
            </w:pPr>
            <w:r>
              <w:rPr>
                <w:rFonts w:ascii="Times New Roman" w:hAnsi="Times New Roman" w:eastAsia="Times New Roman" w:cs="Times New Roman"/>
                <w:b/>
                <w:bCs/>
                <w:spacing w:val="-2"/>
              </w:rPr>
              <w:t xml:space="preserve">3.2.1 </w:t>
            </w:r>
            <w:r>
              <w:rPr>
                <w:b/>
                <w:bCs/>
                <w:spacing w:val="-2"/>
              </w:rPr>
              <w:t>预测模式</w:t>
            </w:r>
          </w:p>
          <w:p w14:paraId="6CF50885">
            <w:pPr>
              <w:pStyle w:val="6"/>
              <w:spacing w:before="179" w:line="219" w:lineRule="auto"/>
              <w:ind w:left="600"/>
            </w:pPr>
            <w:r>
              <w:rPr>
                <w:spacing w:val="-1"/>
              </w:rPr>
              <w:t>（</w:t>
            </w:r>
            <w:r>
              <w:rPr>
                <w:rFonts w:ascii="Times New Roman" w:hAnsi="Times New Roman" w:eastAsia="Times New Roman" w:cs="Times New Roman"/>
                <w:spacing w:val="-1"/>
              </w:rPr>
              <w:t>1</w:t>
            </w:r>
            <w:r>
              <w:rPr>
                <w:spacing w:val="-1"/>
              </w:rPr>
              <w:t>）拟建工程声源对预测点产生的贡献值的计算公式：</w:t>
            </w:r>
          </w:p>
          <w:p w14:paraId="456DD10A">
            <w:pPr>
              <w:spacing w:before="209" w:line="811" w:lineRule="exact"/>
              <w:ind w:firstLine="1923"/>
            </w:pPr>
            <w:r>
              <w:rPr>
                <w:position w:val="-16"/>
              </w:rPr>
              <w:drawing>
                <wp:inline distT="0" distB="0" distL="0" distR="0">
                  <wp:extent cx="2800985" cy="5149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04"/>
                          <a:stretch>
                            <a:fillRect/>
                          </a:stretch>
                        </pic:blipFill>
                        <pic:spPr>
                          <a:xfrm>
                            <a:off x="0" y="0"/>
                            <a:ext cx="2801111" cy="515111"/>
                          </a:xfrm>
                          <a:prstGeom prst="rect">
                            <a:avLst/>
                          </a:prstGeom>
                        </pic:spPr>
                      </pic:pic>
                    </a:graphicData>
                  </a:graphic>
                </wp:inline>
              </w:drawing>
            </w:r>
          </w:p>
          <w:p w14:paraId="6194C604">
            <w:pPr>
              <w:pStyle w:val="6"/>
              <w:spacing w:before="277" w:line="210" w:lineRule="auto"/>
              <w:ind w:left="593"/>
            </w:pPr>
            <w:r>
              <w:rPr>
                <w:spacing w:val="-1"/>
              </w:rPr>
              <w:t>式中：</w:t>
            </w:r>
            <w:r>
              <w:rPr>
                <w:rFonts w:ascii="Times New Roman" w:hAnsi="Times New Roman" w:eastAsia="Times New Roman" w:cs="Times New Roman"/>
                <w:spacing w:val="-1"/>
              </w:rPr>
              <w:t>Leg-</w:t>
            </w:r>
            <w:r>
              <w:rPr>
                <w:spacing w:val="-1"/>
              </w:rPr>
              <w:t>建设项目声源在预测点产生的噪声贡献值，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6"/>
              </w:rPr>
              <w:t>）；</w:t>
            </w:r>
          </w:p>
          <w:p w14:paraId="5EBCEEE3">
            <w:pPr>
              <w:pStyle w:val="6"/>
              <w:spacing w:before="188" w:line="228" w:lineRule="auto"/>
              <w:ind w:left="586"/>
              <w:rPr>
                <w:sz w:val="20"/>
                <w:szCs w:val="20"/>
              </w:rPr>
            </w:pPr>
            <w:r>
              <w:rPr>
                <w:rFonts w:ascii="Times New Roman" w:hAnsi="Times New Roman" w:eastAsia="Times New Roman" w:cs="Times New Roman"/>
                <w:spacing w:val="7"/>
                <w:sz w:val="20"/>
                <w:szCs w:val="20"/>
              </w:rPr>
              <w:t>T-</w:t>
            </w:r>
            <w:r>
              <w:rPr>
                <w:spacing w:val="7"/>
                <w:sz w:val="20"/>
                <w:szCs w:val="20"/>
              </w:rPr>
              <w:t>用于计算等效声级的时间，</w:t>
            </w:r>
            <w:r>
              <w:rPr>
                <w:rFonts w:ascii="Times New Roman" w:hAnsi="Times New Roman" w:eastAsia="Times New Roman" w:cs="Times New Roman"/>
                <w:spacing w:val="7"/>
                <w:sz w:val="20"/>
                <w:szCs w:val="20"/>
              </w:rPr>
              <w:t>s</w:t>
            </w:r>
            <w:r>
              <w:rPr>
                <w:spacing w:val="7"/>
                <w:sz w:val="20"/>
                <w:szCs w:val="20"/>
              </w:rPr>
              <w:t>；</w:t>
            </w:r>
          </w:p>
          <w:p w14:paraId="0F74BC76">
            <w:pPr>
              <w:pStyle w:val="6"/>
              <w:spacing w:before="161" w:line="228" w:lineRule="auto"/>
              <w:ind w:left="581"/>
              <w:rPr>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13"/>
                <w:szCs w:val="13"/>
              </w:rPr>
              <w:t>i</w:t>
            </w:r>
            <w:r>
              <w:rPr>
                <w:rFonts w:ascii="Times New Roman" w:hAnsi="Times New Roman" w:eastAsia="Times New Roman" w:cs="Times New Roman"/>
                <w:spacing w:val="5"/>
                <w:sz w:val="20"/>
                <w:szCs w:val="20"/>
              </w:rPr>
              <w:t>-</w:t>
            </w:r>
            <w:r>
              <w:rPr>
                <w:spacing w:val="5"/>
                <w:sz w:val="20"/>
                <w:szCs w:val="20"/>
              </w:rPr>
              <w:t>在</w:t>
            </w:r>
            <w:r>
              <w:rPr>
                <w:spacing w:val="-40"/>
                <w:sz w:val="20"/>
                <w:szCs w:val="20"/>
              </w:rPr>
              <w:t xml:space="preserve"> </w:t>
            </w:r>
            <w:r>
              <w:rPr>
                <w:rFonts w:ascii="Times New Roman" w:hAnsi="Times New Roman" w:eastAsia="Times New Roman" w:cs="Times New Roman"/>
                <w:spacing w:val="5"/>
                <w:sz w:val="20"/>
                <w:szCs w:val="20"/>
              </w:rPr>
              <w:t>T</w:t>
            </w:r>
            <w:r>
              <w:rPr>
                <w:rFonts w:ascii="Times New Roman" w:hAnsi="Times New Roman" w:eastAsia="Times New Roman" w:cs="Times New Roman"/>
                <w:spacing w:val="23"/>
                <w:w w:val="101"/>
                <w:sz w:val="20"/>
                <w:szCs w:val="20"/>
              </w:rPr>
              <w:t xml:space="preserve"> </w:t>
            </w:r>
            <w:r>
              <w:rPr>
                <w:spacing w:val="5"/>
                <w:sz w:val="20"/>
                <w:szCs w:val="20"/>
              </w:rPr>
              <w:t>时间内</w:t>
            </w:r>
            <w:r>
              <w:rPr>
                <w:spacing w:val="-42"/>
                <w:sz w:val="20"/>
                <w:szCs w:val="20"/>
              </w:rPr>
              <w:t xml:space="preserve"> </w:t>
            </w:r>
            <w:r>
              <w:rPr>
                <w:rFonts w:ascii="Times New Roman" w:hAnsi="Times New Roman" w:eastAsia="Times New Roman" w:cs="Times New Roman"/>
                <w:spacing w:val="5"/>
                <w:sz w:val="20"/>
                <w:szCs w:val="20"/>
              </w:rPr>
              <w:t>i</w:t>
            </w:r>
            <w:r>
              <w:rPr>
                <w:rFonts w:ascii="Times New Roman" w:hAnsi="Times New Roman" w:eastAsia="Times New Roman" w:cs="Times New Roman"/>
                <w:spacing w:val="15"/>
                <w:w w:val="101"/>
                <w:sz w:val="20"/>
                <w:szCs w:val="20"/>
              </w:rPr>
              <w:t xml:space="preserve"> </w:t>
            </w:r>
            <w:r>
              <w:rPr>
                <w:spacing w:val="5"/>
                <w:sz w:val="20"/>
                <w:szCs w:val="20"/>
              </w:rPr>
              <w:t>声源工作时间，</w:t>
            </w:r>
            <w:r>
              <w:rPr>
                <w:rFonts w:ascii="Times New Roman" w:hAnsi="Times New Roman" w:eastAsia="Times New Roman" w:cs="Times New Roman"/>
                <w:spacing w:val="5"/>
                <w:sz w:val="20"/>
                <w:szCs w:val="20"/>
              </w:rPr>
              <w:t>s</w:t>
            </w:r>
            <w:r>
              <w:rPr>
                <w:spacing w:val="5"/>
                <w:sz w:val="20"/>
                <w:szCs w:val="20"/>
              </w:rPr>
              <w:t>；</w:t>
            </w:r>
          </w:p>
          <w:p w14:paraId="1F16D1FE">
            <w:pPr>
              <w:pStyle w:val="6"/>
              <w:spacing w:before="163" w:line="228" w:lineRule="auto"/>
              <w:ind w:left="583"/>
              <w:rPr>
                <w:sz w:val="20"/>
                <w:szCs w:val="20"/>
              </w:rPr>
            </w:pPr>
            <w:r>
              <w:rPr>
                <w:rFonts w:ascii="Times New Roman" w:hAnsi="Times New Roman" w:eastAsia="Times New Roman" w:cs="Times New Roman"/>
                <w:spacing w:val="7"/>
                <w:sz w:val="20"/>
                <w:szCs w:val="20"/>
              </w:rPr>
              <w:t>M-</w:t>
            </w:r>
            <w:r>
              <w:rPr>
                <w:spacing w:val="7"/>
                <w:sz w:val="20"/>
                <w:szCs w:val="20"/>
              </w:rPr>
              <w:t>等效室外声源个数；</w:t>
            </w:r>
          </w:p>
          <w:p w14:paraId="6BE9A7FC">
            <w:pPr>
              <w:pStyle w:val="6"/>
              <w:spacing w:before="162" w:line="222" w:lineRule="auto"/>
              <w:ind w:left="581"/>
              <w:rPr>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position w:val="-1"/>
                <w:sz w:val="13"/>
                <w:szCs w:val="13"/>
              </w:rPr>
              <w:t>j</w:t>
            </w:r>
            <w:r>
              <w:rPr>
                <w:rFonts w:ascii="Times New Roman" w:hAnsi="Times New Roman" w:eastAsia="Times New Roman" w:cs="Times New Roman"/>
                <w:spacing w:val="9"/>
                <w:sz w:val="20"/>
                <w:szCs w:val="20"/>
              </w:rPr>
              <w:t>-</w:t>
            </w:r>
            <w:r>
              <w:rPr>
                <w:spacing w:val="9"/>
                <w:sz w:val="20"/>
                <w:szCs w:val="20"/>
              </w:rPr>
              <w:t>在</w:t>
            </w:r>
            <w:r>
              <w:rPr>
                <w:spacing w:val="-39"/>
                <w:sz w:val="20"/>
                <w:szCs w:val="20"/>
              </w:rPr>
              <w:t xml:space="preserve"> </w:t>
            </w:r>
            <w:r>
              <w:rPr>
                <w:rFonts w:ascii="Times New Roman" w:hAnsi="Times New Roman" w:eastAsia="Times New Roman" w:cs="Times New Roman"/>
                <w:spacing w:val="9"/>
                <w:sz w:val="20"/>
                <w:szCs w:val="20"/>
              </w:rPr>
              <w:t>T</w:t>
            </w:r>
            <w:r>
              <w:rPr>
                <w:rFonts w:ascii="Times New Roman" w:hAnsi="Times New Roman" w:eastAsia="Times New Roman" w:cs="Times New Roman"/>
                <w:spacing w:val="23"/>
                <w:sz w:val="20"/>
                <w:szCs w:val="20"/>
              </w:rPr>
              <w:t xml:space="preserve"> </w:t>
            </w:r>
            <w:r>
              <w:rPr>
                <w:spacing w:val="9"/>
                <w:sz w:val="20"/>
                <w:szCs w:val="20"/>
              </w:rPr>
              <w:t>时间内</w:t>
            </w:r>
            <w:r>
              <w:rPr>
                <w:rFonts w:ascii="Times New Roman" w:hAnsi="Times New Roman" w:eastAsia="Times New Roman" w:cs="Times New Roman"/>
                <w:spacing w:val="9"/>
                <w:sz w:val="20"/>
                <w:szCs w:val="20"/>
              </w:rPr>
              <w:t xml:space="preserve">j </w:t>
            </w:r>
            <w:r>
              <w:rPr>
                <w:spacing w:val="9"/>
                <w:sz w:val="20"/>
                <w:szCs w:val="20"/>
              </w:rPr>
              <w:t>声源工作时间，</w:t>
            </w:r>
            <w:r>
              <w:rPr>
                <w:rFonts w:ascii="Times New Roman" w:hAnsi="Times New Roman" w:eastAsia="Times New Roman" w:cs="Times New Roman"/>
                <w:spacing w:val="9"/>
                <w:sz w:val="20"/>
                <w:szCs w:val="20"/>
              </w:rPr>
              <w:t>s</w:t>
            </w:r>
            <w:r>
              <w:rPr>
                <w:spacing w:val="9"/>
                <w:sz w:val="20"/>
                <w:szCs w:val="20"/>
              </w:rPr>
              <w:t>。</w:t>
            </w:r>
          </w:p>
          <w:p w14:paraId="0C7BFC45">
            <w:pPr>
              <w:pStyle w:val="6"/>
              <w:spacing w:before="172" w:line="219" w:lineRule="auto"/>
              <w:ind w:left="600"/>
            </w:pPr>
            <w:r>
              <w:rPr>
                <w:spacing w:val="-2"/>
              </w:rPr>
              <w:t>（</w:t>
            </w:r>
            <w:r>
              <w:rPr>
                <w:rFonts w:ascii="Times New Roman" w:hAnsi="Times New Roman" w:eastAsia="Times New Roman" w:cs="Times New Roman"/>
                <w:spacing w:val="-2"/>
              </w:rPr>
              <w:t>2</w:t>
            </w:r>
            <w:r>
              <w:rPr>
                <w:spacing w:val="-2"/>
              </w:rPr>
              <w:t>）室外的倍频带声压级的计算公式：</w:t>
            </w:r>
          </w:p>
          <w:p w14:paraId="6EFD44D2">
            <w:pPr>
              <w:pStyle w:val="6"/>
              <w:spacing w:before="141" w:line="281" w:lineRule="exact"/>
              <w:ind w:left="3379"/>
              <w:rPr>
                <w:sz w:val="20"/>
                <w:szCs w:val="20"/>
              </w:rPr>
            </w:pPr>
            <w:r>
              <w:rPr>
                <w:rFonts w:ascii="Times New Roman" w:hAnsi="Times New Roman" w:eastAsia="Times New Roman" w:cs="Times New Roman"/>
                <w:position w:val="3"/>
                <w:sz w:val="20"/>
                <w:szCs w:val="20"/>
              </w:rPr>
              <w:t>L</w:t>
            </w:r>
            <w:r>
              <w:rPr>
                <w:rFonts w:ascii="Times New Roman" w:hAnsi="Times New Roman" w:eastAsia="Times New Roman" w:cs="Times New Roman"/>
                <w:position w:val="2"/>
                <w:sz w:val="13"/>
                <w:szCs w:val="13"/>
              </w:rPr>
              <w:t>p</w:t>
            </w:r>
            <w:r>
              <w:rPr>
                <w:rFonts w:ascii="Times New Roman" w:hAnsi="Times New Roman" w:eastAsia="Times New Roman" w:cs="Times New Roman"/>
                <w:spacing w:val="7"/>
                <w:position w:val="2"/>
                <w:sz w:val="13"/>
                <w:szCs w:val="13"/>
              </w:rPr>
              <w:t>2</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L</w:t>
            </w:r>
            <w:r>
              <w:rPr>
                <w:rFonts w:ascii="Times New Roman" w:hAnsi="Times New Roman" w:eastAsia="Times New Roman" w:cs="Times New Roman"/>
                <w:position w:val="2"/>
                <w:sz w:val="13"/>
                <w:szCs w:val="13"/>
              </w:rPr>
              <w:t>p</w:t>
            </w:r>
            <w:r>
              <w:rPr>
                <w:rFonts w:ascii="Times New Roman" w:hAnsi="Times New Roman" w:eastAsia="Times New Roman" w:cs="Times New Roman"/>
                <w:spacing w:val="7"/>
                <w:position w:val="2"/>
                <w:sz w:val="13"/>
                <w:szCs w:val="13"/>
              </w:rPr>
              <w:t>1</w:t>
            </w:r>
            <w:r>
              <w:rPr>
                <w:rFonts w:ascii="Times New Roman" w:hAnsi="Times New Roman" w:eastAsia="Times New Roman" w:cs="Times New Roman"/>
                <w:spacing w:val="7"/>
                <w:position w:val="3"/>
                <w:sz w:val="20"/>
                <w:szCs w:val="20"/>
              </w:rPr>
              <w:t>-</w:t>
            </w:r>
            <w:r>
              <w:rPr>
                <w:spacing w:val="7"/>
                <w:position w:val="3"/>
                <w:sz w:val="20"/>
                <w:szCs w:val="20"/>
              </w:rPr>
              <w:t>（</w:t>
            </w:r>
            <w:r>
              <w:rPr>
                <w:rFonts w:ascii="Times New Roman" w:hAnsi="Times New Roman" w:eastAsia="Times New Roman" w:cs="Times New Roman"/>
                <w:position w:val="3"/>
                <w:sz w:val="20"/>
                <w:szCs w:val="20"/>
              </w:rPr>
              <w:t>TL</w:t>
            </w:r>
            <w:r>
              <w:rPr>
                <w:rFonts w:ascii="Times New Roman" w:hAnsi="Times New Roman" w:eastAsia="Times New Roman" w:cs="Times New Roman"/>
                <w:spacing w:val="7"/>
                <w:position w:val="3"/>
                <w:sz w:val="20"/>
                <w:szCs w:val="20"/>
              </w:rPr>
              <w:t>+6</w:t>
            </w:r>
            <w:r>
              <w:rPr>
                <w:spacing w:val="7"/>
                <w:position w:val="3"/>
                <w:sz w:val="20"/>
                <w:szCs w:val="20"/>
              </w:rPr>
              <w:t>）</w:t>
            </w:r>
          </w:p>
          <w:p w14:paraId="6CAA8F01">
            <w:pPr>
              <w:pStyle w:val="6"/>
              <w:spacing w:before="289" w:line="362" w:lineRule="auto"/>
              <w:ind w:left="583" w:right="179" w:firstLine="9"/>
              <w:rPr>
                <w:sz w:val="20"/>
                <w:szCs w:val="20"/>
              </w:rPr>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sz w:val="15"/>
                <w:szCs w:val="15"/>
              </w:rPr>
              <w:t>p1</w:t>
            </w:r>
            <w:r>
              <w:rPr>
                <w:rFonts w:ascii="Times New Roman" w:hAnsi="Times New Roman" w:eastAsia="Times New Roman" w:cs="Times New Roman"/>
                <w:spacing w:val="-2"/>
              </w:rPr>
              <w:t>-</w:t>
            </w:r>
            <w:r>
              <w:rPr>
                <w:spacing w:val="-2"/>
              </w:rPr>
              <w:t>靠近开口处（或窗户）室内某倍频带的声压级或</w:t>
            </w:r>
            <w:r>
              <w:rPr>
                <w:spacing w:val="-58"/>
              </w:rPr>
              <w:t xml:space="preserve"> </w:t>
            </w:r>
            <w:r>
              <w:rPr>
                <w:rFonts w:ascii="Times New Roman" w:hAnsi="Times New Roman" w:eastAsia="Times New Roman" w:cs="Times New Roman"/>
                <w:spacing w:val="-2"/>
              </w:rPr>
              <w:t xml:space="preserve">A </w:t>
            </w:r>
            <w:r>
              <w:rPr>
                <w:spacing w:val="-2"/>
              </w:rPr>
              <w:t>声级</w:t>
            </w:r>
            <w:r>
              <w:rPr>
                <w:spacing w:val="-3"/>
              </w:rPr>
              <w:t>，</w:t>
            </w:r>
            <w:r>
              <w:rPr>
                <w:rFonts w:ascii="Times New Roman" w:hAnsi="Times New Roman" w:eastAsia="Times New Roman" w:cs="Times New Roman"/>
                <w:spacing w:val="-3"/>
              </w:rPr>
              <w:t>dB</w:t>
            </w:r>
            <w:r>
              <w:rPr>
                <w:spacing w:val="-3"/>
              </w:rPr>
              <w:t>；</w:t>
            </w:r>
            <w:r>
              <w:t xml:space="preserve"> </w:t>
            </w:r>
            <w:r>
              <w:rPr>
                <w:rFonts w:ascii="Times New Roman" w:hAnsi="Times New Roman" w:eastAsia="Times New Roman" w:cs="Times New Roman"/>
                <w:sz w:val="20"/>
                <w:szCs w:val="20"/>
              </w:rPr>
              <w:t>L</w:t>
            </w:r>
            <w:r>
              <w:rPr>
                <w:rFonts w:ascii="Times New Roman" w:hAnsi="Times New Roman" w:eastAsia="Times New Roman" w:cs="Times New Roman"/>
                <w:position w:val="-1"/>
                <w:sz w:val="13"/>
                <w:szCs w:val="13"/>
              </w:rPr>
              <w:t>p</w:t>
            </w:r>
            <w:r>
              <w:rPr>
                <w:rFonts w:ascii="Times New Roman" w:hAnsi="Times New Roman" w:eastAsia="Times New Roman" w:cs="Times New Roman"/>
                <w:spacing w:val="9"/>
                <w:position w:val="-1"/>
                <w:sz w:val="13"/>
                <w:szCs w:val="13"/>
              </w:rPr>
              <w:t>2</w:t>
            </w:r>
            <w:r>
              <w:rPr>
                <w:rFonts w:ascii="Times New Roman" w:hAnsi="Times New Roman" w:eastAsia="Times New Roman" w:cs="Times New Roman"/>
                <w:spacing w:val="9"/>
                <w:sz w:val="20"/>
                <w:szCs w:val="20"/>
              </w:rPr>
              <w:t>-</w:t>
            </w:r>
            <w:r>
              <w:rPr>
                <w:spacing w:val="9"/>
                <w:sz w:val="20"/>
                <w:szCs w:val="20"/>
              </w:rPr>
              <w:t>靠近开口处（或窗户）室外某倍频带的声压级或</w:t>
            </w:r>
            <w:r>
              <w:rPr>
                <w:spacing w:val="-46"/>
                <w:sz w:val="20"/>
                <w:szCs w:val="20"/>
              </w:rPr>
              <w:t xml:space="preserve"> </w:t>
            </w:r>
            <w:r>
              <w:rPr>
                <w:rFonts w:ascii="Times New Roman" w:hAnsi="Times New Roman" w:eastAsia="Times New Roman" w:cs="Times New Roman"/>
                <w:spacing w:val="9"/>
                <w:sz w:val="20"/>
                <w:szCs w:val="20"/>
              </w:rPr>
              <w:t xml:space="preserve">A </w:t>
            </w:r>
            <w:r>
              <w:rPr>
                <w:spacing w:val="9"/>
                <w:sz w:val="20"/>
                <w:szCs w:val="20"/>
              </w:rPr>
              <w:t>声级，</w:t>
            </w:r>
            <w:r>
              <w:rPr>
                <w:rFonts w:ascii="Times New Roman" w:hAnsi="Times New Roman" w:eastAsia="Times New Roman" w:cs="Times New Roman"/>
                <w:sz w:val="20"/>
                <w:szCs w:val="20"/>
              </w:rPr>
              <w:t>dB</w:t>
            </w:r>
            <w:r>
              <w:rPr>
                <w:spacing w:val="9"/>
                <w:sz w:val="20"/>
                <w:szCs w:val="20"/>
              </w:rPr>
              <w:t>（</w:t>
            </w:r>
            <w:r>
              <w:rPr>
                <w:rFonts w:ascii="Times New Roman" w:hAnsi="Times New Roman" w:eastAsia="Times New Roman" w:cs="Times New Roman"/>
                <w:spacing w:val="9"/>
                <w:sz w:val="20"/>
                <w:szCs w:val="20"/>
              </w:rPr>
              <w:t>A</w:t>
            </w:r>
            <w:r>
              <w:rPr>
                <w:spacing w:val="7"/>
                <w:sz w:val="20"/>
                <w:szCs w:val="20"/>
              </w:rPr>
              <w:t>）；</w:t>
            </w:r>
          </w:p>
          <w:p w14:paraId="5E22C3DD">
            <w:pPr>
              <w:pStyle w:val="6"/>
              <w:spacing w:before="8" w:line="228" w:lineRule="auto"/>
              <w:ind w:left="586"/>
              <w:rPr>
                <w:sz w:val="20"/>
                <w:szCs w:val="20"/>
              </w:rPr>
            </w:pPr>
            <w:r>
              <w:rPr>
                <w:rFonts w:ascii="Times New Roman" w:hAnsi="Times New Roman" w:eastAsia="Times New Roman" w:cs="Times New Roman"/>
                <w:sz w:val="20"/>
                <w:szCs w:val="20"/>
              </w:rPr>
              <w:t>TL</w:t>
            </w:r>
            <w:r>
              <w:rPr>
                <w:rFonts w:ascii="Times New Roman" w:hAnsi="Times New Roman" w:eastAsia="Times New Roman" w:cs="Times New Roman"/>
                <w:spacing w:val="9"/>
                <w:sz w:val="20"/>
                <w:szCs w:val="20"/>
              </w:rPr>
              <w:t>-</w:t>
            </w:r>
            <w:r>
              <w:rPr>
                <w:spacing w:val="9"/>
                <w:sz w:val="20"/>
                <w:szCs w:val="20"/>
              </w:rPr>
              <w:t>隔墙（或窗户）倍频带或</w:t>
            </w:r>
            <w:r>
              <w:rPr>
                <w:spacing w:val="-43"/>
                <w:sz w:val="20"/>
                <w:szCs w:val="20"/>
              </w:rPr>
              <w:t xml:space="preserve"> </w:t>
            </w:r>
            <w:r>
              <w:rPr>
                <w:rFonts w:ascii="Times New Roman" w:hAnsi="Times New Roman" w:eastAsia="Times New Roman" w:cs="Times New Roman"/>
                <w:spacing w:val="9"/>
                <w:sz w:val="20"/>
                <w:szCs w:val="20"/>
              </w:rPr>
              <w:t>A</w:t>
            </w:r>
            <w:r>
              <w:rPr>
                <w:rFonts w:ascii="Times New Roman" w:hAnsi="Times New Roman" w:eastAsia="Times New Roman" w:cs="Times New Roman"/>
                <w:spacing w:val="15"/>
                <w:w w:val="101"/>
                <w:sz w:val="20"/>
                <w:szCs w:val="20"/>
              </w:rPr>
              <w:t xml:space="preserve"> </w:t>
            </w:r>
            <w:r>
              <w:rPr>
                <w:spacing w:val="9"/>
                <w:sz w:val="20"/>
                <w:szCs w:val="20"/>
              </w:rPr>
              <w:t>声级的隔声量，</w:t>
            </w:r>
            <w:r>
              <w:rPr>
                <w:rFonts w:ascii="Times New Roman" w:hAnsi="Times New Roman" w:eastAsia="Times New Roman" w:cs="Times New Roman"/>
                <w:sz w:val="20"/>
                <w:szCs w:val="20"/>
              </w:rPr>
              <w:t>dB</w:t>
            </w:r>
            <w:r>
              <w:rPr>
                <w:spacing w:val="9"/>
                <w:sz w:val="20"/>
                <w:szCs w:val="20"/>
              </w:rPr>
              <w:t>。</w:t>
            </w:r>
          </w:p>
          <w:p w14:paraId="71DA97DF">
            <w:pPr>
              <w:pStyle w:val="6"/>
              <w:spacing w:before="163" w:line="360" w:lineRule="auto"/>
              <w:ind w:left="107" w:right="21" w:firstLine="481"/>
            </w:pPr>
            <w:r>
              <w:rPr>
                <w:spacing w:val="-1"/>
              </w:rPr>
              <w:t>根据《噪声与振动控制手册》（机械工业出版社</w:t>
            </w:r>
            <w:r>
              <w:rPr>
                <w:spacing w:val="14"/>
              </w:rPr>
              <w:t>）：</w:t>
            </w:r>
            <w:r>
              <w:rPr>
                <w:spacing w:val="-1"/>
              </w:rPr>
              <w:t>加装减震底座的降声</w:t>
            </w:r>
            <w:r>
              <w:rPr>
                <w:spacing w:val="1"/>
              </w:rPr>
              <w:t xml:space="preserve"> 量在</w:t>
            </w:r>
            <w:r>
              <w:rPr>
                <w:spacing w:val="-42"/>
              </w:rPr>
              <w:t xml:space="preserve"> </w:t>
            </w:r>
            <w:r>
              <w:rPr>
                <w:rFonts w:ascii="Times New Roman" w:hAnsi="Times New Roman" w:eastAsia="Times New Roman" w:cs="Times New Roman"/>
                <w:spacing w:val="1"/>
              </w:rPr>
              <w:t>5~8</w:t>
            </w:r>
            <w:r>
              <w:rPr>
                <w:rFonts w:ascii="Times New Roman" w:hAnsi="Times New Roman" w:eastAsia="Times New Roman" w:cs="Times New Roman"/>
              </w:rPr>
              <w:t>dB</w:t>
            </w:r>
            <w:r>
              <w:rPr>
                <w:rFonts w:ascii="Times New Roman" w:hAnsi="Times New Roman" w:eastAsia="Times New Roman" w:cs="Times New Roman"/>
                <w:spacing w:val="-28"/>
              </w:rPr>
              <w:t xml:space="preserve"> </w:t>
            </w:r>
            <w:r>
              <w:rPr>
                <w:spacing w:val="1"/>
              </w:rPr>
              <w:t>，本项目设备加装减震底座的降声量取</w:t>
            </w:r>
            <w:r>
              <w:rPr>
                <w:spacing w:val="-46"/>
              </w:rPr>
              <w:t xml:space="preserve"> </w:t>
            </w:r>
            <w:r>
              <w:rPr>
                <w:rFonts w:ascii="Times New Roman" w:hAnsi="Times New Roman" w:eastAsia="Times New Roman" w:cs="Times New Roman"/>
                <w:spacing w:val="1"/>
              </w:rPr>
              <w:t>5</w:t>
            </w:r>
            <w:r>
              <w:rPr>
                <w:rFonts w:ascii="Times New Roman" w:hAnsi="Times New Roman" w:eastAsia="Times New Roman" w:cs="Times New Roman"/>
              </w:rPr>
              <w:t>dB</w:t>
            </w:r>
            <w:r>
              <w:rPr>
                <w:spacing w:val="1"/>
              </w:rPr>
              <w:t>（</w:t>
            </w:r>
            <w:r>
              <w:rPr>
                <w:rFonts w:ascii="Times New Roman" w:hAnsi="Times New Roman" w:eastAsia="Times New Roman" w:cs="Times New Roman"/>
                <w:spacing w:val="1"/>
              </w:rPr>
              <w:t>A</w:t>
            </w:r>
            <w:r>
              <w:rPr>
                <w:spacing w:val="3"/>
              </w:rPr>
              <w:t>）；</w:t>
            </w:r>
            <w:r>
              <w:t xml:space="preserve">《噪声污染控 </w:t>
            </w:r>
            <w:r>
              <w:rPr>
                <w:spacing w:val="-1"/>
              </w:rPr>
              <w:t>制工程》（高等教育出版社，洪宗辉）第</w:t>
            </w:r>
            <w:r>
              <w:rPr>
                <w:spacing w:val="-17"/>
              </w:rPr>
              <w:t xml:space="preserve"> </w:t>
            </w:r>
            <w:r>
              <w:rPr>
                <w:rFonts w:ascii="Times New Roman" w:hAnsi="Times New Roman" w:eastAsia="Times New Roman" w:cs="Times New Roman"/>
                <w:spacing w:val="-1"/>
              </w:rPr>
              <w:t>151</w:t>
            </w:r>
            <w:r>
              <w:rPr>
                <w:rFonts w:ascii="Times New Roman" w:hAnsi="Times New Roman" w:eastAsia="Times New Roman" w:cs="Times New Roman"/>
                <w:spacing w:val="15"/>
                <w:w w:val="101"/>
              </w:rPr>
              <w:t xml:space="preserve"> </w:t>
            </w:r>
            <w:r>
              <w:rPr>
                <w:spacing w:val="-1"/>
              </w:rPr>
              <w:t>页表</w:t>
            </w:r>
            <w:r>
              <w:rPr>
                <w:spacing w:val="-43"/>
              </w:rPr>
              <w:t xml:space="preserve"> </w:t>
            </w:r>
            <w:r>
              <w:rPr>
                <w:rFonts w:ascii="Times New Roman" w:hAnsi="Times New Roman" w:eastAsia="Times New Roman" w:cs="Times New Roman"/>
                <w:spacing w:val="-1"/>
              </w:rPr>
              <w:t xml:space="preserve">8-1 </w:t>
            </w:r>
            <w:r>
              <w:rPr>
                <w:spacing w:val="-1"/>
              </w:rPr>
              <w:t>一些常见单层隔声墙的</w:t>
            </w:r>
            <w:r>
              <w:t xml:space="preserve"> </w:t>
            </w:r>
            <w:r>
              <w:rPr>
                <w:spacing w:val="-2"/>
              </w:rPr>
              <w:t>隔声量的</w:t>
            </w:r>
            <w:r>
              <w:rPr>
                <w:rFonts w:ascii="Times New Roman" w:hAnsi="Times New Roman" w:eastAsia="Times New Roman" w:cs="Times New Roman"/>
                <w:spacing w:val="-2"/>
              </w:rPr>
              <w:t xml:space="preserve">“1/2 </w:t>
            </w:r>
            <w:r>
              <w:rPr>
                <w:spacing w:val="-2"/>
              </w:rPr>
              <w:t>砖墙，双面粉刷</w:t>
            </w:r>
            <w:r>
              <w:rPr>
                <w:rFonts w:ascii="Times New Roman" w:hAnsi="Times New Roman" w:eastAsia="Times New Roman" w:cs="Times New Roman"/>
                <w:spacing w:val="-2"/>
              </w:rPr>
              <w:t>”</w:t>
            </w:r>
            <w:r>
              <w:rPr>
                <w:spacing w:val="-2"/>
              </w:rPr>
              <w:t>的数据，实测的隔声量为</w:t>
            </w:r>
            <w:r>
              <w:rPr>
                <w:spacing w:val="-55"/>
              </w:rPr>
              <w:t xml:space="preserve"> </w:t>
            </w:r>
            <w:r>
              <w:rPr>
                <w:rFonts w:ascii="Times New Roman" w:hAnsi="Times New Roman" w:eastAsia="Times New Roman" w:cs="Times New Roman"/>
                <w:spacing w:val="-2"/>
              </w:rPr>
              <w:t>45.0dB</w:t>
            </w:r>
            <w:r>
              <w:rPr>
                <w:spacing w:val="-2"/>
              </w:rPr>
              <w:t>（</w:t>
            </w:r>
            <w:r>
              <w:rPr>
                <w:rFonts w:ascii="Times New Roman" w:hAnsi="Times New Roman" w:eastAsia="Times New Roman" w:cs="Times New Roman"/>
                <w:spacing w:val="-2"/>
              </w:rPr>
              <w:t>A</w:t>
            </w:r>
            <w:r>
              <w:rPr>
                <w:spacing w:val="-1"/>
              </w:rPr>
              <w:t>），</w:t>
            </w:r>
            <w:r>
              <w:rPr>
                <w:spacing w:val="-2"/>
              </w:rPr>
              <w:t>考虑到</w:t>
            </w:r>
            <w:r>
              <w:t xml:space="preserve"> </w:t>
            </w:r>
            <w:r>
              <w:rPr>
                <w:spacing w:val="2"/>
              </w:rPr>
              <w:t>项目门窗面积和开窗对隔声的负面影响，实际隔声量在</w:t>
            </w:r>
            <w:r>
              <w:rPr>
                <w:spacing w:val="-47"/>
              </w:rPr>
              <w:t xml:space="preserve"> </w:t>
            </w:r>
            <w:r>
              <w:rPr>
                <w:rFonts w:ascii="Times New Roman" w:hAnsi="Times New Roman" w:eastAsia="Times New Roman" w:cs="Times New Roman"/>
                <w:spacing w:val="2"/>
              </w:rPr>
              <w:t>20</w:t>
            </w:r>
            <w:r>
              <w:rPr>
                <w:rFonts w:ascii="Times New Roman" w:hAnsi="Times New Roman" w:eastAsia="Times New Roman" w:cs="Times New Roman"/>
              </w:rPr>
              <w:t>dB</w:t>
            </w:r>
            <w:r>
              <w:rPr>
                <w:rFonts w:ascii="Times New Roman" w:hAnsi="Times New Roman" w:eastAsia="Times New Roman" w:cs="Times New Roman"/>
                <w:spacing w:val="2"/>
              </w:rPr>
              <w:t xml:space="preserve"> </w:t>
            </w:r>
            <w:r>
              <w:rPr>
                <w:spacing w:val="2"/>
              </w:rPr>
              <w:t>左右。发电机放</w:t>
            </w:r>
            <w:r>
              <w:t xml:space="preserve"> </w:t>
            </w:r>
            <w:r>
              <w:rPr>
                <w:spacing w:val="-12"/>
              </w:rPr>
              <w:t>置于室内，在车间墙体隔声、设备基础减振等措施下，降噪效果可达</w:t>
            </w:r>
            <w:r>
              <w:rPr>
                <w:spacing w:val="-37"/>
              </w:rPr>
              <w:t xml:space="preserve"> </w:t>
            </w:r>
            <w:r>
              <w:rPr>
                <w:rFonts w:ascii="Times New Roman" w:hAnsi="Times New Roman" w:eastAsia="Times New Roman" w:cs="Times New Roman"/>
                <w:spacing w:val="-12"/>
              </w:rPr>
              <w:t>25dB</w:t>
            </w:r>
            <w:r>
              <w:rPr>
                <w:spacing w:val="-12"/>
              </w:rPr>
              <w:t>（</w:t>
            </w:r>
            <w:r>
              <w:rPr>
                <w:rFonts w:ascii="Times New Roman" w:hAnsi="Times New Roman" w:eastAsia="Times New Roman" w:cs="Times New Roman"/>
                <w:spacing w:val="-12"/>
              </w:rPr>
              <w:t>A</w:t>
            </w:r>
            <w:r>
              <w:rPr>
                <w:spacing w:val="-12"/>
              </w:rPr>
              <w:t>）。</w:t>
            </w:r>
            <w:r>
              <w:t xml:space="preserve"> </w:t>
            </w:r>
            <w:r>
              <w:rPr>
                <w:spacing w:val="-1"/>
              </w:rPr>
              <w:t>项目噪声预测参数详见下表：</w:t>
            </w:r>
          </w:p>
        </w:tc>
      </w:tr>
    </w:tbl>
    <w:p w14:paraId="4C60D78B">
      <w:pPr>
        <w:rPr>
          <w:rFonts w:ascii="Arial"/>
          <w:sz w:val="21"/>
        </w:rPr>
      </w:pPr>
    </w:p>
    <w:p w14:paraId="6C857919">
      <w:pPr>
        <w:rPr>
          <w:rFonts w:ascii="Arial" w:hAnsi="Arial" w:eastAsia="Arial" w:cs="Arial"/>
          <w:sz w:val="21"/>
          <w:szCs w:val="21"/>
        </w:rPr>
        <w:sectPr>
          <w:footerReference r:id="rId95" w:type="default"/>
          <w:pgSz w:w="11907" w:h="16840"/>
          <w:pgMar w:top="400" w:right="1453" w:bottom="1240" w:left="1453" w:header="0" w:footer="1077" w:gutter="0"/>
          <w:cols w:space="720" w:num="1"/>
        </w:sectPr>
      </w:pPr>
    </w:p>
    <w:p w14:paraId="6CEC6357">
      <w:pPr>
        <w:spacing w:before="19"/>
      </w:pPr>
    </w:p>
    <w:p w14:paraId="59A89729">
      <w:pPr>
        <w:spacing w:before="19"/>
      </w:pPr>
    </w:p>
    <w:p w14:paraId="1D266921">
      <w:pPr>
        <w:spacing w:before="19"/>
      </w:pPr>
    </w:p>
    <w:p w14:paraId="29B6337B">
      <w:pPr>
        <w:spacing w:before="18"/>
      </w:pPr>
    </w:p>
    <w:p w14:paraId="2B0E48E6">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5D434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5FBF3055">
            <w:pPr>
              <w:rPr>
                <w:rFonts w:ascii="Arial"/>
                <w:sz w:val="21"/>
              </w:rPr>
            </w:pPr>
          </w:p>
        </w:tc>
        <w:tc>
          <w:tcPr>
            <w:tcW w:w="8381" w:type="dxa"/>
            <w:tcBorders>
              <w:left w:val="single" w:color="000000" w:sz="2" w:space="0"/>
            </w:tcBorders>
            <w:vAlign w:val="top"/>
          </w:tcPr>
          <w:p w14:paraId="3A7D3DAA">
            <w:pPr>
              <w:spacing w:line="320" w:lineRule="auto"/>
              <w:rPr>
                <w:rFonts w:ascii="Arial"/>
                <w:sz w:val="21"/>
              </w:rPr>
            </w:pPr>
          </w:p>
          <w:p w14:paraId="57AB49D2">
            <w:pPr>
              <w:pStyle w:val="6"/>
              <w:spacing w:before="78" w:line="219" w:lineRule="auto"/>
              <w:ind w:left="2618"/>
            </w:pPr>
            <w:r>
              <w:rPr>
                <w:b/>
                <w:bCs/>
                <w:spacing w:val="-2"/>
              </w:rPr>
              <w:t>表</w:t>
            </w:r>
            <w:r>
              <w:rPr>
                <w:spacing w:val="-53"/>
              </w:rPr>
              <w:t xml:space="preserve"> </w:t>
            </w:r>
            <w:r>
              <w:rPr>
                <w:rFonts w:ascii="Times New Roman" w:hAnsi="Times New Roman" w:eastAsia="Times New Roman" w:cs="Times New Roman"/>
                <w:b/>
                <w:bCs/>
                <w:spacing w:val="-2"/>
              </w:rPr>
              <w:t xml:space="preserve">4-24    </w:t>
            </w:r>
            <w:r>
              <w:rPr>
                <w:b/>
                <w:bCs/>
                <w:spacing w:val="-2"/>
              </w:rPr>
              <w:t>噪声预测模式参数表</w:t>
            </w:r>
          </w:p>
          <w:p w14:paraId="4CCDCC48">
            <w:pPr>
              <w:spacing w:line="147" w:lineRule="exact"/>
            </w:pPr>
          </w:p>
          <w:tbl>
            <w:tblPr>
              <w:tblStyle w:val="5"/>
              <w:tblW w:w="8019" w:type="dxa"/>
              <w:tblInd w:w="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6"/>
              <w:gridCol w:w="927"/>
              <w:gridCol w:w="789"/>
              <w:gridCol w:w="894"/>
              <w:gridCol w:w="1084"/>
              <w:gridCol w:w="696"/>
              <w:gridCol w:w="776"/>
              <w:gridCol w:w="776"/>
              <w:gridCol w:w="782"/>
              <w:gridCol w:w="769"/>
            </w:tblGrid>
            <w:tr w14:paraId="5A29E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26" w:type="dxa"/>
                  <w:textDirection w:val="tbRlV"/>
                  <w:vAlign w:val="top"/>
                </w:tcPr>
                <w:p w14:paraId="14FE2C01">
                  <w:pPr>
                    <w:pStyle w:val="6"/>
                    <w:spacing w:before="155" w:line="218" w:lineRule="auto"/>
                    <w:ind w:left="198"/>
                    <w:rPr>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927" w:type="dxa"/>
                  <w:vAlign w:val="top"/>
                </w:tcPr>
                <w:p w14:paraId="09F8432B">
                  <w:pPr>
                    <w:pStyle w:val="6"/>
                    <w:spacing w:before="198" w:line="229" w:lineRule="auto"/>
                    <w:ind w:left="260"/>
                    <w:rPr>
                      <w:sz w:val="20"/>
                      <w:szCs w:val="20"/>
                    </w:rPr>
                  </w:pPr>
                  <w:r>
                    <w:rPr>
                      <w:b/>
                      <w:bCs/>
                      <w:spacing w:val="2"/>
                      <w:sz w:val="20"/>
                      <w:szCs w:val="20"/>
                    </w:rPr>
                    <w:t>设备</w:t>
                  </w:r>
                </w:p>
                <w:p w14:paraId="300064A0">
                  <w:pPr>
                    <w:pStyle w:val="6"/>
                    <w:spacing w:before="22" w:line="230" w:lineRule="auto"/>
                    <w:ind w:left="259"/>
                    <w:rPr>
                      <w:sz w:val="20"/>
                      <w:szCs w:val="20"/>
                    </w:rPr>
                  </w:pPr>
                  <w:r>
                    <w:rPr>
                      <w:b/>
                      <w:bCs/>
                      <w:spacing w:val="2"/>
                      <w:sz w:val="20"/>
                      <w:szCs w:val="20"/>
                    </w:rPr>
                    <w:t>名称</w:t>
                  </w:r>
                </w:p>
              </w:tc>
              <w:tc>
                <w:tcPr>
                  <w:tcW w:w="789" w:type="dxa"/>
                  <w:vAlign w:val="top"/>
                </w:tcPr>
                <w:p w14:paraId="0ED43A67">
                  <w:pPr>
                    <w:spacing w:line="266" w:lineRule="auto"/>
                    <w:rPr>
                      <w:rFonts w:ascii="Arial"/>
                      <w:sz w:val="21"/>
                    </w:rPr>
                  </w:pPr>
                </w:p>
                <w:p w14:paraId="7D66CC0D">
                  <w:pPr>
                    <w:pStyle w:val="6"/>
                    <w:spacing w:before="65" w:line="228" w:lineRule="auto"/>
                    <w:ind w:left="191"/>
                    <w:rPr>
                      <w:sz w:val="20"/>
                      <w:szCs w:val="20"/>
                    </w:rPr>
                  </w:pPr>
                  <w:r>
                    <w:rPr>
                      <w:b/>
                      <w:bCs/>
                      <w:spacing w:val="3"/>
                      <w:sz w:val="20"/>
                      <w:szCs w:val="20"/>
                    </w:rPr>
                    <w:t>数量</w:t>
                  </w:r>
                </w:p>
              </w:tc>
              <w:tc>
                <w:tcPr>
                  <w:tcW w:w="894" w:type="dxa"/>
                  <w:vAlign w:val="top"/>
                </w:tcPr>
                <w:p w14:paraId="0EFC4076">
                  <w:pPr>
                    <w:pStyle w:val="6"/>
                    <w:spacing w:before="198" w:line="258" w:lineRule="auto"/>
                    <w:ind w:left="113" w:right="19" w:firstLine="9"/>
                    <w:rPr>
                      <w:sz w:val="20"/>
                      <w:szCs w:val="20"/>
                    </w:rPr>
                  </w:pPr>
                  <w:r>
                    <w:rPr>
                      <w:b/>
                      <w:bCs/>
                      <w:spacing w:val="2"/>
                      <w:sz w:val="20"/>
                      <w:szCs w:val="20"/>
                    </w:rPr>
                    <w:t>噪声值</w:t>
                  </w:r>
                  <w:r>
                    <w:rPr>
                      <w:sz w:val="20"/>
                      <w:szCs w:val="20"/>
                    </w:rPr>
                    <w:t xml:space="preserve">  </w:t>
                  </w:r>
                  <w:r>
                    <w:rPr>
                      <w:rFonts w:ascii="Times New Roman" w:hAnsi="Times New Roman" w:eastAsia="Times New Roman" w:cs="Times New Roman"/>
                      <w:b/>
                      <w:bCs/>
                      <w:spacing w:val="-8"/>
                      <w:sz w:val="20"/>
                      <w:szCs w:val="20"/>
                    </w:rPr>
                    <w:t>dB</w:t>
                  </w:r>
                  <w:r>
                    <w:rPr>
                      <w:b/>
                      <w:bCs/>
                      <w:spacing w:val="-8"/>
                      <w:sz w:val="20"/>
                      <w:szCs w:val="20"/>
                    </w:rPr>
                    <w:t>（</w:t>
                  </w:r>
                  <w:r>
                    <w:rPr>
                      <w:rFonts w:ascii="Times New Roman" w:hAnsi="Times New Roman" w:eastAsia="Times New Roman" w:cs="Times New Roman"/>
                      <w:b/>
                      <w:bCs/>
                      <w:spacing w:val="-8"/>
                      <w:sz w:val="20"/>
                      <w:szCs w:val="20"/>
                    </w:rPr>
                    <w:t>A</w:t>
                  </w:r>
                  <w:r>
                    <w:rPr>
                      <w:b/>
                      <w:bCs/>
                      <w:spacing w:val="-8"/>
                      <w:sz w:val="20"/>
                      <w:szCs w:val="20"/>
                    </w:rPr>
                    <w:t>）</w:t>
                  </w:r>
                </w:p>
              </w:tc>
              <w:tc>
                <w:tcPr>
                  <w:tcW w:w="1084" w:type="dxa"/>
                  <w:vAlign w:val="top"/>
                </w:tcPr>
                <w:p w14:paraId="4ACB2398">
                  <w:pPr>
                    <w:pStyle w:val="6"/>
                    <w:spacing w:before="199" w:line="253" w:lineRule="auto"/>
                    <w:ind w:left="119" w:right="18" w:firstLine="13"/>
                    <w:rPr>
                      <w:sz w:val="20"/>
                      <w:szCs w:val="20"/>
                    </w:rPr>
                  </w:pPr>
                  <w:r>
                    <w:rPr>
                      <w:b/>
                      <w:bCs/>
                      <w:spacing w:val="5"/>
                      <w:sz w:val="20"/>
                      <w:szCs w:val="20"/>
                    </w:rPr>
                    <w:t>叠加后源</w:t>
                  </w:r>
                  <w:r>
                    <w:rPr>
                      <w:sz w:val="20"/>
                      <w:szCs w:val="20"/>
                    </w:rPr>
                    <w:t xml:space="preserve">  </w:t>
                  </w:r>
                  <w:r>
                    <w:rPr>
                      <w:b/>
                      <w:bCs/>
                      <w:spacing w:val="-18"/>
                      <w:sz w:val="20"/>
                      <w:szCs w:val="20"/>
                    </w:rPr>
                    <w:t>强</w:t>
                  </w:r>
                  <w:r>
                    <w:rPr>
                      <w:spacing w:val="-48"/>
                      <w:sz w:val="20"/>
                      <w:szCs w:val="20"/>
                    </w:rPr>
                    <w:t xml:space="preserve"> </w:t>
                  </w:r>
                  <w:r>
                    <w:rPr>
                      <w:rFonts w:ascii="Times New Roman" w:hAnsi="Times New Roman" w:eastAsia="Times New Roman" w:cs="Times New Roman"/>
                      <w:b/>
                      <w:bCs/>
                      <w:spacing w:val="-18"/>
                      <w:sz w:val="20"/>
                      <w:szCs w:val="20"/>
                    </w:rPr>
                    <w:t>dB</w:t>
                  </w:r>
                  <w:r>
                    <w:rPr>
                      <w:b/>
                      <w:bCs/>
                      <w:spacing w:val="-18"/>
                      <w:sz w:val="20"/>
                      <w:szCs w:val="20"/>
                    </w:rPr>
                    <w:t>（</w:t>
                  </w:r>
                  <w:r>
                    <w:rPr>
                      <w:rFonts w:ascii="Times New Roman" w:hAnsi="Times New Roman" w:eastAsia="Times New Roman" w:cs="Times New Roman"/>
                      <w:b/>
                      <w:bCs/>
                      <w:spacing w:val="-18"/>
                      <w:sz w:val="20"/>
                      <w:szCs w:val="20"/>
                    </w:rPr>
                    <w:t>A</w:t>
                  </w:r>
                  <w:r>
                    <w:rPr>
                      <w:b/>
                      <w:bCs/>
                      <w:spacing w:val="-18"/>
                      <w:sz w:val="20"/>
                      <w:szCs w:val="20"/>
                    </w:rPr>
                    <w:t>）</w:t>
                  </w:r>
                </w:p>
              </w:tc>
              <w:tc>
                <w:tcPr>
                  <w:tcW w:w="696" w:type="dxa"/>
                  <w:vAlign w:val="top"/>
                </w:tcPr>
                <w:p w14:paraId="756FB024">
                  <w:pPr>
                    <w:pStyle w:val="6"/>
                    <w:spacing w:before="76" w:line="228" w:lineRule="auto"/>
                    <w:ind w:left="156"/>
                    <w:rPr>
                      <w:sz w:val="20"/>
                      <w:szCs w:val="20"/>
                    </w:rPr>
                  </w:pPr>
                  <w:r>
                    <w:rPr>
                      <w:b/>
                      <w:bCs/>
                      <w:spacing w:val="-3"/>
                      <w:sz w:val="20"/>
                      <w:szCs w:val="20"/>
                    </w:rPr>
                    <w:t>隔声</w:t>
                  </w:r>
                </w:p>
                <w:p w14:paraId="2DE75D65">
                  <w:pPr>
                    <w:pStyle w:val="6"/>
                    <w:spacing w:before="26" w:line="233" w:lineRule="auto"/>
                    <w:ind w:left="275"/>
                    <w:rPr>
                      <w:sz w:val="20"/>
                      <w:szCs w:val="20"/>
                    </w:rPr>
                  </w:pPr>
                  <w:r>
                    <w:rPr>
                      <w:b/>
                      <w:bCs/>
                      <w:spacing w:val="-2"/>
                      <w:sz w:val="20"/>
                      <w:szCs w:val="20"/>
                    </w:rPr>
                    <w:t>量</w:t>
                  </w:r>
                </w:p>
                <w:p w14:paraId="5C2A9816">
                  <w:pPr>
                    <w:spacing w:before="42" w:line="192" w:lineRule="auto"/>
                    <w:ind w:left="22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dB</w:t>
                  </w:r>
                </w:p>
              </w:tc>
              <w:tc>
                <w:tcPr>
                  <w:tcW w:w="776" w:type="dxa"/>
                  <w:vAlign w:val="top"/>
                </w:tcPr>
                <w:p w14:paraId="39ED27A7">
                  <w:pPr>
                    <w:pStyle w:val="6"/>
                    <w:spacing w:before="76" w:line="228" w:lineRule="auto"/>
                    <w:ind w:left="83"/>
                    <w:rPr>
                      <w:sz w:val="20"/>
                      <w:szCs w:val="20"/>
                    </w:rPr>
                  </w:pPr>
                  <w:r>
                    <w:rPr>
                      <w:b/>
                      <w:bCs/>
                      <w:spacing w:val="4"/>
                      <w:sz w:val="20"/>
                      <w:szCs w:val="20"/>
                    </w:rPr>
                    <w:t>与东厂</w:t>
                  </w:r>
                </w:p>
                <w:p w14:paraId="383B1A51">
                  <w:pPr>
                    <w:pStyle w:val="6"/>
                    <w:spacing w:before="27" w:line="228" w:lineRule="auto"/>
                    <w:ind w:left="84"/>
                    <w:rPr>
                      <w:sz w:val="20"/>
                      <w:szCs w:val="20"/>
                    </w:rPr>
                  </w:pPr>
                  <w:r>
                    <w:rPr>
                      <w:b/>
                      <w:bCs/>
                      <w:spacing w:val="3"/>
                      <w:sz w:val="20"/>
                      <w:szCs w:val="20"/>
                    </w:rPr>
                    <w:t>界距离</w:t>
                  </w:r>
                </w:p>
                <w:p w14:paraId="23DA754F">
                  <w:pPr>
                    <w:spacing w:before="89" w:line="143" w:lineRule="exact"/>
                    <w:ind w:left="30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tc>
              <w:tc>
                <w:tcPr>
                  <w:tcW w:w="776" w:type="dxa"/>
                  <w:vAlign w:val="top"/>
                </w:tcPr>
                <w:p w14:paraId="6B1C78CF">
                  <w:pPr>
                    <w:pStyle w:val="6"/>
                    <w:spacing w:before="76" w:line="228" w:lineRule="auto"/>
                    <w:ind w:left="84"/>
                    <w:rPr>
                      <w:sz w:val="20"/>
                      <w:szCs w:val="20"/>
                    </w:rPr>
                  </w:pPr>
                  <w:r>
                    <w:rPr>
                      <w:b/>
                      <w:bCs/>
                      <w:spacing w:val="3"/>
                      <w:sz w:val="20"/>
                      <w:szCs w:val="20"/>
                    </w:rPr>
                    <w:t>与南厂</w:t>
                  </w:r>
                </w:p>
                <w:p w14:paraId="753DBB5E">
                  <w:pPr>
                    <w:pStyle w:val="6"/>
                    <w:spacing w:before="26" w:line="228" w:lineRule="auto"/>
                    <w:ind w:left="85"/>
                    <w:rPr>
                      <w:sz w:val="20"/>
                      <w:szCs w:val="20"/>
                    </w:rPr>
                  </w:pPr>
                  <w:r>
                    <w:rPr>
                      <w:b/>
                      <w:bCs/>
                      <w:spacing w:val="3"/>
                      <w:sz w:val="20"/>
                      <w:szCs w:val="20"/>
                    </w:rPr>
                    <w:t>界距离</w:t>
                  </w:r>
                </w:p>
                <w:p w14:paraId="4C85559C">
                  <w:pPr>
                    <w:spacing w:before="89" w:line="143" w:lineRule="exact"/>
                    <w:ind w:left="30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tc>
              <w:tc>
                <w:tcPr>
                  <w:tcW w:w="782" w:type="dxa"/>
                  <w:vAlign w:val="top"/>
                </w:tcPr>
                <w:p w14:paraId="091F5705">
                  <w:pPr>
                    <w:pStyle w:val="6"/>
                    <w:spacing w:before="76" w:line="228" w:lineRule="auto"/>
                    <w:ind w:left="86"/>
                    <w:rPr>
                      <w:sz w:val="20"/>
                      <w:szCs w:val="20"/>
                    </w:rPr>
                  </w:pPr>
                  <w:r>
                    <w:rPr>
                      <w:b/>
                      <w:bCs/>
                      <w:spacing w:val="4"/>
                      <w:sz w:val="20"/>
                      <w:szCs w:val="20"/>
                    </w:rPr>
                    <w:t>与西厂</w:t>
                  </w:r>
                </w:p>
                <w:p w14:paraId="7A1B4523">
                  <w:pPr>
                    <w:pStyle w:val="6"/>
                    <w:spacing w:before="26" w:line="228" w:lineRule="auto"/>
                    <w:ind w:left="87"/>
                    <w:rPr>
                      <w:sz w:val="20"/>
                      <w:szCs w:val="20"/>
                    </w:rPr>
                  </w:pPr>
                  <w:r>
                    <w:rPr>
                      <w:b/>
                      <w:bCs/>
                      <w:spacing w:val="3"/>
                      <w:sz w:val="20"/>
                      <w:szCs w:val="20"/>
                    </w:rPr>
                    <w:t>界距离</w:t>
                  </w:r>
                </w:p>
                <w:p w14:paraId="56F5DEC4">
                  <w:pPr>
                    <w:spacing w:before="89" w:line="143" w:lineRule="exact"/>
                    <w:ind w:left="30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tc>
              <w:tc>
                <w:tcPr>
                  <w:tcW w:w="769" w:type="dxa"/>
                  <w:vAlign w:val="top"/>
                </w:tcPr>
                <w:p w14:paraId="03F9A334">
                  <w:pPr>
                    <w:pStyle w:val="6"/>
                    <w:spacing w:before="76" w:line="228" w:lineRule="auto"/>
                    <w:ind w:left="77"/>
                    <w:rPr>
                      <w:sz w:val="20"/>
                      <w:szCs w:val="20"/>
                    </w:rPr>
                  </w:pPr>
                  <w:r>
                    <w:rPr>
                      <w:b/>
                      <w:bCs/>
                      <w:spacing w:val="4"/>
                      <w:sz w:val="20"/>
                      <w:szCs w:val="20"/>
                    </w:rPr>
                    <w:t>与北厂</w:t>
                  </w:r>
                </w:p>
                <w:p w14:paraId="1594122F">
                  <w:pPr>
                    <w:pStyle w:val="6"/>
                    <w:spacing w:before="26" w:line="228" w:lineRule="auto"/>
                    <w:ind w:left="78"/>
                    <w:rPr>
                      <w:sz w:val="20"/>
                      <w:szCs w:val="20"/>
                    </w:rPr>
                  </w:pPr>
                  <w:r>
                    <w:rPr>
                      <w:b/>
                      <w:bCs/>
                      <w:spacing w:val="3"/>
                      <w:sz w:val="20"/>
                      <w:szCs w:val="20"/>
                    </w:rPr>
                    <w:t>界距离</w:t>
                  </w:r>
                </w:p>
                <w:p w14:paraId="4C14C788">
                  <w:pPr>
                    <w:spacing w:before="89" w:line="143" w:lineRule="exact"/>
                    <w:ind w:left="30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tc>
            </w:tr>
            <w:tr w14:paraId="6474F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526" w:type="dxa"/>
                  <w:vAlign w:val="top"/>
                </w:tcPr>
                <w:p w14:paraId="27AB56B9">
                  <w:pPr>
                    <w:spacing w:before="24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7" w:type="dxa"/>
                  <w:vAlign w:val="top"/>
                </w:tcPr>
                <w:p w14:paraId="6E1FD04D">
                  <w:pPr>
                    <w:pStyle w:val="6"/>
                    <w:spacing w:before="74" w:line="228" w:lineRule="auto"/>
                    <w:ind w:left="153"/>
                    <w:rPr>
                      <w:sz w:val="20"/>
                      <w:szCs w:val="20"/>
                    </w:rPr>
                  </w:pPr>
                  <w:r>
                    <w:rPr>
                      <w:spacing w:val="7"/>
                      <w:sz w:val="20"/>
                      <w:szCs w:val="20"/>
                    </w:rPr>
                    <w:t>废气治</w:t>
                  </w:r>
                </w:p>
                <w:p w14:paraId="3E442147">
                  <w:pPr>
                    <w:pStyle w:val="6"/>
                    <w:spacing w:before="26" w:line="227" w:lineRule="auto"/>
                    <w:ind w:left="156"/>
                    <w:rPr>
                      <w:sz w:val="20"/>
                      <w:szCs w:val="20"/>
                    </w:rPr>
                  </w:pPr>
                  <w:r>
                    <w:rPr>
                      <w:spacing w:val="6"/>
                      <w:sz w:val="20"/>
                      <w:szCs w:val="20"/>
                    </w:rPr>
                    <w:t>理风机</w:t>
                  </w:r>
                </w:p>
              </w:tc>
              <w:tc>
                <w:tcPr>
                  <w:tcW w:w="789" w:type="dxa"/>
                  <w:vAlign w:val="top"/>
                </w:tcPr>
                <w:p w14:paraId="03C82B3B">
                  <w:pPr>
                    <w:pStyle w:val="6"/>
                    <w:spacing w:before="210" w:line="230" w:lineRule="auto"/>
                    <w:ind w:left="179"/>
                    <w:rPr>
                      <w:sz w:val="20"/>
                      <w:szCs w:val="20"/>
                    </w:rPr>
                  </w:pPr>
                  <w:r>
                    <w:rPr>
                      <w:rFonts w:ascii="Times New Roman" w:hAnsi="Times New Roman" w:eastAsia="Times New Roman" w:cs="Times New Roman"/>
                      <w:spacing w:val="-5"/>
                      <w:sz w:val="20"/>
                      <w:szCs w:val="20"/>
                    </w:rPr>
                    <w:t>13</w:t>
                  </w:r>
                  <w:r>
                    <w:rPr>
                      <w:rFonts w:ascii="Times New Roman" w:hAnsi="Times New Roman" w:eastAsia="Times New Roman" w:cs="Times New Roman"/>
                      <w:spacing w:val="25"/>
                      <w:w w:val="101"/>
                      <w:sz w:val="20"/>
                      <w:szCs w:val="20"/>
                    </w:rPr>
                    <w:t xml:space="preserve"> </w:t>
                  </w:r>
                  <w:r>
                    <w:rPr>
                      <w:spacing w:val="-5"/>
                      <w:sz w:val="20"/>
                      <w:szCs w:val="20"/>
                    </w:rPr>
                    <w:t>台</w:t>
                  </w:r>
                </w:p>
              </w:tc>
              <w:tc>
                <w:tcPr>
                  <w:tcW w:w="894" w:type="dxa"/>
                  <w:vAlign w:val="top"/>
                </w:tcPr>
                <w:p w14:paraId="332AAE62">
                  <w:pPr>
                    <w:spacing w:before="24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084" w:type="dxa"/>
                  <w:vAlign w:val="top"/>
                </w:tcPr>
                <w:p w14:paraId="45FC8886">
                  <w:pPr>
                    <w:spacing w:before="246"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696" w:type="dxa"/>
                  <w:vAlign w:val="top"/>
                </w:tcPr>
                <w:p w14:paraId="49510CA1">
                  <w:pPr>
                    <w:spacing w:before="246"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76" w:type="dxa"/>
                  <w:vAlign w:val="top"/>
                </w:tcPr>
                <w:p w14:paraId="524A9900">
                  <w:pPr>
                    <w:spacing w:before="24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76" w:type="dxa"/>
                  <w:vAlign w:val="top"/>
                </w:tcPr>
                <w:p w14:paraId="300428AB">
                  <w:pPr>
                    <w:spacing w:before="24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82" w:type="dxa"/>
                  <w:vAlign w:val="top"/>
                </w:tcPr>
                <w:p w14:paraId="6CE0B8AF">
                  <w:pPr>
                    <w:spacing w:before="24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69" w:type="dxa"/>
                  <w:vAlign w:val="top"/>
                </w:tcPr>
                <w:p w14:paraId="370179EC">
                  <w:pPr>
                    <w:spacing w:before="24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2DA88C4F">
            <w:pPr>
              <w:pStyle w:val="6"/>
              <w:spacing w:before="154" w:line="220" w:lineRule="auto"/>
              <w:ind w:left="583"/>
            </w:pPr>
            <w:r>
              <w:rPr>
                <w:rFonts w:ascii="Times New Roman" w:hAnsi="Times New Roman" w:eastAsia="Times New Roman" w:cs="Times New Roman"/>
                <w:b/>
                <w:bCs/>
                <w:spacing w:val="-2"/>
              </w:rPr>
              <w:t xml:space="preserve">3.2.2 </w:t>
            </w:r>
            <w:r>
              <w:rPr>
                <w:b/>
                <w:bCs/>
                <w:spacing w:val="-2"/>
              </w:rPr>
              <w:t>预测结果及分析</w:t>
            </w:r>
          </w:p>
          <w:p w14:paraId="7CC575F6">
            <w:pPr>
              <w:pStyle w:val="6"/>
              <w:spacing w:before="181" w:line="219" w:lineRule="auto"/>
              <w:ind w:left="590"/>
            </w:pPr>
            <w:r>
              <w:rPr>
                <w:spacing w:val="-1"/>
              </w:rPr>
              <w:t>本项目预测结果详见下表：</w:t>
            </w:r>
          </w:p>
          <w:p w14:paraId="40CDF163">
            <w:pPr>
              <w:pStyle w:val="6"/>
              <w:spacing w:before="301" w:line="220" w:lineRule="auto"/>
              <w:ind w:left="2496"/>
            </w:pPr>
            <w:r>
              <w:rPr>
                <w:b/>
                <w:bCs/>
                <w:spacing w:val="-2"/>
              </w:rPr>
              <w:t>表</w:t>
            </w:r>
            <w:r>
              <w:rPr>
                <w:spacing w:val="-48"/>
              </w:rPr>
              <w:t xml:space="preserve"> </w:t>
            </w:r>
            <w:r>
              <w:rPr>
                <w:rFonts w:ascii="Times New Roman" w:hAnsi="Times New Roman" w:eastAsia="Times New Roman" w:cs="Times New Roman"/>
                <w:b/>
                <w:bCs/>
                <w:spacing w:val="-2"/>
              </w:rPr>
              <w:t xml:space="preserve">4-25    </w:t>
            </w:r>
            <w:r>
              <w:rPr>
                <w:b/>
                <w:bCs/>
                <w:spacing w:val="-2"/>
              </w:rPr>
              <w:t>项目设备噪声预测结果</w:t>
            </w:r>
          </w:p>
          <w:p w14:paraId="6A735C90">
            <w:pPr>
              <w:spacing w:line="147" w:lineRule="exact"/>
            </w:pPr>
          </w:p>
          <w:tbl>
            <w:tblPr>
              <w:tblStyle w:val="5"/>
              <w:tblW w:w="8062" w:type="dxa"/>
              <w:tblInd w:w="1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077"/>
              <w:gridCol w:w="1449"/>
              <w:gridCol w:w="1106"/>
              <w:gridCol w:w="1093"/>
              <w:gridCol w:w="1083"/>
              <w:gridCol w:w="1537"/>
            </w:tblGrid>
            <w:tr w14:paraId="0DEE7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17" w:type="dxa"/>
                  <w:vMerge w:val="restart"/>
                  <w:tcBorders>
                    <w:bottom w:val="nil"/>
                  </w:tcBorders>
                  <w:vAlign w:val="top"/>
                </w:tcPr>
                <w:p w14:paraId="3D577B22">
                  <w:pPr>
                    <w:spacing w:line="378" w:lineRule="auto"/>
                    <w:rPr>
                      <w:rFonts w:ascii="Arial"/>
                      <w:sz w:val="21"/>
                    </w:rPr>
                  </w:pPr>
                </w:p>
                <w:p w14:paraId="21B3E5AE">
                  <w:pPr>
                    <w:pStyle w:val="6"/>
                    <w:spacing w:before="65" w:line="228" w:lineRule="auto"/>
                    <w:ind w:left="162"/>
                    <w:rPr>
                      <w:sz w:val="20"/>
                      <w:szCs w:val="20"/>
                    </w:rPr>
                  </w:pPr>
                  <w:r>
                    <w:rPr>
                      <w:b/>
                      <w:bCs/>
                      <w:spacing w:val="-1"/>
                      <w:sz w:val="20"/>
                      <w:szCs w:val="20"/>
                    </w:rPr>
                    <w:t>噪声</w:t>
                  </w:r>
                </w:p>
                <w:p w14:paraId="4F3340A0">
                  <w:pPr>
                    <w:pStyle w:val="6"/>
                    <w:spacing w:before="24" w:line="254" w:lineRule="auto"/>
                    <w:ind w:left="258" w:right="147" w:hanging="107"/>
                    <w:rPr>
                      <w:sz w:val="20"/>
                      <w:szCs w:val="20"/>
                    </w:rPr>
                  </w:pPr>
                  <w:r>
                    <w:rPr>
                      <w:b/>
                      <w:bCs/>
                      <w:spacing w:val="4"/>
                      <w:sz w:val="20"/>
                      <w:szCs w:val="20"/>
                    </w:rPr>
                    <w:t>源区</w:t>
                  </w:r>
                  <w:r>
                    <w:rPr>
                      <w:sz w:val="20"/>
                      <w:szCs w:val="20"/>
                    </w:rPr>
                    <w:t xml:space="preserve"> </w:t>
                  </w:r>
                  <w:r>
                    <w:rPr>
                      <w:b/>
                      <w:bCs/>
                      <w:spacing w:val="-3"/>
                      <w:sz w:val="20"/>
                      <w:szCs w:val="20"/>
                    </w:rPr>
                    <w:t>域</w:t>
                  </w:r>
                </w:p>
              </w:tc>
              <w:tc>
                <w:tcPr>
                  <w:tcW w:w="1077" w:type="dxa"/>
                  <w:vMerge w:val="restart"/>
                  <w:tcBorders>
                    <w:bottom w:val="nil"/>
                  </w:tcBorders>
                  <w:vAlign w:val="top"/>
                </w:tcPr>
                <w:p w14:paraId="77CB6D09">
                  <w:pPr>
                    <w:spacing w:line="342" w:lineRule="auto"/>
                    <w:rPr>
                      <w:rFonts w:ascii="Arial"/>
                      <w:sz w:val="21"/>
                    </w:rPr>
                  </w:pPr>
                </w:p>
                <w:p w14:paraId="2A3116B5">
                  <w:pPr>
                    <w:pStyle w:val="6"/>
                    <w:spacing w:before="65" w:line="229" w:lineRule="auto"/>
                    <w:ind w:left="122"/>
                    <w:rPr>
                      <w:sz w:val="20"/>
                      <w:szCs w:val="20"/>
                    </w:rPr>
                  </w:pPr>
                  <w:r>
                    <w:rPr>
                      <w:b/>
                      <w:bCs/>
                      <w:spacing w:val="5"/>
                      <w:sz w:val="20"/>
                      <w:szCs w:val="20"/>
                    </w:rPr>
                    <w:t>设备名称</w:t>
                  </w:r>
                </w:p>
              </w:tc>
              <w:tc>
                <w:tcPr>
                  <w:tcW w:w="1449" w:type="dxa"/>
                  <w:vMerge w:val="restart"/>
                  <w:tcBorders>
                    <w:bottom w:val="nil"/>
                  </w:tcBorders>
                  <w:vAlign w:val="top"/>
                </w:tcPr>
                <w:p w14:paraId="7A0FB927">
                  <w:pPr>
                    <w:pStyle w:val="6"/>
                    <w:spacing w:before="139" w:line="251" w:lineRule="auto"/>
                    <w:ind w:left="150" w:right="151" w:firstLine="50"/>
                    <w:rPr>
                      <w:rFonts w:ascii="Times New Roman" w:hAnsi="Times New Roman" w:eastAsia="Times New Roman" w:cs="Times New Roman"/>
                      <w:sz w:val="20"/>
                      <w:szCs w:val="20"/>
                    </w:rPr>
                  </w:pPr>
                  <w:r>
                    <w:rPr>
                      <w:b/>
                      <w:bCs/>
                      <w:spacing w:val="6"/>
                      <w:sz w:val="20"/>
                      <w:szCs w:val="20"/>
                    </w:rPr>
                    <w:t>采取防治措</w:t>
                  </w:r>
                  <w:r>
                    <w:rPr>
                      <w:spacing w:val="2"/>
                      <w:sz w:val="20"/>
                      <w:szCs w:val="20"/>
                    </w:rPr>
                    <w:t xml:space="preserve"> </w:t>
                  </w:r>
                  <w:r>
                    <w:rPr>
                      <w:b/>
                      <w:bCs/>
                      <w:spacing w:val="7"/>
                      <w:sz w:val="20"/>
                      <w:szCs w:val="20"/>
                    </w:rPr>
                    <w:t>施后声级</w:t>
                  </w:r>
                  <w:r>
                    <w:rPr>
                      <w:spacing w:val="-40"/>
                      <w:sz w:val="20"/>
                      <w:szCs w:val="20"/>
                    </w:rPr>
                    <w:t xml:space="preserve"> </w:t>
                  </w:r>
                  <w:r>
                    <w:rPr>
                      <w:rFonts w:ascii="Times New Roman" w:hAnsi="Times New Roman" w:eastAsia="Times New Roman" w:cs="Times New Roman"/>
                      <w:b/>
                      <w:bCs/>
                      <w:sz w:val="20"/>
                      <w:szCs w:val="20"/>
                    </w:rPr>
                    <w:t>dB</w:t>
                  </w:r>
                </w:p>
                <w:p w14:paraId="3CECE129">
                  <w:pPr>
                    <w:pStyle w:val="6"/>
                    <w:spacing w:line="239" w:lineRule="auto"/>
                    <w:ind w:left="451"/>
                    <w:rPr>
                      <w:sz w:val="20"/>
                      <w:szCs w:val="20"/>
                    </w:rPr>
                  </w:pPr>
                  <w:r>
                    <w:rPr>
                      <w:b/>
                      <w:bCs/>
                      <w:spacing w:val="-2"/>
                      <w:sz w:val="20"/>
                      <w:szCs w:val="20"/>
                    </w:rPr>
                    <w:t>（</w:t>
                  </w:r>
                  <w:r>
                    <w:rPr>
                      <w:rFonts w:ascii="Times New Roman" w:hAnsi="Times New Roman" w:eastAsia="Times New Roman" w:cs="Times New Roman"/>
                      <w:b/>
                      <w:bCs/>
                      <w:spacing w:val="-2"/>
                      <w:sz w:val="20"/>
                      <w:szCs w:val="20"/>
                    </w:rPr>
                    <w:t>A</w:t>
                  </w:r>
                  <w:r>
                    <w:rPr>
                      <w:b/>
                      <w:bCs/>
                      <w:spacing w:val="-2"/>
                      <w:sz w:val="20"/>
                      <w:szCs w:val="20"/>
                    </w:rPr>
                    <w:t>）</w:t>
                  </w:r>
                </w:p>
              </w:tc>
              <w:tc>
                <w:tcPr>
                  <w:tcW w:w="4819" w:type="dxa"/>
                  <w:gridSpan w:val="4"/>
                  <w:vAlign w:val="top"/>
                </w:tcPr>
                <w:p w14:paraId="3A650C0B">
                  <w:pPr>
                    <w:pStyle w:val="6"/>
                    <w:spacing w:before="152" w:line="227" w:lineRule="auto"/>
                    <w:ind w:left="390"/>
                    <w:rPr>
                      <w:sz w:val="20"/>
                      <w:szCs w:val="20"/>
                    </w:rPr>
                  </w:pPr>
                  <w:r>
                    <w:rPr>
                      <w:b/>
                      <w:bCs/>
                      <w:spacing w:val="7"/>
                      <w:sz w:val="20"/>
                      <w:szCs w:val="20"/>
                    </w:rPr>
                    <w:t>采取防治措施及衰减后叠加贡献值</w:t>
                  </w:r>
                  <w:r>
                    <w:rPr>
                      <w:spacing w:val="-27"/>
                      <w:sz w:val="20"/>
                      <w:szCs w:val="20"/>
                    </w:rPr>
                    <w:t xml:space="preserve"> </w:t>
                  </w:r>
                  <w:r>
                    <w:rPr>
                      <w:rFonts w:ascii="Times New Roman" w:hAnsi="Times New Roman" w:eastAsia="Times New Roman" w:cs="Times New Roman"/>
                      <w:b/>
                      <w:bCs/>
                      <w:sz w:val="20"/>
                      <w:szCs w:val="20"/>
                    </w:rPr>
                    <w:t>dB</w:t>
                  </w:r>
                  <w:r>
                    <w:rPr>
                      <w:b/>
                      <w:bCs/>
                      <w:spacing w:val="7"/>
                      <w:sz w:val="20"/>
                      <w:szCs w:val="20"/>
                    </w:rPr>
                    <w:t>（</w:t>
                  </w:r>
                  <w:r>
                    <w:rPr>
                      <w:rFonts w:ascii="Times New Roman" w:hAnsi="Times New Roman" w:eastAsia="Times New Roman" w:cs="Times New Roman"/>
                      <w:b/>
                      <w:bCs/>
                      <w:spacing w:val="7"/>
                      <w:sz w:val="20"/>
                      <w:szCs w:val="20"/>
                    </w:rPr>
                    <w:t>A</w:t>
                  </w:r>
                  <w:r>
                    <w:rPr>
                      <w:b/>
                      <w:bCs/>
                      <w:spacing w:val="7"/>
                      <w:sz w:val="20"/>
                      <w:szCs w:val="20"/>
                    </w:rPr>
                    <w:t>）</w:t>
                  </w:r>
                </w:p>
              </w:tc>
            </w:tr>
            <w:tr w14:paraId="4F029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717" w:type="dxa"/>
                  <w:vMerge w:val="continue"/>
                  <w:tcBorders>
                    <w:top w:val="nil"/>
                    <w:bottom w:val="nil"/>
                  </w:tcBorders>
                  <w:vAlign w:val="top"/>
                </w:tcPr>
                <w:p w14:paraId="4AD57DC7">
                  <w:pPr>
                    <w:rPr>
                      <w:rFonts w:ascii="Arial"/>
                      <w:sz w:val="21"/>
                    </w:rPr>
                  </w:pPr>
                </w:p>
              </w:tc>
              <w:tc>
                <w:tcPr>
                  <w:tcW w:w="1077" w:type="dxa"/>
                  <w:vMerge w:val="continue"/>
                  <w:tcBorders>
                    <w:top w:val="nil"/>
                  </w:tcBorders>
                  <w:vAlign w:val="top"/>
                </w:tcPr>
                <w:p w14:paraId="6718276C">
                  <w:pPr>
                    <w:rPr>
                      <w:rFonts w:ascii="Arial"/>
                      <w:sz w:val="21"/>
                    </w:rPr>
                  </w:pPr>
                </w:p>
              </w:tc>
              <w:tc>
                <w:tcPr>
                  <w:tcW w:w="1449" w:type="dxa"/>
                  <w:vMerge w:val="continue"/>
                  <w:tcBorders>
                    <w:top w:val="nil"/>
                  </w:tcBorders>
                  <w:vAlign w:val="top"/>
                </w:tcPr>
                <w:p w14:paraId="0C1C8069">
                  <w:pPr>
                    <w:rPr>
                      <w:rFonts w:ascii="Arial"/>
                      <w:sz w:val="21"/>
                    </w:rPr>
                  </w:pPr>
                </w:p>
              </w:tc>
              <w:tc>
                <w:tcPr>
                  <w:tcW w:w="1106" w:type="dxa"/>
                  <w:vAlign w:val="top"/>
                </w:tcPr>
                <w:p w14:paraId="25042AB8">
                  <w:pPr>
                    <w:pStyle w:val="6"/>
                    <w:spacing w:before="147" w:line="228" w:lineRule="auto"/>
                    <w:ind w:left="250"/>
                    <w:rPr>
                      <w:sz w:val="20"/>
                      <w:szCs w:val="20"/>
                    </w:rPr>
                  </w:pPr>
                  <w:r>
                    <w:rPr>
                      <w:b/>
                      <w:bCs/>
                      <w:spacing w:val="3"/>
                      <w:sz w:val="20"/>
                      <w:szCs w:val="20"/>
                    </w:rPr>
                    <w:t>东厂界</w:t>
                  </w:r>
                </w:p>
              </w:tc>
              <w:tc>
                <w:tcPr>
                  <w:tcW w:w="1093" w:type="dxa"/>
                  <w:vAlign w:val="top"/>
                </w:tcPr>
                <w:p w14:paraId="149B336A">
                  <w:pPr>
                    <w:pStyle w:val="6"/>
                    <w:spacing w:before="148" w:line="228" w:lineRule="auto"/>
                    <w:ind w:left="238"/>
                    <w:rPr>
                      <w:sz w:val="20"/>
                      <w:szCs w:val="20"/>
                    </w:rPr>
                  </w:pPr>
                  <w:r>
                    <w:rPr>
                      <w:b/>
                      <w:bCs/>
                      <w:spacing w:val="4"/>
                      <w:sz w:val="20"/>
                      <w:szCs w:val="20"/>
                    </w:rPr>
                    <w:t>南厂界</w:t>
                  </w:r>
                </w:p>
              </w:tc>
              <w:tc>
                <w:tcPr>
                  <w:tcW w:w="1083" w:type="dxa"/>
                  <w:vAlign w:val="top"/>
                </w:tcPr>
                <w:p w14:paraId="253D2888">
                  <w:pPr>
                    <w:pStyle w:val="6"/>
                    <w:spacing w:before="148" w:line="228" w:lineRule="auto"/>
                    <w:ind w:left="237"/>
                    <w:rPr>
                      <w:sz w:val="20"/>
                      <w:szCs w:val="20"/>
                    </w:rPr>
                  </w:pPr>
                  <w:r>
                    <w:rPr>
                      <w:b/>
                      <w:bCs/>
                      <w:spacing w:val="3"/>
                      <w:sz w:val="20"/>
                      <w:szCs w:val="20"/>
                    </w:rPr>
                    <w:t>西厂界</w:t>
                  </w:r>
                </w:p>
              </w:tc>
              <w:tc>
                <w:tcPr>
                  <w:tcW w:w="1537" w:type="dxa"/>
                  <w:vAlign w:val="top"/>
                </w:tcPr>
                <w:p w14:paraId="4FA49BE1">
                  <w:pPr>
                    <w:pStyle w:val="6"/>
                    <w:spacing w:before="148" w:line="228" w:lineRule="auto"/>
                    <w:ind w:left="461"/>
                    <w:rPr>
                      <w:sz w:val="20"/>
                      <w:szCs w:val="20"/>
                    </w:rPr>
                  </w:pPr>
                  <w:r>
                    <w:rPr>
                      <w:b/>
                      <w:bCs/>
                      <w:spacing w:val="4"/>
                      <w:sz w:val="20"/>
                      <w:szCs w:val="20"/>
                    </w:rPr>
                    <w:t>北厂界</w:t>
                  </w:r>
                </w:p>
              </w:tc>
            </w:tr>
            <w:tr w14:paraId="43992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17" w:type="dxa"/>
                  <w:vMerge w:val="continue"/>
                  <w:tcBorders>
                    <w:top w:val="nil"/>
                  </w:tcBorders>
                  <w:vAlign w:val="top"/>
                </w:tcPr>
                <w:p w14:paraId="4B358E1A">
                  <w:pPr>
                    <w:rPr>
                      <w:rFonts w:ascii="Arial"/>
                      <w:sz w:val="21"/>
                    </w:rPr>
                  </w:pPr>
                </w:p>
              </w:tc>
              <w:tc>
                <w:tcPr>
                  <w:tcW w:w="1077" w:type="dxa"/>
                  <w:vAlign w:val="top"/>
                </w:tcPr>
                <w:p w14:paraId="152F90A5">
                  <w:pPr>
                    <w:pStyle w:val="6"/>
                    <w:spacing w:before="61" w:line="228" w:lineRule="auto"/>
                    <w:ind w:left="120"/>
                    <w:rPr>
                      <w:sz w:val="20"/>
                      <w:szCs w:val="20"/>
                    </w:rPr>
                  </w:pPr>
                  <w:r>
                    <w:rPr>
                      <w:spacing w:val="7"/>
                      <w:sz w:val="20"/>
                      <w:szCs w:val="20"/>
                    </w:rPr>
                    <w:t>废气治理</w:t>
                  </w:r>
                </w:p>
                <w:p w14:paraId="7239B06C">
                  <w:pPr>
                    <w:pStyle w:val="6"/>
                    <w:spacing w:before="26" w:line="227" w:lineRule="auto"/>
                    <w:ind w:left="333"/>
                    <w:rPr>
                      <w:sz w:val="20"/>
                      <w:szCs w:val="20"/>
                    </w:rPr>
                  </w:pPr>
                  <w:r>
                    <w:rPr>
                      <w:spacing w:val="4"/>
                      <w:sz w:val="20"/>
                      <w:szCs w:val="20"/>
                    </w:rPr>
                    <w:t>风机</w:t>
                  </w:r>
                </w:p>
              </w:tc>
              <w:tc>
                <w:tcPr>
                  <w:tcW w:w="1449" w:type="dxa"/>
                  <w:vAlign w:val="top"/>
                </w:tcPr>
                <w:p w14:paraId="292717AF">
                  <w:pPr>
                    <w:spacing w:before="233" w:line="195" w:lineRule="auto"/>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106" w:type="dxa"/>
                  <w:vAlign w:val="top"/>
                </w:tcPr>
                <w:p w14:paraId="1A8A9226">
                  <w:pPr>
                    <w:spacing w:before="23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17.72</w:t>
                  </w:r>
                </w:p>
              </w:tc>
              <w:tc>
                <w:tcPr>
                  <w:tcW w:w="1093" w:type="dxa"/>
                  <w:vAlign w:val="top"/>
                </w:tcPr>
                <w:p w14:paraId="5E6BBC60">
                  <w:pPr>
                    <w:spacing w:before="233"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13.30</w:t>
                  </w:r>
                </w:p>
              </w:tc>
              <w:tc>
                <w:tcPr>
                  <w:tcW w:w="1083" w:type="dxa"/>
                  <w:vAlign w:val="top"/>
                </w:tcPr>
                <w:p w14:paraId="7B6005F8">
                  <w:pPr>
                    <w:spacing w:before="23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17.72</w:t>
                  </w:r>
                </w:p>
              </w:tc>
              <w:tc>
                <w:tcPr>
                  <w:tcW w:w="1537" w:type="dxa"/>
                  <w:vAlign w:val="top"/>
                </w:tcPr>
                <w:p w14:paraId="1D225F7D">
                  <w:pPr>
                    <w:spacing w:before="23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11.22</w:t>
                  </w:r>
                </w:p>
              </w:tc>
            </w:tr>
            <w:tr w14:paraId="27F1D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3243" w:type="dxa"/>
                  <w:gridSpan w:val="3"/>
                  <w:vAlign w:val="top"/>
                </w:tcPr>
                <w:p w14:paraId="24EA797B">
                  <w:pPr>
                    <w:pStyle w:val="6"/>
                    <w:spacing w:before="150" w:line="229" w:lineRule="auto"/>
                    <w:ind w:left="1417"/>
                    <w:rPr>
                      <w:sz w:val="20"/>
                      <w:szCs w:val="20"/>
                    </w:rPr>
                  </w:pPr>
                  <w:r>
                    <w:rPr>
                      <w:spacing w:val="4"/>
                      <w:sz w:val="20"/>
                      <w:szCs w:val="20"/>
                    </w:rPr>
                    <w:t>合计</w:t>
                  </w:r>
                </w:p>
              </w:tc>
              <w:tc>
                <w:tcPr>
                  <w:tcW w:w="1106" w:type="dxa"/>
                  <w:vAlign w:val="top"/>
                </w:tcPr>
                <w:p w14:paraId="0EBABDAA">
                  <w:pPr>
                    <w:spacing w:before="189" w:line="192"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093" w:type="dxa"/>
                  <w:vAlign w:val="top"/>
                </w:tcPr>
                <w:p w14:paraId="2ADD2608">
                  <w:pPr>
                    <w:spacing w:before="18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083" w:type="dxa"/>
                  <w:vAlign w:val="top"/>
                </w:tcPr>
                <w:p w14:paraId="37419367">
                  <w:pPr>
                    <w:spacing w:before="189" w:line="192"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37" w:type="dxa"/>
                  <w:vAlign w:val="top"/>
                </w:tcPr>
                <w:p w14:paraId="76CCEB26">
                  <w:pPr>
                    <w:spacing w:before="186" w:line="195" w:lineRule="auto"/>
                    <w:ind w:left="669"/>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r>
            <w:tr w14:paraId="1567D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3243" w:type="dxa"/>
                  <w:gridSpan w:val="3"/>
                  <w:vAlign w:val="top"/>
                </w:tcPr>
                <w:p w14:paraId="31A6975B">
                  <w:pPr>
                    <w:pStyle w:val="6"/>
                    <w:spacing w:before="150" w:line="228" w:lineRule="auto"/>
                    <w:ind w:left="877"/>
                    <w:rPr>
                      <w:sz w:val="20"/>
                      <w:szCs w:val="20"/>
                    </w:rPr>
                  </w:pPr>
                  <w:r>
                    <w:rPr>
                      <w:spacing w:val="7"/>
                      <w:sz w:val="20"/>
                      <w:szCs w:val="20"/>
                    </w:rPr>
                    <w:t>标准值</w:t>
                  </w:r>
                  <w:r>
                    <w:rPr>
                      <w:spacing w:val="-41"/>
                      <w:sz w:val="20"/>
                      <w:szCs w:val="20"/>
                    </w:rPr>
                    <w:t xml:space="preserve"> </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7"/>
                      <w:sz w:val="20"/>
                      <w:szCs w:val="20"/>
                    </w:rPr>
                    <w:t>）</w:t>
                  </w:r>
                </w:p>
              </w:tc>
              <w:tc>
                <w:tcPr>
                  <w:tcW w:w="1106" w:type="dxa"/>
                  <w:vAlign w:val="top"/>
                </w:tcPr>
                <w:p w14:paraId="4B82ED29">
                  <w:pPr>
                    <w:spacing w:before="186" w:line="195" w:lineRule="auto"/>
                    <w:ind w:left="45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093" w:type="dxa"/>
                  <w:vAlign w:val="top"/>
                </w:tcPr>
                <w:p w14:paraId="0B3AF7CF">
                  <w:pPr>
                    <w:spacing w:before="186"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083" w:type="dxa"/>
                  <w:vAlign w:val="top"/>
                </w:tcPr>
                <w:p w14:paraId="0F2EEB8F">
                  <w:pPr>
                    <w:spacing w:before="186"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537" w:type="dxa"/>
                  <w:vAlign w:val="top"/>
                </w:tcPr>
                <w:p w14:paraId="6648025B">
                  <w:pPr>
                    <w:spacing w:before="189" w:line="192"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03B72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3243" w:type="dxa"/>
                  <w:gridSpan w:val="3"/>
                  <w:vAlign w:val="top"/>
                </w:tcPr>
                <w:p w14:paraId="646D51A3">
                  <w:pPr>
                    <w:pStyle w:val="6"/>
                    <w:spacing w:before="158" w:line="228" w:lineRule="auto"/>
                    <w:ind w:left="1207"/>
                    <w:rPr>
                      <w:sz w:val="20"/>
                      <w:szCs w:val="20"/>
                    </w:rPr>
                  </w:pPr>
                  <w:r>
                    <w:rPr>
                      <w:spacing w:val="7"/>
                      <w:sz w:val="20"/>
                      <w:szCs w:val="20"/>
                    </w:rPr>
                    <w:t>达标情况</w:t>
                  </w:r>
                </w:p>
              </w:tc>
              <w:tc>
                <w:tcPr>
                  <w:tcW w:w="1106" w:type="dxa"/>
                  <w:vAlign w:val="top"/>
                </w:tcPr>
                <w:p w14:paraId="728ACF70">
                  <w:pPr>
                    <w:pStyle w:val="6"/>
                    <w:spacing w:before="158" w:line="228" w:lineRule="auto"/>
                    <w:ind w:left="347"/>
                    <w:rPr>
                      <w:sz w:val="20"/>
                      <w:szCs w:val="20"/>
                    </w:rPr>
                  </w:pPr>
                  <w:r>
                    <w:rPr>
                      <w:spacing w:val="5"/>
                      <w:sz w:val="20"/>
                      <w:szCs w:val="20"/>
                    </w:rPr>
                    <w:t>达标</w:t>
                  </w:r>
                </w:p>
              </w:tc>
              <w:tc>
                <w:tcPr>
                  <w:tcW w:w="1093" w:type="dxa"/>
                  <w:vAlign w:val="top"/>
                </w:tcPr>
                <w:p w14:paraId="08BC6755">
                  <w:pPr>
                    <w:pStyle w:val="6"/>
                    <w:spacing w:before="158" w:line="228" w:lineRule="auto"/>
                    <w:ind w:left="340"/>
                    <w:rPr>
                      <w:sz w:val="20"/>
                      <w:szCs w:val="20"/>
                    </w:rPr>
                  </w:pPr>
                  <w:r>
                    <w:rPr>
                      <w:spacing w:val="5"/>
                      <w:sz w:val="20"/>
                      <w:szCs w:val="20"/>
                    </w:rPr>
                    <w:t>达标</w:t>
                  </w:r>
                </w:p>
              </w:tc>
              <w:tc>
                <w:tcPr>
                  <w:tcW w:w="1083" w:type="dxa"/>
                  <w:vAlign w:val="top"/>
                </w:tcPr>
                <w:p w14:paraId="3AFA08B4">
                  <w:pPr>
                    <w:pStyle w:val="6"/>
                    <w:spacing w:before="158" w:line="228" w:lineRule="auto"/>
                    <w:ind w:left="337"/>
                    <w:rPr>
                      <w:sz w:val="20"/>
                      <w:szCs w:val="20"/>
                    </w:rPr>
                  </w:pPr>
                  <w:r>
                    <w:rPr>
                      <w:spacing w:val="5"/>
                      <w:sz w:val="20"/>
                      <w:szCs w:val="20"/>
                    </w:rPr>
                    <w:t>达标</w:t>
                  </w:r>
                </w:p>
              </w:tc>
              <w:tc>
                <w:tcPr>
                  <w:tcW w:w="1537" w:type="dxa"/>
                  <w:vAlign w:val="top"/>
                </w:tcPr>
                <w:p w14:paraId="77BA6CD3">
                  <w:pPr>
                    <w:pStyle w:val="6"/>
                    <w:spacing w:before="158" w:line="228" w:lineRule="auto"/>
                    <w:ind w:left="562"/>
                    <w:rPr>
                      <w:sz w:val="20"/>
                      <w:szCs w:val="20"/>
                    </w:rPr>
                  </w:pPr>
                  <w:r>
                    <w:rPr>
                      <w:spacing w:val="5"/>
                      <w:sz w:val="20"/>
                      <w:szCs w:val="20"/>
                    </w:rPr>
                    <w:t>达标</w:t>
                  </w:r>
                </w:p>
              </w:tc>
            </w:tr>
          </w:tbl>
          <w:p w14:paraId="754033F1">
            <w:pPr>
              <w:pStyle w:val="6"/>
              <w:spacing w:before="154" w:line="219" w:lineRule="auto"/>
              <w:jc w:val="right"/>
            </w:pPr>
            <w:r>
              <w:rPr>
                <w:spacing w:val="-6"/>
              </w:rPr>
              <w:t>为了进一步降低生产过程中产生的噪声，建议建设单位采取如下治理措施：</w:t>
            </w:r>
          </w:p>
          <w:p w14:paraId="03D91033">
            <w:pPr>
              <w:pStyle w:val="6"/>
              <w:spacing w:before="212" w:line="302" w:lineRule="auto"/>
              <w:ind w:left="123" w:right="101" w:firstLine="477"/>
            </w:pPr>
            <w:r>
              <w:rPr>
                <w:spacing w:val="-4"/>
              </w:rPr>
              <w:t>（</w:t>
            </w:r>
            <w:r>
              <w:rPr>
                <w:rFonts w:ascii="Times New Roman" w:hAnsi="Times New Roman" w:eastAsia="Times New Roman" w:cs="Times New Roman"/>
                <w:spacing w:val="-4"/>
              </w:rPr>
              <w:t>1</w:t>
            </w:r>
            <w:r>
              <w:rPr>
                <w:spacing w:val="-4"/>
              </w:rPr>
              <w:t>）生产设备在选型上充分注意选择低噪声设备，同时安装隔声垫，采用</w:t>
            </w:r>
            <w:r>
              <w:t xml:space="preserve"> </w:t>
            </w:r>
            <w:r>
              <w:rPr>
                <w:spacing w:val="-2"/>
              </w:rPr>
              <w:t>隔声、吸声、减震等措施。</w:t>
            </w:r>
          </w:p>
          <w:p w14:paraId="4074D0AE">
            <w:pPr>
              <w:pStyle w:val="6"/>
              <w:spacing w:before="211" w:line="219" w:lineRule="auto"/>
              <w:ind w:left="600"/>
            </w:pPr>
            <w:r>
              <w:rPr>
                <w:spacing w:val="-1"/>
              </w:rPr>
              <w:t>（</w:t>
            </w:r>
            <w:r>
              <w:rPr>
                <w:rFonts w:ascii="Times New Roman" w:hAnsi="Times New Roman" w:eastAsia="Times New Roman" w:cs="Times New Roman"/>
                <w:spacing w:val="-1"/>
              </w:rPr>
              <w:t>2</w:t>
            </w:r>
            <w:r>
              <w:rPr>
                <w:spacing w:val="-1"/>
              </w:rPr>
              <w:t>）根据实际情况，对厂区设备进行合理布局。</w:t>
            </w:r>
          </w:p>
          <w:p w14:paraId="77EC6CD2">
            <w:pPr>
              <w:pStyle w:val="6"/>
              <w:spacing w:before="215" w:line="301" w:lineRule="auto"/>
              <w:ind w:left="112" w:right="101" w:firstLine="487"/>
            </w:pPr>
            <w:r>
              <w:rPr>
                <w:spacing w:val="-4"/>
              </w:rPr>
              <w:t>（</w:t>
            </w:r>
            <w:r>
              <w:rPr>
                <w:rFonts w:ascii="Times New Roman" w:hAnsi="Times New Roman" w:eastAsia="Times New Roman" w:cs="Times New Roman"/>
                <w:spacing w:val="-4"/>
              </w:rPr>
              <w:t>3</w:t>
            </w:r>
            <w:r>
              <w:rPr>
                <w:spacing w:val="-4"/>
              </w:rPr>
              <w:t>）加强设备日常维护与保养，定期对设备进行检修，防止不良工况下的</w:t>
            </w:r>
            <w:r>
              <w:t xml:space="preserve"> </w:t>
            </w:r>
            <w:r>
              <w:rPr>
                <w:spacing w:val="-2"/>
              </w:rPr>
              <w:t>故障噪声产生。</w:t>
            </w:r>
          </w:p>
          <w:p w14:paraId="632AC3AB">
            <w:pPr>
              <w:pStyle w:val="6"/>
              <w:spacing w:before="214" w:line="219" w:lineRule="auto"/>
              <w:ind w:left="600"/>
            </w:pPr>
            <w:r>
              <w:rPr>
                <w:spacing w:val="-1"/>
              </w:rPr>
              <w:t>（</w:t>
            </w:r>
            <w:r>
              <w:rPr>
                <w:rFonts w:ascii="Times New Roman" w:hAnsi="Times New Roman" w:eastAsia="Times New Roman" w:cs="Times New Roman"/>
                <w:spacing w:val="-1"/>
              </w:rPr>
              <w:t>4</w:t>
            </w:r>
            <w:r>
              <w:rPr>
                <w:spacing w:val="-1"/>
              </w:rPr>
              <w:t>）合理安排工作时间，减少高噪声设备集中工作时间。</w:t>
            </w:r>
          </w:p>
          <w:p w14:paraId="4006E51C">
            <w:pPr>
              <w:pStyle w:val="6"/>
              <w:spacing w:before="212" w:line="383" w:lineRule="auto"/>
              <w:ind w:left="110" w:right="101" w:firstLine="480"/>
            </w:pPr>
            <w:r>
              <w:t>经过上述措施处理后，项目厂界噪声可达到《工业企业厂界环境噪</w:t>
            </w:r>
            <w:r>
              <w:rPr>
                <w:spacing w:val="-1"/>
              </w:rPr>
              <w:t>声排放</w:t>
            </w:r>
            <w:r>
              <w:t xml:space="preserve"> </w:t>
            </w:r>
            <w:r>
              <w:rPr>
                <w:spacing w:val="-1"/>
              </w:rPr>
              <w:t>标准》（</w:t>
            </w:r>
            <w:r>
              <w:rPr>
                <w:rFonts w:ascii="Times New Roman" w:hAnsi="Times New Roman" w:eastAsia="Times New Roman" w:cs="Times New Roman"/>
                <w:spacing w:val="-1"/>
              </w:rPr>
              <w:t>GB12348-2008</w:t>
            </w:r>
            <w:r>
              <w:rPr>
                <w:spacing w:val="-1"/>
              </w:rPr>
              <w:t>）中的</w:t>
            </w:r>
            <w:r>
              <w:rPr>
                <w:spacing w:val="-37"/>
              </w:rPr>
              <w:t xml:space="preserve"> </w:t>
            </w:r>
            <w:r>
              <w:rPr>
                <w:rFonts w:ascii="Times New Roman" w:hAnsi="Times New Roman" w:eastAsia="Times New Roman" w:cs="Times New Roman"/>
                <w:spacing w:val="-1"/>
              </w:rPr>
              <w:t xml:space="preserve">2 </w:t>
            </w:r>
            <w:r>
              <w:rPr>
                <w:spacing w:val="-1"/>
              </w:rPr>
              <w:t>类标准，对周围环境影响不大。</w:t>
            </w:r>
          </w:p>
          <w:p w14:paraId="4C4062DA">
            <w:pPr>
              <w:pStyle w:val="6"/>
              <w:spacing w:line="220" w:lineRule="auto"/>
              <w:ind w:left="583"/>
            </w:pPr>
            <w:r>
              <w:rPr>
                <w:rFonts w:ascii="Times New Roman" w:hAnsi="Times New Roman" w:eastAsia="Times New Roman" w:cs="Times New Roman"/>
                <w:b/>
                <w:bCs/>
                <w:spacing w:val="-4"/>
              </w:rPr>
              <w:t>3.3</w:t>
            </w:r>
            <w:r>
              <w:rPr>
                <w:rFonts w:ascii="Times New Roman" w:hAnsi="Times New Roman" w:eastAsia="Times New Roman" w:cs="Times New Roman"/>
                <w:b/>
                <w:bCs/>
                <w:spacing w:val="20"/>
                <w:w w:val="101"/>
              </w:rPr>
              <w:t xml:space="preserve"> </w:t>
            </w:r>
            <w:r>
              <w:rPr>
                <w:b/>
                <w:bCs/>
                <w:spacing w:val="-4"/>
              </w:rPr>
              <w:t>噪声监测计划</w:t>
            </w:r>
          </w:p>
          <w:p w14:paraId="61DA1A65">
            <w:pPr>
              <w:pStyle w:val="6"/>
              <w:spacing w:before="214" w:line="219" w:lineRule="auto"/>
              <w:ind w:left="592"/>
            </w:pPr>
            <w:r>
              <w:rPr>
                <w:spacing w:val="-1"/>
              </w:rPr>
              <w:t>项目厂界噪声监测计划详见下表：</w:t>
            </w:r>
          </w:p>
        </w:tc>
      </w:tr>
    </w:tbl>
    <w:p w14:paraId="052443C2">
      <w:pPr>
        <w:rPr>
          <w:rFonts w:ascii="Arial"/>
          <w:sz w:val="21"/>
        </w:rPr>
      </w:pPr>
    </w:p>
    <w:p w14:paraId="24B030DD">
      <w:pPr>
        <w:rPr>
          <w:rFonts w:ascii="Arial" w:hAnsi="Arial" w:eastAsia="Arial" w:cs="Arial"/>
          <w:sz w:val="21"/>
          <w:szCs w:val="21"/>
        </w:rPr>
        <w:sectPr>
          <w:footerReference r:id="rId96" w:type="default"/>
          <w:pgSz w:w="11907" w:h="16840"/>
          <w:pgMar w:top="400" w:right="1453" w:bottom="1240" w:left="1453" w:header="0" w:footer="1077" w:gutter="0"/>
          <w:cols w:space="720" w:num="1"/>
        </w:sectPr>
      </w:pPr>
    </w:p>
    <w:p w14:paraId="27B7588C">
      <w:pPr>
        <w:spacing w:before="19"/>
      </w:pPr>
    </w:p>
    <w:p w14:paraId="15D9F1F0">
      <w:pPr>
        <w:spacing w:before="19"/>
      </w:pPr>
    </w:p>
    <w:p w14:paraId="085C25FE">
      <w:pPr>
        <w:spacing w:before="19"/>
      </w:pPr>
    </w:p>
    <w:p w14:paraId="75F56CCC">
      <w:pPr>
        <w:spacing w:before="18"/>
      </w:pPr>
    </w:p>
    <w:p w14:paraId="7E63EFD7">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62054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5" w:hRule="atLeast"/>
        </w:trPr>
        <w:tc>
          <w:tcPr>
            <w:tcW w:w="604" w:type="dxa"/>
            <w:tcBorders>
              <w:right w:val="single" w:color="000000" w:sz="2" w:space="0"/>
            </w:tcBorders>
            <w:vAlign w:val="top"/>
          </w:tcPr>
          <w:p w14:paraId="21243203">
            <w:pPr>
              <w:rPr>
                <w:rFonts w:ascii="Arial"/>
                <w:sz w:val="21"/>
              </w:rPr>
            </w:pPr>
          </w:p>
        </w:tc>
        <w:tc>
          <w:tcPr>
            <w:tcW w:w="8381" w:type="dxa"/>
            <w:tcBorders>
              <w:left w:val="single" w:color="000000" w:sz="2" w:space="0"/>
            </w:tcBorders>
            <w:vAlign w:val="top"/>
          </w:tcPr>
          <w:p w14:paraId="6AA3BDD8">
            <w:pPr>
              <w:spacing w:line="319" w:lineRule="auto"/>
              <w:rPr>
                <w:rFonts w:ascii="Arial"/>
                <w:sz w:val="21"/>
              </w:rPr>
            </w:pPr>
          </w:p>
          <w:p w14:paraId="0BA6F3B4">
            <w:pPr>
              <w:pStyle w:val="6"/>
              <w:spacing w:before="78" w:line="220" w:lineRule="auto"/>
              <w:ind w:left="2136"/>
            </w:pPr>
            <w:r>
              <w:rPr>
                <w:b/>
                <w:bCs/>
                <w:spacing w:val="-2"/>
              </w:rPr>
              <w:t>表</w:t>
            </w:r>
            <w:r>
              <w:rPr>
                <w:spacing w:val="-50"/>
              </w:rPr>
              <w:t xml:space="preserve"> </w:t>
            </w:r>
            <w:r>
              <w:rPr>
                <w:rFonts w:ascii="Times New Roman" w:hAnsi="Times New Roman" w:eastAsia="Times New Roman" w:cs="Times New Roman"/>
                <w:b/>
                <w:bCs/>
                <w:spacing w:val="-2"/>
              </w:rPr>
              <w:t xml:space="preserve">4-26    </w:t>
            </w:r>
            <w:r>
              <w:rPr>
                <w:b/>
                <w:bCs/>
                <w:spacing w:val="-2"/>
              </w:rPr>
              <w:t>项目噪声环境自主监测计划表</w:t>
            </w:r>
          </w:p>
          <w:p w14:paraId="3A64439B">
            <w:pPr>
              <w:spacing w:line="146" w:lineRule="exact"/>
            </w:pPr>
          </w:p>
          <w:tbl>
            <w:tblPr>
              <w:tblStyle w:val="5"/>
              <w:tblW w:w="7802"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1"/>
              <w:gridCol w:w="1343"/>
              <w:gridCol w:w="1417"/>
              <w:gridCol w:w="2851"/>
            </w:tblGrid>
            <w:tr w14:paraId="767EF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2191" w:type="dxa"/>
                  <w:vAlign w:val="top"/>
                </w:tcPr>
                <w:p w14:paraId="56D90BF2">
                  <w:pPr>
                    <w:pStyle w:val="6"/>
                    <w:spacing w:before="117" w:line="229" w:lineRule="auto"/>
                    <w:ind w:left="683"/>
                    <w:rPr>
                      <w:sz w:val="20"/>
                      <w:szCs w:val="20"/>
                    </w:rPr>
                  </w:pPr>
                  <w:r>
                    <w:rPr>
                      <w:spacing w:val="7"/>
                      <w:sz w:val="20"/>
                      <w:szCs w:val="20"/>
                    </w:rPr>
                    <w:t>监测点位</w:t>
                  </w:r>
                </w:p>
              </w:tc>
              <w:tc>
                <w:tcPr>
                  <w:tcW w:w="1343" w:type="dxa"/>
                  <w:vAlign w:val="top"/>
                </w:tcPr>
                <w:p w14:paraId="51152973">
                  <w:pPr>
                    <w:pStyle w:val="6"/>
                    <w:spacing w:before="117" w:line="228" w:lineRule="auto"/>
                    <w:ind w:left="258"/>
                    <w:rPr>
                      <w:sz w:val="20"/>
                      <w:szCs w:val="20"/>
                    </w:rPr>
                  </w:pPr>
                  <w:r>
                    <w:rPr>
                      <w:spacing w:val="7"/>
                      <w:sz w:val="20"/>
                      <w:szCs w:val="20"/>
                    </w:rPr>
                    <w:t>监测因子</w:t>
                  </w:r>
                </w:p>
              </w:tc>
              <w:tc>
                <w:tcPr>
                  <w:tcW w:w="1417" w:type="dxa"/>
                  <w:vAlign w:val="top"/>
                </w:tcPr>
                <w:p w14:paraId="1654D6BF">
                  <w:pPr>
                    <w:pStyle w:val="6"/>
                    <w:spacing w:before="116" w:line="228" w:lineRule="auto"/>
                    <w:ind w:left="198"/>
                    <w:rPr>
                      <w:sz w:val="20"/>
                      <w:szCs w:val="20"/>
                    </w:rPr>
                  </w:pPr>
                  <w:r>
                    <w:rPr>
                      <w:spacing w:val="6"/>
                      <w:sz w:val="20"/>
                      <w:szCs w:val="20"/>
                    </w:rPr>
                    <w:t>时间及频次</w:t>
                  </w:r>
                </w:p>
              </w:tc>
              <w:tc>
                <w:tcPr>
                  <w:tcW w:w="2851" w:type="dxa"/>
                  <w:vAlign w:val="top"/>
                </w:tcPr>
                <w:p w14:paraId="1A92219C">
                  <w:pPr>
                    <w:pStyle w:val="6"/>
                    <w:spacing w:before="116" w:line="228" w:lineRule="auto"/>
                    <w:ind w:left="1011"/>
                    <w:rPr>
                      <w:sz w:val="20"/>
                      <w:szCs w:val="20"/>
                    </w:rPr>
                  </w:pPr>
                  <w:r>
                    <w:rPr>
                      <w:spacing w:val="7"/>
                      <w:sz w:val="20"/>
                      <w:szCs w:val="20"/>
                    </w:rPr>
                    <w:t>执行标准</w:t>
                  </w:r>
                </w:p>
              </w:tc>
            </w:tr>
            <w:tr w14:paraId="2891A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2191" w:type="dxa"/>
                  <w:vAlign w:val="top"/>
                </w:tcPr>
                <w:p w14:paraId="3EE954CF">
                  <w:pPr>
                    <w:pStyle w:val="6"/>
                    <w:spacing w:before="253" w:line="251" w:lineRule="auto"/>
                    <w:ind w:left="159" w:right="148"/>
                    <w:rPr>
                      <w:sz w:val="20"/>
                      <w:szCs w:val="20"/>
                    </w:rPr>
                  </w:pPr>
                  <w:r>
                    <w:rPr>
                      <w:spacing w:val="8"/>
                      <w:sz w:val="20"/>
                      <w:szCs w:val="20"/>
                    </w:rPr>
                    <w:t>厂界外东、南、西、</w:t>
                  </w:r>
                  <w:r>
                    <w:rPr>
                      <w:spacing w:val="5"/>
                      <w:sz w:val="20"/>
                      <w:szCs w:val="20"/>
                    </w:rPr>
                    <w:t xml:space="preserve"> </w:t>
                  </w:r>
                  <w:r>
                    <w:rPr>
                      <w:spacing w:val="4"/>
                      <w:sz w:val="20"/>
                      <w:szCs w:val="20"/>
                    </w:rPr>
                    <w:t>北各布设</w:t>
                  </w:r>
                  <w:r>
                    <w:rPr>
                      <w:spacing w:val="-14"/>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个监测点</w:t>
                  </w:r>
                </w:p>
              </w:tc>
              <w:tc>
                <w:tcPr>
                  <w:tcW w:w="1343" w:type="dxa"/>
                  <w:vAlign w:val="top"/>
                </w:tcPr>
                <w:p w14:paraId="3EFEC077">
                  <w:pPr>
                    <w:spacing w:line="319" w:lineRule="auto"/>
                    <w:rPr>
                      <w:rFonts w:ascii="Arial"/>
                      <w:sz w:val="21"/>
                    </w:rPr>
                  </w:pPr>
                </w:p>
                <w:p w14:paraId="163638A0">
                  <w:pPr>
                    <w:pStyle w:val="6"/>
                    <w:spacing w:before="65" w:line="228" w:lineRule="auto"/>
                    <w:ind w:left="129"/>
                    <w:rPr>
                      <w:sz w:val="20"/>
                      <w:szCs w:val="20"/>
                    </w:rPr>
                  </w:pPr>
                  <w:r>
                    <w:rPr>
                      <w:spacing w:val="3"/>
                      <w:sz w:val="20"/>
                      <w:szCs w:val="20"/>
                    </w:rPr>
                    <w:t>等效</w:t>
                  </w:r>
                  <w:r>
                    <w:rPr>
                      <w:spacing w:val="-42"/>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6"/>
                      <w:sz w:val="20"/>
                      <w:szCs w:val="20"/>
                    </w:rPr>
                    <w:t xml:space="preserve"> </w:t>
                  </w:r>
                  <w:r>
                    <w:rPr>
                      <w:spacing w:val="3"/>
                      <w:sz w:val="20"/>
                      <w:szCs w:val="20"/>
                    </w:rPr>
                    <w:t>声级</w:t>
                  </w:r>
                </w:p>
              </w:tc>
              <w:tc>
                <w:tcPr>
                  <w:tcW w:w="1417" w:type="dxa"/>
                  <w:vAlign w:val="top"/>
                </w:tcPr>
                <w:p w14:paraId="4A693AF3">
                  <w:pPr>
                    <w:pStyle w:val="6"/>
                    <w:spacing w:before="252" w:line="228" w:lineRule="auto"/>
                    <w:ind w:left="113"/>
                    <w:rPr>
                      <w:sz w:val="20"/>
                      <w:szCs w:val="20"/>
                    </w:rPr>
                  </w:pPr>
                  <w:r>
                    <w:rPr>
                      <w:spacing w:val="-2"/>
                      <w:sz w:val="20"/>
                      <w:szCs w:val="20"/>
                    </w:rPr>
                    <w:t>昼夜噪声、每</w:t>
                  </w:r>
                </w:p>
                <w:p w14:paraId="4BCF26D7">
                  <w:pPr>
                    <w:pStyle w:val="6"/>
                    <w:spacing w:before="24" w:line="228" w:lineRule="auto"/>
                    <w:ind w:left="295"/>
                    <w:rPr>
                      <w:sz w:val="20"/>
                      <w:szCs w:val="20"/>
                    </w:rPr>
                  </w:pPr>
                  <w:r>
                    <w:rPr>
                      <w:spacing w:val="7"/>
                      <w:sz w:val="20"/>
                      <w:szCs w:val="20"/>
                    </w:rPr>
                    <w:t>季度一次</w:t>
                  </w:r>
                </w:p>
              </w:tc>
              <w:tc>
                <w:tcPr>
                  <w:tcW w:w="2851" w:type="dxa"/>
                  <w:vAlign w:val="top"/>
                </w:tcPr>
                <w:p w14:paraId="21311B44">
                  <w:pPr>
                    <w:pStyle w:val="6"/>
                    <w:spacing w:before="116" w:line="228" w:lineRule="auto"/>
                    <w:ind w:left="176"/>
                    <w:rPr>
                      <w:sz w:val="20"/>
                      <w:szCs w:val="20"/>
                    </w:rPr>
                  </w:pPr>
                  <w:r>
                    <w:rPr>
                      <w:spacing w:val="8"/>
                      <w:sz w:val="20"/>
                      <w:szCs w:val="20"/>
                    </w:rPr>
                    <w:t>《工业企业厂界环境噪声排</w:t>
                  </w:r>
                </w:p>
                <w:p w14:paraId="1A92A067">
                  <w:pPr>
                    <w:pStyle w:val="6"/>
                    <w:spacing w:before="23" w:line="228" w:lineRule="auto"/>
                    <w:ind w:left="147"/>
                    <w:rPr>
                      <w:sz w:val="20"/>
                      <w:szCs w:val="20"/>
                    </w:rPr>
                  </w:pPr>
                  <w:r>
                    <w:rPr>
                      <w:spacing w:val="6"/>
                      <w:sz w:val="20"/>
                      <w:szCs w:val="20"/>
                    </w:rPr>
                    <w:t>放限值》（</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12348-2008</w:t>
                  </w:r>
                  <w:r>
                    <w:rPr>
                      <w:spacing w:val="6"/>
                      <w:sz w:val="20"/>
                      <w:szCs w:val="20"/>
                    </w:rPr>
                    <w:t>）</w:t>
                  </w:r>
                </w:p>
                <w:p w14:paraId="23370F84">
                  <w:pPr>
                    <w:pStyle w:val="6"/>
                    <w:spacing w:before="26" w:line="228" w:lineRule="auto"/>
                    <w:ind w:left="819"/>
                    <w:rPr>
                      <w:sz w:val="20"/>
                      <w:szCs w:val="20"/>
                    </w:rPr>
                  </w:pPr>
                  <w:r>
                    <w:rPr>
                      <w:spacing w:val="1"/>
                      <w:sz w:val="20"/>
                      <w:szCs w:val="20"/>
                    </w:rPr>
                    <w:t>中的</w:t>
                  </w:r>
                  <w:r>
                    <w:rPr>
                      <w:spacing w:val="-37"/>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2"/>
                      <w:sz w:val="20"/>
                      <w:szCs w:val="20"/>
                    </w:rPr>
                    <w:t xml:space="preserve"> </w:t>
                  </w:r>
                  <w:r>
                    <w:rPr>
                      <w:spacing w:val="1"/>
                      <w:sz w:val="20"/>
                      <w:szCs w:val="20"/>
                    </w:rPr>
                    <w:t>类标准</w:t>
                  </w:r>
                </w:p>
              </w:tc>
            </w:tr>
          </w:tbl>
          <w:p w14:paraId="6ABACD3A">
            <w:pPr>
              <w:pStyle w:val="6"/>
              <w:spacing w:before="154" w:line="220" w:lineRule="auto"/>
              <w:ind w:left="583"/>
            </w:pPr>
            <w:r>
              <w:rPr>
                <w:rFonts w:ascii="Times New Roman" w:hAnsi="Times New Roman" w:eastAsia="Times New Roman" w:cs="Times New Roman"/>
                <w:spacing w:val="-5"/>
              </w:rPr>
              <w:t>4</w:t>
            </w:r>
            <w:r>
              <w:rPr>
                <w:rFonts w:ascii="Times New Roman" w:hAnsi="Times New Roman" w:eastAsia="Times New Roman" w:cs="Times New Roman"/>
                <w:spacing w:val="-30"/>
              </w:rPr>
              <w:t xml:space="preserve"> </w:t>
            </w:r>
            <w:r>
              <w:rPr>
                <w:spacing w:val="-5"/>
              </w:rPr>
              <w:t>、固体废物：</w:t>
            </w:r>
          </w:p>
          <w:p w14:paraId="165DBF64">
            <w:pPr>
              <w:pStyle w:val="6"/>
              <w:spacing w:before="182" w:line="359" w:lineRule="auto"/>
              <w:ind w:left="109" w:right="21" w:firstLine="480"/>
            </w:pPr>
            <w:r>
              <w:rPr>
                <w:spacing w:val="-5"/>
              </w:rPr>
              <w:t>本项目产生的固废主要为生产过程中产生的废酸液、包装废物、废活性炭、</w:t>
            </w:r>
            <w:r>
              <w:rPr>
                <w:spacing w:val="3"/>
              </w:rPr>
              <w:t xml:space="preserve"> </w:t>
            </w:r>
            <w:r>
              <w:rPr>
                <w:spacing w:val="-1"/>
              </w:rPr>
              <w:t>沉淀污泥、废手套和员工生活垃圾。</w:t>
            </w:r>
          </w:p>
          <w:p w14:paraId="5CCDEB2C">
            <w:pPr>
              <w:pStyle w:val="6"/>
              <w:spacing w:line="220" w:lineRule="auto"/>
              <w:ind w:left="600"/>
            </w:pPr>
            <w:r>
              <w:rPr>
                <w:spacing w:val="-4"/>
              </w:rPr>
              <w:t>（</w:t>
            </w:r>
            <w:r>
              <w:rPr>
                <w:rFonts w:ascii="Times New Roman" w:hAnsi="Times New Roman" w:eastAsia="Times New Roman" w:cs="Times New Roman"/>
                <w:spacing w:val="-4"/>
              </w:rPr>
              <w:t>1</w:t>
            </w:r>
            <w:r>
              <w:rPr>
                <w:spacing w:val="-4"/>
              </w:rPr>
              <w:t>）废酸液</w:t>
            </w:r>
          </w:p>
          <w:p w14:paraId="5E6DBFD0">
            <w:pPr>
              <w:pStyle w:val="6"/>
              <w:spacing w:before="182" w:line="359" w:lineRule="auto"/>
              <w:ind w:left="103" w:right="86" w:firstLine="485"/>
            </w:pPr>
            <w:r>
              <w:rPr>
                <w:spacing w:val="-2"/>
              </w:rPr>
              <w:t>根据项目水平衡图分析，项目废酸液的产生量约为</w:t>
            </w:r>
            <w:r>
              <w:rPr>
                <w:spacing w:val="-32"/>
              </w:rPr>
              <w:t xml:space="preserve"> </w:t>
            </w:r>
            <w:r>
              <w:rPr>
                <w:rFonts w:ascii="Times New Roman" w:hAnsi="Times New Roman" w:eastAsia="Times New Roman" w:cs="Times New Roman"/>
                <w:spacing w:val="-2"/>
              </w:rPr>
              <w:t>1194.6t/a</w:t>
            </w:r>
            <w:r>
              <w:rPr>
                <w:spacing w:val="-2"/>
              </w:rPr>
              <w:t>（</w:t>
            </w:r>
            <w:r>
              <w:rPr>
                <w:rFonts w:ascii="Times New Roman" w:hAnsi="Times New Roman" w:eastAsia="Times New Roman" w:cs="Times New Roman"/>
                <w:spacing w:val="-2"/>
              </w:rPr>
              <w:t>3.982t/</w:t>
            </w:r>
            <w:r>
              <w:rPr>
                <w:rFonts w:ascii="Times New Roman" w:hAnsi="Times New Roman" w:eastAsia="Times New Roman" w:cs="Times New Roman"/>
                <w:spacing w:val="-3"/>
              </w:rPr>
              <w:t>d</w:t>
            </w:r>
            <w:r>
              <w:rPr>
                <w:spacing w:val="-3"/>
              </w:rPr>
              <w:t>）。</w:t>
            </w:r>
            <w:r>
              <w:t xml:space="preserve"> </w:t>
            </w:r>
            <w:r>
              <w:rPr>
                <w:spacing w:val="-1"/>
              </w:rPr>
              <w:t>根据《国家危险废物名录》（</w:t>
            </w:r>
            <w:r>
              <w:rPr>
                <w:rFonts w:ascii="Times New Roman" w:hAnsi="Times New Roman" w:eastAsia="Times New Roman" w:cs="Times New Roman"/>
                <w:spacing w:val="-1"/>
              </w:rPr>
              <w:t xml:space="preserve">2025 </w:t>
            </w:r>
            <w:r>
              <w:rPr>
                <w:spacing w:val="-1"/>
              </w:rPr>
              <w:t>年版</w:t>
            </w:r>
            <w:r>
              <w:rPr>
                <w:spacing w:val="4"/>
              </w:rPr>
              <w:t>），</w:t>
            </w:r>
            <w:r>
              <w:rPr>
                <w:spacing w:val="-1"/>
              </w:rPr>
              <w:t>废</w:t>
            </w:r>
            <w:r>
              <w:rPr>
                <w:spacing w:val="-2"/>
              </w:rPr>
              <w:t>酸液属于危险废物（废物类别：</w:t>
            </w:r>
            <w:r>
              <w:t xml:space="preserve"> </w:t>
            </w:r>
            <w:r>
              <w:rPr>
                <w:rFonts w:ascii="Times New Roman" w:hAnsi="Times New Roman" w:eastAsia="Times New Roman" w:cs="Times New Roman"/>
              </w:rPr>
              <w:t>HW</w:t>
            </w:r>
            <w:r>
              <w:rPr>
                <w:rFonts w:ascii="Times New Roman" w:hAnsi="Times New Roman" w:eastAsia="Times New Roman" w:cs="Times New Roman"/>
                <w:spacing w:val="2"/>
              </w:rPr>
              <w:t xml:space="preserve">34 </w:t>
            </w:r>
            <w:r>
              <w:rPr>
                <w:spacing w:val="2"/>
              </w:rPr>
              <w:t>其他废物，废物代码：</w:t>
            </w:r>
            <w:r>
              <w:rPr>
                <w:rFonts w:ascii="Times New Roman" w:hAnsi="Times New Roman" w:eastAsia="Times New Roman" w:cs="Times New Roman"/>
                <w:spacing w:val="2"/>
              </w:rPr>
              <w:t>900-300-34</w:t>
            </w:r>
            <w:r>
              <w:rPr>
                <w:rFonts w:ascii="Times New Roman" w:hAnsi="Times New Roman" w:eastAsia="Times New Roman" w:cs="Times New Roman"/>
                <w:spacing w:val="-28"/>
              </w:rPr>
              <w:t xml:space="preserve"> </w:t>
            </w:r>
            <w:r>
              <w:rPr>
                <w:spacing w:val="2"/>
              </w:rPr>
              <w:t>，使用酸进行清洗</w:t>
            </w:r>
            <w:r>
              <w:rPr>
                <w:spacing w:val="1"/>
              </w:rPr>
              <w:t>产生的废酸液，危</w:t>
            </w:r>
            <w:r>
              <w:t xml:space="preserve"> </w:t>
            </w:r>
            <w:r>
              <w:rPr>
                <w:spacing w:val="-1"/>
              </w:rPr>
              <w:t>险特性：</w:t>
            </w:r>
            <w:r>
              <w:rPr>
                <w:rFonts w:ascii="Times New Roman" w:hAnsi="Times New Roman" w:eastAsia="Times New Roman" w:cs="Times New Roman"/>
                <w:spacing w:val="-1"/>
              </w:rPr>
              <w:t>T/C</w:t>
            </w:r>
            <w:r>
              <w:rPr>
                <w:spacing w:val="7"/>
              </w:rPr>
              <w:t>），</w:t>
            </w:r>
            <w:r>
              <w:rPr>
                <w:spacing w:val="-1"/>
              </w:rPr>
              <w:t>经收集后委托有资质的单位处置。</w:t>
            </w:r>
          </w:p>
          <w:p w14:paraId="1F12AC31">
            <w:pPr>
              <w:pStyle w:val="6"/>
              <w:spacing w:line="220" w:lineRule="auto"/>
              <w:ind w:left="600"/>
            </w:pPr>
            <w:r>
              <w:rPr>
                <w:spacing w:val="-3"/>
              </w:rPr>
              <w:t>（</w:t>
            </w:r>
            <w:r>
              <w:rPr>
                <w:rFonts w:ascii="Times New Roman" w:hAnsi="Times New Roman" w:eastAsia="Times New Roman" w:cs="Times New Roman"/>
                <w:spacing w:val="-3"/>
              </w:rPr>
              <w:t>2</w:t>
            </w:r>
            <w:r>
              <w:rPr>
                <w:spacing w:val="-3"/>
              </w:rPr>
              <w:t>）包装废物</w:t>
            </w:r>
          </w:p>
          <w:p w14:paraId="484C5770">
            <w:pPr>
              <w:pStyle w:val="6"/>
              <w:spacing w:before="179" w:line="349" w:lineRule="auto"/>
              <w:ind w:left="109" w:right="104" w:firstLine="480"/>
            </w:pPr>
            <w:r>
              <w:rPr>
                <w:spacing w:val="-6"/>
              </w:rPr>
              <w:t>根据项目的辅料用量和包装规格，会有废桶和废包装袋产生。废桶约</w:t>
            </w:r>
            <w:r>
              <w:rPr>
                <w:spacing w:val="-32"/>
              </w:rPr>
              <w:t xml:space="preserve"> </w:t>
            </w:r>
            <w:r>
              <w:rPr>
                <w:rFonts w:ascii="Times New Roman" w:hAnsi="Times New Roman" w:eastAsia="Times New Roman" w:cs="Times New Roman"/>
                <w:spacing w:val="-6"/>
              </w:rPr>
              <w:t>1.0k</w:t>
            </w:r>
            <w:r>
              <w:rPr>
                <w:rFonts w:ascii="Times New Roman" w:hAnsi="Times New Roman" w:eastAsia="Times New Roman" w:cs="Times New Roman"/>
                <w:spacing w:val="-7"/>
              </w:rPr>
              <w:t>g/</w:t>
            </w:r>
            <w:r>
              <w:rPr>
                <w:rFonts w:ascii="Times New Roman" w:hAnsi="Times New Roman" w:eastAsia="Times New Roman" w:cs="Times New Roman"/>
              </w:rPr>
              <w:t xml:space="preserve"> </w:t>
            </w:r>
            <w:r>
              <w:rPr>
                <w:spacing w:val="-2"/>
              </w:rPr>
              <w:t>个，包装袋约</w:t>
            </w:r>
            <w:r>
              <w:rPr>
                <w:spacing w:val="-34"/>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1kg/</w:t>
            </w:r>
            <w:r>
              <w:rPr>
                <w:spacing w:val="-2"/>
              </w:rPr>
              <w:t>个，则项目产生的包装废物的总量约为</w:t>
            </w:r>
            <w:r>
              <w:rPr>
                <w:spacing w:val="-50"/>
              </w:rPr>
              <w:t xml:space="preserve"> </w:t>
            </w:r>
            <w:r>
              <w:rPr>
                <w:rFonts w:ascii="Times New Roman" w:hAnsi="Times New Roman" w:eastAsia="Times New Roman" w:cs="Times New Roman"/>
                <w:spacing w:val="-2"/>
              </w:rPr>
              <w:t>94.08t/a</w:t>
            </w:r>
            <w:r>
              <w:rPr>
                <w:spacing w:val="-2"/>
              </w:rPr>
              <w:t>。</w:t>
            </w:r>
          </w:p>
          <w:p w14:paraId="766A4C2A">
            <w:pPr>
              <w:pStyle w:val="6"/>
              <w:spacing w:before="147" w:line="219" w:lineRule="auto"/>
              <w:ind w:left="2376"/>
            </w:pPr>
            <w:r>
              <w:rPr>
                <w:b/>
                <w:bCs/>
                <w:spacing w:val="-2"/>
              </w:rPr>
              <w:t>表</w:t>
            </w:r>
            <w:r>
              <w:rPr>
                <w:spacing w:val="-51"/>
              </w:rPr>
              <w:t xml:space="preserve"> </w:t>
            </w:r>
            <w:r>
              <w:rPr>
                <w:rFonts w:ascii="Times New Roman" w:hAnsi="Times New Roman" w:eastAsia="Times New Roman" w:cs="Times New Roman"/>
                <w:b/>
                <w:bCs/>
                <w:spacing w:val="-2"/>
              </w:rPr>
              <w:t xml:space="preserve">4-27    </w:t>
            </w:r>
            <w:r>
              <w:rPr>
                <w:b/>
                <w:bCs/>
                <w:spacing w:val="-2"/>
              </w:rPr>
              <w:t>项目辅料包装废物核算表</w:t>
            </w:r>
          </w:p>
          <w:p w14:paraId="3C3253C9">
            <w:pPr>
              <w:spacing w:line="147" w:lineRule="exact"/>
            </w:pPr>
          </w:p>
          <w:tbl>
            <w:tblPr>
              <w:tblStyle w:val="5"/>
              <w:tblW w:w="7943" w:type="dxa"/>
              <w:tblInd w:w="2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04"/>
              <w:gridCol w:w="1074"/>
              <w:gridCol w:w="1193"/>
              <w:gridCol w:w="905"/>
              <w:gridCol w:w="1108"/>
              <w:gridCol w:w="1679"/>
            </w:tblGrid>
            <w:tr w14:paraId="78CE2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080" w:type="dxa"/>
                  <w:vAlign w:val="top"/>
                </w:tcPr>
                <w:p w14:paraId="6C9D1BDA">
                  <w:pPr>
                    <w:pStyle w:val="6"/>
                    <w:spacing w:before="98" w:line="228" w:lineRule="auto"/>
                    <w:ind w:left="125"/>
                    <w:rPr>
                      <w:sz w:val="20"/>
                      <w:szCs w:val="20"/>
                    </w:rPr>
                  </w:pPr>
                  <w:r>
                    <w:rPr>
                      <w:spacing w:val="7"/>
                      <w:sz w:val="20"/>
                      <w:szCs w:val="20"/>
                    </w:rPr>
                    <w:t>物料名称</w:t>
                  </w:r>
                </w:p>
              </w:tc>
              <w:tc>
                <w:tcPr>
                  <w:tcW w:w="904" w:type="dxa"/>
                  <w:vAlign w:val="top"/>
                </w:tcPr>
                <w:p w14:paraId="47DFCFC9">
                  <w:pPr>
                    <w:pStyle w:val="6"/>
                    <w:spacing w:before="98" w:line="229" w:lineRule="auto"/>
                    <w:ind w:left="115"/>
                    <w:rPr>
                      <w:rFonts w:ascii="Times New Roman" w:hAnsi="Times New Roman" w:eastAsia="Times New Roman" w:cs="Times New Roman"/>
                      <w:sz w:val="20"/>
                      <w:szCs w:val="20"/>
                    </w:rPr>
                  </w:pPr>
                  <w:r>
                    <w:rPr>
                      <w:spacing w:val="2"/>
                      <w:sz w:val="20"/>
                      <w:szCs w:val="20"/>
                    </w:rPr>
                    <w:t>用量</w:t>
                  </w:r>
                  <w:r>
                    <w:rPr>
                      <w:spacing w:val="-41"/>
                      <w:sz w:val="20"/>
                      <w:szCs w:val="20"/>
                    </w:rPr>
                    <w:t xml:space="preserve"> </w:t>
                  </w:r>
                  <w:r>
                    <w:rPr>
                      <w:rFonts w:ascii="Times New Roman" w:hAnsi="Times New Roman" w:eastAsia="Times New Roman" w:cs="Times New Roman"/>
                      <w:spacing w:val="2"/>
                      <w:sz w:val="20"/>
                      <w:szCs w:val="20"/>
                    </w:rPr>
                    <w:t>t/a</w:t>
                  </w:r>
                </w:p>
              </w:tc>
              <w:tc>
                <w:tcPr>
                  <w:tcW w:w="1074" w:type="dxa"/>
                  <w:vAlign w:val="top"/>
                </w:tcPr>
                <w:p w14:paraId="71359155">
                  <w:pPr>
                    <w:pStyle w:val="6"/>
                    <w:spacing w:before="97" w:line="228" w:lineRule="auto"/>
                    <w:ind w:left="121"/>
                    <w:rPr>
                      <w:sz w:val="20"/>
                      <w:szCs w:val="20"/>
                    </w:rPr>
                  </w:pPr>
                  <w:r>
                    <w:rPr>
                      <w:spacing w:val="7"/>
                      <w:sz w:val="20"/>
                      <w:szCs w:val="20"/>
                    </w:rPr>
                    <w:t>包装规格</w:t>
                  </w:r>
                </w:p>
              </w:tc>
              <w:tc>
                <w:tcPr>
                  <w:tcW w:w="3206" w:type="dxa"/>
                  <w:gridSpan w:val="3"/>
                  <w:vAlign w:val="top"/>
                </w:tcPr>
                <w:p w14:paraId="24E9CD69">
                  <w:pPr>
                    <w:pStyle w:val="6"/>
                    <w:spacing w:before="97" w:line="228" w:lineRule="auto"/>
                    <w:ind w:left="874"/>
                    <w:rPr>
                      <w:sz w:val="20"/>
                      <w:szCs w:val="20"/>
                    </w:rPr>
                  </w:pPr>
                  <w:r>
                    <w:rPr>
                      <w:spacing w:val="8"/>
                      <w:sz w:val="20"/>
                      <w:szCs w:val="20"/>
                    </w:rPr>
                    <w:t>包装废物产生量</w:t>
                  </w:r>
                </w:p>
              </w:tc>
              <w:tc>
                <w:tcPr>
                  <w:tcW w:w="1679" w:type="dxa"/>
                  <w:vAlign w:val="top"/>
                </w:tcPr>
                <w:p w14:paraId="4EAB051E">
                  <w:pPr>
                    <w:pStyle w:val="6"/>
                    <w:spacing w:before="98" w:line="229" w:lineRule="auto"/>
                    <w:ind w:left="638"/>
                    <w:rPr>
                      <w:sz w:val="20"/>
                      <w:szCs w:val="20"/>
                    </w:rPr>
                  </w:pPr>
                  <w:r>
                    <w:rPr>
                      <w:spacing w:val="3"/>
                      <w:sz w:val="20"/>
                      <w:szCs w:val="20"/>
                    </w:rPr>
                    <w:t>去向</w:t>
                  </w:r>
                </w:p>
              </w:tc>
            </w:tr>
            <w:tr w14:paraId="11541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080" w:type="dxa"/>
                  <w:vAlign w:val="top"/>
                </w:tcPr>
                <w:p w14:paraId="7B8C2881">
                  <w:pPr>
                    <w:pStyle w:val="6"/>
                    <w:spacing w:before="91" w:line="229" w:lineRule="auto"/>
                    <w:ind w:left="336"/>
                    <w:rPr>
                      <w:sz w:val="20"/>
                      <w:szCs w:val="20"/>
                    </w:rPr>
                  </w:pPr>
                  <w:r>
                    <w:rPr>
                      <w:spacing w:val="3"/>
                      <w:sz w:val="20"/>
                      <w:szCs w:val="20"/>
                    </w:rPr>
                    <w:t>盐酸</w:t>
                  </w:r>
                </w:p>
                <w:p w14:paraId="63787503">
                  <w:pPr>
                    <w:pStyle w:val="6"/>
                    <w:spacing w:before="22"/>
                    <w:ind w:left="152"/>
                    <w:rPr>
                      <w:sz w:val="20"/>
                      <w:szCs w:val="20"/>
                    </w:rPr>
                  </w:pPr>
                  <w:r>
                    <w:rPr>
                      <w:spacing w:val="2"/>
                      <w:sz w:val="20"/>
                      <w:szCs w:val="20"/>
                    </w:rPr>
                    <w:t>（</w:t>
                  </w:r>
                  <w:r>
                    <w:rPr>
                      <w:rFonts w:ascii="Times New Roman" w:hAnsi="Times New Roman" w:eastAsia="Times New Roman" w:cs="Times New Roman"/>
                      <w:spacing w:val="2"/>
                      <w:sz w:val="20"/>
                      <w:szCs w:val="20"/>
                    </w:rPr>
                    <w:t>31%</w:t>
                  </w:r>
                  <w:r>
                    <w:rPr>
                      <w:spacing w:val="2"/>
                      <w:sz w:val="20"/>
                      <w:szCs w:val="20"/>
                    </w:rPr>
                    <w:t>）</w:t>
                  </w:r>
                </w:p>
              </w:tc>
              <w:tc>
                <w:tcPr>
                  <w:tcW w:w="904" w:type="dxa"/>
                  <w:vAlign w:val="top"/>
                </w:tcPr>
                <w:p w14:paraId="48236B37">
                  <w:pPr>
                    <w:spacing w:before="258" w:line="199"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3270t/a</w:t>
                  </w:r>
                </w:p>
              </w:tc>
              <w:tc>
                <w:tcPr>
                  <w:tcW w:w="1074" w:type="dxa"/>
                  <w:vAlign w:val="top"/>
                </w:tcPr>
                <w:p w14:paraId="08A71120">
                  <w:pPr>
                    <w:pStyle w:val="6"/>
                    <w:spacing w:before="91" w:line="221" w:lineRule="auto"/>
                    <w:ind w:left="194"/>
                    <w:rPr>
                      <w:sz w:val="20"/>
                      <w:szCs w:val="20"/>
                    </w:rPr>
                  </w:pPr>
                  <w:r>
                    <w:rPr>
                      <w:rFonts w:ascii="Times New Roman" w:hAnsi="Times New Roman" w:eastAsia="Times New Roman" w:cs="Times New Roman"/>
                      <w:spacing w:val="4"/>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5"/>
                      <w:sz w:val="20"/>
                      <w:szCs w:val="20"/>
                    </w:rPr>
                    <w:t xml:space="preserve"> </w:t>
                  </w:r>
                  <w:r>
                    <w:rPr>
                      <w:spacing w:val="4"/>
                      <w:sz w:val="20"/>
                      <w:szCs w:val="20"/>
                    </w:rPr>
                    <w:t>桶</w:t>
                  </w:r>
                </w:p>
                <w:p w14:paraId="04B4919E">
                  <w:pPr>
                    <w:pStyle w:val="6"/>
                    <w:spacing w:before="32" w:line="228" w:lineRule="auto"/>
                    <w:ind w:left="436"/>
                    <w:rPr>
                      <w:sz w:val="20"/>
                      <w:szCs w:val="20"/>
                    </w:rPr>
                  </w:pPr>
                  <w:r>
                    <w:rPr>
                      <w:sz w:val="20"/>
                      <w:szCs w:val="20"/>
                    </w:rPr>
                    <w:t>装</w:t>
                  </w:r>
                </w:p>
              </w:tc>
              <w:tc>
                <w:tcPr>
                  <w:tcW w:w="1193" w:type="dxa"/>
                  <w:vAlign w:val="top"/>
                </w:tcPr>
                <w:p w14:paraId="023019FB">
                  <w:pPr>
                    <w:pStyle w:val="6"/>
                    <w:spacing w:before="225" w:line="228" w:lineRule="auto"/>
                    <w:ind w:left="170"/>
                    <w:rPr>
                      <w:sz w:val="20"/>
                      <w:szCs w:val="20"/>
                    </w:rPr>
                  </w:pPr>
                  <w:r>
                    <w:rPr>
                      <w:rFonts w:ascii="Times New Roman" w:hAnsi="Times New Roman" w:eastAsia="Times New Roman" w:cs="Times New Roman"/>
                      <w:sz w:val="20"/>
                      <w:szCs w:val="20"/>
                    </w:rPr>
                    <w:t>130800</w:t>
                  </w:r>
                  <w:r>
                    <w:rPr>
                      <w:rFonts w:ascii="Times New Roman" w:hAnsi="Times New Roman" w:eastAsia="Times New Roman" w:cs="Times New Roman"/>
                      <w:spacing w:val="15"/>
                      <w:w w:val="101"/>
                      <w:sz w:val="20"/>
                      <w:szCs w:val="20"/>
                    </w:rPr>
                    <w:t xml:space="preserve"> </w:t>
                  </w:r>
                  <w:r>
                    <w:rPr>
                      <w:sz w:val="20"/>
                      <w:szCs w:val="20"/>
                    </w:rPr>
                    <w:t>桶</w:t>
                  </w:r>
                </w:p>
              </w:tc>
              <w:tc>
                <w:tcPr>
                  <w:tcW w:w="905" w:type="dxa"/>
                  <w:vAlign w:val="top"/>
                </w:tcPr>
                <w:p w14:paraId="644C54BD">
                  <w:pPr>
                    <w:spacing w:before="258" w:line="199" w:lineRule="auto"/>
                    <w:ind w:left="134"/>
                    <w:rPr>
                      <w:rFonts w:ascii="Times New Roman" w:hAnsi="Times New Roman" w:eastAsia="Times New Roman" w:cs="Times New Roman"/>
                      <w:sz w:val="20"/>
                      <w:szCs w:val="20"/>
                    </w:rPr>
                  </w:pPr>
                  <w:r>
                    <w:rPr>
                      <w:rFonts w:ascii="Times New Roman" w:hAnsi="Times New Roman" w:eastAsia="Times New Roman" w:cs="Times New Roman"/>
                      <w:sz w:val="20"/>
                      <w:szCs w:val="20"/>
                    </w:rPr>
                    <w:t>130.8t/a</w:t>
                  </w:r>
                </w:p>
              </w:tc>
              <w:tc>
                <w:tcPr>
                  <w:tcW w:w="1108" w:type="dxa"/>
                  <w:vMerge w:val="restart"/>
                  <w:tcBorders>
                    <w:bottom w:val="nil"/>
                  </w:tcBorders>
                  <w:vAlign w:val="top"/>
                </w:tcPr>
                <w:p w14:paraId="79682256">
                  <w:pPr>
                    <w:spacing w:line="244" w:lineRule="auto"/>
                    <w:rPr>
                      <w:rFonts w:ascii="Arial"/>
                      <w:sz w:val="21"/>
                    </w:rPr>
                  </w:pPr>
                </w:p>
                <w:p w14:paraId="70E4DEF6">
                  <w:pPr>
                    <w:spacing w:line="244" w:lineRule="auto"/>
                    <w:rPr>
                      <w:rFonts w:ascii="Arial"/>
                      <w:sz w:val="21"/>
                    </w:rPr>
                  </w:pPr>
                </w:p>
                <w:p w14:paraId="5E732AA2">
                  <w:pPr>
                    <w:spacing w:line="244" w:lineRule="auto"/>
                    <w:rPr>
                      <w:rFonts w:ascii="Arial"/>
                      <w:sz w:val="21"/>
                    </w:rPr>
                  </w:pPr>
                </w:p>
                <w:p w14:paraId="68A30808">
                  <w:pPr>
                    <w:spacing w:line="245" w:lineRule="auto"/>
                    <w:rPr>
                      <w:rFonts w:ascii="Arial"/>
                      <w:sz w:val="21"/>
                    </w:rPr>
                  </w:pPr>
                </w:p>
                <w:p w14:paraId="67E9C92F">
                  <w:pPr>
                    <w:spacing w:line="245" w:lineRule="auto"/>
                    <w:rPr>
                      <w:rFonts w:ascii="Arial"/>
                      <w:sz w:val="21"/>
                    </w:rPr>
                  </w:pPr>
                </w:p>
                <w:p w14:paraId="63BDFD34">
                  <w:pPr>
                    <w:spacing w:before="58" w:line="199"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176.808t/a</w:t>
                  </w:r>
                </w:p>
              </w:tc>
              <w:tc>
                <w:tcPr>
                  <w:tcW w:w="1679" w:type="dxa"/>
                  <w:vMerge w:val="restart"/>
                  <w:tcBorders>
                    <w:bottom w:val="nil"/>
                  </w:tcBorders>
                  <w:vAlign w:val="top"/>
                </w:tcPr>
                <w:p w14:paraId="5104EB62">
                  <w:pPr>
                    <w:pStyle w:val="6"/>
                    <w:spacing w:before="31" w:line="228" w:lineRule="auto"/>
                    <w:ind w:left="215"/>
                    <w:rPr>
                      <w:sz w:val="20"/>
                      <w:szCs w:val="20"/>
                    </w:rPr>
                  </w:pPr>
                  <w:r>
                    <w:rPr>
                      <w:spacing w:val="8"/>
                      <w:sz w:val="20"/>
                      <w:szCs w:val="20"/>
                    </w:rPr>
                    <w:t>合计总共产生</w:t>
                  </w:r>
                </w:p>
                <w:p w14:paraId="741591A9">
                  <w:pPr>
                    <w:pStyle w:val="6"/>
                    <w:spacing w:before="24" w:line="221" w:lineRule="auto"/>
                    <w:ind w:left="184"/>
                    <w:rPr>
                      <w:sz w:val="20"/>
                      <w:szCs w:val="20"/>
                    </w:rPr>
                  </w:pPr>
                  <w:r>
                    <w:rPr>
                      <w:rFonts w:ascii="Times New Roman" w:hAnsi="Times New Roman" w:eastAsia="Times New Roman" w:cs="Times New Roman"/>
                      <w:spacing w:val="8"/>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 xml:space="preserve"> </w:t>
                  </w:r>
                  <w:r>
                    <w:rPr>
                      <w:spacing w:val="8"/>
                      <w:sz w:val="20"/>
                      <w:szCs w:val="20"/>
                    </w:rPr>
                    <w:t>规格的废</w:t>
                  </w:r>
                </w:p>
                <w:p w14:paraId="4AE1F311">
                  <w:pPr>
                    <w:pStyle w:val="6"/>
                    <w:spacing w:before="31" w:line="228" w:lineRule="auto"/>
                    <w:ind w:left="132"/>
                    <w:rPr>
                      <w:rFonts w:ascii="Times New Roman" w:hAnsi="Times New Roman" w:eastAsia="Times New Roman" w:cs="Times New Roman"/>
                      <w:sz w:val="20"/>
                      <w:szCs w:val="20"/>
                    </w:rPr>
                  </w:pPr>
                  <w:r>
                    <w:rPr>
                      <w:spacing w:val="2"/>
                      <w:sz w:val="20"/>
                      <w:szCs w:val="20"/>
                    </w:rPr>
                    <w:t>胶桶</w:t>
                  </w:r>
                  <w:r>
                    <w:rPr>
                      <w:spacing w:val="-12"/>
                      <w:sz w:val="20"/>
                      <w:szCs w:val="20"/>
                    </w:rPr>
                    <w:t xml:space="preserve"> </w:t>
                  </w:r>
                  <w:r>
                    <w:rPr>
                      <w:rFonts w:ascii="Times New Roman" w:hAnsi="Times New Roman" w:eastAsia="Times New Roman" w:cs="Times New Roman"/>
                      <w:spacing w:val="2"/>
                      <w:sz w:val="20"/>
                      <w:szCs w:val="20"/>
                    </w:rPr>
                    <w:t xml:space="preserve">130800 </w:t>
                  </w:r>
                  <w:r>
                    <w:rPr>
                      <w:spacing w:val="2"/>
                      <w:sz w:val="20"/>
                      <w:szCs w:val="20"/>
                    </w:rPr>
                    <w:t>个</w:t>
                  </w:r>
                  <w:r>
                    <w:rPr>
                      <w:rFonts w:ascii="Times New Roman" w:hAnsi="Times New Roman" w:eastAsia="Times New Roman" w:cs="Times New Roman"/>
                      <w:spacing w:val="2"/>
                      <w:sz w:val="20"/>
                      <w:szCs w:val="20"/>
                    </w:rPr>
                    <w:t>/</w:t>
                  </w:r>
                </w:p>
                <w:p w14:paraId="12D1555D">
                  <w:pPr>
                    <w:pStyle w:val="6"/>
                    <w:spacing w:before="26" w:line="228" w:lineRule="auto"/>
                    <w:ind w:left="117"/>
                    <w:rPr>
                      <w:rFonts w:ascii="Times New Roman" w:hAnsi="Times New Roman" w:eastAsia="Times New Roman" w:cs="Times New Roman"/>
                      <w:sz w:val="20"/>
                      <w:szCs w:val="20"/>
                    </w:rPr>
                  </w:pPr>
                  <w:r>
                    <w:rPr>
                      <w:spacing w:val="5"/>
                      <w:sz w:val="20"/>
                      <w:szCs w:val="20"/>
                    </w:rPr>
                    <w:t>年，其中</w:t>
                  </w:r>
                  <w:r>
                    <w:rPr>
                      <w:spacing w:val="-41"/>
                      <w:sz w:val="20"/>
                      <w:szCs w:val="20"/>
                    </w:rPr>
                    <w:t xml:space="preserve"> </w:t>
                  </w:r>
                  <w:r>
                    <w:rPr>
                      <w:rFonts w:ascii="Times New Roman" w:hAnsi="Times New Roman" w:eastAsia="Times New Roman" w:cs="Times New Roman"/>
                      <w:spacing w:val="5"/>
                      <w:sz w:val="20"/>
                      <w:szCs w:val="20"/>
                    </w:rPr>
                    <w:t>47784</w:t>
                  </w:r>
                </w:p>
                <w:p w14:paraId="5F2B6BB1">
                  <w:pPr>
                    <w:pStyle w:val="6"/>
                    <w:spacing w:before="26" w:line="228" w:lineRule="auto"/>
                    <w:ind w:left="214"/>
                    <w:rPr>
                      <w:sz w:val="20"/>
                      <w:szCs w:val="20"/>
                    </w:rPr>
                  </w:pPr>
                  <w:r>
                    <w:rPr>
                      <w:spacing w:val="8"/>
                      <w:sz w:val="20"/>
                      <w:szCs w:val="20"/>
                    </w:rPr>
                    <w:t>个桶用水装项</w:t>
                  </w:r>
                </w:p>
                <w:p w14:paraId="083E3321">
                  <w:pPr>
                    <w:pStyle w:val="6"/>
                    <w:spacing w:before="24" w:line="228" w:lineRule="auto"/>
                    <w:ind w:left="254"/>
                    <w:rPr>
                      <w:sz w:val="20"/>
                      <w:szCs w:val="20"/>
                    </w:rPr>
                  </w:pPr>
                  <w:r>
                    <w:rPr>
                      <w:spacing w:val="1"/>
                      <w:sz w:val="20"/>
                      <w:szCs w:val="20"/>
                    </w:rPr>
                    <w:t>目产生的装废</w:t>
                  </w:r>
                </w:p>
                <w:p w14:paraId="5A4DEF2F">
                  <w:pPr>
                    <w:pStyle w:val="6"/>
                    <w:spacing w:before="27" w:line="229" w:lineRule="auto"/>
                    <w:jc w:val="right"/>
                    <w:rPr>
                      <w:sz w:val="20"/>
                      <w:szCs w:val="20"/>
                    </w:rPr>
                  </w:pPr>
                  <w:r>
                    <w:rPr>
                      <w:sz w:val="20"/>
                      <w:szCs w:val="20"/>
                    </w:rPr>
                    <w:t>酸（</w:t>
                  </w:r>
                  <w:r>
                    <w:rPr>
                      <w:rFonts w:ascii="Times New Roman" w:hAnsi="Times New Roman" w:eastAsia="Times New Roman" w:cs="Times New Roman"/>
                      <w:sz w:val="20"/>
                      <w:szCs w:val="20"/>
                    </w:rPr>
                    <w:t>1194.6t/a</w:t>
                  </w:r>
                  <w:r>
                    <w:rPr>
                      <w:spacing w:val="-25"/>
                      <w:sz w:val="20"/>
                      <w:szCs w:val="20"/>
                    </w:rPr>
                    <w:t>），</w:t>
                  </w:r>
                </w:p>
                <w:p w14:paraId="590B60E7">
                  <w:pPr>
                    <w:pStyle w:val="6"/>
                    <w:spacing w:before="23" w:line="228" w:lineRule="auto"/>
                    <w:ind w:left="218"/>
                    <w:rPr>
                      <w:sz w:val="20"/>
                      <w:szCs w:val="20"/>
                    </w:rPr>
                  </w:pPr>
                  <w:r>
                    <w:rPr>
                      <w:spacing w:val="7"/>
                      <w:sz w:val="20"/>
                      <w:szCs w:val="20"/>
                    </w:rPr>
                    <w:t>与废酸液一并</w:t>
                  </w:r>
                </w:p>
                <w:p w14:paraId="2E059EBE">
                  <w:pPr>
                    <w:pStyle w:val="6"/>
                    <w:spacing w:before="25" w:line="228" w:lineRule="auto"/>
                    <w:ind w:left="213"/>
                    <w:rPr>
                      <w:sz w:val="20"/>
                      <w:szCs w:val="20"/>
                    </w:rPr>
                  </w:pPr>
                  <w:r>
                    <w:rPr>
                      <w:spacing w:val="8"/>
                      <w:sz w:val="20"/>
                      <w:szCs w:val="20"/>
                    </w:rPr>
                    <w:t>委托有资质单</w:t>
                  </w:r>
                </w:p>
                <w:p w14:paraId="577AC9C1">
                  <w:pPr>
                    <w:pStyle w:val="6"/>
                    <w:spacing w:before="26" w:line="215" w:lineRule="auto"/>
                    <w:ind w:left="529"/>
                    <w:rPr>
                      <w:sz w:val="20"/>
                      <w:szCs w:val="20"/>
                    </w:rPr>
                  </w:pPr>
                  <w:r>
                    <w:rPr>
                      <w:spacing w:val="6"/>
                      <w:sz w:val="20"/>
                      <w:szCs w:val="20"/>
                    </w:rPr>
                    <w:t>位处置</w:t>
                  </w:r>
                </w:p>
              </w:tc>
            </w:tr>
            <w:tr w14:paraId="51C04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080" w:type="dxa"/>
                  <w:vAlign w:val="top"/>
                </w:tcPr>
                <w:p w14:paraId="7CF69CA1">
                  <w:pPr>
                    <w:pStyle w:val="6"/>
                    <w:spacing w:before="91" w:line="228" w:lineRule="auto"/>
                    <w:ind w:left="231"/>
                    <w:rPr>
                      <w:sz w:val="20"/>
                      <w:szCs w:val="20"/>
                    </w:rPr>
                  </w:pPr>
                  <w:r>
                    <w:rPr>
                      <w:spacing w:val="6"/>
                      <w:sz w:val="20"/>
                      <w:szCs w:val="20"/>
                    </w:rPr>
                    <w:t>氢氟酸</w:t>
                  </w:r>
                </w:p>
                <w:p w14:paraId="569113B0">
                  <w:pPr>
                    <w:pStyle w:val="6"/>
                    <w:spacing w:before="24"/>
                    <w:ind w:left="152"/>
                    <w:rPr>
                      <w:sz w:val="20"/>
                      <w:szCs w:val="20"/>
                    </w:rPr>
                  </w:pPr>
                  <w:r>
                    <w:rPr>
                      <w:spacing w:val="2"/>
                      <w:sz w:val="20"/>
                      <w:szCs w:val="20"/>
                    </w:rPr>
                    <w:t>（</w:t>
                  </w:r>
                  <w:r>
                    <w:rPr>
                      <w:rFonts w:ascii="Times New Roman" w:hAnsi="Times New Roman" w:eastAsia="Times New Roman" w:cs="Times New Roman"/>
                      <w:spacing w:val="2"/>
                      <w:sz w:val="20"/>
                      <w:szCs w:val="20"/>
                    </w:rPr>
                    <w:t>30%</w:t>
                  </w:r>
                  <w:r>
                    <w:rPr>
                      <w:spacing w:val="2"/>
                      <w:sz w:val="20"/>
                      <w:szCs w:val="20"/>
                    </w:rPr>
                    <w:t>）</w:t>
                  </w:r>
                </w:p>
              </w:tc>
              <w:tc>
                <w:tcPr>
                  <w:tcW w:w="904" w:type="dxa"/>
                  <w:vAlign w:val="top"/>
                </w:tcPr>
                <w:p w14:paraId="64685353">
                  <w:pPr>
                    <w:spacing w:before="261" w:line="199" w:lineRule="auto"/>
                    <w:ind w:left="156"/>
                    <w:rPr>
                      <w:rFonts w:ascii="Times New Roman" w:hAnsi="Times New Roman" w:eastAsia="Times New Roman" w:cs="Times New Roman"/>
                      <w:sz w:val="20"/>
                      <w:szCs w:val="20"/>
                    </w:rPr>
                  </w:pPr>
                  <w:r>
                    <w:rPr>
                      <w:rFonts w:ascii="Times New Roman" w:hAnsi="Times New Roman" w:eastAsia="Times New Roman" w:cs="Times New Roman"/>
                      <w:sz w:val="20"/>
                      <w:szCs w:val="20"/>
                    </w:rPr>
                    <w:t>1120t/a</w:t>
                  </w:r>
                </w:p>
              </w:tc>
              <w:tc>
                <w:tcPr>
                  <w:tcW w:w="1074" w:type="dxa"/>
                  <w:vAlign w:val="top"/>
                </w:tcPr>
                <w:p w14:paraId="442D050D">
                  <w:pPr>
                    <w:pStyle w:val="6"/>
                    <w:spacing w:before="92" w:line="221" w:lineRule="auto"/>
                    <w:ind w:left="194"/>
                    <w:rPr>
                      <w:sz w:val="20"/>
                      <w:szCs w:val="20"/>
                    </w:rPr>
                  </w:pPr>
                  <w:r>
                    <w:rPr>
                      <w:rFonts w:ascii="Times New Roman" w:hAnsi="Times New Roman" w:eastAsia="Times New Roman" w:cs="Times New Roman"/>
                      <w:spacing w:val="4"/>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5"/>
                      <w:sz w:val="20"/>
                      <w:szCs w:val="20"/>
                    </w:rPr>
                    <w:t xml:space="preserve"> </w:t>
                  </w:r>
                  <w:r>
                    <w:rPr>
                      <w:spacing w:val="4"/>
                      <w:sz w:val="20"/>
                      <w:szCs w:val="20"/>
                    </w:rPr>
                    <w:t>桶</w:t>
                  </w:r>
                </w:p>
                <w:p w14:paraId="1BA06105">
                  <w:pPr>
                    <w:pStyle w:val="6"/>
                    <w:spacing w:before="32" w:line="228" w:lineRule="auto"/>
                    <w:ind w:left="436"/>
                    <w:rPr>
                      <w:sz w:val="20"/>
                      <w:szCs w:val="20"/>
                    </w:rPr>
                  </w:pPr>
                  <w:r>
                    <w:rPr>
                      <w:sz w:val="20"/>
                      <w:szCs w:val="20"/>
                    </w:rPr>
                    <w:t>装</w:t>
                  </w:r>
                </w:p>
              </w:tc>
              <w:tc>
                <w:tcPr>
                  <w:tcW w:w="1193" w:type="dxa"/>
                  <w:vAlign w:val="top"/>
                </w:tcPr>
                <w:p w14:paraId="3D23730B">
                  <w:pPr>
                    <w:pStyle w:val="6"/>
                    <w:spacing w:before="228" w:line="228" w:lineRule="auto"/>
                    <w:ind w:left="202"/>
                    <w:rPr>
                      <w:sz w:val="20"/>
                      <w:szCs w:val="20"/>
                    </w:rPr>
                  </w:pPr>
                  <w:r>
                    <w:rPr>
                      <w:rFonts w:ascii="Times New Roman" w:hAnsi="Times New Roman" w:eastAsia="Times New Roman" w:cs="Times New Roman"/>
                      <w:spacing w:val="3"/>
                      <w:sz w:val="20"/>
                      <w:szCs w:val="20"/>
                    </w:rPr>
                    <w:t>44800</w:t>
                  </w:r>
                  <w:r>
                    <w:rPr>
                      <w:rFonts w:ascii="Times New Roman" w:hAnsi="Times New Roman" w:eastAsia="Times New Roman" w:cs="Times New Roman"/>
                      <w:spacing w:val="15"/>
                      <w:w w:val="101"/>
                      <w:sz w:val="20"/>
                      <w:szCs w:val="20"/>
                    </w:rPr>
                    <w:t xml:space="preserve"> </w:t>
                  </w:r>
                  <w:r>
                    <w:rPr>
                      <w:spacing w:val="3"/>
                      <w:sz w:val="20"/>
                      <w:szCs w:val="20"/>
                    </w:rPr>
                    <w:t>桶</w:t>
                  </w:r>
                </w:p>
              </w:tc>
              <w:tc>
                <w:tcPr>
                  <w:tcW w:w="905" w:type="dxa"/>
                  <w:vAlign w:val="top"/>
                </w:tcPr>
                <w:p w14:paraId="64D08D6E">
                  <w:pPr>
                    <w:spacing w:before="261" w:line="199"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44.8t/a</w:t>
                  </w:r>
                </w:p>
              </w:tc>
              <w:tc>
                <w:tcPr>
                  <w:tcW w:w="1108" w:type="dxa"/>
                  <w:vMerge w:val="continue"/>
                  <w:tcBorders>
                    <w:top w:val="nil"/>
                    <w:bottom w:val="nil"/>
                  </w:tcBorders>
                  <w:vAlign w:val="top"/>
                </w:tcPr>
                <w:p w14:paraId="72555C27">
                  <w:pPr>
                    <w:rPr>
                      <w:rFonts w:ascii="Arial"/>
                      <w:sz w:val="21"/>
                    </w:rPr>
                  </w:pPr>
                </w:p>
              </w:tc>
              <w:tc>
                <w:tcPr>
                  <w:tcW w:w="1679" w:type="dxa"/>
                  <w:vMerge w:val="continue"/>
                  <w:tcBorders>
                    <w:top w:val="nil"/>
                    <w:bottom w:val="nil"/>
                  </w:tcBorders>
                  <w:vAlign w:val="top"/>
                </w:tcPr>
                <w:p w14:paraId="79DF2F46">
                  <w:pPr>
                    <w:rPr>
                      <w:rFonts w:ascii="Arial"/>
                      <w:sz w:val="21"/>
                    </w:rPr>
                  </w:pPr>
                </w:p>
              </w:tc>
            </w:tr>
            <w:tr w14:paraId="3AF05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080" w:type="dxa"/>
                  <w:vAlign w:val="top"/>
                </w:tcPr>
                <w:p w14:paraId="7073CC75">
                  <w:pPr>
                    <w:pStyle w:val="6"/>
                    <w:spacing w:before="92" w:line="229" w:lineRule="auto"/>
                    <w:ind w:left="333"/>
                    <w:rPr>
                      <w:sz w:val="20"/>
                      <w:szCs w:val="20"/>
                    </w:rPr>
                  </w:pPr>
                  <w:r>
                    <w:rPr>
                      <w:spacing w:val="5"/>
                      <w:sz w:val="20"/>
                      <w:szCs w:val="20"/>
                    </w:rPr>
                    <w:t>硫酸</w:t>
                  </w:r>
                </w:p>
                <w:p w14:paraId="2DEEE688">
                  <w:pPr>
                    <w:pStyle w:val="6"/>
                    <w:spacing w:before="25"/>
                    <w:ind w:left="152"/>
                    <w:rPr>
                      <w:sz w:val="20"/>
                      <w:szCs w:val="20"/>
                    </w:rPr>
                  </w:pPr>
                  <w:r>
                    <w:rPr>
                      <w:spacing w:val="2"/>
                      <w:sz w:val="20"/>
                      <w:szCs w:val="20"/>
                    </w:rPr>
                    <w:t>（</w:t>
                  </w:r>
                  <w:r>
                    <w:rPr>
                      <w:rFonts w:ascii="Times New Roman" w:hAnsi="Times New Roman" w:eastAsia="Times New Roman" w:cs="Times New Roman"/>
                      <w:spacing w:val="2"/>
                      <w:sz w:val="20"/>
                      <w:szCs w:val="20"/>
                    </w:rPr>
                    <w:t>98%</w:t>
                  </w:r>
                  <w:r>
                    <w:rPr>
                      <w:spacing w:val="2"/>
                      <w:sz w:val="20"/>
                      <w:szCs w:val="20"/>
                    </w:rPr>
                    <w:t>）</w:t>
                  </w:r>
                </w:p>
              </w:tc>
              <w:tc>
                <w:tcPr>
                  <w:tcW w:w="904" w:type="dxa"/>
                  <w:vAlign w:val="top"/>
                </w:tcPr>
                <w:p w14:paraId="039CD682">
                  <w:pPr>
                    <w:spacing w:before="261" w:line="199"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21t/a</w:t>
                  </w:r>
                </w:p>
              </w:tc>
              <w:tc>
                <w:tcPr>
                  <w:tcW w:w="1074" w:type="dxa"/>
                  <w:vAlign w:val="top"/>
                </w:tcPr>
                <w:p w14:paraId="1C757189">
                  <w:pPr>
                    <w:pStyle w:val="6"/>
                    <w:spacing w:before="92" w:line="221" w:lineRule="auto"/>
                    <w:ind w:left="194"/>
                    <w:rPr>
                      <w:sz w:val="20"/>
                      <w:szCs w:val="20"/>
                    </w:rPr>
                  </w:pPr>
                  <w:r>
                    <w:rPr>
                      <w:rFonts w:ascii="Times New Roman" w:hAnsi="Times New Roman" w:eastAsia="Times New Roman" w:cs="Times New Roman"/>
                      <w:spacing w:val="4"/>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5"/>
                      <w:sz w:val="20"/>
                      <w:szCs w:val="20"/>
                    </w:rPr>
                    <w:t xml:space="preserve"> </w:t>
                  </w:r>
                  <w:r>
                    <w:rPr>
                      <w:spacing w:val="4"/>
                      <w:sz w:val="20"/>
                      <w:szCs w:val="20"/>
                    </w:rPr>
                    <w:t>桶</w:t>
                  </w:r>
                </w:p>
                <w:p w14:paraId="30C406F8">
                  <w:pPr>
                    <w:pStyle w:val="6"/>
                    <w:spacing w:before="34" w:line="228" w:lineRule="auto"/>
                    <w:ind w:left="436"/>
                    <w:rPr>
                      <w:sz w:val="20"/>
                      <w:szCs w:val="20"/>
                    </w:rPr>
                  </w:pPr>
                  <w:r>
                    <w:rPr>
                      <w:sz w:val="20"/>
                      <w:szCs w:val="20"/>
                    </w:rPr>
                    <w:t>装</w:t>
                  </w:r>
                </w:p>
              </w:tc>
              <w:tc>
                <w:tcPr>
                  <w:tcW w:w="1193" w:type="dxa"/>
                  <w:vAlign w:val="top"/>
                </w:tcPr>
                <w:p w14:paraId="1A9DBB3E">
                  <w:pPr>
                    <w:pStyle w:val="6"/>
                    <w:spacing w:before="229" w:line="228" w:lineRule="auto"/>
                    <w:ind w:left="317"/>
                    <w:rPr>
                      <w:sz w:val="20"/>
                      <w:szCs w:val="20"/>
                    </w:rPr>
                  </w:pPr>
                  <w:r>
                    <w:rPr>
                      <w:rFonts w:ascii="Times New Roman" w:hAnsi="Times New Roman" w:eastAsia="Times New Roman" w:cs="Times New Roman"/>
                      <w:sz w:val="20"/>
                      <w:szCs w:val="20"/>
                    </w:rPr>
                    <w:t>840</w:t>
                  </w:r>
                  <w:r>
                    <w:rPr>
                      <w:rFonts w:ascii="Times New Roman" w:hAnsi="Times New Roman" w:eastAsia="Times New Roman" w:cs="Times New Roman"/>
                      <w:spacing w:val="13"/>
                      <w:sz w:val="20"/>
                      <w:szCs w:val="20"/>
                    </w:rPr>
                    <w:t xml:space="preserve"> </w:t>
                  </w:r>
                  <w:r>
                    <w:rPr>
                      <w:sz w:val="20"/>
                      <w:szCs w:val="20"/>
                    </w:rPr>
                    <w:t>桶</w:t>
                  </w:r>
                </w:p>
              </w:tc>
              <w:tc>
                <w:tcPr>
                  <w:tcW w:w="905" w:type="dxa"/>
                  <w:vAlign w:val="top"/>
                </w:tcPr>
                <w:p w14:paraId="4C5624A8">
                  <w:pPr>
                    <w:spacing w:before="261" w:line="199"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0.84t/a</w:t>
                  </w:r>
                </w:p>
              </w:tc>
              <w:tc>
                <w:tcPr>
                  <w:tcW w:w="1108" w:type="dxa"/>
                  <w:vMerge w:val="continue"/>
                  <w:tcBorders>
                    <w:top w:val="nil"/>
                    <w:bottom w:val="nil"/>
                  </w:tcBorders>
                  <w:vAlign w:val="top"/>
                </w:tcPr>
                <w:p w14:paraId="62EE3A8C">
                  <w:pPr>
                    <w:rPr>
                      <w:rFonts w:ascii="Arial"/>
                      <w:sz w:val="21"/>
                    </w:rPr>
                  </w:pPr>
                </w:p>
              </w:tc>
              <w:tc>
                <w:tcPr>
                  <w:tcW w:w="1679" w:type="dxa"/>
                  <w:vMerge w:val="continue"/>
                  <w:tcBorders>
                    <w:top w:val="nil"/>
                    <w:bottom w:val="nil"/>
                  </w:tcBorders>
                  <w:vAlign w:val="top"/>
                </w:tcPr>
                <w:p w14:paraId="1AF16DCD">
                  <w:pPr>
                    <w:rPr>
                      <w:rFonts w:ascii="Arial"/>
                      <w:sz w:val="21"/>
                    </w:rPr>
                  </w:pPr>
                </w:p>
              </w:tc>
            </w:tr>
            <w:tr w14:paraId="1BC75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080" w:type="dxa"/>
                  <w:vAlign w:val="top"/>
                </w:tcPr>
                <w:p w14:paraId="1C25A0EE">
                  <w:pPr>
                    <w:pStyle w:val="6"/>
                    <w:spacing w:before="109" w:line="229" w:lineRule="auto"/>
                    <w:ind w:left="336"/>
                    <w:rPr>
                      <w:sz w:val="20"/>
                      <w:szCs w:val="20"/>
                    </w:rPr>
                  </w:pPr>
                  <w:r>
                    <w:rPr>
                      <w:spacing w:val="3"/>
                      <w:sz w:val="20"/>
                      <w:szCs w:val="20"/>
                    </w:rPr>
                    <w:t>硝酸</w:t>
                  </w:r>
                </w:p>
                <w:p w14:paraId="5B097113">
                  <w:pPr>
                    <w:pStyle w:val="6"/>
                    <w:spacing w:before="25"/>
                    <w:ind w:left="152"/>
                    <w:rPr>
                      <w:sz w:val="20"/>
                      <w:szCs w:val="20"/>
                    </w:rPr>
                  </w:pPr>
                  <w:r>
                    <w:rPr>
                      <w:spacing w:val="2"/>
                      <w:sz w:val="20"/>
                      <w:szCs w:val="20"/>
                    </w:rPr>
                    <w:t>（</w:t>
                  </w:r>
                  <w:r>
                    <w:rPr>
                      <w:rFonts w:ascii="Times New Roman" w:hAnsi="Times New Roman" w:eastAsia="Times New Roman" w:cs="Times New Roman"/>
                      <w:spacing w:val="2"/>
                      <w:sz w:val="20"/>
                      <w:szCs w:val="20"/>
                    </w:rPr>
                    <w:t>68%</w:t>
                  </w:r>
                  <w:r>
                    <w:rPr>
                      <w:spacing w:val="2"/>
                      <w:sz w:val="20"/>
                      <w:szCs w:val="20"/>
                    </w:rPr>
                    <w:t>）</w:t>
                  </w:r>
                </w:p>
              </w:tc>
              <w:tc>
                <w:tcPr>
                  <w:tcW w:w="904" w:type="dxa"/>
                  <w:vAlign w:val="top"/>
                </w:tcPr>
                <w:p w14:paraId="410D2199">
                  <w:pPr>
                    <w:spacing w:before="278"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9.2t/a</w:t>
                  </w:r>
                </w:p>
              </w:tc>
              <w:tc>
                <w:tcPr>
                  <w:tcW w:w="1074" w:type="dxa"/>
                  <w:vAlign w:val="top"/>
                </w:tcPr>
                <w:p w14:paraId="1C7A3CF4">
                  <w:pPr>
                    <w:pStyle w:val="6"/>
                    <w:spacing w:before="109" w:line="221" w:lineRule="auto"/>
                    <w:ind w:left="194"/>
                    <w:rPr>
                      <w:sz w:val="20"/>
                      <w:szCs w:val="20"/>
                    </w:rPr>
                  </w:pPr>
                  <w:r>
                    <w:rPr>
                      <w:rFonts w:ascii="Times New Roman" w:hAnsi="Times New Roman" w:eastAsia="Times New Roman" w:cs="Times New Roman"/>
                      <w:spacing w:val="4"/>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5"/>
                      <w:sz w:val="20"/>
                      <w:szCs w:val="20"/>
                    </w:rPr>
                    <w:t xml:space="preserve"> </w:t>
                  </w:r>
                  <w:r>
                    <w:rPr>
                      <w:spacing w:val="4"/>
                      <w:sz w:val="20"/>
                      <w:szCs w:val="20"/>
                    </w:rPr>
                    <w:t>桶</w:t>
                  </w:r>
                </w:p>
                <w:p w14:paraId="5C0E6969">
                  <w:pPr>
                    <w:pStyle w:val="6"/>
                    <w:spacing w:before="34" w:line="228" w:lineRule="auto"/>
                    <w:ind w:left="436"/>
                    <w:rPr>
                      <w:sz w:val="20"/>
                      <w:szCs w:val="20"/>
                    </w:rPr>
                  </w:pPr>
                  <w:r>
                    <w:rPr>
                      <w:sz w:val="20"/>
                      <w:szCs w:val="20"/>
                    </w:rPr>
                    <w:t>装</w:t>
                  </w:r>
                </w:p>
              </w:tc>
              <w:tc>
                <w:tcPr>
                  <w:tcW w:w="1193" w:type="dxa"/>
                  <w:vAlign w:val="top"/>
                </w:tcPr>
                <w:p w14:paraId="7750D71A">
                  <w:pPr>
                    <w:pStyle w:val="6"/>
                    <w:spacing w:before="246" w:line="228" w:lineRule="auto"/>
                    <w:ind w:left="313"/>
                    <w:rPr>
                      <w:sz w:val="20"/>
                      <w:szCs w:val="20"/>
                    </w:rPr>
                  </w:pPr>
                  <w:r>
                    <w:rPr>
                      <w:rFonts w:ascii="Times New Roman" w:hAnsi="Times New Roman" w:eastAsia="Times New Roman" w:cs="Times New Roman"/>
                      <w:spacing w:val="1"/>
                      <w:sz w:val="20"/>
                      <w:szCs w:val="20"/>
                    </w:rPr>
                    <w:t>368</w:t>
                  </w:r>
                  <w:r>
                    <w:rPr>
                      <w:rFonts w:ascii="Times New Roman" w:hAnsi="Times New Roman" w:eastAsia="Times New Roman" w:cs="Times New Roman"/>
                      <w:spacing w:val="13"/>
                      <w:sz w:val="20"/>
                      <w:szCs w:val="20"/>
                    </w:rPr>
                    <w:t xml:space="preserve"> </w:t>
                  </w:r>
                  <w:r>
                    <w:rPr>
                      <w:spacing w:val="1"/>
                      <w:sz w:val="20"/>
                      <w:szCs w:val="20"/>
                    </w:rPr>
                    <w:t>桶</w:t>
                  </w:r>
                </w:p>
              </w:tc>
              <w:tc>
                <w:tcPr>
                  <w:tcW w:w="905" w:type="dxa"/>
                  <w:vAlign w:val="top"/>
                </w:tcPr>
                <w:p w14:paraId="24EC2D32">
                  <w:pPr>
                    <w:spacing w:before="278" w:line="199"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0.368t/a</w:t>
                  </w:r>
                </w:p>
              </w:tc>
              <w:tc>
                <w:tcPr>
                  <w:tcW w:w="1108" w:type="dxa"/>
                  <w:vMerge w:val="continue"/>
                  <w:tcBorders>
                    <w:top w:val="nil"/>
                  </w:tcBorders>
                  <w:vAlign w:val="top"/>
                </w:tcPr>
                <w:p w14:paraId="5A5D8AF5">
                  <w:pPr>
                    <w:rPr>
                      <w:rFonts w:ascii="Arial"/>
                      <w:sz w:val="21"/>
                    </w:rPr>
                  </w:pPr>
                </w:p>
              </w:tc>
              <w:tc>
                <w:tcPr>
                  <w:tcW w:w="1679" w:type="dxa"/>
                  <w:vMerge w:val="continue"/>
                  <w:tcBorders>
                    <w:top w:val="nil"/>
                  </w:tcBorders>
                  <w:vAlign w:val="top"/>
                </w:tcPr>
                <w:p w14:paraId="5514D379">
                  <w:pPr>
                    <w:rPr>
                      <w:rFonts w:ascii="Arial"/>
                      <w:sz w:val="21"/>
                    </w:rPr>
                  </w:pPr>
                </w:p>
              </w:tc>
            </w:tr>
            <w:tr w14:paraId="36F96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080" w:type="dxa"/>
                  <w:vAlign w:val="top"/>
                </w:tcPr>
                <w:p w14:paraId="02E0D511">
                  <w:pPr>
                    <w:pStyle w:val="6"/>
                    <w:spacing w:before="92" w:line="228" w:lineRule="auto"/>
                    <w:ind w:left="336"/>
                    <w:rPr>
                      <w:sz w:val="20"/>
                      <w:szCs w:val="20"/>
                    </w:rPr>
                  </w:pPr>
                  <w:r>
                    <w:rPr>
                      <w:spacing w:val="3"/>
                      <w:sz w:val="20"/>
                      <w:szCs w:val="20"/>
                    </w:rPr>
                    <w:t>草酸</w:t>
                  </w:r>
                </w:p>
                <w:p w14:paraId="560C7D79">
                  <w:pPr>
                    <w:pStyle w:val="6"/>
                    <w:spacing w:before="24"/>
                    <w:ind w:left="152"/>
                    <w:rPr>
                      <w:sz w:val="20"/>
                      <w:szCs w:val="20"/>
                    </w:rPr>
                  </w:pPr>
                  <w:r>
                    <w:rPr>
                      <w:spacing w:val="2"/>
                      <w:sz w:val="20"/>
                      <w:szCs w:val="20"/>
                    </w:rPr>
                    <w:t>（</w:t>
                  </w:r>
                  <w:r>
                    <w:rPr>
                      <w:rFonts w:ascii="Times New Roman" w:hAnsi="Times New Roman" w:eastAsia="Times New Roman" w:cs="Times New Roman"/>
                      <w:spacing w:val="2"/>
                      <w:sz w:val="20"/>
                      <w:szCs w:val="20"/>
                    </w:rPr>
                    <w:t>99%</w:t>
                  </w:r>
                  <w:r>
                    <w:rPr>
                      <w:spacing w:val="2"/>
                      <w:sz w:val="20"/>
                      <w:szCs w:val="20"/>
                    </w:rPr>
                    <w:t>）</w:t>
                  </w:r>
                </w:p>
              </w:tc>
              <w:tc>
                <w:tcPr>
                  <w:tcW w:w="904" w:type="dxa"/>
                  <w:vAlign w:val="top"/>
                </w:tcPr>
                <w:p w14:paraId="1B16D021">
                  <w:pPr>
                    <w:spacing w:before="261" w:line="199"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330t/a</w:t>
                  </w:r>
                </w:p>
              </w:tc>
              <w:tc>
                <w:tcPr>
                  <w:tcW w:w="1074" w:type="dxa"/>
                  <w:vAlign w:val="top"/>
                </w:tcPr>
                <w:p w14:paraId="79E66898">
                  <w:pPr>
                    <w:pStyle w:val="6"/>
                    <w:spacing w:before="93" w:line="221" w:lineRule="auto"/>
                    <w:ind w:left="194"/>
                    <w:rPr>
                      <w:sz w:val="20"/>
                      <w:szCs w:val="20"/>
                    </w:rPr>
                  </w:pP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2"/>
                      <w:sz w:val="20"/>
                      <w:szCs w:val="20"/>
                    </w:rPr>
                    <w:t xml:space="preserve"> </w:t>
                  </w:r>
                  <w:r>
                    <w:rPr>
                      <w:spacing w:val="5"/>
                      <w:sz w:val="20"/>
                      <w:szCs w:val="20"/>
                    </w:rPr>
                    <w:t>袋</w:t>
                  </w:r>
                </w:p>
                <w:p w14:paraId="4B592D7C">
                  <w:pPr>
                    <w:pStyle w:val="6"/>
                    <w:spacing w:before="32" w:line="228" w:lineRule="auto"/>
                    <w:ind w:left="436"/>
                    <w:rPr>
                      <w:sz w:val="20"/>
                      <w:szCs w:val="20"/>
                    </w:rPr>
                  </w:pPr>
                  <w:r>
                    <w:rPr>
                      <w:sz w:val="20"/>
                      <w:szCs w:val="20"/>
                    </w:rPr>
                    <w:t>装</w:t>
                  </w:r>
                </w:p>
              </w:tc>
              <w:tc>
                <w:tcPr>
                  <w:tcW w:w="1193" w:type="dxa"/>
                  <w:vAlign w:val="top"/>
                </w:tcPr>
                <w:p w14:paraId="4E4C5C38">
                  <w:pPr>
                    <w:pStyle w:val="6"/>
                    <w:spacing w:before="229" w:line="231" w:lineRule="auto"/>
                    <w:ind w:left="223"/>
                    <w:rPr>
                      <w:sz w:val="20"/>
                      <w:szCs w:val="20"/>
                    </w:rPr>
                  </w:pPr>
                  <w:r>
                    <w:rPr>
                      <w:rFonts w:ascii="Times New Roman" w:hAnsi="Times New Roman" w:eastAsia="Times New Roman" w:cs="Times New Roman"/>
                      <w:sz w:val="20"/>
                      <w:szCs w:val="20"/>
                    </w:rPr>
                    <w:t>13200</w:t>
                  </w:r>
                  <w:r>
                    <w:rPr>
                      <w:rFonts w:ascii="Times New Roman" w:hAnsi="Times New Roman" w:eastAsia="Times New Roman" w:cs="Times New Roman"/>
                      <w:spacing w:val="12"/>
                      <w:sz w:val="20"/>
                      <w:szCs w:val="20"/>
                    </w:rPr>
                    <w:t xml:space="preserve"> </w:t>
                  </w:r>
                  <w:r>
                    <w:rPr>
                      <w:sz w:val="20"/>
                      <w:szCs w:val="20"/>
                    </w:rPr>
                    <w:t>袋</w:t>
                  </w:r>
                </w:p>
              </w:tc>
              <w:tc>
                <w:tcPr>
                  <w:tcW w:w="905" w:type="dxa"/>
                  <w:vAlign w:val="top"/>
                </w:tcPr>
                <w:p w14:paraId="28365DAC">
                  <w:pPr>
                    <w:spacing w:before="261" w:line="199"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1.32t/a</w:t>
                  </w:r>
                </w:p>
              </w:tc>
              <w:tc>
                <w:tcPr>
                  <w:tcW w:w="1108" w:type="dxa"/>
                  <w:vMerge w:val="restart"/>
                  <w:tcBorders>
                    <w:bottom w:val="nil"/>
                  </w:tcBorders>
                  <w:vAlign w:val="top"/>
                </w:tcPr>
                <w:p w14:paraId="56B31EE8">
                  <w:pPr>
                    <w:spacing w:line="290" w:lineRule="auto"/>
                    <w:rPr>
                      <w:rFonts w:ascii="Arial"/>
                      <w:sz w:val="21"/>
                    </w:rPr>
                  </w:pPr>
                </w:p>
                <w:p w14:paraId="46E1ED99">
                  <w:pPr>
                    <w:spacing w:line="290" w:lineRule="auto"/>
                    <w:rPr>
                      <w:rFonts w:ascii="Arial"/>
                      <w:sz w:val="21"/>
                    </w:rPr>
                  </w:pPr>
                </w:p>
                <w:p w14:paraId="6B473CDF">
                  <w:pPr>
                    <w:spacing w:line="291" w:lineRule="auto"/>
                    <w:rPr>
                      <w:rFonts w:ascii="Arial"/>
                      <w:sz w:val="21"/>
                    </w:rPr>
                  </w:pPr>
                </w:p>
                <w:p w14:paraId="0F0BEA59">
                  <w:pPr>
                    <w:spacing w:before="57" w:line="199"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4.92t/a</w:t>
                  </w:r>
                </w:p>
              </w:tc>
              <w:tc>
                <w:tcPr>
                  <w:tcW w:w="1679" w:type="dxa"/>
                  <w:vMerge w:val="restart"/>
                  <w:tcBorders>
                    <w:bottom w:val="nil"/>
                  </w:tcBorders>
                  <w:vAlign w:val="top"/>
                </w:tcPr>
                <w:p w14:paraId="286B5190">
                  <w:pPr>
                    <w:spacing w:line="279" w:lineRule="auto"/>
                    <w:rPr>
                      <w:rFonts w:ascii="Arial"/>
                      <w:sz w:val="21"/>
                    </w:rPr>
                  </w:pPr>
                </w:p>
                <w:p w14:paraId="768354E1">
                  <w:pPr>
                    <w:spacing w:line="280" w:lineRule="auto"/>
                    <w:rPr>
                      <w:rFonts w:ascii="Arial"/>
                      <w:sz w:val="21"/>
                    </w:rPr>
                  </w:pPr>
                </w:p>
                <w:p w14:paraId="243080B9">
                  <w:pPr>
                    <w:pStyle w:val="6"/>
                    <w:spacing w:before="65" w:line="228" w:lineRule="auto"/>
                    <w:ind w:left="118"/>
                    <w:rPr>
                      <w:sz w:val="20"/>
                      <w:szCs w:val="20"/>
                    </w:rPr>
                  </w:pPr>
                  <w:r>
                    <w:rPr>
                      <w:spacing w:val="6"/>
                      <w:sz w:val="20"/>
                      <w:szCs w:val="20"/>
                    </w:rPr>
                    <w:t>分类收集，委托</w:t>
                  </w:r>
                </w:p>
                <w:p w14:paraId="23B168EE">
                  <w:pPr>
                    <w:pStyle w:val="6"/>
                    <w:spacing w:before="27" w:line="228" w:lineRule="auto"/>
                    <w:ind w:left="215"/>
                    <w:rPr>
                      <w:sz w:val="20"/>
                      <w:szCs w:val="20"/>
                    </w:rPr>
                  </w:pPr>
                  <w:r>
                    <w:rPr>
                      <w:spacing w:val="8"/>
                      <w:sz w:val="20"/>
                      <w:szCs w:val="20"/>
                    </w:rPr>
                    <w:t>有资质单位处</w:t>
                  </w:r>
                </w:p>
                <w:p w14:paraId="52240C7B">
                  <w:pPr>
                    <w:pStyle w:val="6"/>
                    <w:spacing w:before="24" w:line="233" w:lineRule="auto"/>
                    <w:ind w:left="738"/>
                    <w:rPr>
                      <w:sz w:val="20"/>
                      <w:szCs w:val="20"/>
                    </w:rPr>
                  </w:pPr>
                  <w:r>
                    <w:rPr>
                      <w:spacing w:val="2"/>
                      <w:sz w:val="20"/>
                      <w:szCs w:val="20"/>
                    </w:rPr>
                    <w:t>置</w:t>
                  </w:r>
                </w:p>
              </w:tc>
            </w:tr>
            <w:tr w14:paraId="3CBE8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080" w:type="dxa"/>
                  <w:vAlign w:val="top"/>
                </w:tcPr>
                <w:p w14:paraId="0844A572">
                  <w:pPr>
                    <w:pStyle w:val="6"/>
                    <w:spacing w:before="94" w:line="228" w:lineRule="auto"/>
                    <w:ind w:left="251"/>
                    <w:rPr>
                      <w:sz w:val="20"/>
                      <w:szCs w:val="20"/>
                    </w:rPr>
                  </w:pPr>
                  <w:r>
                    <w:rPr>
                      <w:sz w:val="20"/>
                      <w:szCs w:val="20"/>
                    </w:rPr>
                    <w:t>中和粉</w:t>
                  </w:r>
                </w:p>
                <w:p w14:paraId="55E10233">
                  <w:pPr>
                    <w:pStyle w:val="6"/>
                    <w:spacing w:before="24"/>
                    <w:ind w:left="152"/>
                    <w:rPr>
                      <w:sz w:val="20"/>
                      <w:szCs w:val="20"/>
                    </w:rPr>
                  </w:pPr>
                  <w:r>
                    <w:rPr>
                      <w:spacing w:val="2"/>
                      <w:sz w:val="20"/>
                      <w:szCs w:val="20"/>
                    </w:rPr>
                    <w:t>（</w:t>
                  </w:r>
                  <w:r>
                    <w:rPr>
                      <w:rFonts w:ascii="Times New Roman" w:hAnsi="Times New Roman" w:eastAsia="Times New Roman" w:cs="Times New Roman"/>
                      <w:spacing w:val="2"/>
                      <w:sz w:val="20"/>
                      <w:szCs w:val="20"/>
                    </w:rPr>
                    <w:t>99%</w:t>
                  </w:r>
                  <w:r>
                    <w:rPr>
                      <w:spacing w:val="2"/>
                      <w:sz w:val="20"/>
                      <w:szCs w:val="20"/>
                    </w:rPr>
                    <w:t>）</w:t>
                  </w:r>
                </w:p>
              </w:tc>
              <w:tc>
                <w:tcPr>
                  <w:tcW w:w="904" w:type="dxa"/>
                  <w:vAlign w:val="top"/>
                </w:tcPr>
                <w:p w14:paraId="4233363B">
                  <w:pPr>
                    <w:spacing w:before="260" w:line="199"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300t/a</w:t>
                  </w:r>
                </w:p>
              </w:tc>
              <w:tc>
                <w:tcPr>
                  <w:tcW w:w="1074" w:type="dxa"/>
                  <w:vAlign w:val="top"/>
                </w:tcPr>
                <w:p w14:paraId="7A56F093">
                  <w:pPr>
                    <w:pStyle w:val="6"/>
                    <w:spacing w:before="94" w:line="221" w:lineRule="auto"/>
                    <w:ind w:left="194"/>
                    <w:rPr>
                      <w:sz w:val="20"/>
                      <w:szCs w:val="20"/>
                    </w:rPr>
                  </w:pP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2"/>
                      <w:sz w:val="20"/>
                      <w:szCs w:val="20"/>
                    </w:rPr>
                    <w:t xml:space="preserve"> </w:t>
                  </w:r>
                  <w:r>
                    <w:rPr>
                      <w:spacing w:val="5"/>
                      <w:sz w:val="20"/>
                      <w:szCs w:val="20"/>
                    </w:rPr>
                    <w:t>袋</w:t>
                  </w:r>
                </w:p>
                <w:p w14:paraId="1117B875">
                  <w:pPr>
                    <w:pStyle w:val="6"/>
                    <w:spacing w:before="32" w:line="228" w:lineRule="auto"/>
                    <w:ind w:left="436"/>
                    <w:rPr>
                      <w:sz w:val="20"/>
                      <w:szCs w:val="20"/>
                    </w:rPr>
                  </w:pPr>
                  <w:r>
                    <w:rPr>
                      <w:sz w:val="20"/>
                      <w:szCs w:val="20"/>
                    </w:rPr>
                    <w:t>装</w:t>
                  </w:r>
                </w:p>
              </w:tc>
              <w:tc>
                <w:tcPr>
                  <w:tcW w:w="1193" w:type="dxa"/>
                  <w:vAlign w:val="top"/>
                </w:tcPr>
                <w:p w14:paraId="351F637C">
                  <w:pPr>
                    <w:pStyle w:val="6"/>
                    <w:spacing w:before="228" w:line="231" w:lineRule="auto"/>
                    <w:ind w:left="223"/>
                    <w:rPr>
                      <w:sz w:val="20"/>
                      <w:szCs w:val="20"/>
                    </w:rPr>
                  </w:pPr>
                  <w:r>
                    <w:rPr>
                      <w:rFonts w:ascii="Times New Roman" w:hAnsi="Times New Roman" w:eastAsia="Times New Roman" w:cs="Times New Roman"/>
                      <w:sz w:val="20"/>
                      <w:szCs w:val="20"/>
                    </w:rPr>
                    <w:t>12000</w:t>
                  </w:r>
                  <w:r>
                    <w:rPr>
                      <w:rFonts w:ascii="Times New Roman" w:hAnsi="Times New Roman" w:eastAsia="Times New Roman" w:cs="Times New Roman"/>
                      <w:spacing w:val="12"/>
                      <w:sz w:val="20"/>
                      <w:szCs w:val="20"/>
                    </w:rPr>
                    <w:t xml:space="preserve"> </w:t>
                  </w:r>
                  <w:r>
                    <w:rPr>
                      <w:sz w:val="20"/>
                      <w:szCs w:val="20"/>
                    </w:rPr>
                    <w:t>袋</w:t>
                  </w:r>
                </w:p>
              </w:tc>
              <w:tc>
                <w:tcPr>
                  <w:tcW w:w="905" w:type="dxa"/>
                  <w:vAlign w:val="top"/>
                </w:tcPr>
                <w:p w14:paraId="304462CE">
                  <w:pPr>
                    <w:spacing w:before="260" w:line="199"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1.2t/a</w:t>
                  </w:r>
                </w:p>
              </w:tc>
              <w:tc>
                <w:tcPr>
                  <w:tcW w:w="1108" w:type="dxa"/>
                  <w:vMerge w:val="continue"/>
                  <w:tcBorders>
                    <w:top w:val="nil"/>
                    <w:bottom w:val="nil"/>
                  </w:tcBorders>
                  <w:vAlign w:val="top"/>
                </w:tcPr>
                <w:p w14:paraId="6C942CA2">
                  <w:pPr>
                    <w:rPr>
                      <w:rFonts w:ascii="Arial"/>
                      <w:sz w:val="21"/>
                    </w:rPr>
                  </w:pPr>
                </w:p>
              </w:tc>
              <w:tc>
                <w:tcPr>
                  <w:tcW w:w="1679" w:type="dxa"/>
                  <w:vMerge w:val="continue"/>
                  <w:tcBorders>
                    <w:top w:val="nil"/>
                    <w:bottom w:val="nil"/>
                  </w:tcBorders>
                  <w:vAlign w:val="top"/>
                </w:tcPr>
                <w:p w14:paraId="6AE27650">
                  <w:pPr>
                    <w:rPr>
                      <w:rFonts w:ascii="Arial"/>
                      <w:sz w:val="21"/>
                    </w:rPr>
                  </w:pPr>
                </w:p>
              </w:tc>
            </w:tr>
            <w:tr w14:paraId="720C3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080" w:type="dxa"/>
                  <w:vAlign w:val="top"/>
                </w:tcPr>
                <w:p w14:paraId="0D47465C">
                  <w:pPr>
                    <w:pStyle w:val="6"/>
                    <w:spacing w:before="94" w:line="228" w:lineRule="auto"/>
                    <w:ind w:left="339"/>
                    <w:rPr>
                      <w:sz w:val="20"/>
                      <w:szCs w:val="20"/>
                    </w:rPr>
                  </w:pPr>
                  <w:r>
                    <w:rPr>
                      <w:spacing w:val="2"/>
                      <w:sz w:val="20"/>
                      <w:szCs w:val="20"/>
                    </w:rPr>
                    <w:t>片碱</w:t>
                  </w:r>
                </w:p>
                <w:p w14:paraId="32D2C958">
                  <w:pPr>
                    <w:pStyle w:val="6"/>
                    <w:spacing w:before="23"/>
                    <w:ind w:left="152"/>
                    <w:rPr>
                      <w:sz w:val="20"/>
                      <w:szCs w:val="20"/>
                    </w:rPr>
                  </w:pPr>
                  <w:r>
                    <w:rPr>
                      <w:spacing w:val="2"/>
                      <w:sz w:val="20"/>
                      <w:szCs w:val="20"/>
                    </w:rPr>
                    <w:t>（</w:t>
                  </w:r>
                  <w:r>
                    <w:rPr>
                      <w:rFonts w:ascii="Times New Roman" w:hAnsi="Times New Roman" w:eastAsia="Times New Roman" w:cs="Times New Roman"/>
                      <w:spacing w:val="2"/>
                      <w:sz w:val="20"/>
                      <w:szCs w:val="20"/>
                    </w:rPr>
                    <w:t>99%</w:t>
                  </w:r>
                  <w:r>
                    <w:rPr>
                      <w:spacing w:val="2"/>
                      <w:sz w:val="20"/>
                      <w:szCs w:val="20"/>
                    </w:rPr>
                    <w:t>）</w:t>
                  </w:r>
                </w:p>
              </w:tc>
              <w:tc>
                <w:tcPr>
                  <w:tcW w:w="904" w:type="dxa"/>
                  <w:vAlign w:val="top"/>
                </w:tcPr>
                <w:p w14:paraId="58D166DB">
                  <w:pPr>
                    <w:spacing w:before="263" w:line="199"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600t/a</w:t>
                  </w:r>
                </w:p>
              </w:tc>
              <w:tc>
                <w:tcPr>
                  <w:tcW w:w="1074" w:type="dxa"/>
                  <w:vAlign w:val="top"/>
                </w:tcPr>
                <w:p w14:paraId="694590A5">
                  <w:pPr>
                    <w:pStyle w:val="6"/>
                    <w:spacing w:before="94" w:line="221" w:lineRule="auto"/>
                    <w:ind w:left="194"/>
                    <w:rPr>
                      <w:sz w:val="20"/>
                      <w:szCs w:val="20"/>
                    </w:rPr>
                  </w:pP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12"/>
                      <w:sz w:val="20"/>
                      <w:szCs w:val="20"/>
                    </w:rPr>
                    <w:t xml:space="preserve"> </w:t>
                  </w:r>
                  <w:r>
                    <w:rPr>
                      <w:spacing w:val="5"/>
                      <w:sz w:val="20"/>
                      <w:szCs w:val="20"/>
                    </w:rPr>
                    <w:t>袋</w:t>
                  </w:r>
                </w:p>
                <w:p w14:paraId="55430A1B">
                  <w:pPr>
                    <w:pStyle w:val="6"/>
                    <w:spacing w:before="32" w:line="228" w:lineRule="auto"/>
                    <w:ind w:left="436"/>
                    <w:rPr>
                      <w:sz w:val="20"/>
                      <w:szCs w:val="20"/>
                    </w:rPr>
                  </w:pPr>
                  <w:r>
                    <w:rPr>
                      <w:sz w:val="20"/>
                      <w:szCs w:val="20"/>
                    </w:rPr>
                    <w:t>装</w:t>
                  </w:r>
                </w:p>
              </w:tc>
              <w:tc>
                <w:tcPr>
                  <w:tcW w:w="1193" w:type="dxa"/>
                  <w:vAlign w:val="top"/>
                </w:tcPr>
                <w:p w14:paraId="122ED92F">
                  <w:pPr>
                    <w:pStyle w:val="6"/>
                    <w:spacing w:before="230" w:line="231" w:lineRule="auto"/>
                    <w:ind w:left="203"/>
                    <w:rPr>
                      <w:sz w:val="20"/>
                      <w:szCs w:val="20"/>
                    </w:rPr>
                  </w:pPr>
                  <w:r>
                    <w:rPr>
                      <w:rFonts w:ascii="Times New Roman" w:hAnsi="Times New Roman" w:eastAsia="Times New Roman" w:cs="Times New Roman"/>
                      <w:spacing w:val="3"/>
                      <w:sz w:val="20"/>
                      <w:szCs w:val="20"/>
                    </w:rPr>
                    <w:t>24000</w:t>
                  </w:r>
                  <w:r>
                    <w:rPr>
                      <w:rFonts w:ascii="Times New Roman" w:hAnsi="Times New Roman" w:eastAsia="Times New Roman" w:cs="Times New Roman"/>
                      <w:spacing w:val="14"/>
                      <w:sz w:val="20"/>
                      <w:szCs w:val="20"/>
                    </w:rPr>
                    <w:t xml:space="preserve"> </w:t>
                  </w:r>
                  <w:r>
                    <w:rPr>
                      <w:spacing w:val="3"/>
                      <w:sz w:val="20"/>
                      <w:szCs w:val="20"/>
                    </w:rPr>
                    <w:t>袋</w:t>
                  </w:r>
                </w:p>
              </w:tc>
              <w:tc>
                <w:tcPr>
                  <w:tcW w:w="905" w:type="dxa"/>
                  <w:vAlign w:val="top"/>
                </w:tcPr>
                <w:p w14:paraId="060745F5">
                  <w:pPr>
                    <w:spacing w:before="263"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2.4t/a</w:t>
                  </w:r>
                </w:p>
              </w:tc>
              <w:tc>
                <w:tcPr>
                  <w:tcW w:w="1108" w:type="dxa"/>
                  <w:vMerge w:val="continue"/>
                  <w:tcBorders>
                    <w:top w:val="nil"/>
                  </w:tcBorders>
                  <w:vAlign w:val="top"/>
                </w:tcPr>
                <w:p w14:paraId="6A8F5C1A">
                  <w:pPr>
                    <w:rPr>
                      <w:rFonts w:ascii="Arial"/>
                      <w:sz w:val="21"/>
                    </w:rPr>
                  </w:pPr>
                </w:p>
              </w:tc>
              <w:tc>
                <w:tcPr>
                  <w:tcW w:w="1679" w:type="dxa"/>
                  <w:vMerge w:val="continue"/>
                  <w:tcBorders>
                    <w:top w:val="nil"/>
                  </w:tcBorders>
                  <w:vAlign w:val="top"/>
                </w:tcPr>
                <w:p w14:paraId="40BD254B">
                  <w:pPr>
                    <w:rPr>
                      <w:rFonts w:ascii="Arial"/>
                      <w:sz w:val="21"/>
                    </w:rPr>
                  </w:pPr>
                </w:p>
              </w:tc>
            </w:tr>
          </w:tbl>
          <w:p w14:paraId="6D5CAC98">
            <w:pPr>
              <w:spacing w:line="129" w:lineRule="auto"/>
              <w:rPr>
                <w:rFonts w:ascii="Arial"/>
                <w:sz w:val="2"/>
              </w:rPr>
            </w:pPr>
          </w:p>
        </w:tc>
      </w:tr>
    </w:tbl>
    <w:p w14:paraId="052C87EF">
      <w:pPr>
        <w:rPr>
          <w:rFonts w:ascii="Arial"/>
          <w:sz w:val="21"/>
        </w:rPr>
      </w:pPr>
    </w:p>
    <w:p w14:paraId="6C32C938">
      <w:pPr>
        <w:rPr>
          <w:rFonts w:ascii="Arial" w:hAnsi="Arial" w:eastAsia="Arial" w:cs="Arial"/>
          <w:sz w:val="21"/>
          <w:szCs w:val="21"/>
        </w:rPr>
        <w:sectPr>
          <w:footerReference r:id="rId97" w:type="default"/>
          <w:pgSz w:w="11907" w:h="16840"/>
          <w:pgMar w:top="400" w:right="1453" w:bottom="1240" w:left="1453" w:header="0" w:footer="1077" w:gutter="0"/>
          <w:cols w:space="720" w:num="1"/>
        </w:sectPr>
      </w:pPr>
    </w:p>
    <w:p w14:paraId="69C7B1F6">
      <w:pPr>
        <w:spacing w:before="19"/>
      </w:pPr>
      <w:r>
        <w:pict>
          <v:shape id="_x0000_s1045" o:spid="_x0000_s1045" style="position:absolute;left:0pt;margin-left:107.2pt;margin-top:743.2pt;height:0.5pt;width:401.75pt;mso-position-horizontal-relative:page;mso-position-vertical-relative:page;z-index:251677696;mso-width-relative:page;mso-height-relative:page;" filled="f" stroked="t" coordsize="8035,10" o:allowincell="f" path="m0,4l8034,4e">
            <v:fill on="f" focussize="0,0"/>
            <v:stroke weight="0.48pt" color="#000000" miterlimit="2" joinstyle="bevel"/>
            <v:imagedata o:title=""/>
            <o:lock v:ext="edit"/>
          </v:shape>
        </w:pict>
      </w:r>
    </w:p>
    <w:p w14:paraId="6F888822">
      <w:pPr>
        <w:spacing w:before="19"/>
      </w:pPr>
    </w:p>
    <w:p w14:paraId="7F1433B9">
      <w:pPr>
        <w:spacing w:before="19"/>
      </w:pPr>
    </w:p>
    <w:p w14:paraId="2364825D">
      <w:pPr>
        <w:spacing w:before="18"/>
      </w:pPr>
    </w:p>
    <w:p w14:paraId="03879F50">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1003"/>
        <w:gridCol w:w="756"/>
        <w:gridCol w:w="728"/>
        <w:gridCol w:w="1251"/>
        <w:gridCol w:w="1252"/>
        <w:gridCol w:w="995"/>
        <w:gridCol w:w="659"/>
        <w:gridCol w:w="703"/>
        <w:gridCol w:w="745"/>
        <w:gridCol w:w="282"/>
      </w:tblGrid>
      <w:tr w14:paraId="62B0B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3" w:hRule="atLeast"/>
        </w:trPr>
        <w:tc>
          <w:tcPr>
            <w:tcW w:w="611" w:type="dxa"/>
            <w:vMerge w:val="restart"/>
            <w:tcBorders>
              <w:top w:val="single" w:color="000000" w:sz="6" w:space="0"/>
              <w:left w:val="single" w:color="000000" w:sz="6" w:space="0"/>
              <w:bottom w:val="nil"/>
            </w:tcBorders>
            <w:vAlign w:val="top"/>
          </w:tcPr>
          <w:p w14:paraId="6AFD24E7">
            <w:pPr>
              <w:rPr>
                <w:rFonts w:ascii="Arial"/>
                <w:sz w:val="21"/>
              </w:rPr>
            </w:pPr>
          </w:p>
        </w:tc>
        <w:tc>
          <w:tcPr>
            <w:tcW w:w="8374" w:type="dxa"/>
            <w:gridSpan w:val="10"/>
            <w:tcBorders>
              <w:top w:val="single" w:color="000000" w:sz="6" w:space="0"/>
              <w:right w:val="single" w:color="000000" w:sz="6" w:space="0"/>
            </w:tcBorders>
            <w:vAlign w:val="top"/>
          </w:tcPr>
          <w:p w14:paraId="712D8812">
            <w:pPr>
              <w:pStyle w:val="6"/>
              <w:spacing w:before="160" w:line="359" w:lineRule="auto"/>
              <w:ind w:left="104" w:right="104" w:firstLine="478"/>
              <w:jc w:val="both"/>
            </w:pPr>
            <w:r>
              <w:rPr>
                <w:spacing w:val="-2"/>
              </w:rPr>
              <w:t>根据《国家危险废物名录》（</w:t>
            </w:r>
            <w:r>
              <w:rPr>
                <w:rFonts w:ascii="Times New Roman" w:hAnsi="Times New Roman" w:eastAsia="Times New Roman" w:cs="Times New Roman"/>
                <w:spacing w:val="-2"/>
              </w:rPr>
              <w:t xml:space="preserve">2025 </w:t>
            </w:r>
            <w:r>
              <w:rPr>
                <w:spacing w:val="-2"/>
              </w:rPr>
              <w:t>年版</w:t>
            </w:r>
            <w:r>
              <w:rPr>
                <w:spacing w:val="1"/>
              </w:rPr>
              <w:t>），</w:t>
            </w:r>
            <w:r>
              <w:rPr>
                <w:spacing w:val="-2"/>
              </w:rPr>
              <w:t>包装袋等包装物属于危险废物</w:t>
            </w:r>
            <w:r>
              <w:t xml:space="preserve"> </w:t>
            </w:r>
            <w:r>
              <w:rPr>
                <w:spacing w:val="2"/>
              </w:rPr>
              <w:t>（废物类别：</w:t>
            </w:r>
            <w:r>
              <w:rPr>
                <w:rFonts w:ascii="Times New Roman" w:hAnsi="Times New Roman" w:eastAsia="Times New Roman" w:cs="Times New Roman"/>
              </w:rPr>
              <w:t>HW</w:t>
            </w:r>
            <w:r>
              <w:rPr>
                <w:rFonts w:ascii="Times New Roman" w:hAnsi="Times New Roman" w:eastAsia="Times New Roman" w:cs="Times New Roman"/>
                <w:spacing w:val="2"/>
              </w:rPr>
              <w:t xml:space="preserve">49 </w:t>
            </w:r>
            <w:r>
              <w:rPr>
                <w:spacing w:val="2"/>
              </w:rPr>
              <w:t>其他废物，废物代码：</w:t>
            </w:r>
            <w:r>
              <w:rPr>
                <w:rFonts w:ascii="Times New Roman" w:hAnsi="Times New Roman" w:eastAsia="Times New Roman" w:cs="Times New Roman"/>
                <w:spacing w:val="2"/>
              </w:rPr>
              <w:t>900</w:t>
            </w:r>
            <w:r>
              <w:rPr>
                <w:rFonts w:ascii="Times New Roman" w:hAnsi="Times New Roman" w:eastAsia="Times New Roman" w:cs="Times New Roman"/>
                <w:spacing w:val="1"/>
              </w:rPr>
              <w:t>-041-49</w:t>
            </w:r>
            <w:r>
              <w:rPr>
                <w:rFonts w:ascii="Times New Roman" w:hAnsi="Times New Roman" w:eastAsia="Times New Roman" w:cs="Times New Roman"/>
                <w:spacing w:val="-26"/>
              </w:rPr>
              <w:t xml:space="preserve"> </w:t>
            </w:r>
            <w:r>
              <w:rPr>
                <w:spacing w:val="1"/>
              </w:rPr>
              <w:t>，含有或沾染毒性、感</w:t>
            </w:r>
            <w:r>
              <w:t xml:space="preserve"> </w:t>
            </w:r>
            <w:r>
              <w:rPr>
                <w:spacing w:val="2"/>
              </w:rPr>
              <w:t>染性危险废物的废弃包装物、容器、过滤吸附介质，危险特性：</w:t>
            </w:r>
            <w:r>
              <w:rPr>
                <w:rFonts w:ascii="Times New Roman" w:hAnsi="Times New Roman" w:eastAsia="Times New Roman" w:cs="Times New Roman"/>
                <w:spacing w:val="2"/>
              </w:rPr>
              <w:t>T</w:t>
            </w:r>
            <w:r>
              <w:rPr>
                <w:spacing w:val="12"/>
              </w:rPr>
              <w:t>），</w:t>
            </w:r>
            <w:r>
              <w:rPr>
                <w:spacing w:val="2"/>
              </w:rPr>
              <w:t>经收集</w:t>
            </w:r>
            <w:r>
              <w:t xml:space="preserve"> </w:t>
            </w:r>
            <w:r>
              <w:rPr>
                <w:spacing w:val="-1"/>
              </w:rPr>
              <w:t>后委托有资质的单位处置。</w:t>
            </w:r>
          </w:p>
          <w:p w14:paraId="0E5903A2">
            <w:pPr>
              <w:pStyle w:val="6"/>
              <w:spacing w:line="220" w:lineRule="auto"/>
              <w:ind w:left="593"/>
            </w:pPr>
            <w:r>
              <w:rPr>
                <w:spacing w:val="-3"/>
              </w:rPr>
              <w:t>（</w:t>
            </w:r>
            <w:r>
              <w:rPr>
                <w:rFonts w:ascii="Times New Roman" w:hAnsi="Times New Roman" w:eastAsia="Times New Roman" w:cs="Times New Roman"/>
                <w:spacing w:val="-3"/>
              </w:rPr>
              <w:t>3</w:t>
            </w:r>
            <w:r>
              <w:rPr>
                <w:spacing w:val="-3"/>
              </w:rPr>
              <w:t>）废活性炭</w:t>
            </w:r>
          </w:p>
          <w:p w14:paraId="0833067B">
            <w:pPr>
              <w:pStyle w:val="6"/>
              <w:spacing w:before="181" w:line="360" w:lineRule="auto"/>
              <w:ind w:left="101" w:right="40" w:firstLine="481"/>
            </w:pPr>
            <w:r>
              <w:t>本项目废气治理过程中会产生废活性炭，根据《现代涂装手册》（化</w:t>
            </w:r>
            <w:r>
              <w:rPr>
                <w:spacing w:val="-1"/>
              </w:rPr>
              <w:t>学工</w:t>
            </w:r>
            <w:r>
              <w:t xml:space="preserve"> </w:t>
            </w:r>
            <w:r>
              <w:rPr>
                <w:spacing w:val="-6"/>
              </w:rPr>
              <w:t>业出版社，</w:t>
            </w:r>
            <w:r>
              <w:rPr>
                <w:rFonts w:ascii="Times New Roman" w:hAnsi="Times New Roman" w:eastAsia="Times New Roman" w:cs="Times New Roman"/>
                <w:spacing w:val="-6"/>
              </w:rPr>
              <w:t xml:space="preserve">2010 </w:t>
            </w:r>
            <w:r>
              <w:rPr>
                <w:spacing w:val="-6"/>
              </w:rPr>
              <w:t>年出版</w:t>
            </w:r>
            <w:r>
              <w:rPr>
                <w:spacing w:val="-33"/>
              </w:rPr>
              <w:t>），</w:t>
            </w:r>
            <w:r>
              <w:rPr>
                <w:spacing w:val="-6"/>
              </w:rPr>
              <w:t>活性炭的吸附容量一般为</w:t>
            </w:r>
            <w:r>
              <w:rPr>
                <w:spacing w:val="-31"/>
              </w:rPr>
              <w:t xml:space="preserve"> </w:t>
            </w:r>
            <w:r>
              <w:rPr>
                <w:rFonts w:ascii="Times New Roman" w:hAnsi="Times New Roman" w:eastAsia="Times New Roman" w:cs="Times New Roman"/>
                <w:spacing w:val="-6"/>
              </w:rPr>
              <w:t>15%</w:t>
            </w:r>
            <w:r>
              <w:rPr>
                <w:spacing w:val="-6"/>
              </w:rPr>
              <w:t>左右。根据工程分析，</w:t>
            </w:r>
            <w:r>
              <w:t xml:space="preserve"> </w:t>
            </w:r>
            <w:r>
              <w:rPr>
                <w:spacing w:val="-2"/>
              </w:rPr>
              <w:t>项目废气治理措施吸附的有机物的量约为</w:t>
            </w:r>
            <w:r>
              <w:rPr>
                <w:spacing w:val="-49"/>
              </w:rPr>
              <w:t xml:space="preserve"> </w:t>
            </w:r>
            <w:r>
              <w:rPr>
                <w:rFonts w:ascii="Times New Roman" w:hAnsi="Times New Roman" w:eastAsia="Times New Roman" w:cs="Times New Roman"/>
                <w:spacing w:val="-2"/>
              </w:rPr>
              <w:t>5.4</w:t>
            </w:r>
            <w:r>
              <w:rPr>
                <w:rFonts w:ascii="Times New Roman" w:hAnsi="Times New Roman" w:eastAsia="Times New Roman" w:cs="Times New Roman"/>
                <w:spacing w:val="-3"/>
              </w:rPr>
              <w:t>78t/a</w:t>
            </w:r>
            <w:r>
              <w:rPr>
                <w:rFonts w:ascii="Times New Roman" w:hAnsi="Times New Roman" w:eastAsia="Times New Roman" w:cs="Times New Roman"/>
                <w:spacing w:val="-34"/>
              </w:rPr>
              <w:t xml:space="preserve"> </w:t>
            </w:r>
            <w:r>
              <w:rPr>
                <w:spacing w:val="-3"/>
              </w:rPr>
              <w:t>，同时为防止活性炭被穿透，</w:t>
            </w:r>
            <w:r>
              <w:t xml:space="preserve"> </w:t>
            </w:r>
            <w:r>
              <w:rPr>
                <w:spacing w:val="2"/>
              </w:rPr>
              <w:t>活性炭吸附器中活性炭的放置量一般比理论</w:t>
            </w:r>
            <w:r>
              <w:rPr>
                <w:spacing w:val="1"/>
              </w:rPr>
              <w:t>所需活性炭用量多</w:t>
            </w:r>
            <w:r>
              <w:rPr>
                <w:spacing w:val="-46"/>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27"/>
              </w:rPr>
              <w:t xml:space="preserve"> </w:t>
            </w:r>
            <w:r>
              <w:rPr>
                <w:spacing w:val="1"/>
              </w:rPr>
              <w:t>，因此可计</w:t>
            </w:r>
            <w:r>
              <w:t xml:space="preserve"> </w:t>
            </w:r>
            <w:r>
              <w:rPr>
                <w:spacing w:val="-1"/>
              </w:rPr>
              <w:t>算得理论所需活性炭用量约为</w:t>
            </w:r>
            <w:r>
              <w:rPr>
                <w:spacing w:val="-46"/>
              </w:rPr>
              <w:t xml:space="preserve"> </w:t>
            </w:r>
            <w:r>
              <w:rPr>
                <w:rFonts w:ascii="Times New Roman" w:hAnsi="Times New Roman" w:eastAsia="Times New Roman" w:cs="Times New Roman"/>
                <w:spacing w:val="-1"/>
              </w:rPr>
              <w:t>38.346t/a</w:t>
            </w:r>
            <w:r>
              <w:rPr>
                <w:spacing w:val="-1"/>
              </w:rPr>
              <w:t>。</w:t>
            </w:r>
          </w:p>
          <w:p w14:paraId="1496A31C">
            <w:pPr>
              <w:spacing w:line="316" w:lineRule="auto"/>
              <w:rPr>
                <w:rFonts w:ascii="Arial"/>
                <w:sz w:val="21"/>
              </w:rPr>
            </w:pPr>
          </w:p>
          <w:p w14:paraId="29F470E6">
            <w:pPr>
              <w:spacing w:line="4068" w:lineRule="exact"/>
              <w:ind w:firstLine="632"/>
            </w:pPr>
            <w:r>
              <w:rPr>
                <w:position w:val="-81"/>
              </w:rPr>
              <w:drawing>
                <wp:inline distT="0" distB="0" distL="0" distR="0">
                  <wp:extent cx="4501515" cy="258254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05"/>
                          <a:stretch>
                            <a:fillRect/>
                          </a:stretch>
                        </pic:blipFill>
                        <pic:spPr>
                          <a:xfrm>
                            <a:off x="0" y="0"/>
                            <a:ext cx="4501895" cy="2583179"/>
                          </a:xfrm>
                          <a:prstGeom prst="rect">
                            <a:avLst/>
                          </a:prstGeom>
                        </pic:spPr>
                      </pic:pic>
                    </a:graphicData>
                  </a:graphic>
                </wp:inline>
              </w:drawing>
            </w:r>
          </w:p>
          <w:p w14:paraId="26B018A4">
            <w:pPr>
              <w:pStyle w:val="6"/>
              <w:spacing w:before="293" w:line="219" w:lineRule="auto"/>
              <w:ind w:left="2333"/>
            </w:pPr>
            <w:r>
              <w:rPr>
                <w:b/>
                <w:bCs/>
                <w:spacing w:val="-4"/>
              </w:rPr>
              <w:t>图</w:t>
            </w:r>
            <w:r>
              <w:rPr>
                <w:spacing w:val="-38"/>
              </w:rPr>
              <w:t xml:space="preserve"> </w:t>
            </w:r>
            <w:r>
              <w:rPr>
                <w:rFonts w:ascii="Times New Roman" w:hAnsi="Times New Roman" w:eastAsia="Times New Roman" w:cs="Times New Roman"/>
                <w:b/>
                <w:bCs/>
                <w:spacing w:val="-4"/>
              </w:rPr>
              <w:t xml:space="preserve">4-1    </w:t>
            </w:r>
            <w:r>
              <w:rPr>
                <w:b/>
                <w:bCs/>
                <w:spacing w:val="-4"/>
              </w:rPr>
              <w:t>二级活性炭吸附装置示意图</w:t>
            </w:r>
          </w:p>
          <w:p w14:paraId="2B889853">
            <w:pPr>
              <w:spacing w:line="343" w:lineRule="auto"/>
              <w:rPr>
                <w:rFonts w:ascii="Arial"/>
                <w:sz w:val="21"/>
              </w:rPr>
            </w:pPr>
          </w:p>
          <w:p w14:paraId="5C8A478E">
            <w:pPr>
              <w:pStyle w:val="6"/>
              <w:spacing w:before="78" w:line="219" w:lineRule="auto"/>
              <w:ind w:left="583"/>
            </w:pPr>
            <w:r>
              <w:rPr>
                <w:spacing w:val="-1"/>
              </w:rPr>
              <w:t>本项目共有</w:t>
            </w:r>
            <w:r>
              <w:rPr>
                <w:spacing w:val="-43"/>
              </w:rPr>
              <w:t xml:space="preserve"> </w:t>
            </w:r>
            <w:r>
              <w:rPr>
                <w:rFonts w:ascii="Times New Roman" w:hAnsi="Times New Roman" w:eastAsia="Times New Roman" w:cs="Times New Roman"/>
                <w:spacing w:val="-1"/>
              </w:rPr>
              <w:t xml:space="preserve">5 </w:t>
            </w:r>
            <w:r>
              <w:rPr>
                <w:spacing w:val="-1"/>
              </w:rPr>
              <w:t>套活性炭吸附装置，各装置的设计参数分析如下：</w:t>
            </w:r>
          </w:p>
          <w:p w14:paraId="364C9AC1">
            <w:pPr>
              <w:pStyle w:val="6"/>
              <w:spacing w:before="303" w:line="219" w:lineRule="auto"/>
              <w:ind w:left="1886"/>
            </w:pPr>
            <w:r>
              <w:rPr>
                <w:b/>
                <w:bCs/>
                <w:spacing w:val="-2"/>
              </w:rPr>
              <w:t>表</w:t>
            </w:r>
            <w:r>
              <w:rPr>
                <w:spacing w:val="-49"/>
              </w:rPr>
              <w:t xml:space="preserve"> </w:t>
            </w:r>
            <w:r>
              <w:rPr>
                <w:rFonts w:ascii="Times New Roman" w:hAnsi="Times New Roman" w:eastAsia="Times New Roman" w:cs="Times New Roman"/>
                <w:b/>
                <w:bCs/>
                <w:spacing w:val="-2"/>
              </w:rPr>
              <w:t xml:space="preserve">4-28    </w:t>
            </w:r>
            <w:r>
              <w:rPr>
                <w:b/>
                <w:bCs/>
                <w:spacing w:val="-2"/>
              </w:rPr>
              <w:t>本项目有机废气吸附装置设计参数</w:t>
            </w:r>
          </w:p>
        </w:tc>
      </w:tr>
      <w:tr w14:paraId="69985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611" w:type="dxa"/>
            <w:vMerge w:val="continue"/>
            <w:tcBorders>
              <w:top w:val="nil"/>
              <w:left w:val="single" w:color="000000" w:sz="6" w:space="0"/>
              <w:bottom w:val="nil"/>
            </w:tcBorders>
            <w:vAlign w:val="top"/>
          </w:tcPr>
          <w:p w14:paraId="72A8B67F">
            <w:pPr>
              <w:rPr>
                <w:rFonts w:ascii="Arial"/>
                <w:sz w:val="21"/>
              </w:rPr>
            </w:pPr>
          </w:p>
        </w:tc>
        <w:tc>
          <w:tcPr>
            <w:tcW w:w="1003" w:type="dxa"/>
            <w:vAlign w:val="top"/>
          </w:tcPr>
          <w:p w14:paraId="5B5D0059">
            <w:pPr>
              <w:spacing w:line="383" w:lineRule="auto"/>
              <w:rPr>
                <w:rFonts w:ascii="Arial"/>
                <w:sz w:val="21"/>
              </w:rPr>
            </w:pPr>
          </w:p>
          <w:p w14:paraId="4C171AC7">
            <w:pPr>
              <w:pStyle w:val="6"/>
              <w:spacing w:before="65" w:line="228" w:lineRule="auto"/>
              <w:ind w:left="264"/>
              <w:rPr>
                <w:sz w:val="20"/>
                <w:szCs w:val="20"/>
              </w:rPr>
            </w:pPr>
            <w:r>
              <w:rPr>
                <w:spacing w:val="6"/>
                <w:sz w:val="20"/>
                <w:szCs w:val="20"/>
              </w:rPr>
              <w:t>装置编</w:t>
            </w:r>
          </w:p>
          <w:p w14:paraId="23E3F666">
            <w:pPr>
              <w:pStyle w:val="6"/>
              <w:spacing w:before="27" w:line="229" w:lineRule="auto"/>
              <w:ind w:left="480"/>
              <w:rPr>
                <w:sz w:val="20"/>
                <w:szCs w:val="20"/>
              </w:rPr>
            </w:pPr>
            <w:r>
              <w:rPr>
                <w:sz w:val="20"/>
                <w:szCs w:val="20"/>
              </w:rPr>
              <w:t>号</w:t>
            </w:r>
          </w:p>
        </w:tc>
        <w:tc>
          <w:tcPr>
            <w:tcW w:w="756" w:type="dxa"/>
            <w:vAlign w:val="top"/>
          </w:tcPr>
          <w:p w14:paraId="720672C0">
            <w:pPr>
              <w:spacing w:line="264" w:lineRule="auto"/>
              <w:rPr>
                <w:rFonts w:ascii="Arial"/>
                <w:sz w:val="21"/>
              </w:rPr>
            </w:pPr>
          </w:p>
          <w:p w14:paraId="06E76468">
            <w:pPr>
              <w:pStyle w:val="6"/>
              <w:spacing w:before="65" w:line="232" w:lineRule="auto"/>
              <w:ind w:left="244"/>
              <w:rPr>
                <w:sz w:val="20"/>
                <w:szCs w:val="20"/>
              </w:rPr>
            </w:pPr>
            <w:r>
              <w:rPr>
                <w:spacing w:val="2"/>
                <w:sz w:val="20"/>
                <w:szCs w:val="20"/>
              </w:rPr>
              <w:t>处理</w:t>
            </w:r>
          </w:p>
          <w:p w14:paraId="3FEDF930">
            <w:pPr>
              <w:pStyle w:val="6"/>
              <w:spacing w:before="20" w:line="259" w:lineRule="auto"/>
              <w:ind w:left="248" w:right="101" w:hanging="7"/>
              <w:rPr>
                <w:rFonts w:ascii="Times New Roman" w:hAnsi="Times New Roman" w:eastAsia="Times New Roman" w:cs="Times New Roman"/>
                <w:sz w:val="20"/>
                <w:szCs w:val="20"/>
              </w:rPr>
            </w:pPr>
            <w:r>
              <w:rPr>
                <w:spacing w:val="4"/>
                <w:sz w:val="20"/>
                <w:szCs w:val="20"/>
              </w:rPr>
              <w:t>风量</w:t>
            </w:r>
            <w:r>
              <w:rPr>
                <w:sz w:val="20"/>
                <w:szCs w:val="20"/>
              </w:rPr>
              <w:t xml:space="preserve"> </w:t>
            </w:r>
            <w:r>
              <w:rPr>
                <w:rFonts w:ascii="Times New Roman" w:hAnsi="Times New Roman" w:eastAsia="Times New Roman" w:cs="Times New Roman"/>
                <w:spacing w:val="3"/>
                <w:sz w:val="20"/>
                <w:szCs w:val="20"/>
              </w:rPr>
              <w:t>m³/h</w:t>
            </w:r>
          </w:p>
        </w:tc>
        <w:tc>
          <w:tcPr>
            <w:tcW w:w="728" w:type="dxa"/>
            <w:vAlign w:val="top"/>
          </w:tcPr>
          <w:p w14:paraId="10601DEC">
            <w:pPr>
              <w:spacing w:line="265" w:lineRule="auto"/>
              <w:rPr>
                <w:rFonts w:ascii="Arial"/>
                <w:sz w:val="21"/>
              </w:rPr>
            </w:pPr>
          </w:p>
          <w:p w14:paraId="4AFA75C4">
            <w:pPr>
              <w:pStyle w:val="6"/>
              <w:spacing w:before="65" w:line="228" w:lineRule="auto"/>
              <w:ind w:left="220"/>
              <w:rPr>
                <w:sz w:val="20"/>
                <w:szCs w:val="20"/>
              </w:rPr>
            </w:pPr>
            <w:r>
              <w:rPr>
                <w:spacing w:val="3"/>
                <w:sz w:val="20"/>
                <w:szCs w:val="20"/>
              </w:rPr>
              <w:t>折合</w:t>
            </w:r>
          </w:p>
          <w:p w14:paraId="1FB4425A">
            <w:pPr>
              <w:pStyle w:val="6"/>
              <w:spacing w:before="24" w:line="259" w:lineRule="auto"/>
              <w:ind w:left="228" w:right="92" w:hanging="9"/>
              <w:rPr>
                <w:rFonts w:ascii="Times New Roman" w:hAnsi="Times New Roman" w:eastAsia="Times New Roman" w:cs="Times New Roman"/>
                <w:sz w:val="20"/>
                <w:szCs w:val="20"/>
              </w:rPr>
            </w:pPr>
            <w:r>
              <w:rPr>
                <w:spacing w:val="5"/>
                <w:sz w:val="20"/>
                <w:szCs w:val="20"/>
              </w:rPr>
              <w:t>风量</w:t>
            </w:r>
            <w:r>
              <w:rPr>
                <w:sz w:val="20"/>
                <w:szCs w:val="20"/>
              </w:rPr>
              <w:t xml:space="preserve"> </w:t>
            </w:r>
            <w:r>
              <w:rPr>
                <w:rFonts w:ascii="Times New Roman" w:hAnsi="Times New Roman" w:eastAsia="Times New Roman" w:cs="Times New Roman"/>
                <w:spacing w:val="3"/>
                <w:sz w:val="20"/>
                <w:szCs w:val="20"/>
              </w:rPr>
              <w:t>m³/h</w:t>
            </w:r>
          </w:p>
        </w:tc>
        <w:tc>
          <w:tcPr>
            <w:tcW w:w="1251" w:type="dxa"/>
            <w:vAlign w:val="top"/>
          </w:tcPr>
          <w:p w14:paraId="50D60FDB">
            <w:pPr>
              <w:spacing w:line="400" w:lineRule="auto"/>
              <w:rPr>
                <w:rFonts w:ascii="Arial"/>
                <w:sz w:val="21"/>
              </w:rPr>
            </w:pPr>
          </w:p>
          <w:p w14:paraId="43ECEF4B">
            <w:pPr>
              <w:pStyle w:val="6"/>
              <w:spacing w:before="65" w:line="227" w:lineRule="auto"/>
              <w:ind w:left="266"/>
              <w:rPr>
                <w:sz w:val="20"/>
                <w:szCs w:val="20"/>
              </w:rPr>
            </w:pPr>
            <w:r>
              <w:rPr>
                <w:spacing w:val="6"/>
                <w:sz w:val="20"/>
                <w:szCs w:val="20"/>
              </w:rPr>
              <w:t>设备尺寸</w:t>
            </w:r>
          </w:p>
          <w:p w14:paraId="77F8882C">
            <w:pPr>
              <w:spacing w:before="92" w:line="141"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252" w:type="dxa"/>
            <w:vAlign w:val="top"/>
          </w:tcPr>
          <w:p w14:paraId="2A83CC74">
            <w:pPr>
              <w:spacing w:line="265" w:lineRule="auto"/>
              <w:rPr>
                <w:rFonts w:ascii="Arial"/>
                <w:sz w:val="21"/>
              </w:rPr>
            </w:pPr>
          </w:p>
          <w:p w14:paraId="2D22B2F0">
            <w:pPr>
              <w:pStyle w:val="6"/>
              <w:spacing w:before="65" w:line="228" w:lineRule="auto"/>
              <w:ind w:left="256"/>
              <w:rPr>
                <w:sz w:val="20"/>
                <w:szCs w:val="20"/>
              </w:rPr>
            </w:pPr>
            <w:r>
              <w:rPr>
                <w:spacing w:val="6"/>
                <w:sz w:val="20"/>
                <w:szCs w:val="20"/>
              </w:rPr>
              <w:t>活性炭装</w:t>
            </w:r>
          </w:p>
          <w:p w14:paraId="5EB8136C">
            <w:pPr>
              <w:pStyle w:val="6"/>
              <w:spacing w:before="23" w:line="227" w:lineRule="auto"/>
              <w:ind w:left="255"/>
              <w:rPr>
                <w:sz w:val="20"/>
                <w:szCs w:val="20"/>
              </w:rPr>
            </w:pPr>
            <w:r>
              <w:rPr>
                <w:spacing w:val="6"/>
                <w:sz w:val="20"/>
                <w:szCs w:val="20"/>
              </w:rPr>
              <w:t>填区尺寸</w:t>
            </w:r>
          </w:p>
          <w:p w14:paraId="442BF9E5">
            <w:pPr>
              <w:spacing w:before="92" w:line="141"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95" w:type="dxa"/>
            <w:vAlign w:val="top"/>
          </w:tcPr>
          <w:p w14:paraId="7BC2608A">
            <w:pPr>
              <w:pStyle w:val="6"/>
              <w:spacing w:before="44" w:line="251" w:lineRule="auto"/>
              <w:ind w:left="151" w:right="79" w:firstLine="71"/>
              <w:rPr>
                <w:sz w:val="20"/>
                <w:szCs w:val="20"/>
              </w:rPr>
            </w:pPr>
            <w:r>
              <w:rPr>
                <w:spacing w:val="6"/>
                <w:sz w:val="20"/>
                <w:szCs w:val="20"/>
              </w:rPr>
              <w:t>单级活</w:t>
            </w:r>
            <w:r>
              <w:rPr>
                <w:sz w:val="20"/>
                <w:szCs w:val="20"/>
              </w:rPr>
              <w:t xml:space="preserve"> </w:t>
            </w:r>
            <w:r>
              <w:rPr>
                <w:spacing w:val="-11"/>
                <w:sz w:val="20"/>
                <w:szCs w:val="20"/>
              </w:rPr>
              <w:t>性炭（上</w:t>
            </w:r>
          </w:p>
          <w:p w14:paraId="4A1C573B">
            <w:pPr>
              <w:pStyle w:val="6"/>
              <w:spacing w:line="227" w:lineRule="auto"/>
              <w:ind w:right="20"/>
              <w:jc w:val="right"/>
              <w:rPr>
                <w:sz w:val="20"/>
                <w:szCs w:val="20"/>
              </w:rPr>
            </w:pPr>
            <w:r>
              <w:rPr>
                <w:spacing w:val="3"/>
                <w:sz w:val="20"/>
                <w:szCs w:val="20"/>
              </w:rPr>
              <w:t>下两层）</w:t>
            </w:r>
          </w:p>
          <w:p w14:paraId="7E32D1EE">
            <w:pPr>
              <w:pStyle w:val="6"/>
              <w:spacing w:before="27" w:line="229" w:lineRule="auto"/>
              <w:ind w:left="221"/>
              <w:rPr>
                <w:sz w:val="20"/>
                <w:szCs w:val="20"/>
              </w:rPr>
            </w:pPr>
            <w:r>
              <w:rPr>
                <w:spacing w:val="6"/>
                <w:sz w:val="20"/>
                <w:szCs w:val="20"/>
              </w:rPr>
              <w:t>过滤面</w:t>
            </w:r>
          </w:p>
          <w:p w14:paraId="4C2F365B">
            <w:pPr>
              <w:pStyle w:val="6"/>
              <w:spacing w:before="22" w:line="205" w:lineRule="auto"/>
              <w:ind w:left="323"/>
              <w:rPr>
                <w:sz w:val="20"/>
                <w:szCs w:val="20"/>
              </w:rPr>
            </w:pPr>
            <w:r>
              <w:rPr>
                <w:sz w:val="20"/>
                <w:szCs w:val="20"/>
              </w:rPr>
              <w:t>积㎡</w:t>
            </w:r>
          </w:p>
        </w:tc>
        <w:tc>
          <w:tcPr>
            <w:tcW w:w="659" w:type="dxa"/>
            <w:vAlign w:val="top"/>
          </w:tcPr>
          <w:p w14:paraId="281A66FD">
            <w:pPr>
              <w:spacing w:line="264" w:lineRule="auto"/>
              <w:rPr>
                <w:rFonts w:ascii="Arial"/>
                <w:sz w:val="21"/>
              </w:rPr>
            </w:pPr>
          </w:p>
          <w:p w14:paraId="6EDC7F6D">
            <w:pPr>
              <w:pStyle w:val="6"/>
              <w:spacing w:before="65" w:line="230" w:lineRule="auto"/>
              <w:ind w:left="150"/>
              <w:rPr>
                <w:sz w:val="20"/>
                <w:szCs w:val="20"/>
              </w:rPr>
            </w:pPr>
            <w:r>
              <w:rPr>
                <w:spacing w:val="4"/>
                <w:sz w:val="20"/>
                <w:szCs w:val="20"/>
              </w:rPr>
              <w:t>过滤</w:t>
            </w:r>
          </w:p>
          <w:p w14:paraId="3F6FCC0E">
            <w:pPr>
              <w:pStyle w:val="6"/>
              <w:spacing w:before="22" w:line="259" w:lineRule="auto"/>
              <w:ind w:left="202" w:right="102" w:hanging="59"/>
              <w:rPr>
                <w:rFonts w:ascii="Times New Roman" w:hAnsi="Times New Roman" w:eastAsia="Times New Roman" w:cs="Times New Roman"/>
                <w:sz w:val="20"/>
                <w:szCs w:val="20"/>
              </w:rPr>
            </w:pPr>
            <w:r>
              <w:rPr>
                <w:spacing w:val="4"/>
                <w:sz w:val="20"/>
                <w:szCs w:val="20"/>
              </w:rPr>
              <w:t>风速</w:t>
            </w:r>
            <w:r>
              <w:rPr>
                <w:sz w:val="20"/>
                <w:szCs w:val="20"/>
              </w:rPr>
              <w:t xml:space="preserve"> </w:t>
            </w:r>
            <w:r>
              <w:rPr>
                <w:rFonts w:ascii="Times New Roman" w:hAnsi="Times New Roman" w:eastAsia="Times New Roman" w:cs="Times New Roman"/>
                <w:spacing w:val="3"/>
                <w:sz w:val="20"/>
                <w:szCs w:val="20"/>
              </w:rPr>
              <w:t>m/s</w:t>
            </w:r>
          </w:p>
        </w:tc>
        <w:tc>
          <w:tcPr>
            <w:tcW w:w="703" w:type="dxa"/>
            <w:vAlign w:val="top"/>
          </w:tcPr>
          <w:p w14:paraId="3E2E1C73">
            <w:pPr>
              <w:pStyle w:val="6"/>
              <w:spacing w:before="60" w:line="230" w:lineRule="auto"/>
              <w:ind w:left="168"/>
              <w:rPr>
                <w:sz w:val="20"/>
                <w:szCs w:val="20"/>
              </w:rPr>
            </w:pPr>
            <w:r>
              <w:rPr>
                <w:spacing w:val="3"/>
                <w:sz w:val="20"/>
                <w:szCs w:val="20"/>
              </w:rPr>
              <w:t>二级</w:t>
            </w:r>
          </w:p>
          <w:p w14:paraId="25073708">
            <w:pPr>
              <w:pStyle w:val="6"/>
              <w:spacing w:before="22" w:line="228" w:lineRule="auto"/>
              <w:ind w:left="168"/>
              <w:rPr>
                <w:sz w:val="20"/>
                <w:szCs w:val="20"/>
              </w:rPr>
            </w:pPr>
            <w:r>
              <w:rPr>
                <w:spacing w:val="3"/>
                <w:sz w:val="20"/>
                <w:szCs w:val="20"/>
              </w:rPr>
              <w:t>活性</w:t>
            </w:r>
          </w:p>
          <w:p w14:paraId="5BBB1040">
            <w:pPr>
              <w:pStyle w:val="6"/>
              <w:spacing w:before="23" w:line="228" w:lineRule="auto"/>
              <w:ind w:left="168"/>
              <w:rPr>
                <w:sz w:val="20"/>
                <w:szCs w:val="20"/>
              </w:rPr>
            </w:pPr>
            <w:r>
              <w:rPr>
                <w:spacing w:val="3"/>
                <w:sz w:val="20"/>
                <w:szCs w:val="20"/>
              </w:rPr>
              <w:t>炭层</w:t>
            </w:r>
          </w:p>
          <w:p w14:paraId="409512CA">
            <w:pPr>
              <w:pStyle w:val="6"/>
              <w:spacing w:before="26" w:line="230" w:lineRule="auto"/>
              <w:ind w:left="170"/>
              <w:rPr>
                <w:sz w:val="20"/>
                <w:szCs w:val="20"/>
              </w:rPr>
            </w:pPr>
            <w:r>
              <w:rPr>
                <w:spacing w:val="3"/>
                <w:sz w:val="20"/>
                <w:szCs w:val="20"/>
              </w:rPr>
              <w:t>总厚</w:t>
            </w:r>
          </w:p>
          <w:p w14:paraId="6218CCB8">
            <w:pPr>
              <w:spacing w:before="89" w:line="140"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45" w:type="dxa"/>
            <w:vAlign w:val="top"/>
          </w:tcPr>
          <w:p w14:paraId="1916E97F">
            <w:pPr>
              <w:pStyle w:val="6"/>
              <w:spacing w:before="180" w:line="228" w:lineRule="auto"/>
              <w:ind w:left="185"/>
              <w:rPr>
                <w:sz w:val="20"/>
                <w:szCs w:val="20"/>
              </w:rPr>
            </w:pPr>
            <w:r>
              <w:rPr>
                <w:spacing w:val="2"/>
                <w:sz w:val="20"/>
                <w:szCs w:val="20"/>
              </w:rPr>
              <w:t>总吸</w:t>
            </w:r>
          </w:p>
          <w:p w14:paraId="74231407">
            <w:pPr>
              <w:pStyle w:val="6"/>
              <w:spacing w:before="23" w:line="227" w:lineRule="auto"/>
              <w:ind w:left="195"/>
              <w:rPr>
                <w:sz w:val="20"/>
                <w:szCs w:val="20"/>
              </w:rPr>
            </w:pPr>
            <w:r>
              <w:rPr>
                <w:spacing w:val="-4"/>
                <w:sz w:val="20"/>
                <w:szCs w:val="20"/>
              </w:rPr>
              <w:t>附停</w:t>
            </w:r>
          </w:p>
          <w:p w14:paraId="00A28D81">
            <w:pPr>
              <w:pStyle w:val="6"/>
              <w:spacing w:before="25" w:line="228" w:lineRule="auto"/>
              <w:ind w:left="195"/>
              <w:rPr>
                <w:sz w:val="20"/>
                <w:szCs w:val="20"/>
              </w:rPr>
            </w:pPr>
            <w:r>
              <w:rPr>
                <w:spacing w:val="-3"/>
                <w:sz w:val="20"/>
                <w:szCs w:val="20"/>
              </w:rPr>
              <w:t>留时</w:t>
            </w:r>
          </w:p>
          <w:p w14:paraId="65917B72">
            <w:pPr>
              <w:pStyle w:val="6"/>
              <w:spacing w:before="25" w:line="231" w:lineRule="auto"/>
              <w:ind w:left="234"/>
              <w:rPr>
                <w:rFonts w:ascii="Times New Roman" w:hAnsi="Times New Roman" w:eastAsia="Times New Roman" w:cs="Times New Roman"/>
                <w:sz w:val="20"/>
                <w:szCs w:val="20"/>
              </w:rPr>
            </w:pPr>
            <w:r>
              <w:rPr>
                <w:spacing w:val="-8"/>
                <w:sz w:val="20"/>
                <w:szCs w:val="20"/>
              </w:rPr>
              <w:t>间</w:t>
            </w:r>
            <w:r>
              <w:rPr>
                <w:spacing w:val="-38"/>
                <w:sz w:val="20"/>
                <w:szCs w:val="20"/>
              </w:rPr>
              <w:t xml:space="preserve"> </w:t>
            </w:r>
            <w:r>
              <w:rPr>
                <w:rFonts w:ascii="Times New Roman" w:hAnsi="Times New Roman" w:eastAsia="Times New Roman" w:cs="Times New Roman"/>
                <w:spacing w:val="-8"/>
                <w:sz w:val="20"/>
                <w:szCs w:val="20"/>
              </w:rPr>
              <w:t>s</w:t>
            </w:r>
          </w:p>
        </w:tc>
        <w:tc>
          <w:tcPr>
            <w:tcW w:w="282" w:type="dxa"/>
            <w:vMerge w:val="restart"/>
            <w:tcBorders>
              <w:top w:val="nil"/>
              <w:bottom w:val="nil"/>
              <w:right w:val="single" w:color="000000" w:sz="6" w:space="0"/>
            </w:tcBorders>
            <w:vAlign w:val="top"/>
          </w:tcPr>
          <w:p w14:paraId="3D7CD6A6">
            <w:pPr>
              <w:rPr>
                <w:rFonts w:ascii="Arial"/>
                <w:sz w:val="21"/>
              </w:rPr>
            </w:pPr>
          </w:p>
        </w:tc>
      </w:tr>
      <w:tr w14:paraId="5A47D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11" w:type="dxa"/>
            <w:vMerge w:val="continue"/>
            <w:tcBorders>
              <w:top w:val="nil"/>
              <w:left w:val="single" w:color="000000" w:sz="6" w:space="0"/>
              <w:bottom w:val="single" w:color="000000" w:sz="6" w:space="0"/>
            </w:tcBorders>
            <w:vAlign w:val="top"/>
          </w:tcPr>
          <w:p w14:paraId="0768BAC3">
            <w:pPr>
              <w:rPr>
                <w:rFonts w:ascii="Arial"/>
                <w:sz w:val="21"/>
              </w:rPr>
            </w:pPr>
          </w:p>
        </w:tc>
        <w:tc>
          <w:tcPr>
            <w:tcW w:w="1003" w:type="dxa"/>
            <w:tcBorders>
              <w:bottom w:val="single" w:color="000000" w:sz="6" w:space="0"/>
            </w:tcBorders>
            <w:vAlign w:val="top"/>
          </w:tcPr>
          <w:p w14:paraId="3B39B3DF">
            <w:pPr>
              <w:spacing w:before="209"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756" w:type="dxa"/>
            <w:tcBorders>
              <w:bottom w:val="single" w:color="000000" w:sz="6" w:space="0"/>
            </w:tcBorders>
            <w:vAlign w:val="top"/>
          </w:tcPr>
          <w:p w14:paraId="68B03DE4">
            <w:pPr>
              <w:spacing w:before="209"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28" w:type="dxa"/>
            <w:tcBorders>
              <w:bottom w:val="single" w:color="000000" w:sz="6" w:space="0"/>
            </w:tcBorders>
            <w:vAlign w:val="top"/>
          </w:tcPr>
          <w:p w14:paraId="5E4FA09D">
            <w:pPr>
              <w:spacing w:before="20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251" w:type="dxa"/>
            <w:tcBorders>
              <w:bottom w:val="single" w:color="000000" w:sz="6" w:space="0"/>
            </w:tcBorders>
            <w:vAlign w:val="top"/>
          </w:tcPr>
          <w:p w14:paraId="0954C4A0">
            <w:pPr>
              <w:spacing w:before="209"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2.5×1.6×0.2</w:t>
            </w:r>
          </w:p>
        </w:tc>
        <w:tc>
          <w:tcPr>
            <w:tcW w:w="1252" w:type="dxa"/>
            <w:tcBorders>
              <w:bottom w:val="single" w:color="000000" w:sz="6" w:space="0"/>
            </w:tcBorders>
            <w:vAlign w:val="top"/>
          </w:tcPr>
          <w:p w14:paraId="7CDA9D68">
            <w:pPr>
              <w:spacing w:before="209"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2.3×1.4×0.2</w:t>
            </w:r>
          </w:p>
        </w:tc>
        <w:tc>
          <w:tcPr>
            <w:tcW w:w="995" w:type="dxa"/>
            <w:tcBorders>
              <w:bottom w:val="single" w:color="000000" w:sz="6" w:space="0"/>
            </w:tcBorders>
            <w:vAlign w:val="top"/>
          </w:tcPr>
          <w:p w14:paraId="57545EB1">
            <w:pPr>
              <w:spacing w:before="209"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6.44</w:t>
            </w:r>
          </w:p>
        </w:tc>
        <w:tc>
          <w:tcPr>
            <w:tcW w:w="659" w:type="dxa"/>
            <w:tcBorders>
              <w:bottom w:val="single" w:color="000000" w:sz="6" w:space="0"/>
            </w:tcBorders>
            <w:vAlign w:val="top"/>
          </w:tcPr>
          <w:p w14:paraId="36B17F0A">
            <w:pPr>
              <w:spacing w:before="209"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703" w:type="dxa"/>
            <w:tcBorders>
              <w:bottom w:val="single" w:color="000000" w:sz="6" w:space="0"/>
            </w:tcBorders>
            <w:vAlign w:val="top"/>
          </w:tcPr>
          <w:p w14:paraId="4130D92B">
            <w:pPr>
              <w:spacing w:before="20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745" w:type="dxa"/>
            <w:tcBorders>
              <w:bottom w:val="single" w:color="000000" w:sz="6" w:space="0"/>
            </w:tcBorders>
            <w:vAlign w:val="top"/>
          </w:tcPr>
          <w:p w14:paraId="4D8824FE">
            <w:pPr>
              <w:spacing w:before="209"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282" w:type="dxa"/>
            <w:vMerge w:val="continue"/>
            <w:tcBorders>
              <w:top w:val="nil"/>
              <w:bottom w:val="single" w:color="000000" w:sz="6" w:space="0"/>
              <w:right w:val="single" w:color="000000" w:sz="6" w:space="0"/>
            </w:tcBorders>
            <w:vAlign w:val="top"/>
          </w:tcPr>
          <w:p w14:paraId="7969BDF5">
            <w:pPr>
              <w:rPr>
                <w:rFonts w:ascii="Arial"/>
                <w:sz w:val="21"/>
              </w:rPr>
            </w:pPr>
          </w:p>
        </w:tc>
      </w:tr>
    </w:tbl>
    <w:p w14:paraId="68F26916">
      <w:pPr>
        <w:rPr>
          <w:rFonts w:ascii="Arial"/>
          <w:sz w:val="21"/>
        </w:rPr>
      </w:pPr>
    </w:p>
    <w:p w14:paraId="2249EFDD">
      <w:pPr>
        <w:rPr>
          <w:rFonts w:ascii="Arial" w:hAnsi="Arial" w:eastAsia="Arial" w:cs="Arial"/>
          <w:sz w:val="21"/>
          <w:szCs w:val="21"/>
        </w:rPr>
        <w:sectPr>
          <w:footerReference r:id="rId98" w:type="default"/>
          <w:pgSz w:w="11907" w:h="16840"/>
          <w:pgMar w:top="400" w:right="1453" w:bottom="1240" w:left="1453" w:header="0" w:footer="1077" w:gutter="0"/>
          <w:cols w:space="720" w:num="1"/>
        </w:sectPr>
      </w:pPr>
    </w:p>
    <w:p w14:paraId="3E6B297D">
      <w:pPr>
        <w:spacing w:before="19"/>
      </w:pPr>
      <w:r>
        <w:pict>
          <v:shape id="_x0000_s1046" o:spid="_x0000_s1046" style="position:absolute;left:0pt;margin-left:104.95pt;margin-top:291.6pt;height:155.4pt;width:0.5pt;mso-position-horizontal-relative:page;mso-position-vertical-relative:page;z-index:251678720;mso-width-relative:page;mso-height-relative:page;" filled="f" stroked="t" coordsize="10,3107" o:allowincell="f" path="m4,0l4,3107e">
            <v:fill on="f" focussize="0,0"/>
            <v:stroke weight="0.48pt" color="#000000" miterlimit="2" joinstyle="bevel"/>
            <v:imagedata o:title=""/>
            <o:lock v:ext="edit"/>
          </v:shape>
        </w:pict>
      </w:r>
    </w:p>
    <w:p w14:paraId="186FFE7F">
      <w:pPr>
        <w:spacing w:before="19"/>
      </w:pPr>
    </w:p>
    <w:p w14:paraId="77DD89F8">
      <w:pPr>
        <w:spacing w:before="19"/>
      </w:pPr>
    </w:p>
    <w:p w14:paraId="12E10F88">
      <w:pPr>
        <w:spacing w:before="18"/>
      </w:pPr>
    </w:p>
    <w:p w14:paraId="2047536A">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1003"/>
        <w:gridCol w:w="756"/>
        <w:gridCol w:w="728"/>
        <w:gridCol w:w="1251"/>
        <w:gridCol w:w="1252"/>
        <w:gridCol w:w="995"/>
        <w:gridCol w:w="659"/>
        <w:gridCol w:w="703"/>
        <w:gridCol w:w="745"/>
        <w:gridCol w:w="282"/>
      </w:tblGrid>
      <w:tr w14:paraId="78592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611" w:type="dxa"/>
            <w:vMerge w:val="restart"/>
            <w:tcBorders>
              <w:top w:val="single" w:color="000000" w:sz="6" w:space="0"/>
              <w:left w:val="single" w:color="000000" w:sz="6" w:space="0"/>
              <w:bottom w:val="nil"/>
            </w:tcBorders>
            <w:vAlign w:val="top"/>
          </w:tcPr>
          <w:p w14:paraId="00C517F6">
            <w:pPr>
              <w:rPr>
                <w:rFonts w:ascii="Arial"/>
                <w:sz w:val="21"/>
              </w:rPr>
            </w:pPr>
          </w:p>
        </w:tc>
        <w:tc>
          <w:tcPr>
            <w:tcW w:w="1003" w:type="dxa"/>
            <w:vAlign w:val="top"/>
          </w:tcPr>
          <w:p w14:paraId="56F59091">
            <w:pPr>
              <w:spacing w:before="116"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002~</w:t>
            </w:r>
          </w:p>
          <w:p w14:paraId="213DF891">
            <w:pPr>
              <w:spacing w:before="5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005</w:t>
            </w:r>
          </w:p>
        </w:tc>
        <w:tc>
          <w:tcPr>
            <w:tcW w:w="756" w:type="dxa"/>
            <w:vAlign w:val="top"/>
          </w:tcPr>
          <w:p w14:paraId="7A1BCCD4">
            <w:pPr>
              <w:spacing w:before="236"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28" w:type="dxa"/>
            <w:vAlign w:val="top"/>
          </w:tcPr>
          <w:p w14:paraId="0D4272DF">
            <w:pPr>
              <w:spacing w:before="23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251" w:type="dxa"/>
            <w:vAlign w:val="top"/>
          </w:tcPr>
          <w:p w14:paraId="2F0CB7E5">
            <w:pPr>
              <w:spacing w:before="236"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3.8×2.0×0.2</w:t>
            </w:r>
          </w:p>
        </w:tc>
        <w:tc>
          <w:tcPr>
            <w:tcW w:w="1252" w:type="dxa"/>
            <w:vAlign w:val="top"/>
          </w:tcPr>
          <w:p w14:paraId="6DD8233E">
            <w:pPr>
              <w:spacing w:before="236"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3.6×1.8×0.2</w:t>
            </w:r>
          </w:p>
        </w:tc>
        <w:tc>
          <w:tcPr>
            <w:tcW w:w="995" w:type="dxa"/>
            <w:vAlign w:val="top"/>
          </w:tcPr>
          <w:p w14:paraId="7DBB0802">
            <w:pPr>
              <w:spacing w:before="236"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12.96</w:t>
            </w:r>
          </w:p>
        </w:tc>
        <w:tc>
          <w:tcPr>
            <w:tcW w:w="659" w:type="dxa"/>
            <w:vAlign w:val="top"/>
          </w:tcPr>
          <w:p w14:paraId="083FA067">
            <w:pPr>
              <w:spacing w:before="236"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703" w:type="dxa"/>
            <w:vAlign w:val="top"/>
          </w:tcPr>
          <w:p w14:paraId="55B2B35C">
            <w:pPr>
              <w:spacing w:before="236"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745" w:type="dxa"/>
            <w:vAlign w:val="top"/>
          </w:tcPr>
          <w:p w14:paraId="475F73C4">
            <w:pPr>
              <w:spacing w:before="23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282" w:type="dxa"/>
            <w:tcBorders>
              <w:top w:val="single" w:color="000000" w:sz="6" w:space="0"/>
              <w:bottom w:val="nil"/>
              <w:right w:val="single" w:color="000000" w:sz="6" w:space="0"/>
            </w:tcBorders>
            <w:vAlign w:val="top"/>
          </w:tcPr>
          <w:p w14:paraId="40DFCC2F">
            <w:pPr>
              <w:rPr>
                <w:rFonts w:ascii="Arial"/>
                <w:sz w:val="21"/>
              </w:rPr>
            </w:pPr>
          </w:p>
        </w:tc>
      </w:tr>
      <w:tr w14:paraId="491E4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4" w:hRule="atLeast"/>
        </w:trPr>
        <w:tc>
          <w:tcPr>
            <w:tcW w:w="611" w:type="dxa"/>
            <w:vMerge w:val="continue"/>
            <w:tcBorders>
              <w:top w:val="nil"/>
              <w:left w:val="single" w:color="000000" w:sz="6" w:space="0"/>
              <w:bottom w:val="single" w:color="000000" w:sz="6" w:space="0"/>
            </w:tcBorders>
            <w:vAlign w:val="top"/>
          </w:tcPr>
          <w:p w14:paraId="46AA45C0">
            <w:pPr>
              <w:rPr>
                <w:rFonts w:ascii="Arial"/>
                <w:sz w:val="21"/>
              </w:rPr>
            </w:pPr>
          </w:p>
        </w:tc>
        <w:tc>
          <w:tcPr>
            <w:tcW w:w="8374" w:type="dxa"/>
            <w:gridSpan w:val="10"/>
            <w:tcBorders>
              <w:bottom w:val="single" w:color="000000" w:sz="6" w:space="0"/>
              <w:right w:val="single" w:color="000000" w:sz="6" w:space="0"/>
            </w:tcBorders>
            <w:vAlign w:val="top"/>
          </w:tcPr>
          <w:p w14:paraId="3700D05B">
            <w:pPr>
              <w:pStyle w:val="6"/>
              <w:spacing w:before="157" w:line="359" w:lineRule="auto"/>
              <w:ind w:left="105" w:right="101" w:firstLine="477"/>
              <w:jc w:val="both"/>
            </w:pPr>
            <w:r>
              <w:t>根据上表分析，本项目有机废气处理装置满足《吸附法工业有机</w:t>
            </w:r>
            <w:r>
              <w:rPr>
                <w:spacing w:val="-1"/>
              </w:rPr>
              <w:t>废气治理</w:t>
            </w:r>
            <w:r>
              <w:t xml:space="preserve"> </w:t>
            </w:r>
            <w:r>
              <w:rPr>
                <w:spacing w:val="1"/>
              </w:rPr>
              <w:t>工程技术规范》（</w:t>
            </w:r>
            <w:r>
              <w:rPr>
                <w:rFonts w:ascii="Times New Roman" w:hAnsi="Times New Roman" w:eastAsia="Times New Roman" w:cs="Times New Roman"/>
              </w:rPr>
              <w:t>HJ</w:t>
            </w:r>
            <w:r>
              <w:rPr>
                <w:rFonts w:ascii="Times New Roman" w:hAnsi="Times New Roman" w:eastAsia="Times New Roman" w:cs="Times New Roman"/>
                <w:spacing w:val="1"/>
              </w:rPr>
              <w:t xml:space="preserve"> 2026-2013</w:t>
            </w:r>
            <w:r>
              <w:rPr>
                <w:spacing w:val="19"/>
              </w:rPr>
              <w:t>），</w:t>
            </w:r>
            <w:r>
              <w:rPr>
                <w:spacing w:val="1"/>
              </w:rPr>
              <w:t>固定床吸附装置吸附层的</w:t>
            </w:r>
            <w:r>
              <w:t xml:space="preserve">气体流速应根据 </w:t>
            </w:r>
            <w:r>
              <w:rPr>
                <w:spacing w:val="-4"/>
              </w:rPr>
              <w:t>吸附剂的形态确定，采用蜂窝状吸附剂时，气体流速宜低于</w:t>
            </w:r>
            <w:r>
              <w:rPr>
                <w:spacing w:val="-19"/>
              </w:rPr>
              <w:t xml:space="preserve"> </w:t>
            </w:r>
            <w:r>
              <w:rPr>
                <w:rFonts w:ascii="Times New Roman" w:hAnsi="Times New Roman" w:eastAsia="Times New Roman" w:cs="Times New Roman"/>
                <w:spacing w:val="-4"/>
              </w:rPr>
              <w:t>1.20m/s</w:t>
            </w:r>
            <w:r>
              <w:rPr>
                <w:spacing w:val="-4"/>
              </w:rPr>
              <w:t>、吸附停留</w:t>
            </w:r>
            <w:r>
              <w:t xml:space="preserve"> </w:t>
            </w:r>
            <w:r>
              <w:rPr>
                <w:spacing w:val="-4"/>
              </w:rPr>
              <w:t>时间应为</w:t>
            </w:r>
            <w:r>
              <w:rPr>
                <w:spacing w:val="-47"/>
              </w:rPr>
              <w:t xml:space="preserve"> </w:t>
            </w:r>
            <w:r>
              <w:rPr>
                <w:rFonts w:ascii="Times New Roman" w:hAnsi="Times New Roman" w:eastAsia="Times New Roman" w:cs="Times New Roman"/>
                <w:spacing w:val="-4"/>
              </w:rPr>
              <w:t>0.2~2s</w:t>
            </w:r>
            <w:r>
              <w:rPr>
                <w:rFonts w:ascii="Times New Roman" w:hAnsi="Times New Roman" w:eastAsia="Times New Roman" w:cs="Times New Roman"/>
                <w:spacing w:val="29"/>
                <w:w w:val="101"/>
              </w:rPr>
              <w:t xml:space="preserve"> </w:t>
            </w:r>
            <w:r>
              <w:rPr>
                <w:spacing w:val="-4"/>
              </w:rPr>
              <w:t>的要求。</w:t>
            </w:r>
          </w:p>
          <w:p w14:paraId="7BA6C33E">
            <w:pPr>
              <w:pStyle w:val="6"/>
              <w:spacing w:before="2" w:line="350" w:lineRule="auto"/>
              <w:ind w:left="102" w:right="40" w:firstLine="480"/>
            </w:pPr>
            <w:r>
              <w:rPr>
                <w:spacing w:val="-5"/>
              </w:rPr>
              <w:t>本项目使用蜂窝状活性炭，碘值不低于</w:t>
            </w:r>
            <w:r>
              <w:rPr>
                <w:spacing w:val="-31"/>
              </w:rPr>
              <w:t xml:space="preserve"> </w:t>
            </w:r>
            <w:r>
              <w:rPr>
                <w:rFonts w:ascii="Times New Roman" w:hAnsi="Times New Roman" w:eastAsia="Times New Roman" w:cs="Times New Roman"/>
                <w:spacing w:val="-5"/>
              </w:rPr>
              <w:t>800mg/g</w:t>
            </w:r>
            <w:r>
              <w:rPr>
                <w:spacing w:val="-5"/>
              </w:rPr>
              <w:t>，堆填密度按</w:t>
            </w:r>
            <w:r>
              <w:rPr>
                <w:spacing w:val="-48"/>
              </w:rPr>
              <w:t xml:space="preserve"> </w:t>
            </w:r>
            <w:r>
              <w:rPr>
                <w:rFonts w:ascii="Times New Roman" w:hAnsi="Times New Roman" w:eastAsia="Times New Roman" w:cs="Times New Roman"/>
                <w:spacing w:val="-5"/>
              </w:rPr>
              <w:t>590kg/m³</w:t>
            </w:r>
            <w:r>
              <w:rPr>
                <w:spacing w:val="-5"/>
              </w:rPr>
              <w:t>计，</w:t>
            </w:r>
            <w:r>
              <w:t xml:space="preserve"> 根据本项目有机废气吸附装置的参数，废活</w:t>
            </w:r>
            <w:r>
              <w:rPr>
                <w:spacing w:val="-1"/>
              </w:rPr>
              <w:t>性炭的产生量核算如下：</w:t>
            </w:r>
          </w:p>
          <w:p w14:paraId="78D9AF4F">
            <w:pPr>
              <w:pStyle w:val="6"/>
              <w:spacing w:before="140" w:line="219" w:lineRule="auto"/>
              <w:ind w:left="2249"/>
            </w:pPr>
            <w:r>
              <w:rPr>
                <w:b/>
                <w:bCs/>
                <w:spacing w:val="-2"/>
              </w:rPr>
              <w:t>表</w:t>
            </w:r>
            <w:r>
              <w:rPr>
                <w:spacing w:val="-52"/>
              </w:rPr>
              <w:t xml:space="preserve"> </w:t>
            </w:r>
            <w:r>
              <w:rPr>
                <w:rFonts w:ascii="Times New Roman" w:hAnsi="Times New Roman" w:eastAsia="Times New Roman" w:cs="Times New Roman"/>
                <w:b/>
                <w:bCs/>
                <w:spacing w:val="-2"/>
              </w:rPr>
              <w:t xml:space="preserve">4-29    </w:t>
            </w:r>
            <w:r>
              <w:rPr>
                <w:b/>
                <w:bCs/>
                <w:spacing w:val="-2"/>
              </w:rPr>
              <w:t>本项目废活性炭产生量核算</w:t>
            </w:r>
          </w:p>
          <w:p w14:paraId="47B4B7F3">
            <w:pPr>
              <w:spacing w:line="146" w:lineRule="exact"/>
            </w:pPr>
          </w:p>
          <w:tbl>
            <w:tblPr>
              <w:tblStyle w:val="5"/>
              <w:tblW w:w="7942"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660"/>
              <w:gridCol w:w="1240"/>
              <w:gridCol w:w="908"/>
              <w:gridCol w:w="947"/>
              <w:gridCol w:w="812"/>
              <w:gridCol w:w="759"/>
              <w:gridCol w:w="770"/>
              <w:gridCol w:w="854"/>
            </w:tblGrid>
            <w:tr w14:paraId="424A5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0" w:hRule="atLeast"/>
              </w:trPr>
              <w:tc>
                <w:tcPr>
                  <w:tcW w:w="992" w:type="dxa"/>
                  <w:tcBorders>
                    <w:left w:val="nil"/>
                  </w:tcBorders>
                  <w:vAlign w:val="top"/>
                </w:tcPr>
                <w:p w14:paraId="2C431BE3">
                  <w:pPr>
                    <w:spacing w:line="248" w:lineRule="auto"/>
                    <w:rPr>
                      <w:rFonts w:ascii="Arial"/>
                      <w:sz w:val="21"/>
                    </w:rPr>
                  </w:pPr>
                </w:p>
                <w:p w14:paraId="59459724">
                  <w:pPr>
                    <w:spacing w:line="248" w:lineRule="auto"/>
                    <w:rPr>
                      <w:rFonts w:ascii="Arial"/>
                      <w:sz w:val="21"/>
                    </w:rPr>
                  </w:pPr>
                </w:p>
                <w:p w14:paraId="6EE44EB0">
                  <w:pPr>
                    <w:pStyle w:val="6"/>
                    <w:spacing w:before="65" w:line="228" w:lineRule="auto"/>
                    <w:ind w:left="191"/>
                    <w:rPr>
                      <w:sz w:val="20"/>
                      <w:szCs w:val="20"/>
                    </w:rPr>
                  </w:pPr>
                  <w:r>
                    <w:rPr>
                      <w:spacing w:val="6"/>
                      <w:sz w:val="20"/>
                      <w:szCs w:val="20"/>
                    </w:rPr>
                    <w:t>装置编</w:t>
                  </w:r>
                </w:p>
                <w:p w14:paraId="2A8C3B7C">
                  <w:pPr>
                    <w:pStyle w:val="6"/>
                    <w:spacing w:before="24" w:line="229" w:lineRule="auto"/>
                    <w:ind w:left="407"/>
                    <w:rPr>
                      <w:sz w:val="20"/>
                      <w:szCs w:val="20"/>
                    </w:rPr>
                  </w:pPr>
                  <w:r>
                    <w:rPr>
                      <w:sz w:val="20"/>
                      <w:szCs w:val="20"/>
                    </w:rPr>
                    <w:t>号</w:t>
                  </w:r>
                </w:p>
              </w:tc>
              <w:tc>
                <w:tcPr>
                  <w:tcW w:w="660" w:type="dxa"/>
                  <w:vAlign w:val="top"/>
                </w:tcPr>
                <w:p w14:paraId="18515206">
                  <w:pPr>
                    <w:spacing w:line="361" w:lineRule="auto"/>
                    <w:rPr>
                      <w:rFonts w:ascii="Arial"/>
                      <w:sz w:val="21"/>
                    </w:rPr>
                  </w:pPr>
                </w:p>
                <w:p w14:paraId="5E7EDEE7">
                  <w:pPr>
                    <w:pStyle w:val="6"/>
                    <w:spacing w:before="65" w:line="228" w:lineRule="auto"/>
                    <w:ind w:left="125"/>
                    <w:rPr>
                      <w:sz w:val="20"/>
                      <w:szCs w:val="20"/>
                    </w:rPr>
                  </w:pPr>
                  <w:r>
                    <w:rPr>
                      <w:spacing w:val="4"/>
                      <w:sz w:val="20"/>
                      <w:szCs w:val="20"/>
                    </w:rPr>
                    <w:t>装置</w:t>
                  </w:r>
                </w:p>
                <w:p w14:paraId="4807FC4B">
                  <w:pPr>
                    <w:pStyle w:val="6"/>
                    <w:spacing w:before="23" w:line="228" w:lineRule="auto"/>
                    <w:ind w:left="127"/>
                    <w:rPr>
                      <w:sz w:val="20"/>
                      <w:szCs w:val="20"/>
                    </w:rPr>
                  </w:pPr>
                  <w:r>
                    <w:rPr>
                      <w:spacing w:val="3"/>
                      <w:sz w:val="20"/>
                      <w:szCs w:val="20"/>
                    </w:rPr>
                    <w:t>数量</w:t>
                  </w:r>
                </w:p>
                <w:p w14:paraId="66D37353">
                  <w:pPr>
                    <w:pStyle w:val="6"/>
                    <w:spacing w:before="27" w:line="228" w:lineRule="auto"/>
                    <w:ind w:left="194"/>
                    <w:rPr>
                      <w:sz w:val="20"/>
                      <w:szCs w:val="20"/>
                    </w:rPr>
                  </w:pPr>
                  <w:r>
                    <w:rPr>
                      <w:rFonts w:ascii="Times New Roman" w:hAnsi="Times New Roman" w:eastAsia="Times New Roman" w:cs="Times New Roman"/>
                      <w:spacing w:val="5"/>
                      <w:sz w:val="20"/>
                      <w:szCs w:val="20"/>
                    </w:rPr>
                    <w:t>/</w:t>
                  </w:r>
                  <w:r>
                    <w:rPr>
                      <w:spacing w:val="5"/>
                      <w:sz w:val="20"/>
                      <w:szCs w:val="20"/>
                    </w:rPr>
                    <w:t>套</w:t>
                  </w:r>
                </w:p>
              </w:tc>
              <w:tc>
                <w:tcPr>
                  <w:tcW w:w="1240" w:type="dxa"/>
                  <w:vAlign w:val="top"/>
                </w:tcPr>
                <w:p w14:paraId="56F44C06">
                  <w:pPr>
                    <w:spacing w:line="378" w:lineRule="auto"/>
                    <w:rPr>
                      <w:rFonts w:ascii="Arial"/>
                      <w:sz w:val="21"/>
                    </w:rPr>
                  </w:pPr>
                </w:p>
                <w:p w14:paraId="560AEE81">
                  <w:pPr>
                    <w:pStyle w:val="6"/>
                    <w:spacing w:before="65" w:line="228" w:lineRule="auto"/>
                    <w:ind w:left="210"/>
                    <w:rPr>
                      <w:sz w:val="20"/>
                      <w:szCs w:val="20"/>
                    </w:rPr>
                  </w:pPr>
                  <w:r>
                    <w:rPr>
                      <w:spacing w:val="6"/>
                      <w:sz w:val="20"/>
                      <w:szCs w:val="20"/>
                    </w:rPr>
                    <w:t>活性炭装</w:t>
                  </w:r>
                </w:p>
                <w:p w14:paraId="7E346B5B">
                  <w:pPr>
                    <w:pStyle w:val="6"/>
                    <w:spacing w:before="23" w:line="227" w:lineRule="auto"/>
                    <w:ind w:left="208"/>
                    <w:rPr>
                      <w:sz w:val="20"/>
                      <w:szCs w:val="20"/>
                    </w:rPr>
                  </w:pPr>
                  <w:r>
                    <w:rPr>
                      <w:spacing w:val="6"/>
                      <w:sz w:val="20"/>
                      <w:szCs w:val="20"/>
                    </w:rPr>
                    <w:t>填区尺寸</w:t>
                  </w:r>
                </w:p>
                <w:p w14:paraId="20CCC6AF">
                  <w:pPr>
                    <w:spacing w:before="92" w:line="141"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08" w:type="dxa"/>
                  <w:vAlign w:val="top"/>
                </w:tcPr>
                <w:p w14:paraId="708B47D1">
                  <w:pPr>
                    <w:pStyle w:val="6"/>
                    <w:spacing w:before="37" w:line="228" w:lineRule="auto"/>
                    <w:ind w:left="147"/>
                    <w:rPr>
                      <w:sz w:val="20"/>
                      <w:szCs w:val="20"/>
                    </w:rPr>
                  </w:pPr>
                  <w:r>
                    <w:rPr>
                      <w:spacing w:val="6"/>
                      <w:sz w:val="20"/>
                      <w:szCs w:val="20"/>
                    </w:rPr>
                    <w:t>单级活</w:t>
                  </w:r>
                </w:p>
                <w:p w14:paraId="61538466">
                  <w:pPr>
                    <w:pStyle w:val="6"/>
                    <w:spacing w:before="23" w:line="229" w:lineRule="auto"/>
                    <w:ind w:left="253"/>
                    <w:rPr>
                      <w:sz w:val="20"/>
                      <w:szCs w:val="20"/>
                    </w:rPr>
                  </w:pPr>
                  <w:r>
                    <w:rPr>
                      <w:spacing w:val="3"/>
                      <w:sz w:val="20"/>
                      <w:szCs w:val="20"/>
                    </w:rPr>
                    <w:t>性炭</w:t>
                  </w:r>
                </w:p>
                <w:p w14:paraId="593DC266">
                  <w:pPr>
                    <w:pStyle w:val="6"/>
                    <w:spacing w:before="23" w:line="229" w:lineRule="auto"/>
                    <w:ind w:left="155"/>
                    <w:rPr>
                      <w:sz w:val="20"/>
                      <w:szCs w:val="20"/>
                    </w:rPr>
                  </w:pPr>
                  <w:r>
                    <w:rPr>
                      <w:spacing w:val="3"/>
                      <w:sz w:val="20"/>
                      <w:szCs w:val="20"/>
                    </w:rPr>
                    <w:t>（上下</w:t>
                  </w:r>
                </w:p>
                <w:p w14:paraId="000444A3">
                  <w:pPr>
                    <w:pStyle w:val="6"/>
                    <w:spacing w:before="25" w:line="228" w:lineRule="auto"/>
                    <w:ind w:left="146"/>
                    <w:rPr>
                      <w:sz w:val="20"/>
                      <w:szCs w:val="20"/>
                    </w:rPr>
                  </w:pPr>
                  <w:r>
                    <w:rPr>
                      <w:spacing w:val="2"/>
                      <w:sz w:val="20"/>
                      <w:szCs w:val="20"/>
                    </w:rPr>
                    <w:t>两层）</w:t>
                  </w:r>
                </w:p>
                <w:p w14:paraId="498A148D">
                  <w:pPr>
                    <w:pStyle w:val="6"/>
                    <w:spacing w:before="24" w:line="228" w:lineRule="auto"/>
                    <w:ind w:left="145"/>
                    <w:rPr>
                      <w:sz w:val="20"/>
                      <w:szCs w:val="20"/>
                    </w:rPr>
                  </w:pPr>
                  <w:r>
                    <w:rPr>
                      <w:spacing w:val="6"/>
                      <w:sz w:val="20"/>
                      <w:szCs w:val="20"/>
                    </w:rPr>
                    <w:t>装填量</w:t>
                  </w:r>
                </w:p>
                <w:p w14:paraId="0983311B">
                  <w:pPr>
                    <w:spacing w:before="45" w:line="191"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947" w:type="dxa"/>
                  <w:vAlign w:val="top"/>
                </w:tcPr>
                <w:p w14:paraId="3054A3A9">
                  <w:pPr>
                    <w:pStyle w:val="6"/>
                    <w:spacing w:before="37" w:line="251" w:lineRule="auto"/>
                    <w:ind w:left="175" w:right="154" w:hanging="6"/>
                    <w:rPr>
                      <w:sz w:val="20"/>
                      <w:szCs w:val="20"/>
                    </w:rPr>
                  </w:pPr>
                  <w:r>
                    <w:rPr>
                      <w:spacing w:val="5"/>
                      <w:sz w:val="20"/>
                      <w:szCs w:val="20"/>
                    </w:rPr>
                    <w:t>二级活</w:t>
                  </w:r>
                  <w:r>
                    <w:rPr>
                      <w:spacing w:val="1"/>
                      <w:sz w:val="20"/>
                      <w:szCs w:val="20"/>
                    </w:rPr>
                    <w:t xml:space="preserve"> </w:t>
                  </w:r>
                  <w:r>
                    <w:rPr>
                      <w:spacing w:val="19"/>
                      <w:w w:val="116"/>
                      <w:sz w:val="20"/>
                      <w:szCs w:val="20"/>
                    </w:rPr>
                    <w:t>性炭</w:t>
                  </w:r>
                  <w:r>
                    <w:rPr>
                      <w:sz w:val="20"/>
                      <w:szCs w:val="20"/>
                    </w:rPr>
                    <w:t xml:space="preserve">  </w:t>
                  </w:r>
                  <w:r>
                    <w:rPr>
                      <w:spacing w:val="3"/>
                      <w:sz w:val="20"/>
                      <w:szCs w:val="20"/>
                    </w:rPr>
                    <w:t>（上下</w:t>
                  </w:r>
                </w:p>
                <w:p w14:paraId="22237459">
                  <w:pPr>
                    <w:pStyle w:val="6"/>
                    <w:spacing w:line="227" w:lineRule="auto"/>
                    <w:ind w:left="167"/>
                    <w:rPr>
                      <w:sz w:val="20"/>
                      <w:szCs w:val="20"/>
                    </w:rPr>
                  </w:pPr>
                  <w:r>
                    <w:rPr>
                      <w:spacing w:val="2"/>
                      <w:sz w:val="20"/>
                      <w:szCs w:val="20"/>
                    </w:rPr>
                    <w:t>两层）</w:t>
                  </w:r>
                </w:p>
                <w:p w14:paraId="74368239">
                  <w:pPr>
                    <w:pStyle w:val="6"/>
                    <w:spacing w:before="24" w:line="228" w:lineRule="auto"/>
                    <w:ind w:left="166"/>
                    <w:rPr>
                      <w:sz w:val="20"/>
                      <w:szCs w:val="20"/>
                    </w:rPr>
                  </w:pPr>
                  <w:r>
                    <w:rPr>
                      <w:spacing w:val="6"/>
                      <w:sz w:val="20"/>
                      <w:szCs w:val="20"/>
                    </w:rPr>
                    <w:t>装填量</w:t>
                  </w:r>
                </w:p>
                <w:p w14:paraId="230F8318">
                  <w:pPr>
                    <w:spacing w:before="45" w:line="191"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812" w:type="dxa"/>
                  <w:vAlign w:val="top"/>
                </w:tcPr>
                <w:p w14:paraId="6C3A4D55">
                  <w:pPr>
                    <w:pStyle w:val="6"/>
                    <w:spacing w:before="172" w:line="228" w:lineRule="auto"/>
                    <w:ind w:left="206"/>
                    <w:rPr>
                      <w:sz w:val="20"/>
                      <w:szCs w:val="20"/>
                    </w:rPr>
                  </w:pPr>
                  <w:r>
                    <w:rPr>
                      <w:spacing w:val="3"/>
                      <w:sz w:val="20"/>
                      <w:szCs w:val="20"/>
                    </w:rPr>
                    <w:t>活性</w:t>
                  </w:r>
                </w:p>
                <w:p w14:paraId="761AF021">
                  <w:pPr>
                    <w:pStyle w:val="6"/>
                    <w:spacing w:before="26" w:line="228" w:lineRule="auto"/>
                    <w:ind w:left="206"/>
                    <w:rPr>
                      <w:sz w:val="20"/>
                      <w:szCs w:val="20"/>
                    </w:rPr>
                  </w:pPr>
                  <w:r>
                    <w:rPr>
                      <w:spacing w:val="3"/>
                      <w:sz w:val="20"/>
                      <w:szCs w:val="20"/>
                    </w:rPr>
                    <w:t>炭装</w:t>
                  </w:r>
                </w:p>
                <w:p w14:paraId="431B679B">
                  <w:pPr>
                    <w:pStyle w:val="6"/>
                    <w:spacing w:before="24" w:line="254" w:lineRule="auto"/>
                    <w:ind w:left="334" w:right="193" w:hanging="129"/>
                    <w:rPr>
                      <w:sz w:val="20"/>
                      <w:szCs w:val="20"/>
                    </w:rPr>
                  </w:pPr>
                  <w:r>
                    <w:rPr>
                      <w:spacing w:val="3"/>
                      <w:sz w:val="20"/>
                      <w:szCs w:val="20"/>
                    </w:rPr>
                    <w:t>填密</w:t>
                  </w:r>
                  <w:r>
                    <w:rPr>
                      <w:sz w:val="20"/>
                      <w:szCs w:val="20"/>
                    </w:rPr>
                    <w:t xml:space="preserve"> </w:t>
                  </w:r>
                  <w:r>
                    <w:rPr>
                      <w:spacing w:val="1"/>
                      <w:sz w:val="20"/>
                      <w:szCs w:val="20"/>
                    </w:rPr>
                    <w:t>度</w:t>
                  </w:r>
                </w:p>
                <w:p w14:paraId="55CFE8CB">
                  <w:pPr>
                    <w:spacing w:before="11" w:line="201"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/m³</w:t>
                  </w:r>
                </w:p>
              </w:tc>
              <w:tc>
                <w:tcPr>
                  <w:tcW w:w="759" w:type="dxa"/>
                  <w:vAlign w:val="top"/>
                </w:tcPr>
                <w:p w14:paraId="53CAFFF7">
                  <w:pPr>
                    <w:pStyle w:val="6"/>
                    <w:spacing w:before="292" w:line="228" w:lineRule="auto"/>
                    <w:ind w:left="179"/>
                    <w:rPr>
                      <w:sz w:val="20"/>
                      <w:szCs w:val="20"/>
                    </w:rPr>
                  </w:pPr>
                  <w:r>
                    <w:rPr>
                      <w:spacing w:val="3"/>
                      <w:sz w:val="20"/>
                      <w:szCs w:val="20"/>
                    </w:rPr>
                    <w:t>活性</w:t>
                  </w:r>
                </w:p>
                <w:p w14:paraId="41819C6F">
                  <w:pPr>
                    <w:pStyle w:val="6"/>
                    <w:spacing w:before="26" w:line="228" w:lineRule="auto"/>
                    <w:ind w:left="179"/>
                    <w:rPr>
                      <w:sz w:val="20"/>
                      <w:szCs w:val="20"/>
                    </w:rPr>
                  </w:pPr>
                  <w:r>
                    <w:rPr>
                      <w:spacing w:val="3"/>
                      <w:sz w:val="20"/>
                      <w:szCs w:val="20"/>
                    </w:rPr>
                    <w:t>炭装</w:t>
                  </w:r>
                </w:p>
                <w:p w14:paraId="76BA37AC">
                  <w:pPr>
                    <w:pStyle w:val="6"/>
                    <w:spacing w:before="24" w:line="228" w:lineRule="auto"/>
                    <w:ind w:left="177"/>
                    <w:rPr>
                      <w:sz w:val="20"/>
                      <w:szCs w:val="20"/>
                    </w:rPr>
                  </w:pPr>
                  <w:r>
                    <w:rPr>
                      <w:spacing w:val="3"/>
                      <w:sz w:val="20"/>
                      <w:szCs w:val="20"/>
                    </w:rPr>
                    <w:t>填重</w:t>
                  </w:r>
                </w:p>
                <w:p w14:paraId="1062EDF3">
                  <w:pPr>
                    <w:pStyle w:val="6"/>
                    <w:spacing w:before="26" w:line="233" w:lineRule="auto"/>
                    <w:ind w:left="226"/>
                    <w:rPr>
                      <w:rFonts w:ascii="Times New Roman" w:hAnsi="Times New Roman" w:eastAsia="Times New Roman" w:cs="Times New Roman"/>
                      <w:sz w:val="20"/>
                      <w:szCs w:val="20"/>
                    </w:rPr>
                  </w:pPr>
                  <w:r>
                    <w:rPr>
                      <w:sz w:val="20"/>
                      <w:szCs w:val="20"/>
                    </w:rPr>
                    <w:t>量</w:t>
                  </w:r>
                  <w:r>
                    <w:rPr>
                      <w:spacing w:val="-45"/>
                      <w:sz w:val="20"/>
                      <w:szCs w:val="20"/>
                    </w:rPr>
                    <w:t xml:space="preserve"> </w:t>
                  </w:r>
                  <w:r>
                    <w:rPr>
                      <w:rFonts w:ascii="Times New Roman" w:hAnsi="Times New Roman" w:eastAsia="Times New Roman" w:cs="Times New Roman"/>
                      <w:sz w:val="20"/>
                      <w:szCs w:val="20"/>
                    </w:rPr>
                    <w:t>t</w:t>
                  </w:r>
                </w:p>
              </w:tc>
              <w:tc>
                <w:tcPr>
                  <w:tcW w:w="770" w:type="dxa"/>
                  <w:vAlign w:val="top"/>
                </w:tcPr>
                <w:p w14:paraId="5F9244C0">
                  <w:pPr>
                    <w:pStyle w:val="6"/>
                    <w:spacing w:before="292" w:line="228" w:lineRule="auto"/>
                    <w:ind w:left="185"/>
                    <w:rPr>
                      <w:sz w:val="20"/>
                      <w:szCs w:val="20"/>
                    </w:rPr>
                  </w:pPr>
                  <w:r>
                    <w:rPr>
                      <w:spacing w:val="3"/>
                      <w:sz w:val="20"/>
                      <w:szCs w:val="20"/>
                    </w:rPr>
                    <w:t>更换</w:t>
                  </w:r>
                </w:p>
                <w:p w14:paraId="6912B2B2">
                  <w:pPr>
                    <w:pStyle w:val="6"/>
                    <w:spacing w:before="27" w:line="252" w:lineRule="auto"/>
                    <w:ind w:left="164" w:right="140" w:firstLine="19"/>
                    <w:jc w:val="both"/>
                    <w:rPr>
                      <w:sz w:val="20"/>
                      <w:szCs w:val="20"/>
                    </w:rPr>
                  </w:pPr>
                  <w:r>
                    <w:rPr>
                      <w:spacing w:val="4"/>
                      <w:sz w:val="20"/>
                      <w:szCs w:val="20"/>
                    </w:rPr>
                    <w:t>频次</w:t>
                  </w:r>
                  <w:r>
                    <w:rPr>
                      <w:sz w:val="20"/>
                      <w:szCs w:val="20"/>
                    </w:rPr>
                    <w:t xml:space="preserve"> </w:t>
                  </w:r>
                  <w:r>
                    <w:rPr>
                      <w:spacing w:val="1"/>
                      <w:sz w:val="20"/>
                      <w:szCs w:val="20"/>
                    </w:rPr>
                    <w:t>（次</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spacing w:val="9"/>
                      <w:sz w:val="20"/>
                      <w:szCs w:val="20"/>
                    </w:rPr>
                    <w:t>年）</w:t>
                  </w:r>
                </w:p>
              </w:tc>
              <w:tc>
                <w:tcPr>
                  <w:tcW w:w="854" w:type="dxa"/>
                  <w:vAlign w:val="top"/>
                </w:tcPr>
                <w:p w14:paraId="329AAF09">
                  <w:pPr>
                    <w:spacing w:line="249" w:lineRule="auto"/>
                    <w:rPr>
                      <w:rFonts w:ascii="Arial"/>
                      <w:sz w:val="21"/>
                    </w:rPr>
                  </w:pPr>
                </w:p>
                <w:p w14:paraId="068A6C6B">
                  <w:pPr>
                    <w:spacing w:line="249" w:lineRule="auto"/>
                    <w:rPr>
                      <w:rFonts w:ascii="Arial"/>
                      <w:sz w:val="21"/>
                    </w:rPr>
                  </w:pPr>
                </w:p>
                <w:p w14:paraId="203AA0FF">
                  <w:pPr>
                    <w:pStyle w:val="6"/>
                    <w:spacing w:before="65" w:line="252" w:lineRule="auto"/>
                    <w:ind w:left="224" w:right="109" w:hanging="107"/>
                    <w:rPr>
                      <w:sz w:val="20"/>
                      <w:szCs w:val="20"/>
                    </w:rPr>
                  </w:pPr>
                  <w:r>
                    <w:rPr>
                      <w:spacing w:val="7"/>
                      <w:sz w:val="20"/>
                      <w:szCs w:val="20"/>
                    </w:rPr>
                    <w:t>废活性</w:t>
                  </w:r>
                  <w:r>
                    <w:rPr>
                      <w:sz w:val="20"/>
                      <w:szCs w:val="20"/>
                    </w:rPr>
                    <w:t xml:space="preserve"> </w:t>
                  </w:r>
                  <w:r>
                    <w:rPr>
                      <w:spacing w:val="3"/>
                      <w:sz w:val="20"/>
                      <w:szCs w:val="20"/>
                    </w:rPr>
                    <w:t>炭量</w:t>
                  </w:r>
                </w:p>
              </w:tc>
            </w:tr>
            <w:tr w14:paraId="4016E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92" w:type="dxa"/>
                  <w:tcBorders>
                    <w:left w:val="nil"/>
                  </w:tcBorders>
                  <w:vAlign w:val="top"/>
                </w:tcPr>
                <w:p w14:paraId="1B604C83">
                  <w:pPr>
                    <w:spacing w:line="242" w:lineRule="auto"/>
                    <w:rPr>
                      <w:rFonts w:ascii="Arial"/>
                      <w:sz w:val="21"/>
                    </w:rPr>
                  </w:pPr>
                </w:p>
                <w:p w14:paraId="0C75A860">
                  <w:pPr>
                    <w:spacing w:before="57"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660" w:type="dxa"/>
                  <w:vAlign w:val="top"/>
                </w:tcPr>
                <w:p w14:paraId="2FBCD5C8">
                  <w:pPr>
                    <w:spacing w:line="242" w:lineRule="auto"/>
                    <w:rPr>
                      <w:rFonts w:ascii="Arial"/>
                      <w:sz w:val="21"/>
                    </w:rPr>
                  </w:pPr>
                </w:p>
                <w:p w14:paraId="36B7A356">
                  <w:pPr>
                    <w:spacing w:before="57"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0" w:type="dxa"/>
                  <w:vAlign w:val="top"/>
                </w:tcPr>
                <w:p w14:paraId="680E0C47">
                  <w:pPr>
                    <w:spacing w:line="242" w:lineRule="auto"/>
                    <w:rPr>
                      <w:rFonts w:ascii="Arial"/>
                      <w:sz w:val="21"/>
                    </w:rPr>
                  </w:pPr>
                </w:p>
                <w:p w14:paraId="502F8A1A">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2.3×1.4×0.2</w:t>
                  </w:r>
                </w:p>
              </w:tc>
              <w:tc>
                <w:tcPr>
                  <w:tcW w:w="908" w:type="dxa"/>
                  <w:vAlign w:val="top"/>
                </w:tcPr>
                <w:p w14:paraId="37C9A366">
                  <w:pPr>
                    <w:spacing w:line="242" w:lineRule="auto"/>
                    <w:rPr>
                      <w:rFonts w:ascii="Arial"/>
                      <w:sz w:val="21"/>
                    </w:rPr>
                  </w:pPr>
                </w:p>
                <w:p w14:paraId="54A5BA42">
                  <w:pPr>
                    <w:spacing w:before="5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1.288</w:t>
                  </w:r>
                </w:p>
              </w:tc>
              <w:tc>
                <w:tcPr>
                  <w:tcW w:w="947" w:type="dxa"/>
                  <w:vAlign w:val="top"/>
                </w:tcPr>
                <w:p w14:paraId="204CDF08">
                  <w:pPr>
                    <w:spacing w:line="242" w:lineRule="auto"/>
                    <w:rPr>
                      <w:rFonts w:ascii="Arial"/>
                      <w:sz w:val="21"/>
                    </w:rPr>
                  </w:pPr>
                </w:p>
                <w:p w14:paraId="41AC8CB4">
                  <w:pPr>
                    <w:spacing w:before="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2.576</w:t>
                  </w:r>
                </w:p>
              </w:tc>
              <w:tc>
                <w:tcPr>
                  <w:tcW w:w="812" w:type="dxa"/>
                  <w:vAlign w:val="top"/>
                </w:tcPr>
                <w:p w14:paraId="5EA07A18">
                  <w:pPr>
                    <w:spacing w:line="242" w:lineRule="auto"/>
                    <w:rPr>
                      <w:rFonts w:ascii="Arial"/>
                      <w:sz w:val="21"/>
                    </w:rPr>
                  </w:pPr>
                </w:p>
                <w:p w14:paraId="7B01B509">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590</w:t>
                  </w:r>
                </w:p>
              </w:tc>
              <w:tc>
                <w:tcPr>
                  <w:tcW w:w="759" w:type="dxa"/>
                  <w:vAlign w:val="top"/>
                </w:tcPr>
                <w:p w14:paraId="48C52A79">
                  <w:pPr>
                    <w:spacing w:line="242" w:lineRule="auto"/>
                    <w:rPr>
                      <w:rFonts w:ascii="Arial"/>
                      <w:sz w:val="21"/>
                    </w:rPr>
                  </w:pPr>
                </w:p>
                <w:p w14:paraId="45C3CC5B">
                  <w:pPr>
                    <w:spacing w:before="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1.520</w:t>
                  </w:r>
                </w:p>
              </w:tc>
              <w:tc>
                <w:tcPr>
                  <w:tcW w:w="770" w:type="dxa"/>
                  <w:vAlign w:val="top"/>
                </w:tcPr>
                <w:p w14:paraId="44E2BBED">
                  <w:pPr>
                    <w:spacing w:line="242" w:lineRule="auto"/>
                    <w:rPr>
                      <w:rFonts w:ascii="Arial"/>
                      <w:sz w:val="21"/>
                    </w:rPr>
                  </w:pPr>
                </w:p>
                <w:p w14:paraId="3E3C29D8">
                  <w:pPr>
                    <w:spacing w:before="5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54" w:type="dxa"/>
                  <w:vAlign w:val="top"/>
                </w:tcPr>
                <w:p w14:paraId="44503E3B">
                  <w:pPr>
                    <w:spacing w:line="242" w:lineRule="auto"/>
                    <w:rPr>
                      <w:rFonts w:ascii="Arial"/>
                      <w:sz w:val="21"/>
                    </w:rPr>
                  </w:pPr>
                </w:p>
                <w:p w14:paraId="198200C6">
                  <w:pPr>
                    <w:spacing w:before="57"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6.08</w:t>
                  </w:r>
                </w:p>
              </w:tc>
            </w:tr>
            <w:tr w14:paraId="04345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992" w:type="dxa"/>
                  <w:tcBorders>
                    <w:left w:val="nil"/>
                  </w:tcBorders>
                  <w:vAlign w:val="top"/>
                </w:tcPr>
                <w:p w14:paraId="6FBE334E">
                  <w:pPr>
                    <w:spacing w:before="6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002</w:t>
                  </w:r>
                </w:p>
                <w:p w14:paraId="35CCE534">
                  <w:pPr>
                    <w:spacing w:before="129" w:line="111"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p w14:paraId="77285CC7">
                  <w:pPr>
                    <w:spacing w:before="54"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005</w:t>
                  </w:r>
                </w:p>
              </w:tc>
              <w:tc>
                <w:tcPr>
                  <w:tcW w:w="660" w:type="dxa"/>
                  <w:vAlign w:val="top"/>
                </w:tcPr>
                <w:p w14:paraId="2AE01709">
                  <w:pPr>
                    <w:spacing w:line="245" w:lineRule="auto"/>
                    <w:rPr>
                      <w:rFonts w:ascii="Arial"/>
                      <w:sz w:val="21"/>
                    </w:rPr>
                  </w:pPr>
                </w:p>
                <w:p w14:paraId="0EEDCCF7">
                  <w:pPr>
                    <w:spacing w:before="5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40" w:type="dxa"/>
                  <w:vAlign w:val="top"/>
                </w:tcPr>
                <w:p w14:paraId="6659FD5A">
                  <w:pPr>
                    <w:spacing w:line="245" w:lineRule="auto"/>
                    <w:rPr>
                      <w:rFonts w:ascii="Arial"/>
                      <w:sz w:val="21"/>
                    </w:rPr>
                  </w:pPr>
                </w:p>
                <w:p w14:paraId="148C0381">
                  <w:pPr>
                    <w:spacing w:before="57"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3.6×1.8×0.2</w:t>
                  </w:r>
                </w:p>
              </w:tc>
              <w:tc>
                <w:tcPr>
                  <w:tcW w:w="908" w:type="dxa"/>
                  <w:vAlign w:val="top"/>
                </w:tcPr>
                <w:p w14:paraId="0B090042">
                  <w:pPr>
                    <w:spacing w:line="245" w:lineRule="auto"/>
                    <w:rPr>
                      <w:rFonts w:ascii="Arial"/>
                      <w:sz w:val="21"/>
                    </w:rPr>
                  </w:pPr>
                </w:p>
                <w:p w14:paraId="4FD2AAB7">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2.592</w:t>
                  </w:r>
                </w:p>
              </w:tc>
              <w:tc>
                <w:tcPr>
                  <w:tcW w:w="947" w:type="dxa"/>
                  <w:vAlign w:val="top"/>
                </w:tcPr>
                <w:p w14:paraId="4042ACC2">
                  <w:pPr>
                    <w:spacing w:line="245" w:lineRule="auto"/>
                    <w:rPr>
                      <w:rFonts w:ascii="Arial"/>
                      <w:sz w:val="21"/>
                    </w:rPr>
                  </w:pPr>
                </w:p>
                <w:p w14:paraId="3213F362">
                  <w:pPr>
                    <w:spacing w:before="57"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5.184</w:t>
                  </w:r>
                </w:p>
              </w:tc>
              <w:tc>
                <w:tcPr>
                  <w:tcW w:w="812" w:type="dxa"/>
                  <w:vAlign w:val="top"/>
                </w:tcPr>
                <w:p w14:paraId="0E85F0FF">
                  <w:pPr>
                    <w:spacing w:line="245" w:lineRule="auto"/>
                    <w:rPr>
                      <w:rFonts w:ascii="Arial"/>
                      <w:sz w:val="21"/>
                    </w:rPr>
                  </w:pPr>
                </w:p>
                <w:p w14:paraId="6032B21F">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590</w:t>
                  </w:r>
                </w:p>
              </w:tc>
              <w:tc>
                <w:tcPr>
                  <w:tcW w:w="759" w:type="dxa"/>
                  <w:vAlign w:val="top"/>
                </w:tcPr>
                <w:p w14:paraId="58ADCAB0">
                  <w:pPr>
                    <w:spacing w:line="245" w:lineRule="auto"/>
                    <w:rPr>
                      <w:rFonts w:ascii="Arial"/>
                      <w:sz w:val="21"/>
                    </w:rPr>
                  </w:pPr>
                </w:p>
                <w:p w14:paraId="09010F92">
                  <w:pPr>
                    <w:spacing w:before="57"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3.059</w:t>
                  </w:r>
                </w:p>
              </w:tc>
              <w:tc>
                <w:tcPr>
                  <w:tcW w:w="770" w:type="dxa"/>
                  <w:vAlign w:val="top"/>
                </w:tcPr>
                <w:p w14:paraId="0B15720E">
                  <w:pPr>
                    <w:spacing w:line="245" w:lineRule="auto"/>
                    <w:rPr>
                      <w:rFonts w:ascii="Arial"/>
                      <w:sz w:val="21"/>
                    </w:rPr>
                  </w:pPr>
                </w:p>
                <w:p w14:paraId="62E761EC">
                  <w:pPr>
                    <w:spacing w:before="5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54" w:type="dxa"/>
                  <w:vAlign w:val="top"/>
                </w:tcPr>
                <w:p w14:paraId="705CB623">
                  <w:pPr>
                    <w:spacing w:line="245" w:lineRule="auto"/>
                    <w:rPr>
                      <w:rFonts w:ascii="Arial"/>
                      <w:sz w:val="21"/>
                    </w:rPr>
                  </w:pPr>
                </w:p>
                <w:p w14:paraId="1B2EC2B0">
                  <w:pPr>
                    <w:spacing w:before="5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48.944</w:t>
                  </w:r>
                </w:p>
              </w:tc>
            </w:tr>
          </w:tbl>
          <w:p w14:paraId="2FDEF23A">
            <w:pPr>
              <w:pStyle w:val="6"/>
              <w:spacing w:before="155" w:line="359" w:lineRule="auto"/>
              <w:ind w:left="103" w:right="101" w:firstLine="481"/>
              <w:jc w:val="both"/>
            </w:pPr>
            <w:r>
              <w:t>为保证吸附效果，建议建设单位至少每三个月对每级活性炭吸附</w:t>
            </w:r>
            <w:r>
              <w:rPr>
                <w:spacing w:val="-1"/>
              </w:rPr>
              <w:t>治理设施</w:t>
            </w:r>
            <w:r>
              <w:t xml:space="preserve"> </w:t>
            </w:r>
            <w:r>
              <w:rPr>
                <w:spacing w:val="-2"/>
              </w:rPr>
              <w:t>更换</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次活性炭，则更换下来的废活性炭的量约为</w:t>
            </w:r>
            <w:r>
              <w:rPr>
                <w:spacing w:val="-49"/>
              </w:rPr>
              <w:t xml:space="preserve"> </w:t>
            </w:r>
            <w:r>
              <w:rPr>
                <w:rFonts w:ascii="Times New Roman" w:hAnsi="Times New Roman" w:eastAsia="Times New Roman" w:cs="Times New Roman"/>
                <w:spacing w:val="-2"/>
              </w:rPr>
              <w:t>55.024t</w:t>
            </w:r>
            <w:r>
              <w:rPr>
                <w:rFonts w:ascii="Times New Roman" w:hAnsi="Times New Roman" w:eastAsia="Times New Roman" w:cs="Times New Roman"/>
                <w:spacing w:val="-3"/>
              </w:rPr>
              <w:t>/a</w:t>
            </w:r>
            <w:r>
              <w:rPr>
                <w:rFonts w:ascii="Times New Roman" w:hAnsi="Times New Roman" w:eastAsia="Times New Roman" w:cs="Times New Roman"/>
                <w:spacing w:val="-31"/>
              </w:rPr>
              <w:t xml:space="preserve"> </w:t>
            </w:r>
            <w:r>
              <w:rPr>
                <w:spacing w:val="-3"/>
              </w:rPr>
              <w:t>，加上被吸附的</w:t>
            </w:r>
            <w:r>
              <w:t xml:space="preserve"> </w:t>
            </w:r>
            <w:r>
              <w:rPr>
                <w:spacing w:val="-2"/>
              </w:rPr>
              <w:t>有机物的量</w:t>
            </w:r>
            <w:r>
              <w:rPr>
                <w:spacing w:val="-38"/>
              </w:rPr>
              <w:t xml:space="preserve"> </w:t>
            </w:r>
            <w:r>
              <w:rPr>
                <w:rFonts w:ascii="Times New Roman" w:hAnsi="Times New Roman" w:eastAsia="Times New Roman" w:cs="Times New Roman"/>
                <w:spacing w:val="-2"/>
              </w:rPr>
              <w:t>5.478t/a</w:t>
            </w:r>
            <w:r>
              <w:rPr>
                <w:rFonts w:ascii="Times New Roman" w:hAnsi="Times New Roman" w:eastAsia="Times New Roman" w:cs="Times New Roman"/>
                <w:spacing w:val="-34"/>
              </w:rPr>
              <w:t xml:space="preserve"> </w:t>
            </w:r>
            <w:r>
              <w:rPr>
                <w:spacing w:val="-2"/>
              </w:rPr>
              <w:t>，则本项目废活性炭产生量约</w:t>
            </w:r>
            <w:r>
              <w:rPr>
                <w:spacing w:val="-49"/>
              </w:rPr>
              <w:t xml:space="preserve"> </w:t>
            </w:r>
            <w:r>
              <w:rPr>
                <w:rFonts w:ascii="Times New Roman" w:hAnsi="Times New Roman" w:eastAsia="Times New Roman" w:cs="Times New Roman"/>
                <w:spacing w:val="-2"/>
              </w:rPr>
              <w:t>60.502t/a</w:t>
            </w:r>
            <w:r>
              <w:rPr>
                <w:spacing w:val="-2"/>
              </w:rPr>
              <w:t>。</w:t>
            </w:r>
          </w:p>
          <w:p w14:paraId="57402871">
            <w:pPr>
              <w:pStyle w:val="6"/>
              <w:spacing w:before="4" w:line="359" w:lineRule="auto"/>
              <w:ind w:left="97" w:right="21" w:firstLine="484"/>
            </w:pPr>
            <w:r>
              <w:rPr>
                <w:spacing w:val="-2"/>
              </w:rPr>
              <w:t>根据《国家危险废物名录》（</w:t>
            </w:r>
            <w:r>
              <w:rPr>
                <w:rFonts w:ascii="Times New Roman" w:hAnsi="Times New Roman" w:eastAsia="Times New Roman" w:cs="Times New Roman"/>
                <w:spacing w:val="-2"/>
              </w:rPr>
              <w:t xml:space="preserve">2025 </w:t>
            </w:r>
            <w:r>
              <w:rPr>
                <w:spacing w:val="-2"/>
              </w:rPr>
              <w:t>版</w:t>
            </w:r>
            <w:r>
              <w:rPr>
                <w:spacing w:val="1"/>
              </w:rPr>
              <w:t>），</w:t>
            </w:r>
            <w:r>
              <w:rPr>
                <w:spacing w:val="-2"/>
              </w:rPr>
              <w:t>本项目有机废气处理产生的废活</w:t>
            </w:r>
            <w:r>
              <w:t xml:space="preserve"> </w:t>
            </w:r>
            <w:r>
              <w:rPr>
                <w:spacing w:val="2"/>
              </w:rPr>
              <w:t>性炭属于危险废物（废物类别：</w:t>
            </w:r>
            <w:r>
              <w:rPr>
                <w:rFonts w:ascii="Times New Roman" w:hAnsi="Times New Roman" w:eastAsia="Times New Roman" w:cs="Times New Roman"/>
              </w:rPr>
              <w:t>HW</w:t>
            </w:r>
            <w:r>
              <w:rPr>
                <w:rFonts w:ascii="Times New Roman" w:hAnsi="Times New Roman" w:eastAsia="Times New Roman" w:cs="Times New Roman"/>
                <w:spacing w:val="2"/>
              </w:rPr>
              <w:t xml:space="preserve">49 </w:t>
            </w:r>
            <w:r>
              <w:rPr>
                <w:spacing w:val="2"/>
              </w:rPr>
              <w:t>其他废物，废物代码</w:t>
            </w:r>
            <w:r>
              <w:rPr>
                <w:spacing w:val="1"/>
              </w:rPr>
              <w:t>：</w:t>
            </w:r>
            <w:r>
              <w:rPr>
                <w:rFonts w:ascii="Times New Roman" w:hAnsi="Times New Roman" w:eastAsia="Times New Roman" w:cs="Times New Roman"/>
                <w:spacing w:val="1"/>
              </w:rPr>
              <w:t>900-039-49</w:t>
            </w:r>
            <w:r>
              <w:rPr>
                <w:rFonts w:ascii="Times New Roman" w:hAnsi="Times New Roman" w:eastAsia="Times New Roman" w:cs="Times New Roman"/>
                <w:spacing w:val="-24"/>
              </w:rPr>
              <w:t xml:space="preserve"> </w:t>
            </w:r>
            <w:r>
              <w:rPr>
                <w:spacing w:val="1"/>
              </w:rPr>
              <w:t>，危</w:t>
            </w:r>
            <w:r>
              <w:t xml:space="preserve"> 险废物：烟气、有机废气治理过程（不包括餐饮行业油烟治理过程）产生的废</w:t>
            </w:r>
            <w:r>
              <w:rPr>
                <w:spacing w:val="1"/>
              </w:rPr>
              <w:t xml:space="preserve"> </w:t>
            </w:r>
            <w:r>
              <w:rPr>
                <w:spacing w:val="-5"/>
              </w:rPr>
              <w:t>活性炭，化学原料和化学制品脱色（不包括有机合成食品添加剂脱色）、除杂、</w:t>
            </w:r>
            <w:r>
              <w:rPr>
                <w:spacing w:val="18"/>
              </w:rPr>
              <w:t xml:space="preserve"> </w:t>
            </w:r>
            <w:r>
              <w:rPr>
                <w:spacing w:val="6"/>
              </w:rPr>
              <w:t>净化过程产生的废活性炭（不包括</w:t>
            </w:r>
            <w:r>
              <w:rPr>
                <w:spacing w:val="-28"/>
              </w:rPr>
              <w:t xml:space="preserve"> </w:t>
            </w:r>
            <w:r>
              <w:rPr>
                <w:rFonts w:ascii="Times New Roman" w:hAnsi="Times New Roman" w:eastAsia="Times New Roman" w:cs="Times New Roman"/>
                <w:spacing w:val="6"/>
              </w:rPr>
              <w:t>900-405-06</w:t>
            </w:r>
            <w:r>
              <w:rPr>
                <w:rFonts w:ascii="Times New Roman" w:hAnsi="Times New Roman" w:eastAsia="Times New Roman" w:cs="Times New Roman"/>
                <w:spacing w:val="-13"/>
              </w:rPr>
              <w:t xml:space="preserve"> </w:t>
            </w:r>
            <w:r>
              <w:rPr>
                <w:spacing w:val="6"/>
              </w:rPr>
              <w:t>、</w:t>
            </w:r>
            <w:r>
              <w:rPr>
                <w:rFonts w:ascii="Times New Roman" w:hAnsi="Times New Roman" w:eastAsia="Times New Roman" w:cs="Times New Roman"/>
                <w:spacing w:val="6"/>
              </w:rPr>
              <w:t>772-</w:t>
            </w:r>
            <w:r>
              <w:rPr>
                <w:rFonts w:ascii="Times New Roman" w:hAnsi="Times New Roman" w:eastAsia="Times New Roman" w:cs="Times New Roman"/>
                <w:spacing w:val="5"/>
              </w:rPr>
              <w:t>005-18</w:t>
            </w:r>
            <w:r>
              <w:rPr>
                <w:rFonts w:ascii="Times New Roman" w:hAnsi="Times New Roman" w:eastAsia="Times New Roman" w:cs="Times New Roman"/>
                <w:spacing w:val="-9"/>
              </w:rPr>
              <w:t xml:space="preserve"> </w:t>
            </w:r>
            <w:r>
              <w:rPr>
                <w:spacing w:val="5"/>
              </w:rPr>
              <w:t>、</w:t>
            </w:r>
            <w:r>
              <w:rPr>
                <w:rFonts w:ascii="Times New Roman" w:hAnsi="Times New Roman" w:eastAsia="Times New Roman" w:cs="Times New Roman"/>
                <w:spacing w:val="5"/>
              </w:rPr>
              <w:t>261-053-29</w:t>
            </w:r>
            <w:r>
              <w:rPr>
                <w:rFonts w:ascii="Times New Roman" w:hAnsi="Times New Roman" w:eastAsia="Times New Roman" w:cs="Times New Roman"/>
                <w:spacing w:val="-13"/>
              </w:rPr>
              <w:t xml:space="preserve"> </w:t>
            </w:r>
            <w:r>
              <w:rPr>
                <w:spacing w:val="5"/>
              </w:rPr>
              <w:t>、</w:t>
            </w:r>
            <w:r>
              <w:t xml:space="preserve"> </w:t>
            </w:r>
            <w:r>
              <w:rPr>
                <w:rFonts w:ascii="Times New Roman" w:hAnsi="Times New Roman" w:eastAsia="Times New Roman" w:cs="Times New Roman"/>
                <w:spacing w:val="-1"/>
              </w:rPr>
              <w:t>265-002-29</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384-003-29</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spacing w:val="-1"/>
              </w:rPr>
              <w:t xml:space="preserve">387-001-29 </w:t>
            </w:r>
            <w:r>
              <w:rPr>
                <w:spacing w:val="-1"/>
              </w:rPr>
              <w:t>类废物</w:t>
            </w:r>
            <w:r>
              <w:rPr>
                <w:spacing w:val="9"/>
              </w:rPr>
              <w:t>），</w:t>
            </w:r>
            <w:r>
              <w:rPr>
                <w:spacing w:val="-1"/>
              </w:rPr>
              <w:t>危险</w:t>
            </w:r>
            <w:r>
              <w:rPr>
                <w:spacing w:val="-2"/>
              </w:rPr>
              <w:t>特性：</w:t>
            </w:r>
            <w:r>
              <w:rPr>
                <w:rFonts w:ascii="Times New Roman" w:hAnsi="Times New Roman" w:eastAsia="Times New Roman" w:cs="Times New Roman"/>
                <w:spacing w:val="-2"/>
              </w:rPr>
              <w:t>T</w:t>
            </w:r>
            <w:r>
              <w:rPr>
                <w:spacing w:val="9"/>
              </w:rPr>
              <w:t>），</w:t>
            </w:r>
            <w:r>
              <w:rPr>
                <w:spacing w:val="-2"/>
              </w:rPr>
              <w:t>经收集后暂</w:t>
            </w:r>
            <w:r>
              <w:t xml:space="preserve"> 存于本项目新设置的危废暂存间，委托有资</w:t>
            </w:r>
            <w:r>
              <w:rPr>
                <w:spacing w:val="-1"/>
              </w:rPr>
              <w:t>质的单位处置。</w:t>
            </w:r>
          </w:p>
          <w:p w14:paraId="75E81131">
            <w:pPr>
              <w:pStyle w:val="6"/>
              <w:spacing w:line="220" w:lineRule="auto"/>
              <w:ind w:left="593"/>
            </w:pPr>
            <w:r>
              <w:rPr>
                <w:spacing w:val="-3"/>
              </w:rPr>
              <w:t>（</w:t>
            </w:r>
            <w:r>
              <w:rPr>
                <w:rFonts w:ascii="Times New Roman" w:hAnsi="Times New Roman" w:eastAsia="Times New Roman" w:cs="Times New Roman"/>
                <w:spacing w:val="-3"/>
              </w:rPr>
              <w:t>4</w:t>
            </w:r>
            <w:r>
              <w:rPr>
                <w:spacing w:val="-3"/>
              </w:rPr>
              <w:t>）沉淀污泥</w:t>
            </w:r>
          </w:p>
          <w:p w14:paraId="623944D9">
            <w:pPr>
              <w:pStyle w:val="6"/>
              <w:spacing w:before="180" w:line="219" w:lineRule="auto"/>
              <w:jc w:val="right"/>
            </w:pPr>
            <w:r>
              <w:rPr>
                <w:spacing w:val="-6"/>
              </w:rPr>
              <w:t>项目配套建有生产废水处理站，主要对生产废水进行中和调节和沉淀处理，</w:t>
            </w:r>
          </w:p>
        </w:tc>
      </w:tr>
    </w:tbl>
    <w:p w14:paraId="69366DA6">
      <w:pPr>
        <w:rPr>
          <w:rFonts w:ascii="Arial"/>
          <w:sz w:val="21"/>
        </w:rPr>
      </w:pPr>
    </w:p>
    <w:p w14:paraId="71A0B021">
      <w:pPr>
        <w:rPr>
          <w:rFonts w:ascii="Arial" w:hAnsi="Arial" w:eastAsia="Arial" w:cs="Arial"/>
          <w:sz w:val="21"/>
          <w:szCs w:val="21"/>
        </w:rPr>
        <w:sectPr>
          <w:footerReference r:id="rId99" w:type="default"/>
          <w:pgSz w:w="11907" w:h="16840"/>
          <w:pgMar w:top="400" w:right="1453" w:bottom="1240" w:left="1453" w:header="0" w:footer="1077" w:gutter="0"/>
          <w:cols w:space="720" w:num="1"/>
        </w:sectPr>
      </w:pPr>
      <w:bookmarkStart w:id="13" w:name="_GoBack"/>
      <w:bookmarkEnd w:id="13"/>
    </w:p>
    <w:p w14:paraId="2116225D">
      <w:pPr>
        <w:spacing w:before="19"/>
      </w:pPr>
    </w:p>
    <w:p w14:paraId="24045B80">
      <w:pPr>
        <w:spacing w:before="19"/>
      </w:pPr>
    </w:p>
    <w:p w14:paraId="1CE9046B">
      <w:pPr>
        <w:spacing w:before="19"/>
      </w:pPr>
    </w:p>
    <w:p w14:paraId="6F18883F">
      <w:pPr>
        <w:spacing w:before="18"/>
      </w:pPr>
    </w:p>
    <w:p w14:paraId="18ACFA34">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349E7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82" w:hRule="atLeast"/>
        </w:trPr>
        <w:tc>
          <w:tcPr>
            <w:tcW w:w="604" w:type="dxa"/>
            <w:tcBorders>
              <w:right w:val="single" w:color="000000" w:sz="2" w:space="0"/>
            </w:tcBorders>
            <w:vAlign w:val="top"/>
          </w:tcPr>
          <w:p w14:paraId="46B67B52">
            <w:pPr>
              <w:rPr>
                <w:rFonts w:ascii="Arial"/>
                <w:sz w:val="21"/>
              </w:rPr>
            </w:pPr>
          </w:p>
        </w:tc>
        <w:tc>
          <w:tcPr>
            <w:tcW w:w="8381" w:type="dxa"/>
            <w:tcBorders>
              <w:left w:val="single" w:color="000000" w:sz="2" w:space="0"/>
            </w:tcBorders>
            <w:vAlign w:val="top"/>
          </w:tcPr>
          <w:p w14:paraId="60FA1BF2">
            <w:pPr>
              <w:pStyle w:val="6"/>
              <w:spacing w:before="41" w:line="359" w:lineRule="auto"/>
              <w:ind w:left="109" w:right="101" w:firstLine="3"/>
              <w:jc w:val="both"/>
            </w:pPr>
            <w:r>
              <w:t>没有生化处理，没有中水回用，处理工艺为二级混凝沉淀，主要去</w:t>
            </w:r>
            <w:r>
              <w:rPr>
                <w:spacing w:val="-1"/>
              </w:rPr>
              <w:t>除废水中的</w:t>
            </w:r>
            <w:r>
              <w:t xml:space="preserve"> 悬浮物、氟离子和重金属离子。因此废水处理过程中产生的沉淀污泥的产生量 </w:t>
            </w:r>
            <w:r>
              <w:rPr>
                <w:spacing w:val="-1"/>
              </w:rPr>
              <w:t>参考《排放源统计调查产排污核算方法和系数手册》（公告</w:t>
            </w:r>
            <w:r>
              <w:rPr>
                <w:spacing w:val="-55"/>
              </w:rPr>
              <w:t xml:space="preserve"> </w:t>
            </w:r>
            <w:r>
              <w:rPr>
                <w:rFonts w:ascii="Times New Roman" w:hAnsi="Times New Roman" w:eastAsia="Times New Roman" w:cs="Times New Roman"/>
                <w:spacing w:val="-1"/>
              </w:rPr>
              <w:t>202</w:t>
            </w:r>
            <w:r>
              <w:rPr>
                <w:rFonts w:ascii="Times New Roman" w:hAnsi="Times New Roman" w:eastAsia="Times New Roman" w:cs="Times New Roman"/>
                <w:spacing w:val="-2"/>
              </w:rPr>
              <w:t xml:space="preserve">1 </w:t>
            </w:r>
            <w:r>
              <w:rPr>
                <w:spacing w:val="-2"/>
              </w:rPr>
              <w:t>年第</w:t>
            </w:r>
            <w:r>
              <w:rPr>
                <w:spacing w:val="-55"/>
              </w:rPr>
              <w:t xml:space="preserve"> </w:t>
            </w:r>
            <w:r>
              <w:rPr>
                <w:rFonts w:ascii="Times New Roman" w:hAnsi="Times New Roman" w:eastAsia="Times New Roman" w:cs="Times New Roman"/>
                <w:spacing w:val="-2"/>
              </w:rPr>
              <w:t>24</w:t>
            </w:r>
            <w:r>
              <w:rPr>
                <w:rFonts w:ascii="Times New Roman" w:hAnsi="Times New Roman" w:eastAsia="Times New Roman" w:cs="Times New Roman"/>
                <w:spacing w:val="16"/>
              </w:rPr>
              <w:t xml:space="preserve"> </w:t>
            </w:r>
            <w:r>
              <w:rPr>
                <w:spacing w:val="-2"/>
              </w:rPr>
              <w:t>号）</w:t>
            </w:r>
            <w:r>
              <w:t xml:space="preserve"> </w:t>
            </w:r>
            <w:r>
              <w:rPr>
                <w:spacing w:val="-4"/>
              </w:rPr>
              <w:t>中的《</w:t>
            </w:r>
            <w:r>
              <w:rPr>
                <w:rFonts w:ascii="Times New Roman" w:hAnsi="Times New Roman" w:eastAsia="Times New Roman" w:cs="Times New Roman"/>
                <w:spacing w:val="-4"/>
              </w:rPr>
              <w:t>3360</w:t>
            </w:r>
            <w:r>
              <w:rPr>
                <w:rFonts w:ascii="Times New Roman" w:hAnsi="Times New Roman" w:eastAsia="Times New Roman" w:cs="Times New Roman"/>
                <w:spacing w:val="40"/>
                <w:w w:val="101"/>
              </w:rPr>
              <w:t xml:space="preserve"> </w:t>
            </w:r>
            <w:r>
              <w:rPr>
                <w:spacing w:val="-4"/>
              </w:rPr>
              <w:t>电镀行业系数手册》，沉淀污泥按“</w:t>
            </w:r>
            <w:r>
              <w:rPr>
                <w:rFonts w:ascii="Times New Roman" w:hAnsi="Times New Roman" w:eastAsia="Times New Roman" w:cs="Times New Roman"/>
                <w:spacing w:val="-4"/>
              </w:rPr>
              <w:t xml:space="preserve">6.3 </w:t>
            </w:r>
            <w:r>
              <w:rPr>
                <w:spacing w:val="-4"/>
              </w:rPr>
              <w:t>千克</w:t>
            </w:r>
            <w:r>
              <w:rPr>
                <w:rFonts w:ascii="Times New Roman" w:hAnsi="Times New Roman" w:eastAsia="Times New Roman" w:cs="Times New Roman"/>
                <w:spacing w:val="-4"/>
              </w:rPr>
              <w:t>/</w:t>
            </w:r>
            <w:r>
              <w:rPr>
                <w:spacing w:val="-4"/>
              </w:rPr>
              <w:t>吨</w:t>
            </w:r>
            <w:r>
              <w:rPr>
                <w:rFonts w:ascii="Times New Roman" w:hAnsi="Times New Roman" w:eastAsia="Times New Roman" w:cs="Times New Roman"/>
                <w:spacing w:val="-4"/>
              </w:rPr>
              <w:t>-</w:t>
            </w:r>
            <w:r>
              <w:rPr>
                <w:spacing w:val="-4"/>
              </w:rPr>
              <w:t>废水</w:t>
            </w:r>
            <w:r>
              <w:rPr>
                <w:spacing w:val="-88"/>
              </w:rPr>
              <w:t xml:space="preserve"> </w:t>
            </w:r>
            <w:r>
              <w:rPr>
                <w:spacing w:val="-4"/>
              </w:rPr>
              <w:t>”计算。项目</w:t>
            </w:r>
            <w:r>
              <w:t xml:space="preserve"> </w:t>
            </w:r>
            <w:r>
              <w:rPr>
                <w:spacing w:val="-1"/>
              </w:rPr>
              <w:t>沉淀污泥的产生量详见下表：</w:t>
            </w:r>
          </w:p>
          <w:p w14:paraId="6A7DFA15">
            <w:pPr>
              <w:pStyle w:val="6"/>
              <w:spacing w:line="218" w:lineRule="auto"/>
              <w:ind w:left="1653"/>
            </w:pPr>
            <w:r>
              <w:rPr>
                <w:b/>
                <w:bCs/>
                <w:spacing w:val="-2"/>
              </w:rPr>
              <w:t>表</w:t>
            </w:r>
            <w:r>
              <w:rPr>
                <w:spacing w:val="-47"/>
              </w:rPr>
              <w:t xml:space="preserve"> </w:t>
            </w:r>
            <w:r>
              <w:rPr>
                <w:rFonts w:ascii="Times New Roman" w:hAnsi="Times New Roman" w:eastAsia="Times New Roman" w:cs="Times New Roman"/>
                <w:b/>
                <w:bCs/>
                <w:spacing w:val="-2"/>
              </w:rPr>
              <w:t xml:space="preserve">4-30    </w:t>
            </w:r>
            <w:r>
              <w:rPr>
                <w:b/>
                <w:bCs/>
                <w:spacing w:val="-2"/>
              </w:rPr>
              <w:t>本项目废水处理沉淀污泥产排污系数表</w:t>
            </w:r>
          </w:p>
          <w:p w14:paraId="36992AE3">
            <w:pPr>
              <w:spacing w:line="146" w:lineRule="exact"/>
            </w:pPr>
          </w:p>
          <w:tbl>
            <w:tblPr>
              <w:tblStyle w:val="5"/>
              <w:tblW w:w="8101" w:type="dxa"/>
              <w:tblInd w:w="1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4"/>
              <w:gridCol w:w="787"/>
              <w:gridCol w:w="1403"/>
              <w:gridCol w:w="1145"/>
              <w:gridCol w:w="1030"/>
              <w:gridCol w:w="1302"/>
              <w:gridCol w:w="1370"/>
            </w:tblGrid>
            <w:tr w14:paraId="7F4FC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064" w:type="dxa"/>
                  <w:vAlign w:val="top"/>
                </w:tcPr>
                <w:p w14:paraId="461611E4">
                  <w:pPr>
                    <w:pStyle w:val="6"/>
                    <w:spacing w:before="201" w:line="228" w:lineRule="auto"/>
                    <w:ind w:left="315"/>
                    <w:rPr>
                      <w:sz w:val="20"/>
                      <w:szCs w:val="20"/>
                    </w:rPr>
                  </w:pPr>
                  <w:r>
                    <w:rPr>
                      <w:b/>
                      <w:bCs/>
                      <w:spacing w:val="7"/>
                      <w:sz w:val="20"/>
                      <w:szCs w:val="20"/>
                    </w:rPr>
                    <w:t>产品</w:t>
                  </w:r>
                </w:p>
              </w:tc>
              <w:tc>
                <w:tcPr>
                  <w:tcW w:w="787" w:type="dxa"/>
                  <w:vAlign w:val="top"/>
                </w:tcPr>
                <w:p w14:paraId="2EF3DC28">
                  <w:pPr>
                    <w:pStyle w:val="6"/>
                    <w:spacing w:before="202" w:line="229" w:lineRule="auto"/>
                    <w:ind w:left="177"/>
                    <w:rPr>
                      <w:sz w:val="20"/>
                      <w:szCs w:val="20"/>
                    </w:rPr>
                  </w:pPr>
                  <w:r>
                    <w:rPr>
                      <w:b/>
                      <w:bCs/>
                      <w:spacing w:val="6"/>
                      <w:sz w:val="20"/>
                      <w:szCs w:val="20"/>
                    </w:rPr>
                    <w:t>工段</w:t>
                  </w:r>
                </w:p>
              </w:tc>
              <w:tc>
                <w:tcPr>
                  <w:tcW w:w="1403" w:type="dxa"/>
                  <w:vAlign w:val="top"/>
                </w:tcPr>
                <w:p w14:paraId="04098BB9">
                  <w:pPr>
                    <w:pStyle w:val="6"/>
                    <w:spacing w:before="202" w:line="228" w:lineRule="auto"/>
                    <w:ind w:left="157"/>
                    <w:rPr>
                      <w:sz w:val="20"/>
                      <w:szCs w:val="20"/>
                    </w:rPr>
                  </w:pPr>
                  <w:r>
                    <w:rPr>
                      <w:b/>
                      <w:bCs/>
                      <w:spacing w:val="12"/>
                      <w:sz w:val="20"/>
                      <w:szCs w:val="20"/>
                    </w:rPr>
                    <w:t>污染物指标</w:t>
                  </w:r>
                </w:p>
              </w:tc>
              <w:tc>
                <w:tcPr>
                  <w:tcW w:w="1145" w:type="dxa"/>
                  <w:vAlign w:val="top"/>
                </w:tcPr>
                <w:p w14:paraId="16AA5F0B">
                  <w:pPr>
                    <w:pStyle w:val="6"/>
                    <w:spacing w:before="202" w:line="228" w:lineRule="auto"/>
                    <w:ind w:left="358"/>
                    <w:rPr>
                      <w:sz w:val="20"/>
                      <w:szCs w:val="20"/>
                    </w:rPr>
                  </w:pPr>
                  <w:r>
                    <w:rPr>
                      <w:b/>
                      <w:bCs/>
                      <w:spacing w:val="6"/>
                      <w:sz w:val="20"/>
                      <w:szCs w:val="20"/>
                    </w:rPr>
                    <w:t>单位</w:t>
                  </w:r>
                </w:p>
              </w:tc>
              <w:tc>
                <w:tcPr>
                  <w:tcW w:w="1030" w:type="dxa"/>
                  <w:vAlign w:val="top"/>
                </w:tcPr>
                <w:p w14:paraId="61FAE465">
                  <w:pPr>
                    <w:pStyle w:val="6"/>
                    <w:spacing w:before="65" w:line="228" w:lineRule="auto"/>
                    <w:ind w:left="190"/>
                    <w:rPr>
                      <w:sz w:val="20"/>
                      <w:szCs w:val="20"/>
                    </w:rPr>
                  </w:pPr>
                  <w:r>
                    <w:rPr>
                      <w:b/>
                      <w:bCs/>
                      <w:spacing w:val="10"/>
                      <w:sz w:val="20"/>
                      <w:szCs w:val="20"/>
                    </w:rPr>
                    <w:t>产污系</w:t>
                  </w:r>
                </w:p>
                <w:p w14:paraId="44CA0690">
                  <w:pPr>
                    <w:pStyle w:val="6"/>
                    <w:spacing w:before="26" w:line="228" w:lineRule="auto"/>
                    <w:ind w:left="410"/>
                    <w:rPr>
                      <w:sz w:val="20"/>
                      <w:szCs w:val="20"/>
                    </w:rPr>
                  </w:pPr>
                  <w:r>
                    <w:rPr>
                      <w:b/>
                      <w:bCs/>
                      <w:spacing w:val="-3"/>
                      <w:sz w:val="20"/>
                      <w:szCs w:val="20"/>
                    </w:rPr>
                    <w:t>数</w:t>
                  </w:r>
                </w:p>
              </w:tc>
              <w:tc>
                <w:tcPr>
                  <w:tcW w:w="1302" w:type="dxa"/>
                  <w:vAlign w:val="top"/>
                </w:tcPr>
                <w:p w14:paraId="1CDD58E0">
                  <w:pPr>
                    <w:pStyle w:val="6"/>
                    <w:spacing w:before="65" w:line="227" w:lineRule="auto"/>
                    <w:ind w:left="219"/>
                    <w:rPr>
                      <w:sz w:val="20"/>
                      <w:szCs w:val="20"/>
                    </w:rPr>
                  </w:pPr>
                  <w:r>
                    <w:rPr>
                      <w:b/>
                      <w:bCs/>
                      <w:spacing w:val="11"/>
                      <w:sz w:val="20"/>
                      <w:szCs w:val="20"/>
                    </w:rPr>
                    <w:t>本项目废</w:t>
                  </w:r>
                </w:p>
                <w:p w14:paraId="603934AC">
                  <w:pPr>
                    <w:pStyle w:val="6"/>
                    <w:spacing w:before="27" w:line="228" w:lineRule="auto"/>
                    <w:ind w:left="439"/>
                    <w:rPr>
                      <w:sz w:val="20"/>
                      <w:szCs w:val="20"/>
                    </w:rPr>
                  </w:pPr>
                  <w:r>
                    <w:rPr>
                      <w:b/>
                      <w:bCs/>
                      <w:spacing w:val="6"/>
                      <w:sz w:val="20"/>
                      <w:szCs w:val="20"/>
                    </w:rPr>
                    <w:t>水量</w:t>
                  </w:r>
                </w:p>
              </w:tc>
              <w:tc>
                <w:tcPr>
                  <w:tcW w:w="1370" w:type="dxa"/>
                  <w:vAlign w:val="top"/>
                </w:tcPr>
                <w:p w14:paraId="5FD439B6">
                  <w:pPr>
                    <w:pStyle w:val="6"/>
                    <w:spacing w:before="201" w:line="228" w:lineRule="auto"/>
                    <w:ind w:left="359"/>
                    <w:rPr>
                      <w:sz w:val="20"/>
                      <w:szCs w:val="20"/>
                    </w:rPr>
                  </w:pPr>
                  <w:r>
                    <w:rPr>
                      <w:b/>
                      <w:bCs/>
                      <w:spacing w:val="10"/>
                      <w:sz w:val="20"/>
                      <w:szCs w:val="20"/>
                    </w:rPr>
                    <w:t>产污量</w:t>
                  </w:r>
                </w:p>
              </w:tc>
            </w:tr>
            <w:tr w14:paraId="596A5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1064" w:type="dxa"/>
                  <w:vAlign w:val="top"/>
                </w:tcPr>
                <w:p w14:paraId="793648EB">
                  <w:pPr>
                    <w:pStyle w:val="6"/>
                    <w:spacing w:before="32" w:line="249" w:lineRule="auto"/>
                    <w:ind w:left="188" w:right="173" w:firstLine="43"/>
                    <w:jc w:val="both"/>
                    <w:rPr>
                      <w:sz w:val="20"/>
                      <w:szCs w:val="20"/>
                    </w:rPr>
                  </w:pPr>
                  <w:r>
                    <w:rPr>
                      <w:spacing w:val="4"/>
                      <w:sz w:val="20"/>
                      <w:szCs w:val="20"/>
                    </w:rPr>
                    <w:t>电镀产</w:t>
                  </w:r>
                  <w:r>
                    <w:rPr>
                      <w:sz w:val="20"/>
                      <w:szCs w:val="20"/>
                    </w:rPr>
                    <w:t xml:space="preserve"> </w:t>
                  </w:r>
                  <w:r>
                    <w:rPr>
                      <w:spacing w:val="6"/>
                      <w:sz w:val="20"/>
                      <w:szCs w:val="20"/>
                    </w:rPr>
                    <w:t>品</w:t>
                  </w:r>
                  <w:r>
                    <w:rPr>
                      <w:rFonts w:ascii="Times New Roman" w:hAnsi="Times New Roman" w:eastAsia="Times New Roman" w:cs="Times New Roman"/>
                      <w:spacing w:val="6"/>
                      <w:sz w:val="20"/>
                      <w:szCs w:val="20"/>
                    </w:rPr>
                    <w:t>(</w:t>
                  </w:r>
                  <w:r>
                    <w:rPr>
                      <w:spacing w:val="6"/>
                      <w:sz w:val="20"/>
                      <w:szCs w:val="20"/>
                    </w:rPr>
                    <w:t>不含</w:t>
                  </w:r>
                  <w:r>
                    <w:rPr>
                      <w:sz w:val="20"/>
                      <w:szCs w:val="20"/>
                    </w:rPr>
                    <w:t xml:space="preserve"> </w:t>
                  </w:r>
                  <w:r>
                    <w:rPr>
                      <w:spacing w:val="18"/>
                      <w:sz w:val="20"/>
                      <w:szCs w:val="20"/>
                    </w:rPr>
                    <w:t>电子元</w:t>
                  </w:r>
                </w:p>
                <w:p w14:paraId="374A1178">
                  <w:pPr>
                    <w:pStyle w:val="6"/>
                    <w:spacing w:before="8" w:line="234" w:lineRule="auto"/>
                    <w:ind w:left="173" w:right="168" w:firstLine="33"/>
                    <w:rPr>
                      <w:rFonts w:ascii="Times New Roman" w:hAnsi="Times New Roman" w:eastAsia="Times New Roman" w:cs="Times New Roman"/>
                      <w:sz w:val="20"/>
                      <w:szCs w:val="20"/>
                    </w:rPr>
                  </w:pPr>
                  <w:r>
                    <w:rPr>
                      <w:spacing w:val="12"/>
                      <w:sz w:val="20"/>
                      <w:szCs w:val="20"/>
                    </w:rPr>
                    <w:t>器件和</w:t>
                  </w:r>
                  <w:r>
                    <w:rPr>
                      <w:sz w:val="20"/>
                      <w:szCs w:val="20"/>
                    </w:rPr>
                    <w:t xml:space="preserve"> </w:t>
                  </w:r>
                  <w:r>
                    <w:rPr>
                      <w:spacing w:val="11"/>
                      <w:sz w:val="20"/>
                      <w:szCs w:val="20"/>
                    </w:rPr>
                    <w:t>线路板</w:t>
                  </w:r>
                  <w:r>
                    <w:rPr>
                      <w:rFonts w:ascii="Times New Roman" w:hAnsi="Times New Roman" w:eastAsia="Times New Roman" w:cs="Times New Roman"/>
                      <w:spacing w:val="11"/>
                      <w:sz w:val="20"/>
                      <w:szCs w:val="20"/>
                    </w:rPr>
                    <w:t>)</w:t>
                  </w:r>
                </w:p>
              </w:tc>
              <w:tc>
                <w:tcPr>
                  <w:tcW w:w="787" w:type="dxa"/>
                  <w:vAlign w:val="top"/>
                </w:tcPr>
                <w:p w14:paraId="211A02D1">
                  <w:pPr>
                    <w:pStyle w:val="6"/>
                    <w:spacing w:before="304" w:line="228" w:lineRule="auto"/>
                    <w:ind w:left="176"/>
                    <w:rPr>
                      <w:sz w:val="20"/>
                      <w:szCs w:val="20"/>
                    </w:rPr>
                  </w:pPr>
                  <w:r>
                    <w:rPr>
                      <w:spacing w:val="8"/>
                      <w:sz w:val="20"/>
                      <w:szCs w:val="20"/>
                    </w:rPr>
                    <w:t>污水</w:t>
                  </w:r>
                </w:p>
                <w:p w14:paraId="48EC627A">
                  <w:pPr>
                    <w:pStyle w:val="6"/>
                    <w:spacing w:before="24" w:line="232" w:lineRule="auto"/>
                    <w:ind w:left="179"/>
                    <w:rPr>
                      <w:sz w:val="20"/>
                      <w:szCs w:val="20"/>
                    </w:rPr>
                  </w:pPr>
                  <w:r>
                    <w:rPr>
                      <w:spacing w:val="7"/>
                      <w:sz w:val="20"/>
                      <w:szCs w:val="20"/>
                    </w:rPr>
                    <w:t>处理</w:t>
                  </w:r>
                </w:p>
                <w:p w14:paraId="7016C3BA">
                  <w:pPr>
                    <w:pStyle w:val="6"/>
                    <w:spacing w:before="19" w:line="229" w:lineRule="auto"/>
                    <w:ind w:left="178"/>
                    <w:rPr>
                      <w:sz w:val="20"/>
                      <w:szCs w:val="20"/>
                    </w:rPr>
                  </w:pPr>
                  <w:r>
                    <w:rPr>
                      <w:spacing w:val="7"/>
                      <w:sz w:val="20"/>
                      <w:szCs w:val="20"/>
                    </w:rPr>
                    <w:t>设施</w:t>
                  </w:r>
                </w:p>
              </w:tc>
              <w:tc>
                <w:tcPr>
                  <w:tcW w:w="1403" w:type="dxa"/>
                  <w:vAlign w:val="top"/>
                </w:tcPr>
                <w:p w14:paraId="78A63547">
                  <w:pPr>
                    <w:spacing w:line="374" w:lineRule="auto"/>
                    <w:rPr>
                      <w:rFonts w:ascii="Arial"/>
                      <w:sz w:val="21"/>
                    </w:rPr>
                  </w:pPr>
                </w:p>
                <w:p w14:paraId="4653BB5F">
                  <w:pPr>
                    <w:pStyle w:val="6"/>
                    <w:spacing w:before="65" w:line="228" w:lineRule="auto"/>
                    <w:ind w:left="269"/>
                    <w:rPr>
                      <w:sz w:val="20"/>
                      <w:szCs w:val="20"/>
                    </w:rPr>
                  </w:pPr>
                  <w:r>
                    <w:rPr>
                      <w:spacing w:val="12"/>
                      <w:sz w:val="20"/>
                      <w:szCs w:val="20"/>
                    </w:rPr>
                    <w:t>危险废物</w:t>
                  </w:r>
                </w:p>
                <w:p w14:paraId="6E9D2A16">
                  <w:pPr>
                    <w:pStyle w:val="6"/>
                    <w:spacing w:before="23" w:line="230" w:lineRule="auto"/>
                    <w:ind w:left="276"/>
                    <w:rPr>
                      <w:sz w:val="20"/>
                      <w:szCs w:val="20"/>
                    </w:rPr>
                  </w:pPr>
                  <w:r>
                    <w:rPr>
                      <w:spacing w:val="6"/>
                      <w:sz w:val="20"/>
                      <w:szCs w:val="20"/>
                    </w:rPr>
                    <w:t>（污泥）</w:t>
                  </w:r>
                </w:p>
              </w:tc>
              <w:tc>
                <w:tcPr>
                  <w:tcW w:w="1145" w:type="dxa"/>
                  <w:vAlign w:val="top"/>
                </w:tcPr>
                <w:p w14:paraId="2128F069">
                  <w:pPr>
                    <w:spacing w:line="373" w:lineRule="auto"/>
                    <w:rPr>
                      <w:rFonts w:ascii="Arial"/>
                      <w:sz w:val="21"/>
                    </w:rPr>
                  </w:pPr>
                </w:p>
                <w:p w14:paraId="51BF71BB">
                  <w:pPr>
                    <w:pStyle w:val="6"/>
                    <w:spacing w:before="65" w:line="228" w:lineRule="auto"/>
                    <w:ind w:left="181"/>
                    <w:rPr>
                      <w:rFonts w:ascii="Times New Roman" w:hAnsi="Times New Roman" w:eastAsia="Times New Roman" w:cs="Times New Roman"/>
                      <w:sz w:val="20"/>
                      <w:szCs w:val="20"/>
                    </w:rPr>
                  </w:pPr>
                  <w:r>
                    <w:rPr>
                      <w:spacing w:val="12"/>
                      <w:sz w:val="20"/>
                      <w:szCs w:val="20"/>
                    </w:rPr>
                    <w:t>千克</w:t>
                  </w:r>
                  <w:r>
                    <w:rPr>
                      <w:rFonts w:ascii="Times New Roman" w:hAnsi="Times New Roman" w:eastAsia="Times New Roman" w:cs="Times New Roman"/>
                      <w:spacing w:val="12"/>
                      <w:sz w:val="20"/>
                      <w:szCs w:val="20"/>
                    </w:rPr>
                    <w:t>/</w:t>
                  </w:r>
                  <w:r>
                    <w:rPr>
                      <w:spacing w:val="12"/>
                      <w:sz w:val="20"/>
                      <w:szCs w:val="20"/>
                    </w:rPr>
                    <w:t>吨</w:t>
                  </w:r>
                  <w:r>
                    <w:rPr>
                      <w:rFonts w:ascii="Times New Roman" w:hAnsi="Times New Roman" w:eastAsia="Times New Roman" w:cs="Times New Roman"/>
                      <w:spacing w:val="12"/>
                      <w:sz w:val="20"/>
                      <w:szCs w:val="20"/>
                    </w:rPr>
                    <w:t>-</w:t>
                  </w:r>
                </w:p>
                <w:p w14:paraId="1FABF542">
                  <w:pPr>
                    <w:pStyle w:val="6"/>
                    <w:spacing w:before="24" w:line="228" w:lineRule="auto"/>
                    <w:ind w:left="469"/>
                    <w:rPr>
                      <w:sz w:val="20"/>
                      <w:szCs w:val="20"/>
                    </w:rPr>
                  </w:pPr>
                  <w:r>
                    <w:rPr>
                      <w:sz w:val="20"/>
                      <w:szCs w:val="20"/>
                    </w:rPr>
                    <w:t>水</w:t>
                  </w:r>
                </w:p>
              </w:tc>
              <w:tc>
                <w:tcPr>
                  <w:tcW w:w="1030" w:type="dxa"/>
                  <w:vAlign w:val="top"/>
                </w:tcPr>
                <w:p w14:paraId="5F2BF80E">
                  <w:pPr>
                    <w:spacing w:line="275" w:lineRule="auto"/>
                    <w:rPr>
                      <w:rFonts w:ascii="Arial"/>
                      <w:sz w:val="21"/>
                    </w:rPr>
                  </w:pPr>
                </w:p>
                <w:p w14:paraId="317E5DE4">
                  <w:pPr>
                    <w:spacing w:line="275" w:lineRule="auto"/>
                    <w:rPr>
                      <w:rFonts w:ascii="Arial"/>
                      <w:sz w:val="21"/>
                    </w:rPr>
                  </w:pPr>
                </w:p>
                <w:p w14:paraId="072D918F">
                  <w:pPr>
                    <w:spacing w:before="5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w:t>
                  </w:r>
                </w:p>
              </w:tc>
              <w:tc>
                <w:tcPr>
                  <w:tcW w:w="1302" w:type="dxa"/>
                  <w:vAlign w:val="top"/>
                </w:tcPr>
                <w:p w14:paraId="173C939A">
                  <w:pPr>
                    <w:spacing w:line="273" w:lineRule="auto"/>
                    <w:rPr>
                      <w:rFonts w:ascii="Arial"/>
                      <w:sz w:val="21"/>
                    </w:rPr>
                  </w:pPr>
                </w:p>
                <w:p w14:paraId="3CADAA64">
                  <w:pPr>
                    <w:spacing w:line="273" w:lineRule="auto"/>
                    <w:rPr>
                      <w:rFonts w:ascii="Arial"/>
                      <w:sz w:val="21"/>
                    </w:rPr>
                  </w:pPr>
                </w:p>
                <w:p w14:paraId="636707F9">
                  <w:pPr>
                    <w:spacing w:before="58" w:line="199"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515.716t/d</w:t>
                  </w:r>
                </w:p>
              </w:tc>
              <w:tc>
                <w:tcPr>
                  <w:tcW w:w="1370" w:type="dxa"/>
                  <w:vAlign w:val="top"/>
                </w:tcPr>
                <w:p w14:paraId="2439ADB9">
                  <w:pPr>
                    <w:spacing w:line="273" w:lineRule="auto"/>
                    <w:rPr>
                      <w:rFonts w:ascii="Arial"/>
                      <w:sz w:val="21"/>
                    </w:rPr>
                  </w:pPr>
                </w:p>
                <w:p w14:paraId="376D8F0C">
                  <w:pPr>
                    <w:spacing w:line="273" w:lineRule="auto"/>
                    <w:rPr>
                      <w:rFonts w:ascii="Arial"/>
                      <w:sz w:val="21"/>
                    </w:rPr>
                  </w:pPr>
                </w:p>
                <w:p w14:paraId="1A706943">
                  <w:pPr>
                    <w:spacing w:before="58" w:line="201"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3290.45</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/d</w:t>
                  </w:r>
                </w:p>
              </w:tc>
            </w:tr>
          </w:tbl>
          <w:p w14:paraId="2A5B0F14">
            <w:pPr>
              <w:pStyle w:val="6"/>
              <w:spacing w:before="36" w:line="359" w:lineRule="auto"/>
              <w:ind w:left="108" w:right="101" w:firstLine="483"/>
              <w:jc w:val="both"/>
            </w:pPr>
            <w:r>
              <w:t>综上分析，本项目废水站产生的沉淀污泥量约为</w:t>
            </w:r>
            <w:r>
              <w:rPr>
                <w:spacing w:val="-43"/>
              </w:rPr>
              <w:t xml:space="preserve"> </w:t>
            </w:r>
            <w:r>
              <w:rPr>
                <w:rFonts w:ascii="Times New Roman" w:hAnsi="Times New Roman" w:eastAsia="Times New Roman" w:cs="Times New Roman"/>
              </w:rPr>
              <w:t>987t/a</w:t>
            </w:r>
            <w:r>
              <w:rPr>
                <w:rFonts w:ascii="Times New Roman" w:hAnsi="Times New Roman" w:eastAsia="Times New Roman" w:cs="Times New Roman"/>
                <w:spacing w:val="-23"/>
              </w:rPr>
              <w:t xml:space="preserve"> </w:t>
            </w:r>
            <w:r>
              <w:t xml:space="preserve">。对照《国家危险 </w:t>
            </w:r>
            <w:r>
              <w:rPr>
                <w:spacing w:val="-2"/>
              </w:rPr>
              <w:t>废物名录》（2025</w:t>
            </w:r>
            <w:r>
              <w:rPr>
                <w:spacing w:val="-48"/>
              </w:rPr>
              <w:t xml:space="preserve"> </w:t>
            </w:r>
            <w:r>
              <w:rPr>
                <w:spacing w:val="-2"/>
              </w:rPr>
              <w:t>年版），本项目废水站产生的沉淀污泥，属于危险废物，危</w:t>
            </w:r>
            <w:r>
              <w:t xml:space="preserve"> </w:t>
            </w:r>
            <w:r>
              <w:rPr>
                <w:spacing w:val="-2"/>
              </w:rPr>
              <w:t>废类别为</w:t>
            </w:r>
            <w:r>
              <w:rPr>
                <w:spacing w:val="-40"/>
              </w:rPr>
              <w:t xml:space="preserve"> </w:t>
            </w:r>
            <w:r>
              <w:rPr>
                <w:rFonts w:ascii="Times New Roman" w:hAnsi="Times New Roman" w:eastAsia="Times New Roman" w:cs="Times New Roman"/>
                <w:spacing w:val="-2"/>
              </w:rPr>
              <w:t xml:space="preserve">HW49 </w:t>
            </w:r>
            <w:r>
              <w:rPr>
                <w:spacing w:val="-2"/>
              </w:rPr>
              <w:t>废矿物油与含矿物油废物，危废代码</w:t>
            </w:r>
            <w:r>
              <w:rPr>
                <w:spacing w:val="-51"/>
              </w:rPr>
              <w:t xml:space="preserve"> </w:t>
            </w:r>
            <w:r>
              <w:rPr>
                <w:rFonts w:ascii="Times New Roman" w:hAnsi="Times New Roman" w:eastAsia="Times New Roman" w:cs="Times New Roman"/>
                <w:spacing w:val="-2"/>
              </w:rPr>
              <w:t>772-006-49</w:t>
            </w:r>
            <w:r>
              <w:rPr>
                <w:rFonts w:ascii="Times New Roman" w:hAnsi="Times New Roman" w:eastAsia="Times New Roman" w:cs="Times New Roman"/>
                <w:spacing w:val="-27"/>
              </w:rPr>
              <w:t xml:space="preserve"> </w:t>
            </w:r>
            <w:r>
              <w:rPr>
                <w:spacing w:val="-2"/>
              </w:rPr>
              <w:t>。暂存至危险</w:t>
            </w:r>
            <w:r>
              <w:t xml:space="preserve"> </w:t>
            </w:r>
            <w:r>
              <w:rPr>
                <w:spacing w:val="-1"/>
              </w:rPr>
              <w:t>废物暂存间并定期交由有相关危废处置资质单位外运安全处置。</w:t>
            </w:r>
          </w:p>
          <w:p w14:paraId="2F21513D">
            <w:pPr>
              <w:pStyle w:val="6"/>
              <w:spacing w:before="1" w:line="383" w:lineRule="auto"/>
              <w:ind w:left="113" w:right="101" w:firstLine="476"/>
              <w:jc w:val="both"/>
            </w:pPr>
            <w:r>
              <w:rPr>
                <w:spacing w:val="-4"/>
              </w:rPr>
              <w:t>本项目宝石泡酸加工的量为</w:t>
            </w:r>
            <w:r>
              <w:rPr>
                <w:spacing w:val="-25"/>
              </w:rPr>
              <w:t xml:space="preserve"> </w:t>
            </w:r>
            <w:r>
              <w:rPr>
                <w:rFonts w:ascii="Times New Roman" w:hAnsi="Times New Roman" w:eastAsia="Times New Roman" w:cs="Times New Roman"/>
                <w:spacing w:val="-4"/>
              </w:rPr>
              <w:t>10000</w:t>
            </w:r>
            <w:r>
              <w:rPr>
                <w:rFonts w:ascii="Times New Roman" w:hAnsi="Times New Roman" w:eastAsia="Times New Roman" w:cs="Times New Roman"/>
                <w:spacing w:val="21"/>
              </w:rPr>
              <w:t xml:space="preserve"> </w:t>
            </w:r>
            <w:r>
              <w:rPr>
                <w:spacing w:val="-4"/>
              </w:rPr>
              <w:t>吨</w:t>
            </w:r>
            <w:r>
              <w:rPr>
                <w:rFonts w:ascii="Times New Roman" w:hAnsi="Times New Roman" w:eastAsia="Times New Roman" w:cs="Times New Roman"/>
                <w:spacing w:val="-4"/>
              </w:rPr>
              <w:t>/</w:t>
            </w:r>
            <w:r>
              <w:rPr>
                <w:spacing w:val="-4"/>
              </w:rPr>
              <w:t>年，泡酸废水产生量约为</w:t>
            </w:r>
            <w:r>
              <w:rPr>
                <w:spacing w:val="-56"/>
              </w:rPr>
              <w:t xml:space="preserve"> </w:t>
            </w:r>
            <w:r>
              <w:rPr>
                <w:rFonts w:ascii="Times New Roman" w:hAnsi="Times New Roman" w:eastAsia="Times New Roman" w:cs="Times New Roman"/>
                <w:spacing w:val="-4"/>
              </w:rPr>
              <w:t>487.216</w:t>
            </w:r>
            <w:r>
              <w:rPr>
                <w:rFonts w:ascii="Times New Roman" w:hAnsi="Times New Roman" w:eastAsia="Times New Roman" w:cs="Times New Roman"/>
                <w:spacing w:val="20"/>
                <w:w w:val="101"/>
              </w:rPr>
              <w:t xml:space="preserve"> </w:t>
            </w:r>
            <w:r>
              <w:rPr>
                <w:spacing w:val="-4"/>
              </w:rPr>
              <w:t>吨</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4"/>
              </w:rPr>
              <w:t>天，处理工艺为二级混凝沉淀，沉淀污泥产生量约</w:t>
            </w:r>
            <w:r>
              <w:rPr>
                <w:spacing w:val="-5"/>
              </w:rPr>
              <w:t>为</w:t>
            </w:r>
            <w:r>
              <w:rPr>
                <w:spacing w:val="-50"/>
              </w:rPr>
              <w:t xml:space="preserve"> </w:t>
            </w:r>
            <w:r>
              <w:rPr>
                <w:rFonts w:ascii="Times New Roman" w:hAnsi="Times New Roman" w:eastAsia="Times New Roman" w:cs="Times New Roman"/>
                <w:spacing w:val="-5"/>
              </w:rPr>
              <w:t>3.29</w:t>
            </w:r>
            <w:r>
              <w:rPr>
                <w:rFonts w:ascii="Times New Roman" w:hAnsi="Times New Roman" w:eastAsia="Times New Roman" w:cs="Times New Roman"/>
                <w:spacing w:val="20"/>
                <w:w w:val="101"/>
              </w:rPr>
              <w:t xml:space="preserve"> </w:t>
            </w:r>
            <w:r>
              <w:rPr>
                <w:spacing w:val="-5"/>
              </w:rPr>
              <w:t>吨</w:t>
            </w:r>
            <w:r>
              <w:rPr>
                <w:rFonts w:ascii="Times New Roman" w:hAnsi="Times New Roman" w:eastAsia="Times New Roman" w:cs="Times New Roman"/>
                <w:spacing w:val="-5"/>
              </w:rPr>
              <w:t>/</w:t>
            </w:r>
            <w:r>
              <w:rPr>
                <w:spacing w:val="-5"/>
              </w:rPr>
              <w:t>天。相比本地某一</w:t>
            </w:r>
            <w:r>
              <w:t xml:space="preserve"> </w:t>
            </w:r>
            <w:r>
              <w:rPr>
                <w:spacing w:val="2"/>
              </w:rPr>
              <w:t>同类企业（其宝石泡酸加工的量为</w:t>
            </w:r>
            <w:r>
              <w:rPr>
                <w:spacing w:val="-36"/>
              </w:rPr>
              <w:t xml:space="preserve"> </w:t>
            </w:r>
            <w:r>
              <w:rPr>
                <w:rFonts w:ascii="Times New Roman" w:hAnsi="Times New Roman" w:eastAsia="Times New Roman" w:cs="Times New Roman"/>
                <w:spacing w:val="2"/>
              </w:rPr>
              <w:t>20000</w:t>
            </w:r>
            <w:r>
              <w:rPr>
                <w:rFonts w:ascii="Times New Roman" w:hAnsi="Times New Roman" w:eastAsia="Times New Roman" w:cs="Times New Roman"/>
                <w:spacing w:val="27"/>
                <w:w w:val="101"/>
              </w:rPr>
              <w:t xml:space="preserve"> </w:t>
            </w:r>
            <w:r>
              <w:rPr>
                <w:spacing w:val="2"/>
              </w:rPr>
              <w:t>吨</w:t>
            </w:r>
            <w:r>
              <w:rPr>
                <w:rFonts w:ascii="Times New Roman" w:hAnsi="Times New Roman" w:eastAsia="Times New Roman" w:cs="Times New Roman"/>
                <w:spacing w:val="2"/>
              </w:rPr>
              <w:t>/</w:t>
            </w:r>
            <w:r>
              <w:rPr>
                <w:spacing w:val="2"/>
              </w:rPr>
              <w:t>年，泡酸废水产生量约为</w:t>
            </w:r>
            <w:r>
              <w:rPr>
                <w:spacing w:val="-25"/>
              </w:rPr>
              <w:t xml:space="preserve"> </w:t>
            </w:r>
            <w:r>
              <w:rPr>
                <w:rFonts w:ascii="Times New Roman" w:hAnsi="Times New Roman" w:eastAsia="Times New Roman" w:cs="Times New Roman"/>
                <w:spacing w:val="2"/>
              </w:rPr>
              <w:t>1112.3</w:t>
            </w:r>
            <w:r>
              <w:rPr>
                <w:rFonts w:ascii="Times New Roman" w:hAnsi="Times New Roman" w:eastAsia="Times New Roman" w:cs="Times New Roman"/>
              </w:rPr>
              <w:t xml:space="preserve"> </w:t>
            </w:r>
            <w:r>
              <w:rPr>
                <w:spacing w:val="3"/>
              </w:rPr>
              <w:t>吨</w:t>
            </w:r>
            <w:r>
              <w:rPr>
                <w:rFonts w:ascii="Times New Roman" w:hAnsi="Times New Roman" w:eastAsia="Times New Roman" w:cs="Times New Roman"/>
                <w:spacing w:val="3"/>
              </w:rPr>
              <w:t>/</w:t>
            </w:r>
            <w:r>
              <w:rPr>
                <w:spacing w:val="3"/>
              </w:rPr>
              <w:t>天，处理工艺为二级混凝沉淀</w:t>
            </w:r>
            <w:r>
              <w:rPr>
                <w:rFonts w:ascii="Times New Roman" w:hAnsi="Times New Roman" w:eastAsia="Times New Roman" w:cs="Times New Roman"/>
                <w:spacing w:val="3"/>
              </w:rPr>
              <w:t>+</w:t>
            </w:r>
            <w:r>
              <w:rPr>
                <w:spacing w:val="3"/>
              </w:rPr>
              <w:t>生活</w:t>
            </w:r>
            <w:r>
              <w:rPr>
                <w:rFonts w:ascii="Times New Roman" w:hAnsi="Times New Roman" w:eastAsia="Times New Roman" w:cs="Times New Roman"/>
                <w:spacing w:val="3"/>
              </w:rPr>
              <w:t>+</w:t>
            </w:r>
            <w:r>
              <w:rPr>
                <w:spacing w:val="3"/>
              </w:rPr>
              <w:t>深度处理，沉淀污泥产生</w:t>
            </w:r>
            <w:r>
              <w:rPr>
                <w:spacing w:val="2"/>
              </w:rPr>
              <w:t>量约为</w:t>
            </w:r>
            <w:r>
              <w:rPr>
                <w:spacing w:val="-27"/>
              </w:rPr>
              <w:t xml:space="preserve"> </w:t>
            </w:r>
            <w:r>
              <w:rPr>
                <w:rFonts w:ascii="Times New Roman" w:hAnsi="Times New Roman" w:eastAsia="Times New Roman" w:cs="Times New Roman"/>
                <w:spacing w:val="2"/>
              </w:rPr>
              <w:t>1.68</w:t>
            </w:r>
            <w:r>
              <w:rPr>
                <w:rFonts w:ascii="Times New Roman" w:hAnsi="Times New Roman" w:eastAsia="Times New Roman" w:cs="Times New Roman"/>
              </w:rPr>
              <w:t xml:space="preserve"> </w:t>
            </w:r>
            <w:r>
              <w:rPr>
                <w:spacing w:val="-2"/>
              </w:rPr>
              <w:t>吨</w:t>
            </w:r>
            <w:r>
              <w:rPr>
                <w:rFonts w:ascii="Times New Roman" w:hAnsi="Times New Roman" w:eastAsia="Times New Roman" w:cs="Times New Roman"/>
                <w:spacing w:val="-2"/>
              </w:rPr>
              <w:t>/</w:t>
            </w:r>
            <w:r>
              <w:rPr>
                <w:spacing w:val="-2"/>
              </w:rPr>
              <w:t>天</w:t>
            </w:r>
            <w:r>
              <w:rPr>
                <w:spacing w:val="14"/>
              </w:rPr>
              <w:t>），</w:t>
            </w:r>
            <w:r>
              <w:rPr>
                <w:spacing w:val="-2"/>
              </w:rPr>
              <w:t>本项目的废水处理沉淀污泥的产量是合理的。</w:t>
            </w:r>
          </w:p>
          <w:p w14:paraId="0D4B4C90">
            <w:pPr>
              <w:pStyle w:val="6"/>
              <w:spacing w:line="220" w:lineRule="auto"/>
              <w:ind w:left="600"/>
            </w:pPr>
            <w:r>
              <w:rPr>
                <w:spacing w:val="-4"/>
              </w:rPr>
              <w:t>（</w:t>
            </w:r>
            <w:r>
              <w:rPr>
                <w:rFonts w:ascii="Times New Roman" w:hAnsi="Times New Roman" w:eastAsia="Times New Roman" w:cs="Times New Roman"/>
                <w:spacing w:val="-4"/>
              </w:rPr>
              <w:t>5</w:t>
            </w:r>
            <w:r>
              <w:rPr>
                <w:spacing w:val="-4"/>
              </w:rPr>
              <w:t>）废手套</w:t>
            </w:r>
          </w:p>
          <w:p w14:paraId="1CB80C4C">
            <w:pPr>
              <w:pStyle w:val="6"/>
              <w:spacing w:before="208" w:line="380" w:lineRule="auto"/>
              <w:ind w:left="108" w:right="40" w:firstLine="481"/>
            </w:pPr>
            <w:r>
              <w:rPr>
                <w:spacing w:val="-6"/>
              </w:rPr>
              <w:t>本项目生产过程中，工人使用胶手套进行手部防护，会产生废（胶）手套，</w:t>
            </w:r>
            <w:r>
              <w:rPr>
                <w:spacing w:val="17"/>
              </w:rPr>
              <w:t xml:space="preserve"> </w:t>
            </w:r>
            <w:r>
              <w:rPr>
                <w:spacing w:val="1"/>
              </w:rPr>
              <w:t>胶手套更换频次约</w:t>
            </w:r>
            <w:r>
              <w:rPr>
                <w:rFonts w:ascii="Times New Roman" w:hAnsi="Times New Roman" w:eastAsia="Times New Roman" w:cs="Times New Roman"/>
                <w:spacing w:val="1"/>
              </w:rPr>
              <w:t xml:space="preserve">2 </w:t>
            </w:r>
            <w:r>
              <w:rPr>
                <w:spacing w:val="1"/>
              </w:rPr>
              <w:t>个月更换一次，即</w:t>
            </w:r>
            <w:r>
              <w:rPr>
                <w:spacing w:val="-42"/>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21"/>
              </w:rPr>
              <w:t xml:space="preserve"> </w:t>
            </w:r>
            <w:r>
              <w:rPr>
                <w:spacing w:val="1"/>
              </w:rPr>
              <w:t>次</w:t>
            </w:r>
            <w:r>
              <w:rPr>
                <w:rFonts w:ascii="Times New Roman" w:hAnsi="Times New Roman" w:eastAsia="Times New Roman" w:cs="Times New Roman"/>
                <w:spacing w:val="1"/>
              </w:rPr>
              <w:t>/</w:t>
            </w:r>
            <w:r>
              <w:rPr>
                <w:spacing w:val="1"/>
              </w:rPr>
              <w:t>（年</w:t>
            </w:r>
            <w:r>
              <w:rPr>
                <w:spacing w:val="-21"/>
              </w:rPr>
              <w:t xml:space="preserve"> </w:t>
            </w:r>
            <w:r>
              <w:rPr>
                <w:spacing w:val="1"/>
              </w:rPr>
              <w:t>·人</w:t>
            </w:r>
            <w:r>
              <w:rPr>
                <w:spacing w:val="16"/>
              </w:rPr>
              <w:t>），</w:t>
            </w:r>
            <w:r>
              <w:rPr>
                <w:spacing w:val="1"/>
              </w:rPr>
              <w:t>胶手套重量约</w:t>
            </w:r>
            <w:r>
              <w:rPr>
                <w:spacing w:val="-41"/>
              </w:rPr>
              <w:t xml:space="preserve"> </w:t>
            </w:r>
            <w:r>
              <w:rPr>
                <w:rFonts w:ascii="Times New Roman" w:hAnsi="Times New Roman" w:eastAsia="Times New Roman" w:cs="Times New Roman"/>
                <w:spacing w:val="1"/>
              </w:rPr>
              <w:t>50g/</w:t>
            </w:r>
            <w:r>
              <w:rPr>
                <w:rFonts w:ascii="Times New Roman" w:hAnsi="Times New Roman" w:eastAsia="Times New Roman" w:cs="Times New Roman"/>
              </w:rPr>
              <w:t xml:space="preserve">  </w:t>
            </w:r>
            <w:r>
              <w:rPr>
                <w:spacing w:val="6"/>
              </w:rPr>
              <w:t>副</w:t>
            </w:r>
            <w:r>
              <w:rPr>
                <w:spacing w:val="-40"/>
              </w:rPr>
              <w:t xml:space="preserve"> </w:t>
            </w:r>
            <w:r>
              <w:rPr>
                <w:spacing w:val="6"/>
              </w:rPr>
              <w:t>。本项</w:t>
            </w:r>
            <w:r>
              <w:rPr>
                <w:spacing w:val="-33"/>
              </w:rPr>
              <w:t xml:space="preserve"> </w:t>
            </w:r>
            <w:r>
              <w:rPr>
                <w:spacing w:val="6"/>
              </w:rPr>
              <w:t>目</w:t>
            </w:r>
            <w:r>
              <w:rPr>
                <w:spacing w:val="-68"/>
              </w:rPr>
              <w:t xml:space="preserve"> </w:t>
            </w:r>
            <w:r>
              <w:rPr>
                <w:spacing w:val="6"/>
              </w:rPr>
              <w:t>员工数量为</w:t>
            </w:r>
            <w:r>
              <w:rPr>
                <w:spacing w:val="-19"/>
              </w:rPr>
              <w:t xml:space="preserve"> </w:t>
            </w:r>
            <w:r>
              <w:rPr>
                <w:rFonts w:ascii="Times New Roman" w:hAnsi="Times New Roman" w:eastAsia="Times New Roman" w:cs="Times New Roman"/>
                <w:spacing w:val="6"/>
              </w:rPr>
              <w:t>300</w:t>
            </w:r>
            <w:r>
              <w:rPr>
                <w:rFonts w:ascii="Times New Roman" w:hAnsi="Times New Roman" w:eastAsia="Times New Roman" w:cs="Times New Roman"/>
                <w:spacing w:val="45"/>
              </w:rPr>
              <w:t xml:space="preserve"> </w:t>
            </w:r>
            <w:r>
              <w:rPr>
                <w:spacing w:val="6"/>
              </w:rPr>
              <w:t>人</w:t>
            </w:r>
            <w:r>
              <w:rPr>
                <w:spacing w:val="-57"/>
              </w:rPr>
              <w:t xml:space="preserve"> </w:t>
            </w:r>
            <w:r>
              <w:rPr>
                <w:spacing w:val="6"/>
              </w:rPr>
              <w:t>，则废胶手套年产生量为</w:t>
            </w:r>
            <w:r>
              <w:rPr>
                <w:spacing w:val="-19"/>
              </w:rPr>
              <w:t xml:space="preserve"> </w:t>
            </w:r>
            <w:r>
              <w:rPr>
                <w:rFonts w:ascii="Times New Roman" w:hAnsi="Times New Roman" w:eastAsia="Times New Roman" w:cs="Times New Roman"/>
                <w:spacing w:val="6"/>
              </w:rPr>
              <w:t xml:space="preserve">300 </w:t>
            </w:r>
            <w:r>
              <w:rPr>
                <w:spacing w:val="6"/>
              </w:rPr>
              <w:t>×</w:t>
            </w:r>
            <w:r>
              <w:rPr>
                <w:spacing w:val="-76"/>
              </w:rPr>
              <w:t xml:space="preserve"> </w:t>
            </w:r>
            <w:r>
              <w:rPr>
                <w:rFonts w:ascii="Times New Roman" w:hAnsi="Times New Roman" w:eastAsia="Times New Roman" w:cs="Times New Roman"/>
                <w:spacing w:val="6"/>
              </w:rPr>
              <w:t xml:space="preserve">6 </w:t>
            </w:r>
            <w:r>
              <w:rPr>
                <w:spacing w:val="6"/>
              </w:rPr>
              <w:t>×</w:t>
            </w:r>
            <w:r>
              <w:rPr>
                <w:spacing w:val="-78"/>
              </w:rPr>
              <w:t xml:space="preserve"> </w:t>
            </w:r>
            <w:r>
              <w:rPr>
                <w:rFonts w:ascii="Times New Roman" w:hAnsi="Times New Roman" w:eastAsia="Times New Roman" w:cs="Times New Roman"/>
                <w:spacing w:val="6"/>
              </w:rPr>
              <w:t xml:space="preserve">50 </w:t>
            </w:r>
            <w:r>
              <w:rPr>
                <w:spacing w:val="6"/>
              </w:rPr>
              <w:t>×</w:t>
            </w:r>
            <w:r>
              <w:t xml:space="preserve"> </w:t>
            </w:r>
            <w:r>
              <w:rPr>
                <w:rFonts w:ascii="Times New Roman" w:hAnsi="Times New Roman" w:eastAsia="Times New Roman" w:cs="Times New Roman"/>
                <w:spacing w:val="2"/>
              </w:rPr>
              <w:t>10-6=0.09t/a</w:t>
            </w:r>
            <w:r>
              <w:rPr>
                <w:rFonts w:ascii="Times New Roman" w:hAnsi="Times New Roman" w:eastAsia="Times New Roman" w:cs="Times New Roman"/>
                <w:spacing w:val="-20"/>
              </w:rPr>
              <w:t xml:space="preserve"> </w:t>
            </w:r>
            <w:r>
              <w:rPr>
                <w:spacing w:val="2"/>
              </w:rPr>
              <w:t>。根据《国家危险废物</w:t>
            </w:r>
            <w:r>
              <w:rPr>
                <w:spacing w:val="1"/>
              </w:rPr>
              <w:t>名录》（</w:t>
            </w:r>
            <w:r>
              <w:rPr>
                <w:rFonts w:ascii="Times New Roman" w:hAnsi="Times New Roman" w:eastAsia="Times New Roman" w:cs="Times New Roman"/>
                <w:spacing w:val="1"/>
              </w:rPr>
              <w:t>2025</w:t>
            </w:r>
            <w:r>
              <w:rPr>
                <w:rFonts w:ascii="Times New Roman" w:hAnsi="Times New Roman" w:eastAsia="Times New Roman" w:cs="Times New Roman"/>
                <w:spacing w:val="18"/>
              </w:rPr>
              <w:t xml:space="preserve"> </w:t>
            </w:r>
            <w:r>
              <w:rPr>
                <w:spacing w:val="1"/>
              </w:rPr>
              <w:t>年版</w:t>
            </w:r>
            <w:r>
              <w:rPr>
                <w:spacing w:val="16"/>
              </w:rPr>
              <w:t>），</w:t>
            </w:r>
            <w:r>
              <w:rPr>
                <w:spacing w:val="1"/>
              </w:rPr>
              <w:t>属于</w:t>
            </w:r>
            <w:r>
              <w:rPr>
                <w:spacing w:val="-49"/>
              </w:rPr>
              <w:t xml:space="preserve"> </w:t>
            </w:r>
            <w:r>
              <w:rPr>
                <w:rFonts w:ascii="Times New Roman" w:hAnsi="Times New Roman" w:eastAsia="Times New Roman" w:cs="Times New Roman"/>
              </w:rPr>
              <w:t>HW</w:t>
            </w:r>
            <w:r>
              <w:rPr>
                <w:rFonts w:ascii="Times New Roman" w:hAnsi="Times New Roman" w:eastAsia="Times New Roman" w:cs="Times New Roman"/>
                <w:spacing w:val="1"/>
              </w:rPr>
              <w:t>49</w:t>
            </w:r>
            <w:r>
              <w:rPr>
                <w:spacing w:val="1"/>
              </w:rPr>
              <w:t>（编号</w:t>
            </w:r>
            <w:r>
              <w:t xml:space="preserve"> </w:t>
            </w:r>
            <w:r>
              <w:rPr>
                <w:rFonts w:ascii="Times New Roman" w:hAnsi="Times New Roman" w:eastAsia="Times New Roman" w:cs="Times New Roman"/>
                <w:spacing w:val="1"/>
              </w:rPr>
              <w:t>900-041-49</w:t>
            </w:r>
            <w:r>
              <w:rPr>
                <w:spacing w:val="20"/>
              </w:rPr>
              <w:t>），</w:t>
            </w:r>
            <w:r>
              <w:rPr>
                <w:spacing w:val="1"/>
              </w:rPr>
              <w:t>暂存于水处理剂项目危险废物暂存间，收集后委托有危废处理</w:t>
            </w:r>
            <w:r>
              <w:t xml:space="preserve"> </w:t>
            </w:r>
            <w:r>
              <w:rPr>
                <w:spacing w:val="-1"/>
              </w:rPr>
              <w:t>资质的单位进行处理。</w:t>
            </w:r>
          </w:p>
          <w:p w14:paraId="3CDD385B">
            <w:pPr>
              <w:pStyle w:val="6"/>
              <w:spacing w:before="27" w:line="220" w:lineRule="auto"/>
              <w:ind w:left="600"/>
            </w:pPr>
            <w:r>
              <w:rPr>
                <w:spacing w:val="-3"/>
              </w:rPr>
              <w:t>（</w:t>
            </w:r>
            <w:r>
              <w:rPr>
                <w:rFonts w:ascii="Times New Roman" w:hAnsi="Times New Roman" w:eastAsia="Times New Roman" w:cs="Times New Roman"/>
                <w:spacing w:val="-3"/>
              </w:rPr>
              <w:t>6</w:t>
            </w:r>
            <w:r>
              <w:rPr>
                <w:spacing w:val="-3"/>
              </w:rPr>
              <w:t>）生活垃圾</w:t>
            </w:r>
          </w:p>
        </w:tc>
      </w:tr>
    </w:tbl>
    <w:p w14:paraId="30011B2F">
      <w:pPr>
        <w:rPr>
          <w:rFonts w:ascii="Arial"/>
          <w:sz w:val="21"/>
        </w:rPr>
      </w:pPr>
    </w:p>
    <w:p w14:paraId="336F326D">
      <w:pPr>
        <w:rPr>
          <w:rFonts w:ascii="Arial" w:hAnsi="Arial" w:eastAsia="Arial" w:cs="Arial"/>
          <w:sz w:val="21"/>
          <w:szCs w:val="21"/>
        </w:rPr>
        <w:sectPr>
          <w:footerReference r:id="rId100" w:type="default"/>
          <w:pgSz w:w="11907" w:h="16840"/>
          <w:pgMar w:top="400" w:right="1453" w:bottom="1240" w:left="1453" w:header="0" w:footer="1077" w:gutter="0"/>
          <w:cols w:space="720" w:num="1"/>
        </w:sectPr>
      </w:pPr>
    </w:p>
    <w:p w14:paraId="20A4048E">
      <w:pPr>
        <w:spacing w:before="19"/>
      </w:pPr>
    </w:p>
    <w:p w14:paraId="776EBA7F">
      <w:pPr>
        <w:spacing w:before="19"/>
      </w:pPr>
    </w:p>
    <w:p w14:paraId="7A7A1464">
      <w:pPr>
        <w:spacing w:before="19"/>
      </w:pPr>
    </w:p>
    <w:p w14:paraId="319BC04A">
      <w:pPr>
        <w:spacing w:before="18"/>
      </w:pPr>
    </w:p>
    <w:p w14:paraId="1DE1E4E5">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13"/>
        <w:gridCol w:w="460"/>
        <w:gridCol w:w="987"/>
        <w:gridCol w:w="845"/>
        <w:gridCol w:w="843"/>
        <w:gridCol w:w="1194"/>
        <w:gridCol w:w="656"/>
        <w:gridCol w:w="652"/>
        <w:gridCol w:w="906"/>
        <w:gridCol w:w="863"/>
        <w:gridCol w:w="734"/>
        <w:gridCol w:w="127"/>
      </w:tblGrid>
      <w:tr w14:paraId="40AC4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2" w:hRule="atLeast"/>
        </w:trPr>
        <w:tc>
          <w:tcPr>
            <w:tcW w:w="605" w:type="dxa"/>
            <w:vMerge w:val="restart"/>
            <w:tcBorders>
              <w:top w:val="single" w:color="000000" w:sz="6" w:space="0"/>
              <w:left w:val="single" w:color="000000" w:sz="6" w:space="0"/>
              <w:bottom w:val="nil"/>
            </w:tcBorders>
            <w:vAlign w:val="top"/>
          </w:tcPr>
          <w:p w14:paraId="405ABFBD">
            <w:pPr>
              <w:rPr>
                <w:rFonts w:ascii="Arial"/>
                <w:sz w:val="21"/>
              </w:rPr>
            </w:pPr>
          </w:p>
        </w:tc>
        <w:tc>
          <w:tcPr>
            <w:tcW w:w="8380" w:type="dxa"/>
            <w:gridSpan w:val="12"/>
            <w:tcBorders>
              <w:top w:val="single" w:color="000000" w:sz="6" w:space="0"/>
              <w:right w:val="single" w:color="000000" w:sz="6" w:space="0"/>
            </w:tcBorders>
            <w:vAlign w:val="top"/>
          </w:tcPr>
          <w:p w14:paraId="5E5EF723">
            <w:pPr>
              <w:pStyle w:val="6"/>
              <w:spacing w:before="40" w:line="374" w:lineRule="auto"/>
              <w:ind w:left="108" w:right="101" w:firstLine="480"/>
            </w:pPr>
            <w:r>
              <w:rPr>
                <w:spacing w:val="-4"/>
              </w:rPr>
              <w:t>本项目需配置员工</w:t>
            </w:r>
            <w:r>
              <w:rPr>
                <w:spacing w:val="-50"/>
              </w:rPr>
              <w:t xml:space="preserve"> </w:t>
            </w:r>
            <w:r>
              <w:rPr>
                <w:rFonts w:ascii="Times New Roman" w:hAnsi="Times New Roman" w:eastAsia="Times New Roman" w:cs="Times New Roman"/>
                <w:spacing w:val="-4"/>
              </w:rPr>
              <w:t xml:space="preserve">300 </w:t>
            </w:r>
            <w:r>
              <w:rPr>
                <w:spacing w:val="-4"/>
              </w:rPr>
              <w:t>人，均不在厂内食宿。生产垃圾产生</w:t>
            </w:r>
            <w:r>
              <w:rPr>
                <w:spacing w:val="-5"/>
              </w:rPr>
              <w:t>量按</w:t>
            </w:r>
            <w:r>
              <w:rPr>
                <w:spacing w:val="-52"/>
              </w:rPr>
              <w:t xml:space="preserve"> </w:t>
            </w:r>
            <w:r>
              <w:rPr>
                <w:rFonts w:ascii="Times New Roman" w:hAnsi="Times New Roman" w:eastAsia="Times New Roman" w:cs="Times New Roman"/>
                <w:spacing w:val="-5"/>
              </w:rPr>
              <w:t>0.5kg/d·</w:t>
            </w:r>
            <w:r>
              <w:rPr>
                <w:spacing w:val="-5"/>
              </w:rPr>
              <w:t>人</w:t>
            </w:r>
            <w:r>
              <w:t xml:space="preserve"> </w:t>
            </w:r>
            <w:r>
              <w:rPr>
                <w:spacing w:val="-3"/>
              </w:rPr>
              <w:t>计算，生产垃圾产生量约为</w:t>
            </w:r>
            <w:r>
              <w:rPr>
                <w:spacing w:val="-23"/>
              </w:rPr>
              <w:t xml:space="preserve"> </w:t>
            </w:r>
            <w:r>
              <w:rPr>
                <w:rFonts w:ascii="Times New Roman" w:hAnsi="Times New Roman" w:eastAsia="Times New Roman" w:cs="Times New Roman"/>
                <w:spacing w:val="-3"/>
              </w:rPr>
              <w:t>150kg/d</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45t/a</w:t>
            </w:r>
            <w:r>
              <w:rPr>
                <w:spacing w:val="-3"/>
              </w:rPr>
              <w:t>。</w:t>
            </w:r>
          </w:p>
          <w:p w14:paraId="5B9F6975">
            <w:pPr>
              <w:pStyle w:val="6"/>
              <w:spacing w:before="143" w:line="219" w:lineRule="auto"/>
              <w:ind w:left="930"/>
            </w:pPr>
            <w:r>
              <w:rPr>
                <w:b/>
                <w:bCs/>
                <w:spacing w:val="-2"/>
              </w:rPr>
              <w:t>表</w:t>
            </w:r>
            <w:r>
              <w:rPr>
                <w:spacing w:val="-46"/>
              </w:rPr>
              <w:t xml:space="preserve"> </w:t>
            </w:r>
            <w:r>
              <w:rPr>
                <w:rFonts w:ascii="Times New Roman" w:hAnsi="Times New Roman" w:eastAsia="Times New Roman" w:cs="Times New Roman"/>
                <w:b/>
                <w:bCs/>
                <w:spacing w:val="-2"/>
              </w:rPr>
              <w:t xml:space="preserve">4-31    </w:t>
            </w:r>
            <w:r>
              <w:rPr>
                <w:b/>
                <w:bCs/>
                <w:spacing w:val="-2"/>
              </w:rPr>
              <w:t>项目固体废物污染源源强核算结果及相关参数一览表</w:t>
            </w:r>
          </w:p>
          <w:p w14:paraId="467AE489">
            <w:pPr>
              <w:spacing w:line="147" w:lineRule="exact"/>
            </w:pPr>
          </w:p>
          <w:tbl>
            <w:tblPr>
              <w:tblStyle w:val="5"/>
              <w:tblW w:w="8021"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1044"/>
              <w:gridCol w:w="857"/>
              <w:gridCol w:w="1213"/>
              <w:gridCol w:w="1128"/>
              <w:gridCol w:w="774"/>
              <w:gridCol w:w="941"/>
              <w:gridCol w:w="1130"/>
            </w:tblGrid>
            <w:tr w14:paraId="63CF2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934" w:type="dxa"/>
                  <w:vAlign w:val="top"/>
                </w:tcPr>
                <w:p w14:paraId="2D95341B">
                  <w:pPr>
                    <w:pStyle w:val="6"/>
                    <w:spacing w:before="131" w:line="228" w:lineRule="auto"/>
                    <w:ind w:left="260"/>
                    <w:rPr>
                      <w:sz w:val="20"/>
                      <w:szCs w:val="20"/>
                    </w:rPr>
                  </w:pPr>
                  <w:r>
                    <w:rPr>
                      <w:b/>
                      <w:bCs/>
                      <w:spacing w:val="3"/>
                      <w:sz w:val="20"/>
                      <w:szCs w:val="20"/>
                    </w:rPr>
                    <w:t>产生</w:t>
                  </w:r>
                </w:p>
                <w:p w14:paraId="39508222">
                  <w:pPr>
                    <w:pStyle w:val="6"/>
                    <w:spacing w:before="27" w:line="228" w:lineRule="auto"/>
                    <w:ind w:left="260"/>
                    <w:rPr>
                      <w:sz w:val="20"/>
                      <w:szCs w:val="20"/>
                    </w:rPr>
                  </w:pPr>
                  <w:r>
                    <w:rPr>
                      <w:b/>
                      <w:bCs/>
                      <w:spacing w:val="3"/>
                      <w:sz w:val="20"/>
                      <w:szCs w:val="20"/>
                    </w:rPr>
                    <w:t>环节</w:t>
                  </w:r>
                </w:p>
              </w:tc>
              <w:tc>
                <w:tcPr>
                  <w:tcW w:w="1044" w:type="dxa"/>
                  <w:vAlign w:val="top"/>
                </w:tcPr>
                <w:p w14:paraId="51B32322">
                  <w:pPr>
                    <w:pStyle w:val="6"/>
                    <w:spacing w:before="132" w:line="228" w:lineRule="auto"/>
                    <w:ind w:left="228"/>
                    <w:rPr>
                      <w:sz w:val="20"/>
                      <w:szCs w:val="20"/>
                    </w:rPr>
                  </w:pPr>
                  <w:r>
                    <w:rPr>
                      <w:b/>
                      <w:bCs/>
                      <w:spacing w:val="-1"/>
                      <w:sz w:val="20"/>
                      <w:szCs w:val="20"/>
                    </w:rPr>
                    <w:t>固体废</w:t>
                  </w:r>
                </w:p>
                <w:p w14:paraId="671E0C59">
                  <w:pPr>
                    <w:pStyle w:val="6"/>
                    <w:spacing w:before="26" w:line="229" w:lineRule="auto"/>
                    <w:ind w:left="210"/>
                    <w:rPr>
                      <w:sz w:val="20"/>
                      <w:szCs w:val="20"/>
                    </w:rPr>
                  </w:pPr>
                  <w:r>
                    <w:rPr>
                      <w:b/>
                      <w:bCs/>
                      <w:spacing w:val="5"/>
                      <w:sz w:val="20"/>
                      <w:szCs w:val="20"/>
                    </w:rPr>
                    <w:t>物名称</w:t>
                  </w:r>
                </w:p>
              </w:tc>
              <w:tc>
                <w:tcPr>
                  <w:tcW w:w="857" w:type="dxa"/>
                  <w:vAlign w:val="top"/>
                </w:tcPr>
                <w:p w14:paraId="500D8BF6">
                  <w:pPr>
                    <w:pStyle w:val="6"/>
                    <w:spacing w:before="132" w:line="228" w:lineRule="auto"/>
                    <w:ind w:left="240"/>
                    <w:rPr>
                      <w:sz w:val="20"/>
                      <w:szCs w:val="20"/>
                    </w:rPr>
                  </w:pPr>
                  <w:r>
                    <w:rPr>
                      <w:b/>
                      <w:bCs/>
                      <w:spacing w:val="-6"/>
                      <w:sz w:val="20"/>
                      <w:szCs w:val="20"/>
                    </w:rPr>
                    <w:t>固废</w:t>
                  </w:r>
                </w:p>
                <w:p w14:paraId="0BC26053">
                  <w:pPr>
                    <w:pStyle w:val="6"/>
                    <w:spacing w:before="26" w:line="229" w:lineRule="auto"/>
                    <w:ind w:left="223"/>
                    <w:rPr>
                      <w:sz w:val="20"/>
                      <w:szCs w:val="20"/>
                    </w:rPr>
                  </w:pPr>
                  <w:r>
                    <w:rPr>
                      <w:b/>
                      <w:bCs/>
                      <w:spacing w:val="3"/>
                      <w:sz w:val="20"/>
                      <w:szCs w:val="20"/>
                    </w:rPr>
                    <w:t>属性</w:t>
                  </w:r>
                </w:p>
              </w:tc>
              <w:tc>
                <w:tcPr>
                  <w:tcW w:w="1213" w:type="dxa"/>
                  <w:vAlign w:val="top"/>
                </w:tcPr>
                <w:p w14:paraId="57690DA4">
                  <w:pPr>
                    <w:pStyle w:val="6"/>
                    <w:spacing w:before="132" w:line="228" w:lineRule="auto"/>
                    <w:ind w:left="401"/>
                    <w:rPr>
                      <w:sz w:val="20"/>
                      <w:szCs w:val="20"/>
                    </w:rPr>
                  </w:pPr>
                  <w:r>
                    <w:rPr>
                      <w:b/>
                      <w:bCs/>
                      <w:spacing w:val="4"/>
                      <w:sz w:val="20"/>
                      <w:szCs w:val="20"/>
                    </w:rPr>
                    <w:t>废物</w:t>
                  </w:r>
                </w:p>
                <w:p w14:paraId="58B18E6A">
                  <w:pPr>
                    <w:pStyle w:val="6"/>
                    <w:spacing w:before="25" w:line="228" w:lineRule="auto"/>
                    <w:ind w:left="401"/>
                    <w:rPr>
                      <w:sz w:val="20"/>
                      <w:szCs w:val="20"/>
                    </w:rPr>
                  </w:pPr>
                  <w:r>
                    <w:rPr>
                      <w:b/>
                      <w:bCs/>
                      <w:spacing w:val="4"/>
                      <w:sz w:val="20"/>
                      <w:szCs w:val="20"/>
                    </w:rPr>
                    <w:t>代码</w:t>
                  </w:r>
                </w:p>
              </w:tc>
              <w:tc>
                <w:tcPr>
                  <w:tcW w:w="1128" w:type="dxa"/>
                  <w:vAlign w:val="top"/>
                </w:tcPr>
                <w:p w14:paraId="7357CC14">
                  <w:pPr>
                    <w:pStyle w:val="6"/>
                    <w:spacing w:before="131" w:line="228" w:lineRule="auto"/>
                    <w:ind w:left="45"/>
                    <w:rPr>
                      <w:sz w:val="20"/>
                      <w:szCs w:val="20"/>
                    </w:rPr>
                  </w:pPr>
                  <w:r>
                    <w:rPr>
                      <w:b/>
                      <w:bCs/>
                      <w:spacing w:val="6"/>
                      <w:sz w:val="20"/>
                      <w:szCs w:val="20"/>
                    </w:rPr>
                    <w:t>主要有毒有</w:t>
                  </w:r>
                </w:p>
                <w:p w14:paraId="7EF11BDD">
                  <w:pPr>
                    <w:pStyle w:val="6"/>
                    <w:spacing w:before="27" w:line="228" w:lineRule="auto"/>
                    <w:ind w:left="47"/>
                    <w:rPr>
                      <w:sz w:val="20"/>
                      <w:szCs w:val="20"/>
                    </w:rPr>
                  </w:pPr>
                  <w:r>
                    <w:rPr>
                      <w:b/>
                      <w:bCs/>
                      <w:spacing w:val="5"/>
                      <w:sz w:val="20"/>
                      <w:szCs w:val="20"/>
                    </w:rPr>
                    <w:t>害物质名称</w:t>
                  </w:r>
                </w:p>
              </w:tc>
              <w:tc>
                <w:tcPr>
                  <w:tcW w:w="774" w:type="dxa"/>
                  <w:vAlign w:val="top"/>
                </w:tcPr>
                <w:p w14:paraId="11C2BDAB">
                  <w:pPr>
                    <w:pStyle w:val="6"/>
                    <w:spacing w:before="131" w:line="229" w:lineRule="auto"/>
                    <w:ind w:left="182"/>
                    <w:rPr>
                      <w:sz w:val="20"/>
                      <w:szCs w:val="20"/>
                    </w:rPr>
                  </w:pPr>
                  <w:r>
                    <w:rPr>
                      <w:b/>
                      <w:bCs/>
                      <w:spacing w:val="3"/>
                      <w:sz w:val="20"/>
                      <w:szCs w:val="20"/>
                    </w:rPr>
                    <w:t>物理</w:t>
                  </w:r>
                </w:p>
                <w:p w14:paraId="4FC6CF02">
                  <w:pPr>
                    <w:pStyle w:val="6"/>
                    <w:spacing w:before="25" w:line="228" w:lineRule="auto"/>
                    <w:ind w:left="185"/>
                    <w:rPr>
                      <w:sz w:val="20"/>
                      <w:szCs w:val="20"/>
                    </w:rPr>
                  </w:pPr>
                  <w:r>
                    <w:rPr>
                      <w:b/>
                      <w:bCs/>
                      <w:spacing w:val="2"/>
                      <w:sz w:val="20"/>
                      <w:szCs w:val="20"/>
                    </w:rPr>
                    <w:t>性状</w:t>
                  </w:r>
                </w:p>
              </w:tc>
              <w:tc>
                <w:tcPr>
                  <w:tcW w:w="941" w:type="dxa"/>
                  <w:vAlign w:val="top"/>
                </w:tcPr>
                <w:p w14:paraId="4FD469A7">
                  <w:pPr>
                    <w:pStyle w:val="6"/>
                    <w:spacing w:before="132" w:line="228" w:lineRule="auto"/>
                    <w:ind w:left="162"/>
                    <w:rPr>
                      <w:sz w:val="20"/>
                      <w:szCs w:val="20"/>
                    </w:rPr>
                  </w:pPr>
                  <w:r>
                    <w:rPr>
                      <w:b/>
                      <w:bCs/>
                      <w:spacing w:val="5"/>
                      <w:sz w:val="20"/>
                      <w:szCs w:val="20"/>
                    </w:rPr>
                    <w:t>环境危</w:t>
                  </w:r>
                </w:p>
                <w:p w14:paraId="6DBB4B36">
                  <w:pPr>
                    <w:pStyle w:val="6"/>
                    <w:spacing w:before="25" w:line="228" w:lineRule="auto"/>
                    <w:ind w:left="173"/>
                    <w:rPr>
                      <w:sz w:val="20"/>
                      <w:szCs w:val="20"/>
                    </w:rPr>
                  </w:pPr>
                  <w:r>
                    <w:rPr>
                      <w:b/>
                      <w:bCs/>
                      <w:spacing w:val="1"/>
                      <w:sz w:val="20"/>
                      <w:szCs w:val="20"/>
                    </w:rPr>
                    <w:t>险特性</w:t>
                  </w:r>
                </w:p>
              </w:tc>
              <w:tc>
                <w:tcPr>
                  <w:tcW w:w="1130" w:type="dxa"/>
                  <w:vAlign w:val="top"/>
                </w:tcPr>
                <w:p w14:paraId="59D1013E">
                  <w:pPr>
                    <w:pStyle w:val="6"/>
                    <w:spacing w:before="268" w:line="228" w:lineRule="auto"/>
                    <w:ind w:left="255"/>
                    <w:rPr>
                      <w:sz w:val="20"/>
                      <w:szCs w:val="20"/>
                    </w:rPr>
                  </w:pPr>
                  <w:r>
                    <w:rPr>
                      <w:b/>
                      <w:bCs/>
                      <w:spacing w:val="5"/>
                      <w:sz w:val="20"/>
                      <w:szCs w:val="20"/>
                    </w:rPr>
                    <w:t>产生量</w:t>
                  </w:r>
                </w:p>
              </w:tc>
            </w:tr>
            <w:tr w14:paraId="7D9D7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34" w:type="dxa"/>
                  <w:vAlign w:val="top"/>
                </w:tcPr>
                <w:p w14:paraId="2A6E66DF">
                  <w:pPr>
                    <w:pStyle w:val="6"/>
                    <w:spacing w:before="191" w:line="229" w:lineRule="auto"/>
                    <w:ind w:left="265"/>
                    <w:rPr>
                      <w:sz w:val="20"/>
                      <w:szCs w:val="20"/>
                    </w:rPr>
                  </w:pPr>
                  <w:r>
                    <w:rPr>
                      <w:spacing w:val="3"/>
                      <w:sz w:val="20"/>
                      <w:szCs w:val="20"/>
                    </w:rPr>
                    <w:t>泡酸</w:t>
                  </w:r>
                </w:p>
              </w:tc>
              <w:tc>
                <w:tcPr>
                  <w:tcW w:w="1044" w:type="dxa"/>
                  <w:vAlign w:val="top"/>
                </w:tcPr>
                <w:p w14:paraId="77A52740">
                  <w:pPr>
                    <w:pStyle w:val="6"/>
                    <w:spacing w:before="191" w:line="228" w:lineRule="auto"/>
                    <w:ind w:left="209"/>
                    <w:rPr>
                      <w:sz w:val="20"/>
                      <w:szCs w:val="20"/>
                    </w:rPr>
                  </w:pPr>
                  <w:r>
                    <w:rPr>
                      <w:spacing w:val="7"/>
                      <w:sz w:val="20"/>
                      <w:szCs w:val="20"/>
                    </w:rPr>
                    <w:t>废酸液</w:t>
                  </w:r>
                </w:p>
              </w:tc>
              <w:tc>
                <w:tcPr>
                  <w:tcW w:w="857" w:type="dxa"/>
                  <w:vAlign w:val="top"/>
                </w:tcPr>
                <w:p w14:paraId="769C5605">
                  <w:pPr>
                    <w:pStyle w:val="6"/>
                    <w:spacing w:before="54" w:line="228" w:lineRule="auto"/>
                    <w:ind w:left="224"/>
                    <w:rPr>
                      <w:sz w:val="20"/>
                      <w:szCs w:val="20"/>
                    </w:rPr>
                  </w:pPr>
                  <w:r>
                    <w:rPr>
                      <w:spacing w:val="3"/>
                      <w:sz w:val="20"/>
                      <w:szCs w:val="20"/>
                    </w:rPr>
                    <w:t>危险</w:t>
                  </w:r>
                </w:p>
                <w:p w14:paraId="7DD9B9A2">
                  <w:pPr>
                    <w:pStyle w:val="6"/>
                    <w:spacing w:before="24" w:line="228" w:lineRule="auto"/>
                    <w:ind w:left="221"/>
                    <w:rPr>
                      <w:sz w:val="20"/>
                      <w:szCs w:val="20"/>
                    </w:rPr>
                  </w:pPr>
                  <w:r>
                    <w:rPr>
                      <w:spacing w:val="5"/>
                      <w:sz w:val="20"/>
                      <w:szCs w:val="20"/>
                    </w:rPr>
                    <w:t>废物</w:t>
                  </w:r>
                </w:p>
              </w:tc>
              <w:tc>
                <w:tcPr>
                  <w:tcW w:w="1213" w:type="dxa"/>
                  <w:vAlign w:val="top"/>
                </w:tcPr>
                <w:p w14:paraId="7BD74731">
                  <w:pPr>
                    <w:spacing w:before="22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900-300-34</w:t>
                  </w:r>
                </w:p>
              </w:tc>
              <w:tc>
                <w:tcPr>
                  <w:tcW w:w="1128" w:type="dxa"/>
                  <w:vAlign w:val="top"/>
                </w:tcPr>
                <w:p w14:paraId="79877500">
                  <w:pPr>
                    <w:pStyle w:val="6"/>
                    <w:spacing w:before="191" w:line="228" w:lineRule="auto"/>
                    <w:ind w:left="359"/>
                    <w:rPr>
                      <w:sz w:val="20"/>
                      <w:szCs w:val="20"/>
                    </w:rPr>
                  </w:pPr>
                  <w:r>
                    <w:rPr>
                      <w:spacing w:val="5"/>
                      <w:sz w:val="20"/>
                      <w:szCs w:val="20"/>
                    </w:rPr>
                    <w:t>废酸</w:t>
                  </w:r>
                </w:p>
              </w:tc>
              <w:tc>
                <w:tcPr>
                  <w:tcW w:w="774" w:type="dxa"/>
                  <w:vAlign w:val="top"/>
                </w:tcPr>
                <w:p w14:paraId="133FACB6">
                  <w:pPr>
                    <w:pStyle w:val="6"/>
                    <w:spacing w:before="191" w:line="228" w:lineRule="auto"/>
                    <w:ind w:left="186"/>
                    <w:rPr>
                      <w:sz w:val="20"/>
                      <w:szCs w:val="20"/>
                    </w:rPr>
                  </w:pPr>
                  <w:r>
                    <w:rPr>
                      <w:spacing w:val="3"/>
                      <w:sz w:val="20"/>
                      <w:szCs w:val="20"/>
                    </w:rPr>
                    <w:t>液态</w:t>
                  </w:r>
                </w:p>
              </w:tc>
              <w:tc>
                <w:tcPr>
                  <w:tcW w:w="941" w:type="dxa"/>
                  <w:vAlign w:val="top"/>
                </w:tcPr>
                <w:p w14:paraId="04C2CC7F">
                  <w:pPr>
                    <w:spacing w:before="223" w:line="199"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T/C</w:t>
                  </w:r>
                </w:p>
              </w:tc>
              <w:tc>
                <w:tcPr>
                  <w:tcW w:w="1130" w:type="dxa"/>
                  <w:vAlign w:val="top"/>
                </w:tcPr>
                <w:p w14:paraId="2CCE50E3">
                  <w:pPr>
                    <w:spacing w:before="223" w:line="199"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1194.6t/a</w:t>
                  </w:r>
                </w:p>
              </w:tc>
            </w:tr>
            <w:tr w14:paraId="349AA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34" w:type="dxa"/>
                  <w:vMerge w:val="restart"/>
                  <w:tcBorders>
                    <w:bottom w:val="nil"/>
                  </w:tcBorders>
                  <w:vAlign w:val="top"/>
                </w:tcPr>
                <w:p w14:paraId="3FB11CE9">
                  <w:pPr>
                    <w:pStyle w:val="6"/>
                    <w:spacing w:before="277" w:line="252" w:lineRule="auto"/>
                    <w:ind w:left="265" w:right="150" w:hanging="107"/>
                    <w:rPr>
                      <w:sz w:val="20"/>
                      <w:szCs w:val="20"/>
                    </w:rPr>
                  </w:pPr>
                  <w:r>
                    <w:rPr>
                      <w:spacing w:val="6"/>
                      <w:sz w:val="20"/>
                      <w:szCs w:val="20"/>
                    </w:rPr>
                    <w:t>化学品</w:t>
                  </w:r>
                  <w:r>
                    <w:rPr>
                      <w:sz w:val="20"/>
                      <w:szCs w:val="20"/>
                    </w:rPr>
                    <w:t xml:space="preserve"> </w:t>
                  </w:r>
                  <w:r>
                    <w:rPr>
                      <w:spacing w:val="3"/>
                      <w:sz w:val="20"/>
                      <w:szCs w:val="20"/>
                    </w:rPr>
                    <w:t>容器</w:t>
                  </w:r>
                </w:p>
              </w:tc>
              <w:tc>
                <w:tcPr>
                  <w:tcW w:w="1044" w:type="dxa"/>
                  <w:vAlign w:val="top"/>
                </w:tcPr>
                <w:p w14:paraId="5AEB96ED">
                  <w:pPr>
                    <w:pStyle w:val="6"/>
                    <w:spacing w:before="111" w:line="228" w:lineRule="auto"/>
                    <w:ind w:left="209"/>
                    <w:rPr>
                      <w:sz w:val="20"/>
                      <w:szCs w:val="20"/>
                    </w:rPr>
                  </w:pPr>
                  <w:r>
                    <w:rPr>
                      <w:spacing w:val="7"/>
                      <w:sz w:val="20"/>
                      <w:szCs w:val="20"/>
                    </w:rPr>
                    <w:t>废胶桶</w:t>
                  </w:r>
                </w:p>
              </w:tc>
              <w:tc>
                <w:tcPr>
                  <w:tcW w:w="857" w:type="dxa"/>
                  <w:vMerge w:val="restart"/>
                  <w:tcBorders>
                    <w:bottom w:val="nil"/>
                  </w:tcBorders>
                  <w:vAlign w:val="top"/>
                </w:tcPr>
                <w:p w14:paraId="5DC7392F">
                  <w:pPr>
                    <w:pStyle w:val="6"/>
                    <w:spacing w:before="278" w:line="228" w:lineRule="auto"/>
                    <w:ind w:left="224"/>
                    <w:rPr>
                      <w:sz w:val="20"/>
                      <w:szCs w:val="20"/>
                    </w:rPr>
                  </w:pPr>
                  <w:r>
                    <w:rPr>
                      <w:spacing w:val="3"/>
                      <w:sz w:val="20"/>
                      <w:szCs w:val="20"/>
                    </w:rPr>
                    <w:t>危险</w:t>
                  </w:r>
                </w:p>
                <w:p w14:paraId="137B040B">
                  <w:pPr>
                    <w:pStyle w:val="6"/>
                    <w:spacing w:before="24" w:line="228" w:lineRule="auto"/>
                    <w:ind w:left="221"/>
                    <w:rPr>
                      <w:sz w:val="20"/>
                      <w:szCs w:val="20"/>
                    </w:rPr>
                  </w:pPr>
                  <w:r>
                    <w:rPr>
                      <w:spacing w:val="5"/>
                      <w:sz w:val="20"/>
                      <w:szCs w:val="20"/>
                    </w:rPr>
                    <w:t>废物</w:t>
                  </w:r>
                </w:p>
              </w:tc>
              <w:tc>
                <w:tcPr>
                  <w:tcW w:w="1213" w:type="dxa"/>
                  <w:vMerge w:val="restart"/>
                  <w:tcBorders>
                    <w:bottom w:val="nil"/>
                  </w:tcBorders>
                  <w:vAlign w:val="top"/>
                </w:tcPr>
                <w:p w14:paraId="7FF8419F">
                  <w:pPr>
                    <w:spacing w:line="390" w:lineRule="auto"/>
                    <w:rPr>
                      <w:rFonts w:ascii="Arial"/>
                      <w:sz w:val="21"/>
                    </w:rPr>
                  </w:pPr>
                </w:p>
                <w:p w14:paraId="3606D31A">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900-042-49</w:t>
                  </w:r>
                </w:p>
              </w:tc>
              <w:tc>
                <w:tcPr>
                  <w:tcW w:w="1128" w:type="dxa"/>
                  <w:vMerge w:val="restart"/>
                  <w:tcBorders>
                    <w:bottom w:val="nil"/>
                  </w:tcBorders>
                  <w:vAlign w:val="top"/>
                </w:tcPr>
                <w:p w14:paraId="45297753">
                  <w:pPr>
                    <w:spacing w:line="347" w:lineRule="auto"/>
                    <w:rPr>
                      <w:rFonts w:ascii="Arial"/>
                      <w:sz w:val="21"/>
                    </w:rPr>
                  </w:pPr>
                </w:p>
                <w:p w14:paraId="686CDADC">
                  <w:pPr>
                    <w:pStyle w:val="6"/>
                    <w:spacing w:before="65" w:line="229" w:lineRule="auto"/>
                    <w:ind w:left="255"/>
                    <w:rPr>
                      <w:sz w:val="20"/>
                      <w:szCs w:val="20"/>
                    </w:rPr>
                  </w:pPr>
                  <w:r>
                    <w:rPr>
                      <w:spacing w:val="6"/>
                      <w:sz w:val="20"/>
                      <w:szCs w:val="20"/>
                    </w:rPr>
                    <w:t>酸、碱</w:t>
                  </w:r>
                </w:p>
              </w:tc>
              <w:tc>
                <w:tcPr>
                  <w:tcW w:w="774" w:type="dxa"/>
                  <w:vMerge w:val="restart"/>
                  <w:tcBorders>
                    <w:bottom w:val="nil"/>
                  </w:tcBorders>
                  <w:vAlign w:val="top"/>
                </w:tcPr>
                <w:p w14:paraId="28866BD8">
                  <w:pPr>
                    <w:pStyle w:val="6"/>
                    <w:spacing w:before="278" w:line="228" w:lineRule="auto"/>
                    <w:ind w:left="202"/>
                    <w:rPr>
                      <w:sz w:val="20"/>
                      <w:szCs w:val="20"/>
                    </w:rPr>
                  </w:pPr>
                  <w:r>
                    <w:rPr>
                      <w:spacing w:val="-5"/>
                      <w:sz w:val="20"/>
                      <w:szCs w:val="20"/>
                    </w:rPr>
                    <w:t>固态</w:t>
                  </w:r>
                </w:p>
                <w:p w14:paraId="40D7655B">
                  <w:pPr>
                    <w:pStyle w:val="6"/>
                    <w:spacing w:before="24" w:line="228" w:lineRule="auto"/>
                    <w:ind w:left="184"/>
                    <w:rPr>
                      <w:sz w:val="20"/>
                      <w:szCs w:val="20"/>
                    </w:rPr>
                  </w:pPr>
                  <w:r>
                    <w:rPr>
                      <w:spacing w:val="5"/>
                      <w:sz w:val="20"/>
                      <w:szCs w:val="20"/>
                    </w:rPr>
                    <w:t>废物</w:t>
                  </w:r>
                </w:p>
              </w:tc>
              <w:tc>
                <w:tcPr>
                  <w:tcW w:w="941" w:type="dxa"/>
                  <w:vMerge w:val="restart"/>
                  <w:tcBorders>
                    <w:bottom w:val="nil"/>
                  </w:tcBorders>
                  <w:vAlign w:val="top"/>
                </w:tcPr>
                <w:p w14:paraId="47F4843A">
                  <w:pPr>
                    <w:spacing w:line="393" w:lineRule="auto"/>
                    <w:rPr>
                      <w:rFonts w:ascii="Arial"/>
                      <w:sz w:val="21"/>
                    </w:rPr>
                  </w:pPr>
                </w:p>
                <w:p w14:paraId="2292B247">
                  <w:pPr>
                    <w:spacing w:before="57" w:line="192"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30" w:type="dxa"/>
                  <w:vAlign w:val="top"/>
                </w:tcPr>
                <w:p w14:paraId="516F0B2A">
                  <w:pPr>
                    <w:spacing w:before="146" w:line="199"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176.808t/a</w:t>
                  </w:r>
                </w:p>
              </w:tc>
            </w:tr>
            <w:tr w14:paraId="1711E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34" w:type="dxa"/>
                  <w:vMerge w:val="continue"/>
                  <w:tcBorders>
                    <w:top w:val="nil"/>
                  </w:tcBorders>
                  <w:vAlign w:val="top"/>
                </w:tcPr>
                <w:p w14:paraId="2C74991C">
                  <w:pPr>
                    <w:rPr>
                      <w:rFonts w:ascii="Arial"/>
                      <w:sz w:val="21"/>
                    </w:rPr>
                  </w:pPr>
                </w:p>
              </w:tc>
              <w:tc>
                <w:tcPr>
                  <w:tcW w:w="1044" w:type="dxa"/>
                  <w:vAlign w:val="top"/>
                </w:tcPr>
                <w:p w14:paraId="51FF2AAF">
                  <w:pPr>
                    <w:pStyle w:val="6"/>
                    <w:spacing w:before="54" w:line="228" w:lineRule="auto"/>
                    <w:ind w:left="210"/>
                    <w:rPr>
                      <w:sz w:val="20"/>
                      <w:szCs w:val="20"/>
                    </w:rPr>
                  </w:pPr>
                  <w:r>
                    <w:rPr>
                      <w:spacing w:val="6"/>
                      <w:sz w:val="20"/>
                      <w:szCs w:val="20"/>
                    </w:rPr>
                    <w:t>包装废</w:t>
                  </w:r>
                </w:p>
                <w:p w14:paraId="75415BF4">
                  <w:pPr>
                    <w:pStyle w:val="6"/>
                    <w:spacing w:before="26" w:line="229" w:lineRule="auto"/>
                    <w:ind w:left="421"/>
                    <w:rPr>
                      <w:sz w:val="20"/>
                      <w:szCs w:val="20"/>
                    </w:rPr>
                  </w:pPr>
                  <w:r>
                    <w:rPr>
                      <w:sz w:val="20"/>
                      <w:szCs w:val="20"/>
                    </w:rPr>
                    <w:t>物</w:t>
                  </w:r>
                </w:p>
              </w:tc>
              <w:tc>
                <w:tcPr>
                  <w:tcW w:w="857" w:type="dxa"/>
                  <w:vMerge w:val="continue"/>
                  <w:tcBorders>
                    <w:top w:val="nil"/>
                  </w:tcBorders>
                  <w:vAlign w:val="top"/>
                </w:tcPr>
                <w:p w14:paraId="688674A0">
                  <w:pPr>
                    <w:rPr>
                      <w:rFonts w:ascii="Arial"/>
                      <w:sz w:val="21"/>
                    </w:rPr>
                  </w:pPr>
                </w:p>
              </w:tc>
              <w:tc>
                <w:tcPr>
                  <w:tcW w:w="1213" w:type="dxa"/>
                  <w:vMerge w:val="continue"/>
                  <w:tcBorders>
                    <w:top w:val="nil"/>
                  </w:tcBorders>
                  <w:vAlign w:val="top"/>
                </w:tcPr>
                <w:p w14:paraId="60D71445">
                  <w:pPr>
                    <w:rPr>
                      <w:rFonts w:ascii="Arial"/>
                      <w:sz w:val="21"/>
                    </w:rPr>
                  </w:pPr>
                </w:p>
              </w:tc>
              <w:tc>
                <w:tcPr>
                  <w:tcW w:w="1128" w:type="dxa"/>
                  <w:vMerge w:val="continue"/>
                  <w:tcBorders>
                    <w:top w:val="nil"/>
                  </w:tcBorders>
                  <w:vAlign w:val="top"/>
                </w:tcPr>
                <w:p w14:paraId="40933E6F">
                  <w:pPr>
                    <w:rPr>
                      <w:rFonts w:ascii="Arial"/>
                      <w:sz w:val="21"/>
                    </w:rPr>
                  </w:pPr>
                </w:p>
              </w:tc>
              <w:tc>
                <w:tcPr>
                  <w:tcW w:w="774" w:type="dxa"/>
                  <w:vMerge w:val="continue"/>
                  <w:tcBorders>
                    <w:top w:val="nil"/>
                  </w:tcBorders>
                  <w:vAlign w:val="top"/>
                </w:tcPr>
                <w:p w14:paraId="32725F4B">
                  <w:pPr>
                    <w:rPr>
                      <w:rFonts w:ascii="Arial"/>
                      <w:sz w:val="21"/>
                    </w:rPr>
                  </w:pPr>
                </w:p>
              </w:tc>
              <w:tc>
                <w:tcPr>
                  <w:tcW w:w="941" w:type="dxa"/>
                  <w:vMerge w:val="continue"/>
                  <w:tcBorders>
                    <w:top w:val="nil"/>
                  </w:tcBorders>
                  <w:vAlign w:val="top"/>
                </w:tcPr>
                <w:p w14:paraId="5524B49F">
                  <w:pPr>
                    <w:rPr>
                      <w:rFonts w:ascii="Arial"/>
                      <w:sz w:val="21"/>
                    </w:rPr>
                  </w:pPr>
                </w:p>
              </w:tc>
              <w:tc>
                <w:tcPr>
                  <w:tcW w:w="1130" w:type="dxa"/>
                  <w:vAlign w:val="top"/>
                </w:tcPr>
                <w:p w14:paraId="424EB5BB">
                  <w:pPr>
                    <w:spacing w:before="223" w:line="199"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4.92t/a</w:t>
                  </w:r>
                </w:p>
              </w:tc>
            </w:tr>
            <w:tr w14:paraId="11F6B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34" w:type="dxa"/>
                  <w:vAlign w:val="top"/>
                </w:tcPr>
                <w:p w14:paraId="296BC902">
                  <w:pPr>
                    <w:pStyle w:val="6"/>
                    <w:spacing w:before="57" w:line="228" w:lineRule="auto"/>
                    <w:ind w:left="262"/>
                    <w:rPr>
                      <w:sz w:val="20"/>
                      <w:szCs w:val="20"/>
                    </w:rPr>
                  </w:pPr>
                  <w:r>
                    <w:rPr>
                      <w:spacing w:val="5"/>
                      <w:sz w:val="20"/>
                      <w:szCs w:val="20"/>
                    </w:rPr>
                    <w:t>废气</w:t>
                  </w:r>
                </w:p>
                <w:p w14:paraId="224926EF">
                  <w:pPr>
                    <w:pStyle w:val="6"/>
                    <w:spacing w:before="23" w:line="232" w:lineRule="auto"/>
                    <w:ind w:left="267"/>
                    <w:rPr>
                      <w:sz w:val="20"/>
                      <w:szCs w:val="20"/>
                    </w:rPr>
                  </w:pPr>
                  <w:r>
                    <w:rPr>
                      <w:spacing w:val="2"/>
                      <w:sz w:val="20"/>
                      <w:szCs w:val="20"/>
                    </w:rPr>
                    <w:t>处理</w:t>
                  </w:r>
                </w:p>
              </w:tc>
              <w:tc>
                <w:tcPr>
                  <w:tcW w:w="1044" w:type="dxa"/>
                  <w:vAlign w:val="top"/>
                </w:tcPr>
                <w:p w14:paraId="26CB9422">
                  <w:pPr>
                    <w:pStyle w:val="6"/>
                    <w:spacing w:before="57" w:line="228" w:lineRule="auto"/>
                    <w:ind w:left="209"/>
                    <w:rPr>
                      <w:sz w:val="20"/>
                      <w:szCs w:val="20"/>
                    </w:rPr>
                  </w:pPr>
                  <w:r>
                    <w:rPr>
                      <w:spacing w:val="7"/>
                      <w:sz w:val="20"/>
                      <w:szCs w:val="20"/>
                    </w:rPr>
                    <w:t>废活性</w:t>
                  </w:r>
                </w:p>
                <w:p w14:paraId="73FCE0A2">
                  <w:pPr>
                    <w:pStyle w:val="6"/>
                    <w:spacing w:before="23" w:line="229" w:lineRule="auto"/>
                    <w:ind w:left="424"/>
                    <w:rPr>
                      <w:sz w:val="20"/>
                      <w:szCs w:val="20"/>
                    </w:rPr>
                  </w:pPr>
                  <w:r>
                    <w:rPr>
                      <w:sz w:val="20"/>
                      <w:szCs w:val="20"/>
                    </w:rPr>
                    <w:t>炭</w:t>
                  </w:r>
                </w:p>
              </w:tc>
              <w:tc>
                <w:tcPr>
                  <w:tcW w:w="857" w:type="dxa"/>
                  <w:vAlign w:val="top"/>
                </w:tcPr>
                <w:p w14:paraId="307737E8">
                  <w:pPr>
                    <w:pStyle w:val="6"/>
                    <w:spacing w:before="57" w:line="228" w:lineRule="auto"/>
                    <w:ind w:left="224"/>
                    <w:rPr>
                      <w:sz w:val="20"/>
                      <w:szCs w:val="20"/>
                    </w:rPr>
                  </w:pPr>
                  <w:r>
                    <w:rPr>
                      <w:spacing w:val="3"/>
                      <w:sz w:val="20"/>
                      <w:szCs w:val="20"/>
                    </w:rPr>
                    <w:t>危险</w:t>
                  </w:r>
                </w:p>
                <w:p w14:paraId="4900DC1D">
                  <w:pPr>
                    <w:pStyle w:val="6"/>
                    <w:spacing w:before="24" w:line="228" w:lineRule="auto"/>
                    <w:ind w:left="221"/>
                    <w:rPr>
                      <w:sz w:val="20"/>
                      <w:szCs w:val="20"/>
                    </w:rPr>
                  </w:pPr>
                  <w:r>
                    <w:rPr>
                      <w:spacing w:val="5"/>
                      <w:sz w:val="20"/>
                      <w:szCs w:val="20"/>
                    </w:rPr>
                    <w:t>废物</w:t>
                  </w:r>
                </w:p>
              </w:tc>
              <w:tc>
                <w:tcPr>
                  <w:tcW w:w="1213" w:type="dxa"/>
                  <w:vAlign w:val="top"/>
                </w:tcPr>
                <w:p w14:paraId="2CB34FDD">
                  <w:pPr>
                    <w:spacing w:before="22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900-039-49</w:t>
                  </w:r>
                </w:p>
              </w:tc>
              <w:tc>
                <w:tcPr>
                  <w:tcW w:w="1128" w:type="dxa"/>
                  <w:vAlign w:val="top"/>
                </w:tcPr>
                <w:p w14:paraId="1521E589">
                  <w:pPr>
                    <w:pStyle w:val="6"/>
                    <w:spacing w:before="57" w:line="228" w:lineRule="auto"/>
                    <w:ind w:left="152"/>
                    <w:rPr>
                      <w:sz w:val="20"/>
                      <w:szCs w:val="20"/>
                    </w:rPr>
                  </w:pPr>
                  <w:r>
                    <w:rPr>
                      <w:spacing w:val="6"/>
                      <w:sz w:val="20"/>
                      <w:szCs w:val="20"/>
                    </w:rPr>
                    <w:t>非甲烷总</w:t>
                  </w:r>
                </w:p>
                <w:p w14:paraId="31B06752">
                  <w:pPr>
                    <w:pStyle w:val="6"/>
                    <w:spacing w:before="24" w:line="228" w:lineRule="auto"/>
                    <w:ind w:left="466"/>
                    <w:rPr>
                      <w:sz w:val="20"/>
                      <w:szCs w:val="20"/>
                    </w:rPr>
                  </w:pPr>
                  <w:r>
                    <w:rPr>
                      <w:sz w:val="20"/>
                      <w:szCs w:val="20"/>
                    </w:rPr>
                    <w:t>烃</w:t>
                  </w:r>
                </w:p>
              </w:tc>
              <w:tc>
                <w:tcPr>
                  <w:tcW w:w="774" w:type="dxa"/>
                  <w:vAlign w:val="top"/>
                </w:tcPr>
                <w:p w14:paraId="31B584C5">
                  <w:pPr>
                    <w:pStyle w:val="6"/>
                    <w:spacing w:before="57" w:line="228" w:lineRule="auto"/>
                    <w:ind w:left="202"/>
                    <w:rPr>
                      <w:sz w:val="20"/>
                      <w:szCs w:val="20"/>
                    </w:rPr>
                  </w:pPr>
                  <w:r>
                    <w:rPr>
                      <w:spacing w:val="-5"/>
                      <w:sz w:val="20"/>
                      <w:szCs w:val="20"/>
                    </w:rPr>
                    <w:t>固态</w:t>
                  </w:r>
                </w:p>
                <w:p w14:paraId="179179F4">
                  <w:pPr>
                    <w:pStyle w:val="6"/>
                    <w:spacing w:before="24" w:line="228" w:lineRule="auto"/>
                    <w:ind w:left="184"/>
                    <w:rPr>
                      <w:sz w:val="20"/>
                      <w:szCs w:val="20"/>
                    </w:rPr>
                  </w:pPr>
                  <w:r>
                    <w:rPr>
                      <w:spacing w:val="5"/>
                      <w:sz w:val="20"/>
                      <w:szCs w:val="20"/>
                    </w:rPr>
                    <w:t>废物</w:t>
                  </w:r>
                </w:p>
              </w:tc>
              <w:tc>
                <w:tcPr>
                  <w:tcW w:w="941" w:type="dxa"/>
                  <w:vAlign w:val="top"/>
                </w:tcPr>
                <w:p w14:paraId="77185910">
                  <w:pPr>
                    <w:spacing w:before="230" w:line="192"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30" w:type="dxa"/>
                  <w:vAlign w:val="top"/>
                </w:tcPr>
                <w:p w14:paraId="5C10D3CE">
                  <w:pPr>
                    <w:spacing w:before="223" w:line="199"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60.502t/a</w:t>
                  </w:r>
                </w:p>
              </w:tc>
            </w:tr>
            <w:tr w14:paraId="5983F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34" w:type="dxa"/>
                  <w:vAlign w:val="top"/>
                </w:tcPr>
                <w:p w14:paraId="234FB2E2">
                  <w:pPr>
                    <w:pStyle w:val="6"/>
                    <w:spacing w:before="55" w:line="228" w:lineRule="auto"/>
                    <w:ind w:left="262"/>
                    <w:rPr>
                      <w:sz w:val="20"/>
                      <w:szCs w:val="20"/>
                    </w:rPr>
                  </w:pPr>
                  <w:r>
                    <w:rPr>
                      <w:spacing w:val="5"/>
                      <w:sz w:val="20"/>
                      <w:szCs w:val="20"/>
                    </w:rPr>
                    <w:t>废水</w:t>
                  </w:r>
                </w:p>
                <w:p w14:paraId="64DAD2CB">
                  <w:pPr>
                    <w:pStyle w:val="6"/>
                    <w:spacing w:before="26" w:line="232" w:lineRule="auto"/>
                    <w:ind w:left="267"/>
                    <w:rPr>
                      <w:sz w:val="20"/>
                      <w:szCs w:val="20"/>
                    </w:rPr>
                  </w:pPr>
                  <w:r>
                    <w:rPr>
                      <w:spacing w:val="2"/>
                      <w:sz w:val="20"/>
                      <w:szCs w:val="20"/>
                    </w:rPr>
                    <w:t>处理</w:t>
                  </w:r>
                </w:p>
              </w:tc>
              <w:tc>
                <w:tcPr>
                  <w:tcW w:w="1044" w:type="dxa"/>
                  <w:vAlign w:val="top"/>
                </w:tcPr>
                <w:p w14:paraId="24621905">
                  <w:pPr>
                    <w:pStyle w:val="6"/>
                    <w:spacing w:before="56" w:line="228" w:lineRule="auto"/>
                    <w:ind w:left="210"/>
                    <w:rPr>
                      <w:sz w:val="20"/>
                      <w:szCs w:val="20"/>
                    </w:rPr>
                  </w:pPr>
                  <w:r>
                    <w:rPr>
                      <w:spacing w:val="6"/>
                      <w:sz w:val="20"/>
                      <w:szCs w:val="20"/>
                    </w:rPr>
                    <w:t>沉淀污</w:t>
                  </w:r>
                </w:p>
                <w:p w14:paraId="00CD892F">
                  <w:pPr>
                    <w:pStyle w:val="6"/>
                    <w:spacing w:before="26" w:line="230" w:lineRule="auto"/>
                    <w:ind w:left="423"/>
                    <w:rPr>
                      <w:sz w:val="20"/>
                      <w:szCs w:val="20"/>
                    </w:rPr>
                  </w:pPr>
                  <w:r>
                    <w:rPr>
                      <w:sz w:val="20"/>
                      <w:szCs w:val="20"/>
                    </w:rPr>
                    <w:t>泥</w:t>
                  </w:r>
                </w:p>
              </w:tc>
              <w:tc>
                <w:tcPr>
                  <w:tcW w:w="857" w:type="dxa"/>
                  <w:vAlign w:val="top"/>
                </w:tcPr>
                <w:p w14:paraId="2929AC22">
                  <w:pPr>
                    <w:pStyle w:val="6"/>
                    <w:spacing w:before="56" w:line="228" w:lineRule="auto"/>
                    <w:ind w:left="224"/>
                    <w:rPr>
                      <w:sz w:val="20"/>
                      <w:szCs w:val="20"/>
                    </w:rPr>
                  </w:pPr>
                  <w:r>
                    <w:rPr>
                      <w:spacing w:val="3"/>
                      <w:sz w:val="20"/>
                      <w:szCs w:val="20"/>
                    </w:rPr>
                    <w:t>危险</w:t>
                  </w:r>
                </w:p>
                <w:p w14:paraId="5B580315">
                  <w:pPr>
                    <w:pStyle w:val="6"/>
                    <w:spacing w:before="26" w:line="228" w:lineRule="auto"/>
                    <w:ind w:left="221"/>
                    <w:rPr>
                      <w:sz w:val="20"/>
                      <w:szCs w:val="20"/>
                    </w:rPr>
                  </w:pPr>
                  <w:r>
                    <w:rPr>
                      <w:spacing w:val="5"/>
                      <w:sz w:val="20"/>
                      <w:szCs w:val="20"/>
                    </w:rPr>
                    <w:t>废物</w:t>
                  </w:r>
                </w:p>
              </w:tc>
              <w:tc>
                <w:tcPr>
                  <w:tcW w:w="1213" w:type="dxa"/>
                  <w:vAlign w:val="top"/>
                </w:tcPr>
                <w:p w14:paraId="0B1692C1">
                  <w:pPr>
                    <w:spacing w:before="228"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772-006-49</w:t>
                  </w:r>
                </w:p>
              </w:tc>
              <w:tc>
                <w:tcPr>
                  <w:tcW w:w="1128" w:type="dxa"/>
                  <w:vAlign w:val="top"/>
                </w:tcPr>
                <w:p w14:paraId="6F96CB66">
                  <w:pPr>
                    <w:spacing w:before="224" w:line="199"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4" w:type="dxa"/>
                  <w:vAlign w:val="top"/>
                </w:tcPr>
                <w:p w14:paraId="5AFEE765">
                  <w:pPr>
                    <w:pStyle w:val="6"/>
                    <w:spacing w:before="56" w:line="228" w:lineRule="auto"/>
                    <w:ind w:left="202"/>
                    <w:rPr>
                      <w:sz w:val="20"/>
                      <w:szCs w:val="20"/>
                    </w:rPr>
                  </w:pPr>
                  <w:r>
                    <w:rPr>
                      <w:spacing w:val="-5"/>
                      <w:sz w:val="20"/>
                      <w:szCs w:val="20"/>
                    </w:rPr>
                    <w:t>固态</w:t>
                  </w:r>
                </w:p>
                <w:p w14:paraId="58A134BC">
                  <w:pPr>
                    <w:pStyle w:val="6"/>
                    <w:spacing w:before="26" w:line="228" w:lineRule="auto"/>
                    <w:ind w:left="184"/>
                    <w:rPr>
                      <w:sz w:val="20"/>
                      <w:szCs w:val="20"/>
                    </w:rPr>
                  </w:pPr>
                  <w:r>
                    <w:rPr>
                      <w:spacing w:val="5"/>
                      <w:sz w:val="20"/>
                      <w:szCs w:val="20"/>
                    </w:rPr>
                    <w:t>废物</w:t>
                  </w:r>
                </w:p>
              </w:tc>
              <w:tc>
                <w:tcPr>
                  <w:tcW w:w="941" w:type="dxa"/>
                  <w:vAlign w:val="top"/>
                </w:tcPr>
                <w:p w14:paraId="69B3010D">
                  <w:pPr>
                    <w:spacing w:before="224" w:line="199"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1130" w:type="dxa"/>
                  <w:vAlign w:val="top"/>
                </w:tcPr>
                <w:p w14:paraId="508A9495">
                  <w:pPr>
                    <w:spacing w:before="224"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987t/a</w:t>
                  </w:r>
                </w:p>
              </w:tc>
            </w:tr>
            <w:tr w14:paraId="07F4D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34" w:type="dxa"/>
                  <w:vAlign w:val="top"/>
                </w:tcPr>
                <w:p w14:paraId="0F34D2A3">
                  <w:pPr>
                    <w:pStyle w:val="6"/>
                    <w:spacing w:before="58" w:line="229" w:lineRule="auto"/>
                    <w:ind w:left="265"/>
                    <w:rPr>
                      <w:sz w:val="20"/>
                      <w:szCs w:val="20"/>
                    </w:rPr>
                  </w:pPr>
                  <w:r>
                    <w:rPr>
                      <w:spacing w:val="3"/>
                      <w:sz w:val="20"/>
                      <w:szCs w:val="20"/>
                    </w:rPr>
                    <w:t>人员</w:t>
                  </w:r>
                </w:p>
                <w:p w14:paraId="6493C93D">
                  <w:pPr>
                    <w:pStyle w:val="6"/>
                    <w:spacing w:before="23" w:line="228" w:lineRule="auto"/>
                    <w:ind w:left="276"/>
                    <w:rPr>
                      <w:sz w:val="20"/>
                      <w:szCs w:val="20"/>
                    </w:rPr>
                  </w:pPr>
                  <w:r>
                    <w:rPr>
                      <w:spacing w:val="-2"/>
                      <w:sz w:val="20"/>
                      <w:szCs w:val="20"/>
                    </w:rPr>
                    <w:t>防护</w:t>
                  </w:r>
                </w:p>
              </w:tc>
              <w:tc>
                <w:tcPr>
                  <w:tcW w:w="1044" w:type="dxa"/>
                  <w:vAlign w:val="top"/>
                </w:tcPr>
                <w:p w14:paraId="2F0603C1">
                  <w:pPr>
                    <w:pStyle w:val="6"/>
                    <w:spacing w:before="193" w:line="228" w:lineRule="auto"/>
                    <w:ind w:left="209"/>
                    <w:rPr>
                      <w:sz w:val="20"/>
                      <w:szCs w:val="20"/>
                    </w:rPr>
                  </w:pPr>
                  <w:r>
                    <w:rPr>
                      <w:spacing w:val="7"/>
                      <w:sz w:val="20"/>
                      <w:szCs w:val="20"/>
                    </w:rPr>
                    <w:t>废手套</w:t>
                  </w:r>
                </w:p>
              </w:tc>
              <w:tc>
                <w:tcPr>
                  <w:tcW w:w="857" w:type="dxa"/>
                  <w:vAlign w:val="top"/>
                </w:tcPr>
                <w:p w14:paraId="171288D6">
                  <w:pPr>
                    <w:pStyle w:val="6"/>
                    <w:spacing w:before="58" w:line="228" w:lineRule="auto"/>
                    <w:ind w:left="224"/>
                    <w:rPr>
                      <w:sz w:val="20"/>
                      <w:szCs w:val="20"/>
                    </w:rPr>
                  </w:pPr>
                  <w:r>
                    <w:rPr>
                      <w:spacing w:val="3"/>
                      <w:sz w:val="20"/>
                      <w:szCs w:val="20"/>
                    </w:rPr>
                    <w:t>危险</w:t>
                  </w:r>
                </w:p>
                <w:p w14:paraId="79C680AA">
                  <w:pPr>
                    <w:pStyle w:val="6"/>
                    <w:spacing w:before="24" w:line="228" w:lineRule="auto"/>
                    <w:ind w:left="221"/>
                    <w:rPr>
                      <w:sz w:val="20"/>
                      <w:szCs w:val="20"/>
                    </w:rPr>
                  </w:pPr>
                  <w:r>
                    <w:rPr>
                      <w:spacing w:val="5"/>
                      <w:sz w:val="20"/>
                      <w:szCs w:val="20"/>
                    </w:rPr>
                    <w:t>废物</w:t>
                  </w:r>
                </w:p>
              </w:tc>
              <w:tc>
                <w:tcPr>
                  <w:tcW w:w="1213" w:type="dxa"/>
                  <w:vAlign w:val="top"/>
                </w:tcPr>
                <w:p w14:paraId="0165FE02">
                  <w:pPr>
                    <w:spacing w:before="22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1128" w:type="dxa"/>
                  <w:vAlign w:val="top"/>
                </w:tcPr>
                <w:p w14:paraId="38432496">
                  <w:pPr>
                    <w:spacing w:before="224" w:line="199"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4" w:type="dxa"/>
                  <w:vAlign w:val="top"/>
                </w:tcPr>
                <w:p w14:paraId="624CFA28">
                  <w:pPr>
                    <w:pStyle w:val="6"/>
                    <w:spacing w:before="58" w:line="228" w:lineRule="auto"/>
                    <w:ind w:left="202"/>
                    <w:rPr>
                      <w:sz w:val="20"/>
                      <w:szCs w:val="20"/>
                    </w:rPr>
                  </w:pPr>
                  <w:r>
                    <w:rPr>
                      <w:spacing w:val="-5"/>
                      <w:sz w:val="20"/>
                      <w:szCs w:val="20"/>
                    </w:rPr>
                    <w:t>固态</w:t>
                  </w:r>
                </w:p>
                <w:p w14:paraId="30E123BD">
                  <w:pPr>
                    <w:pStyle w:val="6"/>
                    <w:spacing w:before="24" w:line="228" w:lineRule="auto"/>
                    <w:ind w:left="184"/>
                    <w:rPr>
                      <w:sz w:val="20"/>
                      <w:szCs w:val="20"/>
                    </w:rPr>
                  </w:pPr>
                  <w:r>
                    <w:rPr>
                      <w:spacing w:val="5"/>
                      <w:sz w:val="20"/>
                      <w:szCs w:val="20"/>
                    </w:rPr>
                    <w:t>废物</w:t>
                  </w:r>
                </w:p>
              </w:tc>
              <w:tc>
                <w:tcPr>
                  <w:tcW w:w="941" w:type="dxa"/>
                  <w:vAlign w:val="top"/>
                </w:tcPr>
                <w:p w14:paraId="0A36DD5D">
                  <w:pPr>
                    <w:spacing w:before="224" w:line="199"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1130" w:type="dxa"/>
                  <w:vAlign w:val="top"/>
                </w:tcPr>
                <w:p w14:paraId="0F37E248">
                  <w:pPr>
                    <w:spacing w:before="224" w:line="199"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0.09t/a</w:t>
                  </w:r>
                </w:p>
              </w:tc>
            </w:tr>
            <w:tr w14:paraId="6D542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934" w:type="dxa"/>
                  <w:vAlign w:val="top"/>
                </w:tcPr>
                <w:p w14:paraId="0E202BCD">
                  <w:pPr>
                    <w:pStyle w:val="6"/>
                    <w:spacing w:before="63" w:line="231" w:lineRule="auto"/>
                    <w:ind w:left="264"/>
                    <w:rPr>
                      <w:sz w:val="20"/>
                      <w:szCs w:val="20"/>
                    </w:rPr>
                  </w:pPr>
                  <w:r>
                    <w:rPr>
                      <w:spacing w:val="4"/>
                      <w:sz w:val="20"/>
                      <w:szCs w:val="20"/>
                    </w:rPr>
                    <w:t>职工</w:t>
                  </w:r>
                </w:p>
                <w:p w14:paraId="0FF47D67">
                  <w:pPr>
                    <w:pStyle w:val="6"/>
                    <w:spacing w:before="21" w:line="228" w:lineRule="auto"/>
                    <w:ind w:left="265"/>
                    <w:rPr>
                      <w:sz w:val="20"/>
                      <w:szCs w:val="20"/>
                    </w:rPr>
                  </w:pPr>
                  <w:r>
                    <w:rPr>
                      <w:spacing w:val="3"/>
                      <w:sz w:val="20"/>
                      <w:szCs w:val="20"/>
                    </w:rPr>
                    <w:t>生活</w:t>
                  </w:r>
                </w:p>
              </w:tc>
              <w:tc>
                <w:tcPr>
                  <w:tcW w:w="1044" w:type="dxa"/>
                  <w:vAlign w:val="top"/>
                </w:tcPr>
                <w:p w14:paraId="5C355015">
                  <w:pPr>
                    <w:pStyle w:val="6"/>
                    <w:spacing w:before="63" w:line="228" w:lineRule="auto"/>
                    <w:ind w:left="211"/>
                    <w:rPr>
                      <w:sz w:val="20"/>
                      <w:szCs w:val="20"/>
                    </w:rPr>
                  </w:pPr>
                  <w:r>
                    <w:rPr>
                      <w:spacing w:val="6"/>
                      <w:sz w:val="20"/>
                      <w:szCs w:val="20"/>
                    </w:rPr>
                    <w:t>生活垃</w:t>
                  </w:r>
                </w:p>
                <w:p w14:paraId="0CF5AC06">
                  <w:pPr>
                    <w:pStyle w:val="6"/>
                    <w:spacing w:before="24" w:line="228" w:lineRule="auto"/>
                    <w:ind w:left="422"/>
                    <w:rPr>
                      <w:sz w:val="20"/>
                      <w:szCs w:val="20"/>
                    </w:rPr>
                  </w:pPr>
                  <w:r>
                    <w:rPr>
                      <w:sz w:val="20"/>
                      <w:szCs w:val="20"/>
                    </w:rPr>
                    <w:t>圾</w:t>
                  </w:r>
                </w:p>
              </w:tc>
              <w:tc>
                <w:tcPr>
                  <w:tcW w:w="857" w:type="dxa"/>
                  <w:vAlign w:val="top"/>
                </w:tcPr>
                <w:p w14:paraId="6C1E9DC4">
                  <w:pPr>
                    <w:pStyle w:val="6"/>
                    <w:spacing w:before="63" w:line="228" w:lineRule="auto"/>
                    <w:ind w:left="223"/>
                    <w:rPr>
                      <w:sz w:val="20"/>
                      <w:szCs w:val="20"/>
                    </w:rPr>
                  </w:pPr>
                  <w:r>
                    <w:rPr>
                      <w:spacing w:val="3"/>
                      <w:sz w:val="20"/>
                      <w:szCs w:val="20"/>
                    </w:rPr>
                    <w:t>生活</w:t>
                  </w:r>
                </w:p>
                <w:p w14:paraId="2E930DCB">
                  <w:pPr>
                    <w:pStyle w:val="6"/>
                    <w:spacing w:before="24" w:line="228" w:lineRule="auto"/>
                    <w:ind w:left="223"/>
                    <w:rPr>
                      <w:sz w:val="20"/>
                      <w:szCs w:val="20"/>
                    </w:rPr>
                  </w:pPr>
                  <w:r>
                    <w:rPr>
                      <w:spacing w:val="3"/>
                      <w:sz w:val="20"/>
                      <w:szCs w:val="20"/>
                    </w:rPr>
                    <w:t>垃圾</w:t>
                  </w:r>
                </w:p>
              </w:tc>
              <w:tc>
                <w:tcPr>
                  <w:tcW w:w="1213" w:type="dxa"/>
                  <w:vAlign w:val="top"/>
                </w:tcPr>
                <w:p w14:paraId="5FA39C2F">
                  <w:pPr>
                    <w:spacing w:before="231" w:line="199"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8" w:type="dxa"/>
                  <w:vAlign w:val="top"/>
                </w:tcPr>
                <w:p w14:paraId="7CF5FFC8">
                  <w:pPr>
                    <w:spacing w:before="231" w:line="199"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4" w:type="dxa"/>
                  <w:vAlign w:val="top"/>
                </w:tcPr>
                <w:p w14:paraId="39E1F49F">
                  <w:pPr>
                    <w:pStyle w:val="6"/>
                    <w:spacing w:before="63" w:line="228" w:lineRule="auto"/>
                    <w:ind w:left="202"/>
                    <w:rPr>
                      <w:sz w:val="20"/>
                      <w:szCs w:val="20"/>
                    </w:rPr>
                  </w:pPr>
                  <w:r>
                    <w:rPr>
                      <w:spacing w:val="-5"/>
                      <w:sz w:val="20"/>
                      <w:szCs w:val="20"/>
                    </w:rPr>
                    <w:t>固态</w:t>
                  </w:r>
                </w:p>
                <w:p w14:paraId="4A1F287A">
                  <w:pPr>
                    <w:pStyle w:val="6"/>
                    <w:spacing w:before="24" w:line="228" w:lineRule="auto"/>
                    <w:ind w:left="184"/>
                    <w:rPr>
                      <w:sz w:val="20"/>
                      <w:szCs w:val="20"/>
                    </w:rPr>
                  </w:pPr>
                  <w:r>
                    <w:rPr>
                      <w:spacing w:val="5"/>
                      <w:sz w:val="20"/>
                      <w:szCs w:val="20"/>
                    </w:rPr>
                    <w:t>废物</w:t>
                  </w:r>
                </w:p>
              </w:tc>
              <w:tc>
                <w:tcPr>
                  <w:tcW w:w="941" w:type="dxa"/>
                  <w:vAlign w:val="top"/>
                </w:tcPr>
                <w:p w14:paraId="6710BCF5">
                  <w:pPr>
                    <w:spacing w:before="231" w:line="199"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0" w:type="dxa"/>
                  <w:vAlign w:val="top"/>
                </w:tcPr>
                <w:p w14:paraId="7592716A">
                  <w:pPr>
                    <w:spacing w:before="231" w:line="199"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45t/a</w:t>
                  </w:r>
                </w:p>
              </w:tc>
            </w:tr>
          </w:tbl>
          <w:p w14:paraId="0CE6CC46">
            <w:pPr>
              <w:spacing w:line="313" w:lineRule="auto"/>
              <w:rPr>
                <w:rFonts w:ascii="Arial"/>
                <w:sz w:val="21"/>
              </w:rPr>
            </w:pPr>
          </w:p>
          <w:p w14:paraId="685F1B41">
            <w:pPr>
              <w:pStyle w:val="6"/>
              <w:spacing w:before="78" w:line="219" w:lineRule="auto"/>
              <w:ind w:left="1532"/>
            </w:pPr>
            <w:r>
              <w:rPr>
                <w:b/>
                <w:bCs/>
                <w:spacing w:val="-2"/>
              </w:rPr>
              <w:t>表</w:t>
            </w:r>
            <w:r>
              <w:rPr>
                <w:spacing w:val="-48"/>
              </w:rPr>
              <w:t xml:space="preserve"> </w:t>
            </w:r>
            <w:r>
              <w:rPr>
                <w:rFonts w:ascii="Times New Roman" w:hAnsi="Times New Roman" w:eastAsia="Times New Roman" w:cs="Times New Roman"/>
                <w:b/>
                <w:bCs/>
                <w:spacing w:val="-2"/>
              </w:rPr>
              <w:t xml:space="preserve">4-32    </w:t>
            </w:r>
            <w:r>
              <w:rPr>
                <w:b/>
                <w:bCs/>
                <w:spacing w:val="-2"/>
              </w:rPr>
              <w:t>项目危险废物贮存场所（设施）基本情况</w:t>
            </w:r>
          </w:p>
        </w:tc>
      </w:tr>
      <w:tr w14:paraId="7E7B3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605" w:type="dxa"/>
            <w:vMerge w:val="continue"/>
            <w:tcBorders>
              <w:top w:val="nil"/>
              <w:left w:val="single" w:color="000000" w:sz="6" w:space="0"/>
              <w:bottom w:val="nil"/>
            </w:tcBorders>
            <w:vAlign w:val="top"/>
          </w:tcPr>
          <w:p w14:paraId="438FF80E">
            <w:pPr>
              <w:rPr>
                <w:rFonts w:ascii="Arial"/>
                <w:sz w:val="21"/>
              </w:rPr>
            </w:pPr>
          </w:p>
        </w:tc>
        <w:tc>
          <w:tcPr>
            <w:tcW w:w="113" w:type="dxa"/>
            <w:tcBorders>
              <w:top w:val="nil"/>
              <w:bottom w:val="nil"/>
            </w:tcBorders>
            <w:vAlign w:val="top"/>
          </w:tcPr>
          <w:p w14:paraId="19955A87">
            <w:pPr>
              <w:rPr>
                <w:rFonts w:ascii="Arial"/>
                <w:sz w:val="21"/>
              </w:rPr>
            </w:pPr>
          </w:p>
        </w:tc>
        <w:tc>
          <w:tcPr>
            <w:tcW w:w="460" w:type="dxa"/>
            <w:vAlign w:val="top"/>
          </w:tcPr>
          <w:p w14:paraId="4B10BB8A">
            <w:pPr>
              <w:pStyle w:val="6"/>
              <w:spacing w:before="201" w:line="222" w:lineRule="auto"/>
              <w:ind w:left="122"/>
              <w:rPr>
                <w:sz w:val="20"/>
                <w:szCs w:val="20"/>
              </w:rPr>
            </w:pPr>
            <w:r>
              <w:rPr>
                <w:spacing w:val="1"/>
                <w:sz w:val="20"/>
                <w:szCs w:val="20"/>
              </w:rPr>
              <w:t>序</w:t>
            </w:r>
          </w:p>
          <w:p w14:paraId="64646498">
            <w:pPr>
              <w:pStyle w:val="6"/>
              <w:spacing w:line="229" w:lineRule="auto"/>
              <w:ind w:left="128"/>
              <w:rPr>
                <w:sz w:val="20"/>
                <w:szCs w:val="20"/>
              </w:rPr>
            </w:pPr>
            <w:r>
              <w:rPr>
                <w:sz w:val="20"/>
                <w:szCs w:val="20"/>
              </w:rPr>
              <w:t>号</w:t>
            </w:r>
          </w:p>
        </w:tc>
        <w:tc>
          <w:tcPr>
            <w:tcW w:w="987" w:type="dxa"/>
            <w:vAlign w:val="top"/>
          </w:tcPr>
          <w:p w14:paraId="6B27CE25">
            <w:pPr>
              <w:pStyle w:val="6"/>
              <w:spacing w:before="81" w:line="222" w:lineRule="auto"/>
              <w:ind w:left="180"/>
              <w:rPr>
                <w:sz w:val="20"/>
                <w:szCs w:val="20"/>
              </w:rPr>
            </w:pPr>
            <w:r>
              <w:rPr>
                <w:spacing w:val="6"/>
                <w:sz w:val="20"/>
                <w:szCs w:val="20"/>
              </w:rPr>
              <w:t>贮存场</w:t>
            </w:r>
          </w:p>
          <w:p w14:paraId="080BB213">
            <w:pPr>
              <w:pStyle w:val="6"/>
              <w:spacing w:before="1" w:line="225" w:lineRule="auto"/>
              <w:ind w:left="106" w:right="112" w:firstLine="72"/>
              <w:rPr>
                <w:sz w:val="20"/>
                <w:szCs w:val="20"/>
              </w:rPr>
            </w:pPr>
            <w:r>
              <w:rPr>
                <w:spacing w:val="6"/>
                <w:sz w:val="20"/>
                <w:szCs w:val="20"/>
              </w:rPr>
              <w:t>所（设</w:t>
            </w:r>
            <w:r>
              <w:rPr>
                <w:spacing w:val="1"/>
                <w:sz w:val="20"/>
                <w:szCs w:val="20"/>
              </w:rPr>
              <w:t xml:space="preserve"> </w:t>
            </w:r>
            <w:r>
              <w:rPr>
                <w:spacing w:val="-10"/>
                <w:sz w:val="20"/>
                <w:szCs w:val="20"/>
              </w:rPr>
              <w:t>施）名称</w:t>
            </w:r>
          </w:p>
        </w:tc>
        <w:tc>
          <w:tcPr>
            <w:tcW w:w="845" w:type="dxa"/>
            <w:vAlign w:val="top"/>
          </w:tcPr>
          <w:p w14:paraId="26F4294E">
            <w:pPr>
              <w:pStyle w:val="6"/>
              <w:spacing w:before="201" w:line="222" w:lineRule="auto"/>
              <w:ind w:left="111"/>
              <w:rPr>
                <w:sz w:val="20"/>
                <w:szCs w:val="20"/>
              </w:rPr>
            </w:pPr>
            <w:r>
              <w:rPr>
                <w:spacing w:val="6"/>
                <w:sz w:val="20"/>
                <w:szCs w:val="20"/>
              </w:rPr>
              <w:t>危险废</w:t>
            </w:r>
          </w:p>
          <w:p w14:paraId="3094FBC8">
            <w:pPr>
              <w:pStyle w:val="6"/>
              <w:spacing w:line="229" w:lineRule="auto"/>
              <w:ind w:left="109"/>
              <w:rPr>
                <w:sz w:val="20"/>
                <w:szCs w:val="20"/>
              </w:rPr>
            </w:pPr>
            <w:r>
              <w:rPr>
                <w:spacing w:val="6"/>
                <w:sz w:val="20"/>
                <w:szCs w:val="20"/>
              </w:rPr>
              <w:t>物名称</w:t>
            </w:r>
          </w:p>
        </w:tc>
        <w:tc>
          <w:tcPr>
            <w:tcW w:w="843" w:type="dxa"/>
            <w:vAlign w:val="top"/>
          </w:tcPr>
          <w:p w14:paraId="10BA2D14">
            <w:pPr>
              <w:pStyle w:val="6"/>
              <w:spacing w:before="81" w:line="222" w:lineRule="auto"/>
              <w:ind w:left="217"/>
              <w:rPr>
                <w:sz w:val="20"/>
                <w:szCs w:val="20"/>
              </w:rPr>
            </w:pPr>
            <w:r>
              <w:rPr>
                <w:spacing w:val="3"/>
                <w:sz w:val="20"/>
                <w:szCs w:val="20"/>
              </w:rPr>
              <w:t>危险</w:t>
            </w:r>
          </w:p>
          <w:p w14:paraId="3A750E9E">
            <w:pPr>
              <w:pStyle w:val="6"/>
              <w:spacing w:line="221" w:lineRule="auto"/>
              <w:ind w:left="213"/>
              <w:rPr>
                <w:sz w:val="20"/>
                <w:szCs w:val="20"/>
              </w:rPr>
            </w:pPr>
            <w:r>
              <w:rPr>
                <w:spacing w:val="5"/>
                <w:sz w:val="20"/>
                <w:szCs w:val="20"/>
              </w:rPr>
              <w:t>废物</w:t>
            </w:r>
          </w:p>
          <w:p w14:paraId="68615CF6">
            <w:pPr>
              <w:pStyle w:val="6"/>
              <w:spacing w:line="227" w:lineRule="auto"/>
              <w:ind w:left="214"/>
              <w:rPr>
                <w:sz w:val="20"/>
                <w:szCs w:val="20"/>
              </w:rPr>
            </w:pPr>
            <w:r>
              <w:rPr>
                <w:spacing w:val="4"/>
                <w:sz w:val="20"/>
                <w:szCs w:val="20"/>
              </w:rPr>
              <w:t>类别</w:t>
            </w:r>
          </w:p>
        </w:tc>
        <w:tc>
          <w:tcPr>
            <w:tcW w:w="1194" w:type="dxa"/>
            <w:vAlign w:val="top"/>
          </w:tcPr>
          <w:p w14:paraId="7DB65CA1">
            <w:pPr>
              <w:pStyle w:val="6"/>
              <w:spacing w:before="201" w:line="222" w:lineRule="auto"/>
              <w:ind w:left="183"/>
              <w:rPr>
                <w:sz w:val="20"/>
                <w:szCs w:val="20"/>
              </w:rPr>
            </w:pPr>
            <w:r>
              <w:rPr>
                <w:spacing w:val="6"/>
                <w:sz w:val="20"/>
                <w:szCs w:val="20"/>
              </w:rPr>
              <w:t>危险废物</w:t>
            </w:r>
          </w:p>
          <w:p w14:paraId="05D30A7B">
            <w:pPr>
              <w:pStyle w:val="6"/>
              <w:spacing w:line="227" w:lineRule="auto"/>
              <w:ind w:left="390"/>
              <w:rPr>
                <w:sz w:val="20"/>
                <w:szCs w:val="20"/>
              </w:rPr>
            </w:pPr>
            <w:r>
              <w:rPr>
                <w:spacing w:val="5"/>
                <w:sz w:val="20"/>
                <w:szCs w:val="20"/>
              </w:rPr>
              <w:t>代码</w:t>
            </w:r>
          </w:p>
        </w:tc>
        <w:tc>
          <w:tcPr>
            <w:tcW w:w="656" w:type="dxa"/>
            <w:vAlign w:val="top"/>
          </w:tcPr>
          <w:p w14:paraId="7DE6CE35">
            <w:pPr>
              <w:spacing w:line="255" w:lineRule="auto"/>
              <w:rPr>
                <w:rFonts w:ascii="Arial"/>
                <w:sz w:val="21"/>
              </w:rPr>
            </w:pPr>
          </w:p>
          <w:p w14:paraId="2C752056">
            <w:pPr>
              <w:pStyle w:val="6"/>
              <w:spacing w:before="65" w:line="229" w:lineRule="auto"/>
              <w:ind w:left="124"/>
              <w:rPr>
                <w:sz w:val="20"/>
                <w:szCs w:val="20"/>
              </w:rPr>
            </w:pPr>
            <w:r>
              <w:rPr>
                <w:spacing w:val="4"/>
                <w:sz w:val="20"/>
                <w:szCs w:val="20"/>
              </w:rPr>
              <w:t>位置</w:t>
            </w:r>
          </w:p>
        </w:tc>
        <w:tc>
          <w:tcPr>
            <w:tcW w:w="652" w:type="dxa"/>
            <w:vAlign w:val="top"/>
          </w:tcPr>
          <w:p w14:paraId="1BF9BC96">
            <w:pPr>
              <w:pStyle w:val="6"/>
              <w:spacing w:before="201" w:line="222" w:lineRule="auto"/>
              <w:ind w:left="157"/>
              <w:rPr>
                <w:sz w:val="20"/>
                <w:szCs w:val="20"/>
              </w:rPr>
            </w:pPr>
            <w:r>
              <w:rPr>
                <w:spacing w:val="-13"/>
                <w:sz w:val="20"/>
                <w:szCs w:val="20"/>
              </w:rPr>
              <w:t>占地</w:t>
            </w:r>
          </w:p>
          <w:p w14:paraId="7AF79E8D">
            <w:pPr>
              <w:pStyle w:val="6"/>
              <w:spacing w:line="228" w:lineRule="auto"/>
              <w:ind w:left="124"/>
              <w:rPr>
                <w:sz w:val="20"/>
                <w:szCs w:val="20"/>
              </w:rPr>
            </w:pPr>
            <w:r>
              <w:rPr>
                <w:spacing w:val="4"/>
                <w:sz w:val="20"/>
                <w:szCs w:val="20"/>
              </w:rPr>
              <w:t>面积</w:t>
            </w:r>
          </w:p>
        </w:tc>
        <w:tc>
          <w:tcPr>
            <w:tcW w:w="906" w:type="dxa"/>
            <w:vAlign w:val="top"/>
          </w:tcPr>
          <w:p w14:paraId="73D0DDB6">
            <w:pPr>
              <w:pStyle w:val="6"/>
              <w:spacing w:before="201" w:line="222" w:lineRule="auto"/>
              <w:ind w:left="252"/>
              <w:rPr>
                <w:sz w:val="20"/>
                <w:szCs w:val="20"/>
              </w:rPr>
            </w:pPr>
            <w:r>
              <w:rPr>
                <w:spacing w:val="4"/>
                <w:sz w:val="20"/>
                <w:szCs w:val="20"/>
              </w:rPr>
              <w:t>贮存</w:t>
            </w:r>
          </w:p>
          <w:p w14:paraId="5F37786E">
            <w:pPr>
              <w:pStyle w:val="6"/>
              <w:spacing w:line="229" w:lineRule="auto"/>
              <w:ind w:left="252"/>
              <w:rPr>
                <w:sz w:val="20"/>
                <w:szCs w:val="20"/>
              </w:rPr>
            </w:pPr>
            <w:r>
              <w:rPr>
                <w:spacing w:val="4"/>
                <w:sz w:val="20"/>
                <w:szCs w:val="20"/>
              </w:rPr>
              <w:t>方式</w:t>
            </w:r>
          </w:p>
        </w:tc>
        <w:tc>
          <w:tcPr>
            <w:tcW w:w="863" w:type="dxa"/>
            <w:vAlign w:val="top"/>
          </w:tcPr>
          <w:p w14:paraId="58120C8F">
            <w:pPr>
              <w:pStyle w:val="6"/>
              <w:spacing w:before="201" w:line="222" w:lineRule="auto"/>
              <w:ind w:left="231"/>
              <w:rPr>
                <w:sz w:val="20"/>
                <w:szCs w:val="20"/>
              </w:rPr>
            </w:pPr>
            <w:r>
              <w:rPr>
                <w:spacing w:val="4"/>
                <w:sz w:val="20"/>
                <w:szCs w:val="20"/>
              </w:rPr>
              <w:t>贮存</w:t>
            </w:r>
          </w:p>
          <w:p w14:paraId="10F12DA9">
            <w:pPr>
              <w:pStyle w:val="6"/>
              <w:spacing w:line="227" w:lineRule="auto"/>
              <w:ind w:left="239"/>
              <w:rPr>
                <w:sz w:val="20"/>
                <w:szCs w:val="20"/>
              </w:rPr>
            </w:pPr>
            <w:r>
              <w:rPr>
                <w:sz w:val="20"/>
                <w:szCs w:val="20"/>
              </w:rPr>
              <w:t>能力</w:t>
            </w:r>
          </w:p>
        </w:tc>
        <w:tc>
          <w:tcPr>
            <w:tcW w:w="734" w:type="dxa"/>
            <w:vAlign w:val="top"/>
          </w:tcPr>
          <w:p w14:paraId="76F4ED76">
            <w:pPr>
              <w:pStyle w:val="6"/>
              <w:spacing w:before="201" w:line="222" w:lineRule="auto"/>
              <w:ind w:left="170"/>
              <w:rPr>
                <w:sz w:val="20"/>
                <w:szCs w:val="20"/>
              </w:rPr>
            </w:pPr>
            <w:r>
              <w:rPr>
                <w:spacing w:val="4"/>
                <w:sz w:val="20"/>
                <w:szCs w:val="20"/>
              </w:rPr>
              <w:t>贮存</w:t>
            </w:r>
          </w:p>
          <w:p w14:paraId="52BA9FAF">
            <w:pPr>
              <w:pStyle w:val="6"/>
              <w:spacing w:line="228" w:lineRule="auto"/>
              <w:ind w:left="170"/>
              <w:rPr>
                <w:sz w:val="20"/>
                <w:szCs w:val="20"/>
              </w:rPr>
            </w:pPr>
            <w:r>
              <w:rPr>
                <w:spacing w:val="4"/>
                <w:sz w:val="20"/>
                <w:szCs w:val="20"/>
              </w:rPr>
              <w:t>周期</w:t>
            </w:r>
          </w:p>
        </w:tc>
        <w:tc>
          <w:tcPr>
            <w:tcW w:w="127" w:type="dxa"/>
            <w:tcBorders>
              <w:top w:val="nil"/>
              <w:bottom w:val="nil"/>
              <w:right w:val="single" w:color="000000" w:sz="6" w:space="0"/>
            </w:tcBorders>
            <w:vAlign w:val="top"/>
          </w:tcPr>
          <w:p w14:paraId="3418F6C1">
            <w:pPr>
              <w:rPr>
                <w:rFonts w:ascii="Arial"/>
                <w:sz w:val="21"/>
              </w:rPr>
            </w:pPr>
          </w:p>
        </w:tc>
      </w:tr>
      <w:tr w14:paraId="727B9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605" w:type="dxa"/>
            <w:vMerge w:val="continue"/>
            <w:tcBorders>
              <w:top w:val="nil"/>
              <w:left w:val="single" w:color="000000" w:sz="6" w:space="0"/>
              <w:bottom w:val="nil"/>
            </w:tcBorders>
            <w:vAlign w:val="top"/>
          </w:tcPr>
          <w:p w14:paraId="00A43165">
            <w:pPr>
              <w:rPr>
                <w:rFonts w:ascii="Arial"/>
                <w:sz w:val="21"/>
              </w:rPr>
            </w:pPr>
          </w:p>
        </w:tc>
        <w:tc>
          <w:tcPr>
            <w:tcW w:w="113" w:type="dxa"/>
            <w:tcBorders>
              <w:top w:val="nil"/>
              <w:bottom w:val="nil"/>
            </w:tcBorders>
            <w:vAlign w:val="top"/>
          </w:tcPr>
          <w:p w14:paraId="762DFCF5">
            <w:pPr>
              <w:rPr>
                <w:rFonts w:ascii="Arial"/>
                <w:sz w:val="21"/>
              </w:rPr>
            </w:pPr>
          </w:p>
        </w:tc>
        <w:tc>
          <w:tcPr>
            <w:tcW w:w="460" w:type="dxa"/>
            <w:vAlign w:val="top"/>
          </w:tcPr>
          <w:p w14:paraId="0558004F">
            <w:pPr>
              <w:spacing w:line="347" w:lineRule="auto"/>
              <w:rPr>
                <w:rFonts w:ascii="Arial"/>
                <w:sz w:val="21"/>
              </w:rPr>
            </w:pPr>
          </w:p>
          <w:p w14:paraId="523018BD">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7" w:type="dxa"/>
            <w:vMerge w:val="restart"/>
            <w:tcBorders>
              <w:bottom w:val="nil"/>
            </w:tcBorders>
            <w:vAlign w:val="top"/>
          </w:tcPr>
          <w:p w14:paraId="7ED05477">
            <w:pPr>
              <w:spacing w:line="267" w:lineRule="auto"/>
              <w:rPr>
                <w:rFonts w:ascii="Arial"/>
                <w:sz w:val="21"/>
              </w:rPr>
            </w:pPr>
          </w:p>
          <w:p w14:paraId="477D7083">
            <w:pPr>
              <w:spacing w:line="267" w:lineRule="auto"/>
              <w:rPr>
                <w:rFonts w:ascii="Arial"/>
                <w:sz w:val="21"/>
              </w:rPr>
            </w:pPr>
          </w:p>
          <w:p w14:paraId="15B9DCE3">
            <w:pPr>
              <w:spacing w:line="268" w:lineRule="auto"/>
              <w:rPr>
                <w:rFonts w:ascii="Arial"/>
                <w:sz w:val="21"/>
              </w:rPr>
            </w:pPr>
          </w:p>
          <w:p w14:paraId="3063B2DE">
            <w:pPr>
              <w:spacing w:line="268" w:lineRule="auto"/>
              <w:rPr>
                <w:rFonts w:ascii="Arial"/>
                <w:sz w:val="21"/>
              </w:rPr>
            </w:pPr>
          </w:p>
          <w:p w14:paraId="00A93868">
            <w:pPr>
              <w:spacing w:line="268" w:lineRule="auto"/>
              <w:rPr>
                <w:rFonts w:ascii="Arial"/>
                <w:sz w:val="21"/>
              </w:rPr>
            </w:pPr>
          </w:p>
          <w:p w14:paraId="5FED8DDF">
            <w:pPr>
              <w:spacing w:line="268" w:lineRule="auto"/>
              <w:rPr>
                <w:rFonts w:ascii="Arial"/>
                <w:sz w:val="21"/>
              </w:rPr>
            </w:pPr>
          </w:p>
          <w:p w14:paraId="1B67A618">
            <w:pPr>
              <w:spacing w:line="268" w:lineRule="auto"/>
              <w:rPr>
                <w:rFonts w:ascii="Arial"/>
                <w:sz w:val="21"/>
              </w:rPr>
            </w:pPr>
          </w:p>
          <w:p w14:paraId="466E244E">
            <w:pPr>
              <w:spacing w:line="268" w:lineRule="auto"/>
              <w:rPr>
                <w:rFonts w:ascii="Arial"/>
                <w:sz w:val="21"/>
              </w:rPr>
            </w:pPr>
          </w:p>
          <w:p w14:paraId="375EFC66">
            <w:pPr>
              <w:pStyle w:val="6"/>
              <w:spacing w:before="65" w:line="225" w:lineRule="auto"/>
              <w:ind w:left="281" w:right="181" w:hanging="99"/>
              <w:rPr>
                <w:sz w:val="20"/>
                <w:szCs w:val="20"/>
              </w:rPr>
            </w:pPr>
            <w:r>
              <w:rPr>
                <w:spacing w:val="6"/>
                <w:sz w:val="20"/>
                <w:szCs w:val="20"/>
              </w:rPr>
              <w:t>危废暂</w:t>
            </w:r>
            <w:r>
              <w:rPr>
                <w:sz w:val="20"/>
                <w:szCs w:val="20"/>
              </w:rPr>
              <w:t xml:space="preserve"> </w:t>
            </w:r>
            <w:r>
              <w:rPr>
                <w:spacing w:val="5"/>
                <w:sz w:val="20"/>
                <w:szCs w:val="20"/>
              </w:rPr>
              <w:t>存间</w:t>
            </w:r>
          </w:p>
        </w:tc>
        <w:tc>
          <w:tcPr>
            <w:tcW w:w="845" w:type="dxa"/>
            <w:vAlign w:val="top"/>
          </w:tcPr>
          <w:p w14:paraId="60C962A5">
            <w:pPr>
              <w:spacing w:line="306" w:lineRule="auto"/>
              <w:rPr>
                <w:rFonts w:ascii="Arial"/>
                <w:sz w:val="21"/>
              </w:rPr>
            </w:pPr>
          </w:p>
          <w:p w14:paraId="5D95293C">
            <w:pPr>
              <w:pStyle w:val="6"/>
              <w:spacing w:before="65" w:line="228" w:lineRule="auto"/>
              <w:ind w:left="108"/>
              <w:rPr>
                <w:sz w:val="20"/>
                <w:szCs w:val="20"/>
              </w:rPr>
            </w:pPr>
            <w:r>
              <w:rPr>
                <w:spacing w:val="7"/>
                <w:sz w:val="20"/>
                <w:szCs w:val="20"/>
              </w:rPr>
              <w:t>废酸液</w:t>
            </w:r>
          </w:p>
        </w:tc>
        <w:tc>
          <w:tcPr>
            <w:tcW w:w="843" w:type="dxa"/>
            <w:vAlign w:val="top"/>
          </w:tcPr>
          <w:p w14:paraId="5DC16F26">
            <w:pPr>
              <w:spacing w:before="272"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34</w:t>
            </w:r>
          </w:p>
          <w:p w14:paraId="34C5C45C">
            <w:pPr>
              <w:pStyle w:val="6"/>
              <w:spacing w:before="34" w:line="228" w:lineRule="auto"/>
              <w:ind w:left="213"/>
              <w:rPr>
                <w:sz w:val="20"/>
                <w:szCs w:val="20"/>
              </w:rPr>
            </w:pPr>
            <w:r>
              <w:rPr>
                <w:spacing w:val="5"/>
                <w:sz w:val="20"/>
                <w:szCs w:val="20"/>
              </w:rPr>
              <w:t>废酸</w:t>
            </w:r>
          </w:p>
        </w:tc>
        <w:tc>
          <w:tcPr>
            <w:tcW w:w="1194" w:type="dxa"/>
            <w:vAlign w:val="top"/>
          </w:tcPr>
          <w:p w14:paraId="181F215A">
            <w:pPr>
              <w:spacing w:line="349" w:lineRule="auto"/>
              <w:rPr>
                <w:rFonts w:ascii="Arial"/>
                <w:sz w:val="21"/>
              </w:rPr>
            </w:pPr>
          </w:p>
          <w:p w14:paraId="156AB93A">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900-300-34</w:t>
            </w:r>
          </w:p>
        </w:tc>
        <w:tc>
          <w:tcPr>
            <w:tcW w:w="656" w:type="dxa"/>
            <w:vMerge w:val="restart"/>
            <w:tcBorders>
              <w:bottom w:val="nil"/>
            </w:tcBorders>
            <w:vAlign w:val="top"/>
          </w:tcPr>
          <w:p w14:paraId="08EF0054">
            <w:pPr>
              <w:spacing w:line="267" w:lineRule="auto"/>
              <w:rPr>
                <w:rFonts w:ascii="Arial"/>
                <w:sz w:val="21"/>
              </w:rPr>
            </w:pPr>
          </w:p>
          <w:p w14:paraId="25346D69">
            <w:pPr>
              <w:spacing w:line="267" w:lineRule="auto"/>
              <w:rPr>
                <w:rFonts w:ascii="Arial"/>
                <w:sz w:val="21"/>
              </w:rPr>
            </w:pPr>
          </w:p>
          <w:p w14:paraId="5D9C48DD">
            <w:pPr>
              <w:spacing w:line="268" w:lineRule="auto"/>
              <w:rPr>
                <w:rFonts w:ascii="Arial"/>
                <w:sz w:val="21"/>
              </w:rPr>
            </w:pPr>
          </w:p>
          <w:p w14:paraId="1A56EE43">
            <w:pPr>
              <w:spacing w:line="268" w:lineRule="auto"/>
              <w:rPr>
                <w:rFonts w:ascii="Arial"/>
                <w:sz w:val="21"/>
              </w:rPr>
            </w:pPr>
          </w:p>
          <w:p w14:paraId="61914AED">
            <w:pPr>
              <w:spacing w:line="268" w:lineRule="auto"/>
              <w:rPr>
                <w:rFonts w:ascii="Arial"/>
                <w:sz w:val="21"/>
              </w:rPr>
            </w:pPr>
          </w:p>
          <w:p w14:paraId="1719D400">
            <w:pPr>
              <w:spacing w:line="268" w:lineRule="auto"/>
              <w:rPr>
                <w:rFonts w:ascii="Arial"/>
                <w:sz w:val="21"/>
              </w:rPr>
            </w:pPr>
          </w:p>
          <w:p w14:paraId="68FA8478">
            <w:pPr>
              <w:spacing w:line="268" w:lineRule="auto"/>
              <w:rPr>
                <w:rFonts w:ascii="Arial"/>
                <w:sz w:val="21"/>
              </w:rPr>
            </w:pPr>
          </w:p>
          <w:p w14:paraId="2775ACF7">
            <w:pPr>
              <w:spacing w:line="268" w:lineRule="auto"/>
              <w:rPr>
                <w:rFonts w:ascii="Arial"/>
                <w:sz w:val="21"/>
              </w:rPr>
            </w:pPr>
          </w:p>
          <w:p w14:paraId="6C4C3F17">
            <w:pPr>
              <w:pStyle w:val="6"/>
              <w:spacing w:before="65" w:line="222" w:lineRule="auto"/>
              <w:ind w:left="126"/>
              <w:rPr>
                <w:sz w:val="20"/>
                <w:szCs w:val="20"/>
              </w:rPr>
            </w:pPr>
            <w:r>
              <w:rPr>
                <w:spacing w:val="3"/>
                <w:sz w:val="20"/>
                <w:szCs w:val="20"/>
              </w:rPr>
              <w:t>厂区</w:t>
            </w:r>
          </w:p>
          <w:p w14:paraId="09902CAF">
            <w:pPr>
              <w:pStyle w:val="6"/>
              <w:spacing w:line="227" w:lineRule="auto"/>
              <w:ind w:left="127"/>
              <w:rPr>
                <w:sz w:val="20"/>
                <w:szCs w:val="20"/>
              </w:rPr>
            </w:pPr>
            <w:r>
              <w:rPr>
                <w:spacing w:val="3"/>
                <w:sz w:val="20"/>
                <w:szCs w:val="20"/>
              </w:rPr>
              <w:t>北部</w:t>
            </w:r>
          </w:p>
        </w:tc>
        <w:tc>
          <w:tcPr>
            <w:tcW w:w="652" w:type="dxa"/>
            <w:vMerge w:val="restart"/>
            <w:tcBorders>
              <w:bottom w:val="nil"/>
            </w:tcBorders>
            <w:vAlign w:val="top"/>
          </w:tcPr>
          <w:p w14:paraId="12F8098E">
            <w:pPr>
              <w:spacing w:line="251" w:lineRule="auto"/>
              <w:rPr>
                <w:rFonts w:ascii="Arial"/>
                <w:sz w:val="21"/>
              </w:rPr>
            </w:pPr>
          </w:p>
          <w:p w14:paraId="5F01BD09">
            <w:pPr>
              <w:spacing w:line="251" w:lineRule="auto"/>
              <w:rPr>
                <w:rFonts w:ascii="Arial"/>
                <w:sz w:val="21"/>
              </w:rPr>
            </w:pPr>
          </w:p>
          <w:p w14:paraId="3F8F0EA0">
            <w:pPr>
              <w:spacing w:line="251" w:lineRule="auto"/>
              <w:rPr>
                <w:rFonts w:ascii="Arial"/>
                <w:sz w:val="21"/>
              </w:rPr>
            </w:pPr>
          </w:p>
          <w:p w14:paraId="1E7D6E3B">
            <w:pPr>
              <w:spacing w:line="251" w:lineRule="auto"/>
              <w:rPr>
                <w:rFonts w:ascii="Arial"/>
                <w:sz w:val="21"/>
              </w:rPr>
            </w:pPr>
          </w:p>
          <w:p w14:paraId="54685A55">
            <w:pPr>
              <w:spacing w:line="251" w:lineRule="auto"/>
              <w:rPr>
                <w:rFonts w:ascii="Arial"/>
                <w:sz w:val="21"/>
              </w:rPr>
            </w:pPr>
          </w:p>
          <w:p w14:paraId="4AA35A43">
            <w:pPr>
              <w:spacing w:line="251" w:lineRule="auto"/>
              <w:rPr>
                <w:rFonts w:ascii="Arial"/>
                <w:sz w:val="21"/>
              </w:rPr>
            </w:pPr>
          </w:p>
          <w:p w14:paraId="16FCB327">
            <w:pPr>
              <w:spacing w:line="251" w:lineRule="auto"/>
              <w:rPr>
                <w:rFonts w:ascii="Arial"/>
                <w:sz w:val="21"/>
              </w:rPr>
            </w:pPr>
          </w:p>
          <w:p w14:paraId="5B8605A8">
            <w:pPr>
              <w:spacing w:line="252" w:lineRule="auto"/>
              <w:rPr>
                <w:rFonts w:ascii="Arial"/>
                <w:sz w:val="21"/>
              </w:rPr>
            </w:pPr>
          </w:p>
          <w:p w14:paraId="3555A7C9">
            <w:pPr>
              <w:pStyle w:val="6"/>
              <w:spacing w:before="65" w:line="233" w:lineRule="auto"/>
              <w:ind w:left="257"/>
              <w:rPr>
                <w:sz w:val="20"/>
                <w:szCs w:val="20"/>
              </w:rPr>
            </w:pPr>
            <w:r>
              <w:rPr>
                <w:sz w:val="20"/>
                <w:szCs w:val="20"/>
              </w:rPr>
              <w:t>约</w:t>
            </w:r>
          </w:p>
          <w:p w14:paraId="11B4D57C">
            <w:pPr>
              <w:spacing w:before="4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p w14:paraId="6B9FCA73">
            <w:pPr>
              <w:pStyle w:val="6"/>
              <w:spacing w:before="31" w:line="275" w:lineRule="exact"/>
              <w:ind w:left="235"/>
              <w:rPr>
                <w:sz w:val="20"/>
                <w:szCs w:val="20"/>
              </w:rPr>
            </w:pPr>
            <w:r>
              <w:rPr>
                <w:sz w:val="20"/>
                <w:szCs w:val="20"/>
              </w:rPr>
              <w:t>㎡</w:t>
            </w:r>
          </w:p>
        </w:tc>
        <w:tc>
          <w:tcPr>
            <w:tcW w:w="906" w:type="dxa"/>
            <w:vAlign w:val="top"/>
          </w:tcPr>
          <w:p w14:paraId="55393FB1">
            <w:pPr>
              <w:pStyle w:val="6"/>
              <w:spacing w:before="100" w:line="251" w:lineRule="auto"/>
              <w:ind w:left="147" w:right="134" w:firstLine="108"/>
              <w:rPr>
                <w:sz w:val="20"/>
                <w:szCs w:val="20"/>
              </w:rPr>
            </w:pPr>
            <w:r>
              <w:rPr>
                <w:spacing w:val="2"/>
                <w:sz w:val="20"/>
                <w:szCs w:val="20"/>
              </w:rPr>
              <w:t>塑料</w:t>
            </w:r>
            <w:r>
              <w:rPr>
                <w:sz w:val="20"/>
                <w:szCs w:val="20"/>
              </w:rPr>
              <w:t xml:space="preserve">  </w:t>
            </w:r>
            <w:r>
              <w:rPr>
                <w:spacing w:val="6"/>
                <w:sz w:val="20"/>
                <w:szCs w:val="20"/>
              </w:rPr>
              <w:t>桶，桶</w:t>
            </w:r>
          </w:p>
          <w:p w14:paraId="4C022E1A">
            <w:pPr>
              <w:pStyle w:val="6"/>
              <w:spacing w:line="228" w:lineRule="auto"/>
              <w:ind w:left="356"/>
              <w:rPr>
                <w:sz w:val="20"/>
                <w:szCs w:val="20"/>
              </w:rPr>
            </w:pPr>
            <w:r>
              <w:rPr>
                <w:sz w:val="20"/>
                <w:szCs w:val="20"/>
              </w:rPr>
              <w:t>装</w:t>
            </w:r>
          </w:p>
        </w:tc>
        <w:tc>
          <w:tcPr>
            <w:tcW w:w="863" w:type="dxa"/>
            <w:vAlign w:val="top"/>
          </w:tcPr>
          <w:p w14:paraId="448B0B88">
            <w:pPr>
              <w:spacing w:line="352" w:lineRule="auto"/>
              <w:rPr>
                <w:rFonts w:ascii="Arial"/>
                <w:sz w:val="21"/>
              </w:rPr>
            </w:pPr>
          </w:p>
          <w:p w14:paraId="290B78C4">
            <w:pPr>
              <w:spacing w:before="58" w:line="192"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75t</w:t>
            </w:r>
          </w:p>
        </w:tc>
        <w:tc>
          <w:tcPr>
            <w:tcW w:w="734" w:type="dxa"/>
            <w:vAlign w:val="top"/>
          </w:tcPr>
          <w:p w14:paraId="507AAE9A">
            <w:pPr>
              <w:spacing w:line="306" w:lineRule="auto"/>
              <w:rPr>
                <w:rFonts w:ascii="Arial"/>
                <w:sz w:val="21"/>
              </w:rPr>
            </w:pPr>
          </w:p>
          <w:p w14:paraId="44EE3553">
            <w:pPr>
              <w:pStyle w:val="6"/>
              <w:spacing w:before="65" w:line="228" w:lineRule="auto"/>
              <w:ind w:left="193"/>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6"/>
                <w:sz w:val="20"/>
                <w:szCs w:val="20"/>
              </w:rPr>
              <w:t xml:space="preserve"> </w:t>
            </w:r>
            <w:r>
              <w:rPr>
                <w:spacing w:val="-2"/>
                <w:sz w:val="20"/>
                <w:szCs w:val="20"/>
              </w:rPr>
              <w:t>天</w:t>
            </w:r>
          </w:p>
        </w:tc>
        <w:tc>
          <w:tcPr>
            <w:tcW w:w="127" w:type="dxa"/>
            <w:tcBorders>
              <w:top w:val="nil"/>
              <w:bottom w:val="nil"/>
              <w:right w:val="single" w:color="000000" w:sz="6" w:space="0"/>
            </w:tcBorders>
            <w:vAlign w:val="top"/>
          </w:tcPr>
          <w:p w14:paraId="00ED5E24">
            <w:pPr>
              <w:rPr>
                <w:rFonts w:ascii="Arial"/>
                <w:sz w:val="21"/>
              </w:rPr>
            </w:pPr>
          </w:p>
        </w:tc>
      </w:tr>
      <w:tr w14:paraId="3CC04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05" w:type="dxa"/>
            <w:vMerge w:val="continue"/>
            <w:tcBorders>
              <w:top w:val="nil"/>
              <w:left w:val="single" w:color="000000" w:sz="6" w:space="0"/>
              <w:bottom w:val="nil"/>
            </w:tcBorders>
            <w:vAlign w:val="top"/>
          </w:tcPr>
          <w:p w14:paraId="40EA2C24">
            <w:pPr>
              <w:rPr>
                <w:rFonts w:ascii="Arial"/>
                <w:sz w:val="21"/>
              </w:rPr>
            </w:pPr>
          </w:p>
        </w:tc>
        <w:tc>
          <w:tcPr>
            <w:tcW w:w="113" w:type="dxa"/>
            <w:tcBorders>
              <w:top w:val="nil"/>
              <w:bottom w:val="nil"/>
            </w:tcBorders>
            <w:vAlign w:val="top"/>
          </w:tcPr>
          <w:p w14:paraId="312BD756">
            <w:pPr>
              <w:rPr>
                <w:rFonts w:ascii="Arial"/>
                <w:sz w:val="21"/>
              </w:rPr>
            </w:pPr>
          </w:p>
        </w:tc>
        <w:tc>
          <w:tcPr>
            <w:tcW w:w="460" w:type="dxa"/>
            <w:vAlign w:val="top"/>
          </w:tcPr>
          <w:p w14:paraId="003C4E82">
            <w:pPr>
              <w:spacing w:line="421" w:lineRule="auto"/>
              <w:rPr>
                <w:rFonts w:ascii="Arial"/>
                <w:sz w:val="21"/>
              </w:rPr>
            </w:pPr>
          </w:p>
          <w:p w14:paraId="2412B19B">
            <w:pPr>
              <w:spacing w:before="57"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87" w:type="dxa"/>
            <w:vMerge w:val="continue"/>
            <w:tcBorders>
              <w:top w:val="nil"/>
              <w:bottom w:val="nil"/>
            </w:tcBorders>
            <w:vAlign w:val="top"/>
          </w:tcPr>
          <w:p w14:paraId="7F011C27">
            <w:pPr>
              <w:rPr>
                <w:rFonts w:ascii="Arial"/>
                <w:sz w:val="21"/>
              </w:rPr>
            </w:pPr>
          </w:p>
        </w:tc>
        <w:tc>
          <w:tcPr>
            <w:tcW w:w="845" w:type="dxa"/>
            <w:vAlign w:val="top"/>
          </w:tcPr>
          <w:p w14:paraId="40E65860">
            <w:pPr>
              <w:spacing w:line="247" w:lineRule="auto"/>
              <w:rPr>
                <w:rFonts w:ascii="Arial"/>
                <w:sz w:val="21"/>
              </w:rPr>
            </w:pPr>
          </w:p>
          <w:p w14:paraId="6D352926">
            <w:pPr>
              <w:pStyle w:val="6"/>
              <w:spacing w:before="65" w:line="228" w:lineRule="auto"/>
              <w:ind w:left="108"/>
              <w:rPr>
                <w:sz w:val="20"/>
                <w:szCs w:val="20"/>
              </w:rPr>
            </w:pPr>
            <w:r>
              <w:rPr>
                <w:spacing w:val="7"/>
                <w:sz w:val="20"/>
                <w:szCs w:val="20"/>
              </w:rPr>
              <w:t>废活性</w:t>
            </w:r>
          </w:p>
          <w:p w14:paraId="5567EFDE">
            <w:pPr>
              <w:pStyle w:val="6"/>
              <w:spacing w:before="23" w:line="229" w:lineRule="auto"/>
              <w:ind w:left="323"/>
              <w:rPr>
                <w:sz w:val="20"/>
                <w:szCs w:val="20"/>
              </w:rPr>
            </w:pPr>
            <w:r>
              <w:rPr>
                <w:sz w:val="20"/>
                <w:szCs w:val="20"/>
              </w:rPr>
              <w:t>炭</w:t>
            </w:r>
          </w:p>
        </w:tc>
        <w:tc>
          <w:tcPr>
            <w:tcW w:w="843" w:type="dxa"/>
            <w:vAlign w:val="top"/>
          </w:tcPr>
          <w:p w14:paraId="72317FE7">
            <w:pPr>
              <w:spacing w:before="212"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14:paraId="1ABF4F52">
            <w:pPr>
              <w:pStyle w:val="6"/>
              <w:spacing w:before="34" w:line="228" w:lineRule="auto"/>
              <w:ind w:left="215"/>
              <w:rPr>
                <w:sz w:val="20"/>
                <w:szCs w:val="20"/>
              </w:rPr>
            </w:pPr>
            <w:r>
              <w:rPr>
                <w:spacing w:val="4"/>
                <w:sz w:val="20"/>
                <w:szCs w:val="20"/>
              </w:rPr>
              <w:t>其他</w:t>
            </w:r>
          </w:p>
          <w:p w14:paraId="6EC4CC92">
            <w:pPr>
              <w:pStyle w:val="6"/>
              <w:spacing w:before="24" w:line="228" w:lineRule="auto"/>
              <w:ind w:left="213"/>
              <w:rPr>
                <w:sz w:val="20"/>
                <w:szCs w:val="20"/>
              </w:rPr>
            </w:pPr>
            <w:r>
              <w:rPr>
                <w:spacing w:val="5"/>
                <w:sz w:val="20"/>
                <w:szCs w:val="20"/>
              </w:rPr>
              <w:t>废物</w:t>
            </w:r>
          </w:p>
        </w:tc>
        <w:tc>
          <w:tcPr>
            <w:tcW w:w="1194" w:type="dxa"/>
            <w:vAlign w:val="top"/>
          </w:tcPr>
          <w:p w14:paraId="603766EA">
            <w:pPr>
              <w:spacing w:line="426" w:lineRule="auto"/>
              <w:rPr>
                <w:rFonts w:ascii="Arial"/>
                <w:sz w:val="21"/>
              </w:rPr>
            </w:pPr>
          </w:p>
          <w:p w14:paraId="14E42D7F">
            <w:pPr>
              <w:spacing w:before="57"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56" w:type="dxa"/>
            <w:vMerge w:val="continue"/>
            <w:tcBorders>
              <w:top w:val="nil"/>
              <w:bottom w:val="nil"/>
            </w:tcBorders>
            <w:vAlign w:val="top"/>
          </w:tcPr>
          <w:p w14:paraId="46CFB030">
            <w:pPr>
              <w:rPr>
                <w:rFonts w:ascii="Arial"/>
                <w:sz w:val="21"/>
              </w:rPr>
            </w:pPr>
          </w:p>
        </w:tc>
        <w:tc>
          <w:tcPr>
            <w:tcW w:w="652" w:type="dxa"/>
            <w:vMerge w:val="continue"/>
            <w:tcBorders>
              <w:top w:val="nil"/>
              <w:bottom w:val="nil"/>
            </w:tcBorders>
            <w:vAlign w:val="top"/>
          </w:tcPr>
          <w:p w14:paraId="01E9EA31">
            <w:pPr>
              <w:rPr>
                <w:rFonts w:ascii="Arial"/>
                <w:sz w:val="21"/>
              </w:rPr>
            </w:pPr>
          </w:p>
        </w:tc>
        <w:tc>
          <w:tcPr>
            <w:tcW w:w="906" w:type="dxa"/>
            <w:vAlign w:val="top"/>
          </w:tcPr>
          <w:p w14:paraId="11F0FED8">
            <w:pPr>
              <w:pStyle w:val="6"/>
              <w:spacing w:before="41" w:line="228" w:lineRule="auto"/>
              <w:ind w:left="145"/>
              <w:rPr>
                <w:sz w:val="20"/>
                <w:szCs w:val="20"/>
              </w:rPr>
            </w:pPr>
            <w:r>
              <w:rPr>
                <w:spacing w:val="6"/>
                <w:sz w:val="20"/>
                <w:szCs w:val="20"/>
              </w:rPr>
              <w:t>广口带</w:t>
            </w:r>
          </w:p>
          <w:p w14:paraId="6F710156">
            <w:pPr>
              <w:pStyle w:val="6"/>
              <w:spacing w:before="24" w:line="228" w:lineRule="auto"/>
              <w:ind w:left="252"/>
              <w:rPr>
                <w:sz w:val="20"/>
                <w:szCs w:val="20"/>
              </w:rPr>
            </w:pPr>
            <w:r>
              <w:rPr>
                <w:spacing w:val="4"/>
                <w:sz w:val="20"/>
                <w:szCs w:val="20"/>
              </w:rPr>
              <w:t>盖胶</w:t>
            </w:r>
          </w:p>
          <w:p w14:paraId="5061E745">
            <w:pPr>
              <w:pStyle w:val="6"/>
              <w:spacing w:before="24" w:line="228" w:lineRule="auto"/>
              <w:ind w:left="147"/>
              <w:rPr>
                <w:sz w:val="20"/>
                <w:szCs w:val="20"/>
              </w:rPr>
            </w:pPr>
            <w:r>
              <w:rPr>
                <w:spacing w:val="6"/>
                <w:sz w:val="20"/>
                <w:szCs w:val="20"/>
              </w:rPr>
              <w:t>桶，桶</w:t>
            </w:r>
          </w:p>
          <w:p w14:paraId="6BFC2DD2">
            <w:pPr>
              <w:pStyle w:val="6"/>
              <w:spacing w:before="27" w:line="207" w:lineRule="auto"/>
              <w:ind w:left="356"/>
              <w:rPr>
                <w:sz w:val="20"/>
                <w:szCs w:val="20"/>
              </w:rPr>
            </w:pPr>
            <w:r>
              <w:rPr>
                <w:sz w:val="20"/>
                <w:szCs w:val="20"/>
              </w:rPr>
              <w:t>装</w:t>
            </w:r>
          </w:p>
        </w:tc>
        <w:tc>
          <w:tcPr>
            <w:tcW w:w="863" w:type="dxa"/>
            <w:vAlign w:val="top"/>
          </w:tcPr>
          <w:p w14:paraId="0F9B868D">
            <w:pPr>
              <w:spacing w:line="426" w:lineRule="auto"/>
              <w:rPr>
                <w:rFonts w:ascii="Arial"/>
                <w:sz w:val="21"/>
              </w:rPr>
            </w:pPr>
          </w:p>
          <w:p w14:paraId="7C3F0A58">
            <w:pPr>
              <w:spacing w:before="57"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10t</w:t>
            </w:r>
          </w:p>
        </w:tc>
        <w:tc>
          <w:tcPr>
            <w:tcW w:w="734" w:type="dxa"/>
            <w:vAlign w:val="top"/>
          </w:tcPr>
          <w:p w14:paraId="106F9874">
            <w:pPr>
              <w:spacing w:line="246" w:lineRule="auto"/>
              <w:rPr>
                <w:rFonts w:ascii="Arial"/>
                <w:sz w:val="21"/>
              </w:rPr>
            </w:pPr>
          </w:p>
          <w:p w14:paraId="4C7B6F26">
            <w:pPr>
              <w:pStyle w:val="6"/>
              <w:spacing w:before="65" w:line="252" w:lineRule="auto"/>
              <w:ind w:left="276" w:right="176" w:hanging="6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个</w:t>
            </w:r>
            <w:r>
              <w:rPr>
                <w:sz w:val="20"/>
                <w:szCs w:val="20"/>
              </w:rPr>
              <w:t xml:space="preserve"> 月</w:t>
            </w:r>
          </w:p>
        </w:tc>
        <w:tc>
          <w:tcPr>
            <w:tcW w:w="127" w:type="dxa"/>
            <w:tcBorders>
              <w:top w:val="nil"/>
              <w:bottom w:val="nil"/>
              <w:right w:val="single" w:color="000000" w:sz="6" w:space="0"/>
            </w:tcBorders>
            <w:vAlign w:val="top"/>
          </w:tcPr>
          <w:p w14:paraId="530D83BF">
            <w:pPr>
              <w:rPr>
                <w:rFonts w:ascii="Arial"/>
                <w:sz w:val="21"/>
              </w:rPr>
            </w:pPr>
          </w:p>
        </w:tc>
      </w:tr>
      <w:tr w14:paraId="6B6FA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05" w:type="dxa"/>
            <w:vMerge w:val="continue"/>
            <w:tcBorders>
              <w:top w:val="nil"/>
              <w:left w:val="single" w:color="000000" w:sz="6" w:space="0"/>
              <w:bottom w:val="nil"/>
            </w:tcBorders>
            <w:vAlign w:val="top"/>
          </w:tcPr>
          <w:p w14:paraId="3D55856D">
            <w:pPr>
              <w:rPr>
                <w:rFonts w:ascii="Arial"/>
                <w:sz w:val="21"/>
              </w:rPr>
            </w:pPr>
          </w:p>
        </w:tc>
        <w:tc>
          <w:tcPr>
            <w:tcW w:w="113" w:type="dxa"/>
            <w:tcBorders>
              <w:top w:val="nil"/>
              <w:bottom w:val="nil"/>
            </w:tcBorders>
            <w:vAlign w:val="top"/>
          </w:tcPr>
          <w:p w14:paraId="0FCA12B2">
            <w:pPr>
              <w:rPr>
                <w:rFonts w:ascii="Arial"/>
                <w:sz w:val="21"/>
              </w:rPr>
            </w:pPr>
          </w:p>
        </w:tc>
        <w:tc>
          <w:tcPr>
            <w:tcW w:w="460" w:type="dxa"/>
            <w:vAlign w:val="top"/>
          </w:tcPr>
          <w:p w14:paraId="1FB036F4">
            <w:pPr>
              <w:spacing w:line="348" w:lineRule="auto"/>
              <w:rPr>
                <w:rFonts w:ascii="Arial"/>
                <w:sz w:val="21"/>
              </w:rPr>
            </w:pPr>
          </w:p>
          <w:p w14:paraId="79EC8416">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87" w:type="dxa"/>
            <w:vMerge w:val="continue"/>
            <w:tcBorders>
              <w:top w:val="nil"/>
              <w:bottom w:val="nil"/>
            </w:tcBorders>
            <w:vAlign w:val="top"/>
          </w:tcPr>
          <w:p w14:paraId="2015384F">
            <w:pPr>
              <w:rPr>
                <w:rFonts w:ascii="Arial"/>
                <w:sz w:val="21"/>
              </w:rPr>
            </w:pPr>
          </w:p>
        </w:tc>
        <w:tc>
          <w:tcPr>
            <w:tcW w:w="845" w:type="dxa"/>
            <w:vAlign w:val="top"/>
          </w:tcPr>
          <w:p w14:paraId="753F92D8">
            <w:pPr>
              <w:pStyle w:val="6"/>
              <w:spacing w:before="240" w:line="228" w:lineRule="auto"/>
              <w:ind w:left="214"/>
              <w:rPr>
                <w:sz w:val="20"/>
                <w:szCs w:val="20"/>
              </w:rPr>
            </w:pPr>
            <w:r>
              <w:rPr>
                <w:spacing w:val="4"/>
                <w:sz w:val="20"/>
                <w:szCs w:val="20"/>
              </w:rPr>
              <w:t>沉淀</w:t>
            </w:r>
          </w:p>
          <w:p w14:paraId="611FEF89">
            <w:pPr>
              <w:pStyle w:val="6"/>
              <w:spacing w:before="23" w:line="230" w:lineRule="auto"/>
              <w:ind w:left="216"/>
              <w:rPr>
                <w:sz w:val="20"/>
                <w:szCs w:val="20"/>
              </w:rPr>
            </w:pPr>
            <w:r>
              <w:rPr>
                <w:spacing w:val="3"/>
                <w:sz w:val="20"/>
                <w:szCs w:val="20"/>
              </w:rPr>
              <w:t>污泥</w:t>
            </w:r>
          </w:p>
        </w:tc>
        <w:tc>
          <w:tcPr>
            <w:tcW w:w="843" w:type="dxa"/>
            <w:vAlign w:val="top"/>
          </w:tcPr>
          <w:p w14:paraId="080A87EF">
            <w:pPr>
              <w:spacing w:before="139"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14:paraId="35326785">
            <w:pPr>
              <w:pStyle w:val="6"/>
              <w:spacing w:before="34" w:line="228" w:lineRule="auto"/>
              <w:ind w:left="215"/>
              <w:rPr>
                <w:sz w:val="20"/>
                <w:szCs w:val="20"/>
              </w:rPr>
            </w:pPr>
            <w:r>
              <w:rPr>
                <w:spacing w:val="4"/>
                <w:sz w:val="20"/>
                <w:szCs w:val="20"/>
              </w:rPr>
              <w:t>其他</w:t>
            </w:r>
          </w:p>
          <w:p w14:paraId="214D5661">
            <w:pPr>
              <w:pStyle w:val="6"/>
              <w:spacing w:before="24" w:line="228" w:lineRule="auto"/>
              <w:ind w:left="213"/>
              <w:rPr>
                <w:sz w:val="20"/>
                <w:szCs w:val="20"/>
              </w:rPr>
            </w:pPr>
            <w:r>
              <w:rPr>
                <w:spacing w:val="5"/>
                <w:sz w:val="20"/>
                <w:szCs w:val="20"/>
              </w:rPr>
              <w:t>废物</w:t>
            </w:r>
          </w:p>
        </w:tc>
        <w:tc>
          <w:tcPr>
            <w:tcW w:w="1194" w:type="dxa"/>
            <w:vAlign w:val="top"/>
          </w:tcPr>
          <w:p w14:paraId="727E2F43">
            <w:pPr>
              <w:spacing w:line="350" w:lineRule="auto"/>
              <w:rPr>
                <w:rFonts w:ascii="Arial"/>
                <w:sz w:val="21"/>
              </w:rPr>
            </w:pPr>
          </w:p>
          <w:p w14:paraId="5763A7C2">
            <w:pPr>
              <w:spacing w:before="58"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772-006-49</w:t>
            </w:r>
          </w:p>
        </w:tc>
        <w:tc>
          <w:tcPr>
            <w:tcW w:w="656" w:type="dxa"/>
            <w:vMerge w:val="continue"/>
            <w:tcBorders>
              <w:top w:val="nil"/>
              <w:bottom w:val="nil"/>
            </w:tcBorders>
            <w:vAlign w:val="top"/>
          </w:tcPr>
          <w:p w14:paraId="36EA652E">
            <w:pPr>
              <w:rPr>
                <w:rFonts w:ascii="Arial"/>
                <w:sz w:val="21"/>
              </w:rPr>
            </w:pPr>
          </w:p>
        </w:tc>
        <w:tc>
          <w:tcPr>
            <w:tcW w:w="652" w:type="dxa"/>
            <w:vMerge w:val="continue"/>
            <w:tcBorders>
              <w:top w:val="nil"/>
              <w:bottom w:val="nil"/>
            </w:tcBorders>
            <w:vAlign w:val="top"/>
          </w:tcPr>
          <w:p w14:paraId="7216710F">
            <w:pPr>
              <w:rPr>
                <w:rFonts w:ascii="Arial"/>
                <w:sz w:val="21"/>
              </w:rPr>
            </w:pPr>
          </w:p>
        </w:tc>
        <w:tc>
          <w:tcPr>
            <w:tcW w:w="906" w:type="dxa"/>
            <w:vAlign w:val="top"/>
          </w:tcPr>
          <w:p w14:paraId="65D530C6">
            <w:pPr>
              <w:spacing w:line="307" w:lineRule="auto"/>
              <w:rPr>
                <w:rFonts w:ascii="Arial"/>
                <w:sz w:val="21"/>
              </w:rPr>
            </w:pPr>
          </w:p>
          <w:p w14:paraId="44021F8E">
            <w:pPr>
              <w:pStyle w:val="6"/>
              <w:spacing w:before="65" w:line="230" w:lineRule="auto"/>
              <w:ind w:left="146"/>
              <w:rPr>
                <w:sz w:val="20"/>
                <w:szCs w:val="20"/>
              </w:rPr>
            </w:pPr>
            <w:r>
              <w:rPr>
                <w:spacing w:val="6"/>
                <w:sz w:val="20"/>
                <w:szCs w:val="20"/>
              </w:rPr>
              <w:t>密封袋</w:t>
            </w:r>
          </w:p>
        </w:tc>
        <w:tc>
          <w:tcPr>
            <w:tcW w:w="863" w:type="dxa"/>
            <w:vAlign w:val="top"/>
          </w:tcPr>
          <w:p w14:paraId="777595AB">
            <w:pPr>
              <w:spacing w:line="350" w:lineRule="auto"/>
              <w:rPr>
                <w:rFonts w:ascii="Arial"/>
                <w:sz w:val="21"/>
              </w:rPr>
            </w:pPr>
          </w:p>
          <w:p w14:paraId="60DB1A11">
            <w:pPr>
              <w:spacing w:before="58"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20t</w:t>
            </w:r>
          </w:p>
        </w:tc>
        <w:tc>
          <w:tcPr>
            <w:tcW w:w="734" w:type="dxa"/>
            <w:vAlign w:val="top"/>
          </w:tcPr>
          <w:p w14:paraId="772D9791">
            <w:pPr>
              <w:spacing w:line="308" w:lineRule="auto"/>
              <w:rPr>
                <w:rFonts w:ascii="Arial"/>
                <w:sz w:val="21"/>
              </w:rPr>
            </w:pPr>
          </w:p>
          <w:p w14:paraId="7EF6A73A">
            <w:pPr>
              <w:pStyle w:val="6"/>
              <w:spacing w:before="65" w:line="228" w:lineRule="auto"/>
              <w:ind w:left="193"/>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6"/>
                <w:sz w:val="20"/>
                <w:szCs w:val="20"/>
              </w:rPr>
              <w:t xml:space="preserve"> </w:t>
            </w:r>
            <w:r>
              <w:rPr>
                <w:spacing w:val="-2"/>
                <w:sz w:val="20"/>
                <w:szCs w:val="20"/>
              </w:rPr>
              <w:t>天</w:t>
            </w:r>
          </w:p>
        </w:tc>
        <w:tc>
          <w:tcPr>
            <w:tcW w:w="127" w:type="dxa"/>
            <w:tcBorders>
              <w:top w:val="nil"/>
              <w:bottom w:val="nil"/>
              <w:right w:val="single" w:color="000000" w:sz="6" w:space="0"/>
            </w:tcBorders>
            <w:vAlign w:val="top"/>
          </w:tcPr>
          <w:p w14:paraId="476DDB44">
            <w:pPr>
              <w:rPr>
                <w:rFonts w:ascii="Arial"/>
                <w:sz w:val="21"/>
              </w:rPr>
            </w:pPr>
          </w:p>
        </w:tc>
      </w:tr>
      <w:tr w14:paraId="66C3B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05" w:type="dxa"/>
            <w:vMerge w:val="continue"/>
            <w:tcBorders>
              <w:top w:val="nil"/>
              <w:left w:val="single" w:color="000000" w:sz="6" w:space="0"/>
              <w:bottom w:val="nil"/>
            </w:tcBorders>
            <w:vAlign w:val="top"/>
          </w:tcPr>
          <w:p w14:paraId="016E1326">
            <w:pPr>
              <w:rPr>
                <w:rFonts w:ascii="Arial"/>
                <w:sz w:val="21"/>
              </w:rPr>
            </w:pPr>
          </w:p>
        </w:tc>
        <w:tc>
          <w:tcPr>
            <w:tcW w:w="113" w:type="dxa"/>
            <w:tcBorders>
              <w:top w:val="nil"/>
              <w:bottom w:val="nil"/>
            </w:tcBorders>
            <w:vAlign w:val="top"/>
          </w:tcPr>
          <w:p w14:paraId="0E4BB500">
            <w:pPr>
              <w:rPr>
                <w:rFonts w:ascii="Arial"/>
                <w:sz w:val="21"/>
              </w:rPr>
            </w:pPr>
          </w:p>
        </w:tc>
        <w:tc>
          <w:tcPr>
            <w:tcW w:w="460" w:type="dxa"/>
            <w:vAlign w:val="top"/>
          </w:tcPr>
          <w:p w14:paraId="5BFB6A3C">
            <w:pPr>
              <w:spacing w:line="350" w:lineRule="auto"/>
              <w:rPr>
                <w:rFonts w:ascii="Arial"/>
                <w:sz w:val="21"/>
              </w:rPr>
            </w:pPr>
          </w:p>
          <w:p w14:paraId="40AD57EB">
            <w:pPr>
              <w:spacing w:before="58"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87" w:type="dxa"/>
            <w:vMerge w:val="continue"/>
            <w:tcBorders>
              <w:top w:val="nil"/>
              <w:bottom w:val="nil"/>
            </w:tcBorders>
            <w:vAlign w:val="top"/>
          </w:tcPr>
          <w:p w14:paraId="30E0D3E1">
            <w:pPr>
              <w:rPr>
                <w:rFonts w:ascii="Arial"/>
                <w:sz w:val="21"/>
              </w:rPr>
            </w:pPr>
          </w:p>
        </w:tc>
        <w:tc>
          <w:tcPr>
            <w:tcW w:w="845" w:type="dxa"/>
            <w:vAlign w:val="top"/>
          </w:tcPr>
          <w:p w14:paraId="36EA51F3">
            <w:pPr>
              <w:pStyle w:val="6"/>
              <w:spacing w:before="240" w:line="228" w:lineRule="auto"/>
              <w:ind w:left="214"/>
              <w:rPr>
                <w:sz w:val="20"/>
                <w:szCs w:val="20"/>
              </w:rPr>
            </w:pPr>
            <w:r>
              <w:rPr>
                <w:spacing w:val="4"/>
                <w:sz w:val="20"/>
                <w:szCs w:val="20"/>
              </w:rPr>
              <w:t>包装</w:t>
            </w:r>
          </w:p>
          <w:p w14:paraId="1529737C">
            <w:pPr>
              <w:pStyle w:val="6"/>
              <w:spacing w:before="26" w:line="228" w:lineRule="auto"/>
              <w:ind w:left="214"/>
              <w:rPr>
                <w:sz w:val="20"/>
                <w:szCs w:val="20"/>
              </w:rPr>
            </w:pPr>
            <w:r>
              <w:rPr>
                <w:spacing w:val="5"/>
                <w:sz w:val="20"/>
                <w:szCs w:val="20"/>
              </w:rPr>
              <w:t>废物</w:t>
            </w:r>
          </w:p>
        </w:tc>
        <w:tc>
          <w:tcPr>
            <w:tcW w:w="843" w:type="dxa"/>
            <w:vAlign w:val="top"/>
          </w:tcPr>
          <w:p w14:paraId="6FD59700">
            <w:pPr>
              <w:spacing w:before="141"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14:paraId="58DB57F4">
            <w:pPr>
              <w:pStyle w:val="6"/>
              <w:spacing w:before="32" w:line="228" w:lineRule="auto"/>
              <w:ind w:left="215"/>
              <w:rPr>
                <w:sz w:val="20"/>
                <w:szCs w:val="20"/>
              </w:rPr>
            </w:pPr>
            <w:r>
              <w:rPr>
                <w:spacing w:val="4"/>
                <w:sz w:val="20"/>
                <w:szCs w:val="20"/>
              </w:rPr>
              <w:t>其他</w:t>
            </w:r>
          </w:p>
          <w:p w14:paraId="398A1532">
            <w:pPr>
              <w:pStyle w:val="6"/>
              <w:spacing w:before="26" w:line="228" w:lineRule="auto"/>
              <w:ind w:left="213"/>
              <w:rPr>
                <w:sz w:val="20"/>
                <w:szCs w:val="20"/>
              </w:rPr>
            </w:pPr>
            <w:r>
              <w:rPr>
                <w:spacing w:val="5"/>
                <w:sz w:val="20"/>
                <w:szCs w:val="20"/>
              </w:rPr>
              <w:t>废物</w:t>
            </w:r>
          </w:p>
        </w:tc>
        <w:tc>
          <w:tcPr>
            <w:tcW w:w="1194" w:type="dxa"/>
            <w:vAlign w:val="top"/>
          </w:tcPr>
          <w:p w14:paraId="53A3BD39">
            <w:pPr>
              <w:spacing w:line="352" w:lineRule="auto"/>
              <w:rPr>
                <w:rFonts w:ascii="Arial"/>
                <w:sz w:val="21"/>
              </w:rPr>
            </w:pPr>
          </w:p>
          <w:p w14:paraId="6781730D">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900-042-49</w:t>
            </w:r>
          </w:p>
        </w:tc>
        <w:tc>
          <w:tcPr>
            <w:tcW w:w="656" w:type="dxa"/>
            <w:vMerge w:val="continue"/>
            <w:tcBorders>
              <w:top w:val="nil"/>
              <w:bottom w:val="nil"/>
            </w:tcBorders>
            <w:vAlign w:val="top"/>
          </w:tcPr>
          <w:p w14:paraId="4E4131A0">
            <w:pPr>
              <w:rPr>
                <w:rFonts w:ascii="Arial"/>
                <w:sz w:val="21"/>
              </w:rPr>
            </w:pPr>
          </w:p>
        </w:tc>
        <w:tc>
          <w:tcPr>
            <w:tcW w:w="652" w:type="dxa"/>
            <w:vMerge w:val="continue"/>
            <w:tcBorders>
              <w:top w:val="nil"/>
              <w:bottom w:val="nil"/>
            </w:tcBorders>
            <w:vAlign w:val="top"/>
          </w:tcPr>
          <w:p w14:paraId="7FD0346D">
            <w:pPr>
              <w:rPr>
                <w:rFonts w:ascii="Arial"/>
                <w:sz w:val="21"/>
              </w:rPr>
            </w:pPr>
          </w:p>
        </w:tc>
        <w:tc>
          <w:tcPr>
            <w:tcW w:w="906" w:type="dxa"/>
            <w:vAlign w:val="top"/>
          </w:tcPr>
          <w:p w14:paraId="707688A0">
            <w:pPr>
              <w:pStyle w:val="6"/>
              <w:spacing w:before="102" w:line="230" w:lineRule="auto"/>
              <w:ind w:left="252"/>
              <w:rPr>
                <w:sz w:val="20"/>
                <w:szCs w:val="20"/>
              </w:rPr>
            </w:pPr>
            <w:r>
              <w:rPr>
                <w:spacing w:val="4"/>
                <w:sz w:val="20"/>
                <w:szCs w:val="20"/>
              </w:rPr>
              <w:t>密封</w:t>
            </w:r>
          </w:p>
          <w:p w14:paraId="384376D2">
            <w:pPr>
              <w:pStyle w:val="6"/>
              <w:spacing w:before="22" w:line="230" w:lineRule="auto"/>
              <w:ind w:left="145"/>
              <w:rPr>
                <w:sz w:val="20"/>
                <w:szCs w:val="20"/>
              </w:rPr>
            </w:pPr>
            <w:r>
              <w:rPr>
                <w:spacing w:val="6"/>
                <w:sz w:val="20"/>
                <w:szCs w:val="20"/>
              </w:rPr>
              <w:t>袋，封</w:t>
            </w:r>
          </w:p>
          <w:p w14:paraId="3CB7C14F">
            <w:pPr>
              <w:pStyle w:val="6"/>
              <w:spacing w:before="25" w:line="228" w:lineRule="auto"/>
              <w:ind w:left="283"/>
              <w:rPr>
                <w:sz w:val="20"/>
                <w:szCs w:val="20"/>
              </w:rPr>
            </w:pPr>
            <w:r>
              <w:rPr>
                <w:spacing w:val="-12"/>
                <w:sz w:val="20"/>
                <w:szCs w:val="20"/>
              </w:rPr>
              <w:t>口装</w:t>
            </w:r>
          </w:p>
        </w:tc>
        <w:tc>
          <w:tcPr>
            <w:tcW w:w="863" w:type="dxa"/>
            <w:vAlign w:val="top"/>
          </w:tcPr>
          <w:p w14:paraId="4BA7CC45">
            <w:pPr>
              <w:spacing w:line="355" w:lineRule="auto"/>
              <w:rPr>
                <w:rFonts w:ascii="Arial"/>
                <w:sz w:val="21"/>
              </w:rPr>
            </w:pPr>
          </w:p>
          <w:p w14:paraId="5AA99EF7">
            <w:pPr>
              <w:spacing w:before="58" w:line="192"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734" w:type="dxa"/>
            <w:vAlign w:val="top"/>
          </w:tcPr>
          <w:p w14:paraId="79237B65">
            <w:pPr>
              <w:spacing w:line="310" w:lineRule="auto"/>
              <w:rPr>
                <w:rFonts w:ascii="Arial"/>
                <w:sz w:val="21"/>
              </w:rPr>
            </w:pPr>
          </w:p>
          <w:p w14:paraId="38A31B8E">
            <w:pPr>
              <w:pStyle w:val="6"/>
              <w:spacing w:before="65" w:line="228" w:lineRule="auto"/>
              <w:ind w:left="193"/>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6"/>
                <w:sz w:val="20"/>
                <w:szCs w:val="20"/>
              </w:rPr>
              <w:t xml:space="preserve"> </w:t>
            </w:r>
            <w:r>
              <w:rPr>
                <w:spacing w:val="-2"/>
                <w:sz w:val="20"/>
                <w:szCs w:val="20"/>
              </w:rPr>
              <w:t>天</w:t>
            </w:r>
          </w:p>
        </w:tc>
        <w:tc>
          <w:tcPr>
            <w:tcW w:w="127" w:type="dxa"/>
            <w:tcBorders>
              <w:top w:val="nil"/>
              <w:bottom w:val="nil"/>
              <w:right w:val="single" w:color="000000" w:sz="6" w:space="0"/>
            </w:tcBorders>
            <w:vAlign w:val="top"/>
          </w:tcPr>
          <w:p w14:paraId="5F49BBD0">
            <w:pPr>
              <w:rPr>
                <w:rFonts w:ascii="Arial"/>
                <w:sz w:val="21"/>
              </w:rPr>
            </w:pPr>
          </w:p>
        </w:tc>
      </w:tr>
      <w:tr w14:paraId="107D4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05" w:type="dxa"/>
            <w:vMerge w:val="continue"/>
            <w:tcBorders>
              <w:top w:val="nil"/>
              <w:left w:val="single" w:color="000000" w:sz="6" w:space="0"/>
              <w:bottom w:val="nil"/>
            </w:tcBorders>
            <w:vAlign w:val="top"/>
          </w:tcPr>
          <w:p w14:paraId="0F7223E7">
            <w:pPr>
              <w:rPr>
                <w:rFonts w:ascii="Arial"/>
                <w:sz w:val="21"/>
              </w:rPr>
            </w:pPr>
          </w:p>
        </w:tc>
        <w:tc>
          <w:tcPr>
            <w:tcW w:w="113" w:type="dxa"/>
            <w:tcBorders>
              <w:top w:val="nil"/>
              <w:bottom w:val="nil"/>
            </w:tcBorders>
            <w:vAlign w:val="top"/>
          </w:tcPr>
          <w:p w14:paraId="0F62C127">
            <w:pPr>
              <w:rPr>
                <w:rFonts w:ascii="Arial"/>
                <w:sz w:val="21"/>
              </w:rPr>
            </w:pPr>
          </w:p>
        </w:tc>
        <w:tc>
          <w:tcPr>
            <w:tcW w:w="460" w:type="dxa"/>
            <w:vAlign w:val="top"/>
          </w:tcPr>
          <w:p w14:paraId="72933267">
            <w:pPr>
              <w:spacing w:line="352" w:lineRule="auto"/>
              <w:rPr>
                <w:rFonts w:ascii="Arial"/>
                <w:sz w:val="21"/>
              </w:rPr>
            </w:pPr>
          </w:p>
          <w:p w14:paraId="79852D9B">
            <w:pPr>
              <w:spacing w:before="58" w:line="192"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7" w:type="dxa"/>
            <w:vMerge w:val="continue"/>
            <w:tcBorders>
              <w:top w:val="nil"/>
            </w:tcBorders>
            <w:vAlign w:val="top"/>
          </w:tcPr>
          <w:p w14:paraId="25DDE975">
            <w:pPr>
              <w:rPr>
                <w:rFonts w:ascii="Arial"/>
                <w:sz w:val="21"/>
              </w:rPr>
            </w:pPr>
          </w:p>
        </w:tc>
        <w:tc>
          <w:tcPr>
            <w:tcW w:w="845" w:type="dxa"/>
            <w:vAlign w:val="top"/>
          </w:tcPr>
          <w:p w14:paraId="5E9C36A4">
            <w:pPr>
              <w:spacing w:line="309" w:lineRule="auto"/>
              <w:rPr>
                <w:rFonts w:ascii="Arial"/>
                <w:sz w:val="21"/>
              </w:rPr>
            </w:pPr>
          </w:p>
          <w:p w14:paraId="5E06A1EC">
            <w:pPr>
              <w:pStyle w:val="6"/>
              <w:spacing w:before="65" w:line="228" w:lineRule="auto"/>
              <w:ind w:left="108"/>
              <w:rPr>
                <w:sz w:val="20"/>
                <w:szCs w:val="20"/>
              </w:rPr>
            </w:pPr>
            <w:r>
              <w:rPr>
                <w:spacing w:val="7"/>
                <w:sz w:val="20"/>
                <w:szCs w:val="20"/>
              </w:rPr>
              <w:t>废手套</w:t>
            </w:r>
          </w:p>
        </w:tc>
        <w:tc>
          <w:tcPr>
            <w:tcW w:w="843" w:type="dxa"/>
            <w:vAlign w:val="top"/>
          </w:tcPr>
          <w:p w14:paraId="0D026769">
            <w:pPr>
              <w:spacing w:before="140"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14:paraId="13F5C0D3">
            <w:pPr>
              <w:pStyle w:val="6"/>
              <w:spacing w:before="34" w:line="228" w:lineRule="auto"/>
              <w:ind w:left="215"/>
              <w:rPr>
                <w:sz w:val="20"/>
                <w:szCs w:val="20"/>
              </w:rPr>
            </w:pPr>
            <w:r>
              <w:rPr>
                <w:spacing w:val="4"/>
                <w:sz w:val="20"/>
                <w:szCs w:val="20"/>
              </w:rPr>
              <w:t>其他</w:t>
            </w:r>
          </w:p>
          <w:p w14:paraId="710D826A">
            <w:pPr>
              <w:pStyle w:val="6"/>
              <w:spacing w:before="24" w:line="228" w:lineRule="auto"/>
              <w:ind w:left="213"/>
              <w:rPr>
                <w:sz w:val="20"/>
                <w:szCs w:val="20"/>
              </w:rPr>
            </w:pPr>
            <w:r>
              <w:rPr>
                <w:spacing w:val="5"/>
                <w:sz w:val="20"/>
                <w:szCs w:val="20"/>
              </w:rPr>
              <w:t>废物</w:t>
            </w:r>
          </w:p>
        </w:tc>
        <w:tc>
          <w:tcPr>
            <w:tcW w:w="1194" w:type="dxa"/>
            <w:vAlign w:val="top"/>
          </w:tcPr>
          <w:p w14:paraId="4E2E17DE">
            <w:pPr>
              <w:spacing w:line="352" w:lineRule="auto"/>
              <w:rPr>
                <w:rFonts w:ascii="Arial"/>
                <w:sz w:val="21"/>
              </w:rPr>
            </w:pPr>
          </w:p>
          <w:p w14:paraId="6E695DA1">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56" w:type="dxa"/>
            <w:vMerge w:val="continue"/>
            <w:tcBorders>
              <w:top w:val="nil"/>
            </w:tcBorders>
            <w:vAlign w:val="top"/>
          </w:tcPr>
          <w:p w14:paraId="13725F15">
            <w:pPr>
              <w:rPr>
                <w:rFonts w:ascii="Arial"/>
                <w:sz w:val="21"/>
              </w:rPr>
            </w:pPr>
          </w:p>
        </w:tc>
        <w:tc>
          <w:tcPr>
            <w:tcW w:w="652" w:type="dxa"/>
            <w:vMerge w:val="continue"/>
            <w:tcBorders>
              <w:top w:val="nil"/>
            </w:tcBorders>
            <w:vAlign w:val="top"/>
          </w:tcPr>
          <w:p w14:paraId="765D6470">
            <w:pPr>
              <w:rPr>
                <w:rFonts w:ascii="Arial"/>
                <w:sz w:val="21"/>
              </w:rPr>
            </w:pPr>
          </w:p>
        </w:tc>
        <w:tc>
          <w:tcPr>
            <w:tcW w:w="906" w:type="dxa"/>
            <w:vAlign w:val="top"/>
          </w:tcPr>
          <w:p w14:paraId="096D106C">
            <w:pPr>
              <w:pStyle w:val="6"/>
              <w:spacing w:before="104" w:line="230" w:lineRule="auto"/>
              <w:ind w:left="252"/>
              <w:rPr>
                <w:sz w:val="20"/>
                <w:szCs w:val="20"/>
              </w:rPr>
            </w:pPr>
            <w:r>
              <w:rPr>
                <w:spacing w:val="4"/>
                <w:sz w:val="20"/>
                <w:szCs w:val="20"/>
              </w:rPr>
              <w:t>密封</w:t>
            </w:r>
          </w:p>
          <w:p w14:paraId="6D03559E">
            <w:pPr>
              <w:pStyle w:val="6"/>
              <w:spacing w:before="22" w:line="230" w:lineRule="auto"/>
              <w:ind w:left="145"/>
              <w:rPr>
                <w:sz w:val="20"/>
                <w:szCs w:val="20"/>
              </w:rPr>
            </w:pPr>
            <w:r>
              <w:rPr>
                <w:spacing w:val="6"/>
                <w:sz w:val="20"/>
                <w:szCs w:val="20"/>
              </w:rPr>
              <w:t>袋，封</w:t>
            </w:r>
          </w:p>
          <w:p w14:paraId="2A14ED4A">
            <w:pPr>
              <w:pStyle w:val="6"/>
              <w:spacing w:before="22" w:line="228" w:lineRule="auto"/>
              <w:ind w:left="283"/>
              <w:rPr>
                <w:sz w:val="20"/>
                <w:szCs w:val="20"/>
              </w:rPr>
            </w:pPr>
            <w:r>
              <w:rPr>
                <w:spacing w:val="-12"/>
                <w:sz w:val="20"/>
                <w:szCs w:val="20"/>
              </w:rPr>
              <w:t>口装</w:t>
            </w:r>
          </w:p>
        </w:tc>
        <w:tc>
          <w:tcPr>
            <w:tcW w:w="863" w:type="dxa"/>
            <w:vAlign w:val="top"/>
          </w:tcPr>
          <w:p w14:paraId="086BEA1C">
            <w:pPr>
              <w:spacing w:line="352" w:lineRule="auto"/>
              <w:rPr>
                <w:rFonts w:ascii="Arial"/>
                <w:sz w:val="21"/>
              </w:rPr>
            </w:pPr>
          </w:p>
          <w:p w14:paraId="7A444468">
            <w:pPr>
              <w:spacing w:before="5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34" w:type="dxa"/>
            <w:vAlign w:val="top"/>
          </w:tcPr>
          <w:p w14:paraId="5A8577B2">
            <w:pPr>
              <w:spacing w:line="308" w:lineRule="auto"/>
              <w:rPr>
                <w:rFonts w:ascii="Arial"/>
                <w:sz w:val="21"/>
              </w:rPr>
            </w:pPr>
          </w:p>
          <w:p w14:paraId="5CE19200">
            <w:pPr>
              <w:pStyle w:val="6"/>
              <w:spacing w:before="65" w:line="228" w:lineRule="auto"/>
              <w:ind w:left="209"/>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w w:val="101"/>
                <w:sz w:val="20"/>
                <w:szCs w:val="20"/>
              </w:rPr>
              <w:t xml:space="preserve"> </w:t>
            </w:r>
            <w:r>
              <w:rPr>
                <w:spacing w:val="-10"/>
                <w:sz w:val="20"/>
                <w:szCs w:val="20"/>
              </w:rPr>
              <w:t>年</w:t>
            </w:r>
          </w:p>
        </w:tc>
        <w:tc>
          <w:tcPr>
            <w:tcW w:w="127" w:type="dxa"/>
            <w:tcBorders>
              <w:top w:val="nil"/>
              <w:bottom w:val="nil"/>
              <w:right w:val="single" w:color="000000" w:sz="6" w:space="0"/>
            </w:tcBorders>
            <w:vAlign w:val="top"/>
          </w:tcPr>
          <w:p w14:paraId="00CA75F8">
            <w:pPr>
              <w:rPr>
                <w:rFonts w:ascii="Arial"/>
                <w:sz w:val="21"/>
              </w:rPr>
            </w:pPr>
          </w:p>
        </w:tc>
      </w:tr>
      <w:tr w14:paraId="4F44D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605" w:type="dxa"/>
            <w:vMerge w:val="continue"/>
            <w:tcBorders>
              <w:top w:val="nil"/>
              <w:left w:val="single" w:color="000000" w:sz="6" w:space="0"/>
              <w:bottom w:val="single" w:color="000000" w:sz="6" w:space="0"/>
            </w:tcBorders>
            <w:vAlign w:val="top"/>
          </w:tcPr>
          <w:p w14:paraId="0C25D654">
            <w:pPr>
              <w:rPr>
                <w:rFonts w:ascii="Arial"/>
                <w:sz w:val="21"/>
              </w:rPr>
            </w:pPr>
          </w:p>
        </w:tc>
        <w:tc>
          <w:tcPr>
            <w:tcW w:w="113" w:type="dxa"/>
            <w:tcBorders>
              <w:top w:val="nil"/>
              <w:bottom w:val="single" w:color="000000" w:sz="6" w:space="0"/>
              <w:right w:val="nil"/>
            </w:tcBorders>
            <w:vAlign w:val="top"/>
          </w:tcPr>
          <w:p w14:paraId="727EAD9A">
            <w:pPr>
              <w:spacing w:line="128" w:lineRule="exact"/>
              <w:rPr>
                <w:rFonts w:ascii="Arial"/>
                <w:sz w:val="11"/>
              </w:rPr>
            </w:pPr>
          </w:p>
        </w:tc>
        <w:tc>
          <w:tcPr>
            <w:tcW w:w="460" w:type="dxa"/>
            <w:tcBorders>
              <w:left w:val="nil"/>
              <w:bottom w:val="single" w:color="000000" w:sz="6" w:space="0"/>
              <w:right w:val="nil"/>
            </w:tcBorders>
            <w:vAlign w:val="top"/>
          </w:tcPr>
          <w:p w14:paraId="077CE511">
            <w:pPr>
              <w:spacing w:line="128" w:lineRule="exact"/>
              <w:rPr>
                <w:rFonts w:ascii="Arial"/>
                <w:sz w:val="11"/>
              </w:rPr>
            </w:pPr>
          </w:p>
        </w:tc>
        <w:tc>
          <w:tcPr>
            <w:tcW w:w="987" w:type="dxa"/>
            <w:tcBorders>
              <w:left w:val="nil"/>
              <w:bottom w:val="single" w:color="000000" w:sz="6" w:space="0"/>
              <w:right w:val="nil"/>
            </w:tcBorders>
            <w:vAlign w:val="top"/>
          </w:tcPr>
          <w:p w14:paraId="516D419B">
            <w:pPr>
              <w:spacing w:line="128" w:lineRule="exact"/>
              <w:rPr>
                <w:rFonts w:ascii="Arial"/>
                <w:sz w:val="11"/>
              </w:rPr>
            </w:pPr>
          </w:p>
        </w:tc>
        <w:tc>
          <w:tcPr>
            <w:tcW w:w="845" w:type="dxa"/>
            <w:tcBorders>
              <w:left w:val="nil"/>
              <w:bottom w:val="single" w:color="000000" w:sz="6" w:space="0"/>
              <w:right w:val="nil"/>
            </w:tcBorders>
            <w:vAlign w:val="top"/>
          </w:tcPr>
          <w:p w14:paraId="745F2A50">
            <w:pPr>
              <w:spacing w:line="128" w:lineRule="exact"/>
              <w:rPr>
                <w:rFonts w:ascii="Arial"/>
                <w:sz w:val="11"/>
              </w:rPr>
            </w:pPr>
          </w:p>
        </w:tc>
        <w:tc>
          <w:tcPr>
            <w:tcW w:w="843" w:type="dxa"/>
            <w:tcBorders>
              <w:left w:val="nil"/>
              <w:bottom w:val="single" w:color="000000" w:sz="6" w:space="0"/>
              <w:right w:val="nil"/>
            </w:tcBorders>
            <w:vAlign w:val="top"/>
          </w:tcPr>
          <w:p w14:paraId="15C08B8B">
            <w:pPr>
              <w:spacing w:line="128" w:lineRule="exact"/>
              <w:rPr>
                <w:rFonts w:ascii="Arial"/>
                <w:sz w:val="11"/>
              </w:rPr>
            </w:pPr>
          </w:p>
        </w:tc>
        <w:tc>
          <w:tcPr>
            <w:tcW w:w="1194" w:type="dxa"/>
            <w:tcBorders>
              <w:left w:val="nil"/>
              <w:bottom w:val="single" w:color="000000" w:sz="6" w:space="0"/>
              <w:right w:val="nil"/>
            </w:tcBorders>
            <w:vAlign w:val="top"/>
          </w:tcPr>
          <w:p w14:paraId="5F462735">
            <w:pPr>
              <w:spacing w:line="128" w:lineRule="exact"/>
              <w:rPr>
                <w:rFonts w:ascii="Arial"/>
                <w:sz w:val="11"/>
              </w:rPr>
            </w:pPr>
          </w:p>
        </w:tc>
        <w:tc>
          <w:tcPr>
            <w:tcW w:w="656" w:type="dxa"/>
            <w:tcBorders>
              <w:left w:val="nil"/>
              <w:bottom w:val="single" w:color="000000" w:sz="6" w:space="0"/>
              <w:right w:val="nil"/>
            </w:tcBorders>
            <w:vAlign w:val="top"/>
          </w:tcPr>
          <w:p w14:paraId="12CEE1F5">
            <w:pPr>
              <w:spacing w:line="128" w:lineRule="exact"/>
              <w:rPr>
                <w:rFonts w:ascii="Arial"/>
                <w:sz w:val="11"/>
              </w:rPr>
            </w:pPr>
          </w:p>
        </w:tc>
        <w:tc>
          <w:tcPr>
            <w:tcW w:w="652" w:type="dxa"/>
            <w:tcBorders>
              <w:left w:val="nil"/>
              <w:bottom w:val="single" w:color="000000" w:sz="6" w:space="0"/>
              <w:right w:val="nil"/>
            </w:tcBorders>
            <w:vAlign w:val="top"/>
          </w:tcPr>
          <w:p w14:paraId="0C430CDA">
            <w:pPr>
              <w:spacing w:line="128" w:lineRule="exact"/>
              <w:rPr>
                <w:rFonts w:ascii="Arial"/>
                <w:sz w:val="11"/>
              </w:rPr>
            </w:pPr>
          </w:p>
        </w:tc>
        <w:tc>
          <w:tcPr>
            <w:tcW w:w="906" w:type="dxa"/>
            <w:tcBorders>
              <w:left w:val="nil"/>
              <w:bottom w:val="single" w:color="000000" w:sz="6" w:space="0"/>
              <w:right w:val="nil"/>
            </w:tcBorders>
            <w:vAlign w:val="top"/>
          </w:tcPr>
          <w:p w14:paraId="512625EA">
            <w:pPr>
              <w:spacing w:line="128" w:lineRule="exact"/>
              <w:rPr>
                <w:rFonts w:ascii="Arial"/>
                <w:sz w:val="11"/>
              </w:rPr>
            </w:pPr>
          </w:p>
        </w:tc>
        <w:tc>
          <w:tcPr>
            <w:tcW w:w="863" w:type="dxa"/>
            <w:tcBorders>
              <w:left w:val="nil"/>
              <w:bottom w:val="single" w:color="000000" w:sz="6" w:space="0"/>
              <w:right w:val="nil"/>
            </w:tcBorders>
            <w:vAlign w:val="top"/>
          </w:tcPr>
          <w:p w14:paraId="028FD953">
            <w:pPr>
              <w:spacing w:line="128" w:lineRule="exact"/>
              <w:rPr>
                <w:rFonts w:ascii="Arial"/>
                <w:sz w:val="11"/>
              </w:rPr>
            </w:pPr>
          </w:p>
        </w:tc>
        <w:tc>
          <w:tcPr>
            <w:tcW w:w="734" w:type="dxa"/>
            <w:tcBorders>
              <w:left w:val="nil"/>
              <w:bottom w:val="single" w:color="000000" w:sz="6" w:space="0"/>
              <w:right w:val="nil"/>
            </w:tcBorders>
            <w:vAlign w:val="top"/>
          </w:tcPr>
          <w:p w14:paraId="4EADD450">
            <w:pPr>
              <w:spacing w:line="128" w:lineRule="exact"/>
              <w:rPr>
                <w:rFonts w:ascii="Arial"/>
                <w:sz w:val="11"/>
              </w:rPr>
            </w:pPr>
          </w:p>
        </w:tc>
        <w:tc>
          <w:tcPr>
            <w:tcW w:w="127" w:type="dxa"/>
            <w:tcBorders>
              <w:top w:val="nil"/>
              <w:left w:val="nil"/>
              <w:bottom w:val="single" w:color="000000" w:sz="6" w:space="0"/>
              <w:right w:val="single" w:color="000000" w:sz="6" w:space="0"/>
            </w:tcBorders>
            <w:vAlign w:val="top"/>
          </w:tcPr>
          <w:p w14:paraId="1806C3F5">
            <w:pPr>
              <w:spacing w:line="128" w:lineRule="exact"/>
              <w:rPr>
                <w:rFonts w:ascii="Arial"/>
                <w:sz w:val="11"/>
              </w:rPr>
            </w:pPr>
          </w:p>
        </w:tc>
      </w:tr>
    </w:tbl>
    <w:p w14:paraId="150A61F2">
      <w:pPr>
        <w:rPr>
          <w:rFonts w:ascii="Arial"/>
          <w:sz w:val="21"/>
        </w:rPr>
      </w:pPr>
    </w:p>
    <w:p w14:paraId="4DFFA2BF">
      <w:pPr>
        <w:rPr>
          <w:rFonts w:ascii="Arial" w:hAnsi="Arial" w:eastAsia="Arial" w:cs="Arial"/>
          <w:sz w:val="21"/>
          <w:szCs w:val="21"/>
        </w:rPr>
        <w:sectPr>
          <w:footerReference r:id="rId101" w:type="default"/>
          <w:pgSz w:w="11907" w:h="16840"/>
          <w:pgMar w:top="400" w:right="1453" w:bottom="1240" w:left="1453" w:header="0" w:footer="1077" w:gutter="0"/>
          <w:cols w:space="720" w:num="1"/>
        </w:sectPr>
      </w:pPr>
    </w:p>
    <w:p w14:paraId="3ED311D3">
      <w:pPr>
        <w:spacing w:before="19"/>
      </w:pPr>
    </w:p>
    <w:p w14:paraId="39F4561F">
      <w:pPr>
        <w:spacing w:before="19"/>
      </w:pPr>
    </w:p>
    <w:p w14:paraId="0D3D2E8B">
      <w:pPr>
        <w:spacing w:before="19"/>
      </w:pPr>
    </w:p>
    <w:p w14:paraId="73D70CCA">
      <w:pPr>
        <w:spacing w:before="18"/>
      </w:pPr>
    </w:p>
    <w:p w14:paraId="419ADF1D">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3D08F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506ED6E6">
            <w:pPr>
              <w:rPr>
                <w:rFonts w:ascii="Arial"/>
                <w:sz w:val="21"/>
              </w:rPr>
            </w:pPr>
          </w:p>
        </w:tc>
        <w:tc>
          <w:tcPr>
            <w:tcW w:w="8381" w:type="dxa"/>
            <w:tcBorders>
              <w:left w:val="single" w:color="000000" w:sz="2" w:space="0"/>
            </w:tcBorders>
            <w:vAlign w:val="top"/>
          </w:tcPr>
          <w:p w14:paraId="6BA64401">
            <w:pPr>
              <w:pStyle w:val="6"/>
              <w:spacing w:before="41" w:line="359" w:lineRule="auto"/>
              <w:ind w:left="108" w:right="101" w:firstLine="481"/>
              <w:jc w:val="both"/>
            </w:pPr>
            <w:r>
              <w:t>本项目产生的所有危废先收集暂存于危废暂存间内，本项目危废暂存</w:t>
            </w:r>
            <w:r>
              <w:rPr>
                <w:spacing w:val="-1"/>
              </w:rPr>
              <w:t>间贮</w:t>
            </w:r>
            <w:r>
              <w:t xml:space="preserve"> 存设施地面与裙脚应采取表面防渗措施；表面防渗材料应与所接触的物料或污 染物相容，可采用抗渗混凝土、高密度聚乙烯膜、钠基膨润土防水毯或其他防 渗性能等效的材料。贮存的危险废物直接接触地面的，还应进行基础防渗，防 </w:t>
            </w:r>
            <w:r>
              <w:rPr>
                <w:spacing w:val="-2"/>
              </w:rPr>
              <w:t>渗层为至少</w:t>
            </w:r>
            <w:r>
              <w:rPr>
                <w:spacing w:val="-31"/>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6"/>
              </w:rPr>
              <w:t xml:space="preserve"> </w:t>
            </w:r>
            <w:r>
              <w:rPr>
                <w:spacing w:val="-2"/>
              </w:rPr>
              <w:t>厚黏土层（渗透系数不大于</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3"/>
                <w:position w:val="7"/>
                <w:sz w:val="15"/>
                <w:szCs w:val="15"/>
              </w:rPr>
              <w:t>-7</w:t>
            </w:r>
            <w:r>
              <w:rPr>
                <w:rFonts w:ascii="Times New Roman" w:hAnsi="Times New Roman" w:eastAsia="Times New Roman" w:cs="Times New Roman"/>
                <w:spacing w:val="-3"/>
              </w:rPr>
              <w:t>cm/s</w:t>
            </w:r>
            <w:r>
              <w:rPr>
                <w:spacing w:val="6"/>
              </w:rPr>
              <w:t>），</w:t>
            </w:r>
            <w:r>
              <w:rPr>
                <w:spacing w:val="-3"/>
              </w:rPr>
              <w:t>或至少</w:t>
            </w:r>
            <w:r>
              <w:rPr>
                <w:spacing w:val="-53"/>
              </w:rPr>
              <w:t xml:space="preserve"> </w:t>
            </w:r>
            <w:r>
              <w:rPr>
                <w:rFonts w:ascii="Times New Roman" w:hAnsi="Times New Roman" w:eastAsia="Times New Roman" w:cs="Times New Roman"/>
                <w:spacing w:val="-3"/>
              </w:rPr>
              <w:t xml:space="preserve">2mm </w:t>
            </w:r>
            <w:r>
              <w:rPr>
                <w:spacing w:val="-3"/>
              </w:rPr>
              <w:t>厚高密度</w:t>
            </w:r>
            <w:r>
              <w:t xml:space="preserve"> </w:t>
            </w:r>
            <w:r>
              <w:rPr>
                <w:spacing w:val="-1"/>
              </w:rPr>
              <w:t>聚乙烯膜等人工防渗材料（渗透系数不大于</w:t>
            </w:r>
            <w:r>
              <w:rPr>
                <w:spacing w:val="-31"/>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rPr>
              <w:t>cm/s</w:t>
            </w:r>
            <w:r>
              <w:rPr>
                <w:spacing w:val="6"/>
              </w:rPr>
              <w:t>），</w:t>
            </w:r>
            <w:r>
              <w:rPr>
                <w:spacing w:val="-1"/>
              </w:rPr>
              <w:t>或其他防渗性能等效</w:t>
            </w:r>
            <w:r>
              <w:t xml:space="preserve"> </w:t>
            </w:r>
            <w:r>
              <w:rPr>
                <w:spacing w:val="-3"/>
              </w:rPr>
              <w:t>的材料。</w:t>
            </w:r>
          </w:p>
          <w:p w14:paraId="238C2EA4">
            <w:pPr>
              <w:pStyle w:val="6"/>
              <w:spacing w:line="359" w:lineRule="auto"/>
              <w:ind w:left="127" w:right="102" w:firstLine="462"/>
            </w:pPr>
            <w:r>
              <w:rPr>
                <w:spacing w:val="5"/>
              </w:rPr>
              <w:t>本项目配套建设的危废暂存间满足《危险废物贮存污</w:t>
            </w:r>
            <w:r>
              <w:rPr>
                <w:spacing w:val="4"/>
              </w:rPr>
              <w:t>染控制标准》（</w:t>
            </w:r>
            <w:r>
              <w:rPr>
                <w:rFonts w:ascii="Times New Roman" w:hAnsi="Times New Roman" w:eastAsia="Times New Roman" w:cs="Times New Roman"/>
              </w:rPr>
              <w:t xml:space="preserve">GB </w:t>
            </w:r>
            <w:r>
              <w:rPr>
                <w:rFonts w:ascii="Times New Roman" w:hAnsi="Times New Roman" w:eastAsia="Times New Roman" w:cs="Times New Roman"/>
                <w:spacing w:val="-1"/>
              </w:rPr>
              <w:t>18597</w:t>
            </w:r>
            <w:r>
              <w:rPr>
                <w:spacing w:val="-1"/>
              </w:rPr>
              <w:t>—</w:t>
            </w:r>
            <w:r>
              <w:rPr>
                <w:rFonts w:ascii="Times New Roman" w:hAnsi="Times New Roman" w:eastAsia="Times New Roman" w:cs="Times New Roman"/>
                <w:spacing w:val="-1"/>
              </w:rPr>
              <w:t>2023</w:t>
            </w:r>
            <w:r>
              <w:rPr>
                <w:spacing w:val="-1"/>
              </w:rPr>
              <w:t>）的要求，项目危废对环境的影响较</w:t>
            </w:r>
            <w:r>
              <w:rPr>
                <w:spacing w:val="-2"/>
              </w:rPr>
              <w:t>小。</w:t>
            </w:r>
          </w:p>
          <w:p w14:paraId="14F89B16">
            <w:pPr>
              <w:pStyle w:val="6"/>
              <w:spacing w:line="219" w:lineRule="auto"/>
              <w:ind w:left="600"/>
            </w:pPr>
            <w:r>
              <w:rPr>
                <w:spacing w:val="-3"/>
              </w:rPr>
              <w:t>（</w:t>
            </w:r>
            <w:r>
              <w:rPr>
                <w:rFonts w:ascii="Times New Roman" w:hAnsi="Times New Roman" w:eastAsia="Times New Roman" w:cs="Times New Roman"/>
                <w:spacing w:val="-3"/>
              </w:rPr>
              <w:t>6</w:t>
            </w:r>
            <w:r>
              <w:rPr>
                <w:spacing w:val="-3"/>
              </w:rPr>
              <w:t>）废物管理和防治</w:t>
            </w:r>
          </w:p>
          <w:p w14:paraId="7EAA417B">
            <w:pPr>
              <w:pStyle w:val="6"/>
              <w:spacing w:before="180" w:line="360" w:lineRule="auto"/>
              <w:ind w:left="111" w:right="104" w:firstLine="479"/>
            </w:pPr>
            <w:r>
              <w:t>本项目产生的固废包括危险废物（废酸液、包装废物、废活性</w:t>
            </w:r>
            <w:r>
              <w:rPr>
                <w:spacing w:val="-1"/>
              </w:rPr>
              <w:t>炭和沉淀污</w:t>
            </w:r>
            <w:r>
              <w:t xml:space="preserve"> </w:t>
            </w:r>
            <w:r>
              <w:rPr>
                <w:spacing w:val="-1"/>
              </w:rPr>
              <w:t>泥）和员工生活垃圾。各种类型的废物的管理要求如下：</w:t>
            </w:r>
          </w:p>
          <w:p w14:paraId="69A4BC16">
            <w:pPr>
              <w:pStyle w:val="6"/>
              <w:spacing w:line="345" w:lineRule="auto"/>
              <w:ind w:left="109" w:right="101" w:firstLine="479"/>
            </w:pPr>
            <w:r>
              <w:rPr>
                <w:spacing w:val="-6"/>
              </w:rPr>
              <w:t>①危险废物根据《中华人民共和国固体废物污染环境防治法</w:t>
            </w:r>
            <w:r>
              <w:rPr>
                <w:spacing w:val="-7"/>
              </w:rPr>
              <w:t>》（2020-04-30</w:t>
            </w:r>
            <w:r>
              <w:t xml:space="preserve"> 发布）要求，“第七十八条产生危险废物的单位，应当按照国家有关</w:t>
            </w:r>
            <w:r>
              <w:rPr>
                <w:spacing w:val="-1"/>
              </w:rPr>
              <w:t>规定制定</w:t>
            </w:r>
            <w:r>
              <w:t xml:space="preserve"> 危险废物管理计划；建立危险废物管理台账，如实记录有关信息，并通过国家 危险废物信息管理系统向所在地生态环境主管部门申报危险废物的种类、产生 量、流向、贮存、处置等有关资料。前款所称危险废物管理计划应当包括减少 危险废物产生量和降低危险废物危害性的措施以及危险废物贮存、利用、处置 措施。危险废物管理计划应当报产生危险废物的单位所在地生态环境主管部门 备案。产生危险废物的单位已经取得排污许可证的，执行排污许可管理制度的 规定。第七十九条产生危险废物的单位，应当按照国家有关规定和环境保护标 </w:t>
            </w:r>
            <w:r>
              <w:rPr>
                <w:spacing w:val="3"/>
              </w:rPr>
              <w:t>准要求贮存、利用、处置危险废物，不得擅自倾倒、</w:t>
            </w:r>
            <w:r>
              <w:rPr>
                <w:spacing w:val="2"/>
              </w:rPr>
              <w:t>堆放。</w:t>
            </w:r>
            <w:r>
              <w:rPr>
                <w:spacing w:val="-88"/>
              </w:rPr>
              <w:t xml:space="preserve"> </w:t>
            </w:r>
            <w:r>
              <w:rPr>
                <w:spacing w:val="2"/>
              </w:rPr>
              <w:t>”</w:t>
            </w:r>
          </w:p>
          <w:p w14:paraId="7F42CE80">
            <w:pPr>
              <w:pStyle w:val="6"/>
              <w:spacing w:before="181" w:line="336" w:lineRule="auto"/>
              <w:ind w:left="109" w:right="101" w:firstLine="478"/>
            </w:pPr>
            <w:r>
              <w:rPr>
                <w:spacing w:val="7"/>
              </w:rPr>
              <w:t>②一般工业固体废物根据《中华人民共和国固体废物污染环境防治法》</w:t>
            </w:r>
            <w:r>
              <w:rPr>
                <w:spacing w:val="12"/>
              </w:rPr>
              <w:t xml:space="preserve"> </w:t>
            </w:r>
            <w:r>
              <w:rPr>
                <w:spacing w:val="-2"/>
              </w:rPr>
              <w:t>（2020-04-30</w:t>
            </w:r>
            <w:r>
              <w:rPr>
                <w:spacing w:val="-43"/>
              </w:rPr>
              <w:t xml:space="preserve"> </w:t>
            </w:r>
            <w:r>
              <w:rPr>
                <w:spacing w:val="-2"/>
              </w:rPr>
              <w:t>发布）要求，“第三十六条产生工业固体废物的单位应当建立健</w:t>
            </w:r>
            <w:r>
              <w:t xml:space="preserve"> 全工业固体废物产生、收集、贮存、运输、利用、处置全过程的污染环境防治 责任制度，建立工业固体废物管理台账，如实记录产生工业固体废物的种类、 数量、流向、贮存、利用、处置等信息，实现工业固体废物可追溯、可查询， 并采取防治工业固体废物污染环境的措施。禁止向生活垃圾收集设施中投放工</w:t>
            </w:r>
          </w:p>
        </w:tc>
      </w:tr>
    </w:tbl>
    <w:p w14:paraId="1A2E87BF">
      <w:pPr>
        <w:rPr>
          <w:rFonts w:ascii="Arial"/>
          <w:sz w:val="21"/>
        </w:rPr>
      </w:pPr>
    </w:p>
    <w:p w14:paraId="09046D2E">
      <w:pPr>
        <w:rPr>
          <w:rFonts w:ascii="Arial" w:hAnsi="Arial" w:eastAsia="Arial" w:cs="Arial"/>
          <w:sz w:val="21"/>
          <w:szCs w:val="21"/>
        </w:rPr>
        <w:sectPr>
          <w:footerReference r:id="rId102" w:type="default"/>
          <w:pgSz w:w="11907" w:h="16840"/>
          <w:pgMar w:top="400" w:right="1453" w:bottom="1240" w:left="1453" w:header="0" w:footer="1077" w:gutter="0"/>
          <w:cols w:space="720" w:num="1"/>
        </w:sectPr>
      </w:pPr>
    </w:p>
    <w:p w14:paraId="57E9D3BB">
      <w:pPr>
        <w:spacing w:before="19"/>
      </w:pPr>
    </w:p>
    <w:p w14:paraId="75DC1F5C">
      <w:pPr>
        <w:spacing w:before="19"/>
      </w:pPr>
    </w:p>
    <w:p w14:paraId="6D781CD4">
      <w:pPr>
        <w:spacing w:before="19"/>
      </w:pPr>
    </w:p>
    <w:p w14:paraId="6B3ACD2B">
      <w:pPr>
        <w:spacing w:before="18"/>
      </w:pPr>
    </w:p>
    <w:p w14:paraId="1C8FF90F">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296B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2516EFDC">
            <w:pPr>
              <w:rPr>
                <w:rFonts w:ascii="Arial"/>
                <w:sz w:val="21"/>
              </w:rPr>
            </w:pPr>
          </w:p>
        </w:tc>
        <w:tc>
          <w:tcPr>
            <w:tcW w:w="8381" w:type="dxa"/>
            <w:tcBorders>
              <w:left w:val="single" w:color="000000" w:sz="2" w:space="0"/>
            </w:tcBorders>
            <w:vAlign w:val="top"/>
          </w:tcPr>
          <w:p w14:paraId="0A04BEBD">
            <w:pPr>
              <w:pStyle w:val="6"/>
              <w:spacing w:before="39" w:line="220" w:lineRule="auto"/>
              <w:ind w:left="108"/>
            </w:pPr>
            <w:r>
              <w:rPr>
                <w:spacing w:val="10"/>
              </w:rPr>
              <w:t>业固体废物。</w:t>
            </w:r>
            <w:r>
              <w:rPr>
                <w:spacing w:val="-85"/>
              </w:rPr>
              <w:t xml:space="preserve"> </w:t>
            </w:r>
            <w:r>
              <w:rPr>
                <w:spacing w:val="10"/>
              </w:rPr>
              <w:t>”</w:t>
            </w:r>
          </w:p>
          <w:p w14:paraId="6386CD41">
            <w:pPr>
              <w:pStyle w:val="6"/>
              <w:spacing w:before="183" w:line="359" w:lineRule="auto"/>
              <w:ind w:left="108" w:right="101" w:firstLine="479"/>
              <w:jc w:val="both"/>
            </w:pPr>
            <w:r>
              <w:rPr>
                <w:spacing w:val="11"/>
              </w:rPr>
              <w:t>③</w:t>
            </w:r>
            <w:r>
              <w:rPr>
                <w:spacing w:val="-73"/>
              </w:rPr>
              <w:t xml:space="preserve"> </w:t>
            </w:r>
            <w:r>
              <w:rPr>
                <w:spacing w:val="11"/>
              </w:rPr>
              <w:t>员工生活垃圾根据《</w:t>
            </w:r>
            <w:r>
              <w:rPr>
                <w:spacing w:val="-38"/>
              </w:rPr>
              <w:t xml:space="preserve"> </w:t>
            </w:r>
            <w:r>
              <w:rPr>
                <w:spacing w:val="11"/>
              </w:rPr>
              <w:t>中华人</w:t>
            </w:r>
            <w:r>
              <w:rPr>
                <w:spacing w:val="-60"/>
              </w:rPr>
              <w:t xml:space="preserve"> </w:t>
            </w:r>
            <w:r>
              <w:rPr>
                <w:spacing w:val="11"/>
              </w:rPr>
              <w:t>民共和</w:t>
            </w:r>
            <w:r>
              <w:rPr>
                <w:spacing w:val="-61"/>
              </w:rPr>
              <w:t xml:space="preserve"> </w:t>
            </w:r>
            <w:r>
              <w:rPr>
                <w:spacing w:val="11"/>
              </w:rPr>
              <w:t>国</w:t>
            </w:r>
            <w:r>
              <w:rPr>
                <w:spacing w:val="-64"/>
              </w:rPr>
              <w:t xml:space="preserve"> </w:t>
            </w:r>
            <w:r>
              <w:rPr>
                <w:spacing w:val="11"/>
              </w:rPr>
              <w:t>固体废物污染环境</w:t>
            </w:r>
            <w:r>
              <w:rPr>
                <w:spacing w:val="-71"/>
              </w:rPr>
              <w:t xml:space="preserve"> </w:t>
            </w:r>
            <w:r>
              <w:rPr>
                <w:spacing w:val="11"/>
              </w:rPr>
              <w:t>防治法</w:t>
            </w:r>
            <w:r>
              <w:rPr>
                <w:spacing w:val="-71"/>
              </w:rPr>
              <w:t xml:space="preserve"> </w:t>
            </w:r>
            <w:r>
              <w:rPr>
                <w:spacing w:val="11"/>
              </w:rPr>
              <w:t>》</w:t>
            </w:r>
            <w:r>
              <w:t xml:space="preserve"> </w:t>
            </w:r>
            <w:r>
              <w:rPr>
                <w:spacing w:val="-2"/>
              </w:rPr>
              <w:t>（2020-04-30</w:t>
            </w:r>
            <w:r>
              <w:rPr>
                <w:spacing w:val="-42"/>
              </w:rPr>
              <w:t xml:space="preserve"> </w:t>
            </w:r>
            <w:r>
              <w:rPr>
                <w:spacing w:val="-2"/>
              </w:rPr>
              <w:t>发布）要求，“第四十九条产生生活垃圾的单位、家庭和个人应</w:t>
            </w:r>
            <w:r>
              <w:t xml:space="preserve"> 当依法履行生活垃圾源头减量和分类投放义务，承担生活垃圾产生者责任。任 何单位和个人都应当依法在指定的地点分类投放生活垃圾。禁止随意倾倒、抛 </w:t>
            </w:r>
            <w:r>
              <w:rPr>
                <w:spacing w:val="5"/>
              </w:rPr>
              <w:t>撒、堆放或者焚烧生活垃圾。</w:t>
            </w:r>
            <w:r>
              <w:rPr>
                <w:spacing w:val="-80"/>
              </w:rPr>
              <w:t xml:space="preserve"> </w:t>
            </w:r>
            <w:r>
              <w:rPr>
                <w:spacing w:val="5"/>
              </w:rPr>
              <w:t>”</w:t>
            </w:r>
          </w:p>
          <w:p w14:paraId="07F041C0">
            <w:pPr>
              <w:pStyle w:val="6"/>
              <w:spacing w:line="218" w:lineRule="auto"/>
              <w:ind w:left="590"/>
            </w:pPr>
            <w:r>
              <w:rPr>
                <w:spacing w:val="-1"/>
              </w:rPr>
              <w:t>本项目为防止固废废物污染环境采取的措施：</w:t>
            </w:r>
          </w:p>
          <w:p w14:paraId="2C2E6038">
            <w:pPr>
              <w:pStyle w:val="6"/>
              <w:spacing w:before="181" w:line="220" w:lineRule="auto"/>
              <w:ind w:left="607"/>
            </w:pPr>
            <w:r>
              <w:rPr>
                <w:rFonts w:ascii="Times New Roman" w:hAnsi="Times New Roman" w:eastAsia="Times New Roman" w:cs="Times New Roman"/>
                <w:spacing w:val="-3"/>
              </w:rPr>
              <w:t>1</w:t>
            </w:r>
            <w:r>
              <w:rPr>
                <w:spacing w:val="-3"/>
              </w:rPr>
              <w:t>）生活垃圾污染防治措施</w:t>
            </w:r>
          </w:p>
          <w:p w14:paraId="311A5389">
            <w:pPr>
              <w:pStyle w:val="6"/>
              <w:spacing w:before="182" w:line="219" w:lineRule="auto"/>
              <w:ind w:left="591"/>
            </w:pPr>
            <w:r>
              <w:rPr>
                <w:spacing w:val="-1"/>
              </w:rPr>
              <w:t>生活垃圾及时清运，避免产生二次污染。</w:t>
            </w:r>
          </w:p>
          <w:p w14:paraId="41D9B190">
            <w:pPr>
              <w:pStyle w:val="6"/>
              <w:spacing w:before="181" w:line="220" w:lineRule="auto"/>
              <w:ind w:left="584"/>
            </w:pPr>
            <w:r>
              <w:rPr>
                <w:rFonts w:ascii="Times New Roman" w:hAnsi="Times New Roman" w:eastAsia="Times New Roman" w:cs="Times New Roman"/>
                <w:spacing w:val="-1"/>
              </w:rPr>
              <w:t>2</w:t>
            </w:r>
            <w:r>
              <w:rPr>
                <w:spacing w:val="-1"/>
              </w:rPr>
              <w:t>）危险固体废物污染防治措施分析</w:t>
            </w:r>
          </w:p>
          <w:p w14:paraId="5F77BF65">
            <w:pPr>
              <w:pStyle w:val="6"/>
              <w:spacing w:before="181" w:line="359" w:lineRule="auto"/>
              <w:ind w:left="109" w:right="101" w:firstLine="480"/>
            </w:pPr>
            <w:r>
              <w:t>扩建项目危险废物依托现有水处理剂项目危废暂存间。在危废的</w:t>
            </w:r>
            <w:r>
              <w:rPr>
                <w:spacing w:val="-1"/>
              </w:rPr>
              <w:t>处理处置</w:t>
            </w:r>
            <w:r>
              <w:t xml:space="preserve"> 过程中，应严格执行环保相关规定及要求，危险废物交由有资质的危</w:t>
            </w:r>
            <w:r>
              <w:rPr>
                <w:spacing w:val="-1"/>
              </w:rPr>
              <w:t>废处理单</w:t>
            </w:r>
            <w:r>
              <w:t xml:space="preserve"> </w:t>
            </w:r>
            <w:r>
              <w:rPr>
                <w:spacing w:val="15"/>
              </w:rPr>
              <w:t>位统一收集处置（其中废酸依托现有水处理剂项目处置（年综合</w:t>
            </w:r>
            <w:r>
              <w:rPr>
                <w:spacing w:val="14"/>
              </w:rPr>
              <w:t>利用废酸</w:t>
            </w:r>
            <w:r>
              <w:t xml:space="preserve"> </w:t>
            </w:r>
            <w:r>
              <w:rPr>
                <w:spacing w:val="-3"/>
              </w:rPr>
              <w:t>（</w:t>
            </w:r>
            <w:r>
              <w:rPr>
                <w:rFonts w:ascii="Times New Roman" w:hAnsi="Times New Roman" w:eastAsia="Times New Roman" w:cs="Times New Roman"/>
                <w:spacing w:val="-3"/>
              </w:rPr>
              <w:t xml:space="preserve">HW34 </w:t>
            </w:r>
            <w:r>
              <w:rPr>
                <w:spacing w:val="-3"/>
              </w:rPr>
              <w:t>类中的</w:t>
            </w:r>
            <w:r>
              <w:rPr>
                <w:spacing w:val="-50"/>
              </w:rPr>
              <w:t xml:space="preserve"> </w:t>
            </w:r>
            <w:r>
              <w:rPr>
                <w:rFonts w:ascii="Times New Roman" w:hAnsi="Times New Roman" w:eastAsia="Times New Roman" w:cs="Times New Roman"/>
                <w:spacing w:val="-3"/>
              </w:rPr>
              <w:t>313-001-34</w:t>
            </w:r>
            <w:r>
              <w:rPr>
                <w:spacing w:val="-3"/>
              </w:rPr>
              <w:t>、</w:t>
            </w:r>
            <w:r>
              <w:rPr>
                <w:rFonts w:ascii="Times New Roman" w:hAnsi="Times New Roman" w:eastAsia="Times New Roman" w:cs="Times New Roman"/>
                <w:spacing w:val="-3"/>
              </w:rPr>
              <w:t>900-300-34</w:t>
            </w:r>
            <w:r>
              <w:rPr>
                <w:spacing w:val="-3"/>
              </w:rPr>
              <w:t>）</w:t>
            </w:r>
            <w:r>
              <w:rPr>
                <w:rFonts w:ascii="Times New Roman" w:hAnsi="Times New Roman" w:eastAsia="Times New Roman" w:cs="Times New Roman"/>
                <w:spacing w:val="-3"/>
              </w:rPr>
              <w:t>38000</w:t>
            </w:r>
            <w:r>
              <w:rPr>
                <w:rFonts w:ascii="Times New Roman" w:hAnsi="Times New Roman" w:eastAsia="Times New Roman" w:cs="Times New Roman"/>
                <w:spacing w:val="21"/>
              </w:rPr>
              <w:t xml:space="preserve"> </w:t>
            </w:r>
            <w:r>
              <w:rPr>
                <w:spacing w:val="-3"/>
              </w:rPr>
              <w:t>吨</w:t>
            </w:r>
            <w:r>
              <w:rPr>
                <w:rFonts w:ascii="Times New Roman" w:hAnsi="Times New Roman" w:eastAsia="Times New Roman" w:cs="Times New Roman"/>
                <w:spacing w:val="-3"/>
              </w:rPr>
              <w:t>/</w:t>
            </w:r>
            <w:r>
              <w:rPr>
                <w:spacing w:val="-3"/>
              </w:rPr>
              <w:t>年）或委</w:t>
            </w:r>
            <w:r>
              <w:rPr>
                <w:spacing w:val="-4"/>
              </w:rPr>
              <w:t>托其他有危废处理</w:t>
            </w:r>
            <w:r>
              <w:t xml:space="preserve"> 资质单位处置。厂区内的危险废物临时贮存和转移应按《危险废物贮</w:t>
            </w:r>
            <w:r>
              <w:rPr>
                <w:spacing w:val="-1"/>
              </w:rPr>
              <w:t>存污染控</w:t>
            </w:r>
            <w:r>
              <w:t xml:space="preserve"> </w:t>
            </w:r>
            <w:r>
              <w:rPr>
                <w:spacing w:val="-1"/>
              </w:rPr>
              <w:t>制标准》（</w:t>
            </w:r>
            <w:r>
              <w:rPr>
                <w:rFonts w:ascii="Times New Roman" w:hAnsi="Times New Roman" w:eastAsia="Times New Roman" w:cs="Times New Roman"/>
                <w:spacing w:val="-1"/>
              </w:rPr>
              <w:t>GB18597-2023</w:t>
            </w:r>
            <w:r>
              <w:rPr>
                <w:spacing w:val="-1"/>
              </w:rPr>
              <w:t>）、《危险废物转</w:t>
            </w:r>
            <w:r>
              <w:rPr>
                <w:spacing w:val="-2"/>
              </w:rPr>
              <w:t>移管理办法》的要求，并严格执行</w:t>
            </w:r>
            <w:r>
              <w:t xml:space="preserve"> </w:t>
            </w:r>
            <w:r>
              <w:rPr>
                <w:spacing w:val="-2"/>
              </w:rPr>
              <w:t>以下措施：</w:t>
            </w:r>
          </w:p>
          <w:p w14:paraId="68AB7B6D">
            <w:pPr>
              <w:pStyle w:val="6"/>
              <w:spacing w:before="1" w:line="219" w:lineRule="auto"/>
              <w:ind w:left="588"/>
            </w:pPr>
            <w:r>
              <w:rPr>
                <w:rFonts w:ascii="Times New Roman" w:hAnsi="Times New Roman" w:eastAsia="Times New Roman" w:cs="Times New Roman"/>
                <w:spacing w:val="-3"/>
              </w:rPr>
              <w:t>a</w:t>
            </w:r>
            <w:r>
              <w:rPr>
                <w:rFonts w:ascii="Times New Roman" w:hAnsi="Times New Roman" w:eastAsia="Times New Roman" w:cs="Times New Roman"/>
                <w:spacing w:val="-23"/>
              </w:rPr>
              <w:t xml:space="preserve"> </w:t>
            </w:r>
            <w:r>
              <w:rPr>
                <w:spacing w:val="-3"/>
              </w:rPr>
              <w:t>、贮存设施污染控制要求一般规定</w:t>
            </w:r>
          </w:p>
          <w:p w14:paraId="02D90A33">
            <w:pPr>
              <w:pStyle w:val="6"/>
              <w:spacing w:before="182" w:line="313" w:lineRule="auto"/>
              <w:ind w:left="110" w:right="101" w:firstLine="478"/>
            </w:pPr>
            <w:r>
              <w:t>①贮存设施应根据危险废物的形态、物理化学性质、包装形式和污染物迁 移途径，采取必要的防风、防晒、防雨、防漏、防渗、防腐以及其他环境</w:t>
            </w:r>
            <w:r>
              <w:rPr>
                <w:spacing w:val="-1"/>
              </w:rPr>
              <w:t>污染</w:t>
            </w:r>
            <w:r>
              <w:t xml:space="preserve"> </w:t>
            </w:r>
            <w:r>
              <w:rPr>
                <w:spacing w:val="-1"/>
              </w:rPr>
              <w:t>防治措施，不应露天堆放危险废物。</w:t>
            </w:r>
          </w:p>
          <w:p w14:paraId="48C46170">
            <w:pPr>
              <w:pStyle w:val="6"/>
              <w:spacing w:before="178" w:line="290" w:lineRule="auto"/>
              <w:ind w:left="114" w:right="101" w:firstLine="472"/>
            </w:pPr>
            <w:r>
              <w:t>②贮存设施应根据危险废物的类别、数量、形态、物理化学性质和污染防</w:t>
            </w:r>
            <w:r>
              <w:rPr>
                <w:spacing w:val="1"/>
              </w:rPr>
              <w:t xml:space="preserve"> </w:t>
            </w:r>
            <w:r>
              <w:rPr>
                <w:spacing w:val="-1"/>
              </w:rPr>
              <w:t>治等要求设置必要的贮存分区，避免不相容的危险废物接触、混合。</w:t>
            </w:r>
          </w:p>
          <w:p w14:paraId="2FC0BD9B">
            <w:pPr>
              <w:pStyle w:val="6"/>
              <w:spacing w:before="184" w:line="288" w:lineRule="auto"/>
              <w:ind w:left="109" w:right="101" w:firstLine="478"/>
            </w:pPr>
            <w:r>
              <w:t>③贮存设施或贮存分区内地面、墙面裙脚、堵截泄漏的围堰、接触危险废</w:t>
            </w:r>
            <w:r>
              <w:rPr>
                <w:spacing w:val="1"/>
              </w:rPr>
              <w:t xml:space="preserve"> </w:t>
            </w:r>
            <w:r>
              <w:rPr>
                <w:spacing w:val="-1"/>
              </w:rPr>
              <w:t>物的隔板和墙体等应采用坚固的材料建造，表面无裂缝。</w:t>
            </w:r>
          </w:p>
          <w:p w14:paraId="3EEE05A6">
            <w:pPr>
              <w:pStyle w:val="6"/>
              <w:spacing w:before="181" w:line="313" w:lineRule="auto"/>
              <w:ind w:left="109" w:right="101" w:firstLine="478"/>
            </w:pPr>
            <w:r>
              <w:t>④贮存设施地面与裙脚应采取表面防渗措施；表面防渗材料应与所接触的</w:t>
            </w:r>
            <w:r>
              <w:rPr>
                <w:spacing w:val="1"/>
              </w:rPr>
              <w:t xml:space="preserve"> </w:t>
            </w:r>
            <w:r>
              <w:t>物料或污染物相容，可采用抗渗混凝土、高密度聚乙烯膜、钠基膨润土防水毯 或其他防渗性能等效的材料。贮存的危险废物直接接触地面的，还应进行基础</w:t>
            </w:r>
          </w:p>
        </w:tc>
      </w:tr>
    </w:tbl>
    <w:p w14:paraId="3B584044">
      <w:pPr>
        <w:rPr>
          <w:rFonts w:ascii="Arial"/>
          <w:sz w:val="21"/>
        </w:rPr>
      </w:pPr>
    </w:p>
    <w:p w14:paraId="1DA272EA">
      <w:pPr>
        <w:rPr>
          <w:rFonts w:ascii="Arial" w:hAnsi="Arial" w:eastAsia="Arial" w:cs="Arial"/>
          <w:sz w:val="21"/>
          <w:szCs w:val="21"/>
        </w:rPr>
        <w:sectPr>
          <w:footerReference r:id="rId103" w:type="default"/>
          <w:pgSz w:w="11907" w:h="16840"/>
          <w:pgMar w:top="400" w:right="1453" w:bottom="1240" w:left="1453" w:header="0" w:footer="1077" w:gutter="0"/>
          <w:cols w:space="720" w:num="1"/>
        </w:sectPr>
      </w:pPr>
    </w:p>
    <w:p w14:paraId="562E4FED">
      <w:pPr>
        <w:spacing w:before="19"/>
      </w:pPr>
    </w:p>
    <w:p w14:paraId="369A37F7">
      <w:pPr>
        <w:spacing w:before="19"/>
      </w:pPr>
    </w:p>
    <w:p w14:paraId="535777A1">
      <w:pPr>
        <w:spacing w:before="19"/>
      </w:pPr>
    </w:p>
    <w:p w14:paraId="1EE1505B">
      <w:pPr>
        <w:spacing w:before="18"/>
      </w:pPr>
    </w:p>
    <w:p w14:paraId="17C19674">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60D31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358FE056">
            <w:pPr>
              <w:rPr>
                <w:rFonts w:ascii="Arial"/>
                <w:sz w:val="21"/>
              </w:rPr>
            </w:pPr>
          </w:p>
        </w:tc>
        <w:tc>
          <w:tcPr>
            <w:tcW w:w="8381" w:type="dxa"/>
            <w:tcBorders>
              <w:left w:val="single" w:color="000000" w:sz="2" w:space="0"/>
            </w:tcBorders>
            <w:vAlign w:val="top"/>
          </w:tcPr>
          <w:p w14:paraId="408BFE1D">
            <w:pPr>
              <w:pStyle w:val="6"/>
              <w:spacing w:before="41" w:line="359" w:lineRule="auto"/>
              <w:ind w:left="112" w:right="101" w:firstLine="12"/>
              <w:jc w:val="both"/>
            </w:pPr>
            <w:r>
              <w:rPr>
                <w:spacing w:val="-2"/>
              </w:rPr>
              <w:t>防渗，防渗层为至少</w:t>
            </w:r>
            <w:r>
              <w:rPr>
                <w:spacing w:val="-29"/>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6"/>
              </w:rPr>
              <w:t xml:space="preserve"> </w:t>
            </w:r>
            <w:r>
              <w:rPr>
                <w:spacing w:val="-2"/>
              </w:rPr>
              <w:t>厚黏土层（渗透系数不大于</w:t>
            </w:r>
            <w:r>
              <w:rPr>
                <w:spacing w:val="-30"/>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
                <w:position w:val="7"/>
                <w:sz w:val="15"/>
                <w:szCs w:val="15"/>
              </w:rPr>
              <w:t>-7</w:t>
            </w:r>
            <w:r>
              <w:rPr>
                <w:rFonts w:ascii="Times New Roman" w:hAnsi="Times New Roman" w:eastAsia="Times New Roman" w:cs="Times New Roman"/>
                <w:spacing w:val="-2"/>
              </w:rPr>
              <w:t>cm/s</w:t>
            </w:r>
            <w:r>
              <w:rPr>
                <w:spacing w:val="17"/>
              </w:rPr>
              <w:t>），</w:t>
            </w:r>
            <w:r>
              <w:rPr>
                <w:spacing w:val="-2"/>
              </w:rPr>
              <w:t>或至少</w:t>
            </w:r>
            <w:r>
              <w:rPr>
                <w:spacing w:val="-52"/>
              </w:rPr>
              <w:t xml:space="preserve"> </w:t>
            </w:r>
            <w:r>
              <w:rPr>
                <w:rFonts w:ascii="Times New Roman" w:hAnsi="Times New Roman" w:eastAsia="Times New Roman" w:cs="Times New Roman"/>
                <w:spacing w:val="-2"/>
              </w:rPr>
              <w:t>2mm</w:t>
            </w:r>
            <w:r>
              <w:rPr>
                <w:rFonts w:ascii="Times New Roman" w:hAnsi="Times New Roman" w:eastAsia="Times New Roman" w:cs="Times New Roman"/>
              </w:rPr>
              <w:t xml:space="preserve"> </w:t>
            </w:r>
            <w:r>
              <w:rPr>
                <w:spacing w:val="-1"/>
              </w:rPr>
              <w:t>厚高密度聚乙烯膜等人工防渗材料（渗透系数不大于</w:t>
            </w:r>
            <w:r>
              <w:rPr>
                <w:spacing w:val="-34"/>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rPr>
              <w:t>cm/s</w:t>
            </w:r>
            <w:r>
              <w:rPr>
                <w:spacing w:val="7"/>
              </w:rPr>
              <w:t>），</w:t>
            </w:r>
            <w:r>
              <w:rPr>
                <w:spacing w:val="-1"/>
              </w:rPr>
              <w:t>或其他防渗</w:t>
            </w:r>
            <w:r>
              <w:t xml:space="preserve"> </w:t>
            </w:r>
            <w:r>
              <w:rPr>
                <w:spacing w:val="-2"/>
              </w:rPr>
              <w:t>性能等效的材料。</w:t>
            </w:r>
          </w:p>
          <w:p w14:paraId="1F794F9B">
            <w:pPr>
              <w:pStyle w:val="6"/>
              <w:spacing w:line="312" w:lineRule="auto"/>
              <w:ind w:left="109" w:right="101" w:firstLine="478"/>
            </w:pPr>
            <w:r>
              <w:t>⑤同一贮存设施宜采用相同的防渗、防腐工艺（包括防渗、防腐结构或材</w:t>
            </w:r>
            <w:r>
              <w:rPr>
                <w:spacing w:val="1"/>
              </w:rPr>
              <w:t xml:space="preserve"> </w:t>
            </w:r>
            <w:r>
              <w:rPr>
                <w:spacing w:val="-1"/>
              </w:rPr>
              <w:t>料</w:t>
            </w:r>
            <w:r>
              <w:rPr>
                <w:spacing w:val="15"/>
              </w:rPr>
              <w:t>），</w:t>
            </w:r>
            <w:r>
              <w:rPr>
                <w:spacing w:val="-1"/>
              </w:rPr>
              <w:t>防渗、防腐材料应覆盖所有可能与废物及其渗滤液、渗漏液等接触的构</w:t>
            </w:r>
            <w:r>
              <w:rPr>
                <w:spacing w:val="1"/>
              </w:rPr>
              <w:t xml:space="preserve"> </w:t>
            </w:r>
            <w:r>
              <w:rPr>
                <w:spacing w:val="-1"/>
              </w:rPr>
              <w:t>筑物表面；采用不同防渗、防腐工艺应分别建设贮存分区。</w:t>
            </w:r>
          </w:p>
          <w:p w14:paraId="7C4DED24">
            <w:pPr>
              <w:pStyle w:val="6"/>
              <w:spacing w:before="184" w:line="217" w:lineRule="auto"/>
              <w:ind w:left="587"/>
            </w:pPr>
            <w:r>
              <w:rPr>
                <w:spacing w:val="-1"/>
              </w:rPr>
              <w:t>⑥贮存设施应采取技术和管理措施防止无关人员进入。</w:t>
            </w:r>
          </w:p>
          <w:p w14:paraId="315BADC2">
            <w:pPr>
              <w:pStyle w:val="6"/>
              <w:spacing w:before="183" w:line="220" w:lineRule="auto"/>
              <w:ind w:left="579"/>
            </w:pPr>
            <w:r>
              <w:rPr>
                <w:rFonts w:ascii="Times New Roman" w:hAnsi="Times New Roman" w:eastAsia="Times New Roman" w:cs="Times New Roman"/>
                <w:spacing w:val="-2"/>
              </w:rPr>
              <w:t>b</w:t>
            </w:r>
            <w:r>
              <w:rPr>
                <w:rFonts w:ascii="Times New Roman" w:hAnsi="Times New Roman" w:eastAsia="Times New Roman" w:cs="Times New Roman"/>
                <w:spacing w:val="-33"/>
              </w:rPr>
              <w:t xml:space="preserve"> </w:t>
            </w:r>
            <w:r>
              <w:rPr>
                <w:spacing w:val="-2"/>
              </w:rPr>
              <w:t>、容器和包装物污染控制要求</w:t>
            </w:r>
          </w:p>
          <w:p w14:paraId="6F6B1E4C">
            <w:pPr>
              <w:pStyle w:val="6"/>
              <w:spacing w:before="182" w:line="217" w:lineRule="auto"/>
              <w:ind w:left="588"/>
            </w:pPr>
            <w:r>
              <w:rPr>
                <w:spacing w:val="-1"/>
              </w:rPr>
              <w:t>①容器和包装物材质、内衬应与盛装的危险废物相容。</w:t>
            </w:r>
          </w:p>
          <w:p w14:paraId="68E06DF6">
            <w:pPr>
              <w:pStyle w:val="6"/>
              <w:spacing w:before="182" w:line="289" w:lineRule="auto"/>
              <w:ind w:left="112" w:right="101" w:firstLine="474"/>
            </w:pPr>
            <w:r>
              <w:t>②针对不同类别、形态、物理化学性质的危险废物，其容器和包装物应满</w:t>
            </w:r>
            <w:r>
              <w:rPr>
                <w:spacing w:val="1"/>
              </w:rPr>
              <w:t xml:space="preserve"> </w:t>
            </w:r>
            <w:r>
              <w:rPr>
                <w:spacing w:val="-1"/>
              </w:rPr>
              <w:t>足相应的防渗、防漏、防腐和强度等要求。</w:t>
            </w:r>
          </w:p>
          <w:p w14:paraId="0CD07476">
            <w:pPr>
              <w:pStyle w:val="6"/>
              <w:spacing w:before="184" w:line="290" w:lineRule="auto"/>
              <w:ind w:left="109" w:right="101" w:firstLine="478"/>
            </w:pPr>
            <w:r>
              <w:t>③硬质容器和包装物及其支护结构堆叠码放时不应有明显变形，无破损泄</w:t>
            </w:r>
            <w:r>
              <w:rPr>
                <w:spacing w:val="1"/>
              </w:rPr>
              <w:t xml:space="preserve"> </w:t>
            </w:r>
            <w:r>
              <w:rPr>
                <w:spacing w:val="-5"/>
              </w:rPr>
              <w:t>漏。</w:t>
            </w:r>
          </w:p>
          <w:p w14:paraId="55D6C30F">
            <w:pPr>
              <w:pStyle w:val="6"/>
              <w:spacing w:before="178" w:line="217" w:lineRule="auto"/>
              <w:ind w:left="587"/>
            </w:pPr>
            <w:r>
              <w:rPr>
                <w:spacing w:val="-1"/>
              </w:rPr>
              <w:t>④柔性容器和包装物堆叠码放时应封口严密，无破损泄漏。</w:t>
            </w:r>
          </w:p>
          <w:p w14:paraId="06580BC7">
            <w:pPr>
              <w:pStyle w:val="6"/>
              <w:spacing w:before="187" w:line="288" w:lineRule="auto"/>
              <w:ind w:left="136" w:right="21" w:firstLine="450"/>
            </w:pPr>
            <w:r>
              <w:rPr>
                <w:spacing w:val="1"/>
              </w:rPr>
              <w:t>⑤使用容器盛装液态、半固态危险废物时，容器内部应留有适当的空</w:t>
            </w:r>
            <w:r>
              <w:t xml:space="preserve">间， </w:t>
            </w:r>
            <w:r>
              <w:rPr>
                <w:spacing w:val="-5"/>
              </w:rPr>
              <w:t>以适应因温度变化等可能引发的收缩和膨胀，防止</w:t>
            </w:r>
            <w:r>
              <w:rPr>
                <w:spacing w:val="-6"/>
              </w:rPr>
              <w:t>其导致容器渗漏或永久变形。</w:t>
            </w:r>
          </w:p>
          <w:p w14:paraId="1F1F6A37">
            <w:pPr>
              <w:pStyle w:val="6"/>
              <w:spacing w:before="184" w:line="217" w:lineRule="auto"/>
              <w:ind w:left="587"/>
            </w:pPr>
            <w:r>
              <w:rPr>
                <w:spacing w:val="-1"/>
              </w:rPr>
              <w:t>⑥容器和包装物外表面应保持清洁。</w:t>
            </w:r>
          </w:p>
          <w:p w14:paraId="138752D3">
            <w:pPr>
              <w:pStyle w:val="6"/>
              <w:spacing w:before="184" w:line="219" w:lineRule="auto"/>
              <w:ind w:left="587"/>
            </w:pPr>
            <w:r>
              <w:rPr>
                <w:rFonts w:ascii="Times New Roman" w:hAnsi="Times New Roman" w:eastAsia="Times New Roman" w:cs="Times New Roman"/>
                <w:spacing w:val="-3"/>
              </w:rPr>
              <w:t>c</w:t>
            </w:r>
            <w:r>
              <w:rPr>
                <w:rFonts w:ascii="Times New Roman" w:hAnsi="Times New Roman" w:eastAsia="Times New Roman" w:cs="Times New Roman"/>
                <w:spacing w:val="-23"/>
              </w:rPr>
              <w:t xml:space="preserve"> </w:t>
            </w:r>
            <w:r>
              <w:rPr>
                <w:spacing w:val="-3"/>
              </w:rPr>
              <w:t>、贮存过程污染控制要求一般规定</w:t>
            </w:r>
          </w:p>
          <w:p w14:paraId="10005051">
            <w:pPr>
              <w:pStyle w:val="6"/>
              <w:spacing w:before="182" w:line="289" w:lineRule="auto"/>
              <w:ind w:left="109" w:right="101" w:firstLine="479"/>
            </w:pPr>
            <w:r>
              <w:t xml:space="preserve">①在常温常压下不易水解、不易挥发的固态危险废物可分类堆放贮存，其 </w:t>
            </w:r>
            <w:r>
              <w:rPr>
                <w:spacing w:val="-1"/>
              </w:rPr>
              <w:t>他固态危险废物应装入容器或包装物内贮存。</w:t>
            </w:r>
          </w:p>
          <w:p w14:paraId="310C211D">
            <w:pPr>
              <w:pStyle w:val="6"/>
              <w:spacing w:before="183" w:line="217" w:lineRule="auto"/>
              <w:ind w:left="587"/>
            </w:pPr>
            <w:r>
              <w:t>②液态危险废物应装入容器内贮存，或直接采用贮存</w:t>
            </w:r>
            <w:r>
              <w:rPr>
                <w:spacing w:val="-1"/>
              </w:rPr>
              <w:t>池、贮存罐区贮存。</w:t>
            </w:r>
          </w:p>
          <w:p w14:paraId="1CF2968D">
            <w:pPr>
              <w:pStyle w:val="6"/>
              <w:spacing w:before="184" w:line="217" w:lineRule="auto"/>
              <w:ind w:left="587"/>
            </w:pPr>
            <w:r>
              <w:t>③半固态危险废物应装入容器或包装袋内贮存，或直</w:t>
            </w:r>
            <w:r>
              <w:rPr>
                <w:spacing w:val="-1"/>
              </w:rPr>
              <w:t>接采用贮存池贮存。</w:t>
            </w:r>
          </w:p>
          <w:p w14:paraId="1ACB1095">
            <w:pPr>
              <w:pStyle w:val="6"/>
              <w:spacing w:before="186" w:line="217" w:lineRule="auto"/>
              <w:ind w:left="587"/>
            </w:pPr>
            <w:r>
              <w:rPr>
                <w:spacing w:val="-1"/>
              </w:rPr>
              <w:t>④具有热塑性的危险废物应装入容器或包装袋内进行贮存。</w:t>
            </w:r>
          </w:p>
          <w:p w14:paraId="078DB8BD">
            <w:pPr>
              <w:pStyle w:val="6"/>
              <w:spacing w:before="185" w:line="312" w:lineRule="auto"/>
              <w:ind w:left="110" w:right="101" w:firstLine="477"/>
            </w:pPr>
            <w:r>
              <w:rPr>
                <w:spacing w:val="-4"/>
              </w:rPr>
              <w:t>⑤贮存易产生粉尘、</w:t>
            </w:r>
            <w:r>
              <w:rPr>
                <w:rFonts w:ascii="Times New Roman" w:hAnsi="Times New Roman" w:eastAsia="Times New Roman" w:cs="Times New Roman"/>
                <w:spacing w:val="-4"/>
              </w:rPr>
              <w:t>VOCs</w:t>
            </w:r>
            <w:r>
              <w:rPr>
                <w:spacing w:val="-4"/>
              </w:rPr>
              <w:t>、酸雾、有毒有害大气污染物和刺激性气味气体</w:t>
            </w:r>
            <w:r>
              <w:rPr>
                <w:spacing w:val="17"/>
              </w:rPr>
              <w:t xml:space="preserve"> </w:t>
            </w:r>
            <w:r>
              <w:t>的危险废物贮存库，应设置气体收集装置和气体净化设施；气体净化设施</w:t>
            </w:r>
            <w:r>
              <w:rPr>
                <w:spacing w:val="-1"/>
              </w:rPr>
              <w:t>的排</w:t>
            </w:r>
            <w:r>
              <w:t xml:space="preserve"> </w:t>
            </w:r>
            <w:r>
              <w:rPr>
                <w:spacing w:val="-2"/>
              </w:rPr>
              <w:t>气筒高度应符合</w:t>
            </w:r>
            <w:r>
              <w:rPr>
                <w:spacing w:val="-36"/>
              </w:rPr>
              <w:t xml:space="preserve"> </w:t>
            </w:r>
            <w:r>
              <w:rPr>
                <w:rFonts w:ascii="Times New Roman" w:hAnsi="Times New Roman" w:eastAsia="Times New Roman" w:cs="Times New Roman"/>
                <w:spacing w:val="-2"/>
              </w:rPr>
              <w:t xml:space="preserve">GB16297 </w:t>
            </w:r>
            <w:r>
              <w:rPr>
                <w:spacing w:val="-2"/>
              </w:rPr>
              <w:t>要求。</w:t>
            </w:r>
          </w:p>
          <w:p w14:paraId="21731C8A">
            <w:pPr>
              <w:pStyle w:val="6"/>
              <w:spacing w:before="183" w:line="291" w:lineRule="auto"/>
              <w:ind w:left="108" w:right="101" w:firstLine="479"/>
            </w:pPr>
            <w:r>
              <w:t>⑥危险废物贮存过程中易产生粉尘等无组织排放的，应采取抑尘等有效措</w:t>
            </w:r>
            <w:r>
              <w:rPr>
                <w:spacing w:val="1"/>
              </w:rPr>
              <w:t xml:space="preserve"> </w:t>
            </w:r>
            <w:r>
              <w:rPr>
                <w:spacing w:val="-5"/>
              </w:rPr>
              <w:t>施。</w:t>
            </w:r>
          </w:p>
        </w:tc>
      </w:tr>
    </w:tbl>
    <w:p w14:paraId="1EF8E40D">
      <w:pPr>
        <w:rPr>
          <w:rFonts w:ascii="Arial"/>
          <w:sz w:val="21"/>
        </w:rPr>
      </w:pPr>
    </w:p>
    <w:p w14:paraId="22A3441D">
      <w:pPr>
        <w:rPr>
          <w:rFonts w:ascii="Arial" w:hAnsi="Arial" w:eastAsia="Arial" w:cs="Arial"/>
          <w:sz w:val="21"/>
          <w:szCs w:val="21"/>
        </w:rPr>
        <w:sectPr>
          <w:footerReference r:id="rId104" w:type="default"/>
          <w:pgSz w:w="11907" w:h="16840"/>
          <w:pgMar w:top="400" w:right="1453" w:bottom="1240" w:left="1453" w:header="0" w:footer="1077" w:gutter="0"/>
          <w:cols w:space="720" w:num="1"/>
        </w:sectPr>
      </w:pPr>
    </w:p>
    <w:p w14:paraId="16D2B89B">
      <w:pPr>
        <w:spacing w:before="19"/>
      </w:pPr>
    </w:p>
    <w:p w14:paraId="2AFAE5AF">
      <w:pPr>
        <w:spacing w:before="19"/>
      </w:pPr>
    </w:p>
    <w:p w14:paraId="2B267904">
      <w:pPr>
        <w:spacing w:before="19"/>
      </w:pPr>
    </w:p>
    <w:p w14:paraId="510F228C">
      <w:pPr>
        <w:spacing w:before="18"/>
      </w:pPr>
    </w:p>
    <w:p w14:paraId="29D7B5E0">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466EA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604" w:type="dxa"/>
            <w:tcBorders>
              <w:right w:val="single" w:color="000000" w:sz="2" w:space="0"/>
            </w:tcBorders>
            <w:vAlign w:val="top"/>
          </w:tcPr>
          <w:p w14:paraId="54BBCD98">
            <w:pPr>
              <w:rPr>
                <w:rFonts w:ascii="Arial"/>
                <w:sz w:val="21"/>
              </w:rPr>
            </w:pPr>
          </w:p>
        </w:tc>
        <w:tc>
          <w:tcPr>
            <w:tcW w:w="8381" w:type="dxa"/>
            <w:tcBorders>
              <w:left w:val="single" w:color="000000" w:sz="2" w:space="0"/>
            </w:tcBorders>
            <w:vAlign w:val="top"/>
          </w:tcPr>
          <w:p w14:paraId="6D12EED6">
            <w:pPr>
              <w:pStyle w:val="6"/>
              <w:spacing w:before="40" w:line="219" w:lineRule="auto"/>
              <w:ind w:left="587"/>
            </w:pPr>
            <w:r>
              <w:rPr>
                <w:rFonts w:ascii="Times New Roman" w:hAnsi="Times New Roman" w:eastAsia="Times New Roman" w:cs="Times New Roman"/>
                <w:spacing w:val="-3"/>
              </w:rPr>
              <w:t>d</w:t>
            </w:r>
            <w:r>
              <w:rPr>
                <w:rFonts w:ascii="Times New Roman" w:hAnsi="Times New Roman" w:eastAsia="Times New Roman" w:cs="Times New Roman"/>
                <w:spacing w:val="-27"/>
              </w:rPr>
              <w:t xml:space="preserve"> </w:t>
            </w:r>
            <w:r>
              <w:rPr>
                <w:spacing w:val="-3"/>
              </w:rPr>
              <w:t>、贮存设施运行环境管理要求</w:t>
            </w:r>
          </w:p>
          <w:p w14:paraId="681A4E66">
            <w:pPr>
              <w:pStyle w:val="6"/>
              <w:spacing w:before="182" w:line="289" w:lineRule="auto"/>
              <w:ind w:left="122" w:right="101" w:firstLine="465"/>
            </w:pPr>
            <w:r>
              <w:t xml:space="preserve">①危险废物存入贮存设施前应对危险废物类别和特性与危险废物标签等危 </w:t>
            </w:r>
            <w:r>
              <w:rPr>
                <w:spacing w:val="-1"/>
              </w:rPr>
              <w:t>险废物识别标志的一致性进行核验，不一致的或类别、特性不明的不应存入。</w:t>
            </w:r>
          </w:p>
          <w:p w14:paraId="269907C0">
            <w:pPr>
              <w:pStyle w:val="6"/>
              <w:spacing w:before="184" w:line="312" w:lineRule="auto"/>
              <w:ind w:left="109" w:right="101" w:firstLine="478"/>
            </w:pPr>
            <w:r>
              <w:t>②应定期检查危险废物的贮存状况，及时清理贮存设施地面，更换破损泄</w:t>
            </w:r>
            <w:r>
              <w:rPr>
                <w:spacing w:val="1"/>
              </w:rPr>
              <w:t xml:space="preserve"> </w:t>
            </w:r>
            <w:r>
              <w:t xml:space="preserve">漏的危险废物贮存容器和包装物，保证堆存危险废物的防雨、防风、防扬尘等 </w:t>
            </w:r>
            <w:r>
              <w:rPr>
                <w:spacing w:val="-2"/>
              </w:rPr>
              <w:t>设施功能完好。</w:t>
            </w:r>
          </w:p>
          <w:p w14:paraId="58BF551E">
            <w:pPr>
              <w:pStyle w:val="6"/>
              <w:spacing w:before="182" w:line="289" w:lineRule="auto"/>
              <w:ind w:left="112" w:right="101" w:firstLine="474"/>
            </w:pPr>
            <w:r>
              <w:t>③作业设备及车辆等结束作业离开贮存设施时，应对其残留的危险废物进</w:t>
            </w:r>
            <w:r>
              <w:rPr>
                <w:spacing w:val="1"/>
              </w:rPr>
              <w:t xml:space="preserve"> </w:t>
            </w:r>
            <w:r>
              <w:rPr>
                <w:spacing w:val="-1"/>
              </w:rPr>
              <w:t>行清理，清理的废物或清洗废水应收集处理。</w:t>
            </w:r>
          </w:p>
          <w:p w14:paraId="216EA16D">
            <w:pPr>
              <w:pStyle w:val="6"/>
              <w:spacing w:before="182" w:line="289" w:lineRule="auto"/>
              <w:ind w:left="110" w:right="101" w:firstLine="477"/>
            </w:pPr>
            <w:r>
              <w:t>④贮存设施运行期间，应按国家有关标准和规定建立危险废物管理台账并</w:t>
            </w:r>
            <w:r>
              <w:rPr>
                <w:spacing w:val="1"/>
              </w:rPr>
              <w:t xml:space="preserve"> </w:t>
            </w:r>
            <w:r>
              <w:rPr>
                <w:spacing w:val="-4"/>
              </w:rPr>
              <w:t>保存。</w:t>
            </w:r>
          </w:p>
          <w:p w14:paraId="6EB83F5E">
            <w:pPr>
              <w:pStyle w:val="6"/>
              <w:spacing w:before="179" w:line="290" w:lineRule="auto"/>
              <w:ind w:left="110" w:right="101" w:firstLine="477"/>
            </w:pPr>
            <w:r>
              <w:t>⑤贮存设施所有者或运营者应建立贮存设施环境管理制度、管理人员岗位</w:t>
            </w:r>
            <w:r>
              <w:rPr>
                <w:spacing w:val="1"/>
              </w:rPr>
              <w:t xml:space="preserve"> </w:t>
            </w:r>
            <w:r>
              <w:rPr>
                <w:spacing w:val="-1"/>
              </w:rPr>
              <w:t>职责制度、设施运行操作制度、人员岗位培训制度等。</w:t>
            </w:r>
          </w:p>
          <w:p w14:paraId="6F5AF814">
            <w:pPr>
              <w:pStyle w:val="6"/>
              <w:spacing w:before="183" w:line="312" w:lineRule="auto"/>
              <w:ind w:left="109" w:right="101" w:firstLine="478"/>
            </w:pPr>
            <w:r>
              <w:rPr>
                <w:spacing w:val="8"/>
              </w:rPr>
              <w:t>⑥贮存设施所有者或运营者应依据国家土壤和地</w:t>
            </w:r>
            <w:r>
              <w:rPr>
                <w:spacing w:val="7"/>
              </w:rPr>
              <w:t>下水污染防治的有关规</w:t>
            </w:r>
            <w:r>
              <w:t xml:space="preserve"> 定，结合贮存设施特点建立土壤和地下水污染隐患排查制度，并定期开展隐患 </w:t>
            </w:r>
            <w:r>
              <w:rPr>
                <w:spacing w:val="-1"/>
              </w:rPr>
              <w:t>排查；发现隐患应及时采取措施消除隐患，并建立档案。</w:t>
            </w:r>
          </w:p>
          <w:p w14:paraId="4F838475">
            <w:pPr>
              <w:pStyle w:val="6"/>
              <w:spacing w:before="184" w:line="312" w:lineRule="auto"/>
              <w:ind w:left="108" w:right="101" w:firstLine="479"/>
            </w:pPr>
            <w:r>
              <w:t>⑦贮存设施所有者或运营者应建立贮存设施全部档案，包括设计、施工、</w:t>
            </w:r>
            <w:r>
              <w:rPr>
                <w:spacing w:val="1"/>
              </w:rPr>
              <w:t xml:space="preserve"> </w:t>
            </w:r>
            <w:r>
              <w:t xml:space="preserve">验收、运行、监测和环境应急等，应按国家有关档案管理的法律法规进行整理 </w:t>
            </w:r>
            <w:r>
              <w:rPr>
                <w:spacing w:val="-3"/>
              </w:rPr>
              <w:t>和归档。</w:t>
            </w:r>
          </w:p>
          <w:p w14:paraId="78ADA3D5">
            <w:pPr>
              <w:pStyle w:val="6"/>
              <w:spacing w:before="183" w:line="220" w:lineRule="auto"/>
              <w:ind w:left="588"/>
            </w:pPr>
            <w:r>
              <w:rPr>
                <w:rFonts w:ascii="Times New Roman" w:hAnsi="Times New Roman" w:eastAsia="Times New Roman" w:cs="Times New Roman"/>
                <w:spacing w:val="-3"/>
              </w:rPr>
              <w:t>e</w:t>
            </w:r>
            <w:r>
              <w:rPr>
                <w:rFonts w:ascii="Times New Roman" w:hAnsi="Times New Roman" w:eastAsia="Times New Roman" w:cs="Times New Roman"/>
                <w:spacing w:val="-29"/>
              </w:rPr>
              <w:t xml:space="preserve"> </w:t>
            </w:r>
            <w:r>
              <w:rPr>
                <w:spacing w:val="-3"/>
              </w:rPr>
              <w:t>、其他废物污染防治措施分析</w:t>
            </w:r>
          </w:p>
          <w:p w14:paraId="64C85969">
            <w:pPr>
              <w:pStyle w:val="6"/>
              <w:spacing w:before="181" w:line="359" w:lineRule="auto"/>
              <w:ind w:left="108" w:right="101" w:firstLine="484"/>
              <w:jc w:val="both"/>
            </w:pPr>
            <w:r>
              <w:t>项目污水处理综合污泥需按照《危险废物鉴别技术规范》和《</w:t>
            </w:r>
            <w:r>
              <w:rPr>
                <w:spacing w:val="-1"/>
              </w:rPr>
              <w:t>危险废物鉴</w:t>
            </w:r>
            <w:r>
              <w:t xml:space="preserve"> 别标准》进行检测鉴别，明确其性质。废渣贮存及管理要求按对应一般工业固 </w:t>
            </w:r>
            <w:r>
              <w:rPr>
                <w:spacing w:val="-1"/>
              </w:rPr>
              <w:t>废和危险废物的要求进行管理。</w:t>
            </w:r>
          </w:p>
          <w:p w14:paraId="3DE591C1">
            <w:pPr>
              <w:pStyle w:val="6"/>
              <w:spacing w:line="359" w:lineRule="auto"/>
              <w:ind w:left="112" w:right="40" w:firstLine="479"/>
            </w:pPr>
            <w:r>
              <w:rPr>
                <w:spacing w:val="-6"/>
              </w:rPr>
              <w:t>综上所述，本项目营运期产生的各种固体废物均能得到妥善的处理和处置，</w:t>
            </w:r>
            <w:r>
              <w:rPr>
                <w:spacing w:val="15"/>
              </w:rPr>
              <w:t xml:space="preserve"> </w:t>
            </w:r>
            <w:r>
              <w:rPr>
                <w:spacing w:val="-2"/>
              </w:rPr>
              <w:t>不会对周围环境造成污染。</w:t>
            </w:r>
          </w:p>
          <w:p w14:paraId="01426B51">
            <w:pPr>
              <w:pStyle w:val="6"/>
              <w:spacing w:line="219" w:lineRule="auto"/>
              <w:ind w:left="593"/>
            </w:pPr>
            <w:r>
              <w:rPr>
                <w:spacing w:val="-2"/>
              </w:rPr>
              <w:t>5、地下水和土壤：</w:t>
            </w:r>
          </w:p>
          <w:p w14:paraId="026924CE">
            <w:pPr>
              <w:pStyle w:val="6"/>
              <w:spacing w:before="183" w:line="356" w:lineRule="auto"/>
              <w:ind w:left="112" w:right="21" w:firstLine="480"/>
              <w:jc w:val="both"/>
            </w:pPr>
            <w:r>
              <w:t>项目运营期可能对区域地下水环境的影响主要表现在生产废水</w:t>
            </w:r>
            <w:r>
              <w:rPr>
                <w:spacing w:val="-1"/>
              </w:rPr>
              <w:t>事故渗漏或</w:t>
            </w:r>
            <w:r>
              <w:t xml:space="preserve"> </w:t>
            </w:r>
            <w:r>
              <w:rPr>
                <w:spacing w:val="-5"/>
              </w:rPr>
              <w:t>各类废液泄漏进入地下水含水层对地下水造成污染。可能的事故包括污水管道、</w:t>
            </w:r>
            <w:r>
              <w:rPr>
                <w:spacing w:val="11"/>
              </w:rPr>
              <w:t xml:space="preserve"> </w:t>
            </w:r>
            <w:r>
              <w:t>蓄污池体的事故或老化破损导致的废水渗漏；运营过程跑冒滴漏的废</w:t>
            </w:r>
            <w:r>
              <w:rPr>
                <w:spacing w:val="-1"/>
              </w:rPr>
              <w:t>水渗漏；</w:t>
            </w:r>
          </w:p>
        </w:tc>
      </w:tr>
    </w:tbl>
    <w:p w14:paraId="755766B5">
      <w:pPr>
        <w:rPr>
          <w:rFonts w:ascii="Arial"/>
          <w:sz w:val="21"/>
        </w:rPr>
      </w:pPr>
    </w:p>
    <w:p w14:paraId="3E022EBB">
      <w:pPr>
        <w:rPr>
          <w:rFonts w:ascii="Arial" w:hAnsi="Arial" w:eastAsia="Arial" w:cs="Arial"/>
          <w:sz w:val="21"/>
          <w:szCs w:val="21"/>
        </w:rPr>
        <w:sectPr>
          <w:footerReference r:id="rId105" w:type="default"/>
          <w:pgSz w:w="11907" w:h="16840"/>
          <w:pgMar w:top="400" w:right="1453" w:bottom="1240" w:left="1453" w:header="0" w:footer="1077" w:gutter="0"/>
          <w:cols w:space="720" w:num="1"/>
        </w:sectPr>
      </w:pPr>
    </w:p>
    <w:p w14:paraId="50DFC8F8">
      <w:pPr>
        <w:spacing w:before="19"/>
      </w:pPr>
    </w:p>
    <w:p w14:paraId="2FA3D4D4">
      <w:pPr>
        <w:spacing w:before="19"/>
      </w:pPr>
    </w:p>
    <w:p w14:paraId="501A3447">
      <w:pPr>
        <w:spacing w:before="19"/>
      </w:pPr>
    </w:p>
    <w:p w14:paraId="1FBD9D57">
      <w:pPr>
        <w:spacing w:before="18"/>
      </w:pPr>
    </w:p>
    <w:p w14:paraId="1BB17278">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4"/>
        <w:gridCol w:w="8381"/>
      </w:tblGrid>
      <w:tr w14:paraId="3C39F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5" w:hRule="atLeast"/>
        </w:trPr>
        <w:tc>
          <w:tcPr>
            <w:tcW w:w="604" w:type="dxa"/>
            <w:tcBorders>
              <w:right w:val="single" w:color="000000" w:sz="2" w:space="0"/>
            </w:tcBorders>
            <w:vAlign w:val="top"/>
          </w:tcPr>
          <w:p w14:paraId="470D0430">
            <w:pPr>
              <w:rPr>
                <w:rFonts w:ascii="Arial"/>
                <w:sz w:val="21"/>
              </w:rPr>
            </w:pPr>
          </w:p>
        </w:tc>
        <w:tc>
          <w:tcPr>
            <w:tcW w:w="8381" w:type="dxa"/>
            <w:tcBorders>
              <w:left w:val="single" w:color="000000" w:sz="2" w:space="0"/>
            </w:tcBorders>
            <w:vAlign w:val="top"/>
          </w:tcPr>
          <w:p w14:paraId="192CA545">
            <w:pPr>
              <w:pStyle w:val="6"/>
              <w:spacing w:before="40" w:line="219" w:lineRule="auto"/>
              <w:ind w:left="108"/>
            </w:pPr>
            <w:r>
              <w:t>废液储罐事故破损导致的废液泄漏；固废场地内固废渗</w:t>
            </w:r>
            <w:r>
              <w:rPr>
                <w:spacing w:val="-1"/>
              </w:rPr>
              <w:t>滤液及废液的泄漏等。</w:t>
            </w:r>
          </w:p>
          <w:p w14:paraId="0AB7D156">
            <w:pPr>
              <w:pStyle w:val="6"/>
              <w:spacing w:before="181" w:line="359" w:lineRule="auto"/>
              <w:ind w:left="108" w:right="101" w:firstLine="480"/>
              <w:jc w:val="both"/>
            </w:pPr>
            <w:r>
              <w:rPr>
                <w:spacing w:val="-4"/>
              </w:rPr>
              <w:t>根据《环境影响评价技术导则 地下水环境》，地下水污染物防渗分区可根</w:t>
            </w:r>
            <w:r>
              <w:rPr>
                <w:spacing w:val="11"/>
              </w:rPr>
              <w:t xml:space="preserve"> </w:t>
            </w:r>
            <w:r>
              <w:t>据土壤的天然包气带防污性能、污染物控制难易程度和</w:t>
            </w:r>
            <w:r>
              <w:rPr>
                <w:spacing w:val="-1"/>
              </w:rPr>
              <w:t>污染物类型，可分为重</w:t>
            </w:r>
            <w:r>
              <w:t xml:space="preserve"> </w:t>
            </w:r>
            <w:r>
              <w:rPr>
                <w:spacing w:val="-1"/>
              </w:rPr>
              <w:t>点防渗区、一般防渗区和简单防渗区。</w:t>
            </w:r>
          </w:p>
          <w:p w14:paraId="564FC25C">
            <w:pPr>
              <w:pStyle w:val="6"/>
              <w:spacing w:before="3" w:line="360" w:lineRule="auto"/>
              <w:ind w:left="111" w:right="101" w:firstLine="479"/>
              <w:jc w:val="both"/>
            </w:pPr>
            <w:r>
              <w:t>本项目对地下水产生危险影响的污染源主要为</w:t>
            </w:r>
            <w:r>
              <w:rPr>
                <w:spacing w:val="-1"/>
              </w:rPr>
              <w:t>泡酸车间、危废暂存间、化</w:t>
            </w:r>
            <w:r>
              <w:t xml:space="preserve"> </w:t>
            </w:r>
            <w:r>
              <w:rPr>
                <w:spacing w:val="-8"/>
              </w:rPr>
              <w:t>学品仓库和废水处理站，属于重点防渗区域；注胶加工车间</w:t>
            </w:r>
            <w:r>
              <w:rPr>
                <w:spacing w:val="-9"/>
              </w:rPr>
              <w:t>和生活区，不涉及重</w:t>
            </w:r>
            <w:r>
              <w:t xml:space="preserve"> </w:t>
            </w:r>
            <w:r>
              <w:rPr>
                <w:spacing w:val="-13"/>
              </w:rPr>
              <w:t>金属、持久性有机污染物，可作为一般防渗区进</w:t>
            </w:r>
            <w:r>
              <w:rPr>
                <w:spacing w:val="-14"/>
              </w:rPr>
              <w:t>行防控。详见项目分区防渗图。本</w:t>
            </w:r>
            <w:r>
              <w:t xml:space="preserve"> </w:t>
            </w:r>
            <w:r>
              <w:rPr>
                <w:spacing w:val="-1"/>
              </w:rPr>
              <w:t>项目分区保护措施如下表：</w:t>
            </w:r>
          </w:p>
          <w:p w14:paraId="4EC32B6F">
            <w:pPr>
              <w:pStyle w:val="6"/>
              <w:spacing w:before="114" w:line="219" w:lineRule="auto"/>
              <w:ind w:left="1533"/>
            </w:pPr>
            <w:r>
              <w:rPr>
                <w:b/>
                <w:bCs/>
                <w:spacing w:val="-2"/>
              </w:rPr>
              <w:t>表</w:t>
            </w:r>
            <w:r>
              <w:rPr>
                <w:spacing w:val="-48"/>
              </w:rPr>
              <w:t xml:space="preserve"> </w:t>
            </w:r>
            <w:r>
              <w:rPr>
                <w:rFonts w:ascii="Times New Roman" w:hAnsi="Times New Roman" w:eastAsia="Times New Roman" w:cs="Times New Roman"/>
                <w:b/>
                <w:bCs/>
                <w:spacing w:val="-2"/>
              </w:rPr>
              <w:t xml:space="preserve">4-33    </w:t>
            </w:r>
            <w:r>
              <w:rPr>
                <w:b/>
                <w:bCs/>
                <w:spacing w:val="-2"/>
              </w:rPr>
              <w:t>项目地下水和土壤运营期影响及保护措施</w:t>
            </w:r>
          </w:p>
          <w:p w14:paraId="1F037DDA">
            <w:pPr>
              <w:spacing w:line="145" w:lineRule="exact"/>
            </w:pPr>
          </w:p>
          <w:tbl>
            <w:tblPr>
              <w:tblStyle w:val="5"/>
              <w:tblW w:w="7961" w:type="dxa"/>
              <w:tblInd w:w="2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573"/>
              <w:gridCol w:w="689"/>
              <w:gridCol w:w="2028"/>
              <w:gridCol w:w="857"/>
              <w:gridCol w:w="3287"/>
            </w:tblGrid>
            <w:tr w14:paraId="43E91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27" w:type="dxa"/>
                  <w:textDirection w:val="tbRlV"/>
                  <w:vAlign w:val="top"/>
                </w:tcPr>
                <w:p w14:paraId="443BBDBA">
                  <w:pPr>
                    <w:pStyle w:val="6"/>
                    <w:spacing w:before="157" w:line="218" w:lineRule="auto"/>
                    <w:ind w:left="35"/>
                    <w:rPr>
                      <w:sz w:val="20"/>
                      <w:szCs w:val="20"/>
                    </w:rPr>
                  </w:pPr>
                  <w:r>
                    <w:rPr>
                      <w:spacing w:val="8"/>
                      <w:sz w:val="20"/>
                      <w:szCs w:val="20"/>
                    </w:rPr>
                    <w:t>序</w:t>
                  </w:r>
                  <w:r>
                    <w:rPr>
                      <w:spacing w:val="-38"/>
                      <w:sz w:val="20"/>
                      <w:szCs w:val="20"/>
                    </w:rPr>
                    <w:t xml:space="preserve"> </w:t>
                  </w:r>
                  <w:r>
                    <w:rPr>
                      <w:spacing w:val="8"/>
                      <w:sz w:val="20"/>
                      <w:szCs w:val="20"/>
                    </w:rPr>
                    <w:t>号</w:t>
                  </w:r>
                </w:p>
              </w:tc>
              <w:tc>
                <w:tcPr>
                  <w:tcW w:w="1262" w:type="dxa"/>
                  <w:gridSpan w:val="2"/>
                  <w:vAlign w:val="top"/>
                </w:tcPr>
                <w:p w14:paraId="2D97BD87">
                  <w:pPr>
                    <w:pStyle w:val="6"/>
                    <w:spacing w:before="169" w:line="228" w:lineRule="auto"/>
                    <w:ind w:left="439"/>
                    <w:rPr>
                      <w:sz w:val="20"/>
                      <w:szCs w:val="20"/>
                    </w:rPr>
                  </w:pPr>
                  <w:r>
                    <w:rPr>
                      <w:spacing w:val="-3"/>
                      <w:sz w:val="20"/>
                      <w:szCs w:val="20"/>
                    </w:rPr>
                    <w:t>区域</w:t>
                  </w:r>
                </w:p>
              </w:tc>
              <w:tc>
                <w:tcPr>
                  <w:tcW w:w="2028" w:type="dxa"/>
                  <w:vAlign w:val="top"/>
                </w:tcPr>
                <w:p w14:paraId="4D0FB21C">
                  <w:pPr>
                    <w:pStyle w:val="6"/>
                    <w:spacing w:before="169" w:line="228" w:lineRule="auto"/>
                    <w:ind w:left="493"/>
                    <w:rPr>
                      <w:sz w:val="20"/>
                      <w:szCs w:val="20"/>
                    </w:rPr>
                  </w:pPr>
                  <w:r>
                    <w:rPr>
                      <w:spacing w:val="8"/>
                      <w:sz w:val="20"/>
                      <w:szCs w:val="20"/>
                    </w:rPr>
                    <w:t>潜在污染源</w:t>
                  </w:r>
                </w:p>
              </w:tc>
              <w:tc>
                <w:tcPr>
                  <w:tcW w:w="857" w:type="dxa"/>
                  <w:vAlign w:val="top"/>
                </w:tcPr>
                <w:p w14:paraId="77C6E4B2">
                  <w:pPr>
                    <w:pStyle w:val="6"/>
                    <w:spacing w:before="169" w:line="229" w:lineRule="auto"/>
                    <w:ind w:left="228"/>
                    <w:rPr>
                      <w:sz w:val="20"/>
                      <w:szCs w:val="20"/>
                    </w:rPr>
                  </w:pPr>
                  <w:r>
                    <w:rPr>
                      <w:spacing w:val="3"/>
                      <w:sz w:val="20"/>
                      <w:szCs w:val="20"/>
                    </w:rPr>
                    <w:t>设施</w:t>
                  </w:r>
                </w:p>
              </w:tc>
              <w:tc>
                <w:tcPr>
                  <w:tcW w:w="3287" w:type="dxa"/>
                  <w:vAlign w:val="top"/>
                </w:tcPr>
                <w:p w14:paraId="22464491">
                  <w:pPr>
                    <w:pStyle w:val="6"/>
                    <w:spacing w:before="169" w:line="228" w:lineRule="auto"/>
                    <w:ind w:left="1228"/>
                    <w:rPr>
                      <w:sz w:val="20"/>
                      <w:szCs w:val="20"/>
                    </w:rPr>
                  </w:pPr>
                  <w:r>
                    <w:rPr>
                      <w:spacing w:val="7"/>
                      <w:sz w:val="20"/>
                      <w:szCs w:val="20"/>
                    </w:rPr>
                    <w:t>要求措施</w:t>
                  </w:r>
                </w:p>
              </w:tc>
            </w:tr>
            <w:tr w14:paraId="3873E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27" w:type="dxa"/>
                  <w:vMerge w:val="restart"/>
                  <w:tcBorders>
                    <w:bottom w:val="nil"/>
                  </w:tcBorders>
                  <w:vAlign w:val="top"/>
                </w:tcPr>
                <w:p w14:paraId="32948A1A">
                  <w:pPr>
                    <w:spacing w:line="275" w:lineRule="auto"/>
                    <w:rPr>
                      <w:rFonts w:ascii="Arial"/>
                      <w:sz w:val="21"/>
                    </w:rPr>
                  </w:pPr>
                </w:p>
                <w:p w14:paraId="14F2EF07">
                  <w:pPr>
                    <w:spacing w:line="275" w:lineRule="auto"/>
                    <w:rPr>
                      <w:rFonts w:ascii="Arial"/>
                      <w:sz w:val="21"/>
                    </w:rPr>
                  </w:pPr>
                </w:p>
                <w:p w14:paraId="7D802AC9">
                  <w:pPr>
                    <w:spacing w:line="276" w:lineRule="auto"/>
                    <w:rPr>
                      <w:rFonts w:ascii="Arial"/>
                      <w:sz w:val="21"/>
                    </w:rPr>
                  </w:pPr>
                </w:p>
                <w:p w14:paraId="36E7FC31">
                  <w:pPr>
                    <w:spacing w:line="276" w:lineRule="auto"/>
                    <w:rPr>
                      <w:rFonts w:ascii="Arial"/>
                      <w:sz w:val="21"/>
                    </w:rPr>
                  </w:pPr>
                </w:p>
                <w:p w14:paraId="1B9C992F">
                  <w:pPr>
                    <w:spacing w:line="276" w:lineRule="auto"/>
                    <w:rPr>
                      <w:rFonts w:ascii="Arial"/>
                      <w:sz w:val="21"/>
                    </w:rPr>
                  </w:pPr>
                </w:p>
                <w:p w14:paraId="3F2B37AD">
                  <w:pPr>
                    <w:spacing w:before="5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73" w:type="dxa"/>
                  <w:vMerge w:val="restart"/>
                  <w:tcBorders>
                    <w:bottom w:val="nil"/>
                  </w:tcBorders>
                  <w:textDirection w:val="tbRlV"/>
                  <w:vAlign w:val="top"/>
                </w:tcPr>
                <w:p w14:paraId="5447E287">
                  <w:pPr>
                    <w:pStyle w:val="6"/>
                    <w:spacing w:before="182" w:line="216" w:lineRule="auto"/>
                    <w:ind w:left="863"/>
                    <w:rPr>
                      <w:sz w:val="20"/>
                      <w:szCs w:val="20"/>
                    </w:rPr>
                  </w:pPr>
                  <w:r>
                    <w:rPr>
                      <w:spacing w:val="8"/>
                      <w:sz w:val="20"/>
                      <w:szCs w:val="20"/>
                    </w:rPr>
                    <w:t>重</w:t>
                  </w:r>
                  <w:r>
                    <w:rPr>
                      <w:spacing w:val="-35"/>
                      <w:sz w:val="20"/>
                      <w:szCs w:val="20"/>
                    </w:rPr>
                    <w:t xml:space="preserve"> </w:t>
                  </w:r>
                  <w:r>
                    <w:rPr>
                      <w:spacing w:val="8"/>
                      <w:sz w:val="20"/>
                      <w:szCs w:val="20"/>
                    </w:rPr>
                    <w:t>点</w:t>
                  </w:r>
                  <w:r>
                    <w:rPr>
                      <w:spacing w:val="-38"/>
                      <w:sz w:val="20"/>
                      <w:szCs w:val="20"/>
                    </w:rPr>
                    <w:t xml:space="preserve"> </w:t>
                  </w:r>
                  <w:r>
                    <w:rPr>
                      <w:spacing w:val="8"/>
                      <w:sz w:val="20"/>
                      <w:szCs w:val="20"/>
                    </w:rPr>
                    <w:t>防</w:t>
                  </w:r>
                  <w:r>
                    <w:rPr>
                      <w:spacing w:val="-35"/>
                      <w:sz w:val="20"/>
                      <w:szCs w:val="20"/>
                    </w:rPr>
                    <w:t xml:space="preserve"> </w:t>
                  </w:r>
                  <w:r>
                    <w:rPr>
                      <w:spacing w:val="8"/>
                      <w:sz w:val="20"/>
                      <w:szCs w:val="20"/>
                    </w:rPr>
                    <w:t>渗</w:t>
                  </w:r>
                  <w:r>
                    <w:rPr>
                      <w:spacing w:val="-38"/>
                      <w:sz w:val="20"/>
                      <w:szCs w:val="20"/>
                    </w:rPr>
                    <w:t xml:space="preserve"> </w:t>
                  </w:r>
                  <w:r>
                    <w:rPr>
                      <w:spacing w:val="8"/>
                      <w:sz w:val="20"/>
                      <w:szCs w:val="20"/>
                    </w:rPr>
                    <w:t>区</w:t>
                  </w:r>
                </w:p>
              </w:tc>
              <w:tc>
                <w:tcPr>
                  <w:tcW w:w="689" w:type="dxa"/>
                  <w:vAlign w:val="top"/>
                </w:tcPr>
                <w:p w14:paraId="26BB778D">
                  <w:pPr>
                    <w:pStyle w:val="6"/>
                    <w:spacing w:before="30" w:line="229" w:lineRule="auto"/>
                    <w:ind w:left="140"/>
                    <w:rPr>
                      <w:sz w:val="20"/>
                      <w:szCs w:val="20"/>
                    </w:rPr>
                  </w:pPr>
                  <w:r>
                    <w:rPr>
                      <w:spacing w:val="3"/>
                      <w:sz w:val="20"/>
                      <w:szCs w:val="20"/>
                    </w:rPr>
                    <w:t>泡酸</w:t>
                  </w:r>
                </w:p>
                <w:p w14:paraId="1E017F6B">
                  <w:pPr>
                    <w:pStyle w:val="6"/>
                    <w:spacing w:before="25" w:line="217" w:lineRule="auto"/>
                    <w:ind w:left="140"/>
                    <w:rPr>
                      <w:sz w:val="20"/>
                      <w:szCs w:val="20"/>
                    </w:rPr>
                  </w:pPr>
                  <w:r>
                    <w:rPr>
                      <w:spacing w:val="3"/>
                      <w:sz w:val="20"/>
                      <w:szCs w:val="20"/>
                    </w:rPr>
                    <w:t>车间</w:t>
                  </w:r>
                </w:p>
              </w:tc>
              <w:tc>
                <w:tcPr>
                  <w:tcW w:w="2028" w:type="dxa"/>
                  <w:vAlign w:val="top"/>
                </w:tcPr>
                <w:p w14:paraId="05641DA8">
                  <w:pPr>
                    <w:pStyle w:val="6"/>
                    <w:spacing w:before="166" w:line="228" w:lineRule="auto"/>
                    <w:ind w:left="601"/>
                    <w:rPr>
                      <w:sz w:val="20"/>
                      <w:szCs w:val="20"/>
                    </w:rPr>
                  </w:pPr>
                  <w:r>
                    <w:rPr>
                      <w:spacing w:val="6"/>
                      <w:sz w:val="20"/>
                      <w:szCs w:val="20"/>
                    </w:rPr>
                    <w:t>泡酸废水</w:t>
                  </w:r>
                </w:p>
              </w:tc>
              <w:tc>
                <w:tcPr>
                  <w:tcW w:w="857" w:type="dxa"/>
                  <w:vMerge w:val="restart"/>
                  <w:tcBorders>
                    <w:bottom w:val="nil"/>
                  </w:tcBorders>
                  <w:vAlign w:val="top"/>
                </w:tcPr>
                <w:p w14:paraId="78902C16">
                  <w:pPr>
                    <w:spacing w:line="266" w:lineRule="auto"/>
                    <w:rPr>
                      <w:rFonts w:ascii="Arial"/>
                      <w:sz w:val="21"/>
                    </w:rPr>
                  </w:pPr>
                </w:p>
                <w:p w14:paraId="64E2DF40">
                  <w:pPr>
                    <w:spacing w:line="267" w:lineRule="auto"/>
                    <w:rPr>
                      <w:rFonts w:ascii="Arial"/>
                      <w:sz w:val="21"/>
                    </w:rPr>
                  </w:pPr>
                </w:p>
                <w:p w14:paraId="639142BE">
                  <w:pPr>
                    <w:spacing w:line="267" w:lineRule="auto"/>
                    <w:rPr>
                      <w:rFonts w:ascii="Arial"/>
                      <w:sz w:val="21"/>
                    </w:rPr>
                  </w:pPr>
                </w:p>
                <w:p w14:paraId="399E8ABB">
                  <w:pPr>
                    <w:spacing w:line="267" w:lineRule="auto"/>
                    <w:rPr>
                      <w:rFonts w:ascii="Arial"/>
                      <w:sz w:val="21"/>
                    </w:rPr>
                  </w:pPr>
                </w:p>
                <w:p w14:paraId="1D0EA830">
                  <w:pPr>
                    <w:spacing w:line="267" w:lineRule="auto"/>
                    <w:rPr>
                      <w:rFonts w:ascii="Arial"/>
                      <w:sz w:val="21"/>
                    </w:rPr>
                  </w:pPr>
                </w:p>
                <w:p w14:paraId="4FB25F02">
                  <w:pPr>
                    <w:pStyle w:val="6"/>
                    <w:spacing w:before="65" w:line="229" w:lineRule="auto"/>
                    <w:ind w:left="225"/>
                    <w:rPr>
                      <w:sz w:val="20"/>
                      <w:szCs w:val="20"/>
                    </w:rPr>
                  </w:pPr>
                  <w:r>
                    <w:rPr>
                      <w:spacing w:val="4"/>
                      <w:sz w:val="20"/>
                      <w:szCs w:val="20"/>
                    </w:rPr>
                    <w:t>地面</w:t>
                  </w:r>
                </w:p>
              </w:tc>
              <w:tc>
                <w:tcPr>
                  <w:tcW w:w="3287" w:type="dxa"/>
                  <w:vMerge w:val="restart"/>
                  <w:tcBorders>
                    <w:bottom w:val="nil"/>
                  </w:tcBorders>
                  <w:vAlign w:val="top"/>
                </w:tcPr>
                <w:p w14:paraId="2E4A6D56">
                  <w:pPr>
                    <w:spacing w:line="265" w:lineRule="auto"/>
                    <w:rPr>
                      <w:rFonts w:ascii="Arial"/>
                      <w:sz w:val="21"/>
                    </w:rPr>
                  </w:pPr>
                </w:p>
                <w:p w14:paraId="49D3336F">
                  <w:pPr>
                    <w:spacing w:line="266" w:lineRule="auto"/>
                    <w:rPr>
                      <w:rFonts w:ascii="Arial"/>
                      <w:sz w:val="21"/>
                    </w:rPr>
                  </w:pPr>
                </w:p>
                <w:p w14:paraId="7A748DE2">
                  <w:pPr>
                    <w:spacing w:line="266" w:lineRule="auto"/>
                    <w:rPr>
                      <w:rFonts w:ascii="Arial"/>
                      <w:sz w:val="21"/>
                    </w:rPr>
                  </w:pPr>
                </w:p>
                <w:p w14:paraId="6F058F5E">
                  <w:pPr>
                    <w:spacing w:line="266" w:lineRule="auto"/>
                    <w:rPr>
                      <w:rFonts w:ascii="Arial"/>
                      <w:sz w:val="21"/>
                    </w:rPr>
                  </w:pPr>
                </w:p>
                <w:p w14:paraId="228E1DA2">
                  <w:pPr>
                    <w:pStyle w:val="6"/>
                    <w:spacing w:before="65" w:line="252" w:lineRule="auto"/>
                    <w:ind w:left="113" w:right="61"/>
                    <w:jc w:val="both"/>
                    <w:rPr>
                      <w:sz w:val="20"/>
                      <w:szCs w:val="20"/>
                    </w:rPr>
                  </w:pPr>
                  <w:r>
                    <w:rPr>
                      <w:spacing w:val="18"/>
                      <w:sz w:val="20"/>
                      <w:szCs w:val="20"/>
                    </w:rPr>
                    <w:t>铺设配筋混凝土加防渗剂的防渗</w:t>
                  </w:r>
                  <w:r>
                    <w:rPr>
                      <w:spacing w:val="7"/>
                      <w:sz w:val="20"/>
                      <w:szCs w:val="20"/>
                    </w:rPr>
                    <w:t xml:space="preserve"> </w:t>
                  </w:r>
                  <w:r>
                    <w:rPr>
                      <w:spacing w:val="3"/>
                      <w:sz w:val="20"/>
                      <w:szCs w:val="20"/>
                    </w:rPr>
                    <w:t>地坪，地面采用防渗钢筋混凝土结</w:t>
                  </w:r>
                  <w:r>
                    <w:rPr>
                      <w:spacing w:val="10"/>
                      <w:sz w:val="20"/>
                      <w:szCs w:val="20"/>
                    </w:rPr>
                    <w:t xml:space="preserve"> </w:t>
                  </w:r>
                  <w:r>
                    <w:rPr>
                      <w:spacing w:val="4"/>
                      <w:sz w:val="20"/>
                      <w:szCs w:val="20"/>
                    </w:rPr>
                    <w:t>构，</w:t>
                  </w:r>
                  <w:r>
                    <w:rPr>
                      <w:spacing w:val="-55"/>
                      <w:sz w:val="20"/>
                      <w:szCs w:val="20"/>
                    </w:rPr>
                    <w:t xml:space="preserve"> </w:t>
                  </w:r>
                  <w:r>
                    <w:rPr>
                      <w:spacing w:val="4"/>
                      <w:sz w:val="20"/>
                      <w:szCs w:val="20"/>
                    </w:rPr>
                    <w:t>内部采用五布七油放腐措施。</w:t>
                  </w:r>
                </w:p>
              </w:tc>
            </w:tr>
            <w:tr w14:paraId="247B3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27" w:type="dxa"/>
                  <w:vMerge w:val="continue"/>
                  <w:tcBorders>
                    <w:top w:val="nil"/>
                    <w:bottom w:val="nil"/>
                  </w:tcBorders>
                  <w:vAlign w:val="top"/>
                </w:tcPr>
                <w:p w14:paraId="16C1EFA0">
                  <w:pPr>
                    <w:rPr>
                      <w:rFonts w:ascii="Arial"/>
                      <w:sz w:val="21"/>
                    </w:rPr>
                  </w:pPr>
                </w:p>
              </w:tc>
              <w:tc>
                <w:tcPr>
                  <w:tcW w:w="573" w:type="dxa"/>
                  <w:vMerge w:val="continue"/>
                  <w:tcBorders>
                    <w:top w:val="nil"/>
                    <w:bottom w:val="nil"/>
                  </w:tcBorders>
                  <w:textDirection w:val="tbRlV"/>
                  <w:vAlign w:val="top"/>
                </w:tcPr>
                <w:p w14:paraId="1E9E338D">
                  <w:pPr>
                    <w:rPr>
                      <w:rFonts w:ascii="Arial"/>
                      <w:sz w:val="21"/>
                    </w:rPr>
                  </w:pPr>
                </w:p>
              </w:tc>
              <w:tc>
                <w:tcPr>
                  <w:tcW w:w="689" w:type="dxa"/>
                  <w:vAlign w:val="top"/>
                </w:tcPr>
                <w:p w14:paraId="128E10B6">
                  <w:pPr>
                    <w:pStyle w:val="6"/>
                    <w:spacing w:before="33" w:line="228" w:lineRule="auto"/>
                    <w:ind w:left="141"/>
                    <w:rPr>
                      <w:sz w:val="20"/>
                      <w:szCs w:val="20"/>
                    </w:rPr>
                  </w:pPr>
                  <w:r>
                    <w:rPr>
                      <w:spacing w:val="3"/>
                      <w:sz w:val="20"/>
                      <w:szCs w:val="20"/>
                    </w:rPr>
                    <w:t>危废</w:t>
                  </w:r>
                </w:p>
                <w:p w14:paraId="35F2F514">
                  <w:pPr>
                    <w:pStyle w:val="6"/>
                    <w:spacing w:before="23" w:line="234" w:lineRule="auto"/>
                    <w:ind w:left="260" w:right="135" w:hanging="115"/>
                    <w:rPr>
                      <w:sz w:val="20"/>
                      <w:szCs w:val="20"/>
                    </w:rPr>
                  </w:pPr>
                  <w:r>
                    <w:rPr>
                      <w:spacing w:val="1"/>
                      <w:sz w:val="20"/>
                      <w:szCs w:val="20"/>
                    </w:rPr>
                    <w:t>暂存</w:t>
                  </w:r>
                  <w:r>
                    <w:rPr>
                      <w:sz w:val="20"/>
                      <w:szCs w:val="20"/>
                    </w:rPr>
                    <w:t xml:space="preserve"> 间</w:t>
                  </w:r>
                </w:p>
              </w:tc>
              <w:tc>
                <w:tcPr>
                  <w:tcW w:w="2028" w:type="dxa"/>
                  <w:vAlign w:val="top"/>
                </w:tcPr>
                <w:p w14:paraId="7C86D46F">
                  <w:pPr>
                    <w:pStyle w:val="6"/>
                    <w:spacing w:before="33" w:line="228" w:lineRule="auto"/>
                    <w:ind w:left="111"/>
                    <w:rPr>
                      <w:sz w:val="20"/>
                      <w:szCs w:val="20"/>
                    </w:rPr>
                  </w:pPr>
                  <w:r>
                    <w:rPr>
                      <w:spacing w:val="7"/>
                      <w:sz w:val="20"/>
                      <w:szCs w:val="20"/>
                    </w:rPr>
                    <w:t>废酸液、废活性炭、</w:t>
                  </w:r>
                </w:p>
                <w:p w14:paraId="41AC0CBD">
                  <w:pPr>
                    <w:pStyle w:val="6"/>
                    <w:spacing w:before="24" w:line="228" w:lineRule="auto"/>
                    <w:ind w:left="179"/>
                    <w:rPr>
                      <w:sz w:val="20"/>
                      <w:szCs w:val="20"/>
                    </w:rPr>
                  </w:pPr>
                  <w:r>
                    <w:rPr>
                      <w:spacing w:val="8"/>
                      <w:sz w:val="20"/>
                      <w:szCs w:val="20"/>
                    </w:rPr>
                    <w:t>沉淀污泥、包装废</w:t>
                  </w:r>
                </w:p>
                <w:p w14:paraId="56670B6A">
                  <w:pPr>
                    <w:pStyle w:val="6"/>
                    <w:spacing w:before="24" w:line="217" w:lineRule="auto"/>
                    <w:ind w:left="388"/>
                    <w:rPr>
                      <w:sz w:val="20"/>
                      <w:szCs w:val="20"/>
                    </w:rPr>
                  </w:pPr>
                  <w:r>
                    <w:rPr>
                      <w:spacing w:val="8"/>
                      <w:sz w:val="20"/>
                      <w:szCs w:val="20"/>
                    </w:rPr>
                    <w:t>物、废手套等</w:t>
                  </w:r>
                </w:p>
              </w:tc>
              <w:tc>
                <w:tcPr>
                  <w:tcW w:w="857" w:type="dxa"/>
                  <w:vMerge w:val="continue"/>
                  <w:tcBorders>
                    <w:top w:val="nil"/>
                    <w:bottom w:val="nil"/>
                  </w:tcBorders>
                  <w:vAlign w:val="top"/>
                </w:tcPr>
                <w:p w14:paraId="2D49000A">
                  <w:pPr>
                    <w:rPr>
                      <w:rFonts w:ascii="Arial"/>
                      <w:sz w:val="21"/>
                    </w:rPr>
                  </w:pPr>
                </w:p>
              </w:tc>
              <w:tc>
                <w:tcPr>
                  <w:tcW w:w="3287" w:type="dxa"/>
                  <w:vMerge w:val="continue"/>
                  <w:tcBorders>
                    <w:top w:val="nil"/>
                    <w:bottom w:val="nil"/>
                  </w:tcBorders>
                  <w:vAlign w:val="top"/>
                </w:tcPr>
                <w:p w14:paraId="7DDA7FF8">
                  <w:pPr>
                    <w:rPr>
                      <w:rFonts w:ascii="Arial"/>
                      <w:sz w:val="21"/>
                    </w:rPr>
                  </w:pPr>
                </w:p>
              </w:tc>
            </w:tr>
            <w:tr w14:paraId="455C1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27" w:type="dxa"/>
                  <w:vMerge w:val="continue"/>
                  <w:tcBorders>
                    <w:top w:val="nil"/>
                    <w:bottom w:val="nil"/>
                  </w:tcBorders>
                  <w:vAlign w:val="top"/>
                </w:tcPr>
                <w:p w14:paraId="15FE0A6C">
                  <w:pPr>
                    <w:rPr>
                      <w:rFonts w:ascii="Arial"/>
                      <w:sz w:val="21"/>
                    </w:rPr>
                  </w:pPr>
                </w:p>
              </w:tc>
              <w:tc>
                <w:tcPr>
                  <w:tcW w:w="573" w:type="dxa"/>
                  <w:vMerge w:val="continue"/>
                  <w:tcBorders>
                    <w:top w:val="nil"/>
                    <w:bottom w:val="nil"/>
                  </w:tcBorders>
                  <w:textDirection w:val="tbRlV"/>
                  <w:vAlign w:val="top"/>
                </w:tcPr>
                <w:p w14:paraId="1A2610F5">
                  <w:pPr>
                    <w:rPr>
                      <w:rFonts w:ascii="Arial"/>
                      <w:sz w:val="21"/>
                    </w:rPr>
                  </w:pPr>
                </w:p>
              </w:tc>
              <w:tc>
                <w:tcPr>
                  <w:tcW w:w="689" w:type="dxa"/>
                  <w:vAlign w:val="top"/>
                </w:tcPr>
                <w:p w14:paraId="2DC3FC67">
                  <w:pPr>
                    <w:pStyle w:val="6"/>
                    <w:spacing w:before="32" w:line="229" w:lineRule="auto"/>
                    <w:ind w:left="139"/>
                    <w:rPr>
                      <w:sz w:val="20"/>
                      <w:szCs w:val="20"/>
                    </w:rPr>
                  </w:pPr>
                  <w:r>
                    <w:rPr>
                      <w:spacing w:val="4"/>
                      <w:sz w:val="20"/>
                      <w:szCs w:val="20"/>
                    </w:rPr>
                    <w:t>化学</w:t>
                  </w:r>
                </w:p>
                <w:p w14:paraId="4EAC7DE6">
                  <w:pPr>
                    <w:pStyle w:val="6"/>
                    <w:spacing w:before="26" w:line="233" w:lineRule="auto"/>
                    <w:ind w:left="245" w:right="135" w:hanging="89"/>
                    <w:rPr>
                      <w:sz w:val="20"/>
                      <w:szCs w:val="20"/>
                    </w:rPr>
                  </w:pPr>
                  <w:r>
                    <w:rPr>
                      <w:spacing w:val="-4"/>
                      <w:sz w:val="20"/>
                      <w:szCs w:val="20"/>
                    </w:rPr>
                    <w:t>品仓</w:t>
                  </w:r>
                  <w:r>
                    <w:rPr>
                      <w:sz w:val="20"/>
                      <w:szCs w:val="20"/>
                    </w:rPr>
                    <w:t xml:space="preserve"> 库</w:t>
                  </w:r>
                </w:p>
              </w:tc>
              <w:tc>
                <w:tcPr>
                  <w:tcW w:w="2028" w:type="dxa"/>
                  <w:vAlign w:val="top"/>
                </w:tcPr>
                <w:p w14:paraId="4A122DE0">
                  <w:pPr>
                    <w:pStyle w:val="6"/>
                    <w:spacing w:before="169" w:line="228" w:lineRule="auto"/>
                    <w:ind w:left="114"/>
                    <w:rPr>
                      <w:sz w:val="20"/>
                      <w:szCs w:val="20"/>
                    </w:rPr>
                  </w:pPr>
                  <w:r>
                    <w:rPr>
                      <w:sz w:val="20"/>
                      <w:szCs w:val="20"/>
                    </w:rPr>
                    <w:t>盐酸、氢氟酸、片碱</w:t>
                  </w:r>
                </w:p>
                <w:p w14:paraId="42F5002A">
                  <w:pPr>
                    <w:pStyle w:val="6"/>
                    <w:spacing w:before="24" w:line="228" w:lineRule="auto"/>
                    <w:ind w:left="915"/>
                    <w:rPr>
                      <w:sz w:val="20"/>
                      <w:szCs w:val="20"/>
                    </w:rPr>
                  </w:pPr>
                  <w:r>
                    <w:rPr>
                      <w:sz w:val="20"/>
                      <w:szCs w:val="20"/>
                    </w:rPr>
                    <w:t>等</w:t>
                  </w:r>
                </w:p>
              </w:tc>
              <w:tc>
                <w:tcPr>
                  <w:tcW w:w="857" w:type="dxa"/>
                  <w:vMerge w:val="continue"/>
                  <w:tcBorders>
                    <w:top w:val="nil"/>
                    <w:bottom w:val="nil"/>
                  </w:tcBorders>
                  <w:vAlign w:val="top"/>
                </w:tcPr>
                <w:p w14:paraId="01A2AD41">
                  <w:pPr>
                    <w:rPr>
                      <w:rFonts w:ascii="Arial"/>
                      <w:sz w:val="21"/>
                    </w:rPr>
                  </w:pPr>
                </w:p>
              </w:tc>
              <w:tc>
                <w:tcPr>
                  <w:tcW w:w="3287" w:type="dxa"/>
                  <w:vMerge w:val="continue"/>
                  <w:tcBorders>
                    <w:top w:val="nil"/>
                    <w:bottom w:val="nil"/>
                  </w:tcBorders>
                  <w:vAlign w:val="top"/>
                </w:tcPr>
                <w:p w14:paraId="0667BD58">
                  <w:pPr>
                    <w:rPr>
                      <w:rFonts w:ascii="Arial"/>
                      <w:sz w:val="21"/>
                    </w:rPr>
                  </w:pPr>
                </w:p>
              </w:tc>
            </w:tr>
            <w:tr w14:paraId="44D1A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27" w:type="dxa"/>
                  <w:vMerge w:val="continue"/>
                  <w:tcBorders>
                    <w:top w:val="nil"/>
                  </w:tcBorders>
                  <w:vAlign w:val="top"/>
                </w:tcPr>
                <w:p w14:paraId="35C22E49">
                  <w:pPr>
                    <w:rPr>
                      <w:rFonts w:ascii="Arial"/>
                      <w:sz w:val="21"/>
                    </w:rPr>
                  </w:pPr>
                </w:p>
              </w:tc>
              <w:tc>
                <w:tcPr>
                  <w:tcW w:w="573" w:type="dxa"/>
                  <w:vMerge w:val="continue"/>
                  <w:tcBorders>
                    <w:top w:val="nil"/>
                  </w:tcBorders>
                  <w:textDirection w:val="tbRlV"/>
                  <w:vAlign w:val="top"/>
                </w:tcPr>
                <w:p w14:paraId="6B8436A3">
                  <w:pPr>
                    <w:rPr>
                      <w:rFonts w:ascii="Arial"/>
                      <w:sz w:val="21"/>
                    </w:rPr>
                  </w:pPr>
                </w:p>
              </w:tc>
              <w:tc>
                <w:tcPr>
                  <w:tcW w:w="689" w:type="dxa"/>
                  <w:vAlign w:val="top"/>
                </w:tcPr>
                <w:p w14:paraId="3EEEA85E">
                  <w:pPr>
                    <w:pStyle w:val="6"/>
                    <w:spacing w:before="33" w:line="228" w:lineRule="auto"/>
                    <w:ind w:left="138"/>
                    <w:rPr>
                      <w:sz w:val="20"/>
                      <w:szCs w:val="20"/>
                    </w:rPr>
                  </w:pPr>
                  <w:r>
                    <w:rPr>
                      <w:spacing w:val="5"/>
                      <w:sz w:val="20"/>
                      <w:szCs w:val="20"/>
                    </w:rPr>
                    <w:t>废水</w:t>
                  </w:r>
                </w:p>
                <w:p w14:paraId="3558CF67">
                  <w:pPr>
                    <w:pStyle w:val="6"/>
                    <w:spacing w:before="23" w:line="234" w:lineRule="auto"/>
                    <w:ind w:left="245" w:right="135" w:hanging="102"/>
                    <w:rPr>
                      <w:sz w:val="20"/>
                      <w:szCs w:val="20"/>
                    </w:rPr>
                  </w:pPr>
                  <w:r>
                    <w:rPr>
                      <w:spacing w:val="2"/>
                      <w:sz w:val="20"/>
                      <w:szCs w:val="20"/>
                    </w:rPr>
                    <w:t>处理</w:t>
                  </w:r>
                  <w:r>
                    <w:rPr>
                      <w:sz w:val="20"/>
                      <w:szCs w:val="20"/>
                    </w:rPr>
                    <w:t xml:space="preserve"> 站</w:t>
                  </w:r>
                </w:p>
              </w:tc>
              <w:tc>
                <w:tcPr>
                  <w:tcW w:w="2028" w:type="dxa"/>
                  <w:vAlign w:val="top"/>
                </w:tcPr>
                <w:p w14:paraId="54BB21C1">
                  <w:pPr>
                    <w:pStyle w:val="6"/>
                    <w:spacing w:before="304" w:line="228" w:lineRule="auto"/>
                    <w:ind w:left="388"/>
                    <w:rPr>
                      <w:sz w:val="20"/>
                      <w:szCs w:val="20"/>
                    </w:rPr>
                  </w:pPr>
                  <w:r>
                    <w:rPr>
                      <w:spacing w:val="8"/>
                      <w:sz w:val="20"/>
                      <w:szCs w:val="20"/>
                    </w:rPr>
                    <w:t>含重金属废水</w:t>
                  </w:r>
                </w:p>
              </w:tc>
              <w:tc>
                <w:tcPr>
                  <w:tcW w:w="857" w:type="dxa"/>
                  <w:vMerge w:val="continue"/>
                  <w:tcBorders>
                    <w:top w:val="nil"/>
                  </w:tcBorders>
                  <w:vAlign w:val="top"/>
                </w:tcPr>
                <w:p w14:paraId="5F8920CA">
                  <w:pPr>
                    <w:rPr>
                      <w:rFonts w:ascii="Arial"/>
                      <w:sz w:val="21"/>
                    </w:rPr>
                  </w:pPr>
                </w:p>
              </w:tc>
              <w:tc>
                <w:tcPr>
                  <w:tcW w:w="3287" w:type="dxa"/>
                  <w:vMerge w:val="continue"/>
                  <w:tcBorders>
                    <w:top w:val="nil"/>
                  </w:tcBorders>
                  <w:vAlign w:val="top"/>
                </w:tcPr>
                <w:p w14:paraId="20718381">
                  <w:pPr>
                    <w:rPr>
                      <w:rFonts w:ascii="Arial"/>
                      <w:sz w:val="21"/>
                    </w:rPr>
                  </w:pPr>
                </w:p>
              </w:tc>
            </w:tr>
            <w:tr w14:paraId="4C8CF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27" w:type="dxa"/>
                  <w:vMerge w:val="restart"/>
                  <w:tcBorders>
                    <w:bottom w:val="nil"/>
                  </w:tcBorders>
                  <w:vAlign w:val="top"/>
                </w:tcPr>
                <w:p w14:paraId="5FFD0EA4">
                  <w:pPr>
                    <w:spacing w:line="275" w:lineRule="auto"/>
                    <w:rPr>
                      <w:rFonts w:ascii="Arial"/>
                      <w:sz w:val="21"/>
                    </w:rPr>
                  </w:pPr>
                </w:p>
                <w:p w14:paraId="1D3005CE">
                  <w:pPr>
                    <w:spacing w:line="275" w:lineRule="auto"/>
                    <w:rPr>
                      <w:rFonts w:ascii="Arial"/>
                      <w:sz w:val="21"/>
                    </w:rPr>
                  </w:pPr>
                </w:p>
                <w:p w14:paraId="4B54B5CB">
                  <w:pPr>
                    <w:spacing w:line="275" w:lineRule="auto"/>
                    <w:rPr>
                      <w:rFonts w:ascii="Arial"/>
                      <w:sz w:val="21"/>
                    </w:rPr>
                  </w:pPr>
                </w:p>
                <w:p w14:paraId="18D1F485">
                  <w:pPr>
                    <w:spacing w:line="275" w:lineRule="auto"/>
                    <w:rPr>
                      <w:rFonts w:ascii="Arial"/>
                      <w:sz w:val="21"/>
                    </w:rPr>
                  </w:pPr>
                </w:p>
                <w:p w14:paraId="0D2282F4">
                  <w:pPr>
                    <w:spacing w:line="276" w:lineRule="auto"/>
                    <w:rPr>
                      <w:rFonts w:ascii="Arial"/>
                      <w:sz w:val="21"/>
                    </w:rPr>
                  </w:pPr>
                </w:p>
                <w:p w14:paraId="449BB0E1">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73" w:type="dxa"/>
                  <w:vMerge w:val="restart"/>
                  <w:tcBorders>
                    <w:bottom w:val="nil"/>
                  </w:tcBorders>
                  <w:textDirection w:val="tbRlV"/>
                  <w:vAlign w:val="top"/>
                </w:tcPr>
                <w:p w14:paraId="62E53A06">
                  <w:pPr>
                    <w:pStyle w:val="6"/>
                    <w:spacing w:before="183" w:line="217" w:lineRule="auto"/>
                    <w:ind w:left="939"/>
                    <w:rPr>
                      <w:sz w:val="20"/>
                      <w:szCs w:val="20"/>
                    </w:rPr>
                  </w:pPr>
                  <w:r>
                    <w:rPr>
                      <w:spacing w:val="-71"/>
                      <w:w w:val="46"/>
                      <w:sz w:val="20"/>
                      <w:szCs w:val="20"/>
                    </w:rPr>
                    <w:t>一</w:t>
                  </w:r>
                  <w:r>
                    <w:rPr>
                      <w:spacing w:val="73"/>
                      <w:sz w:val="20"/>
                      <w:szCs w:val="20"/>
                    </w:rPr>
                    <w:t xml:space="preserve"> </w:t>
                  </w:r>
                  <w:r>
                    <w:rPr>
                      <w:spacing w:val="8"/>
                      <w:sz w:val="20"/>
                      <w:szCs w:val="20"/>
                    </w:rPr>
                    <w:t>般</w:t>
                  </w:r>
                  <w:r>
                    <w:rPr>
                      <w:spacing w:val="-37"/>
                      <w:sz w:val="20"/>
                      <w:szCs w:val="20"/>
                    </w:rPr>
                    <w:t xml:space="preserve"> </w:t>
                  </w:r>
                  <w:r>
                    <w:rPr>
                      <w:spacing w:val="8"/>
                      <w:sz w:val="20"/>
                      <w:szCs w:val="20"/>
                    </w:rPr>
                    <w:t>防</w:t>
                  </w:r>
                  <w:r>
                    <w:rPr>
                      <w:spacing w:val="-35"/>
                      <w:sz w:val="20"/>
                      <w:szCs w:val="20"/>
                    </w:rPr>
                    <w:t xml:space="preserve"> </w:t>
                  </w:r>
                  <w:r>
                    <w:rPr>
                      <w:spacing w:val="8"/>
                      <w:sz w:val="20"/>
                      <w:szCs w:val="20"/>
                    </w:rPr>
                    <w:t>渗</w:t>
                  </w:r>
                  <w:r>
                    <w:rPr>
                      <w:spacing w:val="-38"/>
                      <w:sz w:val="20"/>
                      <w:szCs w:val="20"/>
                    </w:rPr>
                    <w:t xml:space="preserve"> </w:t>
                  </w:r>
                  <w:r>
                    <w:rPr>
                      <w:spacing w:val="8"/>
                      <w:sz w:val="20"/>
                      <w:szCs w:val="20"/>
                    </w:rPr>
                    <w:t>区</w:t>
                  </w:r>
                </w:p>
              </w:tc>
              <w:tc>
                <w:tcPr>
                  <w:tcW w:w="689" w:type="dxa"/>
                  <w:vAlign w:val="top"/>
                </w:tcPr>
                <w:p w14:paraId="38241D36">
                  <w:pPr>
                    <w:rPr>
                      <w:rFonts w:ascii="Arial"/>
                      <w:sz w:val="21"/>
                    </w:rPr>
                  </w:pPr>
                </w:p>
                <w:p w14:paraId="46EBC4A9">
                  <w:pPr>
                    <w:pStyle w:val="6"/>
                    <w:spacing w:before="65" w:line="228" w:lineRule="auto"/>
                    <w:ind w:left="138"/>
                    <w:rPr>
                      <w:sz w:val="20"/>
                      <w:szCs w:val="20"/>
                    </w:rPr>
                  </w:pPr>
                  <w:r>
                    <w:rPr>
                      <w:spacing w:val="4"/>
                      <w:sz w:val="20"/>
                      <w:szCs w:val="20"/>
                    </w:rPr>
                    <w:t>注胶</w:t>
                  </w:r>
                </w:p>
                <w:p w14:paraId="2C866E6E">
                  <w:pPr>
                    <w:pStyle w:val="6"/>
                    <w:spacing w:before="24" w:line="228" w:lineRule="auto"/>
                    <w:ind w:left="140"/>
                    <w:rPr>
                      <w:sz w:val="20"/>
                      <w:szCs w:val="20"/>
                    </w:rPr>
                  </w:pPr>
                  <w:r>
                    <w:rPr>
                      <w:spacing w:val="3"/>
                      <w:sz w:val="20"/>
                      <w:szCs w:val="20"/>
                    </w:rPr>
                    <w:t>车间</w:t>
                  </w:r>
                </w:p>
              </w:tc>
              <w:tc>
                <w:tcPr>
                  <w:tcW w:w="2028" w:type="dxa"/>
                  <w:vAlign w:val="top"/>
                </w:tcPr>
                <w:p w14:paraId="316DDFB3">
                  <w:pPr>
                    <w:rPr>
                      <w:rFonts w:ascii="Arial"/>
                      <w:sz w:val="21"/>
                    </w:rPr>
                  </w:pPr>
                </w:p>
                <w:p w14:paraId="203D8CC6">
                  <w:pPr>
                    <w:pStyle w:val="6"/>
                    <w:spacing w:before="65" w:line="252" w:lineRule="auto"/>
                    <w:ind w:left="810" w:right="106" w:hanging="698"/>
                    <w:rPr>
                      <w:sz w:val="20"/>
                      <w:szCs w:val="20"/>
                    </w:rPr>
                  </w:pPr>
                  <w:r>
                    <w:rPr>
                      <w:sz w:val="20"/>
                      <w:szCs w:val="20"/>
                    </w:rPr>
                    <w:t>三乙醇胺、丙酮、乙</w:t>
                  </w:r>
                  <w:r>
                    <w:rPr>
                      <w:spacing w:val="3"/>
                      <w:sz w:val="20"/>
                      <w:szCs w:val="20"/>
                    </w:rPr>
                    <w:t xml:space="preserve"> 醇等</w:t>
                  </w:r>
                </w:p>
              </w:tc>
              <w:tc>
                <w:tcPr>
                  <w:tcW w:w="857" w:type="dxa"/>
                  <w:vAlign w:val="top"/>
                </w:tcPr>
                <w:p w14:paraId="68A4687F">
                  <w:pPr>
                    <w:spacing w:line="374" w:lineRule="auto"/>
                    <w:rPr>
                      <w:rFonts w:ascii="Arial"/>
                      <w:sz w:val="21"/>
                    </w:rPr>
                  </w:pPr>
                </w:p>
                <w:p w14:paraId="2A35D11B">
                  <w:pPr>
                    <w:pStyle w:val="6"/>
                    <w:spacing w:before="65" w:line="229" w:lineRule="auto"/>
                    <w:ind w:left="225"/>
                    <w:rPr>
                      <w:sz w:val="20"/>
                      <w:szCs w:val="20"/>
                    </w:rPr>
                  </w:pPr>
                  <w:r>
                    <w:rPr>
                      <w:spacing w:val="4"/>
                      <w:sz w:val="20"/>
                      <w:szCs w:val="20"/>
                    </w:rPr>
                    <w:t>地面</w:t>
                  </w:r>
                </w:p>
              </w:tc>
              <w:tc>
                <w:tcPr>
                  <w:tcW w:w="3287" w:type="dxa"/>
                  <w:vAlign w:val="top"/>
                </w:tcPr>
                <w:p w14:paraId="0E3E8FBC">
                  <w:pPr>
                    <w:pStyle w:val="6"/>
                    <w:spacing w:before="35" w:line="242" w:lineRule="auto"/>
                    <w:ind w:left="113" w:right="108"/>
                    <w:jc w:val="both"/>
                    <w:rPr>
                      <w:sz w:val="20"/>
                      <w:szCs w:val="20"/>
                    </w:rPr>
                  </w:pPr>
                  <w:r>
                    <w:rPr>
                      <w:spacing w:val="18"/>
                      <w:sz w:val="20"/>
                      <w:szCs w:val="20"/>
                    </w:rPr>
                    <w:t>铺设配筋混凝土加防渗剂的防渗</w:t>
                  </w:r>
                  <w:r>
                    <w:rPr>
                      <w:spacing w:val="7"/>
                      <w:sz w:val="20"/>
                      <w:szCs w:val="20"/>
                    </w:rPr>
                    <w:t xml:space="preserve"> </w:t>
                  </w:r>
                  <w:r>
                    <w:rPr>
                      <w:spacing w:val="3"/>
                      <w:sz w:val="20"/>
                      <w:szCs w:val="20"/>
                    </w:rPr>
                    <w:t>地坪，车间地面采用防渗钢筋混凝</w:t>
                  </w:r>
                  <w:r>
                    <w:rPr>
                      <w:spacing w:val="10"/>
                      <w:sz w:val="20"/>
                      <w:szCs w:val="20"/>
                    </w:rPr>
                    <w:t xml:space="preserve"> </w:t>
                  </w:r>
                  <w:r>
                    <w:rPr>
                      <w:spacing w:val="3"/>
                      <w:sz w:val="20"/>
                      <w:szCs w:val="20"/>
                    </w:rPr>
                    <w:t>土结构，内部采用水泥基渗透结晶</w:t>
                  </w:r>
                  <w:r>
                    <w:rPr>
                      <w:spacing w:val="13"/>
                      <w:sz w:val="20"/>
                      <w:szCs w:val="20"/>
                    </w:rPr>
                    <w:t xml:space="preserve"> </w:t>
                  </w:r>
                  <w:r>
                    <w:rPr>
                      <w:spacing w:val="8"/>
                      <w:sz w:val="20"/>
                      <w:szCs w:val="20"/>
                    </w:rPr>
                    <w:t>型防渗材料涂层</w:t>
                  </w:r>
                </w:p>
              </w:tc>
            </w:tr>
            <w:tr w14:paraId="7262B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27" w:type="dxa"/>
                  <w:vMerge w:val="continue"/>
                  <w:tcBorders>
                    <w:top w:val="nil"/>
                    <w:bottom w:val="nil"/>
                  </w:tcBorders>
                  <w:vAlign w:val="top"/>
                </w:tcPr>
                <w:p w14:paraId="1FB385FE">
                  <w:pPr>
                    <w:rPr>
                      <w:rFonts w:ascii="Arial"/>
                      <w:sz w:val="21"/>
                    </w:rPr>
                  </w:pPr>
                </w:p>
              </w:tc>
              <w:tc>
                <w:tcPr>
                  <w:tcW w:w="573" w:type="dxa"/>
                  <w:vMerge w:val="continue"/>
                  <w:tcBorders>
                    <w:top w:val="nil"/>
                    <w:bottom w:val="nil"/>
                  </w:tcBorders>
                  <w:textDirection w:val="tbRlV"/>
                  <w:vAlign w:val="top"/>
                </w:tcPr>
                <w:p w14:paraId="6D053E44">
                  <w:pPr>
                    <w:rPr>
                      <w:rFonts w:ascii="Arial"/>
                      <w:sz w:val="21"/>
                    </w:rPr>
                  </w:pPr>
                </w:p>
              </w:tc>
              <w:tc>
                <w:tcPr>
                  <w:tcW w:w="689" w:type="dxa"/>
                  <w:vMerge w:val="restart"/>
                  <w:tcBorders>
                    <w:bottom w:val="nil"/>
                  </w:tcBorders>
                  <w:vAlign w:val="top"/>
                </w:tcPr>
                <w:p w14:paraId="70C73EAD">
                  <w:pPr>
                    <w:spacing w:line="325" w:lineRule="auto"/>
                    <w:rPr>
                      <w:rFonts w:ascii="Arial"/>
                      <w:sz w:val="21"/>
                    </w:rPr>
                  </w:pPr>
                </w:p>
                <w:p w14:paraId="31F3BB5C">
                  <w:pPr>
                    <w:spacing w:line="326" w:lineRule="auto"/>
                    <w:rPr>
                      <w:rFonts w:ascii="Arial"/>
                      <w:sz w:val="21"/>
                    </w:rPr>
                  </w:pPr>
                </w:p>
                <w:p w14:paraId="5C107F89">
                  <w:pPr>
                    <w:pStyle w:val="6"/>
                    <w:spacing w:before="65" w:line="254" w:lineRule="auto"/>
                    <w:ind w:left="259" w:right="135" w:hanging="119"/>
                    <w:rPr>
                      <w:sz w:val="20"/>
                      <w:szCs w:val="20"/>
                    </w:rPr>
                  </w:pPr>
                  <w:r>
                    <w:rPr>
                      <w:spacing w:val="3"/>
                      <w:sz w:val="20"/>
                      <w:szCs w:val="20"/>
                    </w:rPr>
                    <w:t>生活</w:t>
                  </w:r>
                  <w:r>
                    <w:rPr>
                      <w:sz w:val="20"/>
                      <w:szCs w:val="20"/>
                    </w:rPr>
                    <w:t xml:space="preserve"> 区</w:t>
                  </w:r>
                </w:p>
              </w:tc>
              <w:tc>
                <w:tcPr>
                  <w:tcW w:w="2028" w:type="dxa"/>
                  <w:vAlign w:val="top"/>
                </w:tcPr>
                <w:p w14:paraId="58DEC283">
                  <w:pPr>
                    <w:pStyle w:val="6"/>
                    <w:spacing w:before="170" w:line="228" w:lineRule="auto"/>
                    <w:ind w:left="601"/>
                    <w:rPr>
                      <w:sz w:val="20"/>
                      <w:szCs w:val="20"/>
                    </w:rPr>
                  </w:pPr>
                  <w:r>
                    <w:rPr>
                      <w:spacing w:val="6"/>
                      <w:sz w:val="20"/>
                      <w:szCs w:val="20"/>
                    </w:rPr>
                    <w:t>生活污水</w:t>
                  </w:r>
                </w:p>
              </w:tc>
              <w:tc>
                <w:tcPr>
                  <w:tcW w:w="857" w:type="dxa"/>
                  <w:vAlign w:val="top"/>
                </w:tcPr>
                <w:p w14:paraId="790575A4">
                  <w:pPr>
                    <w:pStyle w:val="6"/>
                    <w:spacing w:before="170" w:line="228" w:lineRule="auto"/>
                    <w:ind w:left="120"/>
                    <w:rPr>
                      <w:sz w:val="20"/>
                      <w:szCs w:val="20"/>
                    </w:rPr>
                  </w:pPr>
                  <w:r>
                    <w:rPr>
                      <w:spacing w:val="6"/>
                      <w:sz w:val="20"/>
                      <w:szCs w:val="20"/>
                    </w:rPr>
                    <w:t>化粪池</w:t>
                  </w:r>
                </w:p>
              </w:tc>
              <w:tc>
                <w:tcPr>
                  <w:tcW w:w="3287" w:type="dxa"/>
                  <w:vAlign w:val="top"/>
                </w:tcPr>
                <w:p w14:paraId="498DFD4C">
                  <w:pPr>
                    <w:pStyle w:val="6"/>
                    <w:spacing w:before="34" w:line="233" w:lineRule="auto"/>
                    <w:ind w:left="114" w:right="108" w:firstLine="1"/>
                    <w:rPr>
                      <w:sz w:val="20"/>
                      <w:szCs w:val="20"/>
                    </w:rPr>
                  </w:pPr>
                  <w:r>
                    <w:rPr>
                      <w:spacing w:val="3"/>
                      <w:sz w:val="20"/>
                      <w:szCs w:val="20"/>
                    </w:rPr>
                    <w:t>无裂缝、无渗漏，每年对化粪池清</w:t>
                  </w:r>
                  <w:r>
                    <w:rPr>
                      <w:spacing w:val="11"/>
                      <w:sz w:val="20"/>
                      <w:szCs w:val="20"/>
                    </w:rPr>
                    <w:t xml:space="preserve"> </w:t>
                  </w:r>
                  <w:r>
                    <w:rPr>
                      <w:spacing w:val="8"/>
                      <w:sz w:val="20"/>
                      <w:szCs w:val="20"/>
                    </w:rPr>
                    <w:t>淤一次，避免堵塞漫流</w:t>
                  </w:r>
                </w:p>
              </w:tc>
            </w:tr>
            <w:tr w14:paraId="53160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527" w:type="dxa"/>
                  <w:vMerge w:val="continue"/>
                  <w:tcBorders>
                    <w:top w:val="nil"/>
                  </w:tcBorders>
                  <w:vAlign w:val="top"/>
                </w:tcPr>
                <w:p w14:paraId="71A54B94">
                  <w:pPr>
                    <w:rPr>
                      <w:rFonts w:ascii="Arial"/>
                      <w:sz w:val="21"/>
                    </w:rPr>
                  </w:pPr>
                </w:p>
              </w:tc>
              <w:tc>
                <w:tcPr>
                  <w:tcW w:w="573" w:type="dxa"/>
                  <w:vMerge w:val="continue"/>
                  <w:tcBorders>
                    <w:top w:val="nil"/>
                  </w:tcBorders>
                  <w:textDirection w:val="tbRlV"/>
                  <w:vAlign w:val="top"/>
                </w:tcPr>
                <w:p w14:paraId="28767E11">
                  <w:pPr>
                    <w:rPr>
                      <w:rFonts w:ascii="Arial"/>
                      <w:sz w:val="21"/>
                    </w:rPr>
                  </w:pPr>
                </w:p>
              </w:tc>
              <w:tc>
                <w:tcPr>
                  <w:tcW w:w="689" w:type="dxa"/>
                  <w:vMerge w:val="continue"/>
                  <w:tcBorders>
                    <w:top w:val="nil"/>
                  </w:tcBorders>
                  <w:vAlign w:val="top"/>
                </w:tcPr>
                <w:p w14:paraId="46769CEA">
                  <w:pPr>
                    <w:rPr>
                      <w:rFonts w:ascii="Arial"/>
                      <w:sz w:val="21"/>
                    </w:rPr>
                  </w:pPr>
                </w:p>
              </w:tc>
              <w:tc>
                <w:tcPr>
                  <w:tcW w:w="2028" w:type="dxa"/>
                  <w:vAlign w:val="top"/>
                </w:tcPr>
                <w:p w14:paraId="4693EDC8">
                  <w:pPr>
                    <w:spacing w:line="255" w:lineRule="auto"/>
                    <w:rPr>
                      <w:rFonts w:ascii="Arial"/>
                      <w:sz w:val="21"/>
                    </w:rPr>
                  </w:pPr>
                </w:p>
                <w:p w14:paraId="4C0F27FB">
                  <w:pPr>
                    <w:spacing w:line="256" w:lineRule="auto"/>
                    <w:rPr>
                      <w:rFonts w:ascii="Arial"/>
                      <w:sz w:val="21"/>
                    </w:rPr>
                  </w:pPr>
                </w:p>
                <w:p w14:paraId="5A2B3645">
                  <w:pPr>
                    <w:pStyle w:val="6"/>
                    <w:spacing w:before="65" w:line="228" w:lineRule="auto"/>
                    <w:ind w:left="601"/>
                    <w:rPr>
                      <w:sz w:val="20"/>
                      <w:szCs w:val="20"/>
                    </w:rPr>
                  </w:pPr>
                  <w:r>
                    <w:rPr>
                      <w:spacing w:val="6"/>
                      <w:sz w:val="20"/>
                      <w:szCs w:val="20"/>
                    </w:rPr>
                    <w:t>生活垃圾</w:t>
                  </w:r>
                </w:p>
              </w:tc>
              <w:tc>
                <w:tcPr>
                  <w:tcW w:w="857" w:type="dxa"/>
                  <w:vAlign w:val="top"/>
                </w:tcPr>
                <w:p w14:paraId="7745E5B0">
                  <w:pPr>
                    <w:pStyle w:val="6"/>
                    <w:spacing w:before="36" w:line="228" w:lineRule="auto"/>
                    <w:ind w:left="121"/>
                    <w:rPr>
                      <w:sz w:val="20"/>
                      <w:szCs w:val="20"/>
                    </w:rPr>
                  </w:pPr>
                  <w:r>
                    <w:rPr>
                      <w:spacing w:val="6"/>
                      <w:sz w:val="20"/>
                      <w:szCs w:val="20"/>
                    </w:rPr>
                    <w:t>生活垃</w:t>
                  </w:r>
                </w:p>
                <w:p w14:paraId="7C5FB0F4">
                  <w:pPr>
                    <w:pStyle w:val="6"/>
                    <w:spacing w:before="23" w:line="228" w:lineRule="auto"/>
                    <w:ind w:left="120"/>
                    <w:rPr>
                      <w:sz w:val="20"/>
                      <w:szCs w:val="20"/>
                    </w:rPr>
                  </w:pPr>
                  <w:r>
                    <w:rPr>
                      <w:spacing w:val="6"/>
                      <w:sz w:val="20"/>
                      <w:szCs w:val="20"/>
                    </w:rPr>
                    <w:t>圾桶及</w:t>
                  </w:r>
                </w:p>
                <w:p w14:paraId="4FB84E07">
                  <w:pPr>
                    <w:pStyle w:val="6"/>
                    <w:spacing w:before="24" w:line="228" w:lineRule="auto"/>
                    <w:ind w:left="121"/>
                    <w:rPr>
                      <w:sz w:val="20"/>
                      <w:szCs w:val="20"/>
                    </w:rPr>
                  </w:pPr>
                  <w:r>
                    <w:rPr>
                      <w:spacing w:val="6"/>
                      <w:sz w:val="20"/>
                      <w:szCs w:val="20"/>
                    </w:rPr>
                    <w:t>生活垃</w:t>
                  </w:r>
                </w:p>
                <w:p w14:paraId="109295E0">
                  <w:pPr>
                    <w:pStyle w:val="6"/>
                    <w:spacing w:before="26" w:line="228" w:lineRule="auto"/>
                    <w:ind w:left="120"/>
                    <w:rPr>
                      <w:sz w:val="20"/>
                      <w:szCs w:val="20"/>
                    </w:rPr>
                  </w:pPr>
                  <w:r>
                    <w:rPr>
                      <w:spacing w:val="6"/>
                      <w:sz w:val="20"/>
                      <w:szCs w:val="20"/>
                    </w:rPr>
                    <w:t>圾暂存</w:t>
                  </w:r>
                </w:p>
                <w:p w14:paraId="668F0015">
                  <w:pPr>
                    <w:pStyle w:val="6"/>
                    <w:spacing w:before="25" w:line="214" w:lineRule="auto"/>
                    <w:ind w:left="346"/>
                    <w:rPr>
                      <w:sz w:val="20"/>
                      <w:szCs w:val="20"/>
                    </w:rPr>
                  </w:pPr>
                  <w:r>
                    <w:rPr>
                      <w:sz w:val="20"/>
                      <w:szCs w:val="20"/>
                    </w:rPr>
                    <w:t>区</w:t>
                  </w:r>
                </w:p>
              </w:tc>
              <w:tc>
                <w:tcPr>
                  <w:tcW w:w="3287" w:type="dxa"/>
                  <w:vAlign w:val="top"/>
                </w:tcPr>
                <w:p w14:paraId="63CF1CAE">
                  <w:pPr>
                    <w:rPr>
                      <w:rFonts w:ascii="Arial"/>
                      <w:sz w:val="21"/>
                    </w:rPr>
                  </w:pPr>
                </w:p>
                <w:p w14:paraId="7CB540F1">
                  <w:pPr>
                    <w:pStyle w:val="6"/>
                    <w:spacing w:before="65" w:line="252" w:lineRule="auto"/>
                    <w:ind w:left="113" w:right="110"/>
                    <w:jc w:val="both"/>
                    <w:rPr>
                      <w:sz w:val="20"/>
                      <w:szCs w:val="20"/>
                    </w:rPr>
                  </w:pPr>
                  <w:r>
                    <w:rPr>
                      <w:spacing w:val="3"/>
                      <w:sz w:val="20"/>
                      <w:szCs w:val="20"/>
                    </w:rPr>
                    <w:t>地面已经做好硬化防渗措施，其贮</w:t>
                  </w:r>
                  <w:r>
                    <w:rPr>
                      <w:spacing w:val="10"/>
                      <w:sz w:val="20"/>
                      <w:szCs w:val="20"/>
                    </w:rPr>
                    <w:t xml:space="preserve"> </w:t>
                  </w:r>
                  <w:r>
                    <w:rPr>
                      <w:spacing w:val="3"/>
                      <w:sz w:val="20"/>
                      <w:szCs w:val="20"/>
                    </w:rPr>
                    <w:t>存过程满足防渗漏、防雨淋、防扬</w:t>
                  </w:r>
                  <w:r>
                    <w:rPr>
                      <w:spacing w:val="11"/>
                      <w:sz w:val="20"/>
                      <w:szCs w:val="20"/>
                    </w:rPr>
                    <w:t xml:space="preserve"> </w:t>
                  </w:r>
                  <w:r>
                    <w:rPr>
                      <w:spacing w:val="8"/>
                      <w:sz w:val="20"/>
                      <w:szCs w:val="20"/>
                    </w:rPr>
                    <w:t>尘等环境保护要求</w:t>
                  </w:r>
                </w:p>
              </w:tc>
            </w:tr>
            <w:tr w14:paraId="34DBB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527" w:type="dxa"/>
                  <w:vAlign w:val="top"/>
                </w:tcPr>
                <w:p w14:paraId="09447CFA">
                  <w:pPr>
                    <w:spacing w:line="277" w:lineRule="auto"/>
                    <w:rPr>
                      <w:rFonts w:ascii="Arial"/>
                      <w:sz w:val="21"/>
                    </w:rPr>
                  </w:pPr>
                </w:p>
                <w:p w14:paraId="45264E00">
                  <w:pPr>
                    <w:spacing w:line="278" w:lineRule="auto"/>
                    <w:rPr>
                      <w:rFonts w:ascii="Arial"/>
                      <w:sz w:val="21"/>
                    </w:rPr>
                  </w:pPr>
                </w:p>
                <w:p w14:paraId="637DD043">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73" w:type="dxa"/>
                  <w:textDirection w:val="tbRlV"/>
                  <w:vAlign w:val="top"/>
                </w:tcPr>
                <w:p w14:paraId="6F3895C1">
                  <w:pPr>
                    <w:pStyle w:val="6"/>
                    <w:spacing w:before="183" w:line="214" w:lineRule="auto"/>
                    <w:ind w:left="35"/>
                    <w:rPr>
                      <w:sz w:val="20"/>
                      <w:szCs w:val="20"/>
                    </w:rPr>
                  </w:pPr>
                  <w:r>
                    <w:rPr>
                      <w:spacing w:val="8"/>
                      <w:sz w:val="20"/>
                      <w:szCs w:val="20"/>
                    </w:rPr>
                    <w:t>简</w:t>
                  </w:r>
                  <w:r>
                    <w:rPr>
                      <w:spacing w:val="-33"/>
                      <w:sz w:val="20"/>
                      <w:szCs w:val="20"/>
                    </w:rPr>
                    <w:t xml:space="preserve"> </w:t>
                  </w:r>
                  <w:r>
                    <w:rPr>
                      <w:spacing w:val="8"/>
                      <w:sz w:val="20"/>
                      <w:szCs w:val="20"/>
                    </w:rPr>
                    <w:t>单</w:t>
                  </w:r>
                  <w:r>
                    <w:rPr>
                      <w:spacing w:val="-37"/>
                      <w:sz w:val="20"/>
                      <w:szCs w:val="20"/>
                    </w:rPr>
                    <w:t xml:space="preserve"> </w:t>
                  </w:r>
                  <w:r>
                    <w:rPr>
                      <w:spacing w:val="8"/>
                      <w:sz w:val="20"/>
                      <w:szCs w:val="20"/>
                    </w:rPr>
                    <w:t>防</w:t>
                  </w:r>
                  <w:r>
                    <w:rPr>
                      <w:spacing w:val="-35"/>
                      <w:sz w:val="20"/>
                      <w:szCs w:val="20"/>
                    </w:rPr>
                    <w:t xml:space="preserve"> </w:t>
                  </w:r>
                  <w:r>
                    <w:rPr>
                      <w:spacing w:val="8"/>
                      <w:sz w:val="20"/>
                      <w:szCs w:val="20"/>
                    </w:rPr>
                    <w:t>渗</w:t>
                  </w:r>
                  <w:r>
                    <w:rPr>
                      <w:spacing w:val="-38"/>
                      <w:sz w:val="20"/>
                      <w:szCs w:val="20"/>
                    </w:rPr>
                    <w:t xml:space="preserve"> </w:t>
                  </w:r>
                  <w:r>
                    <w:rPr>
                      <w:spacing w:val="8"/>
                      <w:sz w:val="20"/>
                      <w:szCs w:val="20"/>
                    </w:rPr>
                    <w:t>区</w:t>
                  </w:r>
                </w:p>
              </w:tc>
              <w:tc>
                <w:tcPr>
                  <w:tcW w:w="689" w:type="dxa"/>
                  <w:vAlign w:val="top"/>
                </w:tcPr>
                <w:p w14:paraId="368D5BCE">
                  <w:pPr>
                    <w:spacing w:line="376" w:lineRule="auto"/>
                    <w:rPr>
                      <w:rFonts w:ascii="Arial"/>
                      <w:sz w:val="21"/>
                    </w:rPr>
                  </w:pPr>
                </w:p>
                <w:p w14:paraId="08E86EB8">
                  <w:pPr>
                    <w:pStyle w:val="6"/>
                    <w:spacing w:before="65" w:line="228" w:lineRule="auto"/>
                    <w:ind w:left="141"/>
                    <w:rPr>
                      <w:sz w:val="20"/>
                      <w:szCs w:val="20"/>
                    </w:rPr>
                  </w:pPr>
                  <w:r>
                    <w:rPr>
                      <w:spacing w:val="3"/>
                      <w:sz w:val="20"/>
                      <w:szCs w:val="20"/>
                    </w:rPr>
                    <w:t>厂区</w:t>
                  </w:r>
                </w:p>
                <w:p w14:paraId="0D63DDD5">
                  <w:pPr>
                    <w:pStyle w:val="6"/>
                    <w:spacing w:before="25" w:line="228" w:lineRule="auto"/>
                    <w:ind w:left="140"/>
                    <w:rPr>
                      <w:sz w:val="20"/>
                      <w:szCs w:val="20"/>
                    </w:rPr>
                  </w:pPr>
                  <w:r>
                    <w:rPr>
                      <w:spacing w:val="3"/>
                      <w:sz w:val="20"/>
                      <w:szCs w:val="20"/>
                    </w:rPr>
                    <w:t>路面</w:t>
                  </w:r>
                </w:p>
              </w:tc>
              <w:tc>
                <w:tcPr>
                  <w:tcW w:w="2028" w:type="dxa"/>
                  <w:vAlign w:val="top"/>
                </w:tcPr>
                <w:p w14:paraId="3B4B0D2F">
                  <w:pPr>
                    <w:spacing w:line="256" w:lineRule="auto"/>
                    <w:rPr>
                      <w:rFonts w:ascii="Arial"/>
                      <w:sz w:val="21"/>
                    </w:rPr>
                  </w:pPr>
                </w:p>
                <w:p w14:paraId="3333CADC">
                  <w:pPr>
                    <w:spacing w:line="256" w:lineRule="auto"/>
                    <w:rPr>
                      <w:rFonts w:ascii="Arial"/>
                      <w:sz w:val="21"/>
                    </w:rPr>
                  </w:pPr>
                </w:p>
                <w:p w14:paraId="02A060FA">
                  <w:pPr>
                    <w:pStyle w:val="6"/>
                    <w:spacing w:before="65" w:line="228" w:lineRule="auto"/>
                    <w:ind w:left="816"/>
                    <w:rPr>
                      <w:sz w:val="20"/>
                      <w:szCs w:val="20"/>
                    </w:rPr>
                  </w:pPr>
                  <w:r>
                    <w:rPr>
                      <w:sz w:val="20"/>
                      <w:szCs w:val="20"/>
                    </w:rPr>
                    <w:t>雨水</w:t>
                  </w:r>
                </w:p>
              </w:tc>
              <w:tc>
                <w:tcPr>
                  <w:tcW w:w="857" w:type="dxa"/>
                  <w:vAlign w:val="top"/>
                </w:tcPr>
                <w:p w14:paraId="371A5093">
                  <w:pPr>
                    <w:spacing w:line="376" w:lineRule="auto"/>
                    <w:rPr>
                      <w:rFonts w:ascii="Arial"/>
                      <w:sz w:val="21"/>
                    </w:rPr>
                  </w:pPr>
                </w:p>
                <w:p w14:paraId="52DF3B13">
                  <w:pPr>
                    <w:pStyle w:val="6"/>
                    <w:spacing w:before="65" w:line="229" w:lineRule="auto"/>
                    <w:ind w:left="119"/>
                    <w:rPr>
                      <w:sz w:val="20"/>
                      <w:szCs w:val="20"/>
                    </w:rPr>
                  </w:pPr>
                  <w:r>
                    <w:rPr>
                      <w:spacing w:val="3"/>
                      <w:sz w:val="20"/>
                      <w:szCs w:val="20"/>
                    </w:rPr>
                    <w:t>地面、</w:t>
                  </w:r>
                </w:p>
                <w:p w14:paraId="3163386C">
                  <w:pPr>
                    <w:pStyle w:val="6"/>
                    <w:spacing w:before="25" w:line="228" w:lineRule="auto"/>
                    <w:ind w:left="127"/>
                    <w:rPr>
                      <w:sz w:val="20"/>
                      <w:szCs w:val="20"/>
                    </w:rPr>
                  </w:pPr>
                  <w:r>
                    <w:rPr>
                      <w:spacing w:val="4"/>
                      <w:sz w:val="20"/>
                      <w:szCs w:val="20"/>
                    </w:rPr>
                    <w:t>雨水沟</w:t>
                  </w:r>
                </w:p>
              </w:tc>
              <w:tc>
                <w:tcPr>
                  <w:tcW w:w="3287" w:type="dxa"/>
                  <w:vAlign w:val="top"/>
                </w:tcPr>
                <w:p w14:paraId="11B42189">
                  <w:pPr>
                    <w:spacing w:line="376" w:lineRule="auto"/>
                    <w:rPr>
                      <w:rFonts w:ascii="Arial"/>
                      <w:sz w:val="21"/>
                    </w:rPr>
                  </w:pPr>
                </w:p>
                <w:p w14:paraId="2C40801B">
                  <w:pPr>
                    <w:pStyle w:val="6"/>
                    <w:spacing w:before="65" w:line="254" w:lineRule="auto"/>
                    <w:ind w:left="121" w:right="77" w:hanging="8"/>
                    <w:rPr>
                      <w:sz w:val="20"/>
                      <w:szCs w:val="20"/>
                    </w:rPr>
                  </w:pPr>
                  <w:r>
                    <w:rPr>
                      <w:spacing w:val="6"/>
                      <w:sz w:val="20"/>
                      <w:szCs w:val="20"/>
                    </w:rPr>
                    <w:t>采用混凝土施工，厂区地面硬化，</w:t>
                  </w:r>
                  <w:r>
                    <w:rPr>
                      <w:sz w:val="20"/>
                      <w:szCs w:val="20"/>
                    </w:rPr>
                    <w:t xml:space="preserve"> </w:t>
                  </w:r>
                  <w:r>
                    <w:rPr>
                      <w:spacing w:val="7"/>
                      <w:sz w:val="20"/>
                      <w:szCs w:val="20"/>
                    </w:rPr>
                    <w:t>雨水沟硬化、加盖</w:t>
                  </w:r>
                </w:p>
              </w:tc>
            </w:tr>
          </w:tbl>
          <w:p w14:paraId="76A4F019">
            <w:pPr>
              <w:rPr>
                <w:rFonts w:ascii="Arial"/>
                <w:sz w:val="21"/>
              </w:rPr>
            </w:pPr>
          </w:p>
        </w:tc>
      </w:tr>
    </w:tbl>
    <w:p w14:paraId="0EB69135">
      <w:pPr>
        <w:rPr>
          <w:rFonts w:ascii="Arial"/>
          <w:sz w:val="21"/>
        </w:rPr>
      </w:pPr>
    </w:p>
    <w:p w14:paraId="49BDAA2B">
      <w:pPr>
        <w:rPr>
          <w:rFonts w:ascii="Arial" w:hAnsi="Arial" w:eastAsia="Arial" w:cs="Arial"/>
          <w:sz w:val="21"/>
          <w:szCs w:val="21"/>
        </w:rPr>
        <w:sectPr>
          <w:footerReference r:id="rId106" w:type="default"/>
          <w:pgSz w:w="11907" w:h="16840"/>
          <w:pgMar w:top="400" w:right="1453" w:bottom="1240" w:left="1453" w:header="0" w:footer="1077" w:gutter="0"/>
          <w:cols w:space="720" w:num="1"/>
        </w:sectPr>
      </w:pPr>
    </w:p>
    <w:p w14:paraId="5BE20878">
      <w:pPr>
        <w:spacing w:before="19"/>
      </w:pPr>
    </w:p>
    <w:p w14:paraId="126D8CC7">
      <w:pPr>
        <w:spacing w:before="19"/>
      </w:pPr>
    </w:p>
    <w:p w14:paraId="2B558D8D">
      <w:pPr>
        <w:spacing w:before="19"/>
      </w:pPr>
    </w:p>
    <w:p w14:paraId="3E2FDAD4">
      <w:pPr>
        <w:spacing w:before="18"/>
      </w:pPr>
    </w:p>
    <w:p w14:paraId="2A05E1E3">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273"/>
        <w:gridCol w:w="1064"/>
        <w:gridCol w:w="1897"/>
        <w:gridCol w:w="1375"/>
        <w:gridCol w:w="3487"/>
        <w:gridCol w:w="284"/>
      </w:tblGrid>
      <w:tr w14:paraId="6610C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6" w:hRule="atLeast"/>
        </w:trPr>
        <w:tc>
          <w:tcPr>
            <w:tcW w:w="605" w:type="dxa"/>
            <w:vMerge w:val="restart"/>
            <w:tcBorders>
              <w:top w:val="single" w:color="000000" w:sz="6" w:space="0"/>
              <w:left w:val="single" w:color="000000" w:sz="6" w:space="0"/>
              <w:bottom w:val="nil"/>
            </w:tcBorders>
            <w:vAlign w:val="top"/>
          </w:tcPr>
          <w:p w14:paraId="1E6F1832">
            <w:pPr>
              <w:rPr>
                <w:rFonts w:ascii="Arial"/>
                <w:sz w:val="21"/>
              </w:rPr>
            </w:pPr>
          </w:p>
        </w:tc>
        <w:tc>
          <w:tcPr>
            <w:tcW w:w="8380" w:type="dxa"/>
            <w:gridSpan w:val="6"/>
            <w:tcBorders>
              <w:top w:val="single" w:color="000000" w:sz="6" w:space="0"/>
              <w:right w:val="single" w:color="000000" w:sz="6" w:space="0"/>
            </w:tcBorders>
            <w:vAlign w:val="top"/>
          </w:tcPr>
          <w:p w14:paraId="1F8B44CE">
            <w:pPr>
              <w:pStyle w:val="6"/>
              <w:spacing w:before="160" w:line="359" w:lineRule="auto"/>
              <w:ind w:left="108" w:right="101" w:firstLine="482"/>
              <w:jc w:val="both"/>
            </w:pPr>
            <w:r>
              <w:rPr>
                <w:spacing w:val="-4"/>
              </w:rPr>
              <w:t>综合上述分析，参考《环境影响评价技术导则 地下水环境》中对重点防渗</w:t>
            </w:r>
            <w:r>
              <w:rPr>
                <w:spacing w:val="8"/>
              </w:rPr>
              <w:t xml:space="preserve"> </w:t>
            </w:r>
            <w:r>
              <w:t>区的防渗技术要求，项目重点防渗区需采取五布七油防腐，使用乙烯基树脂防 腐漆，可耐除冰酯酸外的几乎所有无机酸。本项目不使用到冰酯酸，</w:t>
            </w:r>
            <w:r>
              <w:rPr>
                <w:spacing w:val="-1"/>
              </w:rPr>
              <w:t>所采取的</w:t>
            </w:r>
            <w:r>
              <w:t xml:space="preserve"> </w:t>
            </w:r>
            <w:r>
              <w:rPr>
                <w:spacing w:val="-2"/>
              </w:rPr>
              <w:t>防腐措施是可行的。</w:t>
            </w:r>
          </w:p>
          <w:p w14:paraId="3C0D3057">
            <w:pPr>
              <w:pStyle w:val="6"/>
              <w:spacing w:before="1" w:line="359" w:lineRule="auto"/>
              <w:ind w:left="108" w:right="101" w:firstLine="480"/>
              <w:jc w:val="both"/>
            </w:pPr>
            <w:r>
              <w:t>本项目所在地土壤包气带比较厚，潜水含水层透水性较差，污染物容</w:t>
            </w:r>
            <w:r>
              <w:rPr>
                <w:spacing w:val="-1"/>
              </w:rPr>
              <w:t>易控</w:t>
            </w:r>
            <w:r>
              <w:t xml:space="preserve"> 制，因此，在严格做好相应场地的防渗措施的前提下，项目场地不会对地下水 </w:t>
            </w:r>
            <w:r>
              <w:rPr>
                <w:spacing w:val="-2"/>
              </w:rPr>
              <w:t>产生较大影响。</w:t>
            </w:r>
          </w:p>
          <w:p w14:paraId="0B06B893">
            <w:pPr>
              <w:pStyle w:val="6"/>
              <w:spacing w:before="5" w:line="359" w:lineRule="auto"/>
              <w:ind w:left="108" w:right="101" w:firstLine="480"/>
              <w:jc w:val="both"/>
            </w:pPr>
            <w:r>
              <w:t>根据上述分析，需开展地下水和土壤的跟踪监测。根据《工业企业土壤和 地下水自行监测 技术指南（试行）》（</w:t>
            </w:r>
            <w:r>
              <w:rPr>
                <w:rFonts w:ascii="Times New Roman" w:hAnsi="Times New Roman" w:eastAsia="Times New Roman" w:cs="Times New Roman"/>
              </w:rPr>
              <w:t>HJ</w:t>
            </w:r>
            <w:r>
              <w:rPr>
                <w:rFonts w:ascii="Times New Roman" w:hAnsi="Times New Roman" w:eastAsia="Times New Roman" w:cs="Times New Roman"/>
                <w:spacing w:val="30"/>
              </w:rPr>
              <w:t xml:space="preserve"> </w:t>
            </w:r>
            <w:r>
              <w:rPr>
                <w:rFonts w:ascii="Times New Roman" w:hAnsi="Times New Roman" w:eastAsia="Times New Roman" w:cs="Times New Roman"/>
              </w:rPr>
              <w:t>120</w:t>
            </w:r>
            <w:r>
              <w:rPr>
                <w:rFonts w:ascii="Times New Roman" w:hAnsi="Times New Roman" w:eastAsia="Times New Roman" w:cs="Times New Roman"/>
                <w:spacing w:val="-1"/>
              </w:rPr>
              <w:t>9—2021</w:t>
            </w:r>
            <w:r>
              <w:rPr>
                <w:spacing w:val="7"/>
              </w:rPr>
              <w:t>），</w:t>
            </w:r>
            <w:r>
              <w:rPr>
                <w:spacing w:val="-1"/>
              </w:rPr>
              <w:t>本项目属于二类单</w:t>
            </w:r>
            <w:r>
              <w:t xml:space="preserve"> </w:t>
            </w:r>
            <w:r>
              <w:rPr>
                <w:spacing w:val="-3"/>
              </w:rPr>
              <w:t>元，周边</w:t>
            </w:r>
            <w:r>
              <w:rPr>
                <w:spacing w:val="-20"/>
              </w:rPr>
              <w:t xml:space="preserve"> </w:t>
            </w:r>
            <w:r>
              <w:rPr>
                <w:rFonts w:ascii="Times New Roman" w:hAnsi="Times New Roman" w:eastAsia="Times New Roman" w:cs="Times New Roman"/>
                <w:spacing w:val="-3"/>
              </w:rPr>
              <w:t xml:space="preserve">1km </w:t>
            </w:r>
            <w:r>
              <w:rPr>
                <w:spacing w:val="-3"/>
              </w:rPr>
              <w:t>范围内没有饮用水水源保护区等地下水环境敏感区，地下水和土</w:t>
            </w:r>
            <w:r>
              <w:t xml:space="preserve"> </w:t>
            </w:r>
            <w:r>
              <w:rPr>
                <w:spacing w:val="-1"/>
              </w:rPr>
              <w:t>壤的自行监测计划如下：</w:t>
            </w:r>
          </w:p>
          <w:p w14:paraId="22C31660">
            <w:pPr>
              <w:pStyle w:val="6"/>
              <w:spacing w:before="115" w:line="219" w:lineRule="auto"/>
              <w:ind w:left="2012"/>
            </w:pPr>
            <w:r>
              <w:rPr>
                <w:b/>
                <w:bCs/>
                <w:spacing w:val="-2"/>
              </w:rPr>
              <w:t>表</w:t>
            </w:r>
            <w:r>
              <w:rPr>
                <w:spacing w:val="-48"/>
              </w:rPr>
              <w:t xml:space="preserve"> </w:t>
            </w:r>
            <w:r>
              <w:rPr>
                <w:rFonts w:ascii="Times New Roman" w:hAnsi="Times New Roman" w:eastAsia="Times New Roman" w:cs="Times New Roman"/>
                <w:b/>
                <w:bCs/>
                <w:spacing w:val="-2"/>
              </w:rPr>
              <w:t xml:space="preserve">4-34    </w:t>
            </w:r>
            <w:r>
              <w:rPr>
                <w:b/>
                <w:bCs/>
                <w:spacing w:val="-2"/>
              </w:rPr>
              <w:t>项目地下水和土壤跟踪监测计划</w:t>
            </w:r>
          </w:p>
        </w:tc>
      </w:tr>
      <w:tr w14:paraId="3DD76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5" w:type="dxa"/>
            <w:vMerge w:val="continue"/>
            <w:tcBorders>
              <w:top w:val="nil"/>
              <w:left w:val="single" w:color="000000" w:sz="6" w:space="0"/>
              <w:bottom w:val="nil"/>
            </w:tcBorders>
            <w:vAlign w:val="top"/>
          </w:tcPr>
          <w:p w14:paraId="4376C191">
            <w:pPr>
              <w:rPr>
                <w:rFonts w:ascii="Arial"/>
                <w:sz w:val="21"/>
              </w:rPr>
            </w:pPr>
          </w:p>
        </w:tc>
        <w:tc>
          <w:tcPr>
            <w:tcW w:w="273" w:type="dxa"/>
            <w:vMerge w:val="restart"/>
            <w:tcBorders>
              <w:top w:val="nil"/>
              <w:bottom w:val="nil"/>
            </w:tcBorders>
            <w:vAlign w:val="top"/>
          </w:tcPr>
          <w:p w14:paraId="236008B6">
            <w:pPr>
              <w:rPr>
                <w:rFonts w:ascii="Arial"/>
                <w:sz w:val="21"/>
              </w:rPr>
            </w:pPr>
          </w:p>
        </w:tc>
        <w:tc>
          <w:tcPr>
            <w:tcW w:w="1064" w:type="dxa"/>
            <w:vMerge w:val="restart"/>
            <w:tcBorders>
              <w:bottom w:val="nil"/>
            </w:tcBorders>
            <w:vAlign w:val="top"/>
          </w:tcPr>
          <w:p w14:paraId="259A7C07">
            <w:pPr>
              <w:pStyle w:val="6"/>
              <w:spacing w:before="302" w:line="228" w:lineRule="auto"/>
              <w:ind w:left="326"/>
              <w:rPr>
                <w:sz w:val="20"/>
                <w:szCs w:val="20"/>
              </w:rPr>
            </w:pPr>
            <w:r>
              <w:rPr>
                <w:spacing w:val="3"/>
                <w:sz w:val="20"/>
                <w:szCs w:val="20"/>
              </w:rPr>
              <w:t>项目</w:t>
            </w:r>
          </w:p>
        </w:tc>
        <w:tc>
          <w:tcPr>
            <w:tcW w:w="6759" w:type="dxa"/>
            <w:gridSpan w:val="3"/>
            <w:vAlign w:val="top"/>
          </w:tcPr>
          <w:p w14:paraId="1AD70208">
            <w:pPr>
              <w:pStyle w:val="6"/>
              <w:spacing w:before="100" w:line="228" w:lineRule="auto"/>
              <w:ind w:left="2965"/>
              <w:rPr>
                <w:sz w:val="20"/>
                <w:szCs w:val="20"/>
              </w:rPr>
            </w:pPr>
            <w:r>
              <w:rPr>
                <w:spacing w:val="7"/>
                <w:sz w:val="20"/>
                <w:szCs w:val="20"/>
              </w:rPr>
              <w:t>跟踪监测</w:t>
            </w:r>
          </w:p>
        </w:tc>
        <w:tc>
          <w:tcPr>
            <w:tcW w:w="284" w:type="dxa"/>
            <w:vMerge w:val="restart"/>
            <w:tcBorders>
              <w:top w:val="nil"/>
              <w:bottom w:val="nil"/>
              <w:right w:val="single" w:color="000000" w:sz="6" w:space="0"/>
            </w:tcBorders>
            <w:vAlign w:val="top"/>
          </w:tcPr>
          <w:p w14:paraId="2BDC3A43">
            <w:pPr>
              <w:rPr>
                <w:rFonts w:ascii="Arial"/>
                <w:sz w:val="21"/>
              </w:rPr>
            </w:pPr>
          </w:p>
        </w:tc>
      </w:tr>
      <w:tr w14:paraId="1EA18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5" w:type="dxa"/>
            <w:vMerge w:val="continue"/>
            <w:tcBorders>
              <w:top w:val="nil"/>
              <w:left w:val="single" w:color="000000" w:sz="6" w:space="0"/>
              <w:bottom w:val="nil"/>
            </w:tcBorders>
            <w:vAlign w:val="top"/>
          </w:tcPr>
          <w:p w14:paraId="12302322">
            <w:pPr>
              <w:rPr>
                <w:rFonts w:ascii="Arial"/>
                <w:sz w:val="21"/>
              </w:rPr>
            </w:pPr>
          </w:p>
        </w:tc>
        <w:tc>
          <w:tcPr>
            <w:tcW w:w="273" w:type="dxa"/>
            <w:vMerge w:val="continue"/>
            <w:tcBorders>
              <w:top w:val="nil"/>
              <w:bottom w:val="nil"/>
            </w:tcBorders>
            <w:vAlign w:val="top"/>
          </w:tcPr>
          <w:p w14:paraId="165EF243">
            <w:pPr>
              <w:rPr>
                <w:rFonts w:ascii="Arial"/>
                <w:sz w:val="21"/>
              </w:rPr>
            </w:pPr>
          </w:p>
        </w:tc>
        <w:tc>
          <w:tcPr>
            <w:tcW w:w="1064" w:type="dxa"/>
            <w:vMerge w:val="continue"/>
            <w:tcBorders>
              <w:top w:val="nil"/>
            </w:tcBorders>
            <w:vAlign w:val="top"/>
          </w:tcPr>
          <w:p w14:paraId="6955B376">
            <w:pPr>
              <w:rPr>
                <w:rFonts w:ascii="Arial"/>
                <w:sz w:val="21"/>
              </w:rPr>
            </w:pPr>
          </w:p>
        </w:tc>
        <w:tc>
          <w:tcPr>
            <w:tcW w:w="1897" w:type="dxa"/>
            <w:vAlign w:val="top"/>
          </w:tcPr>
          <w:p w14:paraId="484CFB8E">
            <w:pPr>
              <w:pStyle w:val="6"/>
              <w:spacing w:before="98" w:line="229" w:lineRule="auto"/>
              <w:ind w:left="753"/>
              <w:rPr>
                <w:sz w:val="20"/>
                <w:szCs w:val="20"/>
              </w:rPr>
            </w:pPr>
            <w:r>
              <w:rPr>
                <w:spacing w:val="-1"/>
                <w:sz w:val="20"/>
                <w:szCs w:val="20"/>
              </w:rPr>
              <w:t>点位</w:t>
            </w:r>
          </w:p>
        </w:tc>
        <w:tc>
          <w:tcPr>
            <w:tcW w:w="1375" w:type="dxa"/>
            <w:vAlign w:val="top"/>
          </w:tcPr>
          <w:p w14:paraId="6C35196A">
            <w:pPr>
              <w:pStyle w:val="6"/>
              <w:spacing w:before="98" w:line="228" w:lineRule="auto"/>
              <w:ind w:left="274"/>
              <w:rPr>
                <w:sz w:val="20"/>
                <w:szCs w:val="20"/>
              </w:rPr>
            </w:pPr>
            <w:r>
              <w:rPr>
                <w:spacing w:val="7"/>
                <w:sz w:val="20"/>
                <w:szCs w:val="20"/>
              </w:rPr>
              <w:t>监测频次</w:t>
            </w:r>
          </w:p>
        </w:tc>
        <w:tc>
          <w:tcPr>
            <w:tcW w:w="3487" w:type="dxa"/>
            <w:vAlign w:val="top"/>
          </w:tcPr>
          <w:p w14:paraId="6689E711">
            <w:pPr>
              <w:pStyle w:val="6"/>
              <w:spacing w:before="99" w:line="228" w:lineRule="auto"/>
              <w:ind w:left="1559"/>
              <w:rPr>
                <w:sz w:val="20"/>
                <w:szCs w:val="20"/>
              </w:rPr>
            </w:pPr>
            <w:r>
              <w:rPr>
                <w:spacing w:val="-4"/>
                <w:sz w:val="20"/>
                <w:szCs w:val="20"/>
              </w:rPr>
              <w:t>因子</w:t>
            </w:r>
          </w:p>
        </w:tc>
        <w:tc>
          <w:tcPr>
            <w:tcW w:w="284" w:type="dxa"/>
            <w:vMerge w:val="continue"/>
            <w:tcBorders>
              <w:top w:val="nil"/>
              <w:bottom w:val="nil"/>
              <w:right w:val="single" w:color="000000" w:sz="6" w:space="0"/>
            </w:tcBorders>
            <w:vAlign w:val="top"/>
          </w:tcPr>
          <w:p w14:paraId="16E8FB2F">
            <w:pPr>
              <w:rPr>
                <w:rFonts w:ascii="Arial"/>
                <w:sz w:val="21"/>
              </w:rPr>
            </w:pPr>
          </w:p>
        </w:tc>
      </w:tr>
      <w:tr w14:paraId="2730F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0" w:hRule="atLeast"/>
        </w:trPr>
        <w:tc>
          <w:tcPr>
            <w:tcW w:w="605" w:type="dxa"/>
            <w:vMerge w:val="continue"/>
            <w:tcBorders>
              <w:top w:val="nil"/>
              <w:left w:val="single" w:color="000000" w:sz="6" w:space="0"/>
              <w:bottom w:val="nil"/>
            </w:tcBorders>
            <w:vAlign w:val="top"/>
          </w:tcPr>
          <w:p w14:paraId="7331B48A">
            <w:pPr>
              <w:rPr>
                <w:rFonts w:ascii="Arial"/>
                <w:sz w:val="21"/>
              </w:rPr>
            </w:pPr>
          </w:p>
        </w:tc>
        <w:tc>
          <w:tcPr>
            <w:tcW w:w="273" w:type="dxa"/>
            <w:vMerge w:val="continue"/>
            <w:tcBorders>
              <w:top w:val="nil"/>
              <w:bottom w:val="nil"/>
            </w:tcBorders>
            <w:vAlign w:val="top"/>
          </w:tcPr>
          <w:p w14:paraId="29A7F5BF">
            <w:pPr>
              <w:rPr>
                <w:rFonts w:ascii="Arial"/>
                <w:sz w:val="21"/>
              </w:rPr>
            </w:pPr>
          </w:p>
        </w:tc>
        <w:tc>
          <w:tcPr>
            <w:tcW w:w="1064" w:type="dxa"/>
            <w:vAlign w:val="top"/>
          </w:tcPr>
          <w:p w14:paraId="692AD7DA">
            <w:pPr>
              <w:spacing w:line="306" w:lineRule="auto"/>
              <w:rPr>
                <w:rFonts w:ascii="Arial"/>
                <w:sz w:val="21"/>
              </w:rPr>
            </w:pPr>
          </w:p>
          <w:p w14:paraId="50DEEE91">
            <w:pPr>
              <w:spacing w:line="306" w:lineRule="auto"/>
              <w:rPr>
                <w:rFonts w:ascii="Arial"/>
                <w:sz w:val="21"/>
              </w:rPr>
            </w:pPr>
          </w:p>
          <w:p w14:paraId="596EE8AC">
            <w:pPr>
              <w:spacing w:line="307" w:lineRule="auto"/>
              <w:rPr>
                <w:rFonts w:ascii="Arial"/>
                <w:sz w:val="21"/>
              </w:rPr>
            </w:pPr>
          </w:p>
          <w:p w14:paraId="2BD2C7E7">
            <w:pPr>
              <w:pStyle w:val="6"/>
              <w:spacing w:before="65" w:line="228" w:lineRule="auto"/>
              <w:ind w:left="217"/>
              <w:rPr>
                <w:sz w:val="20"/>
                <w:szCs w:val="20"/>
              </w:rPr>
            </w:pPr>
            <w:r>
              <w:rPr>
                <w:spacing w:val="6"/>
                <w:sz w:val="20"/>
                <w:szCs w:val="20"/>
              </w:rPr>
              <w:t>地下水</w:t>
            </w:r>
          </w:p>
        </w:tc>
        <w:tc>
          <w:tcPr>
            <w:tcW w:w="1897" w:type="dxa"/>
            <w:vAlign w:val="top"/>
          </w:tcPr>
          <w:p w14:paraId="776030C7">
            <w:pPr>
              <w:spacing w:line="323" w:lineRule="auto"/>
              <w:rPr>
                <w:rFonts w:ascii="Arial"/>
                <w:sz w:val="21"/>
              </w:rPr>
            </w:pPr>
          </w:p>
          <w:p w14:paraId="4083C550">
            <w:pPr>
              <w:spacing w:line="324" w:lineRule="auto"/>
              <w:rPr>
                <w:rFonts w:ascii="Arial"/>
                <w:sz w:val="21"/>
              </w:rPr>
            </w:pPr>
          </w:p>
          <w:p w14:paraId="5441CCAB">
            <w:pPr>
              <w:pStyle w:val="6"/>
              <w:spacing w:before="65" w:line="228" w:lineRule="auto"/>
              <w:ind w:left="113"/>
              <w:rPr>
                <w:sz w:val="20"/>
                <w:szCs w:val="20"/>
              </w:rPr>
            </w:pPr>
            <w:r>
              <w:rPr>
                <w:spacing w:val="6"/>
                <w:sz w:val="20"/>
                <w:szCs w:val="20"/>
              </w:rPr>
              <w:t>至少设置</w:t>
            </w:r>
            <w:r>
              <w:rPr>
                <w:spacing w:val="-35"/>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个地下</w:t>
            </w:r>
          </w:p>
          <w:p w14:paraId="513270A3">
            <w:pPr>
              <w:pStyle w:val="6"/>
              <w:spacing w:before="26" w:line="228" w:lineRule="auto"/>
              <w:ind w:left="114"/>
              <w:rPr>
                <w:sz w:val="20"/>
                <w:szCs w:val="20"/>
              </w:rPr>
            </w:pPr>
            <w:r>
              <w:rPr>
                <w:spacing w:val="8"/>
                <w:sz w:val="20"/>
                <w:szCs w:val="20"/>
              </w:rPr>
              <w:t>水监测井（含对照</w:t>
            </w:r>
          </w:p>
          <w:p w14:paraId="3528566D">
            <w:pPr>
              <w:pStyle w:val="6"/>
              <w:spacing w:before="24" w:line="232" w:lineRule="auto"/>
              <w:ind w:left="753"/>
              <w:rPr>
                <w:sz w:val="20"/>
                <w:szCs w:val="20"/>
              </w:rPr>
            </w:pPr>
            <w:r>
              <w:rPr>
                <w:spacing w:val="-5"/>
                <w:sz w:val="20"/>
                <w:szCs w:val="20"/>
              </w:rPr>
              <w:t>点）</w:t>
            </w:r>
          </w:p>
        </w:tc>
        <w:tc>
          <w:tcPr>
            <w:tcW w:w="1375" w:type="dxa"/>
            <w:vAlign w:val="top"/>
          </w:tcPr>
          <w:p w14:paraId="07D1776C">
            <w:pPr>
              <w:spacing w:line="306" w:lineRule="auto"/>
              <w:rPr>
                <w:rFonts w:ascii="Arial"/>
                <w:sz w:val="21"/>
              </w:rPr>
            </w:pPr>
          </w:p>
          <w:p w14:paraId="4B296870">
            <w:pPr>
              <w:spacing w:line="306" w:lineRule="auto"/>
              <w:rPr>
                <w:rFonts w:ascii="Arial"/>
                <w:sz w:val="21"/>
              </w:rPr>
            </w:pPr>
          </w:p>
          <w:p w14:paraId="3793BCB4">
            <w:pPr>
              <w:spacing w:line="307" w:lineRule="auto"/>
              <w:rPr>
                <w:rFonts w:ascii="Arial"/>
                <w:sz w:val="21"/>
              </w:rPr>
            </w:pPr>
          </w:p>
          <w:p w14:paraId="7A006DC3">
            <w:pPr>
              <w:pStyle w:val="6"/>
              <w:spacing w:before="65" w:line="228" w:lineRule="auto"/>
              <w:ind w:left="210"/>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3"/>
                <w:w w:val="101"/>
                <w:sz w:val="20"/>
                <w:szCs w:val="20"/>
              </w:rPr>
              <w:t xml:space="preserve"> </w:t>
            </w:r>
            <w:r>
              <w:rPr>
                <w:spacing w:val="-8"/>
                <w:sz w:val="20"/>
                <w:szCs w:val="20"/>
              </w:rPr>
              <w:t>年</w:t>
            </w:r>
            <w:r>
              <w:rPr>
                <w:spacing w:val="-21"/>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5"/>
                <w:w w:val="101"/>
                <w:sz w:val="20"/>
                <w:szCs w:val="20"/>
              </w:rPr>
              <w:t xml:space="preserve"> </w:t>
            </w:r>
            <w:r>
              <w:rPr>
                <w:spacing w:val="-8"/>
                <w:sz w:val="20"/>
                <w:szCs w:val="20"/>
              </w:rPr>
              <w:t>次样</w:t>
            </w:r>
          </w:p>
        </w:tc>
        <w:tc>
          <w:tcPr>
            <w:tcW w:w="3487" w:type="dxa"/>
            <w:vAlign w:val="top"/>
          </w:tcPr>
          <w:p w14:paraId="01B0004F">
            <w:pPr>
              <w:pStyle w:val="6"/>
              <w:spacing w:before="55" w:line="244" w:lineRule="auto"/>
              <w:ind w:left="113" w:right="30" w:hanging="3"/>
              <w:jc w:val="both"/>
              <w:rPr>
                <w:sz w:val="20"/>
                <w:szCs w:val="20"/>
              </w:rPr>
            </w:pPr>
            <w:r>
              <w:rPr>
                <w:rFonts w:ascii="Times New Roman" w:hAnsi="Times New Roman" w:eastAsia="Times New Roman" w:cs="Times New Roman"/>
                <w:spacing w:val="-2"/>
                <w:sz w:val="20"/>
                <w:szCs w:val="20"/>
              </w:rPr>
              <w:t>K</w:t>
            </w:r>
            <w:r>
              <w:rPr>
                <w:rFonts w:ascii="Times New Roman" w:hAnsi="Times New Roman" w:eastAsia="Times New Roman" w:cs="Times New Roman"/>
                <w:spacing w:val="-2"/>
                <w:position w:val="6"/>
                <w:sz w:val="13"/>
                <w:szCs w:val="13"/>
              </w:rPr>
              <w:t>+</w:t>
            </w:r>
            <w:r>
              <w:rPr>
                <w:rFonts w:ascii="Times New Roman" w:hAnsi="Times New Roman" w:eastAsia="Times New Roman" w:cs="Times New Roman"/>
                <w:spacing w:val="-2"/>
                <w:sz w:val="20"/>
                <w:szCs w:val="20"/>
              </w:rPr>
              <w:t>+Na</w:t>
            </w:r>
            <w:r>
              <w:rPr>
                <w:rFonts w:ascii="Times New Roman" w:hAnsi="Times New Roman" w:eastAsia="Times New Roman" w:cs="Times New Roman"/>
                <w:spacing w:val="-2"/>
                <w:position w:val="6"/>
                <w:sz w:val="13"/>
                <w:szCs w:val="13"/>
              </w:rPr>
              <w:t>+</w:t>
            </w:r>
            <w:r>
              <w:rPr>
                <w:spacing w:val="-2"/>
                <w:sz w:val="20"/>
                <w:szCs w:val="20"/>
              </w:rPr>
              <w:t>、</w:t>
            </w:r>
            <w:r>
              <w:rPr>
                <w:rFonts w:ascii="Times New Roman" w:hAnsi="Times New Roman" w:eastAsia="Times New Roman" w:cs="Times New Roman"/>
                <w:spacing w:val="-2"/>
                <w:sz w:val="20"/>
                <w:szCs w:val="20"/>
              </w:rPr>
              <w:t>Ca</w:t>
            </w:r>
            <w:r>
              <w:rPr>
                <w:rFonts w:ascii="Times New Roman" w:hAnsi="Times New Roman" w:eastAsia="Times New Roman" w:cs="Times New Roman"/>
                <w:spacing w:val="-2"/>
                <w:position w:val="6"/>
                <w:sz w:val="13"/>
                <w:szCs w:val="13"/>
              </w:rPr>
              <w:t>2+</w:t>
            </w:r>
            <w:r>
              <w:rPr>
                <w:spacing w:val="-2"/>
                <w:sz w:val="20"/>
                <w:szCs w:val="20"/>
              </w:rPr>
              <w:t>、</w:t>
            </w:r>
            <w:r>
              <w:rPr>
                <w:rFonts w:ascii="Times New Roman" w:hAnsi="Times New Roman" w:eastAsia="Times New Roman" w:cs="Times New Roman"/>
                <w:spacing w:val="-2"/>
                <w:sz w:val="20"/>
                <w:szCs w:val="20"/>
              </w:rPr>
              <w:t>Mg</w:t>
            </w:r>
            <w:r>
              <w:rPr>
                <w:rFonts w:ascii="Times New Roman" w:hAnsi="Times New Roman" w:eastAsia="Times New Roman" w:cs="Times New Roman"/>
                <w:spacing w:val="-2"/>
                <w:position w:val="6"/>
                <w:sz w:val="13"/>
                <w:szCs w:val="13"/>
              </w:rPr>
              <w:t>2+</w:t>
            </w:r>
            <w:r>
              <w:rPr>
                <w:spacing w:val="-2"/>
                <w:sz w:val="20"/>
                <w:szCs w:val="20"/>
              </w:rPr>
              <w:t>、</w:t>
            </w:r>
            <w:r>
              <w:rPr>
                <w:rFonts w:ascii="Times New Roman" w:hAnsi="Times New Roman" w:eastAsia="Times New Roman" w:cs="Times New Roman"/>
                <w:spacing w:val="-2"/>
                <w:sz w:val="20"/>
                <w:szCs w:val="20"/>
              </w:rPr>
              <w:t>CO</w:t>
            </w:r>
            <w:r>
              <w:rPr>
                <w:rFonts w:ascii="Times New Roman" w:hAnsi="Times New Roman" w:eastAsia="Times New Roman" w:cs="Times New Roman"/>
                <w:spacing w:val="-2"/>
                <w:position w:val="-2"/>
                <w:sz w:val="13"/>
                <w:szCs w:val="13"/>
              </w:rPr>
              <w:t>3</w:t>
            </w:r>
            <w:r>
              <w:rPr>
                <w:rFonts w:ascii="Times New Roman" w:hAnsi="Times New Roman" w:eastAsia="Times New Roman" w:cs="Times New Roman"/>
                <w:spacing w:val="-2"/>
                <w:position w:val="6"/>
                <w:sz w:val="13"/>
                <w:szCs w:val="13"/>
              </w:rPr>
              <w:t>2-</w:t>
            </w:r>
            <w:r>
              <w:rPr>
                <w:spacing w:val="-2"/>
                <w:sz w:val="20"/>
                <w:szCs w:val="20"/>
              </w:rPr>
              <w:t>、</w:t>
            </w:r>
            <w:r>
              <w:rPr>
                <w:rFonts w:ascii="Times New Roman" w:hAnsi="Times New Roman" w:eastAsia="Times New Roman" w:cs="Times New Roman"/>
                <w:spacing w:val="-2"/>
                <w:sz w:val="20"/>
                <w:szCs w:val="20"/>
              </w:rPr>
              <w:t>HCO</w:t>
            </w:r>
            <w:r>
              <w:rPr>
                <w:rFonts w:ascii="Times New Roman" w:hAnsi="Times New Roman" w:eastAsia="Times New Roman" w:cs="Times New Roman"/>
                <w:spacing w:val="-2"/>
                <w:position w:val="-2"/>
                <w:sz w:val="13"/>
                <w:szCs w:val="13"/>
              </w:rPr>
              <w:t>3</w:t>
            </w:r>
            <w:r>
              <w:rPr>
                <w:rFonts w:ascii="Times New Roman" w:hAnsi="Times New Roman" w:eastAsia="Times New Roman" w:cs="Times New Roman"/>
                <w:spacing w:val="-2"/>
                <w:position w:val="6"/>
                <w:sz w:val="13"/>
                <w:szCs w:val="13"/>
              </w:rPr>
              <w:t>-</w:t>
            </w:r>
            <w:r>
              <w:rPr>
                <w:spacing w:val="-2"/>
                <w:sz w:val="20"/>
                <w:szCs w:val="20"/>
              </w:rPr>
              <w:t>、</w:t>
            </w:r>
            <w:r>
              <w:rPr>
                <w:spacing w:val="2"/>
                <w:sz w:val="20"/>
                <w:szCs w:val="20"/>
              </w:rPr>
              <w:t xml:space="preserve"> </w:t>
            </w:r>
            <w:r>
              <w:rPr>
                <w:rFonts w:ascii="Times New Roman" w:hAnsi="Times New Roman" w:eastAsia="Times New Roman" w:cs="Times New Roman"/>
                <w:sz w:val="20"/>
                <w:szCs w:val="20"/>
              </w:rPr>
              <w:t>Cl</w:t>
            </w:r>
            <w:r>
              <w:rPr>
                <w:rFonts w:ascii="Times New Roman" w:hAnsi="Times New Roman" w:eastAsia="Times New Roman" w:cs="Times New Roman"/>
                <w:spacing w:val="5"/>
                <w:position w:val="6"/>
                <w:sz w:val="13"/>
                <w:szCs w:val="13"/>
              </w:rPr>
              <w:t>-</w:t>
            </w:r>
            <w:r>
              <w:rPr>
                <w:rFonts w:ascii="Times New Roman" w:hAnsi="Times New Roman" w:eastAsia="Times New Roman" w:cs="Times New Roman"/>
                <w:spacing w:val="-3"/>
                <w:position w:val="6"/>
                <w:sz w:val="13"/>
                <w:szCs w:val="13"/>
              </w:rPr>
              <w:t xml:space="preserve"> </w:t>
            </w:r>
            <w:r>
              <w:rPr>
                <w:spacing w:val="5"/>
                <w:sz w:val="20"/>
                <w:szCs w:val="20"/>
              </w:rPr>
              <w:t>、</w:t>
            </w:r>
            <w:r>
              <w:rPr>
                <w:rFonts w:ascii="Times New Roman" w:hAnsi="Times New Roman" w:eastAsia="Times New Roman" w:cs="Times New Roman"/>
                <w:sz w:val="20"/>
                <w:szCs w:val="20"/>
              </w:rPr>
              <w:t>SO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sz w:val="13"/>
                <w:szCs w:val="13"/>
              </w:rPr>
              <w:t>2-</w:t>
            </w:r>
            <w:r>
              <w:rPr>
                <w:spacing w:val="5"/>
                <w:sz w:val="20"/>
                <w:szCs w:val="20"/>
              </w:rPr>
              <w:t>浓度、</w:t>
            </w:r>
            <w:r>
              <w:rPr>
                <w:rFonts w:ascii="Times New Roman" w:hAnsi="Times New Roman" w:eastAsia="Times New Roman" w:cs="Times New Roman"/>
                <w:sz w:val="20"/>
                <w:szCs w:val="20"/>
              </w:rPr>
              <w:t>pH</w:t>
            </w:r>
            <w:r>
              <w:rPr>
                <w:rFonts w:ascii="Times New Roman" w:hAnsi="Times New Roman" w:eastAsia="Times New Roman" w:cs="Times New Roman"/>
                <w:spacing w:val="5"/>
                <w:sz w:val="20"/>
                <w:szCs w:val="20"/>
              </w:rPr>
              <w:t xml:space="preserve"> </w:t>
            </w:r>
            <w:r>
              <w:rPr>
                <w:spacing w:val="5"/>
                <w:sz w:val="20"/>
                <w:szCs w:val="20"/>
              </w:rPr>
              <w:t>值、氨氮、硝酸</w:t>
            </w:r>
            <w:r>
              <w:rPr>
                <w:sz w:val="20"/>
                <w:szCs w:val="20"/>
              </w:rPr>
              <w:t xml:space="preserve"> </w:t>
            </w:r>
            <w:r>
              <w:rPr>
                <w:spacing w:val="4"/>
                <w:sz w:val="20"/>
                <w:szCs w:val="20"/>
              </w:rPr>
              <w:t>盐氮、亚硝酸盐氮、挥发酚、溶解性</w:t>
            </w:r>
            <w:r>
              <w:rPr>
                <w:spacing w:val="3"/>
                <w:sz w:val="20"/>
                <w:szCs w:val="20"/>
              </w:rPr>
              <w:t xml:space="preserve"> </w:t>
            </w:r>
            <w:r>
              <w:rPr>
                <w:spacing w:val="8"/>
                <w:sz w:val="20"/>
                <w:szCs w:val="20"/>
              </w:rPr>
              <w:t xml:space="preserve">总固体、氟化物、砷、汞、六价铬、 总硬度、铅、氟化物、镉、铁、锰、 </w:t>
            </w:r>
            <w:r>
              <w:rPr>
                <w:spacing w:val="-4"/>
                <w:sz w:val="20"/>
                <w:szCs w:val="20"/>
              </w:rPr>
              <w:t>铜、锌、镍、高锰酸盐指数、硫酸盐、</w:t>
            </w:r>
            <w:r>
              <w:rPr>
                <w:spacing w:val="4"/>
                <w:sz w:val="20"/>
                <w:szCs w:val="20"/>
              </w:rPr>
              <w:t xml:space="preserve"> 氯化物、总大肠菌群、细菌总数等指</w:t>
            </w:r>
            <w:r>
              <w:rPr>
                <w:spacing w:val="1"/>
                <w:sz w:val="20"/>
                <w:szCs w:val="20"/>
              </w:rPr>
              <w:t xml:space="preserve"> 标</w:t>
            </w:r>
          </w:p>
        </w:tc>
        <w:tc>
          <w:tcPr>
            <w:tcW w:w="284" w:type="dxa"/>
            <w:vMerge w:val="continue"/>
            <w:tcBorders>
              <w:top w:val="nil"/>
              <w:bottom w:val="nil"/>
              <w:right w:val="single" w:color="000000" w:sz="6" w:space="0"/>
            </w:tcBorders>
            <w:vAlign w:val="top"/>
          </w:tcPr>
          <w:p w14:paraId="5C932BC9">
            <w:pPr>
              <w:rPr>
                <w:rFonts w:ascii="Arial"/>
                <w:sz w:val="21"/>
              </w:rPr>
            </w:pPr>
          </w:p>
        </w:tc>
      </w:tr>
      <w:tr w14:paraId="56961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7" w:hRule="atLeast"/>
        </w:trPr>
        <w:tc>
          <w:tcPr>
            <w:tcW w:w="605" w:type="dxa"/>
            <w:vMerge w:val="continue"/>
            <w:tcBorders>
              <w:top w:val="nil"/>
              <w:left w:val="single" w:color="000000" w:sz="6" w:space="0"/>
              <w:bottom w:val="single" w:color="000000" w:sz="6" w:space="0"/>
            </w:tcBorders>
            <w:vAlign w:val="top"/>
          </w:tcPr>
          <w:p w14:paraId="2B742725">
            <w:pPr>
              <w:rPr>
                <w:rFonts w:ascii="Arial"/>
                <w:sz w:val="21"/>
              </w:rPr>
            </w:pPr>
          </w:p>
        </w:tc>
        <w:tc>
          <w:tcPr>
            <w:tcW w:w="273" w:type="dxa"/>
            <w:vMerge w:val="continue"/>
            <w:tcBorders>
              <w:top w:val="nil"/>
              <w:bottom w:val="single" w:color="000000" w:sz="6" w:space="0"/>
            </w:tcBorders>
            <w:vAlign w:val="top"/>
          </w:tcPr>
          <w:p w14:paraId="762F4516">
            <w:pPr>
              <w:rPr>
                <w:rFonts w:ascii="Arial"/>
                <w:sz w:val="21"/>
              </w:rPr>
            </w:pPr>
          </w:p>
        </w:tc>
        <w:tc>
          <w:tcPr>
            <w:tcW w:w="1064" w:type="dxa"/>
            <w:tcBorders>
              <w:bottom w:val="single" w:color="000000" w:sz="6" w:space="0"/>
            </w:tcBorders>
            <w:vAlign w:val="top"/>
          </w:tcPr>
          <w:p w14:paraId="76A583CE">
            <w:pPr>
              <w:spacing w:line="243" w:lineRule="auto"/>
              <w:rPr>
                <w:rFonts w:ascii="Arial"/>
                <w:sz w:val="21"/>
              </w:rPr>
            </w:pPr>
          </w:p>
          <w:p w14:paraId="11373D02">
            <w:pPr>
              <w:spacing w:line="243" w:lineRule="auto"/>
              <w:rPr>
                <w:rFonts w:ascii="Arial"/>
                <w:sz w:val="21"/>
              </w:rPr>
            </w:pPr>
          </w:p>
          <w:p w14:paraId="06161A32">
            <w:pPr>
              <w:spacing w:line="243" w:lineRule="auto"/>
              <w:rPr>
                <w:rFonts w:ascii="Arial"/>
                <w:sz w:val="21"/>
              </w:rPr>
            </w:pPr>
          </w:p>
          <w:p w14:paraId="12CA2E4F">
            <w:pPr>
              <w:spacing w:line="243" w:lineRule="auto"/>
              <w:rPr>
                <w:rFonts w:ascii="Arial"/>
                <w:sz w:val="21"/>
              </w:rPr>
            </w:pPr>
          </w:p>
          <w:p w14:paraId="218DA781">
            <w:pPr>
              <w:spacing w:line="243" w:lineRule="auto"/>
              <w:rPr>
                <w:rFonts w:ascii="Arial"/>
                <w:sz w:val="21"/>
              </w:rPr>
            </w:pPr>
          </w:p>
          <w:p w14:paraId="762BC52B">
            <w:pPr>
              <w:spacing w:line="243" w:lineRule="auto"/>
              <w:rPr>
                <w:rFonts w:ascii="Arial"/>
                <w:sz w:val="21"/>
              </w:rPr>
            </w:pPr>
          </w:p>
          <w:p w14:paraId="3ADA7A71">
            <w:pPr>
              <w:spacing w:line="244" w:lineRule="auto"/>
              <w:rPr>
                <w:rFonts w:ascii="Arial"/>
                <w:sz w:val="21"/>
              </w:rPr>
            </w:pPr>
          </w:p>
          <w:p w14:paraId="16AFB702">
            <w:pPr>
              <w:spacing w:line="244" w:lineRule="auto"/>
              <w:rPr>
                <w:rFonts w:ascii="Arial"/>
                <w:sz w:val="21"/>
              </w:rPr>
            </w:pPr>
          </w:p>
          <w:p w14:paraId="2FFB4F39">
            <w:pPr>
              <w:pStyle w:val="6"/>
              <w:spacing w:before="65" w:line="229" w:lineRule="auto"/>
              <w:ind w:left="324"/>
              <w:rPr>
                <w:sz w:val="20"/>
                <w:szCs w:val="20"/>
              </w:rPr>
            </w:pPr>
            <w:r>
              <w:rPr>
                <w:spacing w:val="4"/>
                <w:sz w:val="20"/>
                <w:szCs w:val="20"/>
              </w:rPr>
              <w:t>土壤</w:t>
            </w:r>
          </w:p>
        </w:tc>
        <w:tc>
          <w:tcPr>
            <w:tcW w:w="1897" w:type="dxa"/>
            <w:tcBorders>
              <w:bottom w:val="single" w:color="000000" w:sz="6" w:space="0"/>
            </w:tcBorders>
            <w:vAlign w:val="top"/>
          </w:tcPr>
          <w:p w14:paraId="10CC5C04">
            <w:pPr>
              <w:spacing w:line="256" w:lineRule="auto"/>
              <w:rPr>
                <w:rFonts w:ascii="Arial"/>
                <w:sz w:val="21"/>
              </w:rPr>
            </w:pPr>
          </w:p>
          <w:p w14:paraId="31E7DFB8">
            <w:pPr>
              <w:spacing w:line="256" w:lineRule="auto"/>
              <w:rPr>
                <w:rFonts w:ascii="Arial"/>
                <w:sz w:val="21"/>
              </w:rPr>
            </w:pPr>
          </w:p>
          <w:p w14:paraId="52CCBD5E">
            <w:pPr>
              <w:spacing w:line="256" w:lineRule="auto"/>
              <w:rPr>
                <w:rFonts w:ascii="Arial"/>
                <w:sz w:val="21"/>
              </w:rPr>
            </w:pPr>
          </w:p>
          <w:p w14:paraId="29CFD25F">
            <w:pPr>
              <w:spacing w:line="256" w:lineRule="auto"/>
              <w:rPr>
                <w:rFonts w:ascii="Arial"/>
                <w:sz w:val="21"/>
              </w:rPr>
            </w:pPr>
          </w:p>
          <w:p w14:paraId="2214B55E">
            <w:pPr>
              <w:spacing w:line="257" w:lineRule="auto"/>
              <w:rPr>
                <w:rFonts w:ascii="Arial"/>
                <w:sz w:val="21"/>
              </w:rPr>
            </w:pPr>
          </w:p>
          <w:p w14:paraId="0BCCB250">
            <w:pPr>
              <w:spacing w:line="257" w:lineRule="auto"/>
              <w:rPr>
                <w:rFonts w:ascii="Arial"/>
                <w:sz w:val="21"/>
              </w:rPr>
            </w:pPr>
          </w:p>
          <w:p w14:paraId="46E78549">
            <w:pPr>
              <w:pStyle w:val="6"/>
              <w:spacing w:before="65" w:line="228" w:lineRule="auto"/>
              <w:ind w:left="113"/>
              <w:rPr>
                <w:sz w:val="20"/>
                <w:szCs w:val="20"/>
              </w:rPr>
            </w:pPr>
            <w:r>
              <w:rPr>
                <w:spacing w:val="8"/>
                <w:sz w:val="20"/>
                <w:szCs w:val="20"/>
              </w:rPr>
              <w:t>单元内部或周边原</w:t>
            </w:r>
          </w:p>
          <w:p w14:paraId="2750BDDA">
            <w:pPr>
              <w:pStyle w:val="6"/>
              <w:spacing w:before="24" w:line="227" w:lineRule="auto"/>
              <w:ind w:left="113"/>
              <w:rPr>
                <w:sz w:val="20"/>
                <w:szCs w:val="20"/>
              </w:rPr>
            </w:pPr>
            <w:r>
              <w:rPr>
                <w:spacing w:val="8"/>
                <w:sz w:val="20"/>
                <w:szCs w:val="20"/>
              </w:rPr>
              <w:t>则上均应布设至少</w:t>
            </w:r>
          </w:p>
          <w:p w14:paraId="07FC4A72">
            <w:pPr>
              <w:pStyle w:val="6"/>
              <w:spacing w:before="27" w:line="228" w:lineRule="auto"/>
              <w:ind w:left="154"/>
              <w:rPr>
                <w:sz w:val="20"/>
                <w:szCs w:val="20"/>
              </w:rPr>
            </w:pPr>
            <w:r>
              <w:rPr>
                <w:rFonts w:ascii="Times New Roman" w:hAnsi="Times New Roman" w:eastAsia="Times New Roman" w:cs="Times New Roman"/>
                <w:spacing w:val="5"/>
                <w:sz w:val="20"/>
                <w:szCs w:val="20"/>
              </w:rPr>
              <w:t xml:space="preserve">1 </w:t>
            </w:r>
            <w:r>
              <w:rPr>
                <w:spacing w:val="5"/>
                <w:sz w:val="20"/>
                <w:szCs w:val="20"/>
              </w:rPr>
              <w:t>个表层土壤监测</w:t>
            </w:r>
          </w:p>
          <w:p w14:paraId="290066B9">
            <w:pPr>
              <w:pStyle w:val="6"/>
              <w:spacing w:before="26" w:line="232" w:lineRule="auto"/>
              <w:ind w:left="856"/>
              <w:rPr>
                <w:sz w:val="20"/>
                <w:szCs w:val="20"/>
              </w:rPr>
            </w:pPr>
            <w:r>
              <w:rPr>
                <w:sz w:val="20"/>
                <w:szCs w:val="20"/>
              </w:rPr>
              <w:t>点</w:t>
            </w:r>
          </w:p>
        </w:tc>
        <w:tc>
          <w:tcPr>
            <w:tcW w:w="1375" w:type="dxa"/>
            <w:tcBorders>
              <w:bottom w:val="single" w:color="000000" w:sz="6" w:space="0"/>
            </w:tcBorders>
            <w:vAlign w:val="top"/>
          </w:tcPr>
          <w:p w14:paraId="76FA4F1D">
            <w:pPr>
              <w:spacing w:line="243" w:lineRule="auto"/>
              <w:rPr>
                <w:rFonts w:ascii="Arial"/>
                <w:sz w:val="21"/>
              </w:rPr>
            </w:pPr>
          </w:p>
          <w:p w14:paraId="49E59E34">
            <w:pPr>
              <w:spacing w:line="243" w:lineRule="auto"/>
              <w:rPr>
                <w:rFonts w:ascii="Arial"/>
                <w:sz w:val="21"/>
              </w:rPr>
            </w:pPr>
          </w:p>
          <w:p w14:paraId="20AEADEF">
            <w:pPr>
              <w:spacing w:line="243" w:lineRule="auto"/>
              <w:rPr>
                <w:rFonts w:ascii="Arial"/>
                <w:sz w:val="21"/>
              </w:rPr>
            </w:pPr>
          </w:p>
          <w:p w14:paraId="485ED936">
            <w:pPr>
              <w:spacing w:line="243" w:lineRule="auto"/>
              <w:rPr>
                <w:rFonts w:ascii="Arial"/>
                <w:sz w:val="21"/>
              </w:rPr>
            </w:pPr>
          </w:p>
          <w:p w14:paraId="5DF0D389">
            <w:pPr>
              <w:spacing w:line="243" w:lineRule="auto"/>
              <w:rPr>
                <w:rFonts w:ascii="Arial"/>
                <w:sz w:val="21"/>
              </w:rPr>
            </w:pPr>
          </w:p>
          <w:p w14:paraId="57CC6404">
            <w:pPr>
              <w:spacing w:line="243" w:lineRule="auto"/>
              <w:rPr>
                <w:rFonts w:ascii="Arial"/>
                <w:sz w:val="21"/>
              </w:rPr>
            </w:pPr>
          </w:p>
          <w:p w14:paraId="677BFA64">
            <w:pPr>
              <w:spacing w:line="244" w:lineRule="auto"/>
              <w:rPr>
                <w:rFonts w:ascii="Arial"/>
                <w:sz w:val="21"/>
              </w:rPr>
            </w:pPr>
          </w:p>
          <w:p w14:paraId="67F98499">
            <w:pPr>
              <w:spacing w:line="244" w:lineRule="auto"/>
              <w:rPr>
                <w:rFonts w:ascii="Arial"/>
                <w:sz w:val="21"/>
              </w:rPr>
            </w:pPr>
          </w:p>
          <w:p w14:paraId="61D0EA5E">
            <w:pPr>
              <w:pStyle w:val="6"/>
              <w:spacing w:before="65" w:line="228" w:lineRule="auto"/>
              <w:ind w:left="210"/>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3"/>
                <w:w w:val="101"/>
                <w:sz w:val="20"/>
                <w:szCs w:val="20"/>
              </w:rPr>
              <w:t xml:space="preserve"> </w:t>
            </w:r>
            <w:r>
              <w:rPr>
                <w:spacing w:val="-8"/>
                <w:sz w:val="20"/>
                <w:szCs w:val="20"/>
              </w:rPr>
              <w:t>年</w:t>
            </w:r>
            <w:r>
              <w:rPr>
                <w:spacing w:val="-21"/>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5"/>
                <w:w w:val="101"/>
                <w:sz w:val="20"/>
                <w:szCs w:val="20"/>
              </w:rPr>
              <w:t xml:space="preserve"> </w:t>
            </w:r>
            <w:r>
              <w:rPr>
                <w:spacing w:val="-8"/>
                <w:sz w:val="20"/>
                <w:szCs w:val="20"/>
              </w:rPr>
              <w:t>次样</w:t>
            </w:r>
          </w:p>
        </w:tc>
        <w:tc>
          <w:tcPr>
            <w:tcW w:w="3487" w:type="dxa"/>
            <w:tcBorders>
              <w:bottom w:val="single" w:color="000000" w:sz="6" w:space="0"/>
            </w:tcBorders>
            <w:vAlign w:val="top"/>
          </w:tcPr>
          <w:p w14:paraId="07986CE0">
            <w:pPr>
              <w:pStyle w:val="6"/>
              <w:spacing w:before="113" w:line="250" w:lineRule="auto"/>
              <w:ind w:left="114" w:right="51"/>
              <w:jc w:val="both"/>
              <w:rPr>
                <w:sz w:val="20"/>
                <w:szCs w:val="20"/>
              </w:rPr>
            </w:pPr>
            <w:r>
              <w:rPr>
                <w:spacing w:val="7"/>
                <w:sz w:val="20"/>
                <w:szCs w:val="20"/>
              </w:rPr>
              <w:t>砷、镉、铬（六价）、铜、铅、汞、</w:t>
            </w:r>
            <w:r>
              <w:rPr>
                <w:spacing w:val="2"/>
                <w:sz w:val="20"/>
                <w:szCs w:val="20"/>
              </w:rPr>
              <w:t xml:space="preserve"> </w:t>
            </w:r>
            <w:r>
              <w:rPr>
                <w:spacing w:val="7"/>
                <w:sz w:val="20"/>
                <w:szCs w:val="20"/>
              </w:rPr>
              <w:t>镍、四氯化碳、氯仿、氯甲烷、</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spacing w:val="10"/>
                <w:sz w:val="20"/>
                <w:szCs w:val="20"/>
              </w:rPr>
              <w:t>二氯乙烷、</w:t>
            </w:r>
            <w:r>
              <w:rPr>
                <w:rFonts w:ascii="Times New Roman" w:hAnsi="Times New Roman" w:eastAsia="Times New Roman" w:cs="Times New Roman"/>
                <w:spacing w:val="10"/>
                <w:sz w:val="20"/>
                <w:szCs w:val="20"/>
              </w:rPr>
              <w:t>1,2-</w:t>
            </w:r>
            <w:r>
              <w:rPr>
                <w:spacing w:val="10"/>
                <w:sz w:val="20"/>
                <w:szCs w:val="20"/>
              </w:rPr>
              <w:t>二氯乙烷、</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0"/>
                <w:sz w:val="20"/>
                <w:szCs w:val="20"/>
              </w:rPr>
              <w:t>1-</w:t>
            </w:r>
            <w:r>
              <w:rPr>
                <w:spacing w:val="10"/>
                <w:sz w:val="20"/>
                <w:szCs w:val="20"/>
              </w:rPr>
              <w:t>二氯</w:t>
            </w:r>
            <w:r>
              <w:rPr>
                <w:sz w:val="20"/>
                <w:szCs w:val="20"/>
              </w:rPr>
              <w:t xml:space="preserve"> </w:t>
            </w:r>
            <w:r>
              <w:rPr>
                <w:spacing w:val="4"/>
                <w:sz w:val="20"/>
                <w:szCs w:val="20"/>
              </w:rPr>
              <w:t>乙烯、顺</w:t>
            </w:r>
            <w:r>
              <w:rPr>
                <w:rFonts w:ascii="Times New Roman" w:hAnsi="Times New Roman" w:eastAsia="Times New Roman" w:cs="Times New Roman"/>
                <w:spacing w:val="4"/>
                <w:sz w:val="20"/>
                <w:szCs w:val="20"/>
              </w:rPr>
              <w:t>-1,2-</w:t>
            </w:r>
            <w:r>
              <w:rPr>
                <w:spacing w:val="4"/>
                <w:sz w:val="20"/>
                <w:szCs w:val="20"/>
              </w:rPr>
              <w:t>二氯乙烯、反</w:t>
            </w:r>
            <w:r>
              <w:rPr>
                <w:rFonts w:ascii="Times New Roman" w:hAnsi="Times New Roman" w:eastAsia="Times New Roman" w:cs="Times New Roman"/>
                <w:spacing w:val="4"/>
                <w:sz w:val="20"/>
                <w:szCs w:val="20"/>
              </w:rPr>
              <w:t>-1,2-</w:t>
            </w:r>
            <w:r>
              <w:rPr>
                <w:spacing w:val="4"/>
                <w:sz w:val="20"/>
                <w:szCs w:val="20"/>
              </w:rPr>
              <w:t>二氯</w:t>
            </w:r>
            <w:r>
              <w:rPr>
                <w:spacing w:val="11"/>
                <w:sz w:val="20"/>
                <w:szCs w:val="20"/>
              </w:rPr>
              <w:t xml:space="preserve"> 乙烯</w:t>
            </w:r>
            <w:r>
              <w:rPr>
                <w:spacing w:val="-53"/>
                <w:sz w:val="20"/>
                <w:szCs w:val="20"/>
              </w:rPr>
              <w:t xml:space="preserve"> </w:t>
            </w:r>
            <w:r>
              <w:rPr>
                <w:spacing w:val="11"/>
                <w:sz w:val="20"/>
                <w:szCs w:val="20"/>
              </w:rPr>
              <w:t>、二氯甲烷</w:t>
            </w:r>
            <w:r>
              <w:rPr>
                <w:spacing w:val="-58"/>
                <w:sz w:val="20"/>
                <w:szCs w:val="20"/>
              </w:rPr>
              <w:t xml:space="preserve"> </w:t>
            </w:r>
            <w:r>
              <w:rPr>
                <w:spacing w:val="11"/>
                <w:sz w:val="20"/>
                <w:szCs w:val="20"/>
              </w:rPr>
              <w:t>、</w:t>
            </w:r>
            <w:r>
              <w:rPr>
                <w:spacing w:val="-53"/>
                <w:sz w:val="20"/>
                <w:szCs w:val="20"/>
              </w:rPr>
              <w:t xml:space="preserve"> </w:t>
            </w:r>
            <w:r>
              <w:rPr>
                <w:rFonts w:ascii="Times New Roman" w:hAnsi="Times New Roman" w:eastAsia="Times New Roman" w:cs="Times New Roman"/>
                <w:spacing w:val="11"/>
                <w:sz w:val="20"/>
                <w:szCs w:val="20"/>
              </w:rPr>
              <w:t>1,2-</w:t>
            </w:r>
            <w:r>
              <w:rPr>
                <w:spacing w:val="11"/>
                <w:sz w:val="20"/>
                <w:szCs w:val="20"/>
              </w:rPr>
              <w:t>二氯甲烷、</w:t>
            </w:r>
          </w:p>
          <w:p w14:paraId="32846114">
            <w:pPr>
              <w:pStyle w:val="6"/>
              <w:spacing w:before="8" w:line="251" w:lineRule="auto"/>
              <w:ind w:left="117" w:right="30" w:firstLine="14"/>
              <w:jc w:val="both"/>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1,2-</w:t>
            </w:r>
            <w:r>
              <w:rPr>
                <w:sz w:val="20"/>
                <w:szCs w:val="20"/>
              </w:rPr>
              <w:t>四氯乙烷、</w:t>
            </w:r>
            <w:r>
              <w:rPr>
                <w:rFonts w:ascii="Times New Roman" w:hAnsi="Times New Roman" w:eastAsia="Times New Roman" w:cs="Times New Roman"/>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1,2,2-</w:t>
            </w:r>
            <w:r>
              <w:rPr>
                <w:sz w:val="20"/>
                <w:szCs w:val="20"/>
              </w:rPr>
              <w:t xml:space="preserve">四氯乙烷、 </w:t>
            </w:r>
            <w:r>
              <w:rPr>
                <w:spacing w:val="2"/>
                <w:sz w:val="20"/>
                <w:szCs w:val="20"/>
              </w:rPr>
              <w:t>四氯乙烯、</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三氯乙烷、</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w:t>
            </w:r>
            <w:r>
              <w:rPr>
                <w:spacing w:val="2"/>
                <w:sz w:val="20"/>
                <w:szCs w:val="20"/>
              </w:rPr>
              <w:t>三</w:t>
            </w:r>
            <w:r>
              <w:rPr>
                <w:sz w:val="20"/>
                <w:szCs w:val="20"/>
              </w:rPr>
              <w:t xml:space="preserve"> </w:t>
            </w:r>
            <w:r>
              <w:rPr>
                <w:spacing w:val="3"/>
                <w:sz w:val="20"/>
                <w:szCs w:val="20"/>
              </w:rPr>
              <w:t>氯乙烷、三氯乙烯、</w:t>
            </w:r>
            <w:r>
              <w:rPr>
                <w:rFonts w:ascii="Times New Roman" w:hAnsi="Times New Roman" w:eastAsia="Times New Roman" w:cs="Times New Roman"/>
                <w:spacing w:val="3"/>
                <w:sz w:val="20"/>
                <w:szCs w:val="20"/>
              </w:rPr>
              <w:t>1,2,3-</w:t>
            </w:r>
            <w:r>
              <w:rPr>
                <w:spacing w:val="3"/>
                <w:sz w:val="20"/>
                <w:szCs w:val="20"/>
              </w:rPr>
              <w:t>三氯丙烷、</w:t>
            </w:r>
            <w:r>
              <w:rPr>
                <w:spacing w:val="7"/>
                <w:sz w:val="20"/>
                <w:szCs w:val="20"/>
              </w:rPr>
              <w:t xml:space="preserve"> </w:t>
            </w:r>
            <w:r>
              <w:rPr>
                <w:spacing w:val="1"/>
                <w:sz w:val="20"/>
                <w:szCs w:val="20"/>
              </w:rPr>
              <w:t>氯乙烯、苯、氯苯、</w:t>
            </w:r>
            <w:r>
              <w:rPr>
                <w:rFonts w:ascii="Times New Roman" w:hAnsi="Times New Roman" w:eastAsia="Times New Roman" w:cs="Times New Roman"/>
                <w:spacing w:val="1"/>
                <w:sz w:val="20"/>
                <w:szCs w:val="20"/>
              </w:rPr>
              <w:t>1,2-</w:t>
            </w:r>
            <w:r>
              <w:rPr>
                <w:spacing w:val="1"/>
                <w:sz w:val="20"/>
                <w:szCs w:val="20"/>
              </w:rPr>
              <w:t>二氯苯、</w:t>
            </w:r>
            <w:r>
              <w:rPr>
                <w:rFonts w:ascii="Times New Roman" w:hAnsi="Times New Roman" w:eastAsia="Times New Roman" w:cs="Times New Roman"/>
                <w:spacing w:val="1"/>
                <w:sz w:val="20"/>
                <w:szCs w:val="20"/>
              </w:rPr>
              <w:t>1,4-</w:t>
            </w:r>
            <w:r>
              <w:rPr>
                <w:rFonts w:ascii="Times New Roman" w:hAnsi="Times New Roman" w:eastAsia="Times New Roman" w:cs="Times New Roman"/>
                <w:spacing w:val="5"/>
                <w:sz w:val="20"/>
                <w:szCs w:val="20"/>
              </w:rPr>
              <w:t xml:space="preserve">  </w:t>
            </w:r>
            <w:r>
              <w:rPr>
                <w:spacing w:val="3"/>
                <w:sz w:val="20"/>
                <w:szCs w:val="20"/>
              </w:rPr>
              <w:t>二氯苯、乙苯、苯乙烯、甲苯、间二</w:t>
            </w:r>
            <w:r>
              <w:rPr>
                <w:spacing w:val="14"/>
                <w:sz w:val="20"/>
                <w:szCs w:val="20"/>
              </w:rPr>
              <w:t xml:space="preserve"> </w:t>
            </w:r>
            <w:r>
              <w:rPr>
                <w:spacing w:val="1"/>
                <w:sz w:val="20"/>
                <w:szCs w:val="20"/>
              </w:rPr>
              <w:t>甲苯</w:t>
            </w:r>
            <w:r>
              <w:rPr>
                <w:rFonts w:ascii="Times New Roman" w:hAnsi="Times New Roman" w:eastAsia="Times New Roman" w:cs="Times New Roman"/>
                <w:spacing w:val="1"/>
                <w:sz w:val="20"/>
                <w:szCs w:val="20"/>
              </w:rPr>
              <w:t>+</w:t>
            </w:r>
            <w:r>
              <w:rPr>
                <w:spacing w:val="1"/>
                <w:sz w:val="20"/>
                <w:szCs w:val="20"/>
              </w:rPr>
              <w:t>对二甲苯、临二甲苯、硝基苯、</w:t>
            </w:r>
            <w:r>
              <w:rPr>
                <w:spacing w:val="3"/>
                <w:sz w:val="20"/>
                <w:szCs w:val="20"/>
              </w:rPr>
              <w:t xml:space="preserve"> </w:t>
            </w:r>
            <w:r>
              <w:rPr>
                <w:spacing w:val="12"/>
                <w:sz w:val="20"/>
                <w:szCs w:val="20"/>
              </w:rPr>
              <w:t>苯胺、</w:t>
            </w:r>
            <w:r>
              <w:rPr>
                <w:rFonts w:ascii="Times New Roman" w:hAnsi="Times New Roman" w:eastAsia="Times New Roman" w:cs="Times New Roman"/>
                <w:spacing w:val="12"/>
                <w:sz w:val="20"/>
                <w:szCs w:val="20"/>
              </w:rPr>
              <w:t>2-</w:t>
            </w:r>
            <w:r>
              <w:rPr>
                <w:spacing w:val="12"/>
                <w:sz w:val="20"/>
                <w:szCs w:val="20"/>
              </w:rPr>
              <w:t>氯酚、苯并</w:t>
            </w:r>
            <w:r>
              <w:rPr>
                <w:rFonts w:ascii="Times New Roman" w:hAnsi="Times New Roman" w:eastAsia="Times New Roman" w:cs="Times New Roman"/>
                <w:spacing w:val="12"/>
                <w:sz w:val="20"/>
                <w:szCs w:val="20"/>
              </w:rPr>
              <w:t>[a]</w:t>
            </w:r>
            <w:r>
              <w:rPr>
                <w:spacing w:val="12"/>
                <w:sz w:val="20"/>
                <w:szCs w:val="20"/>
              </w:rPr>
              <w:t>蒽、苯并</w:t>
            </w:r>
            <w:r>
              <w:rPr>
                <w:rFonts w:ascii="Times New Roman" w:hAnsi="Times New Roman" w:eastAsia="Times New Roman" w:cs="Times New Roman"/>
                <w:spacing w:val="12"/>
                <w:sz w:val="20"/>
                <w:szCs w:val="20"/>
              </w:rPr>
              <w:t>[a]</w:t>
            </w:r>
            <w:r>
              <w:rPr>
                <w:rFonts w:ascii="Times New Roman" w:hAnsi="Times New Roman" w:eastAsia="Times New Roman" w:cs="Times New Roman"/>
                <w:spacing w:val="7"/>
                <w:sz w:val="20"/>
                <w:szCs w:val="20"/>
              </w:rPr>
              <w:t xml:space="preserve">  </w:t>
            </w:r>
            <w:r>
              <w:rPr>
                <w:spacing w:val="3"/>
                <w:sz w:val="20"/>
                <w:szCs w:val="20"/>
              </w:rPr>
              <w:t>芘、苯并荧</w:t>
            </w:r>
            <w:r>
              <w:rPr>
                <w:rFonts w:ascii="Times New Roman" w:hAnsi="Times New Roman" w:eastAsia="Times New Roman" w:cs="Times New Roman"/>
                <w:spacing w:val="3"/>
                <w:sz w:val="20"/>
                <w:szCs w:val="20"/>
              </w:rPr>
              <w:t>[b]</w:t>
            </w:r>
            <w:r>
              <w:rPr>
                <w:spacing w:val="3"/>
                <w:sz w:val="20"/>
                <w:szCs w:val="20"/>
              </w:rPr>
              <w:t>蒽、苯并荧</w:t>
            </w:r>
            <w:r>
              <w:rPr>
                <w:rFonts w:ascii="Times New Roman" w:hAnsi="Times New Roman" w:eastAsia="Times New Roman" w:cs="Times New Roman"/>
                <w:spacing w:val="3"/>
                <w:sz w:val="20"/>
                <w:szCs w:val="20"/>
              </w:rPr>
              <w:t>[k]</w:t>
            </w:r>
            <w:r>
              <w:rPr>
                <w:spacing w:val="3"/>
                <w:sz w:val="20"/>
                <w:szCs w:val="20"/>
              </w:rPr>
              <w:t>蒽、䓛、</w:t>
            </w:r>
            <w:r>
              <w:rPr>
                <w:spacing w:val="7"/>
                <w:sz w:val="20"/>
                <w:szCs w:val="20"/>
              </w:rPr>
              <w:t xml:space="preserve"> </w:t>
            </w:r>
            <w:r>
              <w:rPr>
                <w:spacing w:val="4"/>
                <w:sz w:val="20"/>
                <w:szCs w:val="20"/>
              </w:rPr>
              <w:t>二苯并</w:t>
            </w:r>
            <w:r>
              <w:rPr>
                <w:rFonts w:ascii="Times New Roman" w:hAnsi="Times New Roman" w:eastAsia="Times New Roman" w:cs="Times New Roman"/>
                <w:spacing w:val="4"/>
                <w:sz w:val="20"/>
                <w:szCs w:val="20"/>
              </w:rPr>
              <w:t>[a,h]</w:t>
            </w:r>
            <w:r>
              <w:rPr>
                <w:spacing w:val="4"/>
                <w:sz w:val="20"/>
                <w:szCs w:val="20"/>
              </w:rPr>
              <w:t>蒽、茚并</w:t>
            </w:r>
            <w:r>
              <w:rPr>
                <w:rFonts w:ascii="Times New Roman" w:hAnsi="Times New Roman" w:eastAsia="Times New Roman" w:cs="Times New Roman"/>
                <w:spacing w:val="4"/>
                <w:sz w:val="20"/>
                <w:szCs w:val="20"/>
              </w:rPr>
              <w:t>[1,2,3-</w:t>
            </w:r>
            <w:r>
              <w:rPr>
                <w:rFonts w:ascii="Times New Roman" w:hAnsi="Times New Roman" w:eastAsia="Times New Roman" w:cs="Times New Roman"/>
                <w:sz w:val="20"/>
                <w:szCs w:val="20"/>
              </w:rPr>
              <w:t>cd</w:t>
            </w:r>
            <w:r>
              <w:rPr>
                <w:rFonts w:ascii="Times New Roman" w:hAnsi="Times New Roman" w:eastAsia="Times New Roman" w:cs="Times New Roman"/>
                <w:spacing w:val="4"/>
                <w:sz w:val="20"/>
                <w:szCs w:val="20"/>
              </w:rPr>
              <w:t>]</w:t>
            </w:r>
            <w:r>
              <w:rPr>
                <w:spacing w:val="4"/>
                <w:sz w:val="20"/>
                <w:szCs w:val="20"/>
              </w:rPr>
              <w:t>芘、萘</w:t>
            </w:r>
            <w:r>
              <w:rPr>
                <w:spacing w:val="12"/>
                <w:sz w:val="20"/>
                <w:szCs w:val="20"/>
              </w:rPr>
              <w:t xml:space="preserve"> </w:t>
            </w:r>
            <w:r>
              <w:rPr>
                <w:spacing w:val="6"/>
                <w:sz w:val="20"/>
                <w:szCs w:val="20"/>
              </w:rPr>
              <w:t>等指标</w:t>
            </w:r>
          </w:p>
        </w:tc>
        <w:tc>
          <w:tcPr>
            <w:tcW w:w="284" w:type="dxa"/>
            <w:vMerge w:val="continue"/>
            <w:tcBorders>
              <w:top w:val="nil"/>
              <w:bottom w:val="single" w:color="000000" w:sz="6" w:space="0"/>
              <w:right w:val="single" w:color="000000" w:sz="6" w:space="0"/>
            </w:tcBorders>
            <w:vAlign w:val="top"/>
          </w:tcPr>
          <w:p w14:paraId="23D58530">
            <w:pPr>
              <w:rPr>
                <w:rFonts w:ascii="Arial"/>
                <w:sz w:val="21"/>
              </w:rPr>
            </w:pPr>
          </w:p>
        </w:tc>
      </w:tr>
    </w:tbl>
    <w:p w14:paraId="2C7CC9FA">
      <w:pPr>
        <w:rPr>
          <w:rFonts w:ascii="Arial"/>
          <w:sz w:val="21"/>
        </w:rPr>
      </w:pPr>
    </w:p>
    <w:p w14:paraId="7B57760A">
      <w:pPr>
        <w:rPr>
          <w:rFonts w:ascii="Arial" w:hAnsi="Arial" w:eastAsia="Arial" w:cs="Arial"/>
          <w:sz w:val="21"/>
          <w:szCs w:val="21"/>
        </w:rPr>
        <w:sectPr>
          <w:footerReference r:id="rId107" w:type="default"/>
          <w:pgSz w:w="11907" w:h="16840"/>
          <w:pgMar w:top="400" w:right="1453" w:bottom="1240" w:left="1453" w:header="0" w:footer="1077" w:gutter="0"/>
          <w:cols w:space="720" w:num="1"/>
        </w:sectPr>
      </w:pPr>
    </w:p>
    <w:p w14:paraId="761278BB">
      <w:pPr>
        <w:spacing w:before="19"/>
      </w:pPr>
      <w:r>
        <w:pict>
          <v:shape id="_x0000_s1047" o:spid="_x0000_s1047" style="position:absolute;left:0pt;margin-left:113.75pt;margin-top:744pt;height:0.5pt;width:397.6pt;mso-position-horizontal-relative:page;mso-position-vertical-relative:page;z-index:-251636736;mso-width-relative:page;mso-height-relative:page;" filled="f" stroked="t" coordsize="7952,10" o:allowincell="f" path="m0,4l7951,4e">
            <v:fill on="f" focussize="0,0"/>
            <v:stroke weight="0.48pt" color="#000000" miterlimit="2" joinstyle="bevel"/>
            <v:imagedata o:title=""/>
            <o:lock v:ext="edit"/>
          </v:shape>
        </w:pict>
      </w:r>
    </w:p>
    <w:p w14:paraId="5B6A036B">
      <w:pPr>
        <w:spacing w:before="19"/>
      </w:pPr>
    </w:p>
    <w:p w14:paraId="2BF26171">
      <w:pPr>
        <w:spacing w:before="19"/>
      </w:pPr>
    </w:p>
    <w:p w14:paraId="2E8A9EE0">
      <w:pPr>
        <w:spacing w:before="18"/>
      </w:pPr>
    </w:p>
    <w:p w14:paraId="6202C2B8">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221"/>
        <w:gridCol w:w="453"/>
        <w:gridCol w:w="1321"/>
        <w:gridCol w:w="1027"/>
        <w:gridCol w:w="1135"/>
        <w:gridCol w:w="1552"/>
        <w:gridCol w:w="1161"/>
        <w:gridCol w:w="1279"/>
        <w:gridCol w:w="231"/>
      </w:tblGrid>
      <w:tr w14:paraId="1BF87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8" w:hRule="atLeast"/>
        </w:trPr>
        <w:tc>
          <w:tcPr>
            <w:tcW w:w="605" w:type="dxa"/>
            <w:vMerge w:val="restart"/>
            <w:tcBorders>
              <w:top w:val="single" w:color="000000" w:sz="6" w:space="0"/>
              <w:left w:val="single" w:color="000000" w:sz="6" w:space="0"/>
              <w:bottom w:val="nil"/>
            </w:tcBorders>
            <w:vAlign w:val="top"/>
          </w:tcPr>
          <w:p w14:paraId="7B04F486">
            <w:pPr>
              <w:rPr>
                <w:rFonts w:ascii="Arial"/>
                <w:sz w:val="21"/>
              </w:rPr>
            </w:pPr>
          </w:p>
        </w:tc>
        <w:tc>
          <w:tcPr>
            <w:tcW w:w="8380" w:type="dxa"/>
            <w:gridSpan w:val="9"/>
            <w:tcBorders>
              <w:top w:val="single" w:color="000000" w:sz="6" w:space="0"/>
              <w:right w:val="single" w:color="000000" w:sz="6" w:space="0"/>
            </w:tcBorders>
            <w:vAlign w:val="top"/>
          </w:tcPr>
          <w:p w14:paraId="5F9A2042">
            <w:pPr>
              <w:pStyle w:val="6"/>
              <w:spacing w:before="160" w:line="289" w:lineRule="auto"/>
              <w:ind w:left="109" w:right="101" w:firstLine="480"/>
            </w:pPr>
            <w:r>
              <w:rPr>
                <w:rFonts w:ascii="Times New Roman" w:hAnsi="Times New Roman" w:eastAsia="Times New Roman" w:cs="Times New Roman"/>
                <w:spacing w:val="-4"/>
              </w:rPr>
              <w:t>6</w:t>
            </w:r>
            <w:r>
              <w:rPr>
                <w:spacing w:val="-4"/>
              </w:rPr>
              <w:t>、生态：本项目不在专业的产业园区内，用地范围内没有生态环境保护目</w:t>
            </w:r>
            <w:r>
              <w:rPr>
                <w:spacing w:val="10"/>
              </w:rPr>
              <w:t xml:space="preserve"> </w:t>
            </w:r>
            <w:r>
              <w:rPr>
                <w:spacing w:val="-1"/>
              </w:rPr>
              <w:t>标，项目建设不再采取必要的生态保护措施。</w:t>
            </w:r>
          </w:p>
          <w:p w14:paraId="169716BA">
            <w:pPr>
              <w:pStyle w:val="6"/>
              <w:spacing w:before="184" w:line="331" w:lineRule="auto"/>
              <w:ind w:left="109" w:firstLine="478"/>
              <w:rPr>
                <w:sz w:val="20"/>
                <w:szCs w:val="20"/>
              </w:rPr>
            </w:pPr>
            <w:r>
              <w:rPr>
                <w:rFonts w:ascii="Times New Roman" w:hAnsi="Times New Roman" w:eastAsia="Times New Roman" w:cs="Times New Roman"/>
                <w:spacing w:val="-14"/>
              </w:rPr>
              <w:t>7</w:t>
            </w:r>
            <w:r>
              <w:rPr>
                <w:spacing w:val="-14"/>
              </w:rPr>
              <w:t>、环境风险：根据《建设项目环境影响报告表编制技术指</w:t>
            </w:r>
            <w:r>
              <w:rPr>
                <w:spacing w:val="-15"/>
              </w:rPr>
              <w:t>南（污染影响类）》</w:t>
            </w:r>
            <w:r>
              <w:t xml:space="preserve"> （试行</w:t>
            </w:r>
            <w:r>
              <w:rPr>
                <w:spacing w:val="11"/>
              </w:rPr>
              <w:t>），</w:t>
            </w:r>
            <w:r>
              <w:t>本项目使用的有毒有害和易燃易爆危险物质存储量超过了临界量，</w:t>
            </w:r>
            <w:r>
              <w:rPr>
                <w:spacing w:val="1"/>
              </w:rPr>
              <w:t xml:space="preserve"> </w:t>
            </w:r>
            <w:r>
              <w:t>需设置环境风险专项评价。在认真落实专项评价中提出的</w:t>
            </w:r>
            <w:r>
              <w:rPr>
                <w:spacing w:val="-1"/>
              </w:rPr>
              <w:t>防范与应急措施，本</w:t>
            </w:r>
            <w:r>
              <w:t xml:space="preserve">  项目风险事故对周围影响是可以接受的，所产生的环境风险可以</w:t>
            </w:r>
            <w:r>
              <w:rPr>
                <w:spacing w:val="-1"/>
              </w:rPr>
              <w:t>控制在可接受</w:t>
            </w:r>
            <w:r>
              <w:t xml:space="preserve">  </w:t>
            </w:r>
            <w:r>
              <w:rPr>
                <w:spacing w:val="-2"/>
              </w:rPr>
              <w:t>风险水平之内</w:t>
            </w:r>
            <w:r>
              <w:rPr>
                <w:spacing w:val="-2"/>
                <w:sz w:val="20"/>
                <w:szCs w:val="20"/>
              </w:rPr>
              <w:t>。</w:t>
            </w:r>
          </w:p>
          <w:p w14:paraId="2C6716B2">
            <w:pPr>
              <w:pStyle w:val="6"/>
              <w:spacing w:before="179" w:line="219" w:lineRule="auto"/>
              <w:ind w:left="593"/>
            </w:pPr>
            <w:r>
              <w:rPr>
                <w:rFonts w:ascii="Times New Roman" w:hAnsi="Times New Roman" w:eastAsia="Times New Roman" w:cs="Times New Roman"/>
                <w:spacing w:val="-2"/>
              </w:rPr>
              <w:t>8</w:t>
            </w:r>
            <w:r>
              <w:rPr>
                <w:rFonts w:ascii="Times New Roman" w:hAnsi="Times New Roman" w:eastAsia="Times New Roman" w:cs="Times New Roman"/>
                <w:spacing w:val="-20"/>
              </w:rPr>
              <w:t xml:space="preserve"> </w:t>
            </w:r>
            <w:r>
              <w:rPr>
                <w:spacing w:val="-2"/>
              </w:rPr>
              <w:t>、电磁辐射：本项目是宝石的初加工项目，不涉及电磁辐射。</w:t>
            </w:r>
          </w:p>
          <w:p w14:paraId="2D57AB39">
            <w:pPr>
              <w:pStyle w:val="6"/>
              <w:spacing w:before="183" w:line="219" w:lineRule="auto"/>
              <w:ind w:left="588"/>
            </w:pPr>
            <w:r>
              <w:rPr>
                <w:rFonts w:ascii="Times New Roman" w:hAnsi="Times New Roman" w:eastAsia="Times New Roman" w:cs="Times New Roman"/>
                <w:spacing w:val="-7"/>
              </w:rPr>
              <w:t>9</w:t>
            </w:r>
            <w:r>
              <w:rPr>
                <w:rFonts w:ascii="Times New Roman" w:hAnsi="Times New Roman" w:eastAsia="Times New Roman" w:cs="Times New Roman"/>
                <w:spacing w:val="-26"/>
              </w:rPr>
              <w:t xml:space="preserve"> </w:t>
            </w:r>
            <w:r>
              <w:rPr>
                <w:spacing w:val="-7"/>
              </w:rPr>
              <w:t>、项目“三本账</w:t>
            </w:r>
            <w:r>
              <w:rPr>
                <w:spacing w:val="-88"/>
              </w:rPr>
              <w:t xml:space="preserve"> </w:t>
            </w:r>
            <w:r>
              <w:rPr>
                <w:spacing w:val="-7"/>
              </w:rPr>
              <w:t>”核算</w:t>
            </w:r>
          </w:p>
          <w:p w14:paraId="287B3CF2">
            <w:pPr>
              <w:pStyle w:val="6"/>
              <w:spacing w:before="180" w:line="361" w:lineRule="auto"/>
              <w:ind w:left="109" w:right="101" w:firstLine="497"/>
            </w:pPr>
            <w:r>
              <w:rPr>
                <w:spacing w:val="-1"/>
              </w:rPr>
              <w:t>因原项目未建设注胶加工车间，本项目需新增注胶设备，新增环氧树脂、</w:t>
            </w:r>
            <w:r>
              <w:rPr>
                <w:spacing w:val="12"/>
              </w:rPr>
              <w:t xml:space="preserve"> </w:t>
            </w:r>
            <w:r>
              <w:t>乙醇、丙酮、三乙醇胺等原辅材料，新增有机废气、废活性炭等污染物的</w:t>
            </w:r>
            <w:r>
              <w:rPr>
                <w:spacing w:val="-1"/>
              </w:rPr>
              <w:t>产生</w:t>
            </w:r>
            <w:r>
              <w:t xml:space="preserve"> 和排放。本项目同时改扩建泡酸车间，项目建成后全厂的整体产排</w:t>
            </w:r>
            <w:r>
              <w:rPr>
                <w:spacing w:val="-1"/>
              </w:rPr>
              <w:t>污情况详见</w:t>
            </w:r>
            <w:r>
              <w:t xml:space="preserve"> </w:t>
            </w:r>
            <w:r>
              <w:rPr>
                <w:spacing w:val="-4"/>
              </w:rPr>
              <w:t>下表：</w:t>
            </w:r>
          </w:p>
          <w:p w14:paraId="0FE3D331">
            <w:pPr>
              <w:pStyle w:val="6"/>
              <w:spacing w:before="111" w:line="219" w:lineRule="auto"/>
              <w:ind w:left="1772"/>
            </w:pPr>
            <w:r>
              <w:rPr>
                <w:b/>
                <w:bCs/>
                <w:spacing w:val="-3"/>
              </w:rPr>
              <w:t>表</w:t>
            </w:r>
            <w:r>
              <w:rPr>
                <w:spacing w:val="-54"/>
              </w:rPr>
              <w:t xml:space="preserve"> </w:t>
            </w:r>
            <w:r>
              <w:rPr>
                <w:rFonts w:ascii="Times New Roman" w:hAnsi="Times New Roman" w:eastAsia="Times New Roman" w:cs="Times New Roman"/>
                <w:b/>
                <w:bCs/>
                <w:spacing w:val="-3"/>
              </w:rPr>
              <w:t xml:space="preserve">4-35    </w:t>
            </w:r>
            <w:r>
              <w:rPr>
                <w:b/>
                <w:bCs/>
                <w:spacing w:val="-3"/>
              </w:rPr>
              <w:t>本项目建成后全厂的“三本账</w:t>
            </w:r>
            <w:r>
              <w:rPr>
                <w:spacing w:val="-88"/>
              </w:rPr>
              <w:t xml:space="preserve"> </w:t>
            </w:r>
            <w:r>
              <w:rPr>
                <w:b/>
                <w:bCs/>
                <w:spacing w:val="-3"/>
              </w:rPr>
              <w:t>”</w:t>
            </w:r>
            <w:r>
              <w:rPr>
                <w:b/>
                <w:bCs/>
                <w:spacing w:val="-4"/>
              </w:rPr>
              <w:t>分析</w:t>
            </w:r>
          </w:p>
        </w:tc>
      </w:tr>
      <w:tr w14:paraId="4D033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05" w:type="dxa"/>
            <w:vMerge w:val="continue"/>
            <w:tcBorders>
              <w:top w:val="nil"/>
              <w:left w:val="single" w:color="000000" w:sz="6" w:space="0"/>
              <w:bottom w:val="nil"/>
            </w:tcBorders>
            <w:vAlign w:val="top"/>
          </w:tcPr>
          <w:p w14:paraId="12683B21">
            <w:pPr>
              <w:rPr>
                <w:rFonts w:ascii="Arial"/>
                <w:sz w:val="21"/>
              </w:rPr>
            </w:pPr>
          </w:p>
        </w:tc>
        <w:tc>
          <w:tcPr>
            <w:tcW w:w="221" w:type="dxa"/>
            <w:vMerge w:val="restart"/>
            <w:tcBorders>
              <w:top w:val="nil"/>
              <w:bottom w:val="nil"/>
            </w:tcBorders>
            <w:vAlign w:val="top"/>
          </w:tcPr>
          <w:p w14:paraId="22D7E438">
            <w:pPr>
              <w:rPr>
                <w:rFonts w:ascii="Arial"/>
                <w:sz w:val="21"/>
              </w:rPr>
            </w:pPr>
          </w:p>
        </w:tc>
        <w:tc>
          <w:tcPr>
            <w:tcW w:w="453" w:type="dxa"/>
            <w:textDirection w:val="tbRlV"/>
            <w:vAlign w:val="top"/>
          </w:tcPr>
          <w:p w14:paraId="406EADA3">
            <w:pPr>
              <w:pStyle w:val="6"/>
              <w:spacing w:before="125" w:line="216" w:lineRule="auto"/>
              <w:ind w:left="176"/>
              <w:rPr>
                <w:sz w:val="20"/>
                <w:szCs w:val="20"/>
              </w:rPr>
            </w:pPr>
            <w:r>
              <w:rPr>
                <w:spacing w:val="8"/>
                <w:sz w:val="20"/>
                <w:szCs w:val="20"/>
              </w:rPr>
              <w:t>类</w:t>
            </w:r>
            <w:r>
              <w:rPr>
                <w:spacing w:val="-38"/>
                <w:sz w:val="20"/>
                <w:szCs w:val="20"/>
              </w:rPr>
              <w:t xml:space="preserve"> </w:t>
            </w:r>
            <w:r>
              <w:rPr>
                <w:spacing w:val="8"/>
                <w:sz w:val="20"/>
                <w:szCs w:val="20"/>
              </w:rPr>
              <w:t>别</w:t>
            </w:r>
          </w:p>
        </w:tc>
        <w:tc>
          <w:tcPr>
            <w:tcW w:w="1321" w:type="dxa"/>
            <w:vAlign w:val="top"/>
          </w:tcPr>
          <w:p w14:paraId="67645DB6">
            <w:pPr>
              <w:spacing w:line="244" w:lineRule="auto"/>
              <w:rPr>
                <w:rFonts w:ascii="Arial"/>
                <w:sz w:val="21"/>
              </w:rPr>
            </w:pPr>
          </w:p>
          <w:p w14:paraId="7C33C08F">
            <w:pPr>
              <w:pStyle w:val="6"/>
              <w:spacing w:before="65" w:line="228" w:lineRule="auto"/>
              <w:ind w:left="346"/>
              <w:rPr>
                <w:sz w:val="20"/>
                <w:szCs w:val="20"/>
              </w:rPr>
            </w:pPr>
            <w:r>
              <w:rPr>
                <w:spacing w:val="6"/>
                <w:sz w:val="20"/>
                <w:szCs w:val="20"/>
              </w:rPr>
              <w:t>污染物</w:t>
            </w:r>
          </w:p>
        </w:tc>
        <w:tc>
          <w:tcPr>
            <w:tcW w:w="1027" w:type="dxa"/>
            <w:vAlign w:val="top"/>
          </w:tcPr>
          <w:p w14:paraId="5A539633">
            <w:pPr>
              <w:pStyle w:val="6"/>
              <w:spacing w:before="39" w:line="228" w:lineRule="auto"/>
              <w:ind w:left="201"/>
              <w:rPr>
                <w:sz w:val="20"/>
                <w:szCs w:val="20"/>
              </w:rPr>
            </w:pPr>
            <w:r>
              <w:rPr>
                <w:spacing w:val="6"/>
                <w:sz w:val="20"/>
                <w:szCs w:val="20"/>
              </w:rPr>
              <w:t>现有工</w:t>
            </w:r>
          </w:p>
          <w:p w14:paraId="384C6D16">
            <w:pPr>
              <w:pStyle w:val="6"/>
              <w:spacing w:before="23" w:line="231" w:lineRule="auto"/>
              <w:ind w:left="108" w:right="101" w:firstLine="90"/>
              <w:rPr>
                <w:sz w:val="20"/>
                <w:szCs w:val="20"/>
              </w:rPr>
            </w:pPr>
            <w:r>
              <w:rPr>
                <w:spacing w:val="7"/>
                <w:sz w:val="20"/>
                <w:szCs w:val="20"/>
              </w:rPr>
              <w:t>程排放</w:t>
            </w:r>
            <w:r>
              <w:rPr>
                <w:sz w:val="20"/>
                <w:szCs w:val="20"/>
              </w:rPr>
              <w:t xml:space="preserve">  </w:t>
            </w:r>
            <w:r>
              <w:rPr>
                <w:spacing w:val="1"/>
                <w:sz w:val="20"/>
                <w:szCs w:val="20"/>
              </w:rPr>
              <w:t>量（</w:t>
            </w:r>
            <w:r>
              <w:rPr>
                <w:rFonts w:ascii="Times New Roman" w:hAnsi="Times New Roman" w:eastAsia="Times New Roman" w:cs="Times New Roman"/>
                <w:spacing w:val="1"/>
                <w:sz w:val="20"/>
                <w:szCs w:val="20"/>
              </w:rPr>
              <w:t>t/a</w:t>
            </w:r>
            <w:r>
              <w:rPr>
                <w:spacing w:val="1"/>
                <w:sz w:val="20"/>
                <w:szCs w:val="20"/>
              </w:rPr>
              <w:t>）</w:t>
            </w:r>
          </w:p>
        </w:tc>
        <w:tc>
          <w:tcPr>
            <w:tcW w:w="1135" w:type="dxa"/>
            <w:vAlign w:val="top"/>
          </w:tcPr>
          <w:p w14:paraId="69C4D3E2">
            <w:pPr>
              <w:pStyle w:val="6"/>
              <w:spacing w:before="177" w:line="252" w:lineRule="auto"/>
              <w:ind w:left="111" w:right="20" w:firstLine="41"/>
              <w:rPr>
                <w:sz w:val="20"/>
                <w:szCs w:val="20"/>
              </w:rPr>
            </w:pPr>
            <w:r>
              <w:rPr>
                <w:spacing w:val="7"/>
                <w:sz w:val="20"/>
                <w:szCs w:val="20"/>
              </w:rPr>
              <w:t>本项目排</w:t>
            </w:r>
            <w:r>
              <w:rPr>
                <w:sz w:val="20"/>
                <w:szCs w:val="20"/>
              </w:rPr>
              <w:t xml:space="preserve">  </w:t>
            </w:r>
            <w:r>
              <w:rPr>
                <w:spacing w:val="-1"/>
                <w:sz w:val="20"/>
                <w:szCs w:val="20"/>
              </w:rPr>
              <w:t>放量（</w:t>
            </w:r>
            <w:r>
              <w:rPr>
                <w:rFonts w:ascii="Times New Roman" w:hAnsi="Times New Roman" w:eastAsia="Times New Roman" w:cs="Times New Roman"/>
                <w:spacing w:val="-1"/>
                <w:sz w:val="20"/>
                <w:szCs w:val="20"/>
              </w:rPr>
              <w:t>t/a</w:t>
            </w:r>
            <w:r>
              <w:rPr>
                <w:spacing w:val="-1"/>
                <w:sz w:val="20"/>
                <w:szCs w:val="20"/>
              </w:rPr>
              <w:t>）</w:t>
            </w:r>
          </w:p>
        </w:tc>
        <w:tc>
          <w:tcPr>
            <w:tcW w:w="1552" w:type="dxa"/>
            <w:vAlign w:val="top"/>
          </w:tcPr>
          <w:p w14:paraId="05816F02">
            <w:pPr>
              <w:pStyle w:val="6"/>
              <w:spacing w:before="39" w:line="227" w:lineRule="auto"/>
              <w:ind w:left="153"/>
              <w:rPr>
                <w:sz w:val="20"/>
                <w:szCs w:val="20"/>
              </w:rPr>
            </w:pPr>
            <w:r>
              <w:rPr>
                <w:spacing w:val="8"/>
                <w:sz w:val="20"/>
                <w:szCs w:val="20"/>
              </w:rPr>
              <w:t>本项目建成后</w:t>
            </w:r>
          </w:p>
          <w:p w14:paraId="3A9AD472">
            <w:pPr>
              <w:pStyle w:val="6"/>
              <w:spacing w:before="25" w:line="228" w:lineRule="auto"/>
              <w:ind w:left="152"/>
              <w:rPr>
                <w:sz w:val="20"/>
                <w:szCs w:val="20"/>
              </w:rPr>
            </w:pPr>
            <w:r>
              <w:rPr>
                <w:spacing w:val="8"/>
                <w:sz w:val="20"/>
                <w:szCs w:val="20"/>
              </w:rPr>
              <w:t>全厂总排放量</w:t>
            </w:r>
          </w:p>
          <w:p w14:paraId="47CF69FE">
            <w:pPr>
              <w:pStyle w:val="6"/>
              <w:spacing w:before="26" w:line="209" w:lineRule="auto"/>
              <w:ind w:left="476"/>
              <w:rPr>
                <w:sz w:val="20"/>
                <w:szCs w:val="20"/>
              </w:rPr>
            </w:pPr>
            <w:r>
              <w:rPr>
                <w:sz w:val="20"/>
                <w:szCs w:val="20"/>
              </w:rPr>
              <w:t>（</w:t>
            </w:r>
            <w:r>
              <w:rPr>
                <w:rFonts w:ascii="Times New Roman" w:hAnsi="Times New Roman" w:eastAsia="Times New Roman" w:cs="Times New Roman"/>
                <w:sz w:val="20"/>
                <w:szCs w:val="20"/>
              </w:rPr>
              <w:t>t/a</w:t>
            </w:r>
            <w:r>
              <w:rPr>
                <w:sz w:val="20"/>
                <w:szCs w:val="20"/>
              </w:rPr>
              <w:t>）</w:t>
            </w:r>
          </w:p>
        </w:tc>
        <w:tc>
          <w:tcPr>
            <w:tcW w:w="1161" w:type="dxa"/>
            <w:vAlign w:val="top"/>
          </w:tcPr>
          <w:p w14:paraId="6E8DA19E">
            <w:pPr>
              <w:pStyle w:val="6"/>
              <w:spacing w:before="40" w:line="251" w:lineRule="auto"/>
              <w:ind w:left="136" w:right="122" w:firstLine="57"/>
              <w:rPr>
                <w:rFonts w:ascii="Times New Roman" w:hAnsi="Times New Roman" w:eastAsia="Times New Roman" w:cs="Times New Roman"/>
                <w:sz w:val="20"/>
                <w:szCs w:val="20"/>
              </w:rPr>
            </w:pPr>
            <w:r>
              <w:rPr>
                <w:spacing w:val="1"/>
                <w:sz w:val="20"/>
                <w:szCs w:val="20"/>
              </w:rPr>
              <w:t xml:space="preserve">以新带老 </w:t>
            </w:r>
            <w:r>
              <w:rPr>
                <w:rFonts w:ascii="Times New Roman" w:hAnsi="Times New Roman" w:eastAsia="Times New Roman" w:cs="Times New Roman"/>
                <w:spacing w:val="23"/>
                <w:sz w:val="20"/>
                <w:szCs w:val="20"/>
              </w:rPr>
              <w:t>“</w:t>
            </w:r>
            <w:r>
              <w:rPr>
                <w:spacing w:val="23"/>
                <w:sz w:val="20"/>
                <w:szCs w:val="20"/>
              </w:rPr>
              <w:t>削减量</w:t>
            </w:r>
            <w:r>
              <w:rPr>
                <w:rFonts w:ascii="Times New Roman" w:hAnsi="Times New Roman" w:eastAsia="Times New Roman" w:cs="Times New Roman"/>
                <w:spacing w:val="23"/>
                <w:sz w:val="20"/>
                <w:szCs w:val="20"/>
              </w:rPr>
              <w:t>”</w:t>
            </w:r>
          </w:p>
          <w:p w14:paraId="37941C93">
            <w:pPr>
              <w:pStyle w:val="6"/>
              <w:spacing w:line="209" w:lineRule="auto"/>
              <w:ind w:left="285"/>
              <w:rPr>
                <w:sz w:val="20"/>
                <w:szCs w:val="20"/>
              </w:rPr>
            </w:pP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1279" w:type="dxa"/>
            <w:vAlign w:val="top"/>
          </w:tcPr>
          <w:p w14:paraId="5C1DEA73">
            <w:pPr>
              <w:pStyle w:val="6"/>
              <w:spacing w:before="176" w:line="229" w:lineRule="auto"/>
              <w:ind w:left="125"/>
              <w:rPr>
                <w:sz w:val="20"/>
                <w:szCs w:val="20"/>
              </w:rPr>
            </w:pPr>
            <w:r>
              <w:rPr>
                <w:spacing w:val="7"/>
                <w:sz w:val="20"/>
                <w:szCs w:val="20"/>
              </w:rPr>
              <w:t>增减量变化</w:t>
            </w:r>
          </w:p>
          <w:p w14:paraId="79121FB3">
            <w:pPr>
              <w:pStyle w:val="6"/>
              <w:spacing w:before="22"/>
              <w:ind w:left="346"/>
              <w:rPr>
                <w:sz w:val="20"/>
                <w:szCs w:val="20"/>
              </w:rPr>
            </w:pP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231" w:type="dxa"/>
            <w:vMerge w:val="restart"/>
            <w:tcBorders>
              <w:top w:val="nil"/>
              <w:bottom w:val="nil"/>
              <w:right w:val="single" w:color="000000" w:sz="6" w:space="0"/>
            </w:tcBorders>
            <w:vAlign w:val="top"/>
          </w:tcPr>
          <w:p w14:paraId="393EC8E6">
            <w:pPr>
              <w:rPr>
                <w:rFonts w:ascii="Arial"/>
                <w:sz w:val="21"/>
              </w:rPr>
            </w:pPr>
          </w:p>
        </w:tc>
      </w:tr>
      <w:tr w14:paraId="5B7AE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60DB4517">
            <w:pPr>
              <w:rPr>
                <w:rFonts w:ascii="Arial"/>
                <w:sz w:val="21"/>
              </w:rPr>
            </w:pPr>
          </w:p>
        </w:tc>
        <w:tc>
          <w:tcPr>
            <w:tcW w:w="221" w:type="dxa"/>
            <w:vMerge w:val="continue"/>
            <w:tcBorders>
              <w:top w:val="nil"/>
              <w:bottom w:val="nil"/>
            </w:tcBorders>
            <w:vAlign w:val="top"/>
          </w:tcPr>
          <w:p w14:paraId="4A2FD872">
            <w:pPr>
              <w:rPr>
                <w:rFonts w:ascii="Arial"/>
                <w:sz w:val="21"/>
              </w:rPr>
            </w:pPr>
          </w:p>
        </w:tc>
        <w:tc>
          <w:tcPr>
            <w:tcW w:w="453" w:type="dxa"/>
            <w:vMerge w:val="restart"/>
            <w:tcBorders>
              <w:bottom w:val="nil"/>
            </w:tcBorders>
            <w:textDirection w:val="tbRlV"/>
            <w:vAlign w:val="top"/>
          </w:tcPr>
          <w:p w14:paraId="3F71C87B">
            <w:pPr>
              <w:pStyle w:val="6"/>
              <w:spacing w:before="126" w:line="217" w:lineRule="auto"/>
              <w:ind w:left="1846"/>
              <w:rPr>
                <w:sz w:val="20"/>
                <w:szCs w:val="20"/>
              </w:rPr>
            </w:pPr>
            <w:r>
              <w:rPr>
                <w:spacing w:val="8"/>
                <w:sz w:val="20"/>
                <w:szCs w:val="20"/>
              </w:rPr>
              <w:t>废</w:t>
            </w:r>
            <w:r>
              <w:rPr>
                <w:spacing w:val="-38"/>
                <w:sz w:val="20"/>
                <w:szCs w:val="20"/>
              </w:rPr>
              <w:t xml:space="preserve"> </w:t>
            </w:r>
            <w:r>
              <w:rPr>
                <w:spacing w:val="8"/>
                <w:sz w:val="20"/>
                <w:szCs w:val="20"/>
              </w:rPr>
              <w:t>气</w:t>
            </w:r>
          </w:p>
        </w:tc>
        <w:tc>
          <w:tcPr>
            <w:tcW w:w="1321" w:type="dxa"/>
            <w:vAlign w:val="top"/>
          </w:tcPr>
          <w:p w14:paraId="18D932C4">
            <w:pPr>
              <w:pStyle w:val="6"/>
              <w:spacing w:before="130" w:line="228" w:lineRule="auto"/>
              <w:ind w:left="139"/>
              <w:rPr>
                <w:sz w:val="20"/>
                <w:szCs w:val="20"/>
              </w:rPr>
            </w:pPr>
            <w:r>
              <w:rPr>
                <w:spacing w:val="7"/>
                <w:sz w:val="20"/>
                <w:szCs w:val="20"/>
              </w:rPr>
              <w:t>非甲烷总烃</w:t>
            </w:r>
          </w:p>
        </w:tc>
        <w:tc>
          <w:tcPr>
            <w:tcW w:w="1027" w:type="dxa"/>
            <w:vAlign w:val="top"/>
          </w:tcPr>
          <w:p w14:paraId="1E0A5C49">
            <w:pPr>
              <w:spacing w:before="1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5" w:type="dxa"/>
            <w:vAlign w:val="top"/>
          </w:tcPr>
          <w:p w14:paraId="78C3B328">
            <w:pPr>
              <w:spacing w:before="16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5.081</w:t>
            </w:r>
          </w:p>
        </w:tc>
        <w:tc>
          <w:tcPr>
            <w:tcW w:w="1552" w:type="dxa"/>
            <w:vAlign w:val="top"/>
          </w:tcPr>
          <w:p w14:paraId="7C49753A">
            <w:pPr>
              <w:spacing w:before="168"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5.081</w:t>
            </w:r>
          </w:p>
        </w:tc>
        <w:tc>
          <w:tcPr>
            <w:tcW w:w="1161" w:type="dxa"/>
            <w:vAlign w:val="top"/>
          </w:tcPr>
          <w:p w14:paraId="0BA6684D">
            <w:pPr>
              <w:spacing w:before="168"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7EE6162F">
            <w:pPr>
              <w:spacing w:before="168"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+5.081</w:t>
            </w:r>
          </w:p>
        </w:tc>
        <w:tc>
          <w:tcPr>
            <w:tcW w:w="231" w:type="dxa"/>
            <w:vMerge w:val="continue"/>
            <w:tcBorders>
              <w:top w:val="nil"/>
              <w:bottom w:val="nil"/>
              <w:right w:val="single" w:color="000000" w:sz="6" w:space="0"/>
            </w:tcBorders>
            <w:vAlign w:val="top"/>
          </w:tcPr>
          <w:p w14:paraId="275AA001">
            <w:pPr>
              <w:rPr>
                <w:rFonts w:ascii="Arial"/>
                <w:sz w:val="21"/>
              </w:rPr>
            </w:pPr>
          </w:p>
        </w:tc>
      </w:tr>
      <w:tr w14:paraId="183E0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56409A18">
            <w:pPr>
              <w:rPr>
                <w:rFonts w:ascii="Arial"/>
                <w:sz w:val="21"/>
              </w:rPr>
            </w:pPr>
          </w:p>
        </w:tc>
        <w:tc>
          <w:tcPr>
            <w:tcW w:w="221" w:type="dxa"/>
            <w:vMerge w:val="continue"/>
            <w:tcBorders>
              <w:top w:val="nil"/>
              <w:bottom w:val="nil"/>
            </w:tcBorders>
            <w:vAlign w:val="top"/>
          </w:tcPr>
          <w:p w14:paraId="6799FE73">
            <w:pPr>
              <w:rPr>
                <w:rFonts w:ascii="Arial"/>
                <w:sz w:val="21"/>
              </w:rPr>
            </w:pPr>
          </w:p>
        </w:tc>
        <w:tc>
          <w:tcPr>
            <w:tcW w:w="453" w:type="dxa"/>
            <w:vMerge w:val="continue"/>
            <w:tcBorders>
              <w:top w:val="nil"/>
              <w:bottom w:val="nil"/>
            </w:tcBorders>
            <w:textDirection w:val="tbRlV"/>
            <w:vAlign w:val="top"/>
          </w:tcPr>
          <w:p w14:paraId="51582816">
            <w:pPr>
              <w:rPr>
                <w:rFonts w:ascii="Arial"/>
                <w:sz w:val="21"/>
              </w:rPr>
            </w:pPr>
          </w:p>
        </w:tc>
        <w:tc>
          <w:tcPr>
            <w:tcW w:w="1321" w:type="dxa"/>
            <w:vAlign w:val="top"/>
          </w:tcPr>
          <w:p w14:paraId="49E5D783">
            <w:pPr>
              <w:pStyle w:val="6"/>
              <w:spacing w:before="130" w:line="228" w:lineRule="auto"/>
              <w:ind w:left="344"/>
              <w:rPr>
                <w:sz w:val="20"/>
                <w:szCs w:val="20"/>
              </w:rPr>
            </w:pPr>
            <w:r>
              <w:rPr>
                <w:spacing w:val="7"/>
                <w:sz w:val="20"/>
                <w:szCs w:val="20"/>
              </w:rPr>
              <w:t>颗粒物</w:t>
            </w:r>
          </w:p>
        </w:tc>
        <w:tc>
          <w:tcPr>
            <w:tcW w:w="1027" w:type="dxa"/>
            <w:vAlign w:val="top"/>
          </w:tcPr>
          <w:p w14:paraId="744449B7">
            <w:pPr>
              <w:spacing w:before="1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5" w:type="dxa"/>
            <w:vAlign w:val="top"/>
          </w:tcPr>
          <w:p w14:paraId="75FBB7C8">
            <w:pPr>
              <w:spacing w:before="16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552" w:type="dxa"/>
            <w:vAlign w:val="top"/>
          </w:tcPr>
          <w:p w14:paraId="7F2B8756">
            <w:pPr>
              <w:spacing w:before="16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161" w:type="dxa"/>
            <w:vAlign w:val="top"/>
          </w:tcPr>
          <w:p w14:paraId="710B7B4A">
            <w:pPr>
              <w:spacing w:before="168"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499A8707">
            <w:pPr>
              <w:spacing w:before="16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+0.0009</w:t>
            </w:r>
          </w:p>
        </w:tc>
        <w:tc>
          <w:tcPr>
            <w:tcW w:w="231" w:type="dxa"/>
            <w:vMerge w:val="continue"/>
            <w:tcBorders>
              <w:top w:val="nil"/>
              <w:bottom w:val="nil"/>
              <w:right w:val="single" w:color="000000" w:sz="6" w:space="0"/>
            </w:tcBorders>
            <w:vAlign w:val="top"/>
          </w:tcPr>
          <w:p w14:paraId="4DE2D498">
            <w:pPr>
              <w:rPr>
                <w:rFonts w:ascii="Arial"/>
                <w:sz w:val="21"/>
              </w:rPr>
            </w:pPr>
          </w:p>
        </w:tc>
      </w:tr>
      <w:tr w14:paraId="26639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5E3542D8">
            <w:pPr>
              <w:rPr>
                <w:rFonts w:ascii="Arial"/>
                <w:sz w:val="21"/>
              </w:rPr>
            </w:pPr>
          </w:p>
        </w:tc>
        <w:tc>
          <w:tcPr>
            <w:tcW w:w="221" w:type="dxa"/>
            <w:vMerge w:val="continue"/>
            <w:tcBorders>
              <w:top w:val="nil"/>
              <w:bottom w:val="nil"/>
            </w:tcBorders>
            <w:vAlign w:val="top"/>
          </w:tcPr>
          <w:p w14:paraId="0008260E">
            <w:pPr>
              <w:rPr>
                <w:rFonts w:ascii="Arial"/>
                <w:sz w:val="21"/>
              </w:rPr>
            </w:pPr>
          </w:p>
        </w:tc>
        <w:tc>
          <w:tcPr>
            <w:tcW w:w="453" w:type="dxa"/>
            <w:vMerge w:val="continue"/>
            <w:tcBorders>
              <w:top w:val="nil"/>
              <w:bottom w:val="nil"/>
            </w:tcBorders>
            <w:textDirection w:val="tbRlV"/>
            <w:vAlign w:val="top"/>
          </w:tcPr>
          <w:p w14:paraId="031FAE61">
            <w:pPr>
              <w:rPr>
                <w:rFonts w:ascii="Arial"/>
                <w:sz w:val="21"/>
              </w:rPr>
            </w:pPr>
          </w:p>
        </w:tc>
        <w:tc>
          <w:tcPr>
            <w:tcW w:w="1321" w:type="dxa"/>
            <w:vAlign w:val="top"/>
          </w:tcPr>
          <w:p w14:paraId="7C8C2FA4">
            <w:pPr>
              <w:spacing w:before="168" w:line="202" w:lineRule="auto"/>
              <w:ind w:left="49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1027" w:type="dxa"/>
            <w:vAlign w:val="top"/>
          </w:tcPr>
          <w:p w14:paraId="5023B92D">
            <w:pPr>
              <w:spacing w:before="1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5" w:type="dxa"/>
            <w:vAlign w:val="top"/>
          </w:tcPr>
          <w:p w14:paraId="60E53E9C">
            <w:pPr>
              <w:spacing w:before="16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w:t>
            </w:r>
          </w:p>
        </w:tc>
        <w:tc>
          <w:tcPr>
            <w:tcW w:w="1552" w:type="dxa"/>
            <w:vAlign w:val="top"/>
          </w:tcPr>
          <w:p w14:paraId="65F47C30">
            <w:pPr>
              <w:spacing w:before="16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w:t>
            </w:r>
          </w:p>
        </w:tc>
        <w:tc>
          <w:tcPr>
            <w:tcW w:w="1161" w:type="dxa"/>
            <w:vAlign w:val="top"/>
          </w:tcPr>
          <w:p w14:paraId="7EB76ACA">
            <w:pPr>
              <w:spacing w:before="168"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4FA02DF6">
            <w:pPr>
              <w:spacing w:before="16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+0.0028</w:t>
            </w:r>
          </w:p>
        </w:tc>
        <w:tc>
          <w:tcPr>
            <w:tcW w:w="231" w:type="dxa"/>
            <w:vMerge w:val="continue"/>
            <w:tcBorders>
              <w:top w:val="nil"/>
              <w:bottom w:val="nil"/>
              <w:right w:val="single" w:color="000000" w:sz="6" w:space="0"/>
            </w:tcBorders>
            <w:vAlign w:val="top"/>
          </w:tcPr>
          <w:p w14:paraId="52108B6E">
            <w:pPr>
              <w:rPr>
                <w:rFonts w:ascii="Arial"/>
                <w:sz w:val="21"/>
              </w:rPr>
            </w:pPr>
          </w:p>
        </w:tc>
      </w:tr>
      <w:tr w14:paraId="60928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481DBA4E">
            <w:pPr>
              <w:rPr>
                <w:rFonts w:ascii="Arial"/>
                <w:sz w:val="21"/>
              </w:rPr>
            </w:pPr>
          </w:p>
        </w:tc>
        <w:tc>
          <w:tcPr>
            <w:tcW w:w="221" w:type="dxa"/>
            <w:vMerge w:val="continue"/>
            <w:tcBorders>
              <w:top w:val="nil"/>
              <w:bottom w:val="nil"/>
            </w:tcBorders>
            <w:vAlign w:val="top"/>
          </w:tcPr>
          <w:p w14:paraId="20B5E8C1">
            <w:pPr>
              <w:rPr>
                <w:rFonts w:ascii="Arial"/>
                <w:sz w:val="21"/>
              </w:rPr>
            </w:pPr>
          </w:p>
        </w:tc>
        <w:tc>
          <w:tcPr>
            <w:tcW w:w="453" w:type="dxa"/>
            <w:vMerge w:val="continue"/>
            <w:tcBorders>
              <w:top w:val="nil"/>
              <w:bottom w:val="nil"/>
            </w:tcBorders>
            <w:textDirection w:val="tbRlV"/>
            <w:vAlign w:val="top"/>
          </w:tcPr>
          <w:p w14:paraId="5409A86B">
            <w:pPr>
              <w:rPr>
                <w:rFonts w:ascii="Arial"/>
                <w:sz w:val="21"/>
              </w:rPr>
            </w:pPr>
          </w:p>
        </w:tc>
        <w:tc>
          <w:tcPr>
            <w:tcW w:w="1321" w:type="dxa"/>
            <w:vAlign w:val="top"/>
          </w:tcPr>
          <w:p w14:paraId="093C2B34">
            <w:pPr>
              <w:spacing w:before="171" w:line="202" w:lineRule="auto"/>
              <w:ind w:left="449"/>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027" w:type="dxa"/>
            <w:vAlign w:val="top"/>
          </w:tcPr>
          <w:p w14:paraId="17CC3683">
            <w:pPr>
              <w:spacing w:before="171"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5" w:type="dxa"/>
            <w:vAlign w:val="top"/>
          </w:tcPr>
          <w:p w14:paraId="20DCD851">
            <w:pPr>
              <w:spacing w:before="17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0.0239</w:t>
            </w:r>
          </w:p>
        </w:tc>
        <w:tc>
          <w:tcPr>
            <w:tcW w:w="1552" w:type="dxa"/>
            <w:vAlign w:val="top"/>
          </w:tcPr>
          <w:p w14:paraId="01B1B795">
            <w:pPr>
              <w:spacing w:before="17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0.0239</w:t>
            </w:r>
          </w:p>
        </w:tc>
        <w:tc>
          <w:tcPr>
            <w:tcW w:w="1161" w:type="dxa"/>
            <w:vAlign w:val="top"/>
          </w:tcPr>
          <w:p w14:paraId="18CDE562">
            <w:pPr>
              <w:spacing w:before="17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2EB84C48">
            <w:pPr>
              <w:spacing w:before="171"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+0.0239</w:t>
            </w:r>
          </w:p>
        </w:tc>
        <w:tc>
          <w:tcPr>
            <w:tcW w:w="231" w:type="dxa"/>
            <w:vMerge w:val="continue"/>
            <w:tcBorders>
              <w:top w:val="nil"/>
              <w:bottom w:val="nil"/>
              <w:right w:val="single" w:color="000000" w:sz="6" w:space="0"/>
            </w:tcBorders>
            <w:vAlign w:val="top"/>
          </w:tcPr>
          <w:p w14:paraId="57831A74">
            <w:pPr>
              <w:rPr>
                <w:rFonts w:ascii="Arial"/>
                <w:sz w:val="21"/>
              </w:rPr>
            </w:pPr>
          </w:p>
        </w:tc>
      </w:tr>
      <w:tr w14:paraId="13C40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3EE25163">
            <w:pPr>
              <w:rPr>
                <w:rFonts w:ascii="Arial"/>
                <w:sz w:val="21"/>
              </w:rPr>
            </w:pPr>
          </w:p>
        </w:tc>
        <w:tc>
          <w:tcPr>
            <w:tcW w:w="221" w:type="dxa"/>
            <w:vMerge w:val="continue"/>
            <w:tcBorders>
              <w:top w:val="nil"/>
              <w:bottom w:val="nil"/>
            </w:tcBorders>
            <w:vAlign w:val="top"/>
          </w:tcPr>
          <w:p w14:paraId="16355F68">
            <w:pPr>
              <w:rPr>
                <w:rFonts w:ascii="Arial"/>
                <w:sz w:val="21"/>
              </w:rPr>
            </w:pPr>
          </w:p>
        </w:tc>
        <w:tc>
          <w:tcPr>
            <w:tcW w:w="453" w:type="dxa"/>
            <w:vMerge w:val="continue"/>
            <w:tcBorders>
              <w:top w:val="nil"/>
              <w:bottom w:val="nil"/>
            </w:tcBorders>
            <w:textDirection w:val="tbRlV"/>
            <w:vAlign w:val="top"/>
          </w:tcPr>
          <w:p w14:paraId="74C9D9EF">
            <w:pPr>
              <w:rPr>
                <w:rFonts w:ascii="Arial"/>
                <w:sz w:val="21"/>
              </w:rPr>
            </w:pPr>
          </w:p>
        </w:tc>
        <w:tc>
          <w:tcPr>
            <w:tcW w:w="1321" w:type="dxa"/>
            <w:vAlign w:val="top"/>
          </w:tcPr>
          <w:p w14:paraId="77C4CB0C">
            <w:pPr>
              <w:pStyle w:val="6"/>
              <w:spacing w:before="132" w:line="229" w:lineRule="auto"/>
              <w:ind w:left="348"/>
              <w:rPr>
                <w:sz w:val="20"/>
                <w:szCs w:val="20"/>
              </w:rPr>
            </w:pPr>
            <w:r>
              <w:rPr>
                <w:spacing w:val="5"/>
                <w:sz w:val="20"/>
                <w:szCs w:val="20"/>
              </w:rPr>
              <w:t>氯化氢</w:t>
            </w:r>
          </w:p>
        </w:tc>
        <w:tc>
          <w:tcPr>
            <w:tcW w:w="1027" w:type="dxa"/>
            <w:vAlign w:val="top"/>
          </w:tcPr>
          <w:p w14:paraId="7A4504F7">
            <w:pPr>
              <w:spacing w:before="17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0.135</w:t>
            </w:r>
          </w:p>
        </w:tc>
        <w:tc>
          <w:tcPr>
            <w:tcW w:w="1135" w:type="dxa"/>
            <w:vAlign w:val="top"/>
          </w:tcPr>
          <w:p w14:paraId="0E22F81B">
            <w:pPr>
              <w:spacing w:before="17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27.438</w:t>
            </w:r>
          </w:p>
        </w:tc>
        <w:tc>
          <w:tcPr>
            <w:tcW w:w="1552" w:type="dxa"/>
            <w:vAlign w:val="top"/>
          </w:tcPr>
          <w:p w14:paraId="25FFC1F1">
            <w:pPr>
              <w:spacing w:before="170"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27.53925</w:t>
            </w:r>
          </w:p>
        </w:tc>
        <w:tc>
          <w:tcPr>
            <w:tcW w:w="1161" w:type="dxa"/>
            <w:vAlign w:val="top"/>
          </w:tcPr>
          <w:p w14:paraId="21C64C4B">
            <w:pPr>
              <w:spacing w:before="170"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0.03375</w:t>
            </w:r>
          </w:p>
        </w:tc>
        <w:tc>
          <w:tcPr>
            <w:tcW w:w="1279" w:type="dxa"/>
            <w:vAlign w:val="top"/>
          </w:tcPr>
          <w:p w14:paraId="1C001714">
            <w:pPr>
              <w:spacing w:before="170"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+27.40425</w:t>
            </w:r>
          </w:p>
        </w:tc>
        <w:tc>
          <w:tcPr>
            <w:tcW w:w="231" w:type="dxa"/>
            <w:vMerge w:val="continue"/>
            <w:tcBorders>
              <w:top w:val="nil"/>
              <w:bottom w:val="nil"/>
              <w:right w:val="single" w:color="000000" w:sz="6" w:space="0"/>
            </w:tcBorders>
            <w:vAlign w:val="top"/>
          </w:tcPr>
          <w:p w14:paraId="3144F25D">
            <w:pPr>
              <w:rPr>
                <w:rFonts w:ascii="Arial"/>
                <w:sz w:val="21"/>
              </w:rPr>
            </w:pPr>
          </w:p>
        </w:tc>
      </w:tr>
      <w:tr w14:paraId="37256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05" w:type="dxa"/>
            <w:vMerge w:val="continue"/>
            <w:tcBorders>
              <w:top w:val="nil"/>
              <w:left w:val="single" w:color="000000" w:sz="6" w:space="0"/>
              <w:bottom w:val="nil"/>
            </w:tcBorders>
            <w:vAlign w:val="top"/>
          </w:tcPr>
          <w:p w14:paraId="5C391DCE">
            <w:pPr>
              <w:rPr>
                <w:rFonts w:ascii="Arial"/>
                <w:sz w:val="21"/>
              </w:rPr>
            </w:pPr>
          </w:p>
        </w:tc>
        <w:tc>
          <w:tcPr>
            <w:tcW w:w="221" w:type="dxa"/>
            <w:vMerge w:val="continue"/>
            <w:tcBorders>
              <w:top w:val="nil"/>
              <w:bottom w:val="nil"/>
            </w:tcBorders>
            <w:vAlign w:val="top"/>
          </w:tcPr>
          <w:p w14:paraId="29563DB3">
            <w:pPr>
              <w:rPr>
                <w:rFonts w:ascii="Arial"/>
                <w:sz w:val="21"/>
              </w:rPr>
            </w:pPr>
          </w:p>
        </w:tc>
        <w:tc>
          <w:tcPr>
            <w:tcW w:w="453" w:type="dxa"/>
            <w:vMerge w:val="continue"/>
            <w:tcBorders>
              <w:top w:val="nil"/>
              <w:bottom w:val="nil"/>
            </w:tcBorders>
            <w:textDirection w:val="tbRlV"/>
            <w:vAlign w:val="top"/>
          </w:tcPr>
          <w:p w14:paraId="6021C0F6">
            <w:pPr>
              <w:rPr>
                <w:rFonts w:ascii="Arial"/>
                <w:sz w:val="21"/>
              </w:rPr>
            </w:pPr>
          </w:p>
        </w:tc>
        <w:tc>
          <w:tcPr>
            <w:tcW w:w="1321" w:type="dxa"/>
            <w:vAlign w:val="top"/>
          </w:tcPr>
          <w:p w14:paraId="05B7E266">
            <w:pPr>
              <w:pStyle w:val="6"/>
              <w:spacing w:before="42" w:line="228" w:lineRule="auto"/>
              <w:ind w:left="136"/>
              <w:rPr>
                <w:sz w:val="20"/>
                <w:szCs w:val="20"/>
              </w:rPr>
            </w:pPr>
            <w:r>
              <w:rPr>
                <w:spacing w:val="7"/>
                <w:sz w:val="20"/>
                <w:szCs w:val="20"/>
              </w:rPr>
              <w:t>氟化氢（以</w:t>
            </w:r>
          </w:p>
          <w:p w14:paraId="6CEAC7E3">
            <w:pPr>
              <w:pStyle w:val="6"/>
              <w:spacing w:before="26" w:line="206" w:lineRule="auto"/>
              <w:ind w:left="136"/>
              <w:rPr>
                <w:sz w:val="20"/>
                <w:szCs w:val="20"/>
              </w:rPr>
            </w:pPr>
            <w:r>
              <w:rPr>
                <w:spacing w:val="5"/>
                <w:sz w:val="20"/>
                <w:szCs w:val="20"/>
              </w:rPr>
              <w:t>氟化物计）</w:t>
            </w:r>
          </w:p>
        </w:tc>
        <w:tc>
          <w:tcPr>
            <w:tcW w:w="1027" w:type="dxa"/>
            <w:vAlign w:val="top"/>
          </w:tcPr>
          <w:p w14:paraId="5AA5FA0A">
            <w:pPr>
              <w:spacing w:before="215"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0.045</w:t>
            </w:r>
          </w:p>
        </w:tc>
        <w:tc>
          <w:tcPr>
            <w:tcW w:w="1135" w:type="dxa"/>
            <w:vAlign w:val="top"/>
          </w:tcPr>
          <w:p w14:paraId="6B0C885A">
            <w:pPr>
              <w:spacing w:before="215"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4.078</w:t>
            </w:r>
          </w:p>
        </w:tc>
        <w:tc>
          <w:tcPr>
            <w:tcW w:w="1552" w:type="dxa"/>
            <w:vAlign w:val="top"/>
          </w:tcPr>
          <w:p w14:paraId="5EA2F9C7">
            <w:pPr>
              <w:spacing w:before="215"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4.11175</w:t>
            </w:r>
          </w:p>
        </w:tc>
        <w:tc>
          <w:tcPr>
            <w:tcW w:w="1161" w:type="dxa"/>
            <w:vAlign w:val="top"/>
          </w:tcPr>
          <w:p w14:paraId="01B88F58">
            <w:pPr>
              <w:spacing w:before="21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0.01125</w:t>
            </w:r>
          </w:p>
        </w:tc>
        <w:tc>
          <w:tcPr>
            <w:tcW w:w="1279" w:type="dxa"/>
            <w:vAlign w:val="top"/>
          </w:tcPr>
          <w:p w14:paraId="7B59DAB4">
            <w:pPr>
              <w:spacing w:before="215"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+4.06675</w:t>
            </w:r>
          </w:p>
        </w:tc>
        <w:tc>
          <w:tcPr>
            <w:tcW w:w="231" w:type="dxa"/>
            <w:vMerge w:val="continue"/>
            <w:tcBorders>
              <w:top w:val="nil"/>
              <w:bottom w:val="nil"/>
              <w:right w:val="single" w:color="000000" w:sz="6" w:space="0"/>
            </w:tcBorders>
            <w:vAlign w:val="top"/>
          </w:tcPr>
          <w:p w14:paraId="425910A3">
            <w:pPr>
              <w:rPr>
                <w:rFonts w:ascii="Arial"/>
                <w:sz w:val="21"/>
              </w:rPr>
            </w:pPr>
          </w:p>
        </w:tc>
      </w:tr>
      <w:tr w14:paraId="176DB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3ADDA0EA">
            <w:pPr>
              <w:rPr>
                <w:rFonts w:ascii="Arial"/>
                <w:sz w:val="21"/>
              </w:rPr>
            </w:pPr>
          </w:p>
        </w:tc>
        <w:tc>
          <w:tcPr>
            <w:tcW w:w="221" w:type="dxa"/>
            <w:vMerge w:val="continue"/>
            <w:tcBorders>
              <w:top w:val="nil"/>
              <w:bottom w:val="nil"/>
            </w:tcBorders>
            <w:vAlign w:val="top"/>
          </w:tcPr>
          <w:p w14:paraId="76D3E7EA">
            <w:pPr>
              <w:rPr>
                <w:rFonts w:ascii="Arial"/>
                <w:sz w:val="21"/>
              </w:rPr>
            </w:pPr>
          </w:p>
        </w:tc>
        <w:tc>
          <w:tcPr>
            <w:tcW w:w="453" w:type="dxa"/>
            <w:vMerge w:val="continue"/>
            <w:tcBorders>
              <w:top w:val="nil"/>
              <w:bottom w:val="nil"/>
            </w:tcBorders>
            <w:textDirection w:val="tbRlV"/>
            <w:vAlign w:val="top"/>
          </w:tcPr>
          <w:p w14:paraId="4FC1D1B0">
            <w:pPr>
              <w:rPr>
                <w:rFonts w:ascii="Arial"/>
                <w:sz w:val="21"/>
              </w:rPr>
            </w:pPr>
          </w:p>
        </w:tc>
        <w:tc>
          <w:tcPr>
            <w:tcW w:w="1321" w:type="dxa"/>
            <w:vAlign w:val="top"/>
          </w:tcPr>
          <w:p w14:paraId="31AA8A6E">
            <w:pPr>
              <w:pStyle w:val="6"/>
              <w:spacing w:before="134" w:line="229" w:lineRule="auto"/>
              <w:ind w:left="344"/>
              <w:rPr>
                <w:sz w:val="20"/>
                <w:szCs w:val="20"/>
              </w:rPr>
            </w:pPr>
            <w:r>
              <w:rPr>
                <w:spacing w:val="7"/>
                <w:sz w:val="20"/>
                <w:szCs w:val="20"/>
              </w:rPr>
              <w:t>硫酸雾</w:t>
            </w:r>
          </w:p>
        </w:tc>
        <w:tc>
          <w:tcPr>
            <w:tcW w:w="1027" w:type="dxa"/>
            <w:vAlign w:val="top"/>
          </w:tcPr>
          <w:p w14:paraId="6FA9672B">
            <w:pPr>
              <w:spacing w:before="170"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135" w:type="dxa"/>
            <w:vAlign w:val="top"/>
          </w:tcPr>
          <w:p w14:paraId="387D95BE">
            <w:pPr>
              <w:spacing w:before="170"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0.505</w:t>
            </w:r>
          </w:p>
        </w:tc>
        <w:tc>
          <w:tcPr>
            <w:tcW w:w="1552" w:type="dxa"/>
            <w:vAlign w:val="top"/>
          </w:tcPr>
          <w:p w14:paraId="0B4197C7">
            <w:pPr>
              <w:spacing w:before="170"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0.505675</w:t>
            </w:r>
          </w:p>
        </w:tc>
        <w:tc>
          <w:tcPr>
            <w:tcW w:w="1161" w:type="dxa"/>
            <w:vAlign w:val="top"/>
          </w:tcPr>
          <w:p w14:paraId="6CEA3A1B">
            <w:pPr>
              <w:spacing w:before="170"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0.000225</w:t>
            </w:r>
          </w:p>
        </w:tc>
        <w:tc>
          <w:tcPr>
            <w:tcW w:w="1279" w:type="dxa"/>
            <w:vAlign w:val="top"/>
          </w:tcPr>
          <w:p w14:paraId="2F63AEFC">
            <w:pPr>
              <w:spacing w:before="170"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+0.504775</w:t>
            </w:r>
          </w:p>
        </w:tc>
        <w:tc>
          <w:tcPr>
            <w:tcW w:w="231" w:type="dxa"/>
            <w:vMerge w:val="continue"/>
            <w:tcBorders>
              <w:top w:val="nil"/>
              <w:bottom w:val="nil"/>
              <w:right w:val="single" w:color="000000" w:sz="6" w:space="0"/>
            </w:tcBorders>
            <w:vAlign w:val="top"/>
          </w:tcPr>
          <w:p w14:paraId="4A934F7D">
            <w:pPr>
              <w:rPr>
                <w:rFonts w:ascii="Arial"/>
                <w:sz w:val="21"/>
              </w:rPr>
            </w:pPr>
          </w:p>
        </w:tc>
      </w:tr>
      <w:tr w14:paraId="5FD0C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05" w:type="dxa"/>
            <w:vMerge w:val="continue"/>
            <w:tcBorders>
              <w:top w:val="nil"/>
              <w:left w:val="single" w:color="000000" w:sz="6" w:space="0"/>
              <w:bottom w:val="nil"/>
            </w:tcBorders>
            <w:vAlign w:val="top"/>
          </w:tcPr>
          <w:p w14:paraId="49D302E5">
            <w:pPr>
              <w:rPr>
                <w:rFonts w:ascii="Arial"/>
                <w:sz w:val="21"/>
              </w:rPr>
            </w:pPr>
          </w:p>
        </w:tc>
        <w:tc>
          <w:tcPr>
            <w:tcW w:w="221" w:type="dxa"/>
            <w:vMerge w:val="continue"/>
            <w:tcBorders>
              <w:top w:val="nil"/>
              <w:bottom w:val="nil"/>
            </w:tcBorders>
            <w:vAlign w:val="top"/>
          </w:tcPr>
          <w:p w14:paraId="42753EBF">
            <w:pPr>
              <w:rPr>
                <w:rFonts w:ascii="Arial"/>
                <w:sz w:val="21"/>
              </w:rPr>
            </w:pPr>
          </w:p>
        </w:tc>
        <w:tc>
          <w:tcPr>
            <w:tcW w:w="453" w:type="dxa"/>
            <w:vMerge w:val="continue"/>
            <w:tcBorders>
              <w:top w:val="nil"/>
            </w:tcBorders>
            <w:textDirection w:val="tbRlV"/>
            <w:vAlign w:val="top"/>
          </w:tcPr>
          <w:p w14:paraId="265F5248">
            <w:pPr>
              <w:rPr>
                <w:rFonts w:ascii="Arial"/>
                <w:sz w:val="21"/>
              </w:rPr>
            </w:pPr>
          </w:p>
        </w:tc>
        <w:tc>
          <w:tcPr>
            <w:tcW w:w="1321" w:type="dxa"/>
            <w:vAlign w:val="top"/>
          </w:tcPr>
          <w:p w14:paraId="7599645D">
            <w:pPr>
              <w:pStyle w:val="6"/>
              <w:spacing w:before="43" w:line="251" w:lineRule="auto"/>
              <w:ind w:left="239" w:right="139" w:hanging="102"/>
              <w:rPr>
                <w:sz w:val="20"/>
                <w:szCs w:val="20"/>
              </w:rPr>
            </w:pPr>
            <w:r>
              <w:rPr>
                <w:spacing w:val="7"/>
                <w:sz w:val="20"/>
                <w:szCs w:val="20"/>
              </w:rPr>
              <w:t>硝酸雾（以</w:t>
            </w:r>
            <w:r>
              <w:rPr>
                <w:spacing w:val="3"/>
                <w:sz w:val="20"/>
                <w:szCs w:val="20"/>
              </w:rPr>
              <w:t xml:space="preserve"> </w:t>
            </w:r>
            <w:r>
              <w:rPr>
                <w:spacing w:val="7"/>
                <w:sz w:val="20"/>
                <w:szCs w:val="20"/>
              </w:rPr>
              <w:t>氮氧化物</w:t>
            </w:r>
          </w:p>
          <w:p w14:paraId="5C25C884">
            <w:pPr>
              <w:pStyle w:val="6"/>
              <w:spacing w:line="206" w:lineRule="auto"/>
              <w:ind w:left="450"/>
              <w:rPr>
                <w:sz w:val="20"/>
                <w:szCs w:val="20"/>
              </w:rPr>
            </w:pPr>
            <w:r>
              <w:rPr>
                <w:sz w:val="20"/>
                <w:szCs w:val="20"/>
              </w:rPr>
              <w:t>计）</w:t>
            </w:r>
          </w:p>
        </w:tc>
        <w:tc>
          <w:tcPr>
            <w:tcW w:w="1027" w:type="dxa"/>
            <w:vAlign w:val="top"/>
          </w:tcPr>
          <w:p w14:paraId="19A47BDD">
            <w:pPr>
              <w:spacing w:line="288" w:lineRule="auto"/>
              <w:rPr>
                <w:rFonts w:ascii="Arial"/>
                <w:sz w:val="21"/>
              </w:rPr>
            </w:pPr>
          </w:p>
          <w:p w14:paraId="41BF023B">
            <w:pPr>
              <w:spacing w:before="58"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3AE3E48C">
            <w:pPr>
              <w:spacing w:line="292" w:lineRule="auto"/>
              <w:rPr>
                <w:rFonts w:ascii="Arial"/>
                <w:sz w:val="21"/>
              </w:rPr>
            </w:pPr>
          </w:p>
          <w:p w14:paraId="468A0661">
            <w:pPr>
              <w:spacing w:before="57"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7.79</w:t>
            </w:r>
          </w:p>
        </w:tc>
        <w:tc>
          <w:tcPr>
            <w:tcW w:w="1552" w:type="dxa"/>
            <w:vAlign w:val="top"/>
          </w:tcPr>
          <w:p w14:paraId="78516227">
            <w:pPr>
              <w:spacing w:line="292" w:lineRule="auto"/>
              <w:rPr>
                <w:rFonts w:ascii="Arial"/>
                <w:sz w:val="21"/>
              </w:rPr>
            </w:pPr>
          </w:p>
          <w:p w14:paraId="1C19922A">
            <w:pPr>
              <w:spacing w:before="57"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7.79</w:t>
            </w:r>
          </w:p>
        </w:tc>
        <w:tc>
          <w:tcPr>
            <w:tcW w:w="1161" w:type="dxa"/>
            <w:vAlign w:val="top"/>
          </w:tcPr>
          <w:p w14:paraId="3F27694A">
            <w:pPr>
              <w:spacing w:line="292" w:lineRule="auto"/>
              <w:rPr>
                <w:rFonts w:ascii="Arial"/>
                <w:sz w:val="21"/>
              </w:rPr>
            </w:pPr>
          </w:p>
          <w:p w14:paraId="04372D8B">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7.79</w:t>
            </w:r>
          </w:p>
        </w:tc>
        <w:tc>
          <w:tcPr>
            <w:tcW w:w="1279" w:type="dxa"/>
            <w:vAlign w:val="top"/>
          </w:tcPr>
          <w:p w14:paraId="3EF2F960">
            <w:pPr>
              <w:spacing w:line="292" w:lineRule="auto"/>
              <w:rPr>
                <w:rFonts w:ascii="Arial"/>
                <w:sz w:val="21"/>
              </w:rPr>
            </w:pPr>
          </w:p>
          <w:p w14:paraId="183A5F30">
            <w:pPr>
              <w:spacing w:before="5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+7.79</w:t>
            </w:r>
          </w:p>
        </w:tc>
        <w:tc>
          <w:tcPr>
            <w:tcW w:w="231" w:type="dxa"/>
            <w:vMerge w:val="continue"/>
            <w:tcBorders>
              <w:top w:val="nil"/>
              <w:bottom w:val="nil"/>
              <w:right w:val="single" w:color="000000" w:sz="6" w:space="0"/>
            </w:tcBorders>
            <w:vAlign w:val="top"/>
          </w:tcPr>
          <w:p w14:paraId="288DBB36">
            <w:pPr>
              <w:rPr>
                <w:rFonts w:ascii="Arial"/>
                <w:sz w:val="21"/>
              </w:rPr>
            </w:pPr>
          </w:p>
        </w:tc>
      </w:tr>
      <w:tr w14:paraId="36AE0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5DAF5049">
            <w:pPr>
              <w:rPr>
                <w:rFonts w:ascii="Arial"/>
                <w:sz w:val="21"/>
              </w:rPr>
            </w:pPr>
          </w:p>
        </w:tc>
        <w:tc>
          <w:tcPr>
            <w:tcW w:w="221" w:type="dxa"/>
            <w:vMerge w:val="continue"/>
            <w:tcBorders>
              <w:top w:val="nil"/>
              <w:bottom w:val="nil"/>
            </w:tcBorders>
            <w:vAlign w:val="top"/>
          </w:tcPr>
          <w:p w14:paraId="77EFFADF">
            <w:pPr>
              <w:rPr>
                <w:rFonts w:ascii="Arial"/>
                <w:sz w:val="21"/>
              </w:rPr>
            </w:pPr>
          </w:p>
        </w:tc>
        <w:tc>
          <w:tcPr>
            <w:tcW w:w="453" w:type="dxa"/>
            <w:vMerge w:val="restart"/>
            <w:tcBorders>
              <w:bottom w:val="nil"/>
            </w:tcBorders>
            <w:textDirection w:val="tbRlV"/>
            <w:vAlign w:val="top"/>
          </w:tcPr>
          <w:p w14:paraId="4ADFD00D">
            <w:pPr>
              <w:pStyle w:val="6"/>
              <w:spacing w:before="126" w:line="216" w:lineRule="auto"/>
              <w:ind w:left="464"/>
              <w:rPr>
                <w:sz w:val="20"/>
                <w:szCs w:val="20"/>
              </w:rPr>
            </w:pPr>
            <w:r>
              <w:rPr>
                <w:spacing w:val="8"/>
                <w:sz w:val="20"/>
                <w:szCs w:val="20"/>
              </w:rPr>
              <w:t>废</w:t>
            </w:r>
            <w:r>
              <w:rPr>
                <w:spacing w:val="-38"/>
                <w:sz w:val="20"/>
                <w:szCs w:val="20"/>
              </w:rPr>
              <w:t xml:space="preserve"> </w:t>
            </w:r>
            <w:r>
              <w:rPr>
                <w:spacing w:val="8"/>
                <w:sz w:val="20"/>
                <w:szCs w:val="20"/>
              </w:rPr>
              <w:t>水</w:t>
            </w:r>
          </w:p>
        </w:tc>
        <w:tc>
          <w:tcPr>
            <w:tcW w:w="1321" w:type="dxa"/>
            <w:vAlign w:val="top"/>
          </w:tcPr>
          <w:p w14:paraId="53AA3AD0">
            <w:pPr>
              <w:pStyle w:val="6"/>
              <w:spacing w:before="135" w:line="228" w:lineRule="auto"/>
              <w:ind w:left="449"/>
              <w:rPr>
                <w:sz w:val="20"/>
                <w:szCs w:val="20"/>
              </w:rPr>
            </w:pPr>
            <w:r>
              <w:rPr>
                <w:spacing w:val="5"/>
                <w:sz w:val="20"/>
                <w:szCs w:val="20"/>
              </w:rPr>
              <w:t>废水</w:t>
            </w:r>
          </w:p>
        </w:tc>
        <w:tc>
          <w:tcPr>
            <w:tcW w:w="1027" w:type="dxa"/>
            <w:vAlign w:val="top"/>
          </w:tcPr>
          <w:p w14:paraId="0F6DCE2F">
            <w:pPr>
              <w:spacing w:before="17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w:t>
            </w:r>
          </w:p>
        </w:tc>
        <w:tc>
          <w:tcPr>
            <w:tcW w:w="1135" w:type="dxa"/>
            <w:vAlign w:val="top"/>
          </w:tcPr>
          <w:p w14:paraId="723AB727">
            <w:pPr>
              <w:spacing w:before="171"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146164.8</w:t>
            </w:r>
          </w:p>
        </w:tc>
        <w:tc>
          <w:tcPr>
            <w:tcW w:w="1552" w:type="dxa"/>
            <w:vAlign w:val="top"/>
          </w:tcPr>
          <w:p w14:paraId="0A47BED3">
            <w:pPr>
              <w:spacing w:before="171"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151564.8</w:t>
            </w:r>
          </w:p>
        </w:tc>
        <w:tc>
          <w:tcPr>
            <w:tcW w:w="1161" w:type="dxa"/>
            <w:vAlign w:val="top"/>
          </w:tcPr>
          <w:p w14:paraId="64973D79">
            <w:pPr>
              <w:spacing w:before="171"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1279" w:type="dxa"/>
            <w:vAlign w:val="top"/>
          </w:tcPr>
          <w:p w14:paraId="310B89EF">
            <w:pPr>
              <w:spacing w:before="17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+144364.8</w:t>
            </w:r>
          </w:p>
        </w:tc>
        <w:tc>
          <w:tcPr>
            <w:tcW w:w="231" w:type="dxa"/>
            <w:vMerge w:val="continue"/>
            <w:tcBorders>
              <w:top w:val="nil"/>
              <w:bottom w:val="nil"/>
              <w:right w:val="single" w:color="000000" w:sz="6" w:space="0"/>
            </w:tcBorders>
            <w:vAlign w:val="top"/>
          </w:tcPr>
          <w:p w14:paraId="3D472C1F">
            <w:pPr>
              <w:rPr>
                <w:rFonts w:ascii="Arial"/>
                <w:sz w:val="21"/>
              </w:rPr>
            </w:pPr>
          </w:p>
        </w:tc>
      </w:tr>
      <w:tr w14:paraId="3B4AC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1651AF2F">
            <w:pPr>
              <w:rPr>
                <w:rFonts w:ascii="Arial"/>
                <w:sz w:val="21"/>
              </w:rPr>
            </w:pPr>
          </w:p>
        </w:tc>
        <w:tc>
          <w:tcPr>
            <w:tcW w:w="221" w:type="dxa"/>
            <w:vMerge w:val="continue"/>
            <w:tcBorders>
              <w:top w:val="nil"/>
              <w:bottom w:val="nil"/>
            </w:tcBorders>
            <w:vAlign w:val="top"/>
          </w:tcPr>
          <w:p w14:paraId="4494FCA6">
            <w:pPr>
              <w:rPr>
                <w:rFonts w:ascii="Arial"/>
                <w:sz w:val="21"/>
              </w:rPr>
            </w:pPr>
          </w:p>
        </w:tc>
        <w:tc>
          <w:tcPr>
            <w:tcW w:w="453" w:type="dxa"/>
            <w:vMerge w:val="continue"/>
            <w:tcBorders>
              <w:top w:val="nil"/>
              <w:bottom w:val="nil"/>
            </w:tcBorders>
            <w:textDirection w:val="tbRlV"/>
            <w:vAlign w:val="top"/>
          </w:tcPr>
          <w:p w14:paraId="3D4B4521">
            <w:pPr>
              <w:rPr>
                <w:rFonts w:ascii="Arial"/>
                <w:sz w:val="21"/>
              </w:rPr>
            </w:pPr>
          </w:p>
        </w:tc>
        <w:tc>
          <w:tcPr>
            <w:tcW w:w="1321" w:type="dxa"/>
            <w:vAlign w:val="top"/>
          </w:tcPr>
          <w:p w14:paraId="4BAD805F">
            <w:pPr>
              <w:pStyle w:val="6"/>
              <w:spacing w:before="134" w:line="229" w:lineRule="auto"/>
              <w:ind w:left="347"/>
              <w:rPr>
                <w:sz w:val="20"/>
                <w:szCs w:val="20"/>
              </w:rPr>
            </w:pPr>
            <w:r>
              <w:rPr>
                <w:spacing w:val="6"/>
                <w:sz w:val="20"/>
                <w:szCs w:val="20"/>
              </w:rPr>
              <w:t>悬浮物</w:t>
            </w:r>
          </w:p>
        </w:tc>
        <w:tc>
          <w:tcPr>
            <w:tcW w:w="1027" w:type="dxa"/>
            <w:vAlign w:val="top"/>
          </w:tcPr>
          <w:p w14:paraId="56D86DA6">
            <w:pPr>
              <w:spacing w:before="169"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6F58C5A4">
            <w:pPr>
              <w:spacing w:before="172"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1.169</w:t>
            </w:r>
          </w:p>
        </w:tc>
        <w:tc>
          <w:tcPr>
            <w:tcW w:w="1552" w:type="dxa"/>
            <w:vAlign w:val="top"/>
          </w:tcPr>
          <w:p w14:paraId="5D0EDE24">
            <w:pPr>
              <w:spacing w:before="172"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1.169</w:t>
            </w:r>
          </w:p>
        </w:tc>
        <w:tc>
          <w:tcPr>
            <w:tcW w:w="1161" w:type="dxa"/>
            <w:vAlign w:val="top"/>
          </w:tcPr>
          <w:p w14:paraId="300096AB">
            <w:pPr>
              <w:spacing w:before="17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16EBDA4C">
            <w:pPr>
              <w:spacing w:before="172"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+1.169</w:t>
            </w:r>
          </w:p>
        </w:tc>
        <w:tc>
          <w:tcPr>
            <w:tcW w:w="231" w:type="dxa"/>
            <w:vMerge w:val="continue"/>
            <w:tcBorders>
              <w:top w:val="nil"/>
              <w:bottom w:val="nil"/>
              <w:right w:val="single" w:color="000000" w:sz="6" w:space="0"/>
            </w:tcBorders>
            <w:vAlign w:val="top"/>
          </w:tcPr>
          <w:p w14:paraId="48F77599">
            <w:pPr>
              <w:rPr>
                <w:rFonts w:ascii="Arial"/>
                <w:sz w:val="21"/>
              </w:rPr>
            </w:pPr>
          </w:p>
        </w:tc>
      </w:tr>
      <w:tr w14:paraId="0699D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605" w:type="dxa"/>
            <w:vMerge w:val="continue"/>
            <w:tcBorders>
              <w:top w:val="nil"/>
              <w:left w:val="single" w:color="000000" w:sz="6" w:space="0"/>
              <w:bottom w:val="single" w:color="000000" w:sz="6" w:space="0"/>
            </w:tcBorders>
            <w:vAlign w:val="top"/>
          </w:tcPr>
          <w:p w14:paraId="7AE00897">
            <w:pPr>
              <w:rPr>
                <w:rFonts w:ascii="Arial"/>
                <w:sz w:val="21"/>
              </w:rPr>
            </w:pPr>
          </w:p>
        </w:tc>
        <w:tc>
          <w:tcPr>
            <w:tcW w:w="221" w:type="dxa"/>
            <w:vMerge w:val="continue"/>
            <w:tcBorders>
              <w:top w:val="nil"/>
              <w:bottom w:val="single" w:color="000000" w:sz="6" w:space="0"/>
            </w:tcBorders>
            <w:vAlign w:val="top"/>
          </w:tcPr>
          <w:p w14:paraId="3FAA9D08">
            <w:pPr>
              <w:rPr>
                <w:rFonts w:ascii="Arial"/>
                <w:sz w:val="21"/>
              </w:rPr>
            </w:pPr>
          </w:p>
        </w:tc>
        <w:tc>
          <w:tcPr>
            <w:tcW w:w="453" w:type="dxa"/>
            <w:vMerge w:val="continue"/>
            <w:tcBorders>
              <w:top w:val="nil"/>
              <w:bottom w:val="single" w:color="000000" w:sz="6" w:space="0"/>
            </w:tcBorders>
            <w:textDirection w:val="tbRlV"/>
            <w:vAlign w:val="top"/>
          </w:tcPr>
          <w:p w14:paraId="0931DE9F">
            <w:pPr>
              <w:rPr>
                <w:rFonts w:ascii="Arial"/>
                <w:sz w:val="21"/>
              </w:rPr>
            </w:pPr>
          </w:p>
        </w:tc>
        <w:tc>
          <w:tcPr>
            <w:tcW w:w="1321" w:type="dxa"/>
            <w:tcBorders>
              <w:bottom w:val="single" w:color="000000" w:sz="6" w:space="0"/>
            </w:tcBorders>
            <w:vAlign w:val="top"/>
          </w:tcPr>
          <w:p w14:paraId="3C03C639">
            <w:pPr>
              <w:spacing w:before="173"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027" w:type="dxa"/>
            <w:tcBorders>
              <w:bottom w:val="single" w:color="000000" w:sz="6" w:space="0"/>
            </w:tcBorders>
            <w:vAlign w:val="top"/>
          </w:tcPr>
          <w:p w14:paraId="2252BC56">
            <w:pPr>
              <w:spacing w:before="169"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tcBorders>
              <w:bottom w:val="single" w:color="000000" w:sz="6" w:space="0"/>
            </w:tcBorders>
            <w:vAlign w:val="top"/>
          </w:tcPr>
          <w:p w14:paraId="65F34BB2">
            <w:pPr>
              <w:spacing w:before="17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5.993</w:t>
            </w:r>
          </w:p>
        </w:tc>
        <w:tc>
          <w:tcPr>
            <w:tcW w:w="1552" w:type="dxa"/>
            <w:tcBorders>
              <w:bottom w:val="single" w:color="000000" w:sz="6" w:space="0"/>
            </w:tcBorders>
            <w:vAlign w:val="top"/>
          </w:tcPr>
          <w:p w14:paraId="12FC484B">
            <w:pPr>
              <w:spacing w:before="173"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5.993</w:t>
            </w:r>
          </w:p>
        </w:tc>
        <w:tc>
          <w:tcPr>
            <w:tcW w:w="1161" w:type="dxa"/>
            <w:tcBorders>
              <w:bottom w:val="single" w:color="000000" w:sz="6" w:space="0"/>
            </w:tcBorders>
            <w:vAlign w:val="top"/>
          </w:tcPr>
          <w:p w14:paraId="4781AB7C">
            <w:pPr>
              <w:spacing w:before="173"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tcBorders>
              <w:bottom w:val="single" w:color="000000" w:sz="6" w:space="0"/>
            </w:tcBorders>
            <w:vAlign w:val="top"/>
          </w:tcPr>
          <w:p w14:paraId="649FC4FC">
            <w:pPr>
              <w:spacing w:before="173"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+5.993</w:t>
            </w:r>
          </w:p>
        </w:tc>
        <w:tc>
          <w:tcPr>
            <w:tcW w:w="231" w:type="dxa"/>
            <w:vMerge w:val="continue"/>
            <w:tcBorders>
              <w:top w:val="nil"/>
              <w:bottom w:val="single" w:color="000000" w:sz="6" w:space="0"/>
              <w:right w:val="single" w:color="000000" w:sz="6" w:space="0"/>
            </w:tcBorders>
            <w:vAlign w:val="top"/>
          </w:tcPr>
          <w:p w14:paraId="4862115D">
            <w:pPr>
              <w:rPr>
                <w:rFonts w:ascii="Arial"/>
                <w:sz w:val="21"/>
              </w:rPr>
            </w:pPr>
          </w:p>
        </w:tc>
      </w:tr>
    </w:tbl>
    <w:p w14:paraId="2CE9DD66">
      <w:pPr>
        <w:rPr>
          <w:rFonts w:ascii="Arial"/>
          <w:sz w:val="21"/>
        </w:rPr>
      </w:pPr>
    </w:p>
    <w:p w14:paraId="5DEDC86F">
      <w:pPr>
        <w:rPr>
          <w:rFonts w:ascii="Arial" w:hAnsi="Arial" w:eastAsia="Arial" w:cs="Arial"/>
          <w:sz w:val="21"/>
          <w:szCs w:val="21"/>
        </w:rPr>
        <w:sectPr>
          <w:footerReference r:id="rId108" w:type="default"/>
          <w:pgSz w:w="11907" w:h="16840"/>
          <w:pgMar w:top="400" w:right="1453" w:bottom="1240" w:left="1453" w:header="0" w:footer="1077" w:gutter="0"/>
          <w:cols w:space="720" w:num="1"/>
        </w:sectPr>
      </w:pPr>
    </w:p>
    <w:p w14:paraId="589C9907">
      <w:pPr>
        <w:spacing w:before="19"/>
      </w:pPr>
    </w:p>
    <w:p w14:paraId="625883EB">
      <w:pPr>
        <w:spacing w:before="19"/>
      </w:pPr>
    </w:p>
    <w:p w14:paraId="20959C28">
      <w:pPr>
        <w:spacing w:before="19"/>
      </w:pPr>
    </w:p>
    <w:p w14:paraId="278B17CE">
      <w:pPr>
        <w:spacing w:before="18"/>
      </w:pPr>
    </w:p>
    <w:p w14:paraId="5E510D4F">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221"/>
        <w:gridCol w:w="453"/>
        <w:gridCol w:w="1321"/>
        <w:gridCol w:w="1027"/>
        <w:gridCol w:w="1135"/>
        <w:gridCol w:w="1552"/>
        <w:gridCol w:w="1161"/>
        <w:gridCol w:w="1279"/>
        <w:gridCol w:w="231"/>
      </w:tblGrid>
      <w:tr w14:paraId="7BF77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05" w:type="dxa"/>
            <w:vMerge w:val="restart"/>
            <w:tcBorders>
              <w:top w:val="single" w:color="000000" w:sz="6" w:space="0"/>
              <w:left w:val="single" w:color="000000" w:sz="6" w:space="0"/>
              <w:bottom w:val="nil"/>
            </w:tcBorders>
            <w:vAlign w:val="top"/>
          </w:tcPr>
          <w:p w14:paraId="0817A732">
            <w:pPr>
              <w:rPr>
                <w:rFonts w:ascii="Arial"/>
                <w:sz w:val="21"/>
              </w:rPr>
            </w:pPr>
          </w:p>
        </w:tc>
        <w:tc>
          <w:tcPr>
            <w:tcW w:w="221" w:type="dxa"/>
            <w:vMerge w:val="restart"/>
            <w:tcBorders>
              <w:top w:val="single" w:color="000000" w:sz="6" w:space="0"/>
              <w:bottom w:val="nil"/>
            </w:tcBorders>
            <w:vAlign w:val="top"/>
          </w:tcPr>
          <w:p w14:paraId="25CC1ACB">
            <w:pPr>
              <w:rPr>
                <w:rFonts w:ascii="Arial"/>
                <w:sz w:val="21"/>
              </w:rPr>
            </w:pPr>
          </w:p>
        </w:tc>
        <w:tc>
          <w:tcPr>
            <w:tcW w:w="453" w:type="dxa"/>
            <w:vMerge w:val="restart"/>
            <w:tcBorders>
              <w:top w:val="single" w:color="000000" w:sz="6" w:space="0"/>
              <w:bottom w:val="nil"/>
            </w:tcBorders>
            <w:vAlign w:val="top"/>
          </w:tcPr>
          <w:p w14:paraId="7847DBF4">
            <w:pPr>
              <w:rPr>
                <w:rFonts w:ascii="Arial"/>
                <w:sz w:val="21"/>
              </w:rPr>
            </w:pPr>
          </w:p>
        </w:tc>
        <w:tc>
          <w:tcPr>
            <w:tcW w:w="1321" w:type="dxa"/>
            <w:tcBorders>
              <w:top w:val="single" w:color="000000" w:sz="6" w:space="0"/>
            </w:tcBorders>
            <w:vAlign w:val="top"/>
          </w:tcPr>
          <w:p w14:paraId="228F9330">
            <w:pPr>
              <w:pStyle w:val="6"/>
              <w:spacing w:before="135" w:line="228" w:lineRule="auto"/>
              <w:ind w:left="345"/>
              <w:rPr>
                <w:sz w:val="20"/>
                <w:szCs w:val="20"/>
              </w:rPr>
            </w:pPr>
            <w:r>
              <w:rPr>
                <w:spacing w:val="6"/>
                <w:sz w:val="20"/>
                <w:szCs w:val="20"/>
              </w:rPr>
              <w:t>氟化物</w:t>
            </w:r>
          </w:p>
        </w:tc>
        <w:tc>
          <w:tcPr>
            <w:tcW w:w="1027" w:type="dxa"/>
            <w:tcBorders>
              <w:top w:val="single" w:color="000000" w:sz="6" w:space="0"/>
            </w:tcBorders>
            <w:vAlign w:val="top"/>
          </w:tcPr>
          <w:p w14:paraId="4C0ABBB7">
            <w:pPr>
              <w:spacing w:before="174"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0.00252</w:t>
            </w:r>
          </w:p>
        </w:tc>
        <w:tc>
          <w:tcPr>
            <w:tcW w:w="1135" w:type="dxa"/>
            <w:tcBorders>
              <w:top w:val="single" w:color="000000" w:sz="6" w:space="0"/>
            </w:tcBorders>
            <w:vAlign w:val="top"/>
          </w:tcPr>
          <w:p w14:paraId="6368F956">
            <w:pPr>
              <w:spacing w:before="17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1.181</w:t>
            </w:r>
          </w:p>
        </w:tc>
        <w:tc>
          <w:tcPr>
            <w:tcW w:w="1552" w:type="dxa"/>
            <w:tcBorders>
              <w:top w:val="single" w:color="000000" w:sz="6" w:space="0"/>
            </w:tcBorders>
            <w:vAlign w:val="top"/>
          </w:tcPr>
          <w:p w14:paraId="38E5752B">
            <w:pPr>
              <w:spacing w:before="174"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1.18289</w:t>
            </w:r>
          </w:p>
        </w:tc>
        <w:tc>
          <w:tcPr>
            <w:tcW w:w="1161" w:type="dxa"/>
            <w:tcBorders>
              <w:top w:val="single" w:color="000000" w:sz="6" w:space="0"/>
            </w:tcBorders>
            <w:vAlign w:val="top"/>
          </w:tcPr>
          <w:p w14:paraId="3B27A83D">
            <w:pPr>
              <w:spacing w:before="174"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0.00063</w:t>
            </w:r>
          </w:p>
        </w:tc>
        <w:tc>
          <w:tcPr>
            <w:tcW w:w="1279" w:type="dxa"/>
            <w:tcBorders>
              <w:top w:val="single" w:color="000000" w:sz="6" w:space="0"/>
            </w:tcBorders>
            <w:vAlign w:val="top"/>
          </w:tcPr>
          <w:p w14:paraId="217AFAAC">
            <w:pPr>
              <w:spacing w:before="174"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+1.18037</w:t>
            </w:r>
          </w:p>
        </w:tc>
        <w:tc>
          <w:tcPr>
            <w:tcW w:w="231" w:type="dxa"/>
            <w:vMerge w:val="restart"/>
            <w:tcBorders>
              <w:top w:val="single" w:color="000000" w:sz="6" w:space="0"/>
              <w:bottom w:val="nil"/>
              <w:right w:val="single" w:color="000000" w:sz="6" w:space="0"/>
            </w:tcBorders>
            <w:vAlign w:val="top"/>
          </w:tcPr>
          <w:p w14:paraId="0E9566F4">
            <w:pPr>
              <w:rPr>
                <w:rFonts w:ascii="Arial"/>
                <w:sz w:val="21"/>
              </w:rPr>
            </w:pPr>
          </w:p>
        </w:tc>
      </w:tr>
      <w:tr w14:paraId="06CF9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20BCFB07">
            <w:pPr>
              <w:rPr>
                <w:rFonts w:ascii="Arial"/>
                <w:sz w:val="21"/>
              </w:rPr>
            </w:pPr>
          </w:p>
        </w:tc>
        <w:tc>
          <w:tcPr>
            <w:tcW w:w="221" w:type="dxa"/>
            <w:vMerge w:val="continue"/>
            <w:tcBorders>
              <w:top w:val="nil"/>
              <w:bottom w:val="nil"/>
            </w:tcBorders>
            <w:vAlign w:val="top"/>
          </w:tcPr>
          <w:p w14:paraId="4822A9EC">
            <w:pPr>
              <w:rPr>
                <w:rFonts w:ascii="Arial"/>
                <w:sz w:val="21"/>
              </w:rPr>
            </w:pPr>
          </w:p>
        </w:tc>
        <w:tc>
          <w:tcPr>
            <w:tcW w:w="453" w:type="dxa"/>
            <w:vMerge w:val="continue"/>
            <w:tcBorders>
              <w:top w:val="nil"/>
              <w:bottom w:val="nil"/>
            </w:tcBorders>
            <w:vAlign w:val="top"/>
          </w:tcPr>
          <w:p w14:paraId="00D736A2">
            <w:pPr>
              <w:rPr>
                <w:rFonts w:ascii="Arial"/>
                <w:sz w:val="21"/>
              </w:rPr>
            </w:pPr>
          </w:p>
        </w:tc>
        <w:tc>
          <w:tcPr>
            <w:tcW w:w="1321" w:type="dxa"/>
            <w:vAlign w:val="top"/>
          </w:tcPr>
          <w:p w14:paraId="015BB6BB">
            <w:pPr>
              <w:pStyle w:val="6"/>
              <w:spacing w:before="123" w:line="227" w:lineRule="auto"/>
              <w:ind w:left="450"/>
              <w:rPr>
                <w:sz w:val="20"/>
                <w:szCs w:val="20"/>
              </w:rPr>
            </w:pPr>
            <w:r>
              <w:rPr>
                <w:spacing w:val="4"/>
                <w:sz w:val="20"/>
                <w:szCs w:val="20"/>
              </w:rPr>
              <w:t>氨氮</w:t>
            </w:r>
          </w:p>
        </w:tc>
        <w:tc>
          <w:tcPr>
            <w:tcW w:w="1027" w:type="dxa"/>
            <w:vAlign w:val="top"/>
          </w:tcPr>
          <w:p w14:paraId="5353FE47">
            <w:pPr>
              <w:spacing w:before="155"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7D1E4E72">
            <w:pPr>
              <w:spacing w:before="159"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0.093</w:t>
            </w:r>
          </w:p>
        </w:tc>
        <w:tc>
          <w:tcPr>
            <w:tcW w:w="1552" w:type="dxa"/>
            <w:vAlign w:val="top"/>
          </w:tcPr>
          <w:p w14:paraId="717E9D53">
            <w:pPr>
              <w:spacing w:before="159"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0.099</w:t>
            </w:r>
          </w:p>
        </w:tc>
        <w:tc>
          <w:tcPr>
            <w:tcW w:w="1161" w:type="dxa"/>
            <w:vAlign w:val="top"/>
          </w:tcPr>
          <w:p w14:paraId="0CC21B1A">
            <w:pPr>
              <w:spacing w:before="159"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3586B417">
            <w:pPr>
              <w:spacing w:before="159"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+0.093</w:t>
            </w:r>
          </w:p>
        </w:tc>
        <w:tc>
          <w:tcPr>
            <w:tcW w:w="231" w:type="dxa"/>
            <w:vMerge w:val="continue"/>
            <w:tcBorders>
              <w:top w:val="nil"/>
              <w:bottom w:val="nil"/>
              <w:right w:val="single" w:color="000000" w:sz="6" w:space="0"/>
            </w:tcBorders>
            <w:vAlign w:val="top"/>
          </w:tcPr>
          <w:p w14:paraId="03B83965">
            <w:pPr>
              <w:rPr>
                <w:rFonts w:ascii="Arial"/>
                <w:sz w:val="21"/>
              </w:rPr>
            </w:pPr>
          </w:p>
        </w:tc>
      </w:tr>
      <w:tr w14:paraId="0294A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633B8DEF">
            <w:pPr>
              <w:rPr>
                <w:rFonts w:ascii="Arial"/>
                <w:sz w:val="21"/>
              </w:rPr>
            </w:pPr>
          </w:p>
        </w:tc>
        <w:tc>
          <w:tcPr>
            <w:tcW w:w="221" w:type="dxa"/>
            <w:vMerge w:val="continue"/>
            <w:tcBorders>
              <w:top w:val="nil"/>
              <w:bottom w:val="nil"/>
            </w:tcBorders>
            <w:vAlign w:val="top"/>
          </w:tcPr>
          <w:p w14:paraId="500BACC5">
            <w:pPr>
              <w:rPr>
                <w:rFonts w:ascii="Arial"/>
                <w:sz w:val="21"/>
              </w:rPr>
            </w:pPr>
          </w:p>
        </w:tc>
        <w:tc>
          <w:tcPr>
            <w:tcW w:w="453" w:type="dxa"/>
            <w:vMerge w:val="continue"/>
            <w:tcBorders>
              <w:top w:val="nil"/>
              <w:bottom w:val="nil"/>
            </w:tcBorders>
            <w:vAlign w:val="top"/>
          </w:tcPr>
          <w:p w14:paraId="5CC62829">
            <w:pPr>
              <w:rPr>
                <w:rFonts w:ascii="Arial"/>
                <w:sz w:val="21"/>
              </w:rPr>
            </w:pPr>
          </w:p>
        </w:tc>
        <w:tc>
          <w:tcPr>
            <w:tcW w:w="1321" w:type="dxa"/>
            <w:vAlign w:val="top"/>
          </w:tcPr>
          <w:p w14:paraId="78D57222">
            <w:pPr>
              <w:pStyle w:val="6"/>
              <w:spacing w:before="124" w:line="228" w:lineRule="auto"/>
              <w:ind w:left="456"/>
              <w:rPr>
                <w:sz w:val="20"/>
                <w:szCs w:val="20"/>
              </w:rPr>
            </w:pPr>
            <w:r>
              <w:rPr>
                <w:spacing w:val="2"/>
                <w:sz w:val="20"/>
                <w:szCs w:val="20"/>
              </w:rPr>
              <w:t>总汞</w:t>
            </w:r>
          </w:p>
        </w:tc>
        <w:tc>
          <w:tcPr>
            <w:tcW w:w="1027" w:type="dxa"/>
            <w:vAlign w:val="top"/>
          </w:tcPr>
          <w:p w14:paraId="1800DA9C">
            <w:pPr>
              <w:spacing w:before="155"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5A775BDF">
            <w:pPr>
              <w:spacing w:before="159"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0.000035</w:t>
            </w:r>
          </w:p>
        </w:tc>
        <w:tc>
          <w:tcPr>
            <w:tcW w:w="1552" w:type="dxa"/>
            <w:vAlign w:val="top"/>
          </w:tcPr>
          <w:p w14:paraId="6F17A6D8">
            <w:pPr>
              <w:spacing w:before="159"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0.000038</w:t>
            </w:r>
          </w:p>
        </w:tc>
        <w:tc>
          <w:tcPr>
            <w:tcW w:w="1161" w:type="dxa"/>
            <w:vAlign w:val="top"/>
          </w:tcPr>
          <w:p w14:paraId="6CC7D0E0">
            <w:pPr>
              <w:spacing w:before="159"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7A690031">
            <w:pPr>
              <w:spacing w:before="159"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+0.000035</w:t>
            </w:r>
          </w:p>
        </w:tc>
        <w:tc>
          <w:tcPr>
            <w:tcW w:w="231" w:type="dxa"/>
            <w:vMerge w:val="continue"/>
            <w:tcBorders>
              <w:top w:val="nil"/>
              <w:bottom w:val="nil"/>
              <w:right w:val="single" w:color="000000" w:sz="6" w:space="0"/>
            </w:tcBorders>
            <w:vAlign w:val="top"/>
          </w:tcPr>
          <w:p w14:paraId="413B1895">
            <w:pPr>
              <w:rPr>
                <w:rFonts w:ascii="Arial"/>
                <w:sz w:val="21"/>
              </w:rPr>
            </w:pPr>
          </w:p>
        </w:tc>
      </w:tr>
      <w:tr w14:paraId="73AAE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604B8FDF">
            <w:pPr>
              <w:rPr>
                <w:rFonts w:ascii="Arial"/>
                <w:sz w:val="21"/>
              </w:rPr>
            </w:pPr>
          </w:p>
        </w:tc>
        <w:tc>
          <w:tcPr>
            <w:tcW w:w="221" w:type="dxa"/>
            <w:vMerge w:val="continue"/>
            <w:tcBorders>
              <w:top w:val="nil"/>
              <w:bottom w:val="nil"/>
            </w:tcBorders>
            <w:vAlign w:val="top"/>
          </w:tcPr>
          <w:p w14:paraId="5E7D4EF9">
            <w:pPr>
              <w:rPr>
                <w:rFonts w:ascii="Arial"/>
                <w:sz w:val="21"/>
              </w:rPr>
            </w:pPr>
          </w:p>
        </w:tc>
        <w:tc>
          <w:tcPr>
            <w:tcW w:w="453" w:type="dxa"/>
            <w:vMerge w:val="continue"/>
            <w:tcBorders>
              <w:top w:val="nil"/>
              <w:bottom w:val="nil"/>
            </w:tcBorders>
            <w:vAlign w:val="top"/>
          </w:tcPr>
          <w:p w14:paraId="642969B1">
            <w:pPr>
              <w:rPr>
                <w:rFonts w:ascii="Arial"/>
                <w:sz w:val="21"/>
              </w:rPr>
            </w:pPr>
          </w:p>
        </w:tc>
        <w:tc>
          <w:tcPr>
            <w:tcW w:w="1321" w:type="dxa"/>
            <w:vAlign w:val="top"/>
          </w:tcPr>
          <w:p w14:paraId="274E6305">
            <w:pPr>
              <w:pStyle w:val="6"/>
              <w:spacing w:before="123" w:line="231" w:lineRule="auto"/>
              <w:ind w:left="456"/>
              <w:rPr>
                <w:sz w:val="20"/>
                <w:szCs w:val="20"/>
              </w:rPr>
            </w:pPr>
            <w:r>
              <w:rPr>
                <w:spacing w:val="2"/>
                <w:sz w:val="20"/>
                <w:szCs w:val="20"/>
              </w:rPr>
              <w:t>总镉</w:t>
            </w:r>
          </w:p>
        </w:tc>
        <w:tc>
          <w:tcPr>
            <w:tcW w:w="1027" w:type="dxa"/>
            <w:vAlign w:val="top"/>
          </w:tcPr>
          <w:p w14:paraId="513D018C">
            <w:pPr>
              <w:spacing w:before="158"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741171F0">
            <w:pPr>
              <w:spacing w:before="16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0.000067</w:t>
            </w:r>
          </w:p>
        </w:tc>
        <w:tc>
          <w:tcPr>
            <w:tcW w:w="1552" w:type="dxa"/>
            <w:vAlign w:val="top"/>
          </w:tcPr>
          <w:p w14:paraId="36F16311">
            <w:pPr>
              <w:spacing w:before="162"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0.000072</w:t>
            </w:r>
          </w:p>
        </w:tc>
        <w:tc>
          <w:tcPr>
            <w:tcW w:w="1161" w:type="dxa"/>
            <w:vAlign w:val="top"/>
          </w:tcPr>
          <w:p w14:paraId="0B59D6A9">
            <w:pPr>
              <w:spacing w:before="16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12DC362D">
            <w:pPr>
              <w:spacing w:before="162"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+0.000067</w:t>
            </w:r>
          </w:p>
        </w:tc>
        <w:tc>
          <w:tcPr>
            <w:tcW w:w="231" w:type="dxa"/>
            <w:vMerge w:val="continue"/>
            <w:tcBorders>
              <w:top w:val="nil"/>
              <w:bottom w:val="nil"/>
              <w:right w:val="single" w:color="000000" w:sz="6" w:space="0"/>
            </w:tcBorders>
            <w:vAlign w:val="top"/>
          </w:tcPr>
          <w:p w14:paraId="5CB7D0DF">
            <w:pPr>
              <w:rPr>
                <w:rFonts w:ascii="Arial"/>
                <w:sz w:val="21"/>
              </w:rPr>
            </w:pPr>
          </w:p>
        </w:tc>
      </w:tr>
      <w:tr w14:paraId="55E82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5550F833">
            <w:pPr>
              <w:rPr>
                <w:rFonts w:ascii="Arial"/>
                <w:sz w:val="21"/>
              </w:rPr>
            </w:pPr>
          </w:p>
        </w:tc>
        <w:tc>
          <w:tcPr>
            <w:tcW w:w="221" w:type="dxa"/>
            <w:vMerge w:val="continue"/>
            <w:tcBorders>
              <w:top w:val="nil"/>
              <w:bottom w:val="nil"/>
            </w:tcBorders>
            <w:vAlign w:val="top"/>
          </w:tcPr>
          <w:p w14:paraId="6747F29B">
            <w:pPr>
              <w:rPr>
                <w:rFonts w:ascii="Arial"/>
                <w:sz w:val="21"/>
              </w:rPr>
            </w:pPr>
          </w:p>
        </w:tc>
        <w:tc>
          <w:tcPr>
            <w:tcW w:w="453" w:type="dxa"/>
            <w:vMerge w:val="continue"/>
            <w:tcBorders>
              <w:top w:val="nil"/>
              <w:bottom w:val="nil"/>
            </w:tcBorders>
            <w:vAlign w:val="top"/>
          </w:tcPr>
          <w:p w14:paraId="585D6C99">
            <w:pPr>
              <w:rPr>
                <w:rFonts w:ascii="Arial"/>
                <w:sz w:val="21"/>
              </w:rPr>
            </w:pPr>
          </w:p>
        </w:tc>
        <w:tc>
          <w:tcPr>
            <w:tcW w:w="1321" w:type="dxa"/>
            <w:vAlign w:val="top"/>
          </w:tcPr>
          <w:p w14:paraId="7FD3CB4B">
            <w:pPr>
              <w:pStyle w:val="6"/>
              <w:spacing w:before="126" w:line="230" w:lineRule="auto"/>
              <w:ind w:left="456"/>
              <w:rPr>
                <w:sz w:val="20"/>
                <w:szCs w:val="20"/>
              </w:rPr>
            </w:pPr>
            <w:r>
              <w:rPr>
                <w:spacing w:val="2"/>
                <w:sz w:val="20"/>
                <w:szCs w:val="20"/>
              </w:rPr>
              <w:t>总铬</w:t>
            </w:r>
          </w:p>
        </w:tc>
        <w:tc>
          <w:tcPr>
            <w:tcW w:w="1027" w:type="dxa"/>
            <w:vAlign w:val="top"/>
          </w:tcPr>
          <w:p w14:paraId="7605BD44">
            <w:pPr>
              <w:spacing w:before="158"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4100F679">
            <w:pPr>
              <w:spacing w:before="16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0.000585</w:t>
            </w:r>
          </w:p>
        </w:tc>
        <w:tc>
          <w:tcPr>
            <w:tcW w:w="1552" w:type="dxa"/>
            <w:vAlign w:val="top"/>
          </w:tcPr>
          <w:p w14:paraId="77C475B2">
            <w:pPr>
              <w:spacing w:before="162"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0.000627</w:t>
            </w:r>
          </w:p>
        </w:tc>
        <w:tc>
          <w:tcPr>
            <w:tcW w:w="1161" w:type="dxa"/>
            <w:vAlign w:val="top"/>
          </w:tcPr>
          <w:p w14:paraId="042DDF1A">
            <w:pPr>
              <w:spacing w:before="16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56D6C108">
            <w:pPr>
              <w:spacing w:before="162"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+0.000585</w:t>
            </w:r>
          </w:p>
        </w:tc>
        <w:tc>
          <w:tcPr>
            <w:tcW w:w="231" w:type="dxa"/>
            <w:vMerge w:val="continue"/>
            <w:tcBorders>
              <w:top w:val="nil"/>
              <w:bottom w:val="nil"/>
              <w:right w:val="single" w:color="000000" w:sz="6" w:space="0"/>
            </w:tcBorders>
            <w:vAlign w:val="top"/>
          </w:tcPr>
          <w:p w14:paraId="75CA3561">
            <w:pPr>
              <w:rPr>
                <w:rFonts w:ascii="Arial"/>
                <w:sz w:val="21"/>
              </w:rPr>
            </w:pPr>
          </w:p>
        </w:tc>
      </w:tr>
      <w:tr w14:paraId="2926D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5BF5CFB8">
            <w:pPr>
              <w:rPr>
                <w:rFonts w:ascii="Arial"/>
                <w:sz w:val="21"/>
              </w:rPr>
            </w:pPr>
          </w:p>
        </w:tc>
        <w:tc>
          <w:tcPr>
            <w:tcW w:w="221" w:type="dxa"/>
            <w:vMerge w:val="continue"/>
            <w:tcBorders>
              <w:top w:val="nil"/>
              <w:bottom w:val="nil"/>
            </w:tcBorders>
            <w:vAlign w:val="top"/>
          </w:tcPr>
          <w:p w14:paraId="2ECB0ABF">
            <w:pPr>
              <w:rPr>
                <w:rFonts w:ascii="Arial"/>
                <w:sz w:val="21"/>
              </w:rPr>
            </w:pPr>
          </w:p>
        </w:tc>
        <w:tc>
          <w:tcPr>
            <w:tcW w:w="453" w:type="dxa"/>
            <w:vMerge w:val="continue"/>
            <w:tcBorders>
              <w:top w:val="nil"/>
              <w:bottom w:val="nil"/>
            </w:tcBorders>
            <w:vAlign w:val="top"/>
          </w:tcPr>
          <w:p w14:paraId="7DBC1730">
            <w:pPr>
              <w:rPr>
                <w:rFonts w:ascii="Arial"/>
                <w:sz w:val="21"/>
              </w:rPr>
            </w:pPr>
          </w:p>
        </w:tc>
        <w:tc>
          <w:tcPr>
            <w:tcW w:w="1321" w:type="dxa"/>
            <w:vAlign w:val="top"/>
          </w:tcPr>
          <w:p w14:paraId="78383B64">
            <w:pPr>
              <w:pStyle w:val="6"/>
              <w:spacing w:before="125" w:line="226" w:lineRule="auto"/>
              <w:ind w:left="346"/>
              <w:rPr>
                <w:sz w:val="20"/>
                <w:szCs w:val="20"/>
              </w:rPr>
            </w:pPr>
            <w:r>
              <w:rPr>
                <w:spacing w:val="6"/>
                <w:sz w:val="20"/>
                <w:szCs w:val="20"/>
              </w:rPr>
              <w:t>六价铬</w:t>
            </w:r>
          </w:p>
        </w:tc>
        <w:tc>
          <w:tcPr>
            <w:tcW w:w="1027" w:type="dxa"/>
            <w:vAlign w:val="top"/>
          </w:tcPr>
          <w:p w14:paraId="61BC39AE">
            <w:pPr>
              <w:spacing w:before="157"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02B13B1A">
            <w:pPr>
              <w:spacing w:before="16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0.000292</w:t>
            </w:r>
          </w:p>
        </w:tc>
        <w:tc>
          <w:tcPr>
            <w:tcW w:w="1552" w:type="dxa"/>
            <w:vAlign w:val="top"/>
          </w:tcPr>
          <w:p w14:paraId="383AAADF">
            <w:pPr>
              <w:spacing w:before="161"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0.000313</w:t>
            </w:r>
          </w:p>
        </w:tc>
        <w:tc>
          <w:tcPr>
            <w:tcW w:w="1161" w:type="dxa"/>
            <w:vAlign w:val="top"/>
          </w:tcPr>
          <w:p w14:paraId="5496441C">
            <w:pPr>
              <w:spacing w:before="16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66A589EB">
            <w:pPr>
              <w:spacing w:before="16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+0.000292</w:t>
            </w:r>
          </w:p>
        </w:tc>
        <w:tc>
          <w:tcPr>
            <w:tcW w:w="231" w:type="dxa"/>
            <w:vMerge w:val="continue"/>
            <w:tcBorders>
              <w:top w:val="nil"/>
              <w:bottom w:val="nil"/>
              <w:right w:val="single" w:color="000000" w:sz="6" w:space="0"/>
            </w:tcBorders>
            <w:vAlign w:val="top"/>
          </w:tcPr>
          <w:p w14:paraId="38A01885">
            <w:pPr>
              <w:rPr>
                <w:rFonts w:ascii="Arial"/>
                <w:sz w:val="21"/>
              </w:rPr>
            </w:pPr>
          </w:p>
        </w:tc>
      </w:tr>
      <w:tr w14:paraId="4B78B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73F6E351">
            <w:pPr>
              <w:rPr>
                <w:rFonts w:ascii="Arial"/>
                <w:sz w:val="21"/>
              </w:rPr>
            </w:pPr>
          </w:p>
        </w:tc>
        <w:tc>
          <w:tcPr>
            <w:tcW w:w="221" w:type="dxa"/>
            <w:vMerge w:val="continue"/>
            <w:tcBorders>
              <w:top w:val="nil"/>
              <w:bottom w:val="nil"/>
            </w:tcBorders>
            <w:vAlign w:val="top"/>
          </w:tcPr>
          <w:p w14:paraId="107E1982">
            <w:pPr>
              <w:rPr>
                <w:rFonts w:ascii="Arial"/>
                <w:sz w:val="21"/>
              </w:rPr>
            </w:pPr>
          </w:p>
        </w:tc>
        <w:tc>
          <w:tcPr>
            <w:tcW w:w="453" w:type="dxa"/>
            <w:vMerge w:val="continue"/>
            <w:tcBorders>
              <w:top w:val="nil"/>
              <w:bottom w:val="nil"/>
            </w:tcBorders>
            <w:vAlign w:val="top"/>
          </w:tcPr>
          <w:p w14:paraId="46ACC193">
            <w:pPr>
              <w:rPr>
                <w:rFonts w:ascii="Arial"/>
                <w:sz w:val="21"/>
              </w:rPr>
            </w:pPr>
          </w:p>
        </w:tc>
        <w:tc>
          <w:tcPr>
            <w:tcW w:w="1321" w:type="dxa"/>
            <w:vAlign w:val="top"/>
          </w:tcPr>
          <w:p w14:paraId="484FAB28">
            <w:pPr>
              <w:pStyle w:val="6"/>
              <w:spacing w:before="126" w:line="228" w:lineRule="auto"/>
              <w:ind w:left="456"/>
              <w:rPr>
                <w:sz w:val="20"/>
                <w:szCs w:val="20"/>
              </w:rPr>
            </w:pPr>
            <w:r>
              <w:rPr>
                <w:spacing w:val="2"/>
                <w:sz w:val="20"/>
                <w:szCs w:val="20"/>
              </w:rPr>
              <w:t>总砷</w:t>
            </w:r>
          </w:p>
        </w:tc>
        <w:tc>
          <w:tcPr>
            <w:tcW w:w="1027" w:type="dxa"/>
            <w:vAlign w:val="top"/>
          </w:tcPr>
          <w:p w14:paraId="0C441745">
            <w:pPr>
              <w:spacing w:before="16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7C5948B9">
            <w:pPr>
              <w:spacing w:before="16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0.000022</w:t>
            </w:r>
          </w:p>
        </w:tc>
        <w:tc>
          <w:tcPr>
            <w:tcW w:w="1552" w:type="dxa"/>
            <w:vAlign w:val="top"/>
          </w:tcPr>
          <w:p w14:paraId="542DFF76">
            <w:pPr>
              <w:spacing w:before="164"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0.000024</w:t>
            </w:r>
          </w:p>
        </w:tc>
        <w:tc>
          <w:tcPr>
            <w:tcW w:w="1161" w:type="dxa"/>
            <w:vAlign w:val="top"/>
          </w:tcPr>
          <w:p w14:paraId="4E7F3335">
            <w:pPr>
              <w:spacing w:before="164"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2BFCAC18">
            <w:pPr>
              <w:spacing w:before="16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+0.000022</w:t>
            </w:r>
          </w:p>
        </w:tc>
        <w:tc>
          <w:tcPr>
            <w:tcW w:w="231" w:type="dxa"/>
            <w:vMerge w:val="continue"/>
            <w:tcBorders>
              <w:top w:val="nil"/>
              <w:bottom w:val="nil"/>
              <w:right w:val="single" w:color="000000" w:sz="6" w:space="0"/>
            </w:tcBorders>
            <w:vAlign w:val="top"/>
          </w:tcPr>
          <w:p w14:paraId="7D563B8D">
            <w:pPr>
              <w:rPr>
                <w:rFonts w:ascii="Arial"/>
                <w:sz w:val="21"/>
              </w:rPr>
            </w:pPr>
          </w:p>
        </w:tc>
      </w:tr>
      <w:tr w14:paraId="620AA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178E725E">
            <w:pPr>
              <w:rPr>
                <w:rFonts w:ascii="Arial"/>
                <w:sz w:val="21"/>
              </w:rPr>
            </w:pPr>
          </w:p>
        </w:tc>
        <w:tc>
          <w:tcPr>
            <w:tcW w:w="221" w:type="dxa"/>
            <w:vMerge w:val="continue"/>
            <w:tcBorders>
              <w:top w:val="nil"/>
              <w:bottom w:val="nil"/>
            </w:tcBorders>
            <w:vAlign w:val="top"/>
          </w:tcPr>
          <w:p w14:paraId="254D4A34">
            <w:pPr>
              <w:rPr>
                <w:rFonts w:ascii="Arial"/>
                <w:sz w:val="21"/>
              </w:rPr>
            </w:pPr>
          </w:p>
        </w:tc>
        <w:tc>
          <w:tcPr>
            <w:tcW w:w="453" w:type="dxa"/>
            <w:vMerge w:val="continue"/>
            <w:tcBorders>
              <w:top w:val="nil"/>
              <w:bottom w:val="nil"/>
            </w:tcBorders>
            <w:vAlign w:val="top"/>
          </w:tcPr>
          <w:p w14:paraId="2EFE4E0C">
            <w:pPr>
              <w:rPr>
                <w:rFonts w:ascii="Arial"/>
                <w:sz w:val="21"/>
              </w:rPr>
            </w:pPr>
          </w:p>
        </w:tc>
        <w:tc>
          <w:tcPr>
            <w:tcW w:w="1321" w:type="dxa"/>
            <w:vAlign w:val="top"/>
          </w:tcPr>
          <w:p w14:paraId="70F579B8">
            <w:pPr>
              <w:pStyle w:val="6"/>
              <w:spacing w:before="127" w:line="232" w:lineRule="auto"/>
              <w:ind w:left="456"/>
              <w:rPr>
                <w:sz w:val="20"/>
                <w:szCs w:val="20"/>
              </w:rPr>
            </w:pPr>
            <w:r>
              <w:rPr>
                <w:spacing w:val="2"/>
                <w:sz w:val="20"/>
                <w:szCs w:val="20"/>
              </w:rPr>
              <w:t>总铅</w:t>
            </w:r>
          </w:p>
        </w:tc>
        <w:tc>
          <w:tcPr>
            <w:tcW w:w="1027" w:type="dxa"/>
            <w:vAlign w:val="top"/>
          </w:tcPr>
          <w:p w14:paraId="1CF4B72A">
            <w:pPr>
              <w:spacing w:before="159"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03A651CF">
            <w:pPr>
              <w:spacing w:before="163"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0.000263</w:t>
            </w:r>
          </w:p>
        </w:tc>
        <w:tc>
          <w:tcPr>
            <w:tcW w:w="1552" w:type="dxa"/>
            <w:vAlign w:val="top"/>
          </w:tcPr>
          <w:p w14:paraId="153CB516">
            <w:pPr>
              <w:spacing w:before="163"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0.000282</w:t>
            </w:r>
          </w:p>
        </w:tc>
        <w:tc>
          <w:tcPr>
            <w:tcW w:w="1161" w:type="dxa"/>
            <w:vAlign w:val="top"/>
          </w:tcPr>
          <w:p w14:paraId="55CF3856">
            <w:pPr>
              <w:spacing w:before="163"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16CBAF4C">
            <w:pPr>
              <w:spacing w:before="163"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+0.000263</w:t>
            </w:r>
          </w:p>
        </w:tc>
        <w:tc>
          <w:tcPr>
            <w:tcW w:w="231" w:type="dxa"/>
            <w:vMerge w:val="continue"/>
            <w:tcBorders>
              <w:top w:val="nil"/>
              <w:bottom w:val="nil"/>
              <w:right w:val="single" w:color="000000" w:sz="6" w:space="0"/>
            </w:tcBorders>
            <w:vAlign w:val="top"/>
          </w:tcPr>
          <w:p w14:paraId="5F454840">
            <w:pPr>
              <w:rPr>
                <w:rFonts w:ascii="Arial"/>
                <w:sz w:val="21"/>
              </w:rPr>
            </w:pPr>
          </w:p>
        </w:tc>
      </w:tr>
      <w:tr w14:paraId="3C479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77277317">
            <w:pPr>
              <w:rPr>
                <w:rFonts w:ascii="Arial"/>
                <w:sz w:val="21"/>
              </w:rPr>
            </w:pPr>
          </w:p>
        </w:tc>
        <w:tc>
          <w:tcPr>
            <w:tcW w:w="221" w:type="dxa"/>
            <w:vMerge w:val="continue"/>
            <w:tcBorders>
              <w:top w:val="nil"/>
              <w:bottom w:val="nil"/>
            </w:tcBorders>
            <w:vAlign w:val="top"/>
          </w:tcPr>
          <w:p w14:paraId="39189AF9">
            <w:pPr>
              <w:rPr>
                <w:rFonts w:ascii="Arial"/>
                <w:sz w:val="21"/>
              </w:rPr>
            </w:pPr>
          </w:p>
        </w:tc>
        <w:tc>
          <w:tcPr>
            <w:tcW w:w="453" w:type="dxa"/>
            <w:vMerge w:val="continue"/>
            <w:tcBorders>
              <w:top w:val="nil"/>
              <w:bottom w:val="nil"/>
            </w:tcBorders>
            <w:vAlign w:val="top"/>
          </w:tcPr>
          <w:p w14:paraId="20CEC6C4">
            <w:pPr>
              <w:rPr>
                <w:rFonts w:ascii="Arial"/>
                <w:sz w:val="21"/>
              </w:rPr>
            </w:pPr>
          </w:p>
        </w:tc>
        <w:tc>
          <w:tcPr>
            <w:tcW w:w="1321" w:type="dxa"/>
            <w:vAlign w:val="top"/>
          </w:tcPr>
          <w:p w14:paraId="7D06F105">
            <w:pPr>
              <w:pStyle w:val="6"/>
              <w:spacing w:before="127" w:line="228" w:lineRule="auto"/>
              <w:ind w:left="456"/>
              <w:rPr>
                <w:sz w:val="20"/>
                <w:szCs w:val="20"/>
              </w:rPr>
            </w:pPr>
            <w:r>
              <w:rPr>
                <w:spacing w:val="2"/>
                <w:sz w:val="20"/>
                <w:szCs w:val="20"/>
              </w:rPr>
              <w:t>总镍</w:t>
            </w:r>
          </w:p>
        </w:tc>
        <w:tc>
          <w:tcPr>
            <w:tcW w:w="1027" w:type="dxa"/>
            <w:vAlign w:val="top"/>
          </w:tcPr>
          <w:p w14:paraId="63589429">
            <w:pPr>
              <w:spacing w:before="158"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579EF094">
            <w:pPr>
              <w:spacing w:before="16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0.002646</w:t>
            </w:r>
          </w:p>
        </w:tc>
        <w:tc>
          <w:tcPr>
            <w:tcW w:w="1552" w:type="dxa"/>
            <w:vAlign w:val="top"/>
          </w:tcPr>
          <w:p w14:paraId="2BA18325">
            <w:pPr>
              <w:spacing w:before="162"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0.002836</w:t>
            </w:r>
          </w:p>
        </w:tc>
        <w:tc>
          <w:tcPr>
            <w:tcW w:w="1161" w:type="dxa"/>
            <w:vAlign w:val="top"/>
          </w:tcPr>
          <w:p w14:paraId="42AD6814">
            <w:pPr>
              <w:spacing w:before="16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4A7885A6">
            <w:pPr>
              <w:spacing w:before="162"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+0.002646</w:t>
            </w:r>
          </w:p>
        </w:tc>
        <w:tc>
          <w:tcPr>
            <w:tcW w:w="231" w:type="dxa"/>
            <w:vMerge w:val="continue"/>
            <w:tcBorders>
              <w:top w:val="nil"/>
              <w:bottom w:val="nil"/>
              <w:right w:val="single" w:color="000000" w:sz="6" w:space="0"/>
            </w:tcBorders>
            <w:vAlign w:val="top"/>
          </w:tcPr>
          <w:p w14:paraId="7850F3D8">
            <w:pPr>
              <w:rPr>
                <w:rFonts w:ascii="Arial"/>
                <w:sz w:val="21"/>
              </w:rPr>
            </w:pPr>
          </w:p>
        </w:tc>
      </w:tr>
      <w:tr w14:paraId="6DD4A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183C5171">
            <w:pPr>
              <w:rPr>
                <w:rFonts w:ascii="Arial"/>
                <w:sz w:val="21"/>
              </w:rPr>
            </w:pPr>
          </w:p>
        </w:tc>
        <w:tc>
          <w:tcPr>
            <w:tcW w:w="221" w:type="dxa"/>
            <w:vMerge w:val="continue"/>
            <w:tcBorders>
              <w:top w:val="nil"/>
              <w:bottom w:val="nil"/>
            </w:tcBorders>
            <w:vAlign w:val="top"/>
          </w:tcPr>
          <w:p w14:paraId="4D66AED3">
            <w:pPr>
              <w:rPr>
                <w:rFonts w:ascii="Arial"/>
                <w:sz w:val="21"/>
              </w:rPr>
            </w:pPr>
          </w:p>
        </w:tc>
        <w:tc>
          <w:tcPr>
            <w:tcW w:w="453" w:type="dxa"/>
            <w:vMerge w:val="continue"/>
            <w:tcBorders>
              <w:top w:val="nil"/>
              <w:bottom w:val="nil"/>
            </w:tcBorders>
            <w:vAlign w:val="top"/>
          </w:tcPr>
          <w:p w14:paraId="78E4D3A6">
            <w:pPr>
              <w:rPr>
                <w:rFonts w:ascii="Arial"/>
                <w:sz w:val="21"/>
              </w:rPr>
            </w:pPr>
          </w:p>
        </w:tc>
        <w:tc>
          <w:tcPr>
            <w:tcW w:w="1321" w:type="dxa"/>
            <w:vAlign w:val="top"/>
          </w:tcPr>
          <w:p w14:paraId="794B61D3">
            <w:pPr>
              <w:pStyle w:val="6"/>
              <w:spacing w:before="127" w:line="228" w:lineRule="auto"/>
              <w:ind w:left="456"/>
              <w:rPr>
                <w:sz w:val="20"/>
                <w:szCs w:val="20"/>
              </w:rPr>
            </w:pPr>
            <w:r>
              <w:rPr>
                <w:spacing w:val="2"/>
                <w:sz w:val="20"/>
                <w:szCs w:val="20"/>
              </w:rPr>
              <w:t>总铍</w:t>
            </w:r>
          </w:p>
        </w:tc>
        <w:tc>
          <w:tcPr>
            <w:tcW w:w="1027" w:type="dxa"/>
            <w:vAlign w:val="top"/>
          </w:tcPr>
          <w:p w14:paraId="044DF822">
            <w:pPr>
              <w:spacing w:before="161"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2281CB49">
            <w:pPr>
              <w:spacing w:before="16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0.000386</w:t>
            </w:r>
          </w:p>
        </w:tc>
        <w:tc>
          <w:tcPr>
            <w:tcW w:w="1552" w:type="dxa"/>
            <w:vAlign w:val="top"/>
          </w:tcPr>
          <w:p w14:paraId="2A37189C">
            <w:pPr>
              <w:spacing w:before="165"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0.000414</w:t>
            </w:r>
          </w:p>
        </w:tc>
        <w:tc>
          <w:tcPr>
            <w:tcW w:w="1161" w:type="dxa"/>
            <w:vAlign w:val="top"/>
          </w:tcPr>
          <w:p w14:paraId="3E1E152E">
            <w:pPr>
              <w:spacing w:before="165"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6CF14FBA">
            <w:pPr>
              <w:spacing w:before="16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+0.000386</w:t>
            </w:r>
          </w:p>
        </w:tc>
        <w:tc>
          <w:tcPr>
            <w:tcW w:w="231" w:type="dxa"/>
            <w:vMerge w:val="continue"/>
            <w:tcBorders>
              <w:top w:val="nil"/>
              <w:bottom w:val="nil"/>
              <w:right w:val="single" w:color="000000" w:sz="6" w:space="0"/>
            </w:tcBorders>
            <w:vAlign w:val="top"/>
          </w:tcPr>
          <w:p w14:paraId="02D63326">
            <w:pPr>
              <w:rPr>
                <w:rFonts w:ascii="Arial"/>
                <w:sz w:val="21"/>
              </w:rPr>
            </w:pPr>
          </w:p>
        </w:tc>
      </w:tr>
      <w:tr w14:paraId="516D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4D849E22">
            <w:pPr>
              <w:rPr>
                <w:rFonts w:ascii="Arial"/>
                <w:sz w:val="21"/>
              </w:rPr>
            </w:pPr>
          </w:p>
        </w:tc>
        <w:tc>
          <w:tcPr>
            <w:tcW w:w="221" w:type="dxa"/>
            <w:vMerge w:val="continue"/>
            <w:tcBorders>
              <w:top w:val="nil"/>
              <w:bottom w:val="nil"/>
            </w:tcBorders>
            <w:vAlign w:val="top"/>
          </w:tcPr>
          <w:p w14:paraId="4C1D6F82">
            <w:pPr>
              <w:rPr>
                <w:rFonts w:ascii="Arial"/>
                <w:sz w:val="21"/>
              </w:rPr>
            </w:pPr>
          </w:p>
        </w:tc>
        <w:tc>
          <w:tcPr>
            <w:tcW w:w="453" w:type="dxa"/>
            <w:vMerge w:val="continue"/>
            <w:tcBorders>
              <w:top w:val="nil"/>
            </w:tcBorders>
            <w:vAlign w:val="top"/>
          </w:tcPr>
          <w:p w14:paraId="70D9FDD0">
            <w:pPr>
              <w:rPr>
                <w:rFonts w:ascii="Arial"/>
                <w:sz w:val="21"/>
              </w:rPr>
            </w:pPr>
          </w:p>
        </w:tc>
        <w:tc>
          <w:tcPr>
            <w:tcW w:w="1321" w:type="dxa"/>
            <w:vAlign w:val="top"/>
          </w:tcPr>
          <w:p w14:paraId="1BFF327A">
            <w:pPr>
              <w:pStyle w:val="6"/>
              <w:spacing w:before="128" w:line="231" w:lineRule="auto"/>
              <w:ind w:left="456"/>
              <w:rPr>
                <w:sz w:val="20"/>
                <w:szCs w:val="20"/>
              </w:rPr>
            </w:pPr>
            <w:r>
              <w:rPr>
                <w:spacing w:val="2"/>
                <w:sz w:val="20"/>
                <w:szCs w:val="20"/>
              </w:rPr>
              <w:t>总银</w:t>
            </w:r>
          </w:p>
        </w:tc>
        <w:tc>
          <w:tcPr>
            <w:tcW w:w="1027" w:type="dxa"/>
            <w:vAlign w:val="top"/>
          </w:tcPr>
          <w:p w14:paraId="159A4FD0">
            <w:pPr>
              <w:spacing w:before="16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7D8FBB98">
            <w:pPr>
              <w:spacing w:before="16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0.002192</w:t>
            </w:r>
          </w:p>
        </w:tc>
        <w:tc>
          <w:tcPr>
            <w:tcW w:w="1552" w:type="dxa"/>
            <w:vAlign w:val="top"/>
          </w:tcPr>
          <w:p w14:paraId="26488F25">
            <w:pPr>
              <w:spacing w:before="164"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0.002350</w:t>
            </w:r>
          </w:p>
        </w:tc>
        <w:tc>
          <w:tcPr>
            <w:tcW w:w="1161" w:type="dxa"/>
            <w:vAlign w:val="top"/>
          </w:tcPr>
          <w:p w14:paraId="0A14C6C7">
            <w:pPr>
              <w:spacing w:before="164"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3D85FF14">
            <w:pPr>
              <w:spacing w:before="16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+0.002192</w:t>
            </w:r>
          </w:p>
        </w:tc>
        <w:tc>
          <w:tcPr>
            <w:tcW w:w="231" w:type="dxa"/>
            <w:vMerge w:val="continue"/>
            <w:tcBorders>
              <w:top w:val="nil"/>
              <w:bottom w:val="nil"/>
              <w:right w:val="single" w:color="000000" w:sz="6" w:space="0"/>
            </w:tcBorders>
            <w:vAlign w:val="top"/>
          </w:tcPr>
          <w:p w14:paraId="204EF71F">
            <w:pPr>
              <w:rPr>
                <w:rFonts w:ascii="Arial"/>
                <w:sz w:val="21"/>
              </w:rPr>
            </w:pPr>
          </w:p>
        </w:tc>
      </w:tr>
      <w:tr w14:paraId="5BC70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1399E5C5">
            <w:pPr>
              <w:rPr>
                <w:rFonts w:ascii="Arial"/>
                <w:sz w:val="21"/>
              </w:rPr>
            </w:pPr>
          </w:p>
        </w:tc>
        <w:tc>
          <w:tcPr>
            <w:tcW w:w="221" w:type="dxa"/>
            <w:vMerge w:val="continue"/>
            <w:tcBorders>
              <w:top w:val="nil"/>
              <w:bottom w:val="nil"/>
            </w:tcBorders>
            <w:vAlign w:val="top"/>
          </w:tcPr>
          <w:p w14:paraId="2CB2E0C3">
            <w:pPr>
              <w:rPr>
                <w:rFonts w:ascii="Arial"/>
                <w:sz w:val="21"/>
              </w:rPr>
            </w:pPr>
          </w:p>
        </w:tc>
        <w:tc>
          <w:tcPr>
            <w:tcW w:w="453" w:type="dxa"/>
            <w:vMerge w:val="restart"/>
            <w:tcBorders>
              <w:bottom w:val="nil"/>
            </w:tcBorders>
            <w:textDirection w:val="tbRlV"/>
            <w:vAlign w:val="top"/>
          </w:tcPr>
          <w:p w14:paraId="152453BF">
            <w:pPr>
              <w:pStyle w:val="6"/>
              <w:spacing w:before="126" w:line="217" w:lineRule="auto"/>
              <w:ind w:left="1153"/>
              <w:rPr>
                <w:sz w:val="20"/>
                <w:szCs w:val="20"/>
              </w:rPr>
            </w:pPr>
            <w:r>
              <w:rPr>
                <w:spacing w:val="8"/>
                <w:sz w:val="20"/>
                <w:szCs w:val="20"/>
              </w:rPr>
              <w:t>固</w:t>
            </w:r>
            <w:r>
              <w:rPr>
                <w:spacing w:val="-38"/>
                <w:sz w:val="20"/>
                <w:szCs w:val="20"/>
              </w:rPr>
              <w:t xml:space="preserve"> </w:t>
            </w:r>
            <w:r>
              <w:rPr>
                <w:spacing w:val="8"/>
                <w:sz w:val="20"/>
                <w:szCs w:val="20"/>
              </w:rPr>
              <w:t>废</w:t>
            </w:r>
          </w:p>
        </w:tc>
        <w:tc>
          <w:tcPr>
            <w:tcW w:w="1321" w:type="dxa"/>
            <w:vAlign w:val="top"/>
          </w:tcPr>
          <w:p w14:paraId="62168F8B">
            <w:pPr>
              <w:pStyle w:val="6"/>
              <w:spacing w:before="129" w:line="228" w:lineRule="auto"/>
              <w:ind w:left="344"/>
              <w:rPr>
                <w:sz w:val="20"/>
                <w:szCs w:val="20"/>
              </w:rPr>
            </w:pPr>
            <w:r>
              <w:rPr>
                <w:spacing w:val="7"/>
                <w:sz w:val="20"/>
                <w:szCs w:val="20"/>
              </w:rPr>
              <w:t>废酸液</w:t>
            </w:r>
          </w:p>
        </w:tc>
        <w:tc>
          <w:tcPr>
            <w:tcW w:w="1027" w:type="dxa"/>
            <w:vAlign w:val="top"/>
          </w:tcPr>
          <w:p w14:paraId="6C26A7F0">
            <w:pPr>
              <w:spacing w:before="164"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2660</w:t>
            </w:r>
          </w:p>
        </w:tc>
        <w:tc>
          <w:tcPr>
            <w:tcW w:w="1135" w:type="dxa"/>
            <w:vAlign w:val="top"/>
          </w:tcPr>
          <w:p w14:paraId="7B9B1866">
            <w:pPr>
              <w:spacing w:before="164"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1194.6</w:t>
            </w:r>
          </w:p>
        </w:tc>
        <w:tc>
          <w:tcPr>
            <w:tcW w:w="1552" w:type="dxa"/>
            <w:vAlign w:val="top"/>
          </w:tcPr>
          <w:p w14:paraId="78135C96">
            <w:pPr>
              <w:spacing w:before="164"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3189.6</w:t>
            </w:r>
          </w:p>
        </w:tc>
        <w:tc>
          <w:tcPr>
            <w:tcW w:w="1161" w:type="dxa"/>
            <w:vAlign w:val="top"/>
          </w:tcPr>
          <w:p w14:paraId="605EC0C1">
            <w:pPr>
              <w:spacing w:before="164"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665</w:t>
            </w:r>
          </w:p>
        </w:tc>
        <w:tc>
          <w:tcPr>
            <w:tcW w:w="1279" w:type="dxa"/>
            <w:vAlign w:val="top"/>
          </w:tcPr>
          <w:p w14:paraId="5747353B">
            <w:pPr>
              <w:spacing w:before="16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+529.6</w:t>
            </w:r>
          </w:p>
        </w:tc>
        <w:tc>
          <w:tcPr>
            <w:tcW w:w="231" w:type="dxa"/>
            <w:vMerge w:val="continue"/>
            <w:tcBorders>
              <w:top w:val="nil"/>
              <w:bottom w:val="nil"/>
              <w:right w:val="single" w:color="000000" w:sz="6" w:space="0"/>
            </w:tcBorders>
            <w:vAlign w:val="top"/>
          </w:tcPr>
          <w:p w14:paraId="4734D472">
            <w:pPr>
              <w:rPr>
                <w:rFonts w:ascii="Arial"/>
                <w:sz w:val="21"/>
              </w:rPr>
            </w:pPr>
          </w:p>
        </w:tc>
      </w:tr>
      <w:tr w14:paraId="29564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46C89AF6">
            <w:pPr>
              <w:rPr>
                <w:rFonts w:ascii="Arial"/>
                <w:sz w:val="21"/>
              </w:rPr>
            </w:pPr>
          </w:p>
        </w:tc>
        <w:tc>
          <w:tcPr>
            <w:tcW w:w="221" w:type="dxa"/>
            <w:vMerge w:val="continue"/>
            <w:tcBorders>
              <w:top w:val="nil"/>
              <w:bottom w:val="nil"/>
            </w:tcBorders>
            <w:vAlign w:val="top"/>
          </w:tcPr>
          <w:p w14:paraId="13B12DA3">
            <w:pPr>
              <w:rPr>
                <w:rFonts w:ascii="Arial"/>
                <w:sz w:val="21"/>
              </w:rPr>
            </w:pPr>
          </w:p>
        </w:tc>
        <w:tc>
          <w:tcPr>
            <w:tcW w:w="453" w:type="dxa"/>
            <w:vMerge w:val="continue"/>
            <w:tcBorders>
              <w:top w:val="nil"/>
              <w:bottom w:val="nil"/>
            </w:tcBorders>
            <w:textDirection w:val="tbRlV"/>
            <w:vAlign w:val="top"/>
          </w:tcPr>
          <w:p w14:paraId="389262D5">
            <w:pPr>
              <w:rPr>
                <w:rFonts w:ascii="Arial"/>
                <w:sz w:val="21"/>
              </w:rPr>
            </w:pPr>
          </w:p>
        </w:tc>
        <w:tc>
          <w:tcPr>
            <w:tcW w:w="1321" w:type="dxa"/>
            <w:vAlign w:val="top"/>
          </w:tcPr>
          <w:p w14:paraId="04544136">
            <w:pPr>
              <w:pStyle w:val="6"/>
              <w:spacing w:before="128" w:line="228" w:lineRule="auto"/>
              <w:ind w:left="241"/>
              <w:rPr>
                <w:sz w:val="20"/>
                <w:szCs w:val="20"/>
              </w:rPr>
            </w:pPr>
            <w:r>
              <w:rPr>
                <w:spacing w:val="7"/>
                <w:sz w:val="20"/>
                <w:szCs w:val="20"/>
              </w:rPr>
              <w:t>包装废物</w:t>
            </w:r>
          </w:p>
        </w:tc>
        <w:tc>
          <w:tcPr>
            <w:tcW w:w="1027" w:type="dxa"/>
            <w:vAlign w:val="top"/>
          </w:tcPr>
          <w:p w14:paraId="2DD763F3">
            <w:pPr>
              <w:spacing w:before="166"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1135" w:type="dxa"/>
            <w:vAlign w:val="top"/>
          </w:tcPr>
          <w:p w14:paraId="66F831BC">
            <w:pPr>
              <w:spacing w:before="16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176.808</w:t>
            </w:r>
          </w:p>
        </w:tc>
        <w:tc>
          <w:tcPr>
            <w:tcW w:w="1552" w:type="dxa"/>
            <w:vAlign w:val="top"/>
          </w:tcPr>
          <w:p w14:paraId="1AD37CA8">
            <w:pPr>
              <w:spacing w:before="166"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177.0405</w:t>
            </w:r>
          </w:p>
        </w:tc>
        <w:tc>
          <w:tcPr>
            <w:tcW w:w="1161" w:type="dxa"/>
            <w:vAlign w:val="top"/>
          </w:tcPr>
          <w:p w14:paraId="1C0DB529">
            <w:pPr>
              <w:spacing w:before="16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0.0775</w:t>
            </w:r>
          </w:p>
        </w:tc>
        <w:tc>
          <w:tcPr>
            <w:tcW w:w="1279" w:type="dxa"/>
            <w:vAlign w:val="top"/>
          </w:tcPr>
          <w:p w14:paraId="735DCC82">
            <w:pPr>
              <w:spacing w:before="16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+176.0025</w:t>
            </w:r>
          </w:p>
        </w:tc>
        <w:tc>
          <w:tcPr>
            <w:tcW w:w="231" w:type="dxa"/>
            <w:vMerge w:val="continue"/>
            <w:tcBorders>
              <w:top w:val="nil"/>
              <w:bottom w:val="nil"/>
              <w:right w:val="single" w:color="000000" w:sz="6" w:space="0"/>
            </w:tcBorders>
            <w:vAlign w:val="top"/>
          </w:tcPr>
          <w:p w14:paraId="70A142EA">
            <w:pPr>
              <w:rPr>
                <w:rFonts w:ascii="Arial"/>
                <w:sz w:val="21"/>
              </w:rPr>
            </w:pPr>
          </w:p>
        </w:tc>
      </w:tr>
      <w:tr w14:paraId="74E98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45ED0893">
            <w:pPr>
              <w:rPr>
                <w:rFonts w:ascii="Arial"/>
                <w:sz w:val="21"/>
              </w:rPr>
            </w:pPr>
          </w:p>
        </w:tc>
        <w:tc>
          <w:tcPr>
            <w:tcW w:w="221" w:type="dxa"/>
            <w:vMerge w:val="continue"/>
            <w:tcBorders>
              <w:top w:val="nil"/>
              <w:bottom w:val="nil"/>
            </w:tcBorders>
            <w:vAlign w:val="top"/>
          </w:tcPr>
          <w:p w14:paraId="523095E0">
            <w:pPr>
              <w:rPr>
                <w:rFonts w:ascii="Arial"/>
                <w:sz w:val="21"/>
              </w:rPr>
            </w:pPr>
          </w:p>
        </w:tc>
        <w:tc>
          <w:tcPr>
            <w:tcW w:w="453" w:type="dxa"/>
            <w:vMerge w:val="continue"/>
            <w:tcBorders>
              <w:top w:val="nil"/>
              <w:bottom w:val="nil"/>
            </w:tcBorders>
            <w:textDirection w:val="tbRlV"/>
            <w:vAlign w:val="top"/>
          </w:tcPr>
          <w:p w14:paraId="4B9186B4">
            <w:pPr>
              <w:rPr>
                <w:rFonts w:ascii="Arial"/>
                <w:sz w:val="21"/>
              </w:rPr>
            </w:pPr>
          </w:p>
        </w:tc>
        <w:tc>
          <w:tcPr>
            <w:tcW w:w="1321" w:type="dxa"/>
            <w:vAlign w:val="top"/>
          </w:tcPr>
          <w:p w14:paraId="3F67843D">
            <w:pPr>
              <w:pStyle w:val="6"/>
              <w:spacing w:before="130" w:line="228" w:lineRule="auto"/>
              <w:ind w:left="240"/>
              <w:rPr>
                <w:sz w:val="20"/>
                <w:szCs w:val="20"/>
              </w:rPr>
            </w:pPr>
            <w:r>
              <w:rPr>
                <w:spacing w:val="7"/>
                <w:sz w:val="20"/>
                <w:szCs w:val="20"/>
              </w:rPr>
              <w:t>废活性炭</w:t>
            </w:r>
          </w:p>
        </w:tc>
        <w:tc>
          <w:tcPr>
            <w:tcW w:w="1027" w:type="dxa"/>
            <w:vAlign w:val="top"/>
          </w:tcPr>
          <w:p w14:paraId="27437758">
            <w:pPr>
              <w:spacing w:before="166"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5" w:type="dxa"/>
            <w:vAlign w:val="top"/>
          </w:tcPr>
          <w:p w14:paraId="704756EE">
            <w:pPr>
              <w:spacing w:before="16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60.502</w:t>
            </w:r>
          </w:p>
        </w:tc>
        <w:tc>
          <w:tcPr>
            <w:tcW w:w="1552" w:type="dxa"/>
            <w:vAlign w:val="top"/>
          </w:tcPr>
          <w:p w14:paraId="4F9177AD">
            <w:pPr>
              <w:spacing w:before="166"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60.502</w:t>
            </w:r>
          </w:p>
        </w:tc>
        <w:tc>
          <w:tcPr>
            <w:tcW w:w="1161" w:type="dxa"/>
            <w:vAlign w:val="top"/>
          </w:tcPr>
          <w:p w14:paraId="5FC40923">
            <w:pPr>
              <w:spacing w:before="166"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9" w:type="dxa"/>
            <w:vAlign w:val="top"/>
          </w:tcPr>
          <w:p w14:paraId="1D5DAB23">
            <w:pPr>
              <w:spacing w:before="16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+60.502</w:t>
            </w:r>
          </w:p>
        </w:tc>
        <w:tc>
          <w:tcPr>
            <w:tcW w:w="231" w:type="dxa"/>
            <w:vMerge w:val="continue"/>
            <w:tcBorders>
              <w:top w:val="nil"/>
              <w:bottom w:val="nil"/>
              <w:right w:val="single" w:color="000000" w:sz="6" w:space="0"/>
            </w:tcBorders>
            <w:vAlign w:val="top"/>
          </w:tcPr>
          <w:p w14:paraId="23349BE5">
            <w:pPr>
              <w:rPr>
                <w:rFonts w:ascii="Arial"/>
                <w:sz w:val="21"/>
              </w:rPr>
            </w:pPr>
          </w:p>
        </w:tc>
      </w:tr>
      <w:tr w14:paraId="2C69B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044A2547">
            <w:pPr>
              <w:rPr>
                <w:rFonts w:ascii="Arial"/>
                <w:sz w:val="21"/>
              </w:rPr>
            </w:pPr>
          </w:p>
        </w:tc>
        <w:tc>
          <w:tcPr>
            <w:tcW w:w="221" w:type="dxa"/>
            <w:vMerge w:val="continue"/>
            <w:tcBorders>
              <w:top w:val="nil"/>
              <w:bottom w:val="nil"/>
            </w:tcBorders>
            <w:vAlign w:val="top"/>
          </w:tcPr>
          <w:p w14:paraId="68C689E3">
            <w:pPr>
              <w:rPr>
                <w:rFonts w:ascii="Arial"/>
                <w:sz w:val="21"/>
              </w:rPr>
            </w:pPr>
          </w:p>
        </w:tc>
        <w:tc>
          <w:tcPr>
            <w:tcW w:w="453" w:type="dxa"/>
            <w:vMerge w:val="continue"/>
            <w:tcBorders>
              <w:top w:val="nil"/>
              <w:bottom w:val="nil"/>
            </w:tcBorders>
            <w:textDirection w:val="tbRlV"/>
            <w:vAlign w:val="top"/>
          </w:tcPr>
          <w:p w14:paraId="03386028">
            <w:pPr>
              <w:rPr>
                <w:rFonts w:ascii="Arial"/>
                <w:sz w:val="21"/>
              </w:rPr>
            </w:pPr>
          </w:p>
        </w:tc>
        <w:tc>
          <w:tcPr>
            <w:tcW w:w="1321" w:type="dxa"/>
            <w:vAlign w:val="top"/>
          </w:tcPr>
          <w:p w14:paraId="4DDE3A3B">
            <w:pPr>
              <w:pStyle w:val="6"/>
              <w:spacing w:before="130" w:line="228" w:lineRule="auto"/>
              <w:ind w:left="241"/>
              <w:rPr>
                <w:sz w:val="20"/>
                <w:szCs w:val="20"/>
              </w:rPr>
            </w:pPr>
            <w:r>
              <w:rPr>
                <w:spacing w:val="7"/>
                <w:sz w:val="20"/>
                <w:szCs w:val="20"/>
              </w:rPr>
              <w:t>沉淀污泥</w:t>
            </w:r>
          </w:p>
        </w:tc>
        <w:tc>
          <w:tcPr>
            <w:tcW w:w="1027" w:type="dxa"/>
            <w:vAlign w:val="top"/>
          </w:tcPr>
          <w:p w14:paraId="744C4A9C">
            <w:pPr>
              <w:spacing w:before="16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4.536</w:t>
            </w:r>
          </w:p>
        </w:tc>
        <w:tc>
          <w:tcPr>
            <w:tcW w:w="1135" w:type="dxa"/>
            <w:vAlign w:val="top"/>
          </w:tcPr>
          <w:p w14:paraId="26FCF0FD">
            <w:pPr>
              <w:spacing w:before="165"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987</w:t>
            </w:r>
          </w:p>
        </w:tc>
        <w:tc>
          <w:tcPr>
            <w:tcW w:w="1552" w:type="dxa"/>
            <w:vAlign w:val="top"/>
          </w:tcPr>
          <w:p w14:paraId="1BD3F7E9">
            <w:pPr>
              <w:spacing w:before="165"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991.536</w:t>
            </w:r>
          </w:p>
        </w:tc>
        <w:tc>
          <w:tcPr>
            <w:tcW w:w="1161" w:type="dxa"/>
            <w:vAlign w:val="top"/>
          </w:tcPr>
          <w:p w14:paraId="628024C5">
            <w:pPr>
              <w:spacing w:before="16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1.134</w:t>
            </w:r>
          </w:p>
        </w:tc>
        <w:tc>
          <w:tcPr>
            <w:tcW w:w="1279" w:type="dxa"/>
            <w:vAlign w:val="top"/>
          </w:tcPr>
          <w:p w14:paraId="2F5E3447">
            <w:pPr>
              <w:spacing w:before="165"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+985.866</w:t>
            </w:r>
          </w:p>
        </w:tc>
        <w:tc>
          <w:tcPr>
            <w:tcW w:w="231" w:type="dxa"/>
            <w:vMerge w:val="continue"/>
            <w:tcBorders>
              <w:top w:val="nil"/>
              <w:bottom w:val="nil"/>
              <w:right w:val="single" w:color="000000" w:sz="6" w:space="0"/>
            </w:tcBorders>
            <w:vAlign w:val="top"/>
          </w:tcPr>
          <w:p w14:paraId="57B02319">
            <w:pPr>
              <w:rPr>
                <w:rFonts w:ascii="Arial"/>
                <w:sz w:val="21"/>
              </w:rPr>
            </w:pPr>
          </w:p>
        </w:tc>
      </w:tr>
      <w:tr w14:paraId="32D5C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05" w:type="dxa"/>
            <w:vMerge w:val="continue"/>
            <w:tcBorders>
              <w:top w:val="nil"/>
              <w:left w:val="single" w:color="000000" w:sz="6" w:space="0"/>
              <w:bottom w:val="nil"/>
            </w:tcBorders>
            <w:vAlign w:val="top"/>
          </w:tcPr>
          <w:p w14:paraId="3B390F95">
            <w:pPr>
              <w:rPr>
                <w:rFonts w:ascii="Arial"/>
                <w:sz w:val="21"/>
              </w:rPr>
            </w:pPr>
          </w:p>
        </w:tc>
        <w:tc>
          <w:tcPr>
            <w:tcW w:w="221" w:type="dxa"/>
            <w:vMerge w:val="continue"/>
            <w:tcBorders>
              <w:top w:val="nil"/>
              <w:bottom w:val="nil"/>
            </w:tcBorders>
            <w:vAlign w:val="top"/>
          </w:tcPr>
          <w:p w14:paraId="7F57652D">
            <w:pPr>
              <w:rPr>
                <w:rFonts w:ascii="Arial"/>
                <w:sz w:val="21"/>
              </w:rPr>
            </w:pPr>
          </w:p>
        </w:tc>
        <w:tc>
          <w:tcPr>
            <w:tcW w:w="453" w:type="dxa"/>
            <w:vMerge w:val="continue"/>
            <w:tcBorders>
              <w:top w:val="nil"/>
              <w:bottom w:val="nil"/>
            </w:tcBorders>
            <w:textDirection w:val="tbRlV"/>
            <w:vAlign w:val="top"/>
          </w:tcPr>
          <w:p w14:paraId="52EA3E96">
            <w:pPr>
              <w:rPr>
                <w:rFonts w:ascii="Arial"/>
                <w:sz w:val="21"/>
              </w:rPr>
            </w:pPr>
          </w:p>
        </w:tc>
        <w:tc>
          <w:tcPr>
            <w:tcW w:w="1321" w:type="dxa"/>
            <w:vAlign w:val="top"/>
          </w:tcPr>
          <w:p w14:paraId="02706D02">
            <w:pPr>
              <w:pStyle w:val="6"/>
              <w:spacing w:before="129" w:line="228" w:lineRule="auto"/>
              <w:ind w:left="344"/>
              <w:rPr>
                <w:sz w:val="20"/>
                <w:szCs w:val="20"/>
              </w:rPr>
            </w:pPr>
            <w:r>
              <w:rPr>
                <w:spacing w:val="7"/>
                <w:sz w:val="20"/>
                <w:szCs w:val="20"/>
              </w:rPr>
              <w:t>废手套</w:t>
            </w:r>
          </w:p>
        </w:tc>
        <w:tc>
          <w:tcPr>
            <w:tcW w:w="1027" w:type="dxa"/>
            <w:vAlign w:val="top"/>
          </w:tcPr>
          <w:p w14:paraId="10305C2F">
            <w:pPr>
              <w:spacing w:before="16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0.036</w:t>
            </w:r>
          </w:p>
        </w:tc>
        <w:tc>
          <w:tcPr>
            <w:tcW w:w="1135" w:type="dxa"/>
            <w:vAlign w:val="top"/>
          </w:tcPr>
          <w:p w14:paraId="28372DF6">
            <w:pPr>
              <w:spacing w:before="167"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52" w:type="dxa"/>
            <w:vAlign w:val="top"/>
          </w:tcPr>
          <w:p w14:paraId="71C59CEC">
            <w:pPr>
              <w:spacing w:before="16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0.117</w:t>
            </w:r>
          </w:p>
        </w:tc>
        <w:tc>
          <w:tcPr>
            <w:tcW w:w="1161" w:type="dxa"/>
            <w:vAlign w:val="top"/>
          </w:tcPr>
          <w:p w14:paraId="58A81D57">
            <w:pPr>
              <w:spacing w:before="16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279" w:type="dxa"/>
            <w:vAlign w:val="top"/>
          </w:tcPr>
          <w:p w14:paraId="3A3ACE56">
            <w:pPr>
              <w:spacing w:before="167"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+0.081</w:t>
            </w:r>
          </w:p>
        </w:tc>
        <w:tc>
          <w:tcPr>
            <w:tcW w:w="231" w:type="dxa"/>
            <w:vMerge w:val="continue"/>
            <w:tcBorders>
              <w:top w:val="nil"/>
              <w:bottom w:val="nil"/>
              <w:right w:val="single" w:color="000000" w:sz="6" w:space="0"/>
            </w:tcBorders>
            <w:vAlign w:val="top"/>
          </w:tcPr>
          <w:p w14:paraId="0205648F">
            <w:pPr>
              <w:rPr>
                <w:rFonts w:ascii="Arial"/>
                <w:sz w:val="21"/>
              </w:rPr>
            </w:pPr>
          </w:p>
        </w:tc>
      </w:tr>
      <w:tr w14:paraId="0AF81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5" w:type="dxa"/>
            <w:vMerge w:val="continue"/>
            <w:tcBorders>
              <w:top w:val="nil"/>
              <w:left w:val="single" w:color="000000" w:sz="6" w:space="0"/>
              <w:bottom w:val="nil"/>
            </w:tcBorders>
            <w:vAlign w:val="top"/>
          </w:tcPr>
          <w:p w14:paraId="052BE351">
            <w:pPr>
              <w:rPr>
                <w:rFonts w:ascii="Arial"/>
                <w:sz w:val="21"/>
              </w:rPr>
            </w:pPr>
          </w:p>
        </w:tc>
        <w:tc>
          <w:tcPr>
            <w:tcW w:w="221" w:type="dxa"/>
            <w:vMerge w:val="continue"/>
            <w:tcBorders>
              <w:top w:val="nil"/>
              <w:bottom w:val="nil"/>
            </w:tcBorders>
            <w:vAlign w:val="top"/>
          </w:tcPr>
          <w:p w14:paraId="5FD4D181">
            <w:pPr>
              <w:rPr>
                <w:rFonts w:ascii="Arial"/>
                <w:sz w:val="21"/>
              </w:rPr>
            </w:pPr>
          </w:p>
        </w:tc>
        <w:tc>
          <w:tcPr>
            <w:tcW w:w="453" w:type="dxa"/>
            <w:vMerge w:val="continue"/>
            <w:tcBorders>
              <w:top w:val="nil"/>
            </w:tcBorders>
            <w:textDirection w:val="tbRlV"/>
            <w:vAlign w:val="top"/>
          </w:tcPr>
          <w:p w14:paraId="6482E46B">
            <w:pPr>
              <w:rPr>
                <w:rFonts w:ascii="Arial"/>
                <w:sz w:val="21"/>
              </w:rPr>
            </w:pPr>
          </w:p>
        </w:tc>
        <w:tc>
          <w:tcPr>
            <w:tcW w:w="1321" w:type="dxa"/>
            <w:vAlign w:val="top"/>
          </w:tcPr>
          <w:p w14:paraId="1FFCDD29">
            <w:pPr>
              <w:pStyle w:val="6"/>
              <w:spacing w:before="131" w:line="228" w:lineRule="auto"/>
              <w:ind w:left="243"/>
              <w:rPr>
                <w:sz w:val="20"/>
                <w:szCs w:val="20"/>
              </w:rPr>
            </w:pPr>
            <w:r>
              <w:rPr>
                <w:spacing w:val="6"/>
                <w:sz w:val="20"/>
                <w:szCs w:val="20"/>
              </w:rPr>
              <w:t>生活垃圾</w:t>
            </w:r>
          </w:p>
        </w:tc>
        <w:tc>
          <w:tcPr>
            <w:tcW w:w="1027" w:type="dxa"/>
            <w:vAlign w:val="top"/>
          </w:tcPr>
          <w:p w14:paraId="5E76BC76">
            <w:pPr>
              <w:spacing w:before="16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135" w:type="dxa"/>
            <w:vAlign w:val="top"/>
          </w:tcPr>
          <w:p w14:paraId="6784CC8B">
            <w:pPr>
              <w:spacing w:before="167"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552" w:type="dxa"/>
            <w:vAlign w:val="top"/>
          </w:tcPr>
          <w:p w14:paraId="4182FE77">
            <w:pPr>
              <w:spacing w:before="16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58.5</w:t>
            </w:r>
          </w:p>
        </w:tc>
        <w:tc>
          <w:tcPr>
            <w:tcW w:w="1161" w:type="dxa"/>
            <w:vAlign w:val="top"/>
          </w:tcPr>
          <w:p w14:paraId="61BE6DD9">
            <w:pPr>
              <w:spacing w:before="167"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279" w:type="dxa"/>
            <w:vAlign w:val="top"/>
          </w:tcPr>
          <w:p w14:paraId="036F3CCF">
            <w:pPr>
              <w:spacing w:before="16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+40.5</w:t>
            </w:r>
          </w:p>
        </w:tc>
        <w:tc>
          <w:tcPr>
            <w:tcW w:w="231" w:type="dxa"/>
            <w:vMerge w:val="continue"/>
            <w:tcBorders>
              <w:top w:val="nil"/>
              <w:bottom w:val="nil"/>
              <w:right w:val="single" w:color="000000" w:sz="6" w:space="0"/>
            </w:tcBorders>
            <w:vAlign w:val="top"/>
          </w:tcPr>
          <w:p w14:paraId="6A7E203B">
            <w:pPr>
              <w:rPr>
                <w:rFonts w:ascii="Arial"/>
                <w:sz w:val="21"/>
              </w:rPr>
            </w:pPr>
          </w:p>
        </w:tc>
      </w:tr>
      <w:tr w14:paraId="547B5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9" w:hRule="atLeast"/>
        </w:trPr>
        <w:tc>
          <w:tcPr>
            <w:tcW w:w="605" w:type="dxa"/>
            <w:vMerge w:val="continue"/>
            <w:tcBorders>
              <w:top w:val="nil"/>
              <w:left w:val="single" w:color="000000" w:sz="6" w:space="0"/>
              <w:bottom w:val="single" w:color="000000" w:sz="6" w:space="0"/>
            </w:tcBorders>
            <w:vAlign w:val="top"/>
          </w:tcPr>
          <w:p w14:paraId="6D761821">
            <w:pPr>
              <w:rPr>
                <w:rFonts w:ascii="Arial"/>
                <w:sz w:val="21"/>
              </w:rPr>
            </w:pPr>
          </w:p>
        </w:tc>
        <w:tc>
          <w:tcPr>
            <w:tcW w:w="8380" w:type="dxa"/>
            <w:gridSpan w:val="9"/>
            <w:tcBorders>
              <w:bottom w:val="single" w:color="000000" w:sz="6" w:space="0"/>
              <w:right w:val="single" w:color="000000" w:sz="6" w:space="0"/>
            </w:tcBorders>
            <w:vAlign w:val="top"/>
          </w:tcPr>
          <w:p w14:paraId="3F3916B7">
            <w:pPr>
              <w:rPr>
                <w:rFonts w:ascii="Arial"/>
                <w:sz w:val="21"/>
              </w:rPr>
            </w:pPr>
          </w:p>
        </w:tc>
      </w:tr>
    </w:tbl>
    <w:p w14:paraId="20302F90">
      <w:pPr>
        <w:rPr>
          <w:rFonts w:ascii="Arial"/>
          <w:sz w:val="21"/>
        </w:rPr>
      </w:pPr>
    </w:p>
    <w:p w14:paraId="0CBDCB61">
      <w:pPr>
        <w:rPr>
          <w:rFonts w:ascii="Arial" w:hAnsi="Arial" w:eastAsia="Arial" w:cs="Arial"/>
          <w:sz w:val="21"/>
          <w:szCs w:val="21"/>
        </w:rPr>
        <w:sectPr>
          <w:footerReference r:id="rId109" w:type="default"/>
          <w:pgSz w:w="11907" w:h="16840"/>
          <w:pgMar w:top="400" w:right="1453" w:bottom="1240" w:left="1453" w:header="0" w:footer="1077" w:gutter="0"/>
          <w:cols w:space="720" w:num="1"/>
        </w:sectPr>
      </w:pPr>
    </w:p>
    <w:p w14:paraId="1A223E6D">
      <w:pPr>
        <w:spacing w:line="272" w:lineRule="auto"/>
        <w:rPr>
          <w:rFonts w:ascii="Arial"/>
          <w:sz w:val="21"/>
        </w:rPr>
      </w:pPr>
    </w:p>
    <w:p w14:paraId="168338B1">
      <w:pPr>
        <w:spacing w:line="272" w:lineRule="auto"/>
        <w:rPr>
          <w:rFonts w:ascii="Arial"/>
          <w:sz w:val="21"/>
        </w:rPr>
      </w:pPr>
    </w:p>
    <w:p w14:paraId="5974547C">
      <w:pPr>
        <w:spacing w:line="272" w:lineRule="auto"/>
        <w:rPr>
          <w:rFonts w:ascii="Arial"/>
          <w:sz w:val="21"/>
        </w:rPr>
      </w:pPr>
    </w:p>
    <w:p w14:paraId="73832CF0">
      <w:pPr>
        <w:spacing w:line="272" w:lineRule="auto"/>
        <w:rPr>
          <w:rFonts w:ascii="Arial"/>
          <w:sz w:val="21"/>
        </w:rPr>
      </w:pPr>
    </w:p>
    <w:p w14:paraId="1D28CF6E">
      <w:pPr>
        <w:spacing w:line="273" w:lineRule="auto"/>
        <w:rPr>
          <w:rFonts w:ascii="Arial"/>
          <w:sz w:val="21"/>
        </w:rPr>
      </w:pPr>
    </w:p>
    <w:p w14:paraId="05B8886E">
      <w:pPr>
        <w:spacing w:before="98" w:line="219" w:lineRule="auto"/>
        <w:ind w:left="2448"/>
        <w:outlineLvl w:val="0"/>
        <w:rPr>
          <w:rFonts w:ascii="宋体" w:hAnsi="宋体" w:eastAsia="宋体" w:cs="宋体"/>
          <w:sz w:val="30"/>
          <w:szCs w:val="30"/>
        </w:rPr>
      </w:pPr>
      <w:bookmarkStart w:id="5" w:name="bookmark5"/>
      <w:bookmarkEnd w:id="5"/>
      <w:r>
        <w:rPr>
          <w:rFonts w:ascii="宋体" w:hAnsi="宋体" w:eastAsia="宋体" w:cs="宋体"/>
          <w:spacing w:val="-2"/>
          <w:sz w:val="30"/>
          <w:szCs w:val="30"/>
        </w:rPr>
        <w:t>五、环境保护措施监督检查清单</w:t>
      </w:r>
    </w:p>
    <w:p w14:paraId="50D299EC">
      <w:pPr>
        <w:spacing w:line="177" w:lineRule="exact"/>
      </w:pPr>
    </w:p>
    <w:tbl>
      <w:tblPr>
        <w:tblStyle w:val="5"/>
        <w:tblW w:w="9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1334"/>
        <w:gridCol w:w="1994"/>
        <w:gridCol w:w="1899"/>
        <w:gridCol w:w="2691"/>
      </w:tblGrid>
      <w:tr w14:paraId="1F245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31" w:type="dxa"/>
            <w:tcBorders>
              <w:top w:val="single" w:color="000000" w:sz="6" w:space="0"/>
              <w:left w:val="single" w:color="000000" w:sz="6" w:space="0"/>
              <w:tl2br w:val="single" w:color="000000" w:sz="4" w:space="0"/>
            </w:tcBorders>
            <w:vAlign w:val="top"/>
          </w:tcPr>
          <w:p w14:paraId="475C1710">
            <w:pPr>
              <w:pStyle w:val="6"/>
              <w:spacing w:before="161"/>
              <w:ind w:left="113" w:right="110" w:firstLine="455"/>
            </w:pPr>
            <w:r>
              <w:rPr>
                <w:spacing w:val="-20"/>
              </w:rPr>
              <w:t>内容</w:t>
            </w:r>
            <w:r>
              <w:t xml:space="preserve"> </w:t>
            </w:r>
            <w:r>
              <w:rPr>
                <w:spacing w:val="-6"/>
              </w:rPr>
              <w:t>要素</w:t>
            </w:r>
          </w:p>
        </w:tc>
        <w:tc>
          <w:tcPr>
            <w:tcW w:w="1334" w:type="dxa"/>
            <w:tcBorders>
              <w:top w:val="single" w:color="000000" w:sz="6" w:space="0"/>
            </w:tcBorders>
            <w:vAlign w:val="top"/>
          </w:tcPr>
          <w:p w14:paraId="5D64E91D">
            <w:pPr>
              <w:pStyle w:val="6"/>
              <w:spacing w:before="40" w:line="210" w:lineRule="auto"/>
              <w:ind w:left="147"/>
            </w:pPr>
            <w:r>
              <w:rPr>
                <w:spacing w:val="-2"/>
              </w:rPr>
              <w:t>排放口</w:t>
            </w:r>
            <w:r>
              <w:rPr>
                <w:rFonts w:ascii="Times New Roman" w:hAnsi="Times New Roman" w:eastAsia="Times New Roman" w:cs="Times New Roman"/>
                <w:spacing w:val="-2"/>
              </w:rPr>
              <w:t>(</w:t>
            </w:r>
            <w:r>
              <w:rPr>
                <w:spacing w:val="-2"/>
              </w:rPr>
              <w:t>编</w:t>
            </w:r>
          </w:p>
          <w:p w14:paraId="00385404">
            <w:pPr>
              <w:pStyle w:val="6"/>
              <w:spacing w:before="36" w:line="212" w:lineRule="auto"/>
              <w:ind w:left="120"/>
              <w:rPr>
                <w:rFonts w:ascii="Times New Roman" w:hAnsi="Times New Roman" w:eastAsia="Times New Roman" w:cs="Times New Roman"/>
              </w:rPr>
            </w:pPr>
            <w:r>
              <w:rPr>
                <w:spacing w:val="-3"/>
              </w:rPr>
              <w:t>号、名称</w:t>
            </w:r>
            <w:r>
              <w:rPr>
                <w:rFonts w:ascii="Times New Roman" w:hAnsi="Times New Roman" w:eastAsia="Times New Roman" w:cs="Times New Roman"/>
                <w:spacing w:val="-3"/>
              </w:rPr>
              <w:t>)/</w:t>
            </w:r>
          </w:p>
          <w:p w14:paraId="4F417055">
            <w:pPr>
              <w:pStyle w:val="6"/>
              <w:spacing w:before="36" w:line="208" w:lineRule="auto"/>
              <w:ind w:left="310"/>
            </w:pPr>
            <w:r>
              <w:rPr>
                <w:spacing w:val="-4"/>
              </w:rPr>
              <w:t>污染源</w:t>
            </w:r>
          </w:p>
        </w:tc>
        <w:tc>
          <w:tcPr>
            <w:tcW w:w="1994" w:type="dxa"/>
            <w:tcBorders>
              <w:top w:val="single" w:color="000000" w:sz="6" w:space="0"/>
            </w:tcBorders>
            <w:vAlign w:val="top"/>
          </w:tcPr>
          <w:p w14:paraId="275469C3">
            <w:pPr>
              <w:spacing w:line="270" w:lineRule="auto"/>
              <w:rPr>
                <w:rFonts w:ascii="Arial"/>
                <w:sz w:val="21"/>
              </w:rPr>
            </w:pPr>
          </w:p>
          <w:p w14:paraId="4A0C21FA">
            <w:pPr>
              <w:pStyle w:val="6"/>
              <w:spacing w:before="78" w:line="220" w:lineRule="auto"/>
              <w:ind w:left="404"/>
            </w:pPr>
            <w:r>
              <w:rPr>
                <w:spacing w:val="-3"/>
              </w:rPr>
              <w:t>污染物项目</w:t>
            </w:r>
          </w:p>
        </w:tc>
        <w:tc>
          <w:tcPr>
            <w:tcW w:w="1899" w:type="dxa"/>
            <w:tcBorders>
              <w:top w:val="single" w:color="000000" w:sz="6" w:space="0"/>
            </w:tcBorders>
            <w:vAlign w:val="top"/>
          </w:tcPr>
          <w:p w14:paraId="65615E2E">
            <w:pPr>
              <w:spacing w:line="270" w:lineRule="auto"/>
              <w:rPr>
                <w:rFonts w:ascii="Arial"/>
                <w:sz w:val="21"/>
              </w:rPr>
            </w:pPr>
          </w:p>
          <w:p w14:paraId="679D7C79">
            <w:pPr>
              <w:pStyle w:val="6"/>
              <w:spacing w:before="78" w:line="220" w:lineRule="auto"/>
              <w:ind w:left="237"/>
            </w:pPr>
            <w:r>
              <w:rPr>
                <w:spacing w:val="-2"/>
              </w:rPr>
              <w:t>环境保护措施</w:t>
            </w:r>
          </w:p>
        </w:tc>
        <w:tc>
          <w:tcPr>
            <w:tcW w:w="2691" w:type="dxa"/>
            <w:tcBorders>
              <w:top w:val="single" w:color="000000" w:sz="6" w:space="0"/>
              <w:right w:val="single" w:color="000000" w:sz="6" w:space="0"/>
            </w:tcBorders>
            <w:vAlign w:val="top"/>
          </w:tcPr>
          <w:p w14:paraId="7FA3BA8A">
            <w:pPr>
              <w:spacing w:line="270" w:lineRule="auto"/>
              <w:rPr>
                <w:rFonts w:ascii="Arial"/>
                <w:sz w:val="21"/>
              </w:rPr>
            </w:pPr>
          </w:p>
          <w:p w14:paraId="78CA5E5C">
            <w:pPr>
              <w:pStyle w:val="6"/>
              <w:spacing w:before="78" w:line="219" w:lineRule="auto"/>
              <w:ind w:left="872"/>
            </w:pPr>
            <w:r>
              <w:rPr>
                <w:spacing w:val="-3"/>
              </w:rPr>
              <w:t>执行标准</w:t>
            </w:r>
          </w:p>
        </w:tc>
      </w:tr>
      <w:tr w14:paraId="1ADC4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1131" w:type="dxa"/>
            <w:vMerge w:val="restart"/>
            <w:tcBorders>
              <w:left w:val="single" w:color="000000" w:sz="6" w:space="0"/>
              <w:bottom w:val="nil"/>
            </w:tcBorders>
            <w:vAlign w:val="top"/>
          </w:tcPr>
          <w:p w14:paraId="3CE91B4E">
            <w:pPr>
              <w:spacing w:line="264" w:lineRule="auto"/>
              <w:rPr>
                <w:rFonts w:ascii="Arial"/>
                <w:sz w:val="21"/>
              </w:rPr>
            </w:pPr>
          </w:p>
          <w:p w14:paraId="0642625C">
            <w:pPr>
              <w:spacing w:line="264" w:lineRule="auto"/>
              <w:rPr>
                <w:rFonts w:ascii="Arial"/>
                <w:sz w:val="21"/>
              </w:rPr>
            </w:pPr>
          </w:p>
          <w:p w14:paraId="122A4EDD">
            <w:pPr>
              <w:spacing w:line="264" w:lineRule="auto"/>
              <w:rPr>
                <w:rFonts w:ascii="Arial"/>
                <w:sz w:val="21"/>
              </w:rPr>
            </w:pPr>
          </w:p>
          <w:p w14:paraId="790C51C2">
            <w:pPr>
              <w:spacing w:line="264" w:lineRule="auto"/>
              <w:rPr>
                <w:rFonts w:ascii="Arial"/>
                <w:sz w:val="21"/>
              </w:rPr>
            </w:pPr>
          </w:p>
          <w:p w14:paraId="7345A791">
            <w:pPr>
              <w:spacing w:line="264" w:lineRule="auto"/>
              <w:rPr>
                <w:rFonts w:ascii="Arial"/>
                <w:sz w:val="21"/>
              </w:rPr>
            </w:pPr>
          </w:p>
          <w:p w14:paraId="60CB073F">
            <w:pPr>
              <w:spacing w:line="264" w:lineRule="auto"/>
              <w:rPr>
                <w:rFonts w:ascii="Arial"/>
                <w:sz w:val="21"/>
              </w:rPr>
            </w:pPr>
          </w:p>
          <w:p w14:paraId="278412A0">
            <w:pPr>
              <w:spacing w:line="265" w:lineRule="auto"/>
              <w:rPr>
                <w:rFonts w:ascii="Arial"/>
                <w:sz w:val="21"/>
              </w:rPr>
            </w:pPr>
          </w:p>
          <w:p w14:paraId="33C8D16B">
            <w:pPr>
              <w:spacing w:line="265" w:lineRule="auto"/>
              <w:rPr>
                <w:rFonts w:ascii="Arial"/>
                <w:sz w:val="21"/>
              </w:rPr>
            </w:pPr>
          </w:p>
          <w:p w14:paraId="20D5FB6C">
            <w:pPr>
              <w:pStyle w:val="6"/>
              <w:spacing w:before="78" w:line="220" w:lineRule="auto"/>
              <w:ind w:left="328"/>
            </w:pPr>
            <w:r>
              <w:rPr>
                <w:spacing w:val="-7"/>
              </w:rPr>
              <w:t>大气</w:t>
            </w:r>
          </w:p>
          <w:p w14:paraId="2A01E5D4">
            <w:pPr>
              <w:pStyle w:val="6"/>
              <w:spacing w:before="23" w:line="220" w:lineRule="auto"/>
              <w:ind w:left="325"/>
            </w:pPr>
            <w:r>
              <w:rPr>
                <w:spacing w:val="-5"/>
              </w:rPr>
              <w:t>环境</w:t>
            </w:r>
          </w:p>
        </w:tc>
        <w:tc>
          <w:tcPr>
            <w:tcW w:w="1334" w:type="dxa"/>
            <w:vAlign w:val="top"/>
          </w:tcPr>
          <w:p w14:paraId="45F27456">
            <w:pPr>
              <w:pStyle w:val="6"/>
              <w:spacing w:before="155" w:line="219" w:lineRule="auto"/>
              <w:ind w:left="189"/>
            </w:pPr>
            <w:r>
              <w:rPr>
                <w:spacing w:val="-3"/>
              </w:rPr>
              <w:t>有机废气</w:t>
            </w:r>
          </w:p>
          <w:p w14:paraId="71AF0501">
            <w:pPr>
              <w:pStyle w:val="6"/>
              <w:spacing w:before="27" w:line="221" w:lineRule="auto"/>
              <w:ind w:left="308"/>
            </w:pPr>
            <w:r>
              <w:rPr>
                <w:spacing w:val="-4"/>
              </w:rPr>
              <w:t>排放口</w:t>
            </w:r>
          </w:p>
          <w:p w14:paraId="77520013">
            <w:pPr>
              <w:spacing w:before="47" w:line="188" w:lineRule="auto"/>
              <w:ind w:left="24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DA001~</w:t>
            </w:r>
          </w:p>
          <w:p w14:paraId="7A07B892">
            <w:pPr>
              <w:spacing w:before="59" w:line="188" w:lineRule="auto"/>
              <w:ind w:left="31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DA050</w:t>
            </w:r>
          </w:p>
        </w:tc>
        <w:tc>
          <w:tcPr>
            <w:tcW w:w="1994" w:type="dxa"/>
            <w:vAlign w:val="top"/>
          </w:tcPr>
          <w:p w14:paraId="58F1E689">
            <w:pPr>
              <w:spacing w:line="253" w:lineRule="auto"/>
              <w:rPr>
                <w:rFonts w:ascii="Arial"/>
                <w:sz w:val="21"/>
              </w:rPr>
            </w:pPr>
          </w:p>
          <w:p w14:paraId="616CA792">
            <w:pPr>
              <w:spacing w:line="253" w:lineRule="auto"/>
              <w:rPr>
                <w:rFonts w:ascii="Arial"/>
                <w:sz w:val="21"/>
              </w:rPr>
            </w:pPr>
          </w:p>
          <w:p w14:paraId="253EDEBF">
            <w:pPr>
              <w:pStyle w:val="6"/>
              <w:spacing w:before="78" w:line="220" w:lineRule="auto"/>
              <w:ind w:left="406"/>
            </w:pPr>
            <w:r>
              <w:rPr>
                <w:spacing w:val="-3"/>
              </w:rPr>
              <w:t>非甲烷总烃</w:t>
            </w:r>
          </w:p>
        </w:tc>
        <w:tc>
          <w:tcPr>
            <w:tcW w:w="1899" w:type="dxa"/>
            <w:vAlign w:val="top"/>
          </w:tcPr>
          <w:p w14:paraId="33901DF3">
            <w:pPr>
              <w:pStyle w:val="6"/>
              <w:spacing w:before="120" w:line="219" w:lineRule="auto"/>
              <w:ind w:left="119"/>
            </w:pPr>
            <w:r>
              <w:rPr>
                <w:spacing w:val="-2"/>
              </w:rPr>
              <w:t>车间密闭，负压</w:t>
            </w:r>
          </w:p>
          <w:p w14:paraId="5C0CED19">
            <w:pPr>
              <w:pStyle w:val="6"/>
              <w:spacing w:before="26" w:line="218" w:lineRule="auto"/>
              <w:jc w:val="right"/>
            </w:pPr>
            <w:r>
              <w:rPr>
                <w:spacing w:val="-24"/>
              </w:rPr>
              <w:t>收集，碱水喷淋，</w:t>
            </w:r>
          </w:p>
          <w:p w14:paraId="6779451C">
            <w:pPr>
              <w:pStyle w:val="6"/>
              <w:spacing w:before="29" w:line="219" w:lineRule="auto"/>
              <w:ind w:left="131"/>
            </w:pPr>
            <w:r>
              <w:rPr>
                <w:spacing w:val="-4"/>
              </w:rPr>
              <w:t>除雾处理，活性</w:t>
            </w:r>
          </w:p>
          <w:p w14:paraId="4CA7AB7A">
            <w:pPr>
              <w:pStyle w:val="6"/>
              <w:spacing w:before="23" w:line="219" w:lineRule="auto"/>
              <w:ind w:left="601"/>
            </w:pPr>
            <w:r>
              <w:rPr>
                <w:spacing w:val="-5"/>
              </w:rPr>
              <w:t>炭吸附</w:t>
            </w:r>
          </w:p>
        </w:tc>
        <w:tc>
          <w:tcPr>
            <w:tcW w:w="2691" w:type="dxa"/>
            <w:tcBorders>
              <w:right w:val="single" w:color="000000" w:sz="6" w:space="0"/>
            </w:tcBorders>
            <w:vAlign w:val="top"/>
          </w:tcPr>
          <w:p w14:paraId="51AC3F9F">
            <w:pPr>
              <w:pStyle w:val="6"/>
              <w:spacing w:before="275" w:line="239" w:lineRule="auto"/>
              <w:ind w:left="271" w:right="137" w:hanging="113"/>
            </w:pPr>
            <w:r>
              <w:rPr>
                <w:spacing w:val="-2"/>
              </w:rPr>
              <w:t>《固定污染源挥发性有</w:t>
            </w:r>
            <w:r>
              <w:rPr>
                <w:spacing w:val="3"/>
              </w:rPr>
              <w:t xml:space="preserve"> </w:t>
            </w:r>
            <w:r>
              <w:rPr>
                <w:spacing w:val="-1"/>
              </w:rPr>
              <w:t>机物综合排放标准》</w:t>
            </w:r>
          </w:p>
          <w:p w14:paraId="3FC99018">
            <w:pPr>
              <w:pStyle w:val="6"/>
              <w:spacing w:line="231" w:lineRule="auto"/>
              <w:ind w:left="284"/>
            </w:pPr>
            <w:r>
              <w:rPr>
                <w:spacing w:val="-2"/>
              </w:rPr>
              <w:t>（</w:t>
            </w:r>
            <w:r>
              <w:rPr>
                <w:rFonts w:ascii="Times New Roman" w:hAnsi="Times New Roman" w:eastAsia="Times New Roman" w:cs="Times New Roman"/>
                <w:spacing w:val="-2"/>
              </w:rPr>
              <w:t>DB44/2367-2022</w:t>
            </w:r>
            <w:r>
              <w:rPr>
                <w:spacing w:val="-2"/>
              </w:rPr>
              <w:t>）</w:t>
            </w:r>
          </w:p>
        </w:tc>
      </w:tr>
      <w:tr w14:paraId="097B3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9" w:hRule="atLeast"/>
        </w:trPr>
        <w:tc>
          <w:tcPr>
            <w:tcW w:w="1131" w:type="dxa"/>
            <w:vMerge w:val="continue"/>
            <w:tcBorders>
              <w:top w:val="nil"/>
              <w:left w:val="single" w:color="000000" w:sz="6" w:space="0"/>
              <w:bottom w:val="nil"/>
            </w:tcBorders>
            <w:vAlign w:val="top"/>
          </w:tcPr>
          <w:p w14:paraId="301685E7">
            <w:pPr>
              <w:rPr>
                <w:rFonts w:ascii="Arial"/>
                <w:sz w:val="21"/>
              </w:rPr>
            </w:pPr>
          </w:p>
        </w:tc>
        <w:tc>
          <w:tcPr>
            <w:tcW w:w="1334" w:type="dxa"/>
            <w:vAlign w:val="top"/>
          </w:tcPr>
          <w:p w14:paraId="2A00B00F">
            <w:pPr>
              <w:spacing w:line="249" w:lineRule="auto"/>
              <w:rPr>
                <w:rFonts w:ascii="Arial"/>
                <w:sz w:val="21"/>
              </w:rPr>
            </w:pPr>
          </w:p>
          <w:p w14:paraId="2031BD54">
            <w:pPr>
              <w:pStyle w:val="6"/>
              <w:spacing w:before="78" w:line="220" w:lineRule="auto"/>
              <w:ind w:left="190"/>
            </w:pPr>
            <w:r>
              <w:rPr>
                <w:spacing w:val="-3"/>
              </w:rPr>
              <w:t>泡酸废气</w:t>
            </w:r>
          </w:p>
          <w:p w14:paraId="32452214">
            <w:pPr>
              <w:pStyle w:val="6"/>
              <w:spacing w:before="23" w:line="221" w:lineRule="auto"/>
              <w:ind w:left="308"/>
            </w:pPr>
            <w:r>
              <w:rPr>
                <w:spacing w:val="-4"/>
              </w:rPr>
              <w:t>排放口</w:t>
            </w:r>
          </w:p>
          <w:p w14:paraId="34E2E0DF">
            <w:pPr>
              <w:spacing w:before="47" w:line="188" w:lineRule="auto"/>
              <w:ind w:left="24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DA006~</w:t>
            </w:r>
          </w:p>
          <w:p w14:paraId="1319C2C7">
            <w:pPr>
              <w:spacing w:before="59" w:line="188" w:lineRule="auto"/>
              <w:ind w:left="31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DA013</w:t>
            </w:r>
          </w:p>
        </w:tc>
        <w:tc>
          <w:tcPr>
            <w:tcW w:w="1994" w:type="dxa"/>
            <w:vAlign w:val="top"/>
          </w:tcPr>
          <w:p w14:paraId="4D8071A3">
            <w:pPr>
              <w:pStyle w:val="6"/>
              <w:spacing w:before="137" w:line="219" w:lineRule="auto"/>
              <w:ind w:left="166"/>
            </w:pPr>
            <w:r>
              <w:rPr>
                <w:spacing w:val="-2"/>
              </w:rPr>
              <w:t>氯化氢、氟化氢</w:t>
            </w:r>
          </w:p>
          <w:p w14:paraId="08E6AB81">
            <w:pPr>
              <w:pStyle w:val="6"/>
              <w:spacing w:before="27" w:line="219" w:lineRule="auto"/>
              <w:jc w:val="right"/>
            </w:pPr>
            <w:r>
              <w:rPr>
                <w:spacing w:val="-10"/>
              </w:rPr>
              <w:t>（以氟化物计）、</w:t>
            </w:r>
          </w:p>
          <w:p w14:paraId="312CB93D">
            <w:pPr>
              <w:pStyle w:val="6"/>
              <w:spacing w:before="24" w:line="221" w:lineRule="auto"/>
              <w:ind w:left="161"/>
            </w:pPr>
            <w:r>
              <w:rPr>
                <w:spacing w:val="-2"/>
              </w:rPr>
              <w:t>硫酸雾和硝酸雾</w:t>
            </w:r>
          </w:p>
          <w:p w14:paraId="446C08A6">
            <w:pPr>
              <w:pStyle w:val="6"/>
              <w:spacing w:before="24" w:line="219" w:lineRule="auto"/>
              <w:ind w:left="294"/>
            </w:pPr>
            <w:r>
              <w:rPr>
                <w:spacing w:val="-4"/>
              </w:rPr>
              <w:t>（以氮氧化物</w:t>
            </w:r>
          </w:p>
          <w:p w14:paraId="70C14074">
            <w:pPr>
              <w:pStyle w:val="6"/>
              <w:spacing w:before="27" w:line="221" w:lineRule="auto"/>
              <w:ind w:left="762"/>
            </w:pPr>
            <w:r>
              <w:rPr>
                <w:spacing w:val="-5"/>
              </w:rPr>
              <w:t>计）</w:t>
            </w:r>
          </w:p>
        </w:tc>
        <w:tc>
          <w:tcPr>
            <w:tcW w:w="1899" w:type="dxa"/>
            <w:vAlign w:val="top"/>
          </w:tcPr>
          <w:p w14:paraId="336D60C2">
            <w:pPr>
              <w:pStyle w:val="6"/>
              <w:spacing w:before="293" w:line="219" w:lineRule="auto"/>
              <w:ind w:left="119"/>
            </w:pPr>
            <w:r>
              <w:rPr>
                <w:spacing w:val="-2"/>
              </w:rPr>
              <w:t>车间密闭，排气</w:t>
            </w:r>
          </w:p>
          <w:p w14:paraId="4270FB4C">
            <w:pPr>
              <w:pStyle w:val="6"/>
              <w:spacing w:before="27" w:line="219" w:lineRule="auto"/>
              <w:ind w:left="154"/>
            </w:pPr>
            <w:r>
              <w:rPr>
                <w:spacing w:val="-7"/>
              </w:rPr>
              <w:t>口收集，碱液喷</w:t>
            </w:r>
          </w:p>
          <w:p w14:paraId="6251BDC8">
            <w:pPr>
              <w:pStyle w:val="6"/>
              <w:spacing w:before="24" w:line="218" w:lineRule="auto"/>
              <w:ind w:left="119"/>
            </w:pPr>
            <w:r>
              <w:rPr>
                <w:spacing w:val="-2"/>
              </w:rPr>
              <w:t>淋塔三级碱水吸</w:t>
            </w:r>
          </w:p>
          <w:p w14:paraId="0007A5B1">
            <w:pPr>
              <w:pStyle w:val="6"/>
              <w:spacing w:before="29" w:line="219" w:lineRule="auto"/>
              <w:ind w:left="605"/>
            </w:pPr>
            <w:r>
              <w:rPr>
                <w:spacing w:val="-6"/>
              </w:rPr>
              <w:t>收中和</w:t>
            </w:r>
          </w:p>
        </w:tc>
        <w:tc>
          <w:tcPr>
            <w:tcW w:w="2691" w:type="dxa"/>
            <w:tcBorders>
              <w:right w:val="single" w:color="000000" w:sz="6" w:space="0"/>
            </w:tcBorders>
            <w:vAlign w:val="top"/>
          </w:tcPr>
          <w:p w14:paraId="7BA295B6">
            <w:pPr>
              <w:pStyle w:val="6"/>
              <w:spacing w:before="137" w:line="219" w:lineRule="auto"/>
              <w:ind w:left="152"/>
            </w:pPr>
            <w:r>
              <w:rPr>
                <w:spacing w:val="-1"/>
              </w:rPr>
              <w:t>广东省地方标准《大气</w:t>
            </w:r>
          </w:p>
          <w:p w14:paraId="3C9EA10E">
            <w:pPr>
              <w:pStyle w:val="6"/>
              <w:spacing w:before="27" w:line="219" w:lineRule="auto"/>
              <w:ind w:left="394"/>
            </w:pPr>
            <w:r>
              <w:rPr>
                <w:spacing w:val="-2"/>
              </w:rPr>
              <w:t>污染物排放限值》</w:t>
            </w:r>
          </w:p>
          <w:p w14:paraId="7BCD4F24">
            <w:pPr>
              <w:pStyle w:val="6"/>
              <w:spacing w:before="24" w:line="219" w:lineRule="auto"/>
              <w:ind w:left="164"/>
            </w:pPr>
            <w:r>
              <w:rPr>
                <w:spacing w:val="-2"/>
              </w:rPr>
              <w:t>（DB44/27-2001）第二</w:t>
            </w:r>
          </w:p>
          <w:p w14:paraId="312A1EF6">
            <w:pPr>
              <w:pStyle w:val="6"/>
              <w:spacing w:before="26" w:line="220" w:lineRule="auto"/>
              <w:ind w:left="164"/>
            </w:pPr>
            <w:r>
              <w:rPr>
                <w:spacing w:val="-3"/>
              </w:rPr>
              <w:t>时段二级标准及无组织</w:t>
            </w:r>
          </w:p>
          <w:p w14:paraId="515F65D9">
            <w:pPr>
              <w:pStyle w:val="6"/>
              <w:spacing w:before="26" w:line="219" w:lineRule="auto"/>
              <w:ind w:left="392"/>
            </w:pPr>
            <w:r>
              <w:rPr>
                <w:spacing w:val="-2"/>
              </w:rPr>
              <w:t>排放监控浓度限值</w:t>
            </w:r>
          </w:p>
        </w:tc>
      </w:tr>
      <w:tr w14:paraId="0559E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4" w:hRule="atLeast"/>
        </w:trPr>
        <w:tc>
          <w:tcPr>
            <w:tcW w:w="1131" w:type="dxa"/>
            <w:vMerge w:val="continue"/>
            <w:tcBorders>
              <w:top w:val="nil"/>
              <w:left w:val="single" w:color="000000" w:sz="6" w:space="0"/>
            </w:tcBorders>
            <w:vAlign w:val="top"/>
          </w:tcPr>
          <w:p w14:paraId="4C3D7538">
            <w:pPr>
              <w:rPr>
                <w:rFonts w:ascii="Arial"/>
                <w:sz w:val="21"/>
              </w:rPr>
            </w:pPr>
          </w:p>
        </w:tc>
        <w:tc>
          <w:tcPr>
            <w:tcW w:w="1334" w:type="dxa"/>
            <w:vAlign w:val="top"/>
          </w:tcPr>
          <w:p w14:paraId="599176C4">
            <w:pPr>
              <w:pStyle w:val="6"/>
              <w:spacing w:before="302" w:line="219" w:lineRule="auto"/>
              <w:ind w:left="109"/>
            </w:pPr>
            <w:r>
              <w:rPr>
                <w:spacing w:val="-2"/>
              </w:rPr>
              <w:t>注胶车间、</w:t>
            </w:r>
          </w:p>
          <w:p w14:paraId="30A94014">
            <w:pPr>
              <w:pStyle w:val="6"/>
              <w:spacing w:before="27" w:line="239" w:lineRule="auto"/>
              <w:ind w:left="187" w:right="68" w:hanging="76"/>
            </w:pPr>
            <w:r>
              <w:rPr>
                <w:spacing w:val="-11"/>
              </w:rPr>
              <w:t>泡酸车间、</w:t>
            </w:r>
            <w:r>
              <w:rPr>
                <w:spacing w:val="2"/>
              </w:rPr>
              <w:t xml:space="preserve"> </w:t>
            </w:r>
            <w:r>
              <w:rPr>
                <w:spacing w:val="-3"/>
              </w:rPr>
              <w:t>废水处理</w:t>
            </w:r>
          </w:p>
          <w:p w14:paraId="665E6C3F">
            <w:pPr>
              <w:pStyle w:val="6"/>
              <w:spacing w:line="222" w:lineRule="auto"/>
              <w:ind w:left="549"/>
            </w:pPr>
            <w:r>
              <w:t>站</w:t>
            </w:r>
          </w:p>
        </w:tc>
        <w:tc>
          <w:tcPr>
            <w:tcW w:w="1994" w:type="dxa"/>
            <w:vAlign w:val="top"/>
          </w:tcPr>
          <w:p w14:paraId="1DD13759">
            <w:pPr>
              <w:spacing w:line="343" w:lineRule="auto"/>
              <w:rPr>
                <w:rFonts w:ascii="Arial"/>
                <w:sz w:val="21"/>
              </w:rPr>
            </w:pPr>
          </w:p>
          <w:p w14:paraId="136BB9D9">
            <w:pPr>
              <w:spacing w:line="343" w:lineRule="auto"/>
              <w:rPr>
                <w:rFonts w:ascii="Arial"/>
                <w:sz w:val="21"/>
              </w:rPr>
            </w:pPr>
          </w:p>
          <w:p w14:paraId="0A4896EF">
            <w:pPr>
              <w:pStyle w:val="6"/>
              <w:spacing w:before="78" w:line="219" w:lineRule="auto"/>
              <w:ind w:left="522"/>
            </w:pPr>
            <w:r>
              <w:rPr>
                <w:spacing w:val="-3"/>
              </w:rPr>
              <w:t>臭气浓度</w:t>
            </w:r>
          </w:p>
        </w:tc>
        <w:tc>
          <w:tcPr>
            <w:tcW w:w="1899" w:type="dxa"/>
            <w:vAlign w:val="top"/>
          </w:tcPr>
          <w:p w14:paraId="156843C4">
            <w:pPr>
              <w:spacing w:line="378" w:lineRule="auto"/>
              <w:rPr>
                <w:rFonts w:ascii="Arial"/>
                <w:sz w:val="21"/>
              </w:rPr>
            </w:pPr>
          </w:p>
          <w:p w14:paraId="457D52E2">
            <w:pPr>
              <w:pStyle w:val="6"/>
              <w:spacing w:before="78" w:line="219" w:lineRule="auto"/>
              <w:ind w:left="119"/>
            </w:pPr>
            <w:r>
              <w:rPr>
                <w:spacing w:val="-2"/>
              </w:rPr>
              <w:t>车间通风换气，</w:t>
            </w:r>
          </w:p>
          <w:p w14:paraId="41E98145">
            <w:pPr>
              <w:pStyle w:val="6"/>
              <w:spacing w:before="24" w:line="219" w:lineRule="auto"/>
              <w:ind w:left="120"/>
            </w:pPr>
            <w:r>
              <w:rPr>
                <w:spacing w:val="-2"/>
              </w:rPr>
              <w:t>厂区扩散，厂界</w:t>
            </w:r>
          </w:p>
          <w:p w14:paraId="2FF163D1">
            <w:pPr>
              <w:pStyle w:val="6"/>
              <w:spacing w:before="26" w:line="221" w:lineRule="auto"/>
              <w:ind w:left="733"/>
            </w:pPr>
            <w:r>
              <w:rPr>
                <w:spacing w:val="-13"/>
              </w:rPr>
              <w:t>阻隔</w:t>
            </w:r>
          </w:p>
        </w:tc>
        <w:tc>
          <w:tcPr>
            <w:tcW w:w="2691" w:type="dxa"/>
            <w:tcBorders>
              <w:right w:val="single" w:color="000000" w:sz="6" w:space="0"/>
            </w:tcBorders>
            <w:vAlign w:val="top"/>
          </w:tcPr>
          <w:p w14:paraId="0051F5D2">
            <w:pPr>
              <w:pStyle w:val="6"/>
              <w:spacing w:before="146" w:line="219" w:lineRule="auto"/>
              <w:ind w:left="278"/>
            </w:pPr>
            <w:r>
              <w:rPr>
                <w:spacing w:val="-2"/>
              </w:rPr>
              <w:t>《恶臭污染物排放标</w:t>
            </w:r>
          </w:p>
          <w:p w14:paraId="59962A0E">
            <w:pPr>
              <w:pStyle w:val="6"/>
              <w:spacing w:before="26" w:line="221" w:lineRule="auto"/>
              <w:ind w:left="128"/>
            </w:pPr>
            <w:r>
              <w:rPr>
                <w:spacing w:val="-1"/>
              </w:rPr>
              <w:t>准》（</w:t>
            </w:r>
            <w:r>
              <w:rPr>
                <w:rFonts w:ascii="Times New Roman" w:hAnsi="Times New Roman" w:eastAsia="Times New Roman" w:cs="Times New Roman"/>
                <w:spacing w:val="-1"/>
              </w:rPr>
              <w:t>GB14554-1993</w:t>
            </w:r>
            <w:r>
              <w:rPr>
                <w:spacing w:val="-1"/>
              </w:rPr>
              <w:t>）</w:t>
            </w:r>
          </w:p>
          <w:p w14:paraId="73F8CDB3">
            <w:pPr>
              <w:pStyle w:val="6"/>
              <w:spacing w:before="23" w:line="219" w:lineRule="auto"/>
              <w:ind w:left="152"/>
            </w:pPr>
            <w:r>
              <w:rPr>
                <w:spacing w:val="-7"/>
              </w:rPr>
              <w:t>表</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2"/>
              </w:rPr>
              <w:t xml:space="preserve"> </w:t>
            </w:r>
            <w:r>
              <w:rPr>
                <w:spacing w:val="-7"/>
              </w:rPr>
              <w:t>中臭气浓度二级新</w:t>
            </w:r>
          </w:p>
          <w:p w14:paraId="3448C9E5">
            <w:pPr>
              <w:pStyle w:val="6"/>
              <w:spacing w:before="27" w:line="219" w:lineRule="auto"/>
              <w:ind w:left="152"/>
            </w:pPr>
            <w:r>
              <w:rPr>
                <w:spacing w:val="-1"/>
              </w:rPr>
              <w:t>扩改建恶臭污染物厂界</w:t>
            </w:r>
          </w:p>
          <w:p w14:paraId="13AAD18F">
            <w:pPr>
              <w:pStyle w:val="6"/>
              <w:spacing w:before="27" w:line="219" w:lineRule="auto"/>
              <w:ind w:left="993"/>
            </w:pPr>
            <w:r>
              <w:rPr>
                <w:spacing w:val="-4"/>
              </w:rPr>
              <w:t>标准值</w:t>
            </w:r>
          </w:p>
        </w:tc>
      </w:tr>
      <w:tr w14:paraId="58870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4" w:hRule="atLeast"/>
        </w:trPr>
        <w:tc>
          <w:tcPr>
            <w:tcW w:w="1131" w:type="dxa"/>
            <w:vMerge w:val="restart"/>
            <w:tcBorders>
              <w:left w:val="single" w:color="000000" w:sz="6" w:space="0"/>
              <w:bottom w:val="nil"/>
            </w:tcBorders>
            <w:vAlign w:val="top"/>
          </w:tcPr>
          <w:p w14:paraId="07459A40">
            <w:pPr>
              <w:spacing w:line="272" w:lineRule="auto"/>
              <w:rPr>
                <w:rFonts w:ascii="Arial"/>
                <w:sz w:val="21"/>
              </w:rPr>
            </w:pPr>
          </w:p>
          <w:p w14:paraId="4C583033">
            <w:pPr>
              <w:spacing w:line="272" w:lineRule="auto"/>
              <w:rPr>
                <w:rFonts w:ascii="Arial"/>
                <w:sz w:val="21"/>
              </w:rPr>
            </w:pPr>
          </w:p>
          <w:p w14:paraId="5FD3696E">
            <w:pPr>
              <w:spacing w:line="273" w:lineRule="auto"/>
              <w:rPr>
                <w:rFonts w:ascii="Arial"/>
                <w:sz w:val="21"/>
              </w:rPr>
            </w:pPr>
          </w:p>
          <w:p w14:paraId="0C5D25FE">
            <w:pPr>
              <w:spacing w:line="273" w:lineRule="auto"/>
              <w:rPr>
                <w:rFonts w:ascii="Arial"/>
                <w:sz w:val="21"/>
              </w:rPr>
            </w:pPr>
          </w:p>
          <w:p w14:paraId="7956438E">
            <w:pPr>
              <w:spacing w:line="273" w:lineRule="auto"/>
              <w:rPr>
                <w:rFonts w:ascii="Arial"/>
                <w:sz w:val="21"/>
              </w:rPr>
            </w:pPr>
          </w:p>
          <w:p w14:paraId="7CB37F65">
            <w:pPr>
              <w:spacing w:line="273" w:lineRule="auto"/>
              <w:rPr>
                <w:rFonts w:ascii="Arial"/>
                <w:sz w:val="21"/>
              </w:rPr>
            </w:pPr>
          </w:p>
          <w:p w14:paraId="7F7F51B1">
            <w:pPr>
              <w:spacing w:line="273" w:lineRule="auto"/>
              <w:rPr>
                <w:rFonts w:ascii="Arial"/>
                <w:sz w:val="21"/>
              </w:rPr>
            </w:pPr>
          </w:p>
          <w:p w14:paraId="76C9BBB8">
            <w:pPr>
              <w:pStyle w:val="6"/>
              <w:spacing w:before="78" w:line="242" w:lineRule="auto"/>
              <w:ind w:left="325" w:right="204" w:hanging="120"/>
            </w:pPr>
            <w:r>
              <w:rPr>
                <w:spacing w:val="-4"/>
              </w:rPr>
              <w:t>地表水</w:t>
            </w:r>
            <w:r>
              <w:rPr>
                <w:spacing w:val="1"/>
              </w:rPr>
              <w:t xml:space="preserve"> </w:t>
            </w:r>
            <w:r>
              <w:rPr>
                <w:spacing w:val="-5"/>
              </w:rPr>
              <w:t>环境</w:t>
            </w:r>
          </w:p>
        </w:tc>
        <w:tc>
          <w:tcPr>
            <w:tcW w:w="1334" w:type="dxa"/>
            <w:vAlign w:val="top"/>
          </w:tcPr>
          <w:p w14:paraId="0D8030CF">
            <w:pPr>
              <w:rPr>
                <w:rFonts w:ascii="Arial"/>
                <w:sz w:val="21"/>
              </w:rPr>
            </w:pPr>
          </w:p>
          <w:p w14:paraId="544CF26D">
            <w:pPr>
              <w:rPr>
                <w:rFonts w:ascii="Arial"/>
                <w:sz w:val="21"/>
              </w:rPr>
            </w:pPr>
          </w:p>
          <w:p w14:paraId="7CB7E597">
            <w:pPr>
              <w:rPr>
                <w:rFonts w:ascii="Arial"/>
                <w:sz w:val="21"/>
              </w:rPr>
            </w:pPr>
          </w:p>
          <w:p w14:paraId="098C0B16">
            <w:pPr>
              <w:rPr>
                <w:rFonts w:ascii="Arial"/>
                <w:sz w:val="21"/>
              </w:rPr>
            </w:pPr>
          </w:p>
          <w:p w14:paraId="6D7F797B">
            <w:pPr>
              <w:rPr>
                <w:rFonts w:ascii="Arial"/>
                <w:sz w:val="21"/>
              </w:rPr>
            </w:pPr>
          </w:p>
          <w:p w14:paraId="5E8A3E8F">
            <w:pPr>
              <w:pStyle w:val="6"/>
              <w:spacing w:before="78" w:line="239" w:lineRule="auto"/>
              <w:ind w:left="188" w:right="141" w:hanging="55"/>
            </w:pPr>
            <w:r>
              <w:rPr>
                <w:rFonts w:ascii="Times New Roman" w:hAnsi="Times New Roman" w:eastAsia="Times New Roman" w:cs="Times New Roman"/>
                <w:spacing w:val="-3"/>
              </w:rPr>
              <w:t>DW001</w:t>
            </w:r>
            <w:r>
              <w:rPr>
                <w:rFonts w:ascii="Times New Roman" w:hAnsi="Times New Roman" w:eastAsia="Times New Roman" w:cs="Times New Roman"/>
                <w:spacing w:val="11"/>
              </w:rPr>
              <w:t xml:space="preserve"> </w:t>
            </w:r>
            <w:r>
              <w:rPr>
                <w:spacing w:val="-3"/>
              </w:rPr>
              <w:t>生</w:t>
            </w:r>
            <w:r>
              <w:t xml:space="preserve"> </w:t>
            </w:r>
            <w:r>
              <w:rPr>
                <w:spacing w:val="-3"/>
              </w:rPr>
              <w:t>产废水排</w:t>
            </w:r>
          </w:p>
          <w:p w14:paraId="553CA5E9">
            <w:pPr>
              <w:pStyle w:val="6"/>
              <w:spacing w:before="1" w:line="220" w:lineRule="auto"/>
              <w:ind w:left="428"/>
            </w:pPr>
            <w:r>
              <w:rPr>
                <w:spacing w:val="-5"/>
              </w:rPr>
              <w:t>放口</w:t>
            </w:r>
          </w:p>
        </w:tc>
        <w:tc>
          <w:tcPr>
            <w:tcW w:w="1994" w:type="dxa"/>
            <w:vAlign w:val="top"/>
          </w:tcPr>
          <w:p w14:paraId="2B8A9546">
            <w:pPr>
              <w:pStyle w:val="6"/>
              <w:spacing w:before="42" w:line="210" w:lineRule="auto"/>
              <w:ind w:left="112"/>
            </w:pPr>
            <w:r>
              <w:rPr>
                <w:rFonts w:ascii="Times New Roman" w:hAnsi="Times New Roman" w:eastAsia="Times New Roman" w:cs="Times New Roman"/>
                <w:spacing w:val="-3"/>
              </w:rPr>
              <w:t>pH</w:t>
            </w:r>
            <w:r>
              <w:rPr>
                <w:rFonts w:ascii="Times New Roman" w:hAnsi="Times New Roman" w:eastAsia="Times New Roman" w:cs="Times New Roman"/>
                <w:spacing w:val="-34"/>
              </w:rPr>
              <w:t xml:space="preserve"> </w:t>
            </w:r>
            <w:r>
              <w:rPr>
                <w:spacing w:val="-3"/>
              </w:rPr>
              <w:t>、色度、</w:t>
            </w:r>
            <w:r>
              <w:rPr>
                <w:rFonts w:ascii="Times New Roman" w:hAnsi="Times New Roman" w:eastAsia="Times New Roman" w:cs="Times New Roman"/>
                <w:spacing w:val="-3"/>
              </w:rPr>
              <w:t>SS</w:t>
            </w:r>
            <w:r>
              <w:rPr>
                <w:spacing w:val="-3"/>
              </w:rPr>
              <w:t>、</w:t>
            </w:r>
          </w:p>
          <w:p w14:paraId="55EFC404">
            <w:pPr>
              <w:pStyle w:val="6"/>
              <w:spacing w:before="77" w:line="186" w:lineRule="auto"/>
              <w:ind w:left="133"/>
            </w:pP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3"/>
                <w:position w:val="-1"/>
                <w:sz w:val="15"/>
                <w:szCs w:val="15"/>
              </w:rPr>
              <w:t xml:space="preserve"> </w:t>
            </w:r>
            <w:r>
              <w:rPr>
                <w:spacing w:val="-2"/>
              </w:rPr>
              <w:t>、</w:t>
            </w:r>
            <w:r>
              <w:rPr>
                <w:rFonts w:ascii="Times New Roman" w:hAnsi="Times New Roman" w:eastAsia="Times New Roman" w:cs="Times New Roman"/>
                <w:spacing w:val="-2"/>
              </w:rPr>
              <w:t>COD</w:t>
            </w:r>
            <w:r>
              <w:rPr>
                <w:rFonts w:ascii="Times New Roman" w:hAnsi="Times New Roman" w:eastAsia="Times New Roman" w:cs="Times New Roman"/>
                <w:spacing w:val="-2"/>
                <w:position w:val="-1"/>
                <w:sz w:val="15"/>
                <w:szCs w:val="15"/>
              </w:rPr>
              <w:t>Cr</w:t>
            </w:r>
            <w:r>
              <w:rPr>
                <w:spacing w:val="-2"/>
              </w:rPr>
              <w:t>、</w:t>
            </w:r>
          </w:p>
          <w:p w14:paraId="0DAC143C">
            <w:pPr>
              <w:pStyle w:val="6"/>
              <w:spacing w:before="29" w:line="219" w:lineRule="auto"/>
              <w:jc w:val="right"/>
            </w:pPr>
            <w:r>
              <w:rPr>
                <w:spacing w:val="-9"/>
              </w:rPr>
              <w:t>硫化物、氟化物、</w:t>
            </w:r>
          </w:p>
          <w:p w14:paraId="1C0873BE">
            <w:pPr>
              <w:pStyle w:val="6"/>
              <w:spacing w:before="24" w:line="221" w:lineRule="auto"/>
              <w:jc w:val="right"/>
            </w:pPr>
            <w:r>
              <w:rPr>
                <w:spacing w:val="-9"/>
              </w:rPr>
              <w:t>氯化物、硫酸盐、</w:t>
            </w:r>
          </w:p>
          <w:p w14:paraId="022D82BB">
            <w:pPr>
              <w:pStyle w:val="6"/>
              <w:spacing w:before="24" w:line="219" w:lineRule="auto"/>
              <w:ind w:left="162"/>
            </w:pPr>
            <w:r>
              <w:t>氨氮、总氮、总</w:t>
            </w:r>
          </w:p>
          <w:p w14:paraId="3C6F55EC">
            <w:pPr>
              <w:pStyle w:val="6"/>
              <w:spacing w:before="28" w:line="219" w:lineRule="auto"/>
              <w:jc w:val="right"/>
            </w:pPr>
            <w:r>
              <w:rPr>
                <w:spacing w:val="-9"/>
              </w:rPr>
              <w:t>磷、总铜、总锌、</w:t>
            </w:r>
          </w:p>
          <w:p w14:paraId="587F04CF">
            <w:pPr>
              <w:pStyle w:val="6"/>
              <w:spacing w:before="27" w:line="221" w:lineRule="auto"/>
              <w:ind w:left="169"/>
            </w:pPr>
            <w:r>
              <w:rPr>
                <w:spacing w:val="-1"/>
              </w:rPr>
              <w:t>总锰、总铁、总</w:t>
            </w:r>
          </w:p>
          <w:p w14:paraId="1749A6FE">
            <w:pPr>
              <w:pStyle w:val="6"/>
              <w:spacing w:before="22" w:line="220" w:lineRule="auto"/>
              <w:jc w:val="right"/>
            </w:pPr>
            <w:r>
              <w:rPr>
                <w:spacing w:val="-9"/>
              </w:rPr>
              <w:t>汞、总镉、总铬、</w:t>
            </w:r>
          </w:p>
          <w:p w14:paraId="0FCC7DB6">
            <w:pPr>
              <w:pStyle w:val="6"/>
              <w:spacing w:before="26" w:line="218" w:lineRule="auto"/>
              <w:ind w:left="164"/>
            </w:pPr>
            <w:r>
              <w:rPr>
                <w:spacing w:val="-2"/>
              </w:rPr>
              <w:t>六价铬、总砷、</w:t>
            </w:r>
          </w:p>
          <w:p w14:paraId="1E921210">
            <w:pPr>
              <w:pStyle w:val="6"/>
              <w:spacing w:before="29" w:line="220" w:lineRule="auto"/>
              <w:ind w:left="169"/>
            </w:pPr>
            <w:r>
              <w:rPr>
                <w:spacing w:val="-1"/>
              </w:rPr>
              <w:t>总铅、总镍、总</w:t>
            </w:r>
          </w:p>
          <w:p w14:paraId="7EF21F0C">
            <w:pPr>
              <w:pStyle w:val="6"/>
              <w:spacing w:before="23" w:line="201" w:lineRule="auto"/>
              <w:ind w:left="401"/>
            </w:pPr>
            <w:r>
              <w:rPr>
                <w:spacing w:val="-2"/>
              </w:rPr>
              <w:t>铍、总银。</w:t>
            </w:r>
          </w:p>
        </w:tc>
        <w:tc>
          <w:tcPr>
            <w:tcW w:w="1899" w:type="dxa"/>
            <w:vAlign w:val="top"/>
          </w:tcPr>
          <w:p w14:paraId="20A23280">
            <w:pPr>
              <w:spacing w:line="251" w:lineRule="auto"/>
              <w:rPr>
                <w:rFonts w:ascii="Arial"/>
                <w:sz w:val="21"/>
              </w:rPr>
            </w:pPr>
          </w:p>
          <w:p w14:paraId="63E675D8">
            <w:pPr>
              <w:spacing w:line="251" w:lineRule="auto"/>
              <w:rPr>
                <w:rFonts w:ascii="Arial"/>
                <w:sz w:val="21"/>
              </w:rPr>
            </w:pPr>
          </w:p>
          <w:p w14:paraId="101C9444">
            <w:pPr>
              <w:spacing w:line="252" w:lineRule="auto"/>
              <w:rPr>
                <w:rFonts w:ascii="Arial"/>
                <w:sz w:val="21"/>
              </w:rPr>
            </w:pPr>
          </w:p>
          <w:p w14:paraId="146AF946">
            <w:pPr>
              <w:spacing w:line="252" w:lineRule="auto"/>
              <w:rPr>
                <w:rFonts w:ascii="Arial"/>
                <w:sz w:val="21"/>
              </w:rPr>
            </w:pPr>
          </w:p>
          <w:p w14:paraId="0E8F9A51">
            <w:pPr>
              <w:spacing w:line="252" w:lineRule="auto"/>
              <w:rPr>
                <w:rFonts w:ascii="Arial"/>
                <w:sz w:val="21"/>
              </w:rPr>
            </w:pPr>
          </w:p>
          <w:p w14:paraId="283340A3">
            <w:pPr>
              <w:spacing w:line="252" w:lineRule="auto"/>
              <w:rPr>
                <w:rFonts w:ascii="Arial"/>
                <w:sz w:val="21"/>
              </w:rPr>
            </w:pPr>
          </w:p>
          <w:p w14:paraId="52EB598D">
            <w:pPr>
              <w:pStyle w:val="6"/>
              <w:spacing w:before="78" w:line="219" w:lineRule="auto"/>
              <w:ind w:left="356"/>
            </w:pPr>
            <w:r>
              <w:rPr>
                <w:spacing w:val="-2"/>
              </w:rPr>
              <w:t>废水处理站</w:t>
            </w:r>
          </w:p>
        </w:tc>
        <w:tc>
          <w:tcPr>
            <w:tcW w:w="2691" w:type="dxa"/>
            <w:vMerge w:val="restart"/>
            <w:tcBorders>
              <w:bottom w:val="nil"/>
              <w:right w:val="single" w:color="000000" w:sz="6" w:space="0"/>
            </w:tcBorders>
            <w:vAlign w:val="top"/>
          </w:tcPr>
          <w:p w14:paraId="2D27FCE0">
            <w:pPr>
              <w:spacing w:line="258" w:lineRule="auto"/>
              <w:rPr>
                <w:rFonts w:ascii="Arial"/>
                <w:sz w:val="21"/>
              </w:rPr>
            </w:pPr>
          </w:p>
          <w:p w14:paraId="50D1E2BD">
            <w:pPr>
              <w:spacing w:line="258" w:lineRule="auto"/>
              <w:rPr>
                <w:rFonts w:ascii="Arial"/>
                <w:sz w:val="21"/>
              </w:rPr>
            </w:pPr>
          </w:p>
          <w:p w14:paraId="0DF68404">
            <w:pPr>
              <w:pStyle w:val="6"/>
              <w:spacing w:before="78" w:line="219" w:lineRule="auto"/>
              <w:ind w:left="154"/>
            </w:pPr>
            <w:r>
              <w:rPr>
                <w:spacing w:val="-2"/>
              </w:rPr>
              <w:t>可塘镇污水厂设计进水</w:t>
            </w:r>
          </w:p>
          <w:p w14:paraId="4BCA5552">
            <w:pPr>
              <w:pStyle w:val="6"/>
              <w:spacing w:before="27" w:line="219" w:lineRule="auto"/>
              <w:ind w:left="153"/>
            </w:pPr>
            <w:r>
              <w:rPr>
                <w:spacing w:val="-2"/>
              </w:rPr>
              <w:t>标准限值、《污水排入</w:t>
            </w:r>
          </w:p>
          <w:p w14:paraId="42F7083C">
            <w:pPr>
              <w:pStyle w:val="6"/>
              <w:spacing w:before="27" w:line="219" w:lineRule="auto"/>
              <w:ind w:left="152"/>
            </w:pPr>
            <w:r>
              <w:rPr>
                <w:spacing w:val="-1"/>
              </w:rPr>
              <w:t>城镇下水道水质标准》</w:t>
            </w:r>
          </w:p>
          <w:p w14:paraId="0B12DCD6">
            <w:pPr>
              <w:pStyle w:val="6"/>
              <w:spacing w:before="23" w:line="232" w:lineRule="auto"/>
              <w:ind w:left="190"/>
              <w:rPr>
                <w:rFonts w:ascii="Times New Roman" w:hAnsi="Times New Roman" w:eastAsia="Times New Roman" w:cs="Times New Roman"/>
              </w:rPr>
            </w:pPr>
            <w:r>
              <w:rPr>
                <w:spacing w:val="-1"/>
              </w:rPr>
              <w:t>（</w:t>
            </w:r>
            <w:r>
              <w:rPr>
                <w:rFonts w:ascii="Times New Roman" w:hAnsi="Times New Roman" w:eastAsia="Times New Roman" w:cs="Times New Roman"/>
                <w:spacing w:val="-1"/>
              </w:rPr>
              <w:t>GB/T31962-2015</w:t>
            </w:r>
            <w:r>
              <w:rPr>
                <w:spacing w:val="-1"/>
              </w:rPr>
              <w:t>）</w:t>
            </w:r>
            <w:r>
              <w:rPr>
                <w:rFonts w:ascii="Times New Roman" w:hAnsi="Times New Roman" w:eastAsia="Times New Roman" w:cs="Times New Roman"/>
                <w:spacing w:val="-1"/>
              </w:rPr>
              <w:t>B</w:t>
            </w:r>
          </w:p>
          <w:p w14:paraId="0B83C2A0">
            <w:pPr>
              <w:pStyle w:val="6"/>
              <w:spacing w:before="11" w:line="219" w:lineRule="auto"/>
              <w:ind w:left="156"/>
            </w:pPr>
            <w:r>
              <w:rPr>
                <w:spacing w:val="-2"/>
              </w:rPr>
              <w:t>级标准限值广东省地方</w:t>
            </w:r>
          </w:p>
          <w:p w14:paraId="2A5C20C7">
            <w:pPr>
              <w:pStyle w:val="6"/>
              <w:spacing w:before="27" w:line="219" w:lineRule="auto"/>
              <w:ind w:left="153"/>
            </w:pPr>
            <w:r>
              <w:rPr>
                <w:spacing w:val="-2"/>
              </w:rPr>
              <w:t>标准《水污染物排放限</w:t>
            </w:r>
          </w:p>
          <w:p w14:paraId="300312A4">
            <w:pPr>
              <w:pStyle w:val="6"/>
              <w:spacing w:before="25" w:line="219" w:lineRule="auto"/>
              <w:ind w:left="152"/>
            </w:pPr>
            <w:r>
              <w:rPr>
                <w:spacing w:val="-1"/>
              </w:rPr>
              <w:t>值》（</w:t>
            </w:r>
            <w:r>
              <w:rPr>
                <w:rFonts w:ascii="Times New Roman" w:hAnsi="Times New Roman" w:eastAsia="Times New Roman" w:cs="Times New Roman"/>
                <w:spacing w:val="-1"/>
              </w:rPr>
              <w:t>DB44/26-2001</w:t>
            </w:r>
            <w:r>
              <w:rPr>
                <w:spacing w:val="-1"/>
              </w:rPr>
              <w:t>）</w:t>
            </w:r>
          </w:p>
          <w:p w14:paraId="008C5043">
            <w:pPr>
              <w:pStyle w:val="6"/>
              <w:spacing w:before="27" w:line="219" w:lineRule="auto"/>
              <w:ind w:left="152"/>
            </w:pPr>
            <w:r>
              <w:rPr>
                <w:spacing w:val="-1"/>
              </w:rPr>
              <w:t>第一类污染物最高允许</w:t>
            </w:r>
          </w:p>
          <w:p w14:paraId="6E5F9F82">
            <w:pPr>
              <w:pStyle w:val="6"/>
              <w:spacing w:before="27" w:line="219" w:lineRule="auto"/>
              <w:ind w:left="152"/>
            </w:pPr>
            <w:r>
              <w:rPr>
                <w:spacing w:val="-1"/>
              </w:rPr>
              <w:t>排放浓度限值和第二时</w:t>
            </w:r>
          </w:p>
          <w:p w14:paraId="0CDB8572">
            <w:pPr>
              <w:pStyle w:val="6"/>
              <w:spacing w:before="25" w:line="219" w:lineRule="auto"/>
              <w:ind w:left="153"/>
            </w:pPr>
            <w:r>
              <w:rPr>
                <w:spacing w:val="-2"/>
              </w:rPr>
              <w:t>段三级标准限值三者最</w:t>
            </w:r>
          </w:p>
          <w:p w14:paraId="2EDC5238">
            <w:pPr>
              <w:pStyle w:val="6"/>
              <w:spacing w:before="27" w:line="219" w:lineRule="auto"/>
              <w:ind w:left="1113"/>
            </w:pPr>
            <w:r>
              <w:rPr>
                <w:spacing w:val="-6"/>
              </w:rPr>
              <w:t>严值</w:t>
            </w:r>
          </w:p>
        </w:tc>
      </w:tr>
      <w:tr w14:paraId="5FDC7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1131" w:type="dxa"/>
            <w:vMerge w:val="continue"/>
            <w:tcBorders>
              <w:top w:val="nil"/>
              <w:left w:val="single" w:color="000000" w:sz="6" w:space="0"/>
            </w:tcBorders>
            <w:vAlign w:val="top"/>
          </w:tcPr>
          <w:p w14:paraId="37DC41B2">
            <w:pPr>
              <w:rPr>
                <w:rFonts w:ascii="Arial"/>
                <w:sz w:val="21"/>
              </w:rPr>
            </w:pPr>
          </w:p>
        </w:tc>
        <w:tc>
          <w:tcPr>
            <w:tcW w:w="1334" w:type="dxa"/>
            <w:vAlign w:val="top"/>
          </w:tcPr>
          <w:p w14:paraId="0FE466A6">
            <w:pPr>
              <w:pStyle w:val="6"/>
              <w:spacing w:before="132" w:line="239" w:lineRule="auto"/>
              <w:ind w:left="192" w:right="141" w:hanging="59"/>
            </w:pPr>
            <w:r>
              <w:rPr>
                <w:rFonts w:ascii="Times New Roman" w:hAnsi="Times New Roman" w:eastAsia="Times New Roman" w:cs="Times New Roman"/>
                <w:spacing w:val="-3"/>
              </w:rPr>
              <w:t>DW002</w:t>
            </w:r>
            <w:r>
              <w:rPr>
                <w:rFonts w:ascii="Times New Roman" w:hAnsi="Times New Roman" w:eastAsia="Times New Roman" w:cs="Times New Roman"/>
                <w:spacing w:val="11"/>
              </w:rPr>
              <w:t xml:space="preserve"> </w:t>
            </w:r>
            <w:r>
              <w:rPr>
                <w:spacing w:val="-3"/>
              </w:rPr>
              <w:t>生</w:t>
            </w:r>
            <w:r>
              <w:t xml:space="preserve"> </w:t>
            </w:r>
            <w:r>
              <w:rPr>
                <w:spacing w:val="-4"/>
              </w:rPr>
              <w:t>活污水排</w:t>
            </w:r>
          </w:p>
          <w:p w14:paraId="11D23C05">
            <w:pPr>
              <w:pStyle w:val="6"/>
              <w:spacing w:before="1" w:line="220" w:lineRule="auto"/>
              <w:ind w:left="428"/>
            </w:pPr>
            <w:r>
              <w:rPr>
                <w:spacing w:val="-5"/>
              </w:rPr>
              <w:t>放口</w:t>
            </w:r>
          </w:p>
        </w:tc>
        <w:tc>
          <w:tcPr>
            <w:tcW w:w="1994" w:type="dxa"/>
            <w:vAlign w:val="top"/>
          </w:tcPr>
          <w:p w14:paraId="0CCEC793">
            <w:pPr>
              <w:spacing w:before="70" w:line="196" w:lineRule="auto"/>
              <w:ind w:left="670"/>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p>
          <w:p w14:paraId="13E50005">
            <w:pPr>
              <w:spacing w:before="50" w:line="194" w:lineRule="auto"/>
              <w:ind w:left="704"/>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p>
          <w:p w14:paraId="3F5EAEE0">
            <w:pPr>
              <w:spacing w:before="52" w:line="188" w:lineRule="auto"/>
              <w:ind w:left="874"/>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p w14:paraId="13039F19">
            <w:pPr>
              <w:spacing w:before="62" w:line="171" w:lineRule="auto"/>
              <w:ind w:left="649"/>
              <w:rPr>
                <w:rFonts w:ascii="Times New Roman" w:hAnsi="Times New Roman" w:eastAsia="Times New Roman" w:cs="Times New Roman"/>
                <w:sz w:val="24"/>
                <w:szCs w:val="24"/>
              </w:rPr>
            </w:pPr>
            <w:r>
              <w:rPr>
                <w:rFonts w:ascii="Times New Roman" w:hAnsi="Times New Roman" w:eastAsia="Times New Roman" w:cs="Times New Roman"/>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p>
        </w:tc>
        <w:tc>
          <w:tcPr>
            <w:tcW w:w="1899" w:type="dxa"/>
            <w:vAlign w:val="top"/>
          </w:tcPr>
          <w:p w14:paraId="1A9327E3">
            <w:pPr>
              <w:spacing w:line="361" w:lineRule="auto"/>
              <w:rPr>
                <w:rFonts w:ascii="Arial"/>
                <w:sz w:val="21"/>
              </w:rPr>
            </w:pPr>
          </w:p>
          <w:p w14:paraId="216802C4">
            <w:pPr>
              <w:pStyle w:val="6"/>
              <w:spacing w:before="78" w:line="219" w:lineRule="auto"/>
              <w:ind w:left="598"/>
            </w:pPr>
            <w:r>
              <w:rPr>
                <w:spacing w:val="-4"/>
              </w:rPr>
              <w:t>化粪池</w:t>
            </w:r>
          </w:p>
        </w:tc>
        <w:tc>
          <w:tcPr>
            <w:tcW w:w="2691" w:type="dxa"/>
            <w:vMerge w:val="continue"/>
            <w:tcBorders>
              <w:top w:val="nil"/>
              <w:right w:val="single" w:color="000000" w:sz="6" w:space="0"/>
            </w:tcBorders>
            <w:vAlign w:val="top"/>
          </w:tcPr>
          <w:p w14:paraId="3E5CA1E0">
            <w:pPr>
              <w:rPr>
                <w:rFonts w:ascii="Arial"/>
                <w:sz w:val="21"/>
              </w:rPr>
            </w:pPr>
          </w:p>
        </w:tc>
      </w:tr>
      <w:tr w14:paraId="23BD9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131" w:type="dxa"/>
            <w:tcBorders>
              <w:left w:val="single" w:color="000000" w:sz="6" w:space="0"/>
            </w:tcBorders>
            <w:vAlign w:val="top"/>
          </w:tcPr>
          <w:p w14:paraId="79409822">
            <w:pPr>
              <w:spacing w:line="433" w:lineRule="auto"/>
              <w:rPr>
                <w:rFonts w:ascii="Arial"/>
                <w:sz w:val="21"/>
              </w:rPr>
            </w:pPr>
          </w:p>
          <w:p w14:paraId="75EE4605">
            <w:pPr>
              <w:pStyle w:val="6"/>
              <w:spacing w:before="78" w:line="220" w:lineRule="auto"/>
              <w:ind w:left="210"/>
            </w:pPr>
            <w:r>
              <w:rPr>
                <w:spacing w:val="-5"/>
              </w:rPr>
              <w:t>声环境</w:t>
            </w:r>
          </w:p>
        </w:tc>
        <w:tc>
          <w:tcPr>
            <w:tcW w:w="1334" w:type="dxa"/>
            <w:vAlign w:val="top"/>
          </w:tcPr>
          <w:p w14:paraId="5BA70AFC">
            <w:pPr>
              <w:spacing w:line="433" w:lineRule="auto"/>
              <w:rPr>
                <w:rFonts w:ascii="Arial"/>
                <w:sz w:val="21"/>
              </w:rPr>
            </w:pPr>
          </w:p>
          <w:p w14:paraId="591188B5">
            <w:pPr>
              <w:pStyle w:val="6"/>
              <w:spacing w:before="78" w:line="219" w:lineRule="auto"/>
              <w:ind w:left="190"/>
            </w:pPr>
            <w:r>
              <w:rPr>
                <w:spacing w:val="-3"/>
              </w:rPr>
              <w:t>生产车间</w:t>
            </w:r>
          </w:p>
        </w:tc>
        <w:tc>
          <w:tcPr>
            <w:tcW w:w="1994" w:type="dxa"/>
            <w:vAlign w:val="top"/>
          </w:tcPr>
          <w:p w14:paraId="2B609454">
            <w:pPr>
              <w:spacing w:line="433" w:lineRule="auto"/>
              <w:rPr>
                <w:rFonts w:ascii="Arial"/>
                <w:sz w:val="21"/>
              </w:rPr>
            </w:pPr>
          </w:p>
          <w:p w14:paraId="1EDC925C">
            <w:pPr>
              <w:pStyle w:val="6"/>
              <w:spacing w:before="78" w:line="220" w:lineRule="auto"/>
              <w:ind w:left="526"/>
            </w:pPr>
            <w:r>
              <w:rPr>
                <w:spacing w:val="-4"/>
              </w:rPr>
              <w:t>设备噪声</w:t>
            </w:r>
          </w:p>
        </w:tc>
        <w:tc>
          <w:tcPr>
            <w:tcW w:w="1899" w:type="dxa"/>
            <w:vAlign w:val="top"/>
          </w:tcPr>
          <w:p w14:paraId="5DD7B00E">
            <w:pPr>
              <w:spacing w:line="433" w:lineRule="auto"/>
              <w:rPr>
                <w:rFonts w:ascii="Arial"/>
                <w:sz w:val="21"/>
              </w:rPr>
            </w:pPr>
          </w:p>
          <w:p w14:paraId="501D6748">
            <w:pPr>
              <w:pStyle w:val="6"/>
              <w:spacing w:before="78" w:line="220" w:lineRule="auto"/>
              <w:ind w:left="477"/>
            </w:pPr>
            <w:r>
              <w:rPr>
                <w:spacing w:val="-3"/>
              </w:rPr>
              <w:t>基础减振</w:t>
            </w:r>
          </w:p>
        </w:tc>
        <w:tc>
          <w:tcPr>
            <w:tcW w:w="2691" w:type="dxa"/>
            <w:tcBorders>
              <w:right w:val="single" w:color="000000" w:sz="6" w:space="0"/>
            </w:tcBorders>
            <w:vAlign w:val="top"/>
          </w:tcPr>
          <w:p w14:paraId="36D73708">
            <w:pPr>
              <w:pStyle w:val="6"/>
              <w:spacing w:before="48" w:line="220" w:lineRule="auto"/>
              <w:ind w:left="331"/>
            </w:pPr>
            <w:r>
              <w:rPr>
                <w:spacing w:val="-12"/>
              </w:rPr>
              <w:t>《工业企业厂界环境</w:t>
            </w:r>
          </w:p>
          <w:p w14:paraId="55D36B1D">
            <w:pPr>
              <w:pStyle w:val="6"/>
              <w:spacing w:before="23" w:line="219" w:lineRule="auto"/>
              <w:ind w:left="565"/>
            </w:pPr>
            <w:r>
              <w:rPr>
                <w:spacing w:val="-12"/>
              </w:rPr>
              <w:t>噪声排放限值》</w:t>
            </w:r>
          </w:p>
          <w:p w14:paraId="3D9A629F">
            <w:pPr>
              <w:pStyle w:val="6"/>
              <w:spacing w:before="26" w:line="220" w:lineRule="auto"/>
              <w:ind w:left="234"/>
            </w:pPr>
            <w:r>
              <w:rPr>
                <w:spacing w:val="-12"/>
              </w:rPr>
              <w:t>（</w:t>
            </w:r>
            <w:r>
              <w:rPr>
                <w:rFonts w:ascii="Times New Roman" w:hAnsi="Times New Roman" w:eastAsia="Times New Roman" w:cs="Times New Roman"/>
                <w:spacing w:val="-12"/>
              </w:rPr>
              <w:t>GB12348-2008</w:t>
            </w:r>
            <w:r>
              <w:rPr>
                <w:spacing w:val="-12"/>
              </w:rPr>
              <w:t>）中的</w:t>
            </w:r>
          </w:p>
          <w:p w14:paraId="3BEF3D32">
            <w:pPr>
              <w:pStyle w:val="6"/>
              <w:spacing w:before="23" w:line="199" w:lineRule="auto"/>
              <w:ind w:left="921"/>
            </w:pPr>
            <w:r>
              <w:rPr>
                <w:rFonts w:ascii="Times New Roman" w:hAnsi="Times New Roman" w:eastAsia="Times New Roman" w:cs="Times New Roman"/>
                <w:spacing w:val="-6"/>
              </w:rPr>
              <w:t xml:space="preserve">2 </w:t>
            </w:r>
            <w:r>
              <w:rPr>
                <w:spacing w:val="-6"/>
              </w:rPr>
              <w:t>类标准</w:t>
            </w:r>
          </w:p>
        </w:tc>
      </w:tr>
      <w:tr w14:paraId="253B8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131" w:type="dxa"/>
            <w:tcBorders>
              <w:left w:val="single" w:color="000000" w:sz="6" w:space="0"/>
              <w:bottom w:val="single" w:color="000000" w:sz="6" w:space="0"/>
            </w:tcBorders>
            <w:vAlign w:val="top"/>
          </w:tcPr>
          <w:p w14:paraId="74B1D8A7">
            <w:pPr>
              <w:pStyle w:val="6"/>
              <w:spacing w:before="96" w:line="225" w:lineRule="auto"/>
              <w:ind w:left="354"/>
            </w:pPr>
            <w:r>
              <w:rPr>
                <w:spacing w:val="-19"/>
              </w:rPr>
              <w:t>电磁</w:t>
            </w:r>
          </w:p>
          <w:p w14:paraId="10F6689D">
            <w:pPr>
              <w:pStyle w:val="6"/>
              <w:spacing w:before="19" w:line="219" w:lineRule="auto"/>
              <w:ind w:left="324"/>
            </w:pPr>
            <w:r>
              <w:rPr>
                <w:spacing w:val="-4"/>
              </w:rPr>
              <w:t>辐射</w:t>
            </w:r>
          </w:p>
        </w:tc>
        <w:tc>
          <w:tcPr>
            <w:tcW w:w="1334" w:type="dxa"/>
            <w:tcBorders>
              <w:bottom w:val="single" w:color="000000" w:sz="6" w:space="0"/>
            </w:tcBorders>
            <w:vAlign w:val="top"/>
          </w:tcPr>
          <w:p w14:paraId="76F4A85C">
            <w:pPr>
              <w:spacing w:before="289" w:line="192" w:lineRule="auto"/>
              <w:ind w:left="626"/>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994" w:type="dxa"/>
            <w:tcBorders>
              <w:bottom w:val="single" w:color="000000" w:sz="6" w:space="0"/>
            </w:tcBorders>
            <w:vAlign w:val="top"/>
          </w:tcPr>
          <w:p w14:paraId="2565D682">
            <w:pPr>
              <w:spacing w:before="289" w:line="192" w:lineRule="auto"/>
              <w:ind w:left="95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899" w:type="dxa"/>
            <w:tcBorders>
              <w:bottom w:val="single" w:color="000000" w:sz="6" w:space="0"/>
            </w:tcBorders>
            <w:vAlign w:val="top"/>
          </w:tcPr>
          <w:p w14:paraId="2B193A67">
            <w:pPr>
              <w:spacing w:before="289" w:line="192" w:lineRule="auto"/>
              <w:ind w:left="914"/>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691" w:type="dxa"/>
            <w:tcBorders>
              <w:bottom w:val="single" w:color="000000" w:sz="6" w:space="0"/>
              <w:right w:val="single" w:color="000000" w:sz="6" w:space="0"/>
            </w:tcBorders>
            <w:vAlign w:val="top"/>
          </w:tcPr>
          <w:p w14:paraId="7E918665">
            <w:pPr>
              <w:spacing w:before="289" w:line="192" w:lineRule="auto"/>
              <w:ind w:left="13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bl>
    <w:p w14:paraId="7DB32668">
      <w:pPr>
        <w:rPr>
          <w:rFonts w:ascii="Arial"/>
          <w:sz w:val="21"/>
        </w:rPr>
      </w:pPr>
    </w:p>
    <w:p w14:paraId="5CF13510">
      <w:pPr>
        <w:rPr>
          <w:rFonts w:ascii="Arial" w:hAnsi="Arial" w:eastAsia="Arial" w:cs="Arial"/>
          <w:sz w:val="21"/>
          <w:szCs w:val="21"/>
        </w:rPr>
        <w:sectPr>
          <w:footerReference r:id="rId110" w:type="default"/>
          <w:pgSz w:w="11906" w:h="16839"/>
          <w:pgMar w:top="400" w:right="1421" w:bottom="1240" w:left="1420" w:header="0" w:footer="1078" w:gutter="0"/>
          <w:cols w:space="720" w:num="1"/>
        </w:sectPr>
      </w:pPr>
    </w:p>
    <w:p w14:paraId="4AE8C49B">
      <w:pPr>
        <w:spacing w:before="19"/>
      </w:pPr>
    </w:p>
    <w:p w14:paraId="69E78B8D">
      <w:pPr>
        <w:spacing w:before="19"/>
      </w:pPr>
    </w:p>
    <w:p w14:paraId="1EBE5B2D">
      <w:pPr>
        <w:spacing w:before="19"/>
      </w:pPr>
    </w:p>
    <w:p w14:paraId="5A85DBF7">
      <w:pPr>
        <w:spacing w:before="18"/>
      </w:pPr>
    </w:p>
    <w:p w14:paraId="52D674A2">
      <w:pPr>
        <w:spacing w:before="18"/>
      </w:pPr>
    </w:p>
    <w:tbl>
      <w:tblPr>
        <w:tblStyle w:val="5"/>
        <w:tblW w:w="9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1334"/>
        <w:gridCol w:w="1994"/>
        <w:gridCol w:w="1899"/>
        <w:gridCol w:w="2691"/>
      </w:tblGrid>
      <w:tr w14:paraId="6CE1B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31" w:type="dxa"/>
            <w:vMerge w:val="restart"/>
            <w:tcBorders>
              <w:top w:val="single" w:color="000000" w:sz="6" w:space="0"/>
              <w:left w:val="single" w:color="000000" w:sz="6" w:space="0"/>
              <w:bottom w:val="nil"/>
            </w:tcBorders>
            <w:vAlign w:val="top"/>
          </w:tcPr>
          <w:p w14:paraId="59669915">
            <w:pPr>
              <w:spacing w:line="291" w:lineRule="auto"/>
              <w:rPr>
                <w:rFonts w:ascii="Arial"/>
                <w:sz w:val="21"/>
              </w:rPr>
            </w:pPr>
          </w:p>
          <w:p w14:paraId="45DAC278">
            <w:pPr>
              <w:spacing w:line="291" w:lineRule="auto"/>
              <w:rPr>
                <w:rFonts w:ascii="Arial"/>
                <w:sz w:val="21"/>
              </w:rPr>
            </w:pPr>
          </w:p>
          <w:p w14:paraId="328E823A">
            <w:pPr>
              <w:spacing w:line="292" w:lineRule="auto"/>
              <w:rPr>
                <w:rFonts w:ascii="Arial"/>
                <w:sz w:val="21"/>
              </w:rPr>
            </w:pPr>
          </w:p>
          <w:p w14:paraId="27235114">
            <w:pPr>
              <w:spacing w:line="292" w:lineRule="auto"/>
              <w:rPr>
                <w:rFonts w:ascii="Arial"/>
                <w:sz w:val="21"/>
              </w:rPr>
            </w:pPr>
          </w:p>
          <w:p w14:paraId="2C7A01B6">
            <w:pPr>
              <w:pStyle w:val="6"/>
              <w:spacing w:before="78" w:line="220" w:lineRule="auto"/>
              <w:ind w:left="346"/>
            </w:pPr>
            <w:r>
              <w:rPr>
                <w:spacing w:val="-15"/>
              </w:rPr>
              <w:t>固体</w:t>
            </w:r>
          </w:p>
          <w:p w14:paraId="31CB2EF7">
            <w:pPr>
              <w:pStyle w:val="6"/>
              <w:spacing w:before="23" w:line="220" w:lineRule="auto"/>
              <w:ind w:left="325"/>
            </w:pPr>
            <w:r>
              <w:rPr>
                <w:spacing w:val="-5"/>
              </w:rPr>
              <w:t>废物</w:t>
            </w:r>
          </w:p>
        </w:tc>
        <w:tc>
          <w:tcPr>
            <w:tcW w:w="1334" w:type="dxa"/>
            <w:tcBorders>
              <w:top w:val="single" w:color="000000" w:sz="6" w:space="0"/>
            </w:tcBorders>
            <w:vAlign w:val="top"/>
          </w:tcPr>
          <w:p w14:paraId="55EC3402">
            <w:pPr>
              <w:pStyle w:val="6"/>
              <w:spacing w:before="107" w:line="219" w:lineRule="auto"/>
              <w:ind w:left="190"/>
            </w:pPr>
            <w:r>
              <w:rPr>
                <w:spacing w:val="-3"/>
              </w:rPr>
              <w:t>生产车间</w:t>
            </w:r>
          </w:p>
        </w:tc>
        <w:tc>
          <w:tcPr>
            <w:tcW w:w="1994" w:type="dxa"/>
            <w:tcBorders>
              <w:top w:val="single" w:color="000000" w:sz="6" w:space="0"/>
            </w:tcBorders>
            <w:vAlign w:val="top"/>
          </w:tcPr>
          <w:p w14:paraId="73373220">
            <w:pPr>
              <w:pStyle w:val="6"/>
              <w:spacing w:before="106" w:line="220" w:lineRule="auto"/>
              <w:ind w:left="641"/>
            </w:pPr>
            <w:r>
              <w:rPr>
                <w:spacing w:val="-3"/>
              </w:rPr>
              <w:t>废酸液</w:t>
            </w:r>
          </w:p>
        </w:tc>
        <w:tc>
          <w:tcPr>
            <w:tcW w:w="1899" w:type="dxa"/>
            <w:vMerge w:val="restart"/>
            <w:tcBorders>
              <w:top w:val="single" w:color="000000" w:sz="6" w:space="0"/>
              <w:bottom w:val="nil"/>
            </w:tcBorders>
            <w:vAlign w:val="top"/>
          </w:tcPr>
          <w:p w14:paraId="589754B8">
            <w:pPr>
              <w:spacing w:line="270" w:lineRule="auto"/>
              <w:rPr>
                <w:rFonts w:ascii="Arial"/>
                <w:sz w:val="21"/>
              </w:rPr>
            </w:pPr>
          </w:p>
          <w:p w14:paraId="5EF9B4F4">
            <w:pPr>
              <w:spacing w:line="271" w:lineRule="auto"/>
              <w:rPr>
                <w:rFonts w:ascii="Arial"/>
                <w:sz w:val="21"/>
              </w:rPr>
            </w:pPr>
          </w:p>
          <w:p w14:paraId="54E7D1EA">
            <w:pPr>
              <w:pStyle w:val="6"/>
              <w:spacing w:before="78" w:line="219" w:lineRule="auto"/>
              <w:ind w:left="119"/>
            </w:pPr>
            <w:r>
              <w:t>按要求收集，按</w:t>
            </w:r>
          </w:p>
          <w:p w14:paraId="03C52C28">
            <w:pPr>
              <w:pStyle w:val="6"/>
              <w:spacing w:before="27" w:line="219" w:lineRule="auto"/>
              <w:ind w:left="118"/>
            </w:pPr>
            <w:r>
              <w:rPr>
                <w:spacing w:val="-2"/>
              </w:rPr>
              <w:t>规定暂存，委托</w:t>
            </w:r>
          </w:p>
          <w:p w14:paraId="787BB9A8">
            <w:pPr>
              <w:pStyle w:val="6"/>
              <w:spacing w:before="26" w:line="220" w:lineRule="auto"/>
              <w:ind w:left="118"/>
            </w:pPr>
            <w:r>
              <w:rPr>
                <w:spacing w:val="-2"/>
              </w:rPr>
              <w:t>有资质的单位处</w:t>
            </w:r>
          </w:p>
          <w:p w14:paraId="1BC23298">
            <w:pPr>
              <w:pStyle w:val="6"/>
              <w:spacing w:before="23" w:line="225" w:lineRule="auto"/>
              <w:ind w:left="835"/>
            </w:pPr>
            <w:r>
              <w:t>置</w:t>
            </w:r>
          </w:p>
        </w:tc>
        <w:tc>
          <w:tcPr>
            <w:tcW w:w="2691" w:type="dxa"/>
            <w:vMerge w:val="restart"/>
            <w:tcBorders>
              <w:top w:val="single" w:color="000000" w:sz="6" w:space="0"/>
              <w:bottom w:val="nil"/>
              <w:right w:val="single" w:color="000000" w:sz="6" w:space="0"/>
            </w:tcBorders>
            <w:vAlign w:val="top"/>
          </w:tcPr>
          <w:p w14:paraId="69747202">
            <w:pPr>
              <w:spacing w:line="285" w:lineRule="auto"/>
              <w:rPr>
                <w:rFonts w:ascii="Arial"/>
                <w:sz w:val="21"/>
              </w:rPr>
            </w:pPr>
          </w:p>
          <w:p w14:paraId="11B44063">
            <w:pPr>
              <w:spacing w:line="285" w:lineRule="auto"/>
              <w:rPr>
                <w:rFonts w:ascii="Arial"/>
                <w:sz w:val="21"/>
              </w:rPr>
            </w:pPr>
          </w:p>
          <w:p w14:paraId="66B44DB0">
            <w:pPr>
              <w:spacing w:line="286" w:lineRule="auto"/>
              <w:rPr>
                <w:rFonts w:ascii="Arial"/>
                <w:sz w:val="21"/>
              </w:rPr>
            </w:pPr>
          </w:p>
          <w:p w14:paraId="74180EE7">
            <w:pPr>
              <w:pStyle w:val="6"/>
              <w:spacing w:before="78" w:line="220" w:lineRule="auto"/>
              <w:ind w:left="250"/>
            </w:pPr>
            <w:r>
              <w:rPr>
                <w:rFonts w:ascii="Times New Roman" w:hAnsi="Times New Roman" w:eastAsia="Times New Roman" w:cs="Times New Roman"/>
                <w:spacing w:val="-3"/>
              </w:rPr>
              <w:t>100%</w:t>
            </w:r>
            <w:r>
              <w:rPr>
                <w:spacing w:val="-3"/>
              </w:rPr>
              <w:t>综合利用或合理</w:t>
            </w:r>
          </w:p>
          <w:p w14:paraId="2D3577B2">
            <w:pPr>
              <w:pStyle w:val="6"/>
              <w:spacing w:before="26" w:line="219" w:lineRule="auto"/>
              <w:ind w:left="157"/>
            </w:pPr>
            <w:r>
              <w:rPr>
                <w:spacing w:val="-1"/>
              </w:rPr>
              <w:t>处置，做到零排放，不</w:t>
            </w:r>
          </w:p>
          <w:p w14:paraId="56F38756">
            <w:pPr>
              <w:pStyle w:val="6"/>
              <w:spacing w:before="23" w:line="219" w:lineRule="auto"/>
              <w:ind w:left="152"/>
            </w:pPr>
            <w:r>
              <w:rPr>
                <w:spacing w:val="-1"/>
              </w:rPr>
              <w:t>会对周围环境造成不良</w:t>
            </w:r>
          </w:p>
          <w:p w14:paraId="0BF2BCF6">
            <w:pPr>
              <w:pStyle w:val="6"/>
              <w:spacing w:before="28" w:line="221" w:lineRule="auto"/>
              <w:ind w:left="1112"/>
            </w:pPr>
            <w:r>
              <w:rPr>
                <w:spacing w:val="-5"/>
              </w:rPr>
              <w:t>影响</w:t>
            </w:r>
          </w:p>
        </w:tc>
      </w:tr>
      <w:tr w14:paraId="0CF4F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131" w:type="dxa"/>
            <w:vMerge w:val="continue"/>
            <w:tcBorders>
              <w:top w:val="nil"/>
              <w:left w:val="single" w:color="000000" w:sz="6" w:space="0"/>
              <w:bottom w:val="nil"/>
            </w:tcBorders>
            <w:vAlign w:val="top"/>
          </w:tcPr>
          <w:p w14:paraId="7792F5BE">
            <w:pPr>
              <w:rPr>
                <w:rFonts w:ascii="Arial"/>
                <w:sz w:val="21"/>
              </w:rPr>
            </w:pPr>
          </w:p>
        </w:tc>
        <w:tc>
          <w:tcPr>
            <w:tcW w:w="1334" w:type="dxa"/>
            <w:vAlign w:val="top"/>
          </w:tcPr>
          <w:p w14:paraId="36196FED">
            <w:pPr>
              <w:pStyle w:val="6"/>
              <w:spacing w:before="239" w:line="219" w:lineRule="auto"/>
              <w:ind w:left="190"/>
            </w:pPr>
            <w:r>
              <w:rPr>
                <w:spacing w:val="-3"/>
              </w:rPr>
              <w:t>生产车间</w:t>
            </w:r>
          </w:p>
        </w:tc>
        <w:tc>
          <w:tcPr>
            <w:tcW w:w="1994" w:type="dxa"/>
            <w:vAlign w:val="top"/>
          </w:tcPr>
          <w:p w14:paraId="1281D108">
            <w:pPr>
              <w:pStyle w:val="6"/>
              <w:spacing w:before="81" w:line="242" w:lineRule="auto"/>
              <w:ind w:left="881" w:right="155" w:hanging="720"/>
            </w:pPr>
            <w:r>
              <w:rPr>
                <w:spacing w:val="-2"/>
              </w:rPr>
              <w:t>废胶桶、废包装</w:t>
            </w:r>
            <w:r>
              <w:rPr>
                <w:spacing w:val="4"/>
              </w:rPr>
              <w:t xml:space="preserve"> </w:t>
            </w:r>
            <w:r>
              <w:t>物</w:t>
            </w:r>
          </w:p>
        </w:tc>
        <w:tc>
          <w:tcPr>
            <w:tcW w:w="1899" w:type="dxa"/>
            <w:vMerge w:val="continue"/>
            <w:tcBorders>
              <w:top w:val="nil"/>
              <w:bottom w:val="nil"/>
            </w:tcBorders>
            <w:vAlign w:val="top"/>
          </w:tcPr>
          <w:p w14:paraId="4AC99215">
            <w:pPr>
              <w:rPr>
                <w:rFonts w:ascii="Arial"/>
                <w:sz w:val="21"/>
              </w:rPr>
            </w:pPr>
          </w:p>
        </w:tc>
        <w:tc>
          <w:tcPr>
            <w:tcW w:w="2691" w:type="dxa"/>
            <w:vMerge w:val="continue"/>
            <w:tcBorders>
              <w:top w:val="nil"/>
              <w:bottom w:val="nil"/>
              <w:right w:val="single" w:color="000000" w:sz="6" w:space="0"/>
            </w:tcBorders>
            <w:vAlign w:val="top"/>
          </w:tcPr>
          <w:p w14:paraId="7B80F1BF">
            <w:pPr>
              <w:rPr>
                <w:rFonts w:ascii="Arial"/>
                <w:sz w:val="21"/>
              </w:rPr>
            </w:pPr>
          </w:p>
        </w:tc>
      </w:tr>
      <w:tr w14:paraId="542F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131" w:type="dxa"/>
            <w:vMerge w:val="continue"/>
            <w:tcBorders>
              <w:top w:val="nil"/>
              <w:left w:val="single" w:color="000000" w:sz="6" w:space="0"/>
              <w:bottom w:val="nil"/>
            </w:tcBorders>
            <w:vAlign w:val="top"/>
          </w:tcPr>
          <w:p w14:paraId="5AA00D25">
            <w:pPr>
              <w:rPr>
                <w:rFonts w:ascii="Arial"/>
                <w:sz w:val="21"/>
              </w:rPr>
            </w:pPr>
          </w:p>
        </w:tc>
        <w:tc>
          <w:tcPr>
            <w:tcW w:w="1334" w:type="dxa"/>
            <w:vAlign w:val="top"/>
          </w:tcPr>
          <w:p w14:paraId="5694C002">
            <w:pPr>
              <w:pStyle w:val="6"/>
              <w:spacing w:before="108" w:line="219" w:lineRule="auto"/>
              <w:ind w:left="187"/>
            </w:pPr>
            <w:r>
              <w:rPr>
                <w:spacing w:val="-3"/>
              </w:rPr>
              <w:t>废水处理</w:t>
            </w:r>
          </w:p>
          <w:p w14:paraId="57A68DB9">
            <w:pPr>
              <w:pStyle w:val="6"/>
              <w:spacing w:before="24" w:line="222" w:lineRule="auto"/>
              <w:ind w:left="549"/>
            </w:pPr>
            <w:r>
              <w:t>站</w:t>
            </w:r>
          </w:p>
        </w:tc>
        <w:tc>
          <w:tcPr>
            <w:tcW w:w="1994" w:type="dxa"/>
            <w:vAlign w:val="top"/>
          </w:tcPr>
          <w:p w14:paraId="1153E422">
            <w:pPr>
              <w:pStyle w:val="6"/>
              <w:spacing w:before="263" w:line="220" w:lineRule="auto"/>
              <w:ind w:left="522"/>
            </w:pPr>
            <w:r>
              <w:rPr>
                <w:spacing w:val="-3"/>
              </w:rPr>
              <w:t>沉淀污泥</w:t>
            </w:r>
          </w:p>
        </w:tc>
        <w:tc>
          <w:tcPr>
            <w:tcW w:w="1899" w:type="dxa"/>
            <w:vMerge w:val="continue"/>
            <w:tcBorders>
              <w:top w:val="nil"/>
              <w:bottom w:val="nil"/>
            </w:tcBorders>
            <w:vAlign w:val="top"/>
          </w:tcPr>
          <w:p w14:paraId="3837F975">
            <w:pPr>
              <w:rPr>
                <w:rFonts w:ascii="Arial"/>
                <w:sz w:val="21"/>
              </w:rPr>
            </w:pPr>
          </w:p>
        </w:tc>
        <w:tc>
          <w:tcPr>
            <w:tcW w:w="2691" w:type="dxa"/>
            <w:vMerge w:val="continue"/>
            <w:tcBorders>
              <w:top w:val="nil"/>
              <w:bottom w:val="nil"/>
              <w:right w:val="single" w:color="000000" w:sz="6" w:space="0"/>
            </w:tcBorders>
            <w:vAlign w:val="top"/>
          </w:tcPr>
          <w:p w14:paraId="796EFA56">
            <w:pPr>
              <w:rPr>
                <w:rFonts w:ascii="Arial"/>
                <w:sz w:val="21"/>
              </w:rPr>
            </w:pPr>
          </w:p>
        </w:tc>
      </w:tr>
      <w:tr w14:paraId="2C82E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31" w:type="dxa"/>
            <w:vMerge w:val="continue"/>
            <w:tcBorders>
              <w:top w:val="nil"/>
              <w:left w:val="single" w:color="000000" w:sz="6" w:space="0"/>
              <w:bottom w:val="nil"/>
            </w:tcBorders>
            <w:vAlign w:val="top"/>
          </w:tcPr>
          <w:p w14:paraId="144FEC43">
            <w:pPr>
              <w:rPr>
                <w:rFonts w:ascii="Arial"/>
                <w:sz w:val="21"/>
              </w:rPr>
            </w:pPr>
          </w:p>
        </w:tc>
        <w:tc>
          <w:tcPr>
            <w:tcW w:w="1334" w:type="dxa"/>
            <w:vMerge w:val="restart"/>
            <w:tcBorders>
              <w:bottom w:val="nil"/>
            </w:tcBorders>
            <w:vAlign w:val="top"/>
          </w:tcPr>
          <w:p w14:paraId="33238D8F">
            <w:pPr>
              <w:spacing w:line="347" w:lineRule="auto"/>
              <w:rPr>
                <w:rFonts w:ascii="Arial"/>
                <w:sz w:val="21"/>
              </w:rPr>
            </w:pPr>
          </w:p>
          <w:p w14:paraId="0F3ACB3F">
            <w:pPr>
              <w:pStyle w:val="6"/>
              <w:spacing w:before="78" w:line="220" w:lineRule="auto"/>
              <w:ind w:left="198"/>
            </w:pPr>
            <w:r>
              <w:rPr>
                <w:spacing w:val="-5"/>
              </w:rPr>
              <w:t>员工生活</w:t>
            </w:r>
          </w:p>
        </w:tc>
        <w:tc>
          <w:tcPr>
            <w:tcW w:w="1994" w:type="dxa"/>
            <w:vAlign w:val="top"/>
          </w:tcPr>
          <w:p w14:paraId="71A0D851">
            <w:pPr>
              <w:pStyle w:val="6"/>
              <w:spacing w:before="110" w:line="220" w:lineRule="auto"/>
              <w:ind w:left="641"/>
            </w:pPr>
            <w:r>
              <w:rPr>
                <w:spacing w:val="-3"/>
              </w:rPr>
              <w:t>废手套</w:t>
            </w:r>
          </w:p>
        </w:tc>
        <w:tc>
          <w:tcPr>
            <w:tcW w:w="1899" w:type="dxa"/>
            <w:vMerge w:val="continue"/>
            <w:tcBorders>
              <w:top w:val="nil"/>
            </w:tcBorders>
            <w:vAlign w:val="top"/>
          </w:tcPr>
          <w:p w14:paraId="33BD4171">
            <w:pPr>
              <w:rPr>
                <w:rFonts w:ascii="Arial"/>
                <w:sz w:val="21"/>
              </w:rPr>
            </w:pPr>
          </w:p>
        </w:tc>
        <w:tc>
          <w:tcPr>
            <w:tcW w:w="2691" w:type="dxa"/>
            <w:vMerge w:val="continue"/>
            <w:tcBorders>
              <w:top w:val="nil"/>
              <w:bottom w:val="nil"/>
              <w:right w:val="single" w:color="000000" w:sz="6" w:space="0"/>
            </w:tcBorders>
            <w:vAlign w:val="top"/>
          </w:tcPr>
          <w:p w14:paraId="6C1E6956">
            <w:pPr>
              <w:rPr>
                <w:rFonts w:ascii="Arial"/>
                <w:sz w:val="21"/>
              </w:rPr>
            </w:pPr>
          </w:p>
        </w:tc>
      </w:tr>
      <w:tr w14:paraId="21829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31" w:type="dxa"/>
            <w:vMerge w:val="continue"/>
            <w:tcBorders>
              <w:top w:val="nil"/>
              <w:left w:val="single" w:color="000000" w:sz="6" w:space="0"/>
            </w:tcBorders>
            <w:vAlign w:val="top"/>
          </w:tcPr>
          <w:p w14:paraId="6D0975FB">
            <w:pPr>
              <w:rPr>
                <w:rFonts w:ascii="Arial"/>
                <w:sz w:val="21"/>
              </w:rPr>
            </w:pPr>
          </w:p>
        </w:tc>
        <w:tc>
          <w:tcPr>
            <w:tcW w:w="1334" w:type="dxa"/>
            <w:vMerge w:val="continue"/>
            <w:tcBorders>
              <w:top w:val="nil"/>
            </w:tcBorders>
            <w:vAlign w:val="top"/>
          </w:tcPr>
          <w:p w14:paraId="476B5CDD">
            <w:pPr>
              <w:rPr>
                <w:rFonts w:ascii="Arial"/>
                <w:sz w:val="21"/>
              </w:rPr>
            </w:pPr>
          </w:p>
        </w:tc>
        <w:tc>
          <w:tcPr>
            <w:tcW w:w="1994" w:type="dxa"/>
            <w:vAlign w:val="top"/>
          </w:tcPr>
          <w:p w14:paraId="5C2440A4">
            <w:pPr>
              <w:pStyle w:val="6"/>
              <w:spacing w:before="196" w:line="220" w:lineRule="auto"/>
              <w:ind w:left="524"/>
            </w:pPr>
            <w:r>
              <w:rPr>
                <w:spacing w:val="-3"/>
              </w:rPr>
              <w:t>生活垃圾</w:t>
            </w:r>
          </w:p>
        </w:tc>
        <w:tc>
          <w:tcPr>
            <w:tcW w:w="1899" w:type="dxa"/>
            <w:vAlign w:val="top"/>
          </w:tcPr>
          <w:p w14:paraId="06D59FF4">
            <w:pPr>
              <w:pStyle w:val="6"/>
              <w:spacing w:before="39" w:line="222" w:lineRule="auto"/>
              <w:ind w:left="840" w:right="105" w:hanging="718"/>
            </w:pPr>
            <w:r>
              <w:rPr>
                <w:spacing w:val="-3"/>
              </w:rPr>
              <w:t>交由环卫部门处</w:t>
            </w:r>
            <w:r>
              <w:rPr>
                <w:spacing w:val="5"/>
              </w:rPr>
              <w:t xml:space="preserve"> </w:t>
            </w:r>
            <w:r>
              <w:t>理</w:t>
            </w:r>
          </w:p>
        </w:tc>
        <w:tc>
          <w:tcPr>
            <w:tcW w:w="2691" w:type="dxa"/>
            <w:vMerge w:val="continue"/>
            <w:tcBorders>
              <w:top w:val="nil"/>
              <w:right w:val="single" w:color="000000" w:sz="6" w:space="0"/>
            </w:tcBorders>
            <w:vAlign w:val="top"/>
          </w:tcPr>
          <w:p w14:paraId="3AC3B529">
            <w:pPr>
              <w:rPr>
                <w:rFonts w:ascii="Arial"/>
                <w:sz w:val="21"/>
              </w:rPr>
            </w:pPr>
          </w:p>
        </w:tc>
      </w:tr>
      <w:tr w14:paraId="57614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7" w:hRule="atLeast"/>
        </w:trPr>
        <w:tc>
          <w:tcPr>
            <w:tcW w:w="1131" w:type="dxa"/>
            <w:tcBorders>
              <w:left w:val="single" w:color="000000" w:sz="6" w:space="0"/>
            </w:tcBorders>
            <w:vAlign w:val="top"/>
          </w:tcPr>
          <w:p w14:paraId="1DCB6663">
            <w:pPr>
              <w:pStyle w:val="6"/>
              <w:spacing w:before="209" w:line="221" w:lineRule="auto"/>
              <w:ind w:left="206"/>
            </w:pPr>
            <w:r>
              <w:rPr>
                <w:spacing w:val="-4"/>
              </w:rPr>
              <w:t>土壤及</w:t>
            </w:r>
          </w:p>
          <w:p w14:paraId="05D3B861">
            <w:pPr>
              <w:pStyle w:val="6"/>
              <w:spacing w:before="25" w:line="219" w:lineRule="auto"/>
              <w:ind w:left="205"/>
            </w:pPr>
            <w:r>
              <w:rPr>
                <w:spacing w:val="-4"/>
              </w:rPr>
              <w:t>地下水</w:t>
            </w:r>
          </w:p>
          <w:p w14:paraId="66E96FB9">
            <w:pPr>
              <w:pStyle w:val="6"/>
              <w:spacing w:before="26" w:line="220" w:lineRule="auto"/>
              <w:ind w:left="207"/>
            </w:pPr>
            <w:r>
              <w:rPr>
                <w:spacing w:val="-4"/>
              </w:rPr>
              <w:t>污染防</w:t>
            </w:r>
          </w:p>
          <w:p w14:paraId="3F249FD4">
            <w:pPr>
              <w:pStyle w:val="6"/>
              <w:spacing w:before="23" w:line="220" w:lineRule="auto"/>
              <w:ind w:left="211"/>
            </w:pPr>
            <w:r>
              <w:rPr>
                <w:spacing w:val="-6"/>
              </w:rPr>
              <w:t>治措施</w:t>
            </w:r>
          </w:p>
        </w:tc>
        <w:tc>
          <w:tcPr>
            <w:tcW w:w="7918" w:type="dxa"/>
            <w:gridSpan w:val="4"/>
            <w:tcBorders>
              <w:right w:val="single" w:color="000000" w:sz="6" w:space="0"/>
            </w:tcBorders>
            <w:vAlign w:val="top"/>
          </w:tcPr>
          <w:p w14:paraId="4640AE38">
            <w:pPr>
              <w:spacing w:line="286" w:lineRule="auto"/>
              <w:rPr>
                <w:rFonts w:ascii="Arial"/>
                <w:sz w:val="21"/>
              </w:rPr>
            </w:pPr>
          </w:p>
          <w:p w14:paraId="059E0007">
            <w:pPr>
              <w:pStyle w:val="6"/>
              <w:spacing w:before="78" w:line="219" w:lineRule="auto"/>
              <w:ind w:left="124"/>
            </w:pPr>
            <w:r>
              <w:rPr>
                <w:spacing w:val="-1"/>
              </w:rPr>
              <w:t>建设完善场地防渗措施，建立完善的生产和治污设施定期巡检和检修制度</w:t>
            </w:r>
          </w:p>
          <w:p w14:paraId="02F64313">
            <w:pPr>
              <w:pStyle w:val="6"/>
              <w:spacing w:before="27" w:line="219" w:lineRule="auto"/>
              <w:ind w:left="122"/>
            </w:pPr>
            <w:r>
              <w:t>和事故应急处置制度，定期巡检、及时发现事</w:t>
            </w:r>
            <w:r>
              <w:rPr>
                <w:spacing w:val="-1"/>
              </w:rPr>
              <w:t>故渗漏并进行有效的修复和</w:t>
            </w:r>
          </w:p>
          <w:p w14:paraId="008B8396">
            <w:pPr>
              <w:pStyle w:val="6"/>
              <w:spacing w:before="24" w:line="220" w:lineRule="auto"/>
              <w:ind w:left="3362"/>
            </w:pPr>
            <w:r>
              <w:rPr>
                <w:spacing w:val="-3"/>
              </w:rPr>
              <w:t>渗漏防控。</w:t>
            </w:r>
          </w:p>
        </w:tc>
      </w:tr>
      <w:tr w14:paraId="4BE1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131" w:type="dxa"/>
            <w:tcBorders>
              <w:left w:val="single" w:color="000000" w:sz="6" w:space="0"/>
            </w:tcBorders>
            <w:vAlign w:val="top"/>
          </w:tcPr>
          <w:p w14:paraId="7999B25A">
            <w:pPr>
              <w:pStyle w:val="6"/>
              <w:spacing w:before="259" w:line="220" w:lineRule="auto"/>
              <w:ind w:left="207"/>
            </w:pPr>
            <w:r>
              <w:rPr>
                <w:spacing w:val="-4"/>
              </w:rPr>
              <w:t>生态保</w:t>
            </w:r>
          </w:p>
          <w:p w14:paraId="1EBB451C">
            <w:pPr>
              <w:pStyle w:val="6"/>
              <w:spacing w:before="23" w:line="220" w:lineRule="auto"/>
              <w:ind w:left="206"/>
            </w:pPr>
            <w:r>
              <w:rPr>
                <w:spacing w:val="-4"/>
              </w:rPr>
              <w:t>护措施</w:t>
            </w:r>
          </w:p>
        </w:tc>
        <w:tc>
          <w:tcPr>
            <w:tcW w:w="7918" w:type="dxa"/>
            <w:gridSpan w:val="4"/>
            <w:tcBorders>
              <w:right w:val="single" w:color="000000" w:sz="6" w:space="0"/>
            </w:tcBorders>
            <w:vAlign w:val="top"/>
          </w:tcPr>
          <w:p w14:paraId="334CE609">
            <w:pPr>
              <w:pStyle w:val="6"/>
              <w:spacing w:before="258" w:line="219" w:lineRule="auto"/>
              <w:ind w:left="122"/>
            </w:pPr>
            <w:r>
              <w:t>本项目不在专业的产业园区内，用地范围内没</w:t>
            </w:r>
            <w:r>
              <w:rPr>
                <w:spacing w:val="-1"/>
              </w:rPr>
              <w:t>有生态环境保护目标，项目</w:t>
            </w:r>
          </w:p>
          <w:p w14:paraId="12E2A849">
            <w:pPr>
              <w:pStyle w:val="6"/>
              <w:spacing w:before="24" w:line="219" w:lineRule="auto"/>
              <w:ind w:left="2044"/>
            </w:pPr>
            <w:r>
              <w:rPr>
                <w:spacing w:val="-1"/>
              </w:rPr>
              <w:t>建设不再采取必要的生态保护措施。</w:t>
            </w:r>
          </w:p>
        </w:tc>
      </w:tr>
      <w:tr w14:paraId="6D4A4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131" w:type="dxa"/>
            <w:tcBorders>
              <w:left w:val="single" w:color="000000" w:sz="6" w:space="0"/>
            </w:tcBorders>
            <w:vAlign w:val="top"/>
          </w:tcPr>
          <w:p w14:paraId="64DCB5BD">
            <w:pPr>
              <w:pStyle w:val="6"/>
              <w:spacing w:before="260" w:line="220" w:lineRule="auto"/>
              <w:ind w:left="117"/>
            </w:pPr>
            <w:r>
              <w:rPr>
                <w:spacing w:val="-11"/>
              </w:rPr>
              <w:t>环境风险</w:t>
            </w:r>
          </w:p>
          <w:p w14:paraId="3669C653">
            <w:pPr>
              <w:pStyle w:val="6"/>
              <w:spacing w:before="26" w:line="220" w:lineRule="auto"/>
              <w:ind w:left="132"/>
            </w:pPr>
            <w:r>
              <w:rPr>
                <w:spacing w:val="-14"/>
              </w:rPr>
              <w:t>防范措施</w:t>
            </w:r>
          </w:p>
        </w:tc>
        <w:tc>
          <w:tcPr>
            <w:tcW w:w="7918" w:type="dxa"/>
            <w:gridSpan w:val="4"/>
            <w:tcBorders>
              <w:right w:val="single" w:color="000000" w:sz="6" w:space="0"/>
            </w:tcBorders>
            <w:vAlign w:val="top"/>
          </w:tcPr>
          <w:p w14:paraId="33B88AD5">
            <w:pPr>
              <w:pStyle w:val="6"/>
              <w:spacing w:before="261" w:line="219" w:lineRule="auto"/>
              <w:ind w:left="124"/>
            </w:pPr>
            <w:r>
              <w:rPr>
                <w:spacing w:val="-1"/>
              </w:rPr>
              <w:t>详见《海丰县金盛宝石首饰有限公司宝石加工改扩建项目环境风险专项评</w:t>
            </w:r>
          </w:p>
          <w:p w14:paraId="48973E8C">
            <w:pPr>
              <w:pStyle w:val="6"/>
              <w:spacing w:before="26" w:line="218" w:lineRule="auto"/>
              <w:ind w:left="3602"/>
            </w:pPr>
            <w:r>
              <w:rPr>
                <w:spacing w:val="-4"/>
              </w:rPr>
              <w:t>价》。</w:t>
            </w:r>
          </w:p>
        </w:tc>
      </w:tr>
      <w:tr w14:paraId="2C6A6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 w:hRule="atLeast"/>
        </w:trPr>
        <w:tc>
          <w:tcPr>
            <w:tcW w:w="1131" w:type="dxa"/>
            <w:tcBorders>
              <w:left w:val="single" w:color="000000" w:sz="6" w:space="0"/>
              <w:bottom w:val="single" w:color="000000" w:sz="6" w:space="0"/>
            </w:tcBorders>
            <w:vAlign w:val="top"/>
          </w:tcPr>
          <w:p w14:paraId="16953EA6">
            <w:pPr>
              <w:pStyle w:val="6"/>
              <w:spacing w:before="261" w:line="220" w:lineRule="auto"/>
              <w:ind w:left="118"/>
            </w:pPr>
            <w:r>
              <w:rPr>
                <w:spacing w:val="-11"/>
              </w:rPr>
              <w:t>其他环境</w:t>
            </w:r>
          </w:p>
          <w:p w14:paraId="7DA4CE76">
            <w:pPr>
              <w:pStyle w:val="6"/>
              <w:spacing w:before="26" w:line="219" w:lineRule="auto"/>
              <w:ind w:left="122"/>
              <w:outlineLvl w:val="0"/>
            </w:pPr>
            <w:r>
              <w:rPr>
                <w:spacing w:val="-12"/>
              </w:rPr>
              <w:t>管理要求</w:t>
            </w:r>
          </w:p>
        </w:tc>
        <w:tc>
          <w:tcPr>
            <w:tcW w:w="7918" w:type="dxa"/>
            <w:gridSpan w:val="4"/>
            <w:tcBorders>
              <w:bottom w:val="single" w:color="000000" w:sz="6" w:space="0"/>
              <w:right w:val="single" w:color="000000" w:sz="6" w:space="0"/>
            </w:tcBorders>
            <w:vAlign w:val="top"/>
          </w:tcPr>
          <w:p w14:paraId="36148DD1">
            <w:pPr>
              <w:rPr>
                <w:rFonts w:ascii="Arial"/>
                <w:sz w:val="21"/>
              </w:rPr>
            </w:pPr>
          </w:p>
        </w:tc>
      </w:tr>
    </w:tbl>
    <w:p w14:paraId="341CD49D">
      <w:pPr>
        <w:rPr>
          <w:rFonts w:ascii="Arial"/>
          <w:sz w:val="21"/>
        </w:rPr>
      </w:pPr>
    </w:p>
    <w:p w14:paraId="276CD846">
      <w:pPr>
        <w:rPr>
          <w:rFonts w:ascii="Arial" w:hAnsi="Arial" w:eastAsia="Arial" w:cs="Arial"/>
          <w:sz w:val="21"/>
          <w:szCs w:val="21"/>
        </w:rPr>
        <w:sectPr>
          <w:footerReference r:id="rId111" w:type="default"/>
          <w:pgSz w:w="11906" w:h="16839"/>
          <w:pgMar w:top="400" w:right="1421" w:bottom="1240" w:left="1420" w:header="0" w:footer="1078" w:gutter="0"/>
          <w:cols w:space="720" w:num="1"/>
        </w:sectPr>
      </w:pPr>
    </w:p>
    <w:p w14:paraId="7B978662">
      <w:pPr>
        <w:spacing w:line="272" w:lineRule="auto"/>
        <w:rPr>
          <w:rFonts w:ascii="Arial"/>
          <w:sz w:val="21"/>
        </w:rPr>
      </w:pPr>
    </w:p>
    <w:p w14:paraId="2FE39F5B">
      <w:pPr>
        <w:spacing w:line="272" w:lineRule="auto"/>
        <w:rPr>
          <w:rFonts w:ascii="Arial"/>
          <w:sz w:val="21"/>
        </w:rPr>
      </w:pPr>
    </w:p>
    <w:p w14:paraId="5CF91CB6">
      <w:pPr>
        <w:spacing w:line="272" w:lineRule="auto"/>
        <w:rPr>
          <w:rFonts w:ascii="Arial"/>
          <w:sz w:val="21"/>
        </w:rPr>
      </w:pPr>
    </w:p>
    <w:p w14:paraId="744DC929">
      <w:pPr>
        <w:spacing w:line="272" w:lineRule="auto"/>
        <w:rPr>
          <w:rFonts w:ascii="Arial"/>
          <w:sz w:val="21"/>
        </w:rPr>
      </w:pPr>
    </w:p>
    <w:p w14:paraId="5CE3A416">
      <w:pPr>
        <w:spacing w:line="273" w:lineRule="auto"/>
        <w:rPr>
          <w:rFonts w:ascii="Arial"/>
          <w:sz w:val="21"/>
        </w:rPr>
      </w:pPr>
    </w:p>
    <w:p w14:paraId="51212480">
      <w:pPr>
        <w:spacing w:before="97" w:line="221" w:lineRule="auto"/>
        <w:ind w:left="3855"/>
        <w:outlineLvl w:val="0"/>
        <w:rPr>
          <w:rFonts w:ascii="宋体" w:hAnsi="宋体" w:eastAsia="宋体" w:cs="宋体"/>
          <w:sz w:val="30"/>
          <w:szCs w:val="30"/>
        </w:rPr>
      </w:pPr>
      <w:bookmarkStart w:id="6" w:name="bookmark6"/>
      <w:bookmarkEnd w:id="6"/>
      <w:r>
        <w:rPr>
          <w:rFonts w:ascii="宋体" w:hAnsi="宋体" w:eastAsia="宋体" w:cs="宋体"/>
          <w:spacing w:val="-4"/>
          <w:sz w:val="30"/>
          <w:szCs w:val="30"/>
        </w:rPr>
        <w:t>六、结论</w:t>
      </w:r>
    </w:p>
    <w:p w14:paraId="371D12F9">
      <w:pPr>
        <w:spacing w:line="174" w:lineRule="exact"/>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4096EB5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477" w:hRule="atLeast"/>
        </w:trPr>
        <w:tc>
          <w:tcPr>
            <w:tcW w:w="8869" w:type="dxa"/>
            <w:vAlign w:val="top"/>
          </w:tcPr>
          <w:p w14:paraId="4E76DBD7">
            <w:pPr>
              <w:spacing w:line="320" w:lineRule="auto"/>
              <w:rPr>
                <w:rFonts w:ascii="Arial"/>
                <w:sz w:val="21"/>
              </w:rPr>
            </w:pPr>
          </w:p>
          <w:p w14:paraId="3E63ECB1">
            <w:pPr>
              <w:pStyle w:val="6"/>
              <w:spacing w:before="78" w:line="360" w:lineRule="auto"/>
              <w:ind w:left="110" w:right="102" w:firstLine="480"/>
            </w:pPr>
            <w:r>
              <w:rPr>
                <w:spacing w:val="-1"/>
              </w:rPr>
              <w:t>根据前文的分析，建设单位应严格执行“三同时</w:t>
            </w:r>
            <w:r>
              <w:rPr>
                <w:spacing w:val="-87"/>
              </w:rPr>
              <w:t xml:space="preserve"> </w:t>
            </w:r>
            <w:r>
              <w:rPr>
                <w:spacing w:val="-1"/>
              </w:rPr>
              <w:t>”制度，全面落实本环评报告</w:t>
            </w:r>
            <w:r>
              <w:t xml:space="preserve"> 表所提出的各项污染防治措施，并加强管理和监督，项目生产过程所产生的废气、 废水、固废及噪声等污染物，在达到标准要求的正常情况下，对周围环境的影响是 </w:t>
            </w:r>
            <w:r>
              <w:rPr>
                <w:spacing w:val="-1"/>
              </w:rPr>
              <w:t>可以接受的，项目建设在环境保护方面是可行的。</w:t>
            </w:r>
          </w:p>
        </w:tc>
      </w:tr>
    </w:tbl>
    <w:p w14:paraId="1AE73757">
      <w:pPr>
        <w:rPr>
          <w:rFonts w:ascii="Arial"/>
          <w:sz w:val="21"/>
        </w:rPr>
      </w:pPr>
    </w:p>
    <w:p w14:paraId="28C2B052">
      <w:pPr>
        <w:rPr>
          <w:rFonts w:ascii="Arial" w:hAnsi="Arial" w:eastAsia="Arial" w:cs="Arial"/>
          <w:sz w:val="21"/>
          <w:szCs w:val="21"/>
        </w:rPr>
        <w:sectPr>
          <w:footerReference r:id="rId112" w:type="default"/>
          <w:pgSz w:w="11906" w:h="16839"/>
          <w:pgMar w:top="400" w:right="1511" w:bottom="1240" w:left="1510" w:header="0" w:footer="1078" w:gutter="0"/>
          <w:cols w:space="720" w:num="1"/>
        </w:sectPr>
      </w:pPr>
    </w:p>
    <w:p w14:paraId="6080545C">
      <w:pPr>
        <w:spacing w:line="272" w:lineRule="auto"/>
        <w:rPr>
          <w:rFonts w:ascii="Arial"/>
          <w:sz w:val="21"/>
        </w:rPr>
      </w:pPr>
    </w:p>
    <w:p w14:paraId="4EBA4DDC">
      <w:pPr>
        <w:spacing w:line="272" w:lineRule="auto"/>
        <w:rPr>
          <w:rFonts w:ascii="Arial"/>
          <w:sz w:val="21"/>
        </w:rPr>
      </w:pPr>
    </w:p>
    <w:p w14:paraId="32FAB13E">
      <w:pPr>
        <w:spacing w:line="272" w:lineRule="auto"/>
        <w:rPr>
          <w:rFonts w:ascii="Arial"/>
          <w:sz w:val="21"/>
        </w:rPr>
      </w:pPr>
    </w:p>
    <w:p w14:paraId="5808172D">
      <w:pPr>
        <w:spacing w:line="272" w:lineRule="auto"/>
        <w:rPr>
          <w:rFonts w:ascii="Arial"/>
          <w:sz w:val="21"/>
        </w:rPr>
      </w:pPr>
    </w:p>
    <w:p w14:paraId="0003686A">
      <w:pPr>
        <w:spacing w:line="272" w:lineRule="auto"/>
        <w:rPr>
          <w:rFonts w:ascii="Arial"/>
          <w:sz w:val="21"/>
        </w:rPr>
      </w:pPr>
    </w:p>
    <w:p w14:paraId="75BB769E">
      <w:pPr>
        <w:spacing w:before="98" w:line="219" w:lineRule="auto"/>
        <w:ind w:left="72"/>
        <w:outlineLvl w:val="0"/>
        <w:rPr>
          <w:rFonts w:ascii="宋体" w:hAnsi="宋体" w:eastAsia="宋体" w:cs="宋体"/>
          <w:sz w:val="30"/>
          <w:szCs w:val="30"/>
        </w:rPr>
      </w:pPr>
      <w:bookmarkStart w:id="7" w:name="bookmark12"/>
      <w:bookmarkEnd w:id="7"/>
      <w:r>
        <w:rPr>
          <w:rFonts w:ascii="宋体" w:hAnsi="宋体" w:eastAsia="宋体" w:cs="宋体"/>
          <w:b/>
          <w:bCs/>
          <w:spacing w:val="-21"/>
          <w:sz w:val="30"/>
          <w:szCs w:val="30"/>
        </w:rPr>
        <w:t>附表</w:t>
      </w:r>
    </w:p>
    <w:p w14:paraId="46380700">
      <w:pPr>
        <w:spacing w:before="243" w:line="217" w:lineRule="auto"/>
        <w:ind w:left="4087"/>
        <w:rPr>
          <w:rFonts w:ascii="宋体" w:hAnsi="宋体" w:eastAsia="宋体" w:cs="宋体"/>
          <w:sz w:val="43"/>
          <w:szCs w:val="43"/>
        </w:rPr>
      </w:pPr>
      <w:bookmarkStart w:id="8" w:name="bookmark7"/>
      <w:bookmarkEnd w:id="8"/>
      <w:r>
        <w:rPr>
          <w:rFonts w:ascii="宋体" w:hAnsi="宋体" w:eastAsia="宋体" w:cs="宋体"/>
          <w:spacing w:val="8"/>
          <w:sz w:val="43"/>
          <w:szCs w:val="43"/>
        </w:rPr>
        <w:t>建设项目污染物排放量汇总表</w:t>
      </w: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1973"/>
        <w:gridCol w:w="1540"/>
        <w:gridCol w:w="1275"/>
        <w:gridCol w:w="1699"/>
        <w:gridCol w:w="1557"/>
        <w:gridCol w:w="1414"/>
        <w:gridCol w:w="1636"/>
        <w:gridCol w:w="1501"/>
      </w:tblGrid>
      <w:tr w14:paraId="16CA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197" w:type="dxa"/>
            <w:tcBorders>
              <w:top w:val="single" w:color="000000" w:sz="6" w:space="0"/>
              <w:left w:val="single" w:color="000000" w:sz="6" w:space="0"/>
              <w:tl2br w:val="single" w:color="000000" w:sz="4" w:space="0"/>
            </w:tcBorders>
            <w:vAlign w:val="top"/>
          </w:tcPr>
          <w:p w14:paraId="76FD91B6">
            <w:pPr>
              <w:pStyle w:val="6"/>
              <w:spacing w:before="195" w:line="242" w:lineRule="auto"/>
              <w:ind w:left="35" w:right="19" w:firstLine="677"/>
            </w:pPr>
            <w:r>
              <w:rPr>
                <w:spacing w:val="-13"/>
              </w:rPr>
              <w:t>项目</w:t>
            </w:r>
            <w:r>
              <w:t xml:space="preserve"> </w:t>
            </w:r>
            <w:r>
              <w:rPr>
                <w:spacing w:val="-7"/>
              </w:rPr>
              <w:t>分类</w:t>
            </w:r>
          </w:p>
        </w:tc>
        <w:tc>
          <w:tcPr>
            <w:tcW w:w="1973" w:type="dxa"/>
            <w:tcBorders>
              <w:top w:val="single" w:color="000000" w:sz="6" w:space="0"/>
            </w:tcBorders>
            <w:vAlign w:val="top"/>
          </w:tcPr>
          <w:p w14:paraId="536A13E0">
            <w:pPr>
              <w:spacing w:line="271" w:lineRule="auto"/>
              <w:rPr>
                <w:rFonts w:ascii="Arial"/>
                <w:sz w:val="21"/>
              </w:rPr>
            </w:pPr>
          </w:p>
          <w:p w14:paraId="0F039C59">
            <w:pPr>
              <w:pStyle w:val="6"/>
              <w:spacing w:before="78" w:line="220" w:lineRule="auto"/>
              <w:ind w:left="418"/>
            </w:pPr>
            <w:r>
              <w:rPr>
                <w:spacing w:val="-10"/>
              </w:rPr>
              <w:t>污染物名称</w:t>
            </w:r>
          </w:p>
        </w:tc>
        <w:tc>
          <w:tcPr>
            <w:tcW w:w="1540" w:type="dxa"/>
            <w:tcBorders>
              <w:top w:val="single" w:color="000000" w:sz="6" w:space="0"/>
            </w:tcBorders>
            <w:vAlign w:val="top"/>
          </w:tcPr>
          <w:p w14:paraId="72979501">
            <w:pPr>
              <w:pStyle w:val="6"/>
              <w:spacing w:before="41" w:line="220" w:lineRule="auto"/>
              <w:ind w:left="92"/>
            </w:pPr>
            <w:r>
              <w:rPr>
                <w:spacing w:val="-10"/>
              </w:rPr>
              <w:t>现有工程排放</w:t>
            </w:r>
          </w:p>
          <w:p w14:paraId="72309FBC">
            <w:pPr>
              <w:pStyle w:val="6"/>
              <w:spacing w:before="23" w:line="219" w:lineRule="auto"/>
              <w:ind w:right="4"/>
              <w:jc w:val="right"/>
            </w:pPr>
            <w:r>
              <w:rPr>
                <w:spacing w:val="-27"/>
              </w:rPr>
              <w:t>量（固体废物</w:t>
            </w:r>
            <w:r>
              <w:rPr>
                <w:spacing w:val="-20"/>
              </w:rPr>
              <w:t>产</w:t>
            </w:r>
          </w:p>
          <w:p w14:paraId="749DA48D">
            <w:pPr>
              <w:pStyle w:val="6"/>
              <w:spacing w:before="26" w:line="207" w:lineRule="auto"/>
              <w:ind w:left="313"/>
            </w:pPr>
            <w:r>
              <w:rPr>
                <w:spacing w:val="-10"/>
              </w:rPr>
              <w:t>生量）①</w:t>
            </w:r>
          </w:p>
        </w:tc>
        <w:tc>
          <w:tcPr>
            <w:tcW w:w="1275" w:type="dxa"/>
            <w:tcBorders>
              <w:top w:val="single" w:color="000000" w:sz="6" w:space="0"/>
            </w:tcBorders>
            <w:vAlign w:val="top"/>
          </w:tcPr>
          <w:p w14:paraId="3E7F52A2">
            <w:pPr>
              <w:pStyle w:val="6"/>
              <w:spacing w:before="41" w:line="239" w:lineRule="auto"/>
              <w:ind w:left="188" w:right="55" w:hanging="115"/>
            </w:pPr>
            <w:r>
              <w:rPr>
                <w:spacing w:val="-12"/>
              </w:rPr>
              <w:t>现有工程许</w:t>
            </w:r>
            <w:r>
              <w:t xml:space="preserve"> </w:t>
            </w:r>
            <w:r>
              <w:rPr>
                <w:spacing w:val="-9"/>
              </w:rPr>
              <w:t>可排放量</w:t>
            </w:r>
          </w:p>
          <w:p w14:paraId="6F7D5692">
            <w:pPr>
              <w:pStyle w:val="6"/>
              <w:spacing w:line="206" w:lineRule="auto"/>
              <w:ind w:left="523"/>
            </w:pPr>
            <w:r>
              <w:t>②</w:t>
            </w:r>
          </w:p>
        </w:tc>
        <w:tc>
          <w:tcPr>
            <w:tcW w:w="1699" w:type="dxa"/>
            <w:tcBorders>
              <w:top w:val="single" w:color="000000" w:sz="6" w:space="0"/>
            </w:tcBorders>
            <w:vAlign w:val="top"/>
          </w:tcPr>
          <w:p w14:paraId="1F9F463C">
            <w:pPr>
              <w:pStyle w:val="6"/>
              <w:spacing w:before="41" w:line="220" w:lineRule="auto"/>
              <w:ind w:left="56"/>
            </w:pPr>
            <w:r>
              <w:rPr>
                <w:spacing w:val="-10"/>
              </w:rPr>
              <w:t>在建工程排放量</w:t>
            </w:r>
          </w:p>
          <w:p w14:paraId="398DAFDB">
            <w:pPr>
              <w:pStyle w:val="6"/>
              <w:spacing w:before="23" w:line="219" w:lineRule="auto"/>
              <w:ind w:left="68"/>
            </w:pPr>
            <w:r>
              <w:rPr>
                <w:spacing w:val="-12"/>
              </w:rPr>
              <w:t>（固体废物产生</w:t>
            </w:r>
          </w:p>
          <w:p w14:paraId="74754AA2">
            <w:pPr>
              <w:pStyle w:val="6"/>
              <w:spacing w:before="26" w:line="207" w:lineRule="auto"/>
              <w:ind w:left="508"/>
            </w:pPr>
            <w:r>
              <w:rPr>
                <w:spacing w:val="-9"/>
              </w:rPr>
              <w:t>量）③</w:t>
            </w:r>
          </w:p>
        </w:tc>
        <w:tc>
          <w:tcPr>
            <w:tcW w:w="1557" w:type="dxa"/>
            <w:tcBorders>
              <w:top w:val="single" w:color="000000" w:sz="6" w:space="0"/>
            </w:tcBorders>
            <w:vAlign w:val="top"/>
          </w:tcPr>
          <w:p w14:paraId="1312BA94">
            <w:pPr>
              <w:pStyle w:val="6"/>
              <w:spacing w:before="41" w:line="219" w:lineRule="auto"/>
              <w:ind w:left="103"/>
            </w:pPr>
            <w:r>
              <w:rPr>
                <w:spacing w:val="-10"/>
              </w:rPr>
              <w:t>本项目排放量</w:t>
            </w:r>
          </w:p>
          <w:p w14:paraId="32555046">
            <w:pPr>
              <w:pStyle w:val="6"/>
              <w:spacing w:before="26" w:line="223" w:lineRule="auto"/>
              <w:ind w:left="327" w:right="78" w:hanging="213"/>
            </w:pPr>
            <w:r>
              <w:rPr>
                <w:spacing w:val="-14"/>
              </w:rPr>
              <w:t>（固体废物产</w:t>
            </w:r>
            <w:r>
              <w:rPr>
                <w:spacing w:val="2"/>
              </w:rPr>
              <w:t xml:space="preserve"> </w:t>
            </w:r>
            <w:r>
              <w:rPr>
                <w:spacing w:val="-10"/>
              </w:rPr>
              <w:t>生量）④</w:t>
            </w:r>
          </w:p>
        </w:tc>
        <w:tc>
          <w:tcPr>
            <w:tcW w:w="1414" w:type="dxa"/>
            <w:tcBorders>
              <w:top w:val="single" w:color="000000" w:sz="6" w:space="0"/>
            </w:tcBorders>
            <w:vAlign w:val="top"/>
          </w:tcPr>
          <w:p w14:paraId="1024F5E5">
            <w:pPr>
              <w:pStyle w:val="6"/>
              <w:spacing w:before="41" w:line="239" w:lineRule="auto"/>
              <w:ind w:left="38" w:firstLine="81"/>
            </w:pPr>
            <w:r>
              <w:rPr>
                <w:spacing w:val="-28"/>
                <w:w w:val="97"/>
              </w:rPr>
              <w:t>以新带老削减</w:t>
            </w:r>
            <w:r>
              <w:rPr>
                <w:spacing w:val="1"/>
              </w:rPr>
              <w:t xml:space="preserve"> </w:t>
            </w:r>
            <w:r>
              <w:rPr>
                <w:spacing w:val="-41"/>
                <w:w w:val="96"/>
              </w:rPr>
              <w:t>量（新建项</w:t>
            </w:r>
            <w:r>
              <w:rPr>
                <w:spacing w:val="-40"/>
                <w:w w:val="96"/>
              </w:rPr>
              <w:t>目</w:t>
            </w:r>
            <w:r>
              <w:rPr>
                <w:spacing w:val="-14"/>
                <w:w w:val="96"/>
              </w:rPr>
              <w:t>不</w:t>
            </w:r>
          </w:p>
          <w:p w14:paraId="2511D514">
            <w:pPr>
              <w:pStyle w:val="6"/>
              <w:spacing w:line="206" w:lineRule="auto"/>
              <w:ind w:left="390"/>
            </w:pPr>
            <w:r>
              <w:rPr>
                <w:spacing w:val="-23"/>
              </w:rPr>
              <w:t>填）⑤</w:t>
            </w:r>
          </w:p>
        </w:tc>
        <w:tc>
          <w:tcPr>
            <w:tcW w:w="1636" w:type="dxa"/>
            <w:tcBorders>
              <w:top w:val="single" w:color="000000" w:sz="6" w:space="0"/>
            </w:tcBorders>
            <w:vAlign w:val="top"/>
          </w:tcPr>
          <w:p w14:paraId="38D36166">
            <w:pPr>
              <w:pStyle w:val="6"/>
              <w:spacing w:before="41" w:line="219" w:lineRule="auto"/>
              <w:ind w:left="103"/>
            </w:pPr>
            <w:r>
              <w:rPr>
                <w:spacing w:val="-25"/>
              </w:rPr>
              <w:t>本项目建成后全</w:t>
            </w:r>
          </w:p>
          <w:p w14:paraId="20707733">
            <w:pPr>
              <w:pStyle w:val="6"/>
              <w:spacing w:before="25" w:line="220" w:lineRule="auto"/>
              <w:jc w:val="right"/>
            </w:pPr>
            <w:r>
              <w:rPr>
                <w:spacing w:val="-29"/>
                <w:w w:val="94"/>
              </w:rPr>
              <w:t>厂排放量（固体</w:t>
            </w:r>
            <w:r>
              <w:rPr>
                <w:spacing w:val="-13"/>
                <w:w w:val="94"/>
              </w:rPr>
              <w:t>废</w:t>
            </w:r>
          </w:p>
          <w:p w14:paraId="25EDB1D5">
            <w:pPr>
              <w:pStyle w:val="6"/>
              <w:spacing w:before="25" w:line="207" w:lineRule="auto"/>
              <w:ind w:left="189"/>
            </w:pPr>
            <w:r>
              <w:rPr>
                <w:spacing w:val="-27"/>
              </w:rPr>
              <w:t>物产生量）⑥</w:t>
            </w:r>
          </w:p>
        </w:tc>
        <w:tc>
          <w:tcPr>
            <w:tcW w:w="1501" w:type="dxa"/>
            <w:tcBorders>
              <w:top w:val="single" w:color="000000" w:sz="6" w:space="0"/>
              <w:right w:val="single" w:color="000000" w:sz="6" w:space="0"/>
            </w:tcBorders>
            <w:vAlign w:val="top"/>
          </w:tcPr>
          <w:p w14:paraId="73D5B98B">
            <w:pPr>
              <w:pStyle w:val="6"/>
              <w:spacing w:before="195" w:line="241" w:lineRule="auto"/>
              <w:ind w:left="636" w:right="388" w:hanging="221"/>
            </w:pPr>
            <w:r>
              <w:rPr>
                <w:spacing w:val="-12"/>
              </w:rPr>
              <w:t>变化量</w:t>
            </w:r>
            <w:r>
              <w:rPr>
                <w:spacing w:val="1"/>
              </w:rPr>
              <w:t xml:space="preserve"> </w:t>
            </w:r>
            <w:r>
              <w:t>⑦</w:t>
            </w:r>
          </w:p>
        </w:tc>
      </w:tr>
      <w:tr w14:paraId="3F3F3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restart"/>
            <w:tcBorders>
              <w:left w:val="single" w:color="000000" w:sz="6" w:space="0"/>
              <w:bottom w:val="nil"/>
            </w:tcBorders>
            <w:vAlign w:val="top"/>
          </w:tcPr>
          <w:p w14:paraId="26FB018B">
            <w:pPr>
              <w:spacing w:line="270" w:lineRule="auto"/>
              <w:rPr>
                <w:rFonts w:ascii="Arial"/>
                <w:sz w:val="21"/>
              </w:rPr>
            </w:pPr>
          </w:p>
          <w:p w14:paraId="6FF75F45">
            <w:pPr>
              <w:spacing w:line="270" w:lineRule="auto"/>
              <w:rPr>
                <w:rFonts w:ascii="Arial"/>
                <w:sz w:val="21"/>
              </w:rPr>
            </w:pPr>
          </w:p>
          <w:p w14:paraId="50979C14">
            <w:pPr>
              <w:spacing w:line="270" w:lineRule="auto"/>
              <w:rPr>
                <w:rFonts w:ascii="Arial"/>
                <w:sz w:val="21"/>
              </w:rPr>
            </w:pPr>
          </w:p>
          <w:p w14:paraId="0BB4C13E">
            <w:pPr>
              <w:spacing w:line="270" w:lineRule="auto"/>
              <w:rPr>
                <w:rFonts w:ascii="Arial"/>
                <w:sz w:val="21"/>
              </w:rPr>
            </w:pPr>
          </w:p>
          <w:p w14:paraId="2D60B7EA">
            <w:pPr>
              <w:spacing w:line="270" w:lineRule="auto"/>
              <w:rPr>
                <w:rFonts w:ascii="Arial"/>
                <w:sz w:val="21"/>
              </w:rPr>
            </w:pPr>
          </w:p>
          <w:p w14:paraId="2972ED27">
            <w:pPr>
              <w:spacing w:line="271" w:lineRule="auto"/>
              <w:rPr>
                <w:rFonts w:ascii="Arial"/>
                <w:sz w:val="21"/>
              </w:rPr>
            </w:pPr>
          </w:p>
          <w:p w14:paraId="177F3F6A">
            <w:pPr>
              <w:spacing w:line="271" w:lineRule="auto"/>
              <w:rPr>
                <w:rFonts w:ascii="Arial"/>
                <w:sz w:val="21"/>
              </w:rPr>
            </w:pPr>
          </w:p>
          <w:p w14:paraId="00457285">
            <w:pPr>
              <w:pStyle w:val="6"/>
              <w:spacing w:before="78" w:line="220" w:lineRule="auto"/>
              <w:ind w:left="357"/>
            </w:pPr>
            <w:r>
              <w:rPr>
                <w:spacing w:val="-5"/>
              </w:rPr>
              <w:t>废气</w:t>
            </w:r>
          </w:p>
        </w:tc>
        <w:tc>
          <w:tcPr>
            <w:tcW w:w="1973" w:type="dxa"/>
            <w:vAlign w:val="top"/>
          </w:tcPr>
          <w:p w14:paraId="73E299FB">
            <w:pPr>
              <w:pStyle w:val="6"/>
              <w:spacing w:before="109" w:line="220" w:lineRule="auto"/>
              <w:ind w:left="391"/>
            </w:pPr>
            <w:r>
              <w:rPr>
                <w:spacing w:val="-3"/>
              </w:rPr>
              <w:t>非甲烷总烃</w:t>
            </w:r>
          </w:p>
        </w:tc>
        <w:tc>
          <w:tcPr>
            <w:tcW w:w="1540" w:type="dxa"/>
            <w:vAlign w:val="top"/>
          </w:tcPr>
          <w:p w14:paraId="40E5ED5B">
            <w:pPr>
              <w:spacing w:before="151" w:line="188" w:lineRule="auto"/>
              <w:ind w:left="71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75" w:type="dxa"/>
            <w:vAlign w:val="top"/>
          </w:tcPr>
          <w:p w14:paraId="25EDE5A7">
            <w:pPr>
              <w:rPr>
                <w:rFonts w:ascii="Arial"/>
                <w:sz w:val="21"/>
              </w:rPr>
            </w:pPr>
          </w:p>
        </w:tc>
        <w:tc>
          <w:tcPr>
            <w:tcW w:w="1699" w:type="dxa"/>
            <w:vAlign w:val="top"/>
          </w:tcPr>
          <w:p w14:paraId="3D82D399">
            <w:pPr>
              <w:rPr>
                <w:rFonts w:ascii="Arial"/>
                <w:sz w:val="21"/>
              </w:rPr>
            </w:pPr>
          </w:p>
        </w:tc>
        <w:tc>
          <w:tcPr>
            <w:tcW w:w="1557" w:type="dxa"/>
            <w:vAlign w:val="top"/>
          </w:tcPr>
          <w:p w14:paraId="2B8CA60F">
            <w:pPr>
              <w:spacing w:before="151" w:line="188"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5.081</w:t>
            </w:r>
          </w:p>
        </w:tc>
        <w:tc>
          <w:tcPr>
            <w:tcW w:w="1414" w:type="dxa"/>
            <w:vAlign w:val="top"/>
          </w:tcPr>
          <w:p w14:paraId="20161C53">
            <w:pPr>
              <w:spacing w:before="151"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1C340174">
            <w:pPr>
              <w:spacing w:before="151" w:line="188" w:lineRule="auto"/>
              <w:ind w:left="56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5.081</w:t>
            </w:r>
          </w:p>
        </w:tc>
        <w:tc>
          <w:tcPr>
            <w:tcW w:w="1501" w:type="dxa"/>
            <w:tcBorders>
              <w:right w:val="single" w:color="000000" w:sz="6" w:space="0"/>
            </w:tcBorders>
            <w:vAlign w:val="top"/>
          </w:tcPr>
          <w:p w14:paraId="46AF8011">
            <w:pPr>
              <w:spacing w:before="151" w:line="188" w:lineRule="auto"/>
              <w:ind w:left="41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+5.081</w:t>
            </w:r>
          </w:p>
        </w:tc>
      </w:tr>
      <w:tr w14:paraId="733B5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197" w:type="dxa"/>
            <w:vMerge w:val="continue"/>
            <w:tcBorders>
              <w:top w:val="nil"/>
              <w:left w:val="single" w:color="000000" w:sz="6" w:space="0"/>
              <w:bottom w:val="nil"/>
            </w:tcBorders>
            <w:vAlign w:val="top"/>
          </w:tcPr>
          <w:p w14:paraId="09770C01">
            <w:pPr>
              <w:rPr>
                <w:rFonts w:ascii="Arial"/>
                <w:sz w:val="21"/>
              </w:rPr>
            </w:pPr>
          </w:p>
        </w:tc>
        <w:tc>
          <w:tcPr>
            <w:tcW w:w="1973" w:type="dxa"/>
            <w:vAlign w:val="top"/>
          </w:tcPr>
          <w:p w14:paraId="2E31EB9E">
            <w:pPr>
              <w:pStyle w:val="6"/>
              <w:spacing w:before="98" w:line="220" w:lineRule="auto"/>
              <w:ind w:left="572"/>
            </w:pPr>
            <w:r>
              <w:rPr>
                <w:spacing w:val="-3"/>
              </w:rPr>
              <w:t>颗粒物</w:t>
            </w:r>
          </w:p>
        </w:tc>
        <w:tc>
          <w:tcPr>
            <w:tcW w:w="1540" w:type="dxa"/>
            <w:vAlign w:val="top"/>
          </w:tcPr>
          <w:p w14:paraId="2026C4D8">
            <w:pPr>
              <w:spacing w:before="190" w:line="188" w:lineRule="auto"/>
              <w:ind w:left="71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75" w:type="dxa"/>
            <w:vAlign w:val="top"/>
          </w:tcPr>
          <w:p w14:paraId="1D932E51">
            <w:pPr>
              <w:rPr>
                <w:rFonts w:ascii="Arial"/>
                <w:sz w:val="21"/>
              </w:rPr>
            </w:pPr>
          </w:p>
        </w:tc>
        <w:tc>
          <w:tcPr>
            <w:tcW w:w="1699" w:type="dxa"/>
            <w:vAlign w:val="top"/>
          </w:tcPr>
          <w:p w14:paraId="7B9D6EE7">
            <w:pPr>
              <w:rPr>
                <w:rFonts w:ascii="Arial"/>
                <w:sz w:val="21"/>
              </w:rPr>
            </w:pPr>
          </w:p>
        </w:tc>
        <w:tc>
          <w:tcPr>
            <w:tcW w:w="1557" w:type="dxa"/>
            <w:vAlign w:val="top"/>
          </w:tcPr>
          <w:p w14:paraId="343A7F84">
            <w:pPr>
              <w:spacing w:before="190" w:line="188" w:lineRule="auto"/>
              <w:ind w:left="45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0.0009</w:t>
            </w:r>
          </w:p>
        </w:tc>
        <w:tc>
          <w:tcPr>
            <w:tcW w:w="1414" w:type="dxa"/>
            <w:vAlign w:val="top"/>
          </w:tcPr>
          <w:p w14:paraId="063BF809">
            <w:pPr>
              <w:spacing w:before="190"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2FD30C3C">
            <w:pPr>
              <w:spacing w:before="190" w:line="188" w:lineRule="auto"/>
              <w:ind w:left="4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0.0009</w:t>
            </w:r>
          </w:p>
        </w:tc>
        <w:tc>
          <w:tcPr>
            <w:tcW w:w="1501" w:type="dxa"/>
            <w:tcBorders>
              <w:right w:val="single" w:color="000000" w:sz="6" w:space="0"/>
            </w:tcBorders>
            <w:vAlign w:val="top"/>
          </w:tcPr>
          <w:p w14:paraId="58EFADE9">
            <w:pPr>
              <w:spacing w:before="190" w:line="188" w:lineRule="auto"/>
              <w:ind w:left="35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+0.0009</w:t>
            </w:r>
          </w:p>
        </w:tc>
      </w:tr>
      <w:tr w14:paraId="4228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197" w:type="dxa"/>
            <w:vMerge w:val="continue"/>
            <w:tcBorders>
              <w:top w:val="nil"/>
              <w:left w:val="single" w:color="000000" w:sz="6" w:space="0"/>
              <w:bottom w:val="nil"/>
            </w:tcBorders>
            <w:vAlign w:val="top"/>
          </w:tcPr>
          <w:p w14:paraId="2EB580C9">
            <w:pPr>
              <w:rPr>
                <w:rFonts w:ascii="Arial"/>
                <w:sz w:val="21"/>
              </w:rPr>
            </w:pPr>
          </w:p>
        </w:tc>
        <w:tc>
          <w:tcPr>
            <w:tcW w:w="1973" w:type="dxa"/>
            <w:vAlign w:val="top"/>
          </w:tcPr>
          <w:p w14:paraId="695ACBF9">
            <w:pPr>
              <w:spacing w:before="121" w:line="197" w:lineRule="auto"/>
              <w:ind w:left="746"/>
              <w:rPr>
                <w:rFonts w:ascii="Times New Roman" w:hAnsi="Times New Roman" w:eastAsia="Times New Roman" w:cs="Times New Roman"/>
                <w:sz w:val="15"/>
                <w:szCs w:val="15"/>
              </w:rPr>
            </w:pPr>
            <w:r>
              <w:rPr>
                <w:rFonts w:ascii="Times New Roman" w:hAnsi="Times New Roman" w:eastAsia="Times New Roman" w:cs="Times New Roman"/>
                <w:spacing w:val="-5"/>
                <w:sz w:val="24"/>
                <w:szCs w:val="24"/>
              </w:rPr>
              <w:t>SO</w:t>
            </w:r>
            <w:r>
              <w:rPr>
                <w:rFonts w:ascii="Times New Roman" w:hAnsi="Times New Roman" w:eastAsia="Times New Roman" w:cs="Times New Roman"/>
                <w:spacing w:val="-5"/>
                <w:position w:val="-1"/>
                <w:sz w:val="15"/>
                <w:szCs w:val="15"/>
              </w:rPr>
              <w:t>2</w:t>
            </w:r>
          </w:p>
        </w:tc>
        <w:tc>
          <w:tcPr>
            <w:tcW w:w="1540" w:type="dxa"/>
            <w:vAlign w:val="top"/>
          </w:tcPr>
          <w:p w14:paraId="0D17D10D">
            <w:pPr>
              <w:spacing w:before="173" w:line="188" w:lineRule="auto"/>
              <w:ind w:left="71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75" w:type="dxa"/>
            <w:vAlign w:val="top"/>
          </w:tcPr>
          <w:p w14:paraId="7DB6EA9B">
            <w:pPr>
              <w:rPr>
                <w:rFonts w:ascii="Arial"/>
                <w:sz w:val="21"/>
              </w:rPr>
            </w:pPr>
          </w:p>
        </w:tc>
        <w:tc>
          <w:tcPr>
            <w:tcW w:w="1699" w:type="dxa"/>
            <w:vAlign w:val="top"/>
          </w:tcPr>
          <w:p w14:paraId="54F3FE76">
            <w:pPr>
              <w:rPr>
                <w:rFonts w:ascii="Arial"/>
                <w:sz w:val="21"/>
              </w:rPr>
            </w:pPr>
          </w:p>
        </w:tc>
        <w:tc>
          <w:tcPr>
            <w:tcW w:w="1557" w:type="dxa"/>
            <w:vAlign w:val="top"/>
          </w:tcPr>
          <w:p w14:paraId="3ED0D8CA">
            <w:pPr>
              <w:spacing w:before="173" w:line="188" w:lineRule="auto"/>
              <w:ind w:left="45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0.0028</w:t>
            </w:r>
          </w:p>
        </w:tc>
        <w:tc>
          <w:tcPr>
            <w:tcW w:w="1414" w:type="dxa"/>
            <w:vAlign w:val="top"/>
          </w:tcPr>
          <w:p w14:paraId="7039595A">
            <w:pPr>
              <w:spacing w:before="173"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59AE0D5F">
            <w:pPr>
              <w:spacing w:before="173" w:line="188" w:lineRule="auto"/>
              <w:ind w:left="4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0.0028</w:t>
            </w:r>
          </w:p>
        </w:tc>
        <w:tc>
          <w:tcPr>
            <w:tcW w:w="1501" w:type="dxa"/>
            <w:tcBorders>
              <w:right w:val="single" w:color="000000" w:sz="6" w:space="0"/>
            </w:tcBorders>
            <w:vAlign w:val="top"/>
          </w:tcPr>
          <w:p w14:paraId="1DE81812">
            <w:pPr>
              <w:spacing w:before="173" w:line="188" w:lineRule="auto"/>
              <w:ind w:left="35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+0.0028</w:t>
            </w:r>
          </w:p>
        </w:tc>
      </w:tr>
      <w:tr w14:paraId="6030C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197" w:type="dxa"/>
            <w:vMerge w:val="continue"/>
            <w:tcBorders>
              <w:top w:val="nil"/>
              <w:left w:val="single" w:color="000000" w:sz="6" w:space="0"/>
              <w:bottom w:val="nil"/>
            </w:tcBorders>
            <w:vAlign w:val="top"/>
          </w:tcPr>
          <w:p w14:paraId="40B4F74C">
            <w:pPr>
              <w:rPr>
                <w:rFonts w:ascii="Arial"/>
                <w:sz w:val="21"/>
              </w:rPr>
            </w:pPr>
          </w:p>
        </w:tc>
        <w:tc>
          <w:tcPr>
            <w:tcW w:w="1973" w:type="dxa"/>
            <w:vAlign w:val="top"/>
          </w:tcPr>
          <w:p w14:paraId="4CC4A87D">
            <w:pPr>
              <w:spacing w:before="123" w:line="197" w:lineRule="auto"/>
              <w:ind w:left="690"/>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X</w:t>
            </w:r>
          </w:p>
        </w:tc>
        <w:tc>
          <w:tcPr>
            <w:tcW w:w="1540" w:type="dxa"/>
            <w:vAlign w:val="top"/>
          </w:tcPr>
          <w:p w14:paraId="6823C72C">
            <w:pPr>
              <w:spacing w:before="172" w:line="188" w:lineRule="auto"/>
              <w:ind w:left="71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75" w:type="dxa"/>
            <w:vAlign w:val="top"/>
          </w:tcPr>
          <w:p w14:paraId="3F010994">
            <w:pPr>
              <w:rPr>
                <w:rFonts w:ascii="Arial"/>
                <w:sz w:val="21"/>
              </w:rPr>
            </w:pPr>
          </w:p>
        </w:tc>
        <w:tc>
          <w:tcPr>
            <w:tcW w:w="1699" w:type="dxa"/>
            <w:vAlign w:val="top"/>
          </w:tcPr>
          <w:p w14:paraId="78E224FC">
            <w:pPr>
              <w:rPr>
                <w:rFonts w:ascii="Arial"/>
                <w:sz w:val="21"/>
              </w:rPr>
            </w:pPr>
          </w:p>
        </w:tc>
        <w:tc>
          <w:tcPr>
            <w:tcW w:w="1557" w:type="dxa"/>
            <w:vAlign w:val="top"/>
          </w:tcPr>
          <w:p w14:paraId="59339386">
            <w:pPr>
              <w:spacing w:before="172" w:line="188" w:lineRule="auto"/>
              <w:ind w:left="45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0.0239</w:t>
            </w:r>
          </w:p>
        </w:tc>
        <w:tc>
          <w:tcPr>
            <w:tcW w:w="1414" w:type="dxa"/>
            <w:vAlign w:val="top"/>
          </w:tcPr>
          <w:p w14:paraId="7AEF3C7B">
            <w:pPr>
              <w:spacing w:before="172"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2DFBE599">
            <w:pPr>
              <w:spacing w:before="172" w:line="188" w:lineRule="auto"/>
              <w:ind w:left="4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0.0239</w:t>
            </w:r>
          </w:p>
        </w:tc>
        <w:tc>
          <w:tcPr>
            <w:tcW w:w="1501" w:type="dxa"/>
            <w:tcBorders>
              <w:right w:val="single" w:color="000000" w:sz="6" w:space="0"/>
            </w:tcBorders>
            <w:vAlign w:val="top"/>
          </w:tcPr>
          <w:p w14:paraId="2768FDF1">
            <w:pPr>
              <w:spacing w:before="172" w:line="188" w:lineRule="auto"/>
              <w:ind w:left="35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+0.0239</w:t>
            </w:r>
          </w:p>
        </w:tc>
      </w:tr>
      <w:tr w14:paraId="2C3D6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0567A096">
            <w:pPr>
              <w:rPr>
                <w:rFonts w:ascii="Arial"/>
                <w:sz w:val="21"/>
              </w:rPr>
            </w:pPr>
          </w:p>
        </w:tc>
        <w:tc>
          <w:tcPr>
            <w:tcW w:w="1973" w:type="dxa"/>
            <w:vAlign w:val="top"/>
          </w:tcPr>
          <w:p w14:paraId="42F02623">
            <w:pPr>
              <w:pStyle w:val="6"/>
              <w:spacing w:before="112" w:line="221" w:lineRule="auto"/>
              <w:ind w:left="631"/>
            </w:pPr>
            <w:r>
              <w:rPr>
                <w:spacing w:val="-5"/>
              </w:rPr>
              <w:t>氯化氢</w:t>
            </w:r>
          </w:p>
        </w:tc>
        <w:tc>
          <w:tcPr>
            <w:tcW w:w="1540" w:type="dxa"/>
            <w:vAlign w:val="top"/>
          </w:tcPr>
          <w:p w14:paraId="1DF48347">
            <w:pPr>
              <w:spacing w:before="154" w:line="188"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0.135</w:t>
            </w:r>
          </w:p>
        </w:tc>
        <w:tc>
          <w:tcPr>
            <w:tcW w:w="1275" w:type="dxa"/>
            <w:vAlign w:val="top"/>
          </w:tcPr>
          <w:p w14:paraId="3ADE25B2">
            <w:pPr>
              <w:rPr>
                <w:rFonts w:ascii="Arial"/>
                <w:sz w:val="21"/>
              </w:rPr>
            </w:pPr>
          </w:p>
        </w:tc>
        <w:tc>
          <w:tcPr>
            <w:tcW w:w="1699" w:type="dxa"/>
            <w:vAlign w:val="top"/>
          </w:tcPr>
          <w:p w14:paraId="37227080">
            <w:pPr>
              <w:rPr>
                <w:rFonts w:ascii="Arial"/>
                <w:sz w:val="21"/>
              </w:rPr>
            </w:pPr>
          </w:p>
        </w:tc>
        <w:tc>
          <w:tcPr>
            <w:tcW w:w="1557" w:type="dxa"/>
            <w:vAlign w:val="top"/>
          </w:tcPr>
          <w:p w14:paraId="5C460F74">
            <w:pPr>
              <w:spacing w:before="154" w:line="188" w:lineRule="auto"/>
              <w:ind w:left="45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27.438</w:t>
            </w:r>
          </w:p>
        </w:tc>
        <w:tc>
          <w:tcPr>
            <w:tcW w:w="1414" w:type="dxa"/>
            <w:vAlign w:val="top"/>
          </w:tcPr>
          <w:p w14:paraId="7A11DE78">
            <w:pPr>
              <w:spacing w:before="154" w:line="188"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0.03375</w:t>
            </w:r>
          </w:p>
        </w:tc>
        <w:tc>
          <w:tcPr>
            <w:tcW w:w="1636" w:type="dxa"/>
            <w:vAlign w:val="top"/>
          </w:tcPr>
          <w:p w14:paraId="33E9A4F4">
            <w:pPr>
              <w:spacing w:before="154" w:line="188" w:lineRule="auto"/>
              <w:ind w:left="3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27.53925</w:t>
            </w:r>
          </w:p>
        </w:tc>
        <w:tc>
          <w:tcPr>
            <w:tcW w:w="1501" w:type="dxa"/>
            <w:tcBorders>
              <w:right w:val="single" w:color="000000" w:sz="6" w:space="0"/>
            </w:tcBorders>
            <w:vAlign w:val="top"/>
          </w:tcPr>
          <w:p w14:paraId="448A51AA">
            <w:pPr>
              <w:spacing w:before="154"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+27.40425</w:t>
            </w:r>
          </w:p>
        </w:tc>
      </w:tr>
      <w:tr w14:paraId="20CB8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97" w:type="dxa"/>
            <w:vMerge w:val="continue"/>
            <w:tcBorders>
              <w:top w:val="nil"/>
              <w:left w:val="single" w:color="000000" w:sz="6" w:space="0"/>
              <w:bottom w:val="nil"/>
            </w:tcBorders>
            <w:vAlign w:val="top"/>
          </w:tcPr>
          <w:p w14:paraId="2DBE5EED">
            <w:pPr>
              <w:rPr>
                <w:rFonts w:ascii="Arial"/>
                <w:sz w:val="21"/>
              </w:rPr>
            </w:pPr>
          </w:p>
        </w:tc>
        <w:tc>
          <w:tcPr>
            <w:tcW w:w="1973" w:type="dxa"/>
            <w:vAlign w:val="top"/>
          </w:tcPr>
          <w:p w14:paraId="117A0F7B">
            <w:pPr>
              <w:pStyle w:val="6"/>
              <w:spacing w:before="43" w:line="219" w:lineRule="auto"/>
              <w:ind w:left="149"/>
            </w:pPr>
            <w:r>
              <w:rPr>
                <w:spacing w:val="-2"/>
              </w:rPr>
              <w:t>氟化氢（以氟化</w:t>
            </w:r>
          </w:p>
          <w:p w14:paraId="214C4C5D">
            <w:pPr>
              <w:pStyle w:val="6"/>
              <w:spacing w:before="24" w:line="202" w:lineRule="auto"/>
              <w:ind w:left="628"/>
            </w:pPr>
            <w:r>
              <w:rPr>
                <w:spacing w:val="-4"/>
              </w:rPr>
              <w:t>物计）</w:t>
            </w:r>
          </w:p>
        </w:tc>
        <w:tc>
          <w:tcPr>
            <w:tcW w:w="1540" w:type="dxa"/>
            <w:vAlign w:val="top"/>
          </w:tcPr>
          <w:p w14:paraId="71DCCFD7">
            <w:pPr>
              <w:spacing w:before="238" w:line="188"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0.045</w:t>
            </w:r>
          </w:p>
        </w:tc>
        <w:tc>
          <w:tcPr>
            <w:tcW w:w="1275" w:type="dxa"/>
            <w:vAlign w:val="top"/>
          </w:tcPr>
          <w:p w14:paraId="07B01AF3">
            <w:pPr>
              <w:rPr>
                <w:rFonts w:ascii="Arial"/>
                <w:sz w:val="21"/>
              </w:rPr>
            </w:pPr>
          </w:p>
        </w:tc>
        <w:tc>
          <w:tcPr>
            <w:tcW w:w="1699" w:type="dxa"/>
            <w:vAlign w:val="top"/>
          </w:tcPr>
          <w:p w14:paraId="608143A6">
            <w:pPr>
              <w:rPr>
                <w:rFonts w:ascii="Arial"/>
                <w:sz w:val="21"/>
              </w:rPr>
            </w:pPr>
          </w:p>
        </w:tc>
        <w:tc>
          <w:tcPr>
            <w:tcW w:w="1557" w:type="dxa"/>
            <w:vAlign w:val="top"/>
          </w:tcPr>
          <w:p w14:paraId="7EE0DB20">
            <w:pPr>
              <w:spacing w:before="238" w:line="188" w:lineRule="auto"/>
              <w:ind w:left="51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4.078</w:t>
            </w:r>
          </w:p>
        </w:tc>
        <w:tc>
          <w:tcPr>
            <w:tcW w:w="1414" w:type="dxa"/>
            <w:vAlign w:val="top"/>
          </w:tcPr>
          <w:p w14:paraId="26725444">
            <w:pPr>
              <w:spacing w:before="238" w:line="188"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0.01125</w:t>
            </w:r>
          </w:p>
        </w:tc>
        <w:tc>
          <w:tcPr>
            <w:tcW w:w="1636" w:type="dxa"/>
            <w:vAlign w:val="top"/>
          </w:tcPr>
          <w:p w14:paraId="360082F1">
            <w:pPr>
              <w:spacing w:before="238" w:line="188" w:lineRule="auto"/>
              <w:ind w:left="43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4.11175</w:t>
            </w:r>
          </w:p>
        </w:tc>
        <w:tc>
          <w:tcPr>
            <w:tcW w:w="1501" w:type="dxa"/>
            <w:tcBorders>
              <w:right w:val="single" w:color="000000" w:sz="6" w:space="0"/>
            </w:tcBorders>
            <w:vAlign w:val="top"/>
          </w:tcPr>
          <w:p w14:paraId="6086B233">
            <w:pPr>
              <w:spacing w:before="238" w:line="188" w:lineRule="auto"/>
              <w:ind w:left="29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+4.06675</w:t>
            </w:r>
          </w:p>
        </w:tc>
      </w:tr>
      <w:tr w14:paraId="0FCAB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530FF956">
            <w:pPr>
              <w:rPr>
                <w:rFonts w:ascii="Arial"/>
                <w:sz w:val="21"/>
              </w:rPr>
            </w:pPr>
          </w:p>
        </w:tc>
        <w:tc>
          <w:tcPr>
            <w:tcW w:w="1973" w:type="dxa"/>
            <w:vAlign w:val="top"/>
          </w:tcPr>
          <w:p w14:paraId="4C9D3573">
            <w:pPr>
              <w:pStyle w:val="6"/>
              <w:spacing w:before="115" w:line="221" w:lineRule="auto"/>
              <w:ind w:left="627"/>
            </w:pPr>
            <w:r>
              <w:rPr>
                <w:spacing w:val="-3"/>
              </w:rPr>
              <w:t>硫酸雾</w:t>
            </w:r>
          </w:p>
        </w:tc>
        <w:tc>
          <w:tcPr>
            <w:tcW w:w="1540" w:type="dxa"/>
            <w:vAlign w:val="top"/>
          </w:tcPr>
          <w:p w14:paraId="0C3EC3B6">
            <w:pPr>
              <w:spacing w:before="157"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0.0009</w:t>
            </w:r>
          </w:p>
        </w:tc>
        <w:tc>
          <w:tcPr>
            <w:tcW w:w="1275" w:type="dxa"/>
            <w:vAlign w:val="top"/>
          </w:tcPr>
          <w:p w14:paraId="63ADC551">
            <w:pPr>
              <w:rPr>
                <w:rFonts w:ascii="Arial"/>
                <w:sz w:val="21"/>
              </w:rPr>
            </w:pPr>
          </w:p>
        </w:tc>
        <w:tc>
          <w:tcPr>
            <w:tcW w:w="1699" w:type="dxa"/>
            <w:vAlign w:val="top"/>
          </w:tcPr>
          <w:p w14:paraId="551607D0">
            <w:pPr>
              <w:rPr>
                <w:rFonts w:ascii="Arial"/>
                <w:sz w:val="21"/>
              </w:rPr>
            </w:pPr>
          </w:p>
        </w:tc>
        <w:tc>
          <w:tcPr>
            <w:tcW w:w="1557" w:type="dxa"/>
            <w:vAlign w:val="top"/>
          </w:tcPr>
          <w:p w14:paraId="544F13CE">
            <w:pPr>
              <w:spacing w:before="157" w:line="188" w:lineRule="auto"/>
              <w:ind w:left="5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0.505</w:t>
            </w:r>
          </w:p>
        </w:tc>
        <w:tc>
          <w:tcPr>
            <w:tcW w:w="1414" w:type="dxa"/>
            <w:vAlign w:val="top"/>
          </w:tcPr>
          <w:p w14:paraId="0113EEDF">
            <w:pPr>
              <w:spacing w:before="157" w:line="188" w:lineRule="auto"/>
              <w:ind w:left="2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0.000225</w:t>
            </w:r>
          </w:p>
        </w:tc>
        <w:tc>
          <w:tcPr>
            <w:tcW w:w="1636" w:type="dxa"/>
            <w:vAlign w:val="top"/>
          </w:tcPr>
          <w:p w14:paraId="3C955DD2">
            <w:pPr>
              <w:spacing w:before="157"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0.505675</w:t>
            </w:r>
          </w:p>
        </w:tc>
        <w:tc>
          <w:tcPr>
            <w:tcW w:w="1501" w:type="dxa"/>
            <w:tcBorders>
              <w:right w:val="single" w:color="000000" w:sz="6" w:space="0"/>
            </w:tcBorders>
            <w:vAlign w:val="top"/>
          </w:tcPr>
          <w:p w14:paraId="168D9F01">
            <w:pPr>
              <w:spacing w:before="157"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+0.504775</w:t>
            </w:r>
          </w:p>
        </w:tc>
      </w:tr>
      <w:tr w14:paraId="283B0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97" w:type="dxa"/>
            <w:vMerge w:val="continue"/>
            <w:tcBorders>
              <w:top w:val="nil"/>
              <w:left w:val="single" w:color="000000" w:sz="6" w:space="0"/>
            </w:tcBorders>
            <w:vAlign w:val="top"/>
          </w:tcPr>
          <w:p w14:paraId="094B39EF">
            <w:pPr>
              <w:rPr>
                <w:rFonts w:ascii="Arial"/>
                <w:sz w:val="21"/>
              </w:rPr>
            </w:pPr>
          </w:p>
        </w:tc>
        <w:tc>
          <w:tcPr>
            <w:tcW w:w="1973" w:type="dxa"/>
            <w:vAlign w:val="top"/>
          </w:tcPr>
          <w:p w14:paraId="019253B0">
            <w:pPr>
              <w:pStyle w:val="6"/>
              <w:spacing w:before="43" w:line="219" w:lineRule="auto"/>
              <w:ind w:left="150"/>
            </w:pPr>
            <w:r>
              <w:rPr>
                <w:spacing w:val="-2"/>
              </w:rPr>
              <w:t>硝酸雾（以氮氧</w:t>
            </w:r>
          </w:p>
          <w:p w14:paraId="3DDED0A9">
            <w:pPr>
              <w:pStyle w:val="6"/>
              <w:spacing w:before="27" w:line="200" w:lineRule="auto"/>
              <w:ind w:left="509"/>
            </w:pPr>
            <w:r>
              <w:rPr>
                <w:spacing w:val="-3"/>
              </w:rPr>
              <w:t>化物计）</w:t>
            </w:r>
          </w:p>
        </w:tc>
        <w:tc>
          <w:tcPr>
            <w:tcW w:w="1540" w:type="dxa"/>
            <w:vAlign w:val="top"/>
          </w:tcPr>
          <w:p w14:paraId="1B19A50B">
            <w:pPr>
              <w:spacing w:before="236"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281F344D">
            <w:pPr>
              <w:rPr>
                <w:rFonts w:ascii="Arial"/>
                <w:sz w:val="21"/>
              </w:rPr>
            </w:pPr>
          </w:p>
        </w:tc>
        <w:tc>
          <w:tcPr>
            <w:tcW w:w="1699" w:type="dxa"/>
            <w:vAlign w:val="top"/>
          </w:tcPr>
          <w:p w14:paraId="78A4FB90">
            <w:pPr>
              <w:rPr>
                <w:rFonts w:ascii="Arial"/>
                <w:sz w:val="21"/>
              </w:rPr>
            </w:pPr>
          </w:p>
        </w:tc>
        <w:tc>
          <w:tcPr>
            <w:tcW w:w="1557" w:type="dxa"/>
            <w:vAlign w:val="top"/>
          </w:tcPr>
          <w:p w14:paraId="07AB3C89">
            <w:pPr>
              <w:spacing w:before="241" w:line="188"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7.79</w:t>
            </w:r>
          </w:p>
        </w:tc>
        <w:tc>
          <w:tcPr>
            <w:tcW w:w="1414" w:type="dxa"/>
            <w:vAlign w:val="top"/>
          </w:tcPr>
          <w:p w14:paraId="3CBA72CC">
            <w:pPr>
              <w:spacing w:before="241" w:line="188" w:lineRule="auto"/>
              <w:ind w:left="50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7.79</w:t>
            </w:r>
          </w:p>
        </w:tc>
        <w:tc>
          <w:tcPr>
            <w:tcW w:w="1636" w:type="dxa"/>
            <w:vAlign w:val="top"/>
          </w:tcPr>
          <w:p w14:paraId="08249617">
            <w:pPr>
              <w:spacing w:before="241" w:line="188" w:lineRule="auto"/>
              <w:ind w:left="61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7.79</w:t>
            </w:r>
          </w:p>
        </w:tc>
        <w:tc>
          <w:tcPr>
            <w:tcW w:w="1501" w:type="dxa"/>
            <w:tcBorders>
              <w:right w:val="single" w:color="000000" w:sz="6" w:space="0"/>
            </w:tcBorders>
            <w:vAlign w:val="top"/>
          </w:tcPr>
          <w:p w14:paraId="27F13879">
            <w:pPr>
              <w:spacing w:before="241" w:line="188" w:lineRule="auto"/>
              <w:ind w:left="47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+7.79</w:t>
            </w:r>
          </w:p>
        </w:tc>
      </w:tr>
      <w:tr w14:paraId="7D78D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restart"/>
            <w:tcBorders>
              <w:left w:val="single" w:color="000000" w:sz="6" w:space="0"/>
              <w:bottom w:val="nil"/>
            </w:tcBorders>
            <w:vAlign w:val="top"/>
          </w:tcPr>
          <w:p w14:paraId="010D737C">
            <w:pPr>
              <w:spacing w:line="244" w:lineRule="auto"/>
              <w:rPr>
                <w:rFonts w:ascii="Arial"/>
                <w:sz w:val="21"/>
              </w:rPr>
            </w:pPr>
          </w:p>
          <w:p w14:paraId="345CE9C7">
            <w:pPr>
              <w:spacing w:line="244" w:lineRule="auto"/>
              <w:rPr>
                <w:rFonts w:ascii="Arial"/>
                <w:sz w:val="21"/>
              </w:rPr>
            </w:pPr>
          </w:p>
          <w:p w14:paraId="63B42A6B">
            <w:pPr>
              <w:spacing w:line="244" w:lineRule="auto"/>
              <w:rPr>
                <w:rFonts w:ascii="Arial"/>
                <w:sz w:val="21"/>
              </w:rPr>
            </w:pPr>
          </w:p>
          <w:p w14:paraId="6CCB6041">
            <w:pPr>
              <w:pStyle w:val="6"/>
              <w:spacing w:before="78" w:line="219" w:lineRule="auto"/>
              <w:ind w:left="357"/>
            </w:pPr>
            <w:r>
              <w:rPr>
                <w:spacing w:val="-5"/>
              </w:rPr>
              <w:t>废水</w:t>
            </w:r>
          </w:p>
        </w:tc>
        <w:tc>
          <w:tcPr>
            <w:tcW w:w="1973" w:type="dxa"/>
            <w:vAlign w:val="top"/>
          </w:tcPr>
          <w:p w14:paraId="5DF6833A">
            <w:pPr>
              <w:pStyle w:val="6"/>
              <w:spacing w:before="118" w:line="219" w:lineRule="auto"/>
              <w:ind w:left="747"/>
            </w:pPr>
            <w:r>
              <w:rPr>
                <w:spacing w:val="-5"/>
              </w:rPr>
              <w:t>废水</w:t>
            </w:r>
          </w:p>
        </w:tc>
        <w:tc>
          <w:tcPr>
            <w:tcW w:w="1540" w:type="dxa"/>
            <w:vAlign w:val="top"/>
          </w:tcPr>
          <w:p w14:paraId="2D90DAAA">
            <w:pPr>
              <w:spacing w:before="160" w:line="188" w:lineRule="auto"/>
              <w:ind w:left="53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7200</w:t>
            </w:r>
          </w:p>
        </w:tc>
        <w:tc>
          <w:tcPr>
            <w:tcW w:w="1275" w:type="dxa"/>
            <w:vAlign w:val="top"/>
          </w:tcPr>
          <w:p w14:paraId="51962A76">
            <w:pPr>
              <w:rPr>
                <w:rFonts w:ascii="Arial"/>
                <w:sz w:val="21"/>
              </w:rPr>
            </w:pPr>
          </w:p>
        </w:tc>
        <w:tc>
          <w:tcPr>
            <w:tcW w:w="1699" w:type="dxa"/>
            <w:vAlign w:val="top"/>
          </w:tcPr>
          <w:p w14:paraId="7F00ED8F">
            <w:pPr>
              <w:rPr>
                <w:rFonts w:ascii="Arial"/>
                <w:sz w:val="21"/>
              </w:rPr>
            </w:pPr>
          </w:p>
        </w:tc>
        <w:tc>
          <w:tcPr>
            <w:tcW w:w="1557" w:type="dxa"/>
            <w:vAlign w:val="top"/>
          </w:tcPr>
          <w:p w14:paraId="6D034927">
            <w:pPr>
              <w:spacing w:before="160" w:line="188" w:lineRule="auto"/>
              <w:ind w:left="35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146164.8</w:t>
            </w:r>
          </w:p>
        </w:tc>
        <w:tc>
          <w:tcPr>
            <w:tcW w:w="1414" w:type="dxa"/>
            <w:vAlign w:val="top"/>
          </w:tcPr>
          <w:p w14:paraId="43AC7FA7">
            <w:pPr>
              <w:spacing w:before="160" w:line="188"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1800</w:t>
            </w:r>
          </w:p>
        </w:tc>
        <w:tc>
          <w:tcPr>
            <w:tcW w:w="1636" w:type="dxa"/>
            <w:vAlign w:val="top"/>
          </w:tcPr>
          <w:p w14:paraId="35C4BAB3">
            <w:pPr>
              <w:spacing w:before="160" w:line="188" w:lineRule="auto"/>
              <w:ind w:left="39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162087.9</w:t>
            </w:r>
          </w:p>
        </w:tc>
        <w:tc>
          <w:tcPr>
            <w:tcW w:w="1501" w:type="dxa"/>
            <w:tcBorders>
              <w:right w:val="single" w:color="000000" w:sz="6" w:space="0"/>
            </w:tcBorders>
            <w:vAlign w:val="top"/>
          </w:tcPr>
          <w:p w14:paraId="6C36BF99">
            <w:pPr>
              <w:spacing w:before="160"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+154887.9</w:t>
            </w:r>
          </w:p>
        </w:tc>
      </w:tr>
      <w:tr w14:paraId="6E7B7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760F80B9">
            <w:pPr>
              <w:rPr>
                <w:rFonts w:ascii="Arial"/>
                <w:sz w:val="21"/>
              </w:rPr>
            </w:pPr>
          </w:p>
        </w:tc>
        <w:tc>
          <w:tcPr>
            <w:tcW w:w="1973" w:type="dxa"/>
            <w:vAlign w:val="top"/>
          </w:tcPr>
          <w:p w14:paraId="1C5F26EF">
            <w:pPr>
              <w:pStyle w:val="6"/>
              <w:spacing w:before="118" w:line="221" w:lineRule="auto"/>
              <w:ind w:left="631"/>
            </w:pPr>
            <w:r>
              <w:rPr>
                <w:spacing w:val="-5"/>
              </w:rPr>
              <w:t>悬浮物</w:t>
            </w:r>
          </w:p>
        </w:tc>
        <w:tc>
          <w:tcPr>
            <w:tcW w:w="1540" w:type="dxa"/>
            <w:vAlign w:val="top"/>
          </w:tcPr>
          <w:p w14:paraId="678C97D3">
            <w:pPr>
              <w:spacing w:before="155"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76398E33">
            <w:pPr>
              <w:rPr>
                <w:rFonts w:ascii="Arial"/>
                <w:sz w:val="21"/>
              </w:rPr>
            </w:pPr>
          </w:p>
        </w:tc>
        <w:tc>
          <w:tcPr>
            <w:tcW w:w="1699" w:type="dxa"/>
            <w:vAlign w:val="top"/>
          </w:tcPr>
          <w:p w14:paraId="0311B67F">
            <w:pPr>
              <w:rPr>
                <w:rFonts w:ascii="Arial"/>
                <w:sz w:val="21"/>
              </w:rPr>
            </w:pPr>
          </w:p>
        </w:tc>
        <w:tc>
          <w:tcPr>
            <w:tcW w:w="1557" w:type="dxa"/>
            <w:vAlign w:val="top"/>
          </w:tcPr>
          <w:p w14:paraId="25F74EF5">
            <w:pPr>
              <w:spacing w:before="160" w:line="188" w:lineRule="auto"/>
              <w:ind w:left="53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1.097</w:t>
            </w:r>
          </w:p>
        </w:tc>
        <w:tc>
          <w:tcPr>
            <w:tcW w:w="1414" w:type="dxa"/>
            <w:vAlign w:val="top"/>
          </w:tcPr>
          <w:p w14:paraId="2797A051">
            <w:pPr>
              <w:spacing w:before="160"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7749DAD7">
            <w:pPr>
              <w:spacing w:before="160" w:line="188"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1.097</w:t>
            </w:r>
          </w:p>
        </w:tc>
        <w:tc>
          <w:tcPr>
            <w:tcW w:w="1501" w:type="dxa"/>
            <w:tcBorders>
              <w:right w:val="single" w:color="000000" w:sz="6" w:space="0"/>
            </w:tcBorders>
            <w:vAlign w:val="top"/>
          </w:tcPr>
          <w:p w14:paraId="6132D9D2">
            <w:pPr>
              <w:spacing w:before="160" w:line="188" w:lineRule="auto"/>
              <w:ind w:left="41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+1.097</w:t>
            </w:r>
          </w:p>
        </w:tc>
      </w:tr>
      <w:tr w14:paraId="24E07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30D6E83F">
            <w:pPr>
              <w:rPr>
                <w:rFonts w:ascii="Arial"/>
                <w:sz w:val="21"/>
              </w:rPr>
            </w:pPr>
          </w:p>
        </w:tc>
        <w:tc>
          <w:tcPr>
            <w:tcW w:w="1973" w:type="dxa"/>
            <w:vAlign w:val="top"/>
          </w:tcPr>
          <w:p w14:paraId="59D7116D">
            <w:pPr>
              <w:spacing w:before="160" w:line="188" w:lineRule="auto"/>
              <w:ind w:left="61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CODCr</w:t>
            </w:r>
          </w:p>
        </w:tc>
        <w:tc>
          <w:tcPr>
            <w:tcW w:w="1540" w:type="dxa"/>
            <w:vAlign w:val="top"/>
          </w:tcPr>
          <w:p w14:paraId="57A64F20">
            <w:pPr>
              <w:spacing w:before="155"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4EB413B4">
            <w:pPr>
              <w:rPr>
                <w:rFonts w:ascii="Arial"/>
                <w:sz w:val="21"/>
              </w:rPr>
            </w:pPr>
          </w:p>
        </w:tc>
        <w:tc>
          <w:tcPr>
            <w:tcW w:w="1699" w:type="dxa"/>
            <w:vAlign w:val="top"/>
          </w:tcPr>
          <w:p w14:paraId="227D8726">
            <w:pPr>
              <w:rPr>
                <w:rFonts w:ascii="Arial"/>
                <w:sz w:val="21"/>
              </w:rPr>
            </w:pPr>
          </w:p>
        </w:tc>
        <w:tc>
          <w:tcPr>
            <w:tcW w:w="1557" w:type="dxa"/>
            <w:vAlign w:val="top"/>
          </w:tcPr>
          <w:p w14:paraId="0A1023D2">
            <w:pPr>
              <w:spacing w:before="160" w:line="188"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5.797</w:t>
            </w:r>
          </w:p>
        </w:tc>
        <w:tc>
          <w:tcPr>
            <w:tcW w:w="1414" w:type="dxa"/>
            <w:vAlign w:val="top"/>
          </w:tcPr>
          <w:p w14:paraId="6C5CE291">
            <w:pPr>
              <w:spacing w:before="160"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63314586">
            <w:pPr>
              <w:spacing w:before="160" w:line="188" w:lineRule="auto"/>
              <w:ind w:left="56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5.797</w:t>
            </w:r>
          </w:p>
        </w:tc>
        <w:tc>
          <w:tcPr>
            <w:tcW w:w="1501" w:type="dxa"/>
            <w:tcBorders>
              <w:right w:val="single" w:color="000000" w:sz="6" w:space="0"/>
            </w:tcBorders>
            <w:vAlign w:val="top"/>
          </w:tcPr>
          <w:p w14:paraId="4EC766FE">
            <w:pPr>
              <w:spacing w:before="160" w:line="188" w:lineRule="auto"/>
              <w:ind w:left="41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+5.797</w:t>
            </w:r>
          </w:p>
        </w:tc>
      </w:tr>
      <w:tr w14:paraId="00D01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97" w:type="dxa"/>
            <w:vMerge w:val="continue"/>
            <w:tcBorders>
              <w:top w:val="nil"/>
              <w:left w:val="single" w:color="000000" w:sz="6" w:space="0"/>
              <w:bottom w:val="single" w:color="000000" w:sz="6" w:space="0"/>
            </w:tcBorders>
            <w:vAlign w:val="top"/>
          </w:tcPr>
          <w:p w14:paraId="419841AF">
            <w:pPr>
              <w:rPr>
                <w:rFonts w:ascii="Arial"/>
                <w:sz w:val="21"/>
              </w:rPr>
            </w:pPr>
          </w:p>
        </w:tc>
        <w:tc>
          <w:tcPr>
            <w:tcW w:w="1973" w:type="dxa"/>
            <w:tcBorders>
              <w:bottom w:val="single" w:color="000000" w:sz="6" w:space="0"/>
            </w:tcBorders>
            <w:vAlign w:val="top"/>
          </w:tcPr>
          <w:p w14:paraId="1CF272D1">
            <w:pPr>
              <w:pStyle w:val="6"/>
              <w:spacing w:before="121" w:line="219" w:lineRule="auto"/>
              <w:ind w:left="629"/>
            </w:pPr>
            <w:r>
              <w:rPr>
                <w:spacing w:val="-4"/>
              </w:rPr>
              <w:t>氟化物</w:t>
            </w:r>
          </w:p>
        </w:tc>
        <w:tc>
          <w:tcPr>
            <w:tcW w:w="1540" w:type="dxa"/>
            <w:tcBorders>
              <w:bottom w:val="single" w:color="000000" w:sz="6" w:space="0"/>
            </w:tcBorders>
            <w:vAlign w:val="top"/>
          </w:tcPr>
          <w:p w14:paraId="5D425600">
            <w:pPr>
              <w:spacing w:before="163"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0.00252</w:t>
            </w:r>
          </w:p>
        </w:tc>
        <w:tc>
          <w:tcPr>
            <w:tcW w:w="1275" w:type="dxa"/>
            <w:tcBorders>
              <w:bottom w:val="single" w:color="000000" w:sz="6" w:space="0"/>
            </w:tcBorders>
            <w:vAlign w:val="top"/>
          </w:tcPr>
          <w:p w14:paraId="7328C369">
            <w:pPr>
              <w:rPr>
                <w:rFonts w:ascii="Arial"/>
                <w:sz w:val="21"/>
              </w:rPr>
            </w:pPr>
          </w:p>
        </w:tc>
        <w:tc>
          <w:tcPr>
            <w:tcW w:w="1699" w:type="dxa"/>
            <w:tcBorders>
              <w:bottom w:val="single" w:color="000000" w:sz="6" w:space="0"/>
            </w:tcBorders>
            <w:vAlign w:val="top"/>
          </w:tcPr>
          <w:p w14:paraId="357071AA">
            <w:pPr>
              <w:rPr>
                <w:rFonts w:ascii="Arial"/>
                <w:sz w:val="21"/>
              </w:rPr>
            </w:pPr>
          </w:p>
        </w:tc>
        <w:tc>
          <w:tcPr>
            <w:tcW w:w="1557" w:type="dxa"/>
            <w:tcBorders>
              <w:bottom w:val="single" w:color="000000" w:sz="6" w:space="0"/>
            </w:tcBorders>
            <w:vAlign w:val="top"/>
          </w:tcPr>
          <w:p w14:paraId="264A6809">
            <w:pPr>
              <w:spacing w:before="163" w:line="188" w:lineRule="auto"/>
              <w:ind w:left="53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1.266</w:t>
            </w:r>
          </w:p>
        </w:tc>
        <w:tc>
          <w:tcPr>
            <w:tcW w:w="1414" w:type="dxa"/>
            <w:tcBorders>
              <w:bottom w:val="single" w:color="000000" w:sz="6" w:space="0"/>
            </w:tcBorders>
            <w:vAlign w:val="top"/>
          </w:tcPr>
          <w:p w14:paraId="22137570">
            <w:pPr>
              <w:spacing w:before="163" w:line="188"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0.00063</w:t>
            </w:r>
          </w:p>
        </w:tc>
        <w:tc>
          <w:tcPr>
            <w:tcW w:w="1636" w:type="dxa"/>
            <w:tcBorders>
              <w:bottom w:val="single" w:color="000000" w:sz="6" w:space="0"/>
            </w:tcBorders>
            <w:vAlign w:val="top"/>
          </w:tcPr>
          <w:p w14:paraId="65D93B30">
            <w:pPr>
              <w:spacing w:before="163" w:line="188" w:lineRule="auto"/>
              <w:ind w:left="45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1.26789</w:t>
            </w:r>
          </w:p>
        </w:tc>
        <w:tc>
          <w:tcPr>
            <w:tcW w:w="1501" w:type="dxa"/>
            <w:tcBorders>
              <w:bottom w:val="single" w:color="000000" w:sz="6" w:space="0"/>
              <w:right w:val="single" w:color="000000" w:sz="6" w:space="0"/>
            </w:tcBorders>
            <w:vAlign w:val="top"/>
          </w:tcPr>
          <w:p w14:paraId="7969F750">
            <w:pPr>
              <w:spacing w:before="163" w:line="188" w:lineRule="auto"/>
              <w:ind w:left="29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+1.26537</w:t>
            </w:r>
          </w:p>
        </w:tc>
      </w:tr>
    </w:tbl>
    <w:p w14:paraId="7B62C82D">
      <w:pPr>
        <w:rPr>
          <w:rFonts w:ascii="Arial"/>
          <w:sz w:val="21"/>
        </w:rPr>
      </w:pPr>
    </w:p>
    <w:p w14:paraId="377C9CF9">
      <w:pPr>
        <w:rPr>
          <w:rFonts w:ascii="Arial" w:hAnsi="Arial" w:eastAsia="Arial" w:cs="Arial"/>
          <w:sz w:val="21"/>
          <w:szCs w:val="21"/>
        </w:rPr>
        <w:sectPr>
          <w:footerReference r:id="rId113" w:type="default"/>
          <w:pgSz w:w="16839" w:h="11906"/>
          <w:pgMar w:top="400" w:right="1537" w:bottom="1240" w:left="1493" w:header="0" w:footer="1078" w:gutter="0"/>
          <w:cols w:space="720" w:num="1"/>
        </w:sectPr>
      </w:pPr>
    </w:p>
    <w:p w14:paraId="37D36E1B">
      <w:pPr>
        <w:spacing w:before="19"/>
      </w:pPr>
    </w:p>
    <w:p w14:paraId="23FE58DA">
      <w:pPr>
        <w:spacing w:before="19"/>
      </w:pPr>
    </w:p>
    <w:p w14:paraId="2FC49CB8">
      <w:pPr>
        <w:spacing w:before="19"/>
      </w:pPr>
    </w:p>
    <w:p w14:paraId="7A2DE8FC">
      <w:pPr>
        <w:spacing w:before="18"/>
      </w:pPr>
    </w:p>
    <w:p w14:paraId="4AD08B5C">
      <w:pPr>
        <w:spacing w:before="18"/>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1973"/>
        <w:gridCol w:w="1540"/>
        <w:gridCol w:w="1275"/>
        <w:gridCol w:w="1699"/>
        <w:gridCol w:w="1557"/>
        <w:gridCol w:w="1414"/>
        <w:gridCol w:w="1636"/>
        <w:gridCol w:w="1501"/>
      </w:tblGrid>
      <w:tr w14:paraId="06C84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197" w:type="dxa"/>
            <w:vMerge w:val="restart"/>
            <w:tcBorders>
              <w:top w:val="single" w:color="000000" w:sz="6" w:space="0"/>
              <w:left w:val="single" w:color="000000" w:sz="6" w:space="0"/>
              <w:bottom w:val="nil"/>
            </w:tcBorders>
            <w:vAlign w:val="top"/>
          </w:tcPr>
          <w:p w14:paraId="21322CB6">
            <w:pPr>
              <w:rPr>
                <w:rFonts w:ascii="Arial"/>
                <w:sz w:val="21"/>
              </w:rPr>
            </w:pPr>
          </w:p>
        </w:tc>
        <w:tc>
          <w:tcPr>
            <w:tcW w:w="1973" w:type="dxa"/>
            <w:tcBorders>
              <w:top w:val="single" w:color="000000" w:sz="6" w:space="0"/>
            </w:tcBorders>
            <w:vAlign w:val="top"/>
          </w:tcPr>
          <w:p w14:paraId="6F4D3F7B">
            <w:pPr>
              <w:pStyle w:val="6"/>
              <w:spacing w:before="111" w:line="219" w:lineRule="auto"/>
              <w:ind w:left="748"/>
            </w:pPr>
            <w:r>
              <w:rPr>
                <w:spacing w:val="-5"/>
              </w:rPr>
              <w:t>氨氮</w:t>
            </w:r>
          </w:p>
        </w:tc>
        <w:tc>
          <w:tcPr>
            <w:tcW w:w="1540" w:type="dxa"/>
            <w:tcBorders>
              <w:top w:val="single" w:color="000000" w:sz="6" w:space="0"/>
            </w:tcBorders>
            <w:vAlign w:val="top"/>
          </w:tcPr>
          <w:p w14:paraId="064461F1">
            <w:pPr>
              <w:spacing w:before="148"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tcBorders>
              <w:top w:val="single" w:color="000000" w:sz="6" w:space="0"/>
            </w:tcBorders>
            <w:vAlign w:val="top"/>
          </w:tcPr>
          <w:p w14:paraId="6C376AB3">
            <w:pPr>
              <w:rPr>
                <w:rFonts w:ascii="Arial"/>
                <w:sz w:val="21"/>
              </w:rPr>
            </w:pPr>
          </w:p>
        </w:tc>
        <w:tc>
          <w:tcPr>
            <w:tcW w:w="1699" w:type="dxa"/>
            <w:tcBorders>
              <w:top w:val="single" w:color="000000" w:sz="6" w:space="0"/>
            </w:tcBorders>
            <w:vAlign w:val="top"/>
          </w:tcPr>
          <w:p w14:paraId="1A230E60">
            <w:pPr>
              <w:rPr>
                <w:rFonts w:ascii="Arial"/>
                <w:sz w:val="21"/>
              </w:rPr>
            </w:pPr>
          </w:p>
        </w:tc>
        <w:tc>
          <w:tcPr>
            <w:tcW w:w="1557" w:type="dxa"/>
            <w:tcBorders>
              <w:top w:val="single" w:color="000000" w:sz="6" w:space="0"/>
            </w:tcBorders>
            <w:vAlign w:val="top"/>
          </w:tcPr>
          <w:p w14:paraId="2C004D34">
            <w:pPr>
              <w:spacing w:before="153" w:line="188" w:lineRule="auto"/>
              <w:ind w:left="5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0.099</w:t>
            </w:r>
          </w:p>
        </w:tc>
        <w:tc>
          <w:tcPr>
            <w:tcW w:w="1414" w:type="dxa"/>
            <w:tcBorders>
              <w:top w:val="single" w:color="000000" w:sz="6" w:space="0"/>
            </w:tcBorders>
            <w:vAlign w:val="top"/>
          </w:tcPr>
          <w:p w14:paraId="10037B25">
            <w:pPr>
              <w:spacing w:before="153"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tcBorders>
              <w:top w:val="single" w:color="000000" w:sz="6" w:space="0"/>
            </w:tcBorders>
            <w:vAlign w:val="top"/>
          </w:tcPr>
          <w:p w14:paraId="42DD2097">
            <w:pPr>
              <w:spacing w:before="153"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0.099</w:t>
            </w:r>
          </w:p>
        </w:tc>
        <w:tc>
          <w:tcPr>
            <w:tcW w:w="1501" w:type="dxa"/>
            <w:tcBorders>
              <w:top w:val="single" w:color="000000" w:sz="6" w:space="0"/>
              <w:right w:val="single" w:color="000000" w:sz="6" w:space="0"/>
            </w:tcBorders>
            <w:vAlign w:val="top"/>
          </w:tcPr>
          <w:p w14:paraId="742490BE">
            <w:pPr>
              <w:spacing w:before="153" w:line="188" w:lineRule="auto"/>
              <w:ind w:left="41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+0.099</w:t>
            </w:r>
          </w:p>
        </w:tc>
      </w:tr>
      <w:tr w14:paraId="75773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0DC75D33">
            <w:pPr>
              <w:rPr>
                <w:rFonts w:ascii="Arial"/>
                <w:sz w:val="21"/>
              </w:rPr>
            </w:pPr>
          </w:p>
        </w:tc>
        <w:tc>
          <w:tcPr>
            <w:tcW w:w="1973" w:type="dxa"/>
            <w:vAlign w:val="top"/>
          </w:tcPr>
          <w:p w14:paraId="377EAE85">
            <w:pPr>
              <w:pStyle w:val="6"/>
              <w:spacing w:before="106" w:line="220" w:lineRule="auto"/>
              <w:ind w:left="754"/>
            </w:pPr>
            <w:r>
              <w:rPr>
                <w:spacing w:val="-8"/>
              </w:rPr>
              <w:t>总汞</w:t>
            </w:r>
          </w:p>
        </w:tc>
        <w:tc>
          <w:tcPr>
            <w:tcW w:w="1540" w:type="dxa"/>
            <w:vAlign w:val="top"/>
          </w:tcPr>
          <w:p w14:paraId="0107F313">
            <w:pPr>
              <w:spacing w:before="143"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2F8CB45D">
            <w:pPr>
              <w:rPr>
                <w:rFonts w:ascii="Arial"/>
                <w:sz w:val="21"/>
              </w:rPr>
            </w:pPr>
          </w:p>
        </w:tc>
        <w:tc>
          <w:tcPr>
            <w:tcW w:w="1699" w:type="dxa"/>
            <w:vAlign w:val="top"/>
          </w:tcPr>
          <w:p w14:paraId="25CA5DE9">
            <w:pPr>
              <w:rPr>
                <w:rFonts w:ascii="Arial"/>
                <w:sz w:val="21"/>
              </w:rPr>
            </w:pPr>
          </w:p>
        </w:tc>
        <w:tc>
          <w:tcPr>
            <w:tcW w:w="1557" w:type="dxa"/>
            <w:vAlign w:val="top"/>
          </w:tcPr>
          <w:p w14:paraId="377D7C23">
            <w:pPr>
              <w:spacing w:before="148"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0.000038</w:t>
            </w:r>
          </w:p>
        </w:tc>
        <w:tc>
          <w:tcPr>
            <w:tcW w:w="1414" w:type="dxa"/>
            <w:vAlign w:val="top"/>
          </w:tcPr>
          <w:p w14:paraId="0517EEC6">
            <w:pPr>
              <w:spacing w:before="148"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7CFDC59F">
            <w:pPr>
              <w:spacing w:before="148"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0.000038</w:t>
            </w:r>
          </w:p>
        </w:tc>
        <w:tc>
          <w:tcPr>
            <w:tcW w:w="1501" w:type="dxa"/>
            <w:tcBorders>
              <w:right w:val="single" w:color="000000" w:sz="6" w:space="0"/>
            </w:tcBorders>
            <w:vAlign w:val="top"/>
          </w:tcPr>
          <w:p w14:paraId="5CE3056D">
            <w:pPr>
              <w:spacing w:before="148"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+0.000038</w:t>
            </w:r>
          </w:p>
        </w:tc>
      </w:tr>
      <w:tr w14:paraId="7BEE3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5875CD3A">
            <w:pPr>
              <w:rPr>
                <w:rFonts w:ascii="Arial"/>
                <w:sz w:val="21"/>
              </w:rPr>
            </w:pPr>
          </w:p>
        </w:tc>
        <w:tc>
          <w:tcPr>
            <w:tcW w:w="1973" w:type="dxa"/>
            <w:vAlign w:val="top"/>
          </w:tcPr>
          <w:p w14:paraId="345F9032">
            <w:pPr>
              <w:pStyle w:val="6"/>
              <w:spacing w:before="109" w:line="222" w:lineRule="auto"/>
              <w:ind w:left="754"/>
            </w:pPr>
            <w:r>
              <w:rPr>
                <w:spacing w:val="-8"/>
              </w:rPr>
              <w:t>总镉</w:t>
            </w:r>
          </w:p>
        </w:tc>
        <w:tc>
          <w:tcPr>
            <w:tcW w:w="1540" w:type="dxa"/>
            <w:vAlign w:val="top"/>
          </w:tcPr>
          <w:p w14:paraId="061218C8">
            <w:pPr>
              <w:spacing w:before="146"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19C6F731">
            <w:pPr>
              <w:rPr>
                <w:rFonts w:ascii="Arial"/>
                <w:sz w:val="21"/>
              </w:rPr>
            </w:pPr>
          </w:p>
        </w:tc>
        <w:tc>
          <w:tcPr>
            <w:tcW w:w="1699" w:type="dxa"/>
            <w:vAlign w:val="top"/>
          </w:tcPr>
          <w:p w14:paraId="1448EA90">
            <w:pPr>
              <w:rPr>
                <w:rFonts w:ascii="Arial"/>
                <w:sz w:val="21"/>
              </w:rPr>
            </w:pPr>
          </w:p>
        </w:tc>
        <w:tc>
          <w:tcPr>
            <w:tcW w:w="1557" w:type="dxa"/>
            <w:vAlign w:val="top"/>
          </w:tcPr>
          <w:p w14:paraId="25A6572F">
            <w:pPr>
              <w:spacing w:before="151"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0.000072</w:t>
            </w:r>
          </w:p>
        </w:tc>
        <w:tc>
          <w:tcPr>
            <w:tcW w:w="1414" w:type="dxa"/>
            <w:vAlign w:val="top"/>
          </w:tcPr>
          <w:p w14:paraId="0E16FB77">
            <w:pPr>
              <w:spacing w:before="151"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73546931">
            <w:pPr>
              <w:spacing w:before="151"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0.000072</w:t>
            </w:r>
          </w:p>
        </w:tc>
        <w:tc>
          <w:tcPr>
            <w:tcW w:w="1501" w:type="dxa"/>
            <w:tcBorders>
              <w:right w:val="single" w:color="000000" w:sz="6" w:space="0"/>
            </w:tcBorders>
            <w:vAlign w:val="top"/>
          </w:tcPr>
          <w:p w14:paraId="4BA81DF2">
            <w:pPr>
              <w:spacing w:before="151"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+0.000072</w:t>
            </w:r>
          </w:p>
        </w:tc>
      </w:tr>
      <w:tr w14:paraId="4E393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00250614">
            <w:pPr>
              <w:rPr>
                <w:rFonts w:ascii="Arial"/>
                <w:sz w:val="21"/>
              </w:rPr>
            </w:pPr>
          </w:p>
        </w:tc>
        <w:tc>
          <w:tcPr>
            <w:tcW w:w="1973" w:type="dxa"/>
            <w:vAlign w:val="top"/>
          </w:tcPr>
          <w:p w14:paraId="72DD7E18">
            <w:pPr>
              <w:pStyle w:val="6"/>
              <w:spacing w:before="110" w:line="221" w:lineRule="auto"/>
              <w:ind w:left="754"/>
            </w:pPr>
            <w:r>
              <w:rPr>
                <w:spacing w:val="-8"/>
              </w:rPr>
              <w:t>总铬</w:t>
            </w:r>
          </w:p>
        </w:tc>
        <w:tc>
          <w:tcPr>
            <w:tcW w:w="1540" w:type="dxa"/>
            <w:vAlign w:val="top"/>
          </w:tcPr>
          <w:p w14:paraId="37E95C43">
            <w:pPr>
              <w:spacing w:before="146"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72E7E80D">
            <w:pPr>
              <w:rPr>
                <w:rFonts w:ascii="Arial"/>
                <w:sz w:val="21"/>
              </w:rPr>
            </w:pPr>
          </w:p>
        </w:tc>
        <w:tc>
          <w:tcPr>
            <w:tcW w:w="1699" w:type="dxa"/>
            <w:vAlign w:val="top"/>
          </w:tcPr>
          <w:p w14:paraId="421ACC4A">
            <w:pPr>
              <w:rPr>
                <w:rFonts w:ascii="Arial"/>
                <w:sz w:val="21"/>
              </w:rPr>
            </w:pPr>
          </w:p>
        </w:tc>
        <w:tc>
          <w:tcPr>
            <w:tcW w:w="1557" w:type="dxa"/>
            <w:vAlign w:val="top"/>
          </w:tcPr>
          <w:p w14:paraId="5699EC76">
            <w:pPr>
              <w:spacing w:before="151"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0.000627</w:t>
            </w:r>
          </w:p>
        </w:tc>
        <w:tc>
          <w:tcPr>
            <w:tcW w:w="1414" w:type="dxa"/>
            <w:vAlign w:val="top"/>
          </w:tcPr>
          <w:p w14:paraId="220129B4">
            <w:pPr>
              <w:spacing w:before="151"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49045A2B">
            <w:pPr>
              <w:spacing w:before="151"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0.000627</w:t>
            </w:r>
          </w:p>
        </w:tc>
        <w:tc>
          <w:tcPr>
            <w:tcW w:w="1501" w:type="dxa"/>
            <w:tcBorders>
              <w:right w:val="single" w:color="000000" w:sz="6" w:space="0"/>
            </w:tcBorders>
            <w:vAlign w:val="top"/>
          </w:tcPr>
          <w:p w14:paraId="52BDF382">
            <w:pPr>
              <w:spacing w:before="151"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+0.000627</w:t>
            </w:r>
          </w:p>
        </w:tc>
      </w:tr>
      <w:tr w14:paraId="4FC1C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305F5A25">
            <w:pPr>
              <w:rPr>
                <w:rFonts w:ascii="Arial"/>
                <w:sz w:val="21"/>
              </w:rPr>
            </w:pPr>
          </w:p>
        </w:tc>
        <w:tc>
          <w:tcPr>
            <w:tcW w:w="1973" w:type="dxa"/>
            <w:vAlign w:val="top"/>
          </w:tcPr>
          <w:p w14:paraId="777ACDE4">
            <w:pPr>
              <w:pStyle w:val="6"/>
              <w:spacing w:before="109" w:line="218" w:lineRule="auto"/>
              <w:ind w:left="630"/>
            </w:pPr>
            <w:r>
              <w:rPr>
                <w:spacing w:val="-4"/>
              </w:rPr>
              <w:t>六价铬</w:t>
            </w:r>
          </w:p>
        </w:tc>
        <w:tc>
          <w:tcPr>
            <w:tcW w:w="1540" w:type="dxa"/>
            <w:vAlign w:val="top"/>
          </w:tcPr>
          <w:p w14:paraId="6FC52A9C">
            <w:pPr>
              <w:spacing w:before="146"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4F206DA0">
            <w:pPr>
              <w:rPr>
                <w:rFonts w:ascii="Arial"/>
                <w:sz w:val="21"/>
              </w:rPr>
            </w:pPr>
          </w:p>
        </w:tc>
        <w:tc>
          <w:tcPr>
            <w:tcW w:w="1699" w:type="dxa"/>
            <w:vAlign w:val="top"/>
          </w:tcPr>
          <w:p w14:paraId="34F32499">
            <w:pPr>
              <w:rPr>
                <w:rFonts w:ascii="Arial"/>
                <w:sz w:val="21"/>
              </w:rPr>
            </w:pPr>
          </w:p>
        </w:tc>
        <w:tc>
          <w:tcPr>
            <w:tcW w:w="1557" w:type="dxa"/>
            <w:vAlign w:val="top"/>
          </w:tcPr>
          <w:p w14:paraId="4FB9963F">
            <w:pPr>
              <w:spacing w:before="151"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0.000313</w:t>
            </w:r>
          </w:p>
        </w:tc>
        <w:tc>
          <w:tcPr>
            <w:tcW w:w="1414" w:type="dxa"/>
            <w:vAlign w:val="top"/>
          </w:tcPr>
          <w:p w14:paraId="2719A674">
            <w:pPr>
              <w:spacing w:before="151"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7038AD0A">
            <w:pPr>
              <w:spacing w:before="151"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0.000313</w:t>
            </w:r>
          </w:p>
        </w:tc>
        <w:tc>
          <w:tcPr>
            <w:tcW w:w="1501" w:type="dxa"/>
            <w:tcBorders>
              <w:right w:val="single" w:color="000000" w:sz="6" w:space="0"/>
            </w:tcBorders>
            <w:vAlign w:val="top"/>
          </w:tcPr>
          <w:p w14:paraId="70D819DF">
            <w:pPr>
              <w:spacing w:before="151"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+0.000313</w:t>
            </w:r>
          </w:p>
        </w:tc>
      </w:tr>
      <w:tr w14:paraId="70314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5DC4728B">
            <w:pPr>
              <w:rPr>
                <w:rFonts w:ascii="Arial"/>
                <w:sz w:val="21"/>
              </w:rPr>
            </w:pPr>
          </w:p>
        </w:tc>
        <w:tc>
          <w:tcPr>
            <w:tcW w:w="1973" w:type="dxa"/>
            <w:vAlign w:val="top"/>
          </w:tcPr>
          <w:p w14:paraId="310DBE47">
            <w:pPr>
              <w:pStyle w:val="6"/>
              <w:spacing w:before="112" w:line="220" w:lineRule="auto"/>
              <w:ind w:left="754"/>
            </w:pPr>
            <w:r>
              <w:rPr>
                <w:spacing w:val="-8"/>
              </w:rPr>
              <w:t>总砷</w:t>
            </w:r>
          </w:p>
        </w:tc>
        <w:tc>
          <w:tcPr>
            <w:tcW w:w="1540" w:type="dxa"/>
            <w:vAlign w:val="top"/>
          </w:tcPr>
          <w:p w14:paraId="1AD53761">
            <w:pPr>
              <w:spacing w:before="149"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241841D7">
            <w:pPr>
              <w:rPr>
                <w:rFonts w:ascii="Arial"/>
                <w:sz w:val="21"/>
              </w:rPr>
            </w:pPr>
          </w:p>
        </w:tc>
        <w:tc>
          <w:tcPr>
            <w:tcW w:w="1699" w:type="dxa"/>
            <w:vAlign w:val="top"/>
          </w:tcPr>
          <w:p w14:paraId="1EFB3691">
            <w:pPr>
              <w:rPr>
                <w:rFonts w:ascii="Arial"/>
                <w:sz w:val="21"/>
              </w:rPr>
            </w:pPr>
          </w:p>
        </w:tc>
        <w:tc>
          <w:tcPr>
            <w:tcW w:w="1557" w:type="dxa"/>
            <w:vAlign w:val="top"/>
          </w:tcPr>
          <w:p w14:paraId="3C5239E3">
            <w:pPr>
              <w:spacing w:before="154"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0.000024</w:t>
            </w:r>
          </w:p>
        </w:tc>
        <w:tc>
          <w:tcPr>
            <w:tcW w:w="1414" w:type="dxa"/>
            <w:vAlign w:val="top"/>
          </w:tcPr>
          <w:p w14:paraId="0908D1CE">
            <w:pPr>
              <w:spacing w:before="154"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7C91C7E3">
            <w:pPr>
              <w:spacing w:before="154"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0.000024</w:t>
            </w:r>
          </w:p>
        </w:tc>
        <w:tc>
          <w:tcPr>
            <w:tcW w:w="1501" w:type="dxa"/>
            <w:tcBorders>
              <w:right w:val="single" w:color="000000" w:sz="6" w:space="0"/>
            </w:tcBorders>
            <w:vAlign w:val="top"/>
          </w:tcPr>
          <w:p w14:paraId="0A1C1D1B">
            <w:pPr>
              <w:spacing w:before="154"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+0.000024</w:t>
            </w:r>
          </w:p>
        </w:tc>
      </w:tr>
      <w:tr w14:paraId="10BB9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580CE9DA">
            <w:pPr>
              <w:rPr>
                <w:rFonts w:ascii="Arial"/>
                <w:sz w:val="21"/>
              </w:rPr>
            </w:pPr>
          </w:p>
        </w:tc>
        <w:tc>
          <w:tcPr>
            <w:tcW w:w="1973" w:type="dxa"/>
            <w:vAlign w:val="top"/>
          </w:tcPr>
          <w:p w14:paraId="65A50B58">
            <w:pPr>
              <w:pStyle w:val="6"/>
              <w:spacing w:before="112" w:line="224" w:lineRule="auto"/>
              <w:ind w:left="754"/>
            </w:pPr>
            <w:r>
              <w:rPr>
                <w:spacing w:val="-8"/>
              </w:rPr>
              <w:t>总铅</w:t>
            </w:r>
          </w:p>
        </w:tc>
        <w:tc>
          <w:tcPr>
            <w:tcW w:w="1540" w:type="dxa"/>
            <w:vAlign w:val="top"/>
          </w:tcPr>
          <w:p w14:paraId="3DD71176">
            <w:pPr>
              <w:spacing w:before="149"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5D862612">
            <w:pPr>
              <w:rPr>
                <w:rFonts w:ascii="Arial"/>
                <w:sz w:val="21"/>
              </w:rPr>
            </w:pPr>
          </w:p>
        </w:tc>
        <w:tc>
          <w:tcPr>
            <w:tcW w:w="1699" w:type="dxa"/>
            <w:vAlign w:val="top"/>
          </w:tcPr>
          <w:p w14:paraId="3CC3633F">
            <w:pPr>
              <w:rPr>
                <w:rFonts w:ascii="Arial"/>
                <w:sz w:val="21"/>
              </w:rPr>
            </w:pPr>
          </w:p>
        </w:tc>
        <w:tc>
          <w:tcPr>
            <w:tcW w:w="1557" w:type="dxa"/>
            <w:vAlign w:val="top"/>
          </w:tcPr>
          <w:p w14:paraId="023974D6">
            <w:pPr>
              <w:spacing w:before="154"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0.000282</w:t>
            </w:r>
          </w:p>
        </w:tc>
        <w:tc>
          <w:tcPr>
            <w:tcW w:w="1414" w:type="dxa"/>
            <w:vAlign w:val="top"/>
          </w:tcPr>
          <w:p w14:paraId="114F8D89">
            <w:pPr>
              <w:spacing w:before="154"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5A9923BC">
            <w:pPr>
              <w:spacing w:before="154"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0.000282</w:t>
            </w:r>
          </w:p>
        </w:tc>
        <w:tc>
          <w:tcPr>
            <w:tcW w:w="1501" w:type="dxa"/>
            <w:tcBorders>
              <w:right w:val="single" w:color="000000" w:sz="6" w:space="0"/>
            </w:tcBorders>
            <w:vAlign w:val="top"/>
          </w:tcPr>
          <w:p w14:paraId="13F3D5DE">
            <w:pPr>
              <w:spacing w:before="154"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+0.000282</w:t>
            </w:r>
          </w:p>
        </w:tc>
      </w:tr>
      <w:tr w14:paraId="70772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26511B68">
            <w:pPr>
              <w:rPr>
                <w:rFonts w:ascii="Arial"/>
                <w:sz w:val="21"/>
              </w:rPr>
            </w:pPr>
          </w:p>
        </w:tc>
        <w:tc>
          <w:tcPr>
            <w:tcW w:w="1973" w:type="dxa"/>
            <w:vAlign w:val="top"/>
          </w:tcPr>
          <w:p w14:paraId="475F6F90">
            <w:pPr>
              <w:pStyle w:val="6"/>
              <w:spacing w:before="112" w:line="220" w:lineRule="auto"/>
              <w:ind w:left="754"/>
            </w:pPr>
            <w:r>
              <w:rPr>
                <w:spacing w:val="-8"/>
              </w:rPr>
              <w:t>总镍</w:t>
            </w:r>
          </w:p>
        </w:tc>
        <w:tc>
          <w:tcPr>
            <w:tcW w:w="1540" w:type="dxa"/>
            <w:vAlign w:val="top"/>
          </w:tcPr>
          <w:p w14:paraId="7244002C">
            <w:pPr>
              <w:spacing w:before="149"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0F3AE1C8">
            <w:pPr>
              <w:rPr>
                <w:rFonts w:ascii="Arial"/>
                <w:sz w:val="21"/>
              </w:rPr>
            </w:pPr>
          </w:p>
        </w:tc>
        <w:tc>
          <w:tcPr>
            <w:tcW w:w="1699" w:type="dxa"/>
            <w:vAlign w:val="top"/>
          </w:tcPr>
          <w:p w14:paraId="6A28459D">
            <w:pPr>
              <w:rPr>
                <w:rFonts w:ascii="Arial"/>
                <w:sz w:val="21"/>
              </w:rPr>
            </w:pPr>
          </w:p>
        </w:tc>
        <w:tc>
          <w:tcPr>
            <w:tcW w:w="1557" w:type="dxa"/>
            <w:vAlign w:val="top"/>
          </w:tcPr>
          <w:p w14:paraId="14B318CB">
            <w:pPr>
              <w:spacing w:before="154"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0.002836</w:t>
            </w:r>
          </w:p>
        </w:tc>
        <w:tc>
          <w:tcPr>
            <w:tcW w:w="1414" w:type="dxa"/>
            <w:vAlign w:val="top"/>
          </w:tcPr>
          <w:p w14:paraId="35501C2B">
            <w:pPr>
              <w:spacing w:before="154"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708EA424">
            <w:pPr>
              <w:spacing w:before="154"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0.002836</w:t>
            </w:r>
          </w:p>
        </w:tc>
        <w:tc>
          <w:tcPr>
            <w:tcW w:w="1501" w:type="dxa"/>
            <w:tcBorders>
              <w:right w:val="single" w:color="000000" w:sz="6" w:space="0"/>
            </w:tcBorders>
            <w:vAlign w:val="top"/>
          </w:tcPr>
          <w:p w14:paraId="347FB541">
            <w:pPr>
              <w:spacing w:before="154"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+0.002836</w:t>
            </w:r>
          </w:p>
        </w:tc>
      </w:tr>
      <w:tr w14:paraId="66DA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278B642D">
            <w:pPr>
              <w:rPr>
                <w:rFonts w:ascii="Arial"/>
                <w:sz w:val="21"/>
              </w:rPr>
            </w:pPr>
          </w:p>
        </w:tc>
        <w:tc>
          <w:tcPr>
            <w:tcW w:w="1973" w:type="dxa"/>
            <w:vAlign w:val="top"/>
          </w:tcPr>
          <w:p w14:paraId="468FECEC">
            <w:pPr>
              <w:pStyle w:val="6"/>
              <w:spacing w:before="115" w:line="220" w:lineRule="auto"/>
              <w:ind w:left="754"/>
            </w:pPr>
            <w:r>
              <w:rPr>
                <w:spacing w:val="-8"/>
              </w:rPr>
              <w:t>总铍</w:t>
            </w:r>
          </w:p>
        </w:tc>
        <w:tc>
          <w:tcPr>
            <w:tcW w:w="1540" w:type="dxa"/>
            <w:vAlign w:val="top"/>
          </w:tcPr>
          <w:p w14:paraId="64C68DA7">
            <w:pPr>
              <w:spacing w:before="152"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17F35BE2">
            <w:pPr>
              <w:rPr>
                <w:rFonts w:ascii="Arial"/>
                <w:sz w:val="21"/>
              </w:rPr>
            </w:pPr>
          </w:p>
        </w:tc>
        <w:tc>
          <w:tcPr>
            <w:tcW w:w="1699" w:type="dxa"/>
            <w:vAlign w:val="top"/>
          </w:tcPr>
          <w:p w14:paraId="4DC10C9A">
            <w:pPr>
              <w:rPr>
                <w:rFonts w:ascii="Arial"/>
                <w:sz w:val="21"/>
              </w:rPr>
            </w:pPr>
          </w:p>
        </w:tc>
        <w:tc>
          <w:tcPr>
            <w:tcW w:w="1557" w:type="dxa"/>
            <w:vAlign w:val="top"/>
          </w:tcPr>
          <w:p w14:paraId="42155DDF">
            <w:pPr>
              <w:spacing w:before="157"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0.000414</w:t>
            </w:r>
          </w:p>
        </w:tc>
        <w:tc>
          <w:tcPr>
            <w:tcW w:w="1414" w:type="dxa"/>
            <w:vAlign w:val="top"/>
          </w:tcPr>
          <w:p w14:paraId="44AB5E5F">
            <w:pPr>
              <w:spacing w:before="157"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4CAD0F91">
            <w:pPr>
              <w:spacing w:before="157"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0.000414</w:t>
            </w:r>
          </w:p>
        </w:tc>
        <w:tc>
          <w:tcPr>
            <w:tcW w:w="1501" w:type="dxa"/>
            <w:tcBorders>
              <w:right w:val="single" w:color="000000" w:sz="6" w:space="0"/>
            </w:tcBorders>
            <w:vAlign w:val="top"/>
          </w:tcPr>
          <w:p w14:paraId="07BC3EBA">
            <w:pPr>
              <w:spacing w:before="157"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+0.000414</w:t>
            </w:r>
          </w:p>
        </w:tc>
      </w:tr>
      <w:tr w14:paraId="0580B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tcBorders>
            <w:vAlign w:val="top"/>
          </w:tcPr>
          <w:p w14:paraId="11C2063F">
            <w:pPr>
              <w:rPr>
                <w:rFonts w:ascii="Arial"/>
                <w:sz w:val="21"/>
              </w:rPr>
            </w:pPr>
          </w:p>
        </w:tc>
        <w:tc>
          <w:tcPr>
            <w:tcW w:w="1973" w:type="dxa"/>
            <w:vAlign w:val="top"/>
          </w:tcPr>
          <w:p w14:paraId="4CF90785">
            <w:pPr>
              <w:pStyle w:val="6"/>
              <w:spacing w:before="115" w:line="223" w:lineRule="auto"/>
              <w:ind w:left="754"/>
            </w:pPr>
            <w:r>
              <w:rPr>
                <w:spacing w:val="-8"/>
              </w:rPr>
              <w:t>总银</w:t>
            </w:r>
          </w:p>
        </w:tc>
        <w:tc>
          <w:tcPr>
            <w:tcW w:w="1540" w:type="dxa"/>
            <w:vAlign w:val="top"/>
          </w:tcPr>
          <w:p w14:paraId="17FEDEEE">
            <w:pPr>
              <w:spacing w:before="152" w:line="192" w:lineRule="auto"/>
              <w:ind w:left="7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14:paraId="36BBF820">
            <w:pPr>
              <w:rPr>
                <w:rFonts w:ascii="Arial"/>
                <w:sz w:val="21"/>
              </w:rPr>
            </w:pPr>
          </w:p>
        </w:tc>
        <w:tc>
          <w:tcPr>
            <w:tcW w:w="1699" w:type="dxa"/>
            <w:vAlign w:val="top"/>
          </w:tcPr>
          <w:p w14:paraId="28178274">
            <w:pPr>
              <w:rPr>
                <w:rFonts w:ascii="Arial"/>
                <w:sz w:val="21"/>
              </w:rPr>
            </w:pPr>
          </w:p>
        </w:tc>
        <w:tc>
          <w:tcPr>
            <w:tcW w:w="1557" w:type="dxa"/>
            <w:vAlign w:val="top"/>
          </w:tcPr>
          <w:p w14:paraId="5D2ED5A7">
            <w:pPr>
              <w:spacing w:before="157" w:line="188" w:lineRule="auto"/>
              <w:ind w:left="3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0.002350</w:t>
            </w:r>
          </w:p>
        </w:tc>
        <w:tc>
          <w:tcPr>
            <w:tcW w:w="1414" w:type="dxa"/>
            <w:vAlign w:val="top"/>
          </w:tcPr>
          <w:p w14:paraId="239B4E55">
            <w:pPr>
              <w:spacing w:before="157"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2C9DDF2E">
            <w:pPr>
              <w:spacing w:before="157"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0.002350</w:t>
            </w:r>
          </w:p>
        </w:tc>
        <w:tc>
          <w:tcPr>
            <w:tcW w:w="1501" w:type="dxa"/>
            <w:tcBorders>
              <w:right w:val="single" w:color="000000" w:sz="6" w:space="0"/>
            </w:tcBorders>
            <w:vAlign w:val="top"/>
          </w:tcPr>
          <w:p w14:paraId="30A1119E">
            <w:pPr>
              <w:spacing w:before="157"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+0.002350</w:t>
            </w:r>
          </w:p>
        </w:tc>
      </w:tr>
      <w:tr w14:paraId="0FFB9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197" w:type="dxa"/>
            <w:tcBorders>
              <w:left w:val="single" w:color="000000" w:sz="6" w:space="0"/>
            </w:tcBorders>
            <w:vAlign w:val="top"/>
          </w:tcPr>
          <w:p w14:paraId="0DA244E7">
            <w:pPr>
              <w:pStyle w:val="6"/>
              <w:spacing w:before="108" w:line="221" w:lineRule="auto"/>
              <w:ind w:left="122"/>
            </w:pPr>
            <w:r>
              <w:rPr>
                <w:spacing w:val="-4"/>
              </w:rPr>
              <w:t>一般工业</w:t>
            </w:r>
          </w:p>
          <w:p w14:paraId="75581281">
            <w:pPr>
              <w:pStyle w:val="6"/>
              <w:spacing w:before="22" w:line="220" w:lineRule="auto"/>
              <w:ind w:left="139"/>
            </w:pPr>
            <w:r>
              <w:rPr>
                <w:spacing w:val="-8"/>
              </w:rPr>
              <w:t>固体废物</w:t>
            </w:r>
          </w:p>
        </w:tc>
        <w:tc>
          <w:tcPr>
            <w:tcW w:w="1973" w:type="dxa"/>
            <w:vAlign w:val="top"/>
          </w:tcPr>
          <w:p w14:paraId="1C6F90AF">
            <w:pPr>
              <w:rPr>
                <w:rFonts w:ascii="Arial"/>
                <w:sz w:val="21"/>
              </w:rPr>
            </w:pPr>
          </w:p>
        </w:tc>
        <w:tc>
          <w:tcPr>
            <w:tcW w:w="1540" w:type="dxa"/>
            <w:vAlign w:val="top"/>
          </w:tcPr>
          <w:p w14:paraId="6C0DA500">
            <w:pPr>
              <w:rPr>
                <w:rFonts w:ascii="Arial"/>
                <w:sz w:val="21"/>
              </w:rPr>
            </w:pPr>
          </w:p>
        </w:tc>
        <w:tc>
          <w:tcPr>
            <w:tcW w:w="1275" w:type="dxa"/>
            <w:vAlign w:val="top"/>
          </w:tcPr>
          <w:p w14:paraId="02560ED8">
            <w:pPr>
              <w:rPr>
                <w:rFonts w:ascii="Arial"/>
                <w:sz w:val="21"/>
              </w:rPr>
            </w:pPr>
          </w:p>
        </w:tc>
        <w:tc>
          <w:tcPr>
            <w:tcW w:w="1699" w:type="dxa"/>
            <w:vAlign w:val="top"/>
          </w:tcPr>
          <w:p w14:paraId="13B00C88">
            <w:pPr>
              <w:rPr>
                <w:rFonts w:ascii="Arial"/>
                <w:sz w:val="21"/>
              </w:rPr>
            </w:pPr>
          </w:p>
        </w:tc>
        <w:tc>
          <w:tcPr>
            <w:tcW w:w="1557" w:type="dxa"/>
            <w:vAlign w:val="top"/>
          </w:tcPr>
          <w:p w14:paraId="39B01E62">
            <w:pPr>
              <w:rPr>
                <w:rFonts w:ascii="Arial"/>
                <w:sz w:val="21"/>
              </w:rPr>
            </w:pPr>
          </w:p>
        </w:tc>
        <w:tc>
          <w:tcPr>
            <w:tcW w:w="1414" w:type="dxa"/>
            <w:vAlign w:val="top"/>
          </w:tcPr>
          <w:p w14:paraId="39D3A4B1">
            <w:pPr>
              <w:rPr>
                <w:rFonts w:ascii="Arial"/>
                <w:sz w:val="21"/>
              </w:rPr>
            </w:pPr>
          </w:p>
        </w:tc>
        <w:tc>
          <w:tcPr>
            <w:tcW w:w="1636" w:type="dxa"/>
            <w:vAlign w:val="top"/>
          </w:tcPr>
          <w:p w14:paraId="789F2AF0">
            <w:pPr>
              <w:rPr>
                <w:rFonts w:ascii="Arial"/>
                <w:sz w:val="21"/>
              </w:rPr>
            </w:pPr>
          </w:p>
        </w:tc>
        <w:tc>
          <w:tcPr>
            <w:tcW w:w="1501" w:type="dxa"/>
            <w:tcBorders>
              <w:right w:val="single" w:color="000000" w:sz="6" w:space="0"/>
            </w:tcBorders>
            <w:vAlign w:val="top"/>
          </w:tcPr>
          <w:p w14:paraId="1827A374">
            <w:pPr>
              <w:rPr>
                <w:rFonts w:ascii="Arial"/>
                <w:sz w:val="21"/>
              </w:rPr>
            </w:pPr>
          </w:p>
        </w:tc>
      </w:tr>
      <w:tr w14:paraId="0554D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restart"/>
            <w:tcBorders>
              <w:left w:val="single" w:color="000000" w:sz="6" w:space="0"/>
              <w:bottom w:val="nil"/>
            </w:tcBorders>
            <w:vAlign w:val="top"/>
          </w:tcPr>
          <w:p w14:paraId="189E50C6">
            <w:pPr>
              <w:rPr>
                <w:rFonts w:ascii="Arial"/>
                <w:sz w:val="21"/>
              </w:rPr>
            </w:pPr>
          </w:p>
          <w:p w14:paraId="741FCD2D">
            <w:pPr>
              <w:rPr>
                <w:rFonts w:ascii="Arial"/>
                <w:sz w:val="21"/>
              </w:rPr>
            </w:pPr>
          </w:p>
          <w:p w14:paraId="2C1C5971">
            <w:pPr>
              <w:rPr>
                <w:rFonts w:ascii="Arial"/>
                <w:sz w:val="21"/>
              </w:rPr>
            </w:pPr>
          </w:p>
          <w:p w14:paraId="5C5A1EB8">
            <w:pPr>
              <w:rPr>
                <w:rFonts w:ascii="Arial"/>
                <w:sz w:val="21"/>
              </w:rPr>
            </w:pPr>
          </w:p>
          <w:p w14:paraId="4BB46F86">
            <w:pPr>
              <w:pStyle w:val="6"/>
              <w:spacing w:before="78" w:line="220" w:lineRule="auto"/>
              <w:ind w:left="121"/>
            </w:pPr>
            <w:r>
              <w:rPr>
                <w:spacing w:val="-4"/>
              </w:rPr>
              <w:t>危险废物</w:t>
            </w:r>
          </w:p>
        </w:tc>
        <w:tc>
          <w:tcPr>
            <w:tcW w:w="1973" w:type="dxa"/>
            <w:vAlign w:val="top"/>
          </w:tcPr>
          <w:p w14:paraId="05333EF3">
            <w:pPr>
              <w:pStyle w:val="6"/>
              <w:spacing w:before="118" w:line="220" w:lineRule="auto"/>
              <w:ind w:left="627"/>
            </w:pPr>
            <w:r>
              <w:rPr>
                <w:spacing w:val="-3"/>
              </w:rPr>
              <w:t>废酸液</w:t>
            </w:r>
          </w:p>
        </w:tc>
        <w:tc>
          <w:tcPr>
            <w:tcW w:w="1540" w:type="dxa"/>
            <w:vAlign w:val="top"/>
          </w:tcPr>
          <w:p w14:paraId="23BB481A">
            <w:pPr>
              <w:spacing w:before="159" w:line="188" w:lineRule="auto"/>
              <w:ind w:left="5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2660</w:t>
            </w:r>
          </w:p>
        </w:tc>
        <w:tc>
          <w:tcPr>
            <w:tcW w:w="1275" w:type="dxa"/>
            <w:vAlign w:val="top"/>
          </w:tcPr>
          <w:p w14:paraId="55405C40">
            <w:pPr>
              <w:rPr>
                <w:rFonts w:ascii="Arial"/>
                <w:sz w:val="21"/>
              </w:rPr>
            </w:pPr>
          </w:p>
        </w:tc>
        <w:tc>
          <w:tcPr>
            <w:tcW w:w="1699" w:type="dxa"/>
            <w:vAlign w:val="top"/>
          </w:tcPr>
          <w:p w14:paraId="0720D7D1">
            <w:pPr>
              <w:rPr>
                <w:rFonts w:ascii="Arial"/>
                <w:sz w:val="21"/>
              </w:rPr>
            </w:pPr>
          </w:p>
        </w:tc>
        <w:tc>
          <w:tcPr>
            <w:tcW w:w="1557" w:type="dxa"/>
            <w:vAlign w:val="top"/>
          </w:tcPr>
          <w:p w14:paraId="0AF308D1">
            <w:pPr>
              <w:spacing w:before="159" w:line="188" w:lineRule="auto"/>
              <w:ind w:left="47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1194.6</w:t>
            </w:r>
          </w:p>
        </w:tc>
        <w:tc>
          <w:tcPr>
            <w:tcW w:w="1414" w:type="dxa"/>
            <w:vAlign w:val="top"/>
          </w:tcPr>
          <w:p w14:paraId="57E3FB53">
            <w:pPr>
              <w:spacing w:before="159" w:line="188" w:lineRule="auto"/>
              <w:ind w:left="53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665</w:t>
            </w:r>
          </w:p>
        </w:tc>
        <w:tc>
          <w:tcPr>
            <w:tcW w:w="1636" w:type="dxa"/>
            <w:vAlign w:val="top"/>
          </w:tcPr>
          <w:p w14:paraId="4CE86871">
            <w:pPr>
              <w:spacing w:before="159" w:line="188"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3189.6</w:t>
            </w:r>
          </w:p>
        </w:tc>
        <w:tc>
          <w:tcPr>
            <w:tcW w:w="1501" w:type="dxa"/>
            <w:tcBorders>
              <w:right w:val="single" w:color="000000" w:sz="6" w:space="0"/>
            </w:tcBorders>
            <w:vAlign w:val="top"/>
          </w:tcPr>
          <w:p w14:paraId="261E7864">
            <w:pPr>
              <w:spacing w:before="159" w:line="188" w:lineRule="auto"/>
              <w:ind w:left="41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+529.6</w:t>
            </w:r>
          </w:p>
        </w:tc>
      </w:tr>
      <w:tr w14:paraId="65964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626C15F1">
            <w:pPr>
              <w:rPr>
                <w:rFonts w:ascii="Arial"/>
                <w:sz w:val="21"/>
              </w:rPr>
            </w:pPr>
          </w:p>
        </w:tc>
        <w:tc>
          <w:tcPr>
            <w:tcW w:w="1973" w:type="dxa"/>
            <w:vAlign w:val="top"/>
          </w:tcPr>
          <w:p w14:paraId="7D280E19">
            <w:pPr>
              <w:pStyle w:val="6"/>
              <w:spacing w:before="118" w:line="220" w:lineRule="auto"/>
              <w:ind w:left="508"/>
            </w:pPr>
            <w:r>
              <w:rPr>
                <w:spacing w:val="-3"/>
              </w:rPr>
              <w:t>包装废物</w:t>
            </w:r>
          </w:p>
        </w:tc>
        <w:tc>
          <w:tcPr>
            <w:tcW w:w="1540" w:type="dxa"/>
            <w:vAlign w:val="top"/>
          </w:tcPr>
          <w:p w14:paraId="328B9739">
            <w:pPr>
              <w:spacing w:before="160" w:line="188" w:lineRule="auto"/>
              <w:ind w:left="56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0.31</w:t>
            </w:r>
          </w:p>
        </w:tc>
        <w:tc>
          <w:tcPr>
            <w:tcW w:w="1275" w:type="dxa"/>
            <w:vAlign w:val="top"/>
          </w:tcPr>
          <w:p w14:paraId="73D9F3F6">
            <w:pPr>
              <w:rPr>
                <w:rFonts w:ascii="Arial"/>
                <w:sz w:val="21"/>
              </w:rPr>
            </w:pPr>
          </w:p>
        </w:tc>
        <w:tc>
          <w:tcPr>
            <w:tcW w:w="1699" w:type="dxa"/>
            <w:vAlign w:val="top"/>
          </w:tcPr>
          <w:p w14:paraId="13C393CB">
            <w:pPr>
              <w:rPr>
                <w:rFonts w:ascii="Arial"/>
                <w:sz w:val="21"/>
              </w:rPr>
            </w:pPr>
          </w:p>
        </w:tc>
        <w:tc>
          <w:tcPr>
            <w:tcW w:w="1557" w:type="dxa"/>
            <w:vAlign w:val="top"/>
          </w:tcPr>
          <w:p w14:paraId="06FED097">
            <w:pPr>
              <w:spacing w:before="160" w:line="188" w:lineRule="auto"/>
              <w:ind w:left="41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176.808</w:t>
            </w:r>
          </w:p>
        </w:tc>
        <w:tc>
          <w:tcPr>
            <w:tcW w:w="1414" w:type="dxa"/>
            <w:vAlign w:val="top"/>
          </w:tcPr>
          <w:p w14:paraId="534D0EA8">
            <w:pPr>
              <w:spacing w:before="160" w:line="188" w:lineRule="auto"/>
              <w:ind w:left="38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0.0775</w:t>
            </w:r>
          </w:p>
        </w:tc>
        <w:tc>
          <w:tcPr>
            <w:tcW w:w="1636" w:type="dxa"/>
            <w:vAlign w:val="top"/>
          </w:tcPr>
          <w:p w14:paraId="15568A04">
            <w:pPr>
              <w:spacing w:before="160" w:line="188" w:lineRule="auto"/>
              <w:ind w:left="39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177.0405</w:t>
            </w:r>
          </w:p>
        </w:tc>
        <w:tc>
          <w:tcPr>
            <w:tcW w:w="1501" w:type="dxa"/>
            <w:tcBorders>
              <w:right w:val="single" w:color="000000" w:sz="6" w:space="0"/>
            </w:tcBorders>
            <w:vAlign w:val="top"/>
          </w:tcPr>
          <w:p w14:paraId="37746AA0">
            <w:pPr>
              <w:spacing w:before="160"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+176.0025</w:t>
            </w:r>
          </w:p>
        </w:tc>
      </w:tr>
      <w:tr w14:paraId="0183A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3D4C4B3D">
            <w:pPr>
              <w:rPr>
                <w:rFonts w:ascii="Arial"/>
                <w:sz w:val="21"/>
              </w:rPr>
            </w:pPr>
          </w:p>
        </w:tc>
        <w:tc>
          <w:tcPr>
            <w:tcW w:w="1973" w:type="dxa"/>
            <w:vAlign w:val="top"/>
          </w:tcPr>
          <w:p w14:paraId="4BF83147">
            <w:pPr>
              <w:pStyle w:val="6"/>
              <w:spacing w:before="118" w:line="220" w:lineRule="auto"/>
              <w:ind w:left="507"/>
            </w:pPr>
            <w:r>
              <w:rPr>
                <w:spacing w:val="-3"/>
              </w:rPr>
              <w:t>废活性炭</w:t>
            </w:r>
          </w:p>
        </w:tc>
        <w:tc>
          <w:tcPr>
            <w:tcW w:w="1540" w:type="dxa"/>
            <w:vAlign w:val="top"/>
          </w:tcPr>
          <w:p w14:paraId="073E90AB">
            <w:pPr>
              <w:spacing w:before="160" w:line="188" w:lineRule="auto"/>
              <w:ind w:left="71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75" w:type="dxa"/>
            <w:vAlign w:val="top"/>
          </w:tcPr>
          <w:p w14:paraId="3923BC01">
            <w:pPr>
              <w:rPr>
                <w:rFonts w:ascii="Arial"/>
                <w:sz w:val="21"/>
              </w:rPr>
            </w:pPr>
          </w:p>
        </w:tc>
        <w:tc>
          <w:tcPr>
            <w:tcW w:w="1699" w:type="dxa"/>
            <w:vAlign w:val="top"/>
          </w:tcPr>
          <w:p w14:paraId="7C8C9589">
            <w:pPr>
              <w:rPr>
                <w:rFonts w:ascii="Arial"/>
                <w:sz w:val="21"/>
              </w:rPr>
            </w:pPr>
          </w:p>
        </w:tc>
        <w:tc>
          <w:tcPr>
            <w:tcW w:w="1557" w:type="dxa"/>
            <w:vAlign w:val="top"/>
          </w:tcPr>
          <w:p w14:paraId="02F18A48">
            <w:pPr>
              <w:spacing w:before="160" w:line="188" w:lineRule="auto"/>
              <w:ind w:left="4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60.502</w:t>
            </w:r>
          </w:p>
        </w:tc>
        <w:tc>
          <w:tcPr>
            <w:tcW w:w="1414" w:type="dxa"/>
            <w:vAlign w:val="top"/>
          </w:tcPr>
          <w:p w14:paraId="14B45993">
            <w:pPr>
              <w:spacing w:before="160" w:line="188" w:lineRule="auto"/>
              <w:ind w:left="65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636" w:type="dxa"/>
            <w:vAlign w:val="top"/>
          </w:tcPr>
          <w:p w14:paraId="1241F885">
            <w:pPr>
              <w:spacing w:before="160" w:line="188"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60.502</w:t>
            </w:r>
          </w:p>
        </w:tc>
        <w:tc>
          <w:tcPr>
            <w:tcW w:w="1501" w:type="dxa"/>
            <w:tcBorders>
              <w:right w:val="single" w:color="000000" w:sz="6" w:space="0"/>
            </w:tcBorders>
            <w:vAlign w:val="top"/>
          </w:tcPr>
          <w:p w14:paraId="64BFCB66">
            <w:pPr>
              <w:spacing w:before="160" w:line="188" w:lineRule="auto"/>
              <w:ind w:left="35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+60.502</w:t>
            </w:r>
          </w:p>
        </w:tc>
      </w:tr>
      <w:tr w14:paraId="1FBF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97" w:type="dxa"/>
            <w:vMerge w:val="continue"/>
            <w:tcBorders>
              <w:top w:val="nil"/>
              <w:left w:val="single" w:color="000000" w:sz="6" w:space="0"/>
              <w:bottom w:val="nil"/>
            </w:tcBorders>
            <w:vAlign w:val="top"/>
          </w:tcPr>
          <w:p w14:paraId="33EF2EFB">
            <w:pPr>
              <w:rPr>
                <w:rFonts w:ascii="Arial"/>
                <w:sz w:val="21"/>
              </w:rPr>
            </w:pPr>
          </w:p>
        </w:tc>
        <w:tc>
          <w:tcPr>
            <w:tcW w:w="1973" w:type="dxa"/>
            <w:vAlign w:val="top"/>
          </w:tcPr>
          <w:p w14:paraId="0F86BB2D">
            <w:pPr>
              <w:pStyle w:val="6"/>
              <w:spacing w:before="121" w:line="220" w:lineRule="auto"/>
              <w:ind w:left="508"/>
            </w:pPr>
            <w:r>
              <w:rPr>
                <w:spacing w:val="-3"/>
              </w:rPr>
              <w:t>沉淀污泥</w:t>
            </w:r>
          </w:p>
        </w:tc>
        <w:tc>
          <w:tcPr>
            <w:tcW w:w="1540" w:type="dxa"/>
            <w:vAlign w:val="top"/>
          </w:tcPr>
          <w:p w14:paraId="17D614E0">
            <w:pPr>
              <w:spacing w:before="162" w:line="188" w:lineRule="auto"/>
              <w:ind w:left="49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4.536</w:t>
            </w:r>
          </w:p>
        </w:tc>
        <w:tc>
          <w:tcPr>
            <w:tcW w:w="1275" w:type="dxa"/>
            <w:vAlign w:val="top"/>
          </w:tcPr>
          <w:p w14:paraId="5A812CFD">
            <w:pPr>
              <w:rPr>
                <w:rFonts w:ascii="Arial"/>
                <w:sz w:val="21"/>
              </w:rPr>
            </w:pPr>
          </w:p>
        </w:tc>
        <w:tc>
          <w:tcPr>
            <w:tcW w:w="1699" w:type="dxa"/>
            <w:vAlign w:val="top"/>
          </w:tcPr>
          <w:p w14:paraId="277741A1">
            <w:pPr>
              <w:rPr>
                <w:rFonts w:ascii="Arial"/>
                <w:sz w:val="21"/>
              </w:rPr>
            </w:pPr>
          </w:p>
        </w:tc>
        <w:tc>
          <w:tcPr>
            <w:tcW w:w="1557" w:type="dxa"/>
            <w:vAlign w:val="top"/>
          </w:tcPr>
          <w:p w14:paraId="182ED883">
            <w:pPr>
              <w:spacing w:before="162" w:line="188" w:lineRule="auto"/>
              <w:ind w:left="60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987</w:t>
            </w:r>
          </w:p>
        </w:tc>
        <w:tc>
          <w:tcPr>
            <w:tcW w:w="1414" w:type="dxa"/>
            <w:vAlign w:val="top"/>
          </w:tcPr>
          <w:p w14:paraId="34532962">
            <w:pPr>
              <w:spacing w:before="162" w:line="188" w:lineRule="auto"/>
              <w:ind w:left="46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1.134</w:t>
            </w:r>
          </w:p>
        </w:tc>
        <w:tc>
          <w:tcPr>
            <w:tcW w:w="1636" w:type="dxa"/>
            <w:vAlign w:val="top"/>
          </w:tcPr>
          <w:p w14:paraId="30FC4AFE">
            <w:pPr>
              <w:spacing w:before="162" w:line="188"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991.536</w:t>
            </w:r>
          </w:p>
        </w:tc>
        <w:tc>
          <w:tcPr>
            <w:tcW w:w="1501" w:type="dxa"/>
            <w:tcBorders>
              <w:right w:val="single" w:color="000000" w:sz="6" w:space="0"/>
            </w:tcBorders>
            <w:vAlign w:val="top"/>
          </w:tcPr>
          <w:p w14:paraId="14839B46">
            <w:pPr>
              <w:spacing w:before="162" w:line="188" w:lineRule="auto"/>
              <w:ind w:left="29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+985.866</w:t>
            </w:r>
          </w:p>
        </w:tc>
      </w:tr>
      <w:tr w14:paraId="097DD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97" w:type="dxa"/>
            <w:vMerge w:val="continue"/>
            <w:tcBorders>
              <w:top w:val="nil"/>
              <w:left w:val="single" w:color="000000" w:sz="6" w:space="0"/>
              <w:bottom w:val="single" w:color="000000" w:sz="6" w:space="0"/>
            </w:tcBorders>
            <w:vAlign w:val="top"/>
          </w:tcPr>
          <w:p w14:paraId="6E2D328E">
            <w:pPr>
              <w:rPr>
                <w:rFonts w:ascii="Arial"/>
                <w:sz w:val="21"/>
              </w:rPr>
            </w:pPr>
          </w:p>
        </w:tc>
        <w:tc>
          <w:tcPr>
            <w:tcW w:w="1973" w:type="dxa"/>
            <w:tcBorders>
              <w:bottom w:val="single" w:color="000000" w:sz="6" w:space="0"/>
            </w:tcBorders>
            <w:vAlign w:val="top"/>
          </w:tcPr>
          <w:p w14:paraId="4B7E7418">
            <w:pPr>
              <w:pStyle w:val="6"/>
              <w:spacing w:before="121" w:line="220" w:lineRule="auto"/>
              <w:ind w:left="627"/>
            </w:pPr>
            <w:r>
              <w:rPr>
                <w:spacing w:val="-3"/>
              </w:rPr>
              <w:t>废手套</w:t>
            </w:r>
          </w:p>
        </w:tc>
        <w:tc>
          <w:tcPr>
            <w:tcW w:w="1540" w:type="dxa"/>
            <w:tcBorders>
              <w:bottom w:val="single" w:color="000000" w:sz="6" w:space="0"/>
            </w:tcBorders>
            <w:vAlign w:val="top"/>
          </w:tcPr>
          <w:p w14:paraId="6135DD9E">
            <w:pPr>
              <w:spacing w:before="163" w:line="188"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0.036</w:t>
            </w:r>
          </w:p>
        </w:tc>
        <w:tc>
          <w:tcPr>
            <w:tcW w:w="1275" w:type="dxa"/>
            <w:tcBorders>
              <w:bottom w:val="single" w:color="000000" w:sz="6" w:space="0"/>
            </w:tcBorders>
            <w:vAlign w:val="top"/>
          </w:tcPr>
          <w:p w14:paraId="166747FA">
            <w:pPr>
              <w:rPr>
                <w:rFonts w:ascii="Arial"/>
                <w:sz w:val="21"/>
              </w:rPr>
            </w:pPr>
          </w:p>
        </w:tc>
        <w:tc>
          <w:tcPr>
            <w:tcW w:w="1699" w:type="dxa"/>
            <w:tcBorders>
              <w:bottom w:val="single" w:color="000000" w:sz="6" w:space="0"/>
            </w:tcBorders>
            <w:vAlign w:val="top"/>
          </w:tcPr>
          <w:p w14:paraId="7F6078EC">
            <w:pPr>
              <w:rPr>
                <w:rFonts w:ascii="Arial"/>
                <w:sz w:val="21"/>
              </w:rPr>
            </w:pPr>
          </w:p>
        </w:tc>
        <w:tc>
          <w:tcPr>
            <w:tcW w:w="1557" w:type="dxa"/>
            <w:tcBorders>
              <w:bottom w:val="single" w:color="000000" w:sz="6" w:space="0"/>
            </w:tcBorders>
            <w:vAlign w:val="top"/>
          </w:tcPr>
          <w:p w14:paraId="028C50F1">
            <w:pPr>
              <w:spacing w:before="163" w:line="188"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0.09</w:t>
            </w:r>
          </w:p>
        </w:tc>
        <w:tc>
          <w:tcPr>
            <w:tcW w:w="1414" w:type="dxa"/>
            <w:tcBorders>
              <w:bottom w:val="single" w:color="000000" w:sz="6" w:space="0"/>
            </w:tcBorders>
            <w:vAlign w:val="top"/>
          </w:tcPr>
          <w:p w14:paraId="348EB460">
            <w:pPr>
              <w:spacing w:before="163" w:line="188" w:lineRule="auto"/>
              <w:ind w:left="44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0.009</w:t>
            </w:r>
          </w:p>
        </w:tc>
        <w:tc>
          <w:tcPr>
            <w:tcW w:w="1636" w:type="dxa"/>
            <w:tcBorders>
              <w:bottom w:val="single" w:color="000000" w:sz="6" w:space="0"/>
            </w:tcBorders>
            <w:vAlign w:val="top"/>
          </w:tcPr>
          <w:p w14:paraId="3201CB36">
            <w:pPr>
              <w:spacing w:before="163"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0.117</w:t>
            </w:r>
          </w:p>
        </w:tc>
        <w:tc>
          <w:tcPr>
            <w:tcW w:w="1501" w:type="dxa"/>
            <w:tcBorders>
              <w:bottom w:val="single" w:color="000000" w:sz="6" w:space="0"/>
              <w:right w:val="single" w:color="000000" w:sz="6" w:space="0"/>
            </w:tcBorders>
            <w:vAlign w:val="top"/>
          </w:tcPr>
          <w:p w14:paraId="0DA11BCC">
            <w:pPr>
              <w:spacing w:before="163" w:line="188" w:lineRule="auto"/>
              <w:ind w:left="41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+0.081</w:t>
            </w:r>
          </w:p>
        </w:tc>
      </w:tr>
    </w:tbl>
    <w:p w14:paraId="54F8176B">
      <w:pPr>
        <w:spacing w:before="224" w:line="225" w:lineRule="auto"/>
        <w:ind w:left="45"/>
        <w:rPr>
          <w:rFonts w:ascii="宋体" w:hAnsi="宋体" w:eastAsia="宋体" w:cs="宋体"/>
          <w:sz w:val="20"/>
          <w:szCs w:val="20"/>
        </w:rPr>
      </w:pPr>
      <w:r>
        <w:rPr>
          <w:rFonts w:ascii="宋体" w:hAnsi="宋体" w:eastAsia="宋体" w:cs="宋体"/>
          <w:spacing w:val="1"/>
          <w:sz w:val="20"/>
          <w:szCs w:val="20"/>
        </w:rPr>
        <w:t>注：⑥=①+③+④-⑤;</w:t>
      </w:r>
      <w:r>
        <w:rPr>
          <w:rFonts w:ascii="宋体" w:hAnsi="宋体" w:eastAsia="宋体" w:cs="宋体"/>
          <w:spacing w:val="31"/>
          <w:sz w:val="20"/>
          <w:szCs w:val="20"/>
        </w:rPr>
        <w:t xml:space="preserve"> </w:t>
      </w:r>
      <w:r>
        <w:rPr>
          <w:rFonts w:ascii="宋体" w:hAnsi="宋体" w:eastAsia="宋体" w:cs="宋体"/>
          <w:spacing w:val="1"/>
          <w:sz w:val="20"/>
          <w:szCs w:val="20"/>
        </w:rPr>
        <w:t>⑦=⑥-①</w:t>
      </w:r>
    </w:p>
    <w:p w14:paraId="03E1A9B6">
      <w:pPr>
        <w:spacing w:line="225" w:lineRule="auto"/>
        <w:rPr>
          <w:rFonts w:ascii="宋体" w:hAnsi="宋体" w:eastAsia="宋体" w:cs="宋体"/>
          <w:sz w:val="20"/>
          <w:szCs w:val="20"/>
        </w:rPr>
        <w:sectPr>
          <w:footerReference r:id="rId114" w:type="default"/>
          <w:pgSz w:w="16839" w:h="11906"/>
          <w:pgMar w:top="400" w:right="1537" w:bottom="1240" w:left="1493" w:header="0" w:footer="1078" w:gutter="0"/>
          <w:cols w:space="720" w:num="1"/>
        </w:sectPr>
      </w:pPr>
    </w:p>
    <w:p w14:paraId="0D82EDBF">
      <w:pPr>
        <w:spacing w:line="254" w:lineRule="auto"/>
        <w:rPr>
          <w:rFonts w:ascii="Arial"/>
          <w:sz w:val="21"/>
        </w:rPr>
      </w:pPr>
    </w:p>
    <w:p w14:paraId="3DB5432F">
      <w:pPr>
        <w:spacing w:line="254" w:lineRule="auto"/>
        <w:rPr>
          <w:rFonts w:ascii="Arial"/>
          <w:sz w:val="21"/>
        </w:rPr>
      </w:pPr>
    </w:p>
    <w:p w14:paraId="1A7FD41D">
      <w:pPr>
        <w:spacing w:line="254" w:lineRule="auto"/>
        <w:rPr>
          <w:rFonts w:ascii="Arial"/>
          <w:sz w:val="21"/>
        </w:rPr>
      </w:pPr>
    </w:p>
    <w:p w14:paraId="7E330306">
      <w:pPr>
        <w:spacing w:line="254" w:lineRule="auto"/>
        <w:rPr>
          <w:rFonts w:ascii="Arial"/>
          <w:sz w:val="21"/>
        </w:rPr>
      </w:pPr>
    </w:p>
    <w:p w14:paraId="67DA483A">
      <w:pPr>
        <w:spacing w:line="254" w:lineRule="auto"/>
        <w:rPr>
          <w:rFonts w:ascii="Arial"/>
          <w:sz w:val="21"/>
        </w:rPr>
      </w:pPr>
    </w:p>
    <w:p w14:paraId="02F0DEAF">
      <w:pPr>
        <w:spacing w:line="254" w:lineRule="auto"/>
        <w:rPr>
          <w:rFonts w:ascii="Arial"/>
          <w:sz w:val="21"/>
        </w:rPr>
      </w:pPr>
    </w:p>
    <w:p w14:paraId="286C20DC">
      <w:pPr>
        <w:spacing w:line="254" w:lineRule="auto"/>
        <w:rPr>
          <w:rFonts w:ascii="Arial"/>
          <w:sz w:val="21"/>
        </w:rPr>
      </w:pPr>
    </w:p>
    <w:p w14:paraId="4D8C96C1">
      <w:pPr>
        <w:spacing w:line="255" w:lineRule="auto"/>
        <w:rPr>
          <w:rFonts w:ascii="Arial"/>
          <w:sz w:val="21"/>
        </w:rPr>
      </w:pPr>
    </w:p>
    <w:p w14:paraId="7EC4BE14">
      <w:pPr>
        <w:spacing w:line="255" w:lineRule="auto"/>
        <w:rPr>
          <w:rFonts w:ascii="Arial"/>
          <w:sz w:val="21"/>
        </w:rPr>
      </w:pPr>
    </w:p>
    <w:p w14:paraId="3668537F">
      <w:pPr>
        <w:spacing w:line="255" w:lineRule="auto"/>
        <w:rPr>
          <w:rFonts w:ascii="Arial"/>
          <w:sz w:val="21"/>
        </w:rPr>
      </w:pPr>
    </w:p>
    <w:p w14:paraId="197977D9">
      <w:pPr>
        <w:spacing w:line="255" w:lineRule="auto"/>
        <w:rPr>
          <w:rFonts w:ascii="Arial"/>
          <w:sz w:val="21"/>
        </w:rPr>
      </w:pPr>
    </w:p>
    <w:p w14:paraId="10B248D1">
      <w:pPr>
        <w:spacing w:line="255" w:lineRule="auto"/>
        <w:rPr>
          <w:rFonts w:ascii="Arial"/>
          <w:sz w:val="21"/>
        </w:rPr>
      </w:pPr>
    </w:p>
    <w:p w14:paraId="55F2E950">
      <w:pPr>
        <w:spacing w:line="255" w:lineRule="auto"/>
        <w:rPr>
          <w:rFonts w:ascii="Arial"/>
          <w:sz w:val="21"/>
        </w:rPr>
      </w:pPr>
    </w:p>
    <w:p w14:paraId="01C3D204">
      <w:pPr>
        <w:spacing w:before="140" w:line="277" w:lineRule="auto"/>
        <w:ind w:left="1339" w:right="429" w:hanging="897"/>
        <w:outlineLvl w:val="0"/>
        <w:rPr>
          <w:rFonts w:ascii="宋体" w:hAnsi="宋体" w:eastAsia="宋体" w:cs="宋体"/>
          <w:sz w:val="43"/>
          <w:szCs w:val="43"/>
        </w:rPr>
      </w:pPr>
      <w:bookmarkStart w:id="9" w:name="bookmark8"/>
      <w:bookmarkEnd w:id="9"/>
      <w:r>
        <w:rPr>
          <w:rFonts w:ascii="宋体" w:hAnsi="宋体" w:eastAsia="宋体" w:cs="宋体"/>
          <w:spacing w:val="8"/>
          <w:sz w:val="43"/>
          <w:szCs w:val="43"/>
        </w:rPr>
        <w:t>海丰县金盛宝石首饰有限公司宝石加工</w:t>
      </w:r>
      <w:r>
        <w:rPr>
          <w:rFonts w:ascii="宋体" w:hAnsi="宋体" w:eastAsia="宋体" w:cs="宋体"/>
          <w:spacing w:val="15"/>
          <w:sz w:val="43"/>
          <w:szCs w:val="43"/>
        </w:rPr>
        <w:t xml:space="preserve"> </w:t>
      </w:r>
      <w:bookmarkStart w:id="10" w:name="bookmark8"/>
      <w:bookmarkEnd w:id="10"/>
      <w:r>
        <w:rPr>
          <w:rFonts w:ascii="宋体" w:hAnsi="宋体" w:eastAsia="宋体" w:cs="宋体"/>
          <w:spacing w:val="7"/>
          <w:sz w:val="43"/>
          <w:szCs w:val="43"/>
        </w:rPr>
        <w:t>改扩建项目环境风险专项评价</w:t>
      </w:r>
    </w:p>
    <w:p w14:paraId="527B130B">
      <w:pPr>
        <w:spacing w:line="252" w:lineRule="auto"/>
        <w:rPr>
          <w:rFonts w:ascii="Arial"/>
          <w:sz w:val="21"/>
        </w:rPr>
      </w:pPr>
    </w:p>
    <w:p w14:paraId="4159680C">
      <w:pPr>
        <w:spacing w:line="252" w:lineRule="auto"/>
        <w:rPr>
          <w:rFonts w:ascii="Arial"/>
          <w:sz w:val="21"/>
        </w:rPr>
      </w:pPr>
    </w:p>
    <w:p w14:paraId="1575E5B0">
      <w:pPr>
        <w:spacing w:line="252" w:lineRule="auto"/>
        <w:rPr>
          <w:rFonts w:ascii="Arial"/>
          <w:sz w:val="21"/>
        </w:rPr>
      </w:pPr>
    </w:p>
    <w:p w14:paraId="09CF9B1F">
      <w:pPr>
        <w:spacing w:line="252" w:lineRule="auto"/>
        <w:rPr>
          <w:rFonts w:ascii="Arial"/>
          <w:sz w:val="21"/>
        </w:rPr>
      </w:pPr>
    </w:p>
    <w:p w14:paraId="64B0A1AE">
      <w:pPr>
        <w:spacing w:line="252" w:lineRule="auto"/>
        <w:rPr>
          <w:rFonts w:ascii="Arial"/>
          <w:sz w:val="21"/>
        </w:rPr>
      </w:pPr>
    </w:p>
    <w:p w14:paraId="092C7297">
      <w:pPr>
        <w:spacing w:line="252" w:lineRule="auto"/>
        <w:rPr>
          <w:rFonts w:ascii="Arial"/>
          <w:sz w:val="21"/>
        </w:rPr>
      </w:pPr>
    </w:p>
    <w:p w14:paraId="0A26A242">
      <w:pPr>
        <w:spacing w:line="252" w:lineRule="auto"/>
        <w:rPr>
          <w:rFonts w:ascii="Arial"/>
          <w:sz w:val="21"/>
        </w:rPr>
      </w:pPr>
    </w:p>
    <w:p w14:paraId="2B33102A">
      <w:pPr>
        <w:spacing w:line="252" w:lineRule="auto"/>
        <w:rPr>
          <w:rFonts w:ascii="Arial"/>
          <w:sz w:val="21"/>
        </w:rPr>
      </w:pPr>
    </w:p>
    <w:p w14:paraId="2DB1A7D3">
      <w:pPr>
        <w:spacing w:line="252" w:lineRule="auto"/>
        <w:rPr>
          <w:rFonts w:ascii="Arial"/>
          <w:sz w:val="21"/>
        </w:rPr>
      </w:pPr>
    </w:p>
    <w:p w14:paraId="5A8B6A46">
      <w:pPr>
        <w:spacing w:line="252" w:lineRule="auto"/>
        <w:rPr>
          <w:rFonts w:ascii="Arial"/>
          <w:sz w:val="21"/>
        </w:rPr>
      </w:pPr>
    </w:p>
    <w:p w14:paraId="30903430">
      <w:pPr>
        <w:spacing w:line="253" w:lineRule="auto"/>
        <w:rPr>
          <w:rFonts w:ascii="Arial"/>
          <w:sz w:val="21"/>
        </w:rPr>
      </w:pPr>
    </w:p>
    <w:p w14:paraId="6625D8E6">
      <w:pPr>
        <w:spacing w:line="253" w:lineRule="auto"/>
        <w:rPr>
          <w:rFonts w:ascii="Arial"/>
          <w:sz w:val="21"/>
        </w:rPr>
      </w:pPr>
    </w:p>
    <w:p w14:paraId="3742FB3A">
      <w:pPr>
        <w:spacing w:line="253" w:lineRule="auto"/>
        <w:rPr>
          <w:rFonts w:ascii="Arial"/>
          <w:sz w:val="21"/>
        </w:rPr>
      </w:pPr>
    </w:p>
    <w:p w14:paraId="37CE5854">
      <w:pPr>
        <w:spacing w:line="253" w:lineRule="auto"/>
        <w:rPr>
          <w:rFonts w:ascii="Arial"/>
          <w:sz w:val="21"/>
        </w:rPr>
      </w:pPr>
    </w:p>
    <w:p w14:paraId="48151AB6">
      <w:pPr>
        <w:spacing w:line="253" w:lineRule="auto"/>
        <w:rPr>
          <w:rFonts w:ascii="Arial"/>
          <w:sz w:val="21"/>
        </w:rPr>
      </w:pPr>
    </w:p>
    <w:p w14:paraId="489B3980">
      <w:pPr>
        <w:spacing w:line="253" w:lineRule="auto"/>
        <w:rPr>
          <w:rFonts w:ascii="Arial"/>
          <w:sz w:val="21"/>
        </w:rPr>
      </w:pPr>
    </w:p>
    <w:p w14:paraId="09963D47">
      <w:pPr>
        <w:pStyle w:val="2"/>
        <w:spacing w:before="101" w:line="452" w:lineRule="auto"/>
        <w:ind w:left="666" w:right="640" w:hanging="9"/>
        <w:rPr>
          <w:sz w:val="31"/>
          <w:szCs w:val="31"/>
        </w:rPr>
      </w:pPr>
      <w:r>
        <w:rPr>
          <w:spacing w:val="8"/>
          <w:sz w:val="31"/>
          <w:szCs w:val="31"/>
        </w:rPr>
        <w:t>建设单位（盖章</w:t>
      </w:r>
      <w:r>
        <w:rPr>
          <w:spacing w:val="23"/>
          <w:sz w:val="31"/>
          <w:szCs w:val="31"/>
        </w:rPr>
        <w:t>）：</w:t>
      </w:r>
      <w:r>
        <w:rPr>
          <w:spacing w:val="8"/>
          <w:sz w:val="31"/>
          <w:szCs w:val="31"/>
          <w:u w:val="single" w:color="auto"/>
        </w:rPr>
        <w:t>海丰县金盛宝石首饰有限公司</w:t>
      </w:r>
      <w:r>
        <w:rPr>
          <w:spacing w:val="1"/>
          <w:sz w:val="31"/>
          <w:szCs w:val="31"/>
        </w:rPr>
        <w:t xml:space="preserve"> </w:t>
      </w:r>
      <w:r>
        <w:rPr>
          <w:spacing w:val="8"/>
          <w:sz w:val="31"/>
          <w:szCs w:val="31"/>
        </w:rPr>
        <w:t>评价单位：</w:t>
      </w:r>
      <w:r>
        <w:rPr>
          <w:spacing w:val="8"/>
          <w:sz w:val="31"/>
          <w:szCs w:val="31"/>
          <w:u w:val="single" w:color="auto"/>
        </w:rPr>
        <w:t xml:space="preserve">     广东绿美环境科技有限公司</w:t>
      </w:r>
      <w:r>
        <w:rPr>
          <w:sz w:val="31"/>
          <w:szCs w:val="31"/>
          <w:u w:val="single" w:color="auto"/>
        </w:rPr>
        <w:t xml:space="preserve">      </w:t>
      </w:r>
    </w:p>
    <w:p w14:paraId="4CB11736">
      <w:pPr>
        <w:spacing w:line="260" w:lineRule="auto"/>
        <w:rPr>
          <w:rFonts w:ascii="Arial"/>
          <w:sz w:val="21"/>
        </w:rPr>
      </w:pPr>
    </w:p>
    <w:p w14:paraId="62CAC818">
      <w:pPr>
        <w:spacing w:line="260" w:lineRule="auto"/>
        <w:rPr>
          <w:rFonts w:ascii="Arial"/>
          <w:sz w:val="21"/>
        </w:rPr>
      </w:pPr>
    </w:p>
    <w:p w14:paraId="657ACC3E">
      <w:pPr>
        <w:spacing w:line="260" w:lineRule="auto"/>
        <w:rPr>
          <w:rFonts w:ascii="Arial"/>
          <w:sz w:val="21"/>
        </w:rPr>
      </w:pPr>
    </w:p>
    <w:p w14:paraId="2C096287">
      <w:pPr>
        <w:spacing w:line="261" w:lineRule="auto"/>
        <w:rPr>
          <w:rFonts w:ascii="Arial"/>
          <w:sz w:val="21"/>
        </w:rPr>
      </w:pPr>
    </w:p>
    <w:p w14:paraId="5C5BB196">
      <w:pPr>
        <w:spacing w:line="261" w:lineRule="auto"/>
        <w:rPr>
          <w:rFonts w:ascii="Arial"/>
          <w:sz w:val="21"/>
        </w:rPr>
      </w:pPr>
    </w:p>
    <w:p w14:paraId="3F1EB351">
      <w:pPr>
        <w:spacing w:line="261" w:lineRule="auto"/>
        <w:rPr>
          <w:rFonts w:ascii="Arial"/>
          <w:sz w:val="21"/>
        </w:rPr>
      </w:pPr>
    </w:p>
    <w:p w14:paraId="392B2F40">
      <w:pPr>
        <w:spacing w:line="261" w:lineRule="auto"/>
        <w:rPr>
          <w:rFonts w:ascii="Arial"/>
          <w:sz w:val="21"/>
        </w:rPr>
      </w:pPr>
    </w:p>
    <w:p w14:paraId="04EF3769">
      <w:pPr>
        <w:spacing w:line="261" w:lineRule="auto"/>
        <w:rPr>
          <w:rFonts w:ascii="Arial"/>
          <w:sz w:val="21"/>
        </w:rPr>
      </w:pPr>
    </w:p>
    <w:p w14:paraId="62BFF97B">
      <w:pPr>
        <w:spacing w:line="261" w:lineRule="auto"/>
        <w:rPr>
          <w:rFonts w:ascii="Arial"/>
          <w:sz w:val="21"/>
        </w:rPr>
      </w:pPr>
    </w:p>
    <w:p w14:paraId="1C374F2C">
      <w:pPr>
        <w:spacing w:line="261" w:lineRule="auto"/>
        <w:rPr>
          <w:rFonts w:ascii="Arial"/>
          <w:sz w:val="21"/>
        </w:rPr>
      </w:pPr>
    </w:p>
    <w:p w14:paraId="6228C5FE">
      <w:pPr>
        <w:spacing w:line="261" w:lineRule="auto"/>
        <w:rPr>
          <w:rFonts w:ascii="Arial"/>
          <w:sz w:val="21"/>
        </w:rPr>
      </w:pPr>
    </w:p>
    <w:p w14:paraId="28C45B02">
      <w:pPr>
        <w:pStyle w:val="2"/>
        <w:spacing w:before="100" w:line="220" w:lineRule="auto"/>
        <w:ind w:left="2539"/>
        <w:rPr>
          <w:sz w:val="31"/>
          <w:szCs w:val="31"/>
        </w:rPr>
      </w:pPr>
      <w:r>
        <w:rPr>
          <w:spacing w:val="2"/>
          <w:sz w:val="31"/>
          <w:szCs w:val="31"/>
        </w:rPr>
        <w:t>编制日期：2025</w:t>
      </w:r>
      <w:r>
        <w:rPr>
          <w:spacing w:val="-57"/>
          <w:sz w:val="31"/>
          <w:szCs w:val="31"/>
        </w:rPr>
        <w:t xml:space="preserve"> </w:t>
      </w:r>
      <w:r>
        <w:rPr>
          <w:spacing w:val="2"/>
          <w:sz w:val="31"/>
          <w:szCs w:val="31"/>
        </w:rPr>
        <w:t>年</w:t>
      </w:r>
      <w:r>
        <w:rPr>
          <w:spacing w:val="-47"/>
          <w:sz w:val="31"/>
          <w:szCs w:val="31"/>
        </w:rPr>
        <w:t xml:space="preserve"> </w:t>
      </w:r>
      <w:r>
        <w:rPr>
          <w:spacing w:val="2"/>
          <w:sz w:val="31"/>
          <w:szCs w:val="31"/>
        </w:rPr>
        <w:t>5</w:t>
      </w:r>
      <w:r>
        <w:rPr>
          <w:spacing w:val="-46"/>
          <w:sz w:val="31"/>
          <w:szCs w:val="31"/>
        </w:rPr>
        <w:t xml:space="preserve"> </w:t>
      </w:r>
      <w:r>
        <w:rPr>
          <w:spacing w:val="2"/>
          <w:sz w:val="31"/>
          <w:szCs w:val="31"/>
        </w:rPr>
        <w:t>月</w:t>
      </w:r>
    </w:p>
    <w:p w14:paraId="3C9389E3">
      <w:pPr>
        <w:spacing w:line="220" w:lineRule="auto"/>
        <w:rPr>
          <w:sz w:val="31"/>
          <w:szCs w:val="31"/>
        </w:rPr>
        <w:sectPr>
          <w:footerReference r:id="rId115" w:type="default"/>
          <w:pgSz w:w="11906" w:h="16839"/>
          <w:pgMar w:top="400" w:right="1785" w:bottom="1156" w:left="1785" w:header="0" w:footer="994" w:gutter="0"/>
          <w:cols w:space="720" w:num="1"/>
        </w:sectPr>
      </w:pPr>
    </w:p>
    <w:p w14:paraId="582A52F9">
      <w:pPr>
        <w:spacing w:line="250" w:lineRule="auto"/>
        <w:rPr>
          <w:rFonts w:ascii="Arial"/>
          <w:sz w:val="21"/>
        </w:rPr>
      </w:pPr>
    </w:p>
    <w:p w14:paraId="5576C6F5">
      <w:pPr>
        <w:spacing w:line="250" w:lineRule="auto"/>
        <w:rPr>
          <w:rFonts w:ascii="Arial"/>
          <w:sz w:val="21"/>
        </w:rPr>
      </w:pPr>
    </w:p>
    <w:p w14:paraId="0CF974EF">
      <w:pPr>
        <w:spacing w:line="250" w:lineRule="auto"/>
        <w:rPr>
          <w:rFonts w:ascii="Arial"/>
          <w:sz w:val="21"/>
        </w:rPr>
      </w:pPr>
    </w:p>
    <w:p w14:paraId="58F683F3">
      <w:pPr>
        <w:spacing w:line="250" w:lineRule="auto"/>
        <w:rPr>
          <w:rFonts w:ascii="Arial"/>
          <w:sz w:val="21"/>
        </w:rPr>
      </w:pPr>
    </w:p>
    <w:p w14:paraId="411A2A0A">
      <w:pPr>
        <w:spacing w:line="251" w:lineRule="auto"/>
        <w:rPr>
          <w:rFonts w:ascii="Arial"/>
          <w:sz w:val="21"/>
        </w:rPr>
      </w:pPr>
    </w:p>
    <w:p w14:paraId="6E30E790">
      <w:pPr>
        <w:spacing w:before="78" w:line="359" w:lineRule="auto"/>
        <w:ind w:left="1" w:right="59" w:firstLine="478"/>
        <w:jc w:val="both"/>
        <w:rPr>
          <w:rFonts w:ascii="宋体" w:hAnsi="宋体" w:eastAsia="宋体" w:cs="宋体"/>
          <w:sz w:val="24"/>
          <w:szCs w:val="24"/>
        </w:rPr>
      </w:pPr>
      <w:r>
        <w:rPr>
          <w:rFonts w:ascii="宋体" w:hAnsi="宋体" w:eastAsia="宋体" w:cs="宋体"/>
          <w:spacing w:val="6"/>
          <w:sz w:val="24"/>
          <w:szCs w:val="24"/>
        </w:rPr>
        <w:t>海丰县金盛宝石首饰有限公司宝石加工改扩建项目选址</w:t>
      </w:r>
      <w:r>
        <w:rPr>
          <w:rFonts w:ascii="宋体" w:hAnsi="宋体" w:eastAsia="宋体" w:cs="宋体"/>
          <w:spacing w:val="5"/>
          <w:sz w:val="24"/>
          <w:szCs w:val="24"/>
        </w:rPr>
        <w:t>位于海丰县可塘镇圆山</w:t>
      </w:r>
      <w:r>
        <w:rPr>
          <w:rFonts w:ascii="宋体" w:hAnsi="宋体" w:eastAsia="宋体" w:cs="宋体"/>
          <w:sz w:val="24"/>
          <w:szCs w:val="24"/>
        </w:rPr>
        <w:t xml:space="preserve"> </w:t>
      </w:r>
      <w:r>
        <w:rPr>
          <w:rFonts w:ascii="宋体" w:hAnsi="宋体" w:eastAsia="宋体" w:cs="宋体"/>
          <w:spacing w:val="-3"/>
          <w:sz w:val="24"/>
          <w:szCs w:val="24"/>
        </w:rPr>
        <w:t>岭开发区，根据《中华人民共和国环境影响评价法》（</w:t>
      </w:r>
      <w:r>
        <w:rPr>
          <w:rFonts w:ascii="Times New Roman" w:hAnsi="Times New Roman" w:eastAsia="Times New Roman" w:cs="Times New Roman"/>
          <w:spacing w:val="-3"/>
          <w:sz w:val="24"/>
          <w:szCs w:val="24"/>
        </w:rPr>
        <w:t xml:space="preserve">2018 </w:t>
      </w:r>
      <w:r>
        <w:rPr>
          <w:rFonts w:ascii="宋体" w:hAnsi="宋体" w:eastAsia="宋体" w:cs="宋体"/>
          <w:spacing w:val="-3"/>
          <w:sz w:val="24"/>
          <w:szCs w:val="24"/>
        </w:rPr>
        <w:t>修正版）、《建设项目环</w:t>
      </w:r>
      <w:r>
        <w:rPr>
          <w:rFonts w:ascii="宋体" w:hAnsi="宋体" w:eastAsia="宋体" w:cs="宋体"/>
          <w:spacing w:val="12"/>
          <w:sz w:val="24"/>
          <w:szCs w:val="24"/>
        </w:rPr>
        <w:t xml:space="preserve"> </w:t>
      </w:r>
      <w:r>
        <w:rPr>
          <w:rFonts w:ascii="宋体" w:hAnsi="宋体" w:eastAsia="宋体" w:cs="宋体"/>
          <w:spacing w:val="-2"/>
          <w:sz w:val="24"/>
          <w:szCs w:val="24"/>
        </w:rPr>
        <w:t>境保护管理条例》（</w:t>
      </w:r>
      <w:r>
        <w:rPr>
          <w:rFonts w:ascii="Times New Roman" w:hAnsi="Times New Roman" w:eastAsia="Times New Roman" w:cs="Times New Roman"/>
          <w:spacing w:val="-2"/>
          <w:sz w:val="24"/>
          <w:szCs w:val="24"/>
        </w:rPr>
        <w:t xml:space="preserve">2017 </w:t>
      </w:r>
      <w:r>
        <w:rPr>
          <w:rFonts w:ascii="宋体" w:hAnsi="宋体" w:eastAsia="宋体" w:cs="宋体"/>
          <w:spacing w:val="-2"/>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21  </w:t>
      </w:r>
      <w:r>
        <w:rPr>
          <w:rFonts w:ascii="宋体" w:hAnsi="宋体" w:eastAsia="宋体" w:cs="宋体"/>
          <w:spacing w:val="-2"/>
          <w:sz w:val="24"/>
          <w:szCs w:val="24"/>
        </w:rPr>
        <w:t>日修订通过）、《建设项目环境影响评价分类管</w:t>
      </w:r>
      <w:r>
        <w:rPr>
          <w:rFonts w:ascii="宋体" w:hAnsi="宋体" w:eastAsia="宋体" w:cs="宋体"/>
          <w:sz w:val="24"/>
          <w:szCs w:val="24"/>
        </w:rPr>
        <w:t xml:space="preserve"> </w:t>
      </w:r>
      <w:r>
        <w:rPr>
          <w:rFonts w:ascii="宋体" w:hAnsi="宋体" w:eastAsia="宋体" w:cs="宋体"/>
          <w:spacing w:val="-1"/>
          <w:sz w:val="24"/>
          <w:szCs w:val="24"/>
        </w:rPr>
        <w:t>理名录》（</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年版）等文件，本项目需编写环境影响报告表。</w:t>
      </w:r>
      <w:r>
        <w:rPr>
          <w:rFonts w:ascii="宋体" w:hAnsi="宋体" w:eastAsia="宋体" w:cs="宋体"/>
          <w:spacing w:val="-2"/>
          <w:sz w:val="24"/>
          <w:szCs w:val="24"/>
        </w:rPr>
        <w:t>另根据《建设项目环</w:t>
      </w:r>
      <w:r>
        <w:rPr>
          <w:rFonts w:ascii="宋体" w:hAnsi="宋体" w:eastAsia="宋体" w:cs="宋体"/>
          <w:sz w:val="24"/>
          <w:szCs w:val="24"/>
        </w:rPr>
        <w:t xml:space="preserve"> 境影响报告表编制技术指南（污染影响类</w:t>
      </w:r>
      <w:r>
        <w:rPr>
          <w:rFonts w:ascii="宋体" w:hAnsi="宋体" w:eastAsia="宋体" w:cs="宋体"/>
          <w:spacing w:val="-24"/>
          <w:sz w:val="24"/>
          <w:szCs w:val="24"/>
        </w:rPr>
        <w:t>）（</w:t>
      </w:r>
      <w:r>
        <w:rPr>
          <w:rFonts w:ascii="宋体" w:hAnsi="宋体" w:eastAsia="宋体" w:cs="宋体"/>
          <w:sz w:val="24"/>
          <w:szCs w:val="24"/>
        </w:rPr>
        <w:t xml:space="preserve">试行）》，项目使用的有毒有害和易燃 </w:t>
      </w:r>
      <w:r>
        <w:rPr>
          <w:rFonts w:ascii="宋体" w:hAnsi="宋体" w:eastAsia="宋体" w:cs="宋体"/>
          <w:spacing w:val="-1"/>
          <w:sz w:val="24"/>
          <w:szCs w:val="24"/>
        </w:rPr>
        <w:t>易爆危险物质存储量超过了临界量,需设置环境风险专项评价。</w:t>
      </w:r>
    </w:p>
    <w:p w14:paraId="61AC772A">
      <w:pPr>
        <w:spacing w:before="1" w:line="359" w:lineRule="auto"/>
        <w:ind w:right="59" w:firstLine="480"/>
        <w:jc w:val="both"/>
        <w:rPr>
          <w:rFonts w:ascii="宋体" w:hAnsi="宋体" w:eastAsia="宋体" w:cs="宋体"/>
          <w:sz w:val="24"/>
          <w:szCs w:val="24"/>
        </w:rPr>
      </w:pPr>
      <w:r>
        <w:rPr>
          <w:rFonts w:ascii="宋体" w:hAnsi="宋体" w:eastAsia="宋体" w:cs="宋体"/>
          <w:spacing w:val="-1"/>
          <w:sz w:val="24"/>
          <w:szCs w:val="24"/>
        </w:rPr>
        <w:t>环境风险评价是环境影响评价领域中的一个重要组成</w:t>
      </w:r>
      <w:r>
        <w:rPr>
          <w:rFonts w:ascii="宋体" w:hAnsi="宋体" w:eastAsia="宋体" w:cs="宋体"/>
          <w:spacing w:val="-2"/>
          <w:sz w:val="24"/>
          <w:szCs w:val="24"/>
        </w:rPr>
        <w:t>部分，伴随着人们对环境危</w:t>
      </w:r>
      <w:r>
        <w:rPr>
          <w:rFonts w:ascii="宋体" w:hAnsi="宋体" w:eastAsia="宋体" w:cs="宋体"/>
          <w:sz w:val="24"/>
          <w:szCs w:val="24"/>
        </w:rPr>
        <w:t xml:space="preserve"> </w:t>
      </w:r>
      <w:r>
        <w:rPr>
          <w:rFonts w:ascii="宋体" w:hAnsi="宋体" w:eastAsia="宋体" w:cs="宋体"/>
          <w:spacing w:val="-1"/>
          <w:sz w:val="24"/>
          <w:szCs w:val="24"/>
        </w:rPr>
        <w:t>险及其灾变的认识日益增强和环境影响评价工作的深入开展，人</w:t>
      </w:r>
      <w:r>
        <w:rPr>
          <w:rFonts w:ascii="宋体" w:hAnsi="宋体" w:eastAsia="宋体" w:cs="宋体"/>
          <w:spacing w:val="-2"/>
          <w:sz w:val="24"/>
          <w:szCs w:val="24"/>
        </w:rPr>
        <w:t>们已经逐渐从正常事</w:t>
      </w:r>
      <w:r>
        <w:rPr>
          <w:rFonts w:ascii="宋体" w:hAnsi="宋体" w:eastAsia="宋体" w:cs="宋体"/>
          <w:sz w:val="24"/>
          <w:szCs w:val="24"/>
        </w:rPr>
        <w:t xml:space="preserve"> </w:t>
      </w:r>
      <w:r>
        <w:rPr>
          <w:rFonts w:ascii="宋体" w:hAnsi="宋体" w:eastAsia="宋体" w:cs="宋体"/>
          <w:spacing w:val="-1"/>
          <w:sz w:val="24"/>
          <w:szCs w:val="24"/>
        </w:rPr>
        <w:t>件转移到对偶然事件发生可能性的环境影响进行风险研究。评估</w:t>
      </w:r>
      <w:r>
        <w:rPr>
          <w:rFonts w:ascii="宋体" w:hAnsi="宋体" w:eastAsia="宋体" w:cs="宋体"/>
          <w:spacing w:val="-2"/>
          <w:sz w:val="24"/>
          <w:szCs w:val="24"/>
        </w:rPr>
        <w:t>事件发生概率以及在</w:t>
      </w:r>
      <w:r>
        <w:rPr>
          <w:rFonts w:ascii="宋体" w:hAnsi="宋体" w:eastAsia="宋体" w:cs="宋体"/>
          <w:sz w:val="24"/>
          <w:szCs w:val="24"/>
        </w:rPr>
        <w:t xml:space="preserve"> </w:t>
      </w:r>
      <w:r>
        <w:rPr>
          <w:rFonts w:ascii="宋体" w:hAnsi="宋体" w:eastAsia="宋体" w:cs="宋体"/>
          <w:spacing w:val="-1"/>
          <w:sz w:val="24"/>
          <w:szCs w:val="24"/>
        </w:rPr>
        <w:t>不同概率事件后果的严重性，并决定采取适宜的对策。环境风险</w:t>
      </w:r>
      <w:r>
        <w:rPr>
          <w:rFonts w:ascii="宋体" w:hAnsi="宋体" w:eastAsia="宋体" w:cs="宋体"/>
          <w:spacing w:val="-2"/>
          <w:sz w:val="24"/>
          <w:szCs w:val="24"/>
        </w:rPr>
        <w:t>评价的主要特点是评</w:t>
      </w:r>
      <w:r>
        <w:rPr>
          <w:rFonts w:ascii="宋体" w:hAnsi="宋体" w:eastAsia="宋体" w:cs="宋体"/>
          <w:sz w:val="24"/>
          <w:szCs w:val="24"/>
        </w:rPr>
        <w:t xml:space="preserve"> </w:t>
      </w:r>
      <w:r>
        <w:rPr>
          <w:rFonts w:ascii="宋体" w:hAnsi="宋体" w:eastAsia="宋体" w:cs="宋体"/>
          <w:spacing w:val="-1"/>
          <w:sz w:val="24"/>
          <w:szCs w:val="24"/>
        </w:rPr>
        <w:t>价环境中的不确定性和突发性的风险问题，关心的风险事故发生</w:t>
      </w:r>
      <w:r>
        <w:rPr>
          <w:rFonts w:ascii="宋体" w:hAnsi="宋体" w:eastAsia="宋体" w:cs="宋体"/>
          <w:spacing w:val="-2"/>
          <w:sz w:val="24"/>
          <w:szCs w:val="24"/>
        </w:rPr>
        <w:t>的可能性及其产生的</w:t>
      </w:r>
      <w:r>
        <w:rPr>
          <w:rFonts w:ascii="宋体" w:hAnsi="宋体" w:eastAsia="宋体" w:cs="宋体"/>
          <w:sz w:val="24"/>
          <w:szCs w:val="24"/>
        </w:rPr>
        <w:t xml:space="preserve"> </w:t>
      </w:r>
      <w:r>
        <w:rPr>
          <w:rFonts w:ascii="宋体" w:hAnsi="宋体" w:eastAsia="宋体" w:cs="宋体"/>
          <w:spacing w:val="-1"/>
          <w:sz w:val="24"/>
          <w:szCs w:val="24"/>
        </w:rPr>
        <w:t>环境后果。本评价参考《建设项目环境风险评价技术导则》（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）的技术规</w:t>
      </w:r>
      <w:r>
        <w:rPr>
          <w:rFonts w:ascii="宋体" w:hAnsi="宋体" w:eastAsia="宋体" w:cs="宋体"/>
          <w:spacing w:val="7"/>
          <w:sz w:val="24"/>
          <w:szCs w:val="24"/>
        </w:rPr>
        <w:t xml:space="preserve"> </w:t>
      </w:r>
      <w:r>
        <w:rPr>
          <w:rFonts w:ascii="宋体" w:hAnsi="宋体" w:eastAsia="宋体" w:cs="宋体"/>
          <w:spacing w:val="-1"/>
          <w:sz w:val="24"/>
          <w:szCs w:val="24"/>
        </w:rPr>
        <w:t>范进行环境风险评价。</w:t>
      </w:r>
    </w:p>
    <w:p w14:paraId="0B2C6A6C">
      <w:pPr>
        <w:spacing w:line="220" w:lineRule="auto"/>
        <w:ind w:left="7"/>
        <w:outlineLvl w:val="1"/>
        <w:rPr>
          <w:rFonts w:ascii="宋体" w:hAnsi="宋体" w:eastAsia="宋体" w:cs="宋体"/>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10"/>
          <w:sz w:val="24"/>
          <w:szCs w:val="24"/>
        </w:rPr>
        <w:t xml:space="preserve"> </w:t>
      </w:r>
      <w:r>
        <w:rPr>
          <w:rFonts w:ascii="宋体" w:hAnsi="宋体" w:eastAsia="宋体" w:cs="宋体"/>
          <w:b/>
          <w:bCs/>
          <w:spacing w:val="-7"/>
          <w:sz w:val="24"/>
          <w:szCs w:val="24"/>
        </w:rPr>
        <w:t>风险调查</w:t>
      </w:r>
    </w:p>
    <w:p w14:paraId="29609037">
      <w:pPr>
        <w:spacing w:before="179" w:line="220" w:lineRule="auto"/>
        <w:ind w:left="7"/>
        <w:outlineLvl w:val="2"/>
        <w:rPr>
          <w:rFonts w:ascii="宋体" w:hAnsi="宋体" w:eastAsia="宋体" w:cs="宋体"/>
          <w:sz w:val="24"/>
          <w:szCs w:val="24"/>
        </w:rPr>
      </w:pPr>
      <w:r>
        <w:rPr>
          <w:rFonts w:ascii="Times New Roman" w:hAnsi="Times New Roman" w:eastAsia="Times New Roman" w:cs="Times New Roman"/>
          <w:b/>
          <w:bCs/>
          <w:spacing w:val="-6"/>
          <w:sz w:val="24"/>
          <w:szCs w:val="24"/>
        </w:rPr>
        <w:t>1.1</w:t>
      </w:r>
      <w:r>
        <w:rPr>
          <w:rFonts w:ascii="Times New Roman" w:hAnsi="Times New Roman" w:eastAsia="Times New Roman" w:cs="Times New Roman"/>
          <w:b/>
          <w:bCs/>
          <w:spacing w:val="6"/>
          <w:sz w:val="24"/>
          <w:szCs w:val="24"/>
        </w:rPr>
        <w:t xml:space="preserve">  </w:t>
      </w:r>
      <w:r>
        <w:rPr>
          <w:rFonts w:ascii="宋体" w:hAnsi="宋体" w:eastAsia="宋体" w:cs="宋体"/>
          <w:b/>
          <w:bCs/>
          <w:spacing w:val="-6"/>
          <w:sz w:val="24"/>
          <w:szCs w:val="24"/>
        </w:rPr>
        <w:t>风险源</w:t>
      </w:r>
    </w:p>
    <w:p w14:paraId="24077B8F">
      <w:pPr>
        <w:spacing w:before="181" w:line="358" w:lineRule="auto"/>
        <w:ind w:left="2" w:firstLine="479"/>
        <w:jc w:val="both"/>
        <w:rPr>
          <w:rFonts w:ascii="宋体" w:hAnsi="宋体" w:eastAsia="宋体" w:cs="宋体"/>
          <w:sz w:val="24"/>
          <w:szCs w:val="24"/>
        </w:rPr>
      </w:pPr>
      <w:r>
        <w:rPr>
          <w:rFonts w:ascii="宋体" w:hAnsi="宋体" w:eastAsia="宋体" w:cs="宋体"/>
          <w:spacing w:val="-1"/>
          <w:sz w:val="24"/>
          <w:szCs w:val="24"/>
        </w:rPr>
        <w:t>本项目主要是对宝石原料进行泡酸初加工，正常运</w:t>
      </w:r>
      <w:r>
        <w:rPr>
          <w:rFonts w:ascii="宋体" w:hAnsi="宋体" w:eastAsia="宋体" w:cs="宋体"/>
          <w:spacing w:val="-2"/>
          <w:sz w:val="24"/>
          <w:szCs w:val="24"/>
        </w:rPr>
        <w:t>行需使用盐酸、氢氟酸等化学</w:t>
      </w:r>
      <w:r>
        <w:rPr>
          <w:rFonts w:ascii="宋体" w:hAnsi="宋体" w:eastAsia="宋体" w:cs="宋体"/>
          <w:sz w:val="24"/>
          <w:szCs w:val="24"/>
        </w:rPr>
        <w:t xml:space="preserve"> 品，项目建成后全厂的用量详见表</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 xml:space="preserve">2-5 </w:t>
      </w:r>
      <w:r>
        <w:rPr>
          <w:rFonts w:ascii="宋体" w:hAnsi="宋体" w:eastAsia="宋体" w:cs="宋体"/>
          <w:sz w:val="24"/>
          <w:szCs w:val="24"/>
        </w:rPr>
        <w:t>本项目原辅材料用量</w:t>
      </w:r>
      <w:r>
        <w:rPr>
          <w:rFonts w:ascii="宋体" w:hAnsi="宋体" w:eastAsia="宋体" w:cs="宋体"/>
          <w:spacing w:val="-1"/>
          <w:sz w:val="24"/>
          <w:szCs w:val="24"/>
        </w:rPr>
        <w:t>，根据《危险化学品重大</w:t>
      </w:r>
      <w:r>
        <w:rPr>
          <w:rFonts w:ascii="宋体" w:hAnsi="宋体" w:eastAsia="宋体" w:cs="宋体"/>
          <w:sz w:val="24"/>
          <w:szCs w:val="24"/>
        </w:rPr>
        <w:t xml:space="preserve"> </w:t>
      </w:r>
      <w:r>
        <w:rPr>
          <w:rFonts w:ascii="宋体" w:hAnsi="宋体" w:eastAsia="宋体" w:cs="宋体"/>
          <w:spacing w:val="-4"/>
          <w:sz w:val="24"/>
          <w:szCs w:val="24"/>
        </w:rPr>
        <w:t>危险源辨识》（</w:t>
      </w:r>
      <w:r>
        <w:rPr>
          <w:rFonts w:ascii="Times New Roman" w:hAnsi="Times New Roman" w:eastAsia="Times New Roman" w:cs="Times New Roman"/>
          <w:spacing w:val="-4"/>
          <w:sz w:val="24"/>
          <w:szCs w:val="24"/>
        </w:rPr>
        <w:t>GB18218-2018</w:t>
      </w:r>
      <w:r>
        <w:rPr>
          <w:rFonts w:ascii="宋体" w:hAnsi="宋体" w:eastAsia="宋体" w:cs="宋体"/>
          <w:spacing w:val="-4"/>
          <w:sz w:val="24"/>
          <w:szCs w:val="24"/>
        </w:rPr>
        <w:t>）和《建设项目环境风险评价技术导则》</w:t>
      </w:r>
      <w:r>
        <w:rPr>
          <w:rFonts w:ascii="Times New Roman" w:hAnsi="Times New Roman" w:eastAsia="Times New Roman" w:cs="Times New Roman"/>
          <w:spacing w:val="-4"/>
          <w:sz w:val="24"/>
          <w:szCs w:val="24"/>
        </w:rPr>
        <w:t>(HJ169-2018)</w:t>
      </w:r>
      <w:r>
        <w:rPr>
          <w:rFonts w:ascii="宋体" w:hAnsi="宋体" w:eastAsia="宋体" w:cs="宋体"/>
          <w:spacing w:val="-4"/>
          <w:sz w:val="24"/>
          <w:szCs w:val="24"/>
        </w:rPr>
        <w:t>，</w:t>
      </w:r>
      <w:r>
        <w:rPr>
          <w:rFonts w:ascii="宋体" w:hAnsi="宋体" w:eastAsia="宋体" w:cs="宋体"/>
          <w:spacing w:val="11"/>
          <w:sz w:val="24"/>
          <w:szCs w:val="24"/>
        </w:rPr>
        <w:t xml:space="preserve"> </w:t>
      </w:r>
      <w:r>
        <w:rPr>
          <w:rFonts w:ascii="宋体" w:hAnsi="宋体" w:eastAsia="宋体" w:cs="宋体"/>
          <w:spacing w:val="-1"/>
          <w:sz w:val="24"/>
          <w:szCs w:val="24"/>
        </w:rPr>
        <w:t>识别本项目危险源如下表：</w:t>
      </w:r>
    </w:p>
    <w:p w14:paraId="6C638C18">
      <w:pPr>
        <w:spacing w:before="126" w:line="220" w:lineRule="auto"/>
        <w:ind w:left="3489"/>
        <w:rPr>
          <w:rFonts w:ascii="宋体" w:hAnsi="宋体" w:eastAsia="宋体" w:cs="宋体"/>
          <w:sz w:val="24"/>
          <w:szCs w:val="24"/>
        </w:rPr>
      </w:pPr>
      <w:r>
        <w:rPr>
          <w:rFonts w:ascii="宋体" w:hAnsi="宋体" w:eastAsia="宋体" w:cs="宋体"/>
          <w:b/>
          <w:bCs/>
          <w:spacing w:val="-4"/>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4"/>
          <w:sz w:val="24"/>
          <w:szCs w:val="24"/>
        </w:rPr>
        <w:t xml:space="preserve">1    </w:t>
      </w:r>
      <w:r>
        <w:rPr>
          <w:rFonts w:ascii="宋体" w:hAnsi="宋体" w:eastAsia="宋体" w:cs="宋体"/>
          <w:b/>
          <w:bCs/>
          <w:spacing w:val="-4"/>
          <w:sz w:val="24"/>
          <w:szCs w:val="24"/>
        </w:rPr>
        <w:t>风险源识别</w:t>
      </w:r>
    </w:p>
    <w:p w14:paraId="3DDD8BA5">
      <w:pPr>
        <w:spacing w:line="146" w:lineRule="exact"/>
      </w:pPr>
    </w:p>
    <w:tbl>
      <w:tblPr>
        <w:tblStyle w:val="5"/>
        <w:tblW w:w="8685"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1228"/>
        <w:gridCol w:w="1229"/>
        <w:gridCol w:w="1095"/>
        <w:gridCol w:w="835"/>
        <w:gridCol w:w="1023"/>
        <w:gridCol w:w="1110"/>
        <w:gridCol w:w="1666"/>
      </w:tblGrid>
      <w:tr w14:paraId="0C18B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99" w:type="dxa"/>
            <w:textDirection w:val="tbRlV"/>
            <w:vAlign w:val="top"/>
          </w:tcPr>
          <w:p w14:paraId="26E9C7BE">
            <w:pPr>
              <w:pStyle w:val="6"/>
              <w:spacing w:before="142" w:line="218" w:lineRule="auto"/>
              <w:ind w:left="35"/>
              <w:rPr>
                <w:sz w:val="20"/>
                <w:szCs w:val="20"/>
              </w:rPr>
            </w:pPr>
            <w:r>
              <w:rPr>
                <w:spacing w:val="8"/>
                <w:sz w:val="20"/>
                <w:szCs w:val="20"/>
              </w:rPr>
              <w:t>序</w:t>
            </w:r>
            <w:r>
              <w:rPr>
                <w:spacing w:val="-37"/>
                <w:sz w:val="20"/>
                <w:szCs w:val="20"/>
              </w:rPr>
              <w:t xml:space="preserve"> </w:t>
            </w:r>
            <w:r>
              <w:rPr>
                <w:spacing w:val="8"/>
                <w:sz w:val="20"/>
                <w:szCs w:val="20"/>
              </w:rPr>
              <w:t>号</w:t>
            </w:r>
          </w:p>
        </w:tc>
        <w:tc>
          <w:tcPr>
            <w:tcW w:w="1228" w:type="dxa"/>
            <w:vAlign w:val="top"/>
          </w:tcPr>
          <w:p w14:paraId="765871AE">
            <w:pPr>
              <w:pStyle w:val="6"/>
              <w:spacing w:before="170" w:line="228" w:lineRule="auto"/>
              <w:ind w:left="196"/>
              <w:rPr>
                <w:sz w:val="20"/>
                <w:szCs w:val="20"/>
              </w:rPr>
            </w:pPr>
            <w:r>
              <w:rPr>
                <w:spacing w:val="7"/>
                <w:sz w:val="20"/>
                <w:szCs w:val="20"/>
              </w:rPr>
              <w:t>物料名称</w:t>
            </w:r>
          </w:p>
        </w:tc>
        <w:tc>
          <w:tcPr>
            <w:tcW w:w="1229" w:type="dxa"/>
            <w:vAlign w:val="top"/>
          </w:tcPr>
          <w:p w14:paraId="32798931">
            <w:pPr>
              <w:pStyle w:val="6"/>
              <w:spacing w:before="169" w:line="228" w:lineRule="auto"/>
              <w:ind w:left="198"/>
              <w:rPr>
                <w:sz w:val="20"/>
                <w:szCs w:val="20"/>
              </w:rPr>
            </w:pPr>
            <w:r>
              <w:rPr>
                <w:spacing w:val="7"/>
                <w:sz w:val="20"/>
                <w:szCs w:val="20"/>
              </w:rPr>
              <w:t>储存方式</w:t>
            </w:r>
          </w:p>
        </w:tc>
        <w:tc>
          <w:tcPr>
            <w:tcW w:w="1095" w:type="dxa"/>
            <w:vAlign w:val="top"/>
          </w:tcPr>
          <w:p w14:paraId="6DCE4BA5">
            <w:pPr>
              <w:pStyle w:val="6"/>
              <w:spacing w:before="35" w:line="228" w:lineRule="auto"/>
              <w:ind w:left="134"/>
              <w:rPr>
                <w:sz w:val="20"/>
                <w:szCs w:val="20"/>
              </w:rPr>
            </w:pPr>
            <w:r>
              <w:rPr>
                <w:spacing w:val="6"/>
                <w:sz w:val="20"/>
                <w:szCs w:val="20"/>
              </w:rPr>
              <w:t>最大储存</w:t>
            </w:r>
          </w:p>
          <w:p w14:paraId="566C9730">
            <w:pPr>
              <w:pStyle w:val="6"/>
              <w:spacing w:before="24" w:line="218" w:lineRule="auto"/>
              <w:ind w:left="208"/>
              <w:rPr>
                <w:sz w:val="20"/>
                <w:szCs w:val="20"/>
              </w:rPr>
            </w:pPr>
            <w:r>
              <w:rPr>
                <w:spacing w:val="3"/>
                <w:sz w:val="20"/>
                <w:szCs w:val="20"/>
              </w:rPr>
              <w:t>量（</w:t>
            </w:r>
            <w:r>
              <w:rPr>
                <w:rFonts w:ascii="Times New Roman" w:hAnsi="Times New Roman" w:eastAsia="Times New Roman" w:cs="Times New Roman"/>
                <w:spacing w:val="3"/>
                <w:sz w:val="20"/>
                <w:szCs w:val="20"/>
              </w:rPr>
              <w:t>t</w:t>
            </w:r>
            <w:r>
              <w:rPr>
                <w:spacing w:val="3"/>
                <w:sz w:val="20"/>
                <w:szCs w:val="20"/>
              </w:rPr>
              <w:t>）</w:t>
            </w:r>
          </w:p>
        </w:tc>
        <w:tc>
          <w:tcPr>
            <w:tcW w:w="835" w:type="dxa"/>
            <w:vAlign w:val="top"/>
          </w:tcPr>
          <w:p w14:paraId="29B63FCD">
            <w:pPr>
              <w:pStyle w:val="6"/>
              <w:spacing w:before="35" w:line="228" w:lineRule="auto"/>
              <w:ind w:left="212"/>
              <w:rPr>
                <w:sz w:val="20"/>
                <w:szCs w:val="20"/>
              </w:rPr>
            </w:pPr>
            <w:r>
              <w:rPr>
                <w:spacing w:val="5"/>
                <w:sz w:val="20"/>
                <w:szCs w:val="20"/>
              </w:rPr>
              <w:t>存储</w:t>
            </w:r>
          </w:p>
          <w:p w14:paraId="4BC8D405">
            <w:pPr>
              <w:pStyle w:val="6"/>
              <w:spacing w:before="24" w:line="218" w:lineRule="auto"/>
              <w:ind w:left="212"/>
              <w:rPr>
                <w:sz w:val="20"/>
                <w:szCs w:val="20"/>
              </w:rPr>
            </w:pPr>
            <w:r>
              <w:rPr>
                <w:spacing w:val="4"/>
                <w:sz w:val="20"/>
                <w:szCs w:val="20"/>
              </w:rPr>
              <w:t>地点</w:t>
            </w:r>
          </w:p>
        </w:tc>
        <w:tc>
          <w:tcPr>
            <w:tcW w:w="1023" w:type="dxa"/>
            <w:vAlign w:val="top"/>
          </w:tcPr>
          <w:p w14:paraId="3C3A4F8B">
            <w:pPr>
              <w:pStyle w:val="6"/>
              <w:spacing w:before="36" w:line="228" w:lineRule="auto"/>
              <w:ind w:left="202"/>
              <w:rPr>
                <w:sz w:val="20"/>
                <w:szCs w:val="20"/>
              </w:rPr>
            </w:pPr>
            <w:r>
              <w:rPr>
                <w:spacing w:val="7"/>
                <w:sz w:val="20"/>
                <w:szCs w:val="20"/>
              </w:rPr>
              <w:t>在线量</w:t>
            </w:r>
          </w:p>
          <w:p w14:paraId="47B9A4EE">
            <w:pPr>
              <w:pStyle w:val="6"/>
              <w:spacing w:before="23" w:line="218" w:lineRule="auto"/>
              <w:ind w:left="288"/>
              <w:rPr>
                <w:sz w:val="20"/>
                <w:szCs w:val="20"/>
              </w:rPr>
            </w:pPr>
            <w:r>
              <w:rPr>
                <w:spacing w:val="-2"/>
                <w:sz w:val="20"/>
                <w:szCs w:val="20"/>
              </w:rPr>
              <w:t>（</w:t>
            </w:r>
            <w:r>
              <w:rPr>
                <w:rFonts w:ascii="Times New Roman" w:hAnsi="Times New Roman" w:eastAsia="Times New Roman" w:cs="Times New Roman"/>
                <w:spacing w:val="-2"/>
                <w:sz w:val="20"/>
                <w:szCs w:val="20"/>
              </w:rPr>
              <w:t>t</w:t>
            </w:r>
            <w:r>
              <w:rPr>
                <w:spacing w:val="-2"/>
                <w:sz w:val="20"/>
                <w:szCs w:val="20"/>
              </w:rPr>
              <w:t>）</w:t>
            </w:r>
          </w:p>
        </w:tc>
        <w:tc>
          <w:tcPr>
            <w:tcW w:w="1110" w:type="dxa"/>
            <w:vAlign w:val="top"/>
          </w:tcPr>
          <w:p w14:paraId="609557DB">
            <w:pPr>
              <w:pStyle w:val="6"/>
              <w:spacing w:before="35" w:line="234" w:lineRule="auto"/>
              <w:ind w:left="245" w:right="132" w:hanging="103"/>
              <w:rPr>
                <w:sz w:val="20"/>
                <w:szCs w:val="20"/>
              </w:rPr>
            </w:pPr>
            <w:r>
              <w:rPr>
                <w:spacing w:val="7"/>
                <w:sz w:val="20"/>
                <w:szCs w:val="20"/>
              </w:rPr>
              <w:t>在线量存</w:t>
            </w:r>
            <w:r>
              <w:rPr>
                <w:spacing w:val="1"/>
                <w:sz w:val="20"/>
                <w:szCs w:val="20"/>
              </w:rPr>
              <w:t xml:space="preserve"> </w:t>
            </w:r>
            <w:r>
              <w:rPr>
                <w:spacing w:val="7"/>
                <w:sz w:val="20"/>
                <w:szCs w:val="20"/>
              </w:rPr>
              <w:t>在位置</w:t>
            </w:r>
          </w:p>
        </w:tc>
        <w:tc>
          <w:tcPr>
            <w:tcW w:w="1666" w:type="dxa"/>
            <w:vAlign w:val="top"/>
          </w:tcPr>
          <w:p w14:paraId="2B79D779">
            <w:pPr>
              <w:pStyle w:val="6"/>
              <w:spacing w:before="169" w:line="228" w:lineRule="auto"/>
              <w:ind w:left="297"/>
              <w:rPr>
                <w:sz w:val="20"/>
                <w:szCs w:val="20"/>
              </w:rPr>
            </w:pPr>
            <w:r>
              <w:rPr>
                <w:spacing w:val="3"/>
                <w:sz w:val="20"/>
                <w:szCs w:val="20"/>
              </w:rPr>
              <w:t>临界量（</w:t>
            </w:r>
            <w:r>
              <w:rPr>
                <w:rFonts w:ascii="Times New Roman" w:hAnsi="Times New Roman" w:eastAsia="Times New Roman" w:cs="Times New Roman"/>
                <w:spacing w:val="3"/>
                <w:sz w:val="20"/>
                <w:szCs w:val="20"/>
              </w:rPr>
              <w:t>t</w:t>
            </w:r>
            <w:r>
              <w:rPr>
                <w:spacing w:val="3"/>
                <w:sz w:val="20"/>
                <w:szCs w:val="20"/>
              </w:rPr>
              <w:t>）</w:t>
            </w:r>
          </w:p>
        </w:tc>
      </w:tr>
      <w:tr w14:paraId="60712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9" w:type="dxa"/>
            <w:vAlign w:val="top"/>
          </w:tcPr>
          <w:p w14:paraId="6989F4BA">
            <w:pPr>
              <w:pStyle w:val="6"/>
              <w:spacing w:before="166" w:line="270" w:lineRule="exact"/>
              <w:ind w:left="216"/>
              <w:rPr>
                <w:sz w:val="20"/>
                <w:szCs w:val="20"/>
              </w:rPr>
            </w:pPr>
            <w:r>
              <w:rPr>
                <w:position w:val="1"/>
                <w:sz w:val="20"/>
                <w:szCs w:val="20"/>
              </w:rPr>
              <w:t>1</w:t>
            </w:r>
          </w:p>
        </w:tc>
        <w:tc>
          <w:tcPr>
            <w:tcW w:w="1228" w:type="dxa"/>
            <w:vAlign w:val="top"/>
          </w:tcPr>
          <w:p w14:paraId="4E06DC02">
            <w:pPr>
              <w:pStyle w:val="6"/>
              <w:spacing w:before="166" w:line="229" w:lineRule="auto"/>
              <w:ind w:right="10"/>
              <w:jc w:val="right"/>
              <w:rPr>
                <w:sz w:val="20"/>
                <w:szCs w:val="20"/>
              </w:rPr>
            </w:pPr>
            <w:r>
              <w:rPr>
                <w:sz w:val="20"/>
                <w:szCs w:val="20"/>
              </w:rPr>
              <w:t>盐酸（31%）</w:t>
            </w:r>
          </w:p>
        </w:tc>
        <w:tc>
          <w:tcPr>
            <w:tcW w:w="1229" w:type="dxa"/>
            <w:vAlign w:val="top"/>
          </w:tcPr>
          <w:p w14:paraId="23299D8B">
            <w:pPr>
              <w:pStyle w:val="6"/>
              <w:spacing w:before="32" w:line="222" w:lineRule="auto"/>
              <w:ind w:left="114"/>
              <w:rPr>
                <w:sz w:val="20"/>
                <w:szCs w:val="20"/>
              </w:rPr>
            </w:pPr>
            <w:r>
              <w:rPr>
                <w:sz w:val="20"/>
                <w:szCs w:val="20"/>
              </w:rPr>
              <w:t>液体，25kg</w:t>
            </w:r>
          </w:p>
          <w:p w14:paraId="0E11DCE6">
            <w:pPr>
              <w:pStyle w:val="6"/>
              <w:spacing w:before="31" w:line="217" w:lineRule="auto"/>
              <w:ind w:left="409"/>
              <w:rPr>
                <w:sz w:val="20"/>
                <w:szCs w:val="20"/>
              </w:rPr>
            </w:pPr>
            <w:r>
              <w:rPr>
                <w:spacing w:val="3"/>
                <w:sz w:val="20"/>
                <w:szCs w:val="20"/>
              </w:rPr>
              <w:t>桶装</w:t>
            </w:r>
          </w:p>
        </w:tc>
        <w:tc>
          <w:tcPr>
            <w:tcW w:w="1095" w:type="dxa"/>
            <w:vAlign w:val="top"/>
          </w:tcPr>
          <w:p w14:paraId="03B625C4">
            <w:pPr>
              <w:pStyle w:val="6"/>
              <w:spacing w:before="166" w:line="269" w:lineRule="exact"/>
              <w:ind w:left="452"/>
              <w:rPr>
                <w:sz w:val="20"/>
                <w:szCs w:val="20"/>
              </w:rPr>
            </w:pPr>
            <w:r>
              <w:rPr>
                <w:spacing w:val="-2"/>
                <w:position w:val="1"/>
                <w:sz w:val="20"/>
                <w:szCs w:val="20"/>
              </w:rPr>
              <w:t>50</w:t>
            </w:r>
          </w:p>
        </w:tc>
        <w:tc>
          <w:tcPr>
            <w:tcW w:w="835" w:type="dxa"/>
            <w:vMerge w:val="restart"/>
            <w:tcBorders>
              <w:bottom w:val="nil"/>
            </w:tcBorders>
            <w:vAlign w:val="top"/>
          </w:tcPr>
          <w:p w14:paraId="280A3102">
            <w:pPr>
              <w:spacing w:line="244" w:lineRule="auto"/>
              <w:rPr>
                <w:rFonts w:ascii="Arial"/>
                <w:sz w:val="21"/>
              </w:rPr>
            </w:pPr>
          </w:p>
          <w:p w14:paraId="335CD51E">
            <w:pPr>
              <w:spacing w:line="244" w:lineRule="auto"/>
              <w:rPr>
                <w:rFonts w:ascii="Arial"/>
                <w:sz w:val="21"/>
              </w:rPr>
            </w:pPr>
          </w:p>
          <w:p w14:paraId="3C2785D3">
            <w:pPr>
              <w:spacing w:line="245" w:lineRule="auto"/>
              <w:rPr>
                <w:rFonts w:ascii="Arial"/>
                <w:sz w:val="21"/>
              </w:rPr>
            </w:pPr>
          </w:p>
          <w:p w14:paraId="2D04C8DF">
            <w:pPr>
              <w:spacing w:line="245" w:lineRule="auto"/>
              <w:rPr>
                <w:rFonts w:ascii="Arial"/>
                <w:sz w:val="21"/>
              </w:rPr>
            </w:pPr>
          </w:p>
          <w:p w14:paraId="29E2EB2F">
            <w:pPr>
              <w:pStyle w:val="6"/>
              <w:spacing w:before="65" w:line="229" w:lineRule="auto"/>
              <w:ind w:left="213"/>
              <w:rPr>
                <w:sz w:val="20"/>
                <w:szCs w:val="20"/>
              </w:rPr>
            </w:pPr>
            <w:r>
              <w:rPr>
                <w:spacing w:val="4"/>
                <w:sz w:val="20"/>
                <w:szCs w:val="20"/>
              </w:rPr>
              <w:t>化学</w:t>
            </w:r>
          </w:p>
          <w:p w14:paraId="396F61CF">
            <w:pPr>
              <w:pStyle w:val="6"/>
              <w:spacing w:before="24" w:line="252" w:lineRule="auto"/>
              <w:ind w:left="319" w:right="207" w:hanging="89"/>
              <w:rPr>
                <w:sz w:val="20"/>
                <w:szCs w:val="20"/>
              </w:rPr>
            </w:pPr>
            <w:r>
              <w:rPr>
                <w:spacing w:val="-4"/>
                <w:sz w:val="20"/>
                <w:szCs w:val="20"/>
              </w:rPr>
              <w:t>品仓</w:t>
            </w:r>
            <w:r>
              <w:rPr>
                <w:sz w:val="20"/>
                <w:szCs w:val="20"/>
              </w:rPr>
              <w:t xml:space="preserve"> 库</w:t>
            </w:r>
          </w:p>
        </w:tc>
        <w:tc>
          <w:tcPr>
            <w:tcW w:w="1023" w:type="dxa"/>
            <w:vAlign w:val="top"/>
          </w:tcPr>
          <w:p w14:paraId="270EF6FD">
            <w:pPr>
              <w:spacing w:before="204"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14.67</w:t>
            </w:r>
          </w:p>
        </w:tc>
        <w:tc>
          <w:tcPr>
            <w:tcW w:w="1110" w:type="dxa"/>
            <w:vMerge w:val="restart"/>
            <w:tcBorders>
              <w:bottom w:val="nil"/>
            </w:tcBorders>
            <w:vAlign w:val="top"/>
          </w:tcPr>
          <w:p w14:paraId="0F3AA45A">
            <w:pPr>
              <w:spacing w:line="250" w:lineRule="auto"/>
              <w:rPr>
                <w:rFonts w:ascii="Arial"/>
                <w:sz w:val="21"/>
              </w:rPr>
            </w:pPr>
          </w:p>
          <w:p w14:paraId="3A7E197E">
            <w:pPr>
              <w:spacing w:line="250" w:lineRule="auto"/>
              <w:rPr>
                <w:rFonts w:ascii="Arial"/>
                <w:sz w:val="21"/>
              </w:rPr>
            </w:pPr>
          </w:p>
          <w:p w14:paraId="5198D4F6">
            <w:pPr>
              <w:spacing w:line="250" w:lineRule="auto"/>
              <w:rPr>
                <w:rFonts w:ascii="Arial"/>
                <w:sz w:val="21"/>
              </w:rPr>
            </w:pPr>
          </w:p>
          <w:p w14:paraId="7B520FB4">
            <w:pPr>
              <w:spacing w:line="250" w:lineRule="auto"/>
              <w:rPr>
                <w:rFonts w:ascii="Arial"/>
                <w:sz w:val="21"/>
              </w:rPr>
            </w:pPr>
          </w:p>
          <w:p w14:paraId="5174344B">
            <w:pPr>
              <w:spacing w:line="250" w:lineRule="auto"/>
              <w:rPr>
                <w:rFonts w:ascii="Arial"/>
                <w:sz w:val="21"/>
              </w:rPr>
            </w:pPr>
          </w:p>
          <w:p w14:paraId="4A6C43DB">
            <w:pPr>
              <w:pStyle w:val="6"/>
              <w:spacing w:before="65" w:line="228" w:lineRule="auto"/>
              <w:ind w:left="144"/>
              <w:rPr>
                <w:sz w:val="20"/>
                <w:szCs w:val="20"/>
              </w:rPr>
            </w:pPr>
            <w:r>
              <w:rPr>
                <w:spacing w:val="6"/>
                <w:sz w:val="20"/>
                <w:szCs w:val="20"/>
              </w:rPr>
              <w:t>泡酸车间</w:t>
            </w:r>
          </w:p>
        </w:tc>
        <w:tc>
          <w:tcPr>
            <w:tcW w:w="1666" w:type="dxa"/>
            <w:vAlign w:val="top"/>
          </w:tcPr>
          <w:p w14:paraId="2A0EBFE8">
            <w:pPr>
              <w:spacing w:before="207" w:line="192"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7B2C5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99" w:type="dxa"/>
            <w:vAlign w:val="top"/>
          </w:tcPr>
          <w:p w14:paraId="0FB64B95">
            <w:pPr>
              <w:pStyle w:val="6"/>
              <w:spacing w:before="212" w:line="270" w:lineRule="exact"/>
              <w:ind w:left="203"/>
              <w:rPr>
                <w:sz w:val="20"/>
                <w:szCs w:val="20"/>
              </w:rPr>
            </w:pPr>
            <w:r>
              <w:rPr>
                <w:position w:val="1"/>
                <w:sz w:val="20"/>
                <w:szCs w:val="20"/>
              </w:rPr>
              <w:t>2</w:t>
            </w:r>
          </w:p>
        </w:tc>
        <w:tc>
          <w:tcPr>
            <w:tcW w:w="1228" w:type="dxa"/>
            <w:vAlign w:val="top"/>
          </w:tcPr>
          <w:p w14:paraId="6E480940">
            <w:pPr>
              <w:pStyle w:val="6"/>
              <w:spacing w:before="77" w:line="228" w:lineRule="auto"/>
              <w:ind w:left="301"/>
              <w:rPr>
                <w:sz w:val="20"/>
                <w:szCs w:val="20"/>
              </w:rPr>
            </w:pPr>
            <w:r>
              <w:rPr>
                <w:spacing w:val="6"/>
                <w:sz w:val="20"/>
                <w:szCs w:val="20"/>
              </w:rPr>
              <w:t>氢氟酸</w:t>
            </w:r>
          </w:p>
          <w:p w14:paraId="3C59F747">
            <w:pPr>
              <w:pStyle w:val="6"/>
              <w:spacing w:before="24"/>
              <w:ind w:left="259"/>
              <w:rPr>
                <w:sz w:val="20"/>
                <w:szCs w:val="20"/>
              </w:rPr>
            </w:pPr>
            <w:r>
              <w:rPr>
                <w:spacing w:val="1"/>
                <w:sz w:val="20"/>
                <w:szCs w:val="20"/>
              </w:rPr>
              <w:t>（30%）</w:t>
            </w:r>
          </w:p>
        </w:tc>
        <w:tc>
          <w:tcPr>
            <w:tcW w:w="1229" w:type="dxa"/>
            <w:vAlign w:val="top"/>
          </w:tcPr>
          <w:p w14:paraId="68B9AD05">
            <w:pPr>
              <w:pStyle w:val="6"/>
              <w:spacing w:before="78" w:line="222" w:lineRule="auto"/>
              <w:ind w:left="114"/>
              <w:rPr>
                <w:sz w:val="20"/>
                <w:szCs w:val="20"/>
              </w:rPr>
            </w:pPr>
            <w:r>
              <w:rPr>
                <w:sz w:val="20"/>
                <w:szCs w:val="20"/>
              </w:rPr>
              <w:t>液体，25kg</w:t>
            </w:r>
          </w:p>
          <w:p w14:paraId="4E67586B">
            <w:pPr>
              <w:pStyle w:val="6"/>
              <w:spacing w:before="30" w:line="228" w:lineRule="auto"/>
              <w:ind w:left="409"/>
              <w:rPr>
                <w:sz w:val="20"/>
                <w:szCs w:val="20"/>
              </w:rPr>
            </w:pPr>
            <w:r>
              <w:rPr>
                <w:spacing w:val="3"/>
                <w:sz w:val="20"/>
                <w:szCs w:val="20"/>
              </w:rPr>
              <w:t>桶装</w:t>
            </w:r>
          </w:p>
        </w:tc>
        <w:tc>
          <w:tcPr>
            <w:tcW w:w="1095" w:type="dxa"/>
            <w:vAlign w:val="top"/>
          </w:tcPr>
          <w:p w14:paraId="235DD5C2">
            <w:pPr>
              <w:pStyle w:val="6"/>
              <w:spacing w:before="212" w:line="269" w:lineRule="exact"/>
              <w:ind w:left="464"/>
              <w:rPr>
                <w:sz w:val="20"/>
                <w:szCs w:val="20"/>
              </w:rPr>
            </w:pPr>
            <w:r>
              <w:rPr>
                <w:spacing w:val="-7"/>
                <w:position w:val="1"/>
                <w:sz w:val="20"/>
                <w:szCs w:val="20"/>
              </w:rPr>
              <w:t>15</w:t>
            </w:r>
          </w:p>
        </w:tc>
        <w:tc>
          <w:tcPr>
            <w:tcW w:w="835" w:type="dxa"/>
            <w:vMerge w:val="continue"/>
            <w:tcBorders>
              <w:top w:val="nil"/>
              <w:bottom w:val="nil"/>
            </w:tcBorders>
            <w:vAlign w:val="top"/>
          </w:tcPr>
          <w:p w14:paraId="06C59857">
            <w:pPr>
              <w:rPr>
                <w:rFonts w:ascii="Arial"/>
                <w:sz w:val="21"/>
              </w:rPr>
            </w:pPr>
          </w:p>
        </w:tc>
        <w:tc>
          <w:tcPr>
            <w:tcW w:w="1023" w:type="dxa"/>
            <w:vAlign w:val="top"/>
          </w:tcPr>
          <w:p w14:paraId="041C8281">
            <w:pPr>
              <w:spacing w:before="253" w:line="192"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10" w:type="dxa"/>
            <w:vMerge w:val="continue"/>
            <w:tcBorders>
              <w:top w:val="nil"/>
              <w:bottom w:val="nil"/>
            </w:tcBorders>
            <w:vAlign w:val="top"/>
          </w:tcPr>
          <w:p w14:paraId="10DF0931">
            <w:pPr>
              <w:rPr>
                <w:rFonts w:ascii="Arial"/>
                <w:sz w:val="21"/>
              </w:rPr>
            </w:pPr>
          </w:p>
        </w:tc>
        <w:tc>
          <w:tcPr>
            <w:tcW w:w="1666" w:type="dxa"/>
            <w:vAlign w:val="top"/>
          </w:tcPr>
          <w:p w14:paraId="5C367998">
            <w:pPr>
              <w:spacing w:before="25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2018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9" w:type="dxa"/>
            <w:vAlign w:val="top"/>
          </w:tcPr>
          <w:p w14:paraId="3894AECE">
            <w:pPr>
              <w:pStyle w:val="6"/>
              <w:spacing w:before="167" w:line="269" w:lineRule="exact"/>
              <w:ind w:left="204"/>
              <w:rPr>
                <w:sz w:val="20"/>
                <w:szCs w:val="20"/>
              </w:rPr>
            </w:pPr>
            <w:r>
              <w:rPr>
                <w:position w:val="1"/>
                <w:sz w:val="20"/>
                <w:szCs w:val="20"/>
              </w:rPr>
              <w:t>3</w:t>
            </w:r>
          </w:p>
        </w:tc>
        <w:tc>
          <w:tcPr>
            <w:tcW w:w="1228" w:type="dxa"/>
            <w:vAlign w:val="top"/>
          </w:tcPr>
          <w:p w14:paraId="6C790AEF">
            <w:pPr>
              <w:pStyle w:val="6"/>
              <w:spacing w:before="167" w:line="229" w:lineRule="auto"/>
              <w:ind w:right="10"/>
              <w:jc w:val="right"/>
              <w:rPr>
                <w:sz w:val="20"/>
                <w:szCs w:val="20"/>
              </w:rPr>
            </w:pPr>
            <w:r>
              <w:rPr>
                <w:sz w:val="20"/>
                <w:szCs w:val="20"/>
              </w:rPr>
              <w:t>硫酸（98%）</w:t>
            </w:r>
          </w:p>
        </w:tc>
        <w:tc>
          <w:tcPr>
            <w:tcW w:w="1229" w:type="dxa"/>
            <w:vAlign w:val="top"/>
          </w:tcPr>
          <w:p w14:paraId="363B8CD5">
            <w:pPr>
              <w:pStyle w:val="6"/>
              <w:spacing w:before="33" w:line="222" w:lineRule="auto"/>
              <w:ind w:left="114"/>
              <w:rPr>
                <w:sz w:val="20"/>
                <w:szCs w:val="20"/>
              </w:rPr>
            </w:pPr>
            <w:r>
              <w:rPr>
                <w:sz w:val="20"/>
                <w:szCs w:val="20"/>
              </w:rPr>
              <w:t>液体，25kg</w:t>
            </w:r>
          </w:p>
          <w:p w14:paraId="6557C58A">
            <w:pPr>
              <w:pStyle w:val="6"/>
              <w:spacing w:before="31" w:line="216" w:lineRule="auto"/>
              <w:ind w:left="409"/>
              <w:rPr>
                <w:sz w:val="20"/>
                <w:szCs w:val="20"/>
              </w:rPr>
            </w:pPr>
            <w:r>
              <w:rPr>
                <w:spacing w:val="3"/>
                <w:sz w:val="20"/>
                <w:szCs w:val="20"/>
              </w:rPr>
              <w:t>桶装</w:t>
            </w:r>
          </w:p>
        </w:tc>
        <w:tc>
          <w:tcPr>
            <w:tcW w:w="1095" w:type="dxa"/>
            <w:vAlign w:val="top"/>
          </w:tcPr>
          <w:p w14:paraId="0B89FB2B">
            <w:pPr>
              <w:pStyle w:val="6"/>
              <w:spacing w:before="167" w:line="270" w:lineRule="exact"/>
              <w:ind w:left="514"/>
              <w:rPr>
                <w:sz w:val="20"/>
                <w:szCs w:val="20"/>
              </w:rPr>
            </w:pPr>
            <w:r>
              <w:rPr>
                <w:position w:val="1"/>
                <w:sz w:val="20"/>
                <w:szCs w:val="20"/>
              </w:rPr>
              <w:t>1</w:t>
            </w:r>
          </w:p>
        </w:tc>
        <w:tc>
          <w:tcPr>
            <w:tcW w:w="835" w:type="dxa"/>
            <w:vMerge w:val="continue"/>
            <w:tcBorders>
              <w:top w:val="nil"/>
              <w:bottom w:val="nil"/>
            </w:tcBorders>
            <w:vAlign w:val="top"/>
          </w:tcPr>
          <w:p w14:paraId="5FFA2AFA">
            <w:pPr>
              <w:rPr>
                <w:rFonts w:ascii="Arial"/>
                <w:sz w:val="21"/>
              </w:rPr>
            </w:pPr>
          </w:p>
        </w:tc>
        <w:tc>
          <w:tcPr>
            <w:tcW w:w="1023" w:type="dxa"/>
            <w:vAlign w:val="top"/>
          </w:tcPr>
          <w:p w14:paraId="22BA7E69">
            <w:pPr>
              <w:spacing w:before="205"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10" w:type="dxa"/>
            <w:vMerge w:val="continue"/>
            <w:tcBorders>
              <w:top w:val="nil"/>
              <w:bottom w:val="nil"/>
            </w:tcBorders>
            <w:vAlign w:val="top"/>
          </w:tcPr>
          <w:p w14:paraId="2E3A1FC4">
            <w:pPr>
              <w:rPr>
                <w:rFonts w:ascii="Arial"/>
                <w:sz w:val="21"/>
              </w:rPr>
            </w:pPr>
          </w:p>
        </w:tc>
        <w:tc>
          <w:tcPr>
            <w:tcW w:w="1666" w:type="dxa"/>
            <w:vAlign w:val="top"/>
          </w:tcPr>
          <w:p w14:paraId="798F5516">
            <w:pPr>
              <w:spacing w:before="205"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48B73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9" w:type="dxa"/>
            <w:vAlign w:val="top"/>
          </w:tcPr>
          <w:p w14:paraId="1F057702">
            <w:pPr>
              <w:pStyle w:val="6"/>
              <w:spacing w:before="170" w:line="270" w:lineRule="exact"/>
              <w:ind w:left="199"/>
              <w:rPr>
                <w:sz w:val="20"/>
                <w:szCs w:val="20"/>
              </w:rPr>
            </w:pPr>
            <w:r>
              <w:rPr>
                <w:position w:val="1"/>
                <w:sz w:val="20"/>
                <w:szCs w:val="20"/>
              </w:rPr>
              <w:t>4</w:t>
            </w:r>
          </w:p>
        </w:tc>
        <w:tc>
          <w:tcPr>
            <w:tcW w:w="1228" w:type="dxa"/>
            <w:vAlign w:val="top"/>
          </w:tcPr>
          <w:p w14:paraId="1ABCBF60">
            <w:pPr>
              <w:pStyle w:val="6"/>
              <w:spacing w:before="170" w:line="229" w:lineRule="auto"/>
              <w:ind w:right="10"/>
              <w:jc w:val="right"/>
              <w:rPr>
                <w:sz w:val="20"/>
                <w:szCs w:val="20"/>
              </w:rPr>
            </w:pPr>
            <w:r>
              <w:rPr>
                <w:sz w:val="20"/>
                <w:szCs w:val="20"/>
              </w:rPr>
              <w:t>硝酸（68%）</w:t>
            </w:r>
          </w:p>
        </w:tc>
        <w:tc>
          <w:tcPr>
            <w:tcW w:w="1229" w:type="dxa"/>
            <w:vAlign w:val="top"/>
          </w:tcPr>
          <w:p w14:paraId="325E7436">
            <w:pPr>
              <w:pStyle w:val="6"/>
              <w:spacing w:before="33" w:line="222" w:lineRule="auto"/>
              <w:ind w:left="114"/>
              <w:rPr>
                <w:sz w:val="20"/>
                <w:szCs w:val="20"/>
              </w:rPr>
            </w:pPr>
            <w:r>
              <w:rPr>
                <w:sz w:val="20"/>
                <w:szCs w:val="20"/>
              </w:rPr>
              <w:t>液体，25kg</w:t>
            </w:r>
          </w:p>
          <w:p w14:paraId="599E5618">
            <w:pPr>
              <w:pStyle w:val="6"/>
              <w:spacing w:before="33" w:line="213" w:lineRule="auto"/>
              <w:ind w:left="409"/>
              <w:rPr>
                <w:sz w:val="20"/>
                <w:szCs w:val="20"/>
              </w:rPr>
            </w:pPr>
            <w:r>
              <w:rPr>
                <w:spacing w:val="3"/>
                <w:sz w:val="20"/>
                <w:szCs w:val="20"/>
              </w:rPr>
              <w:t>桶装</w:t>
            </w:r>
          </w:p>
        </w:tc>
        <w:tc>
          <w:tcPr>
            <w:tcW w:w="1095" w:type="dxa"/>
            <w:vAlign w:val="top"/>
          </w:tcPr>
          <w:p w14:paraId="7ADD55BE">
            <w:pPr>
              <w:pStyle w:val="6"/>
              <w:spacing w:before="170" w:line="270" w:lineRule="exact"/>
              <w:ind w:left="514"/>
              <w:rPr>
                <w:sz w:val="20"/>
                <w:szCs w:val="20"/>
              </w:rPr>
            </w:pPr>
            <w:r>
              <w:rPr>
                <w:position w:val="1"/>
                <w:sz w:val="20"/>
                <w:szCs w:val="20"/>
              </w:rPr>
              <w:t>1</w:t>
            </w:r>
          </w:p>
        </w:tc>
        <w:tc>
          <w:tcPr>
            <w:tcW w:w="835" w:type="dxa"/>
            <w:vMerge w:val="continue"/>
            <w:tcBorders>
              <w:top w:val="nil"/>
              <w:bottom w:val="nil"/>
            </w:tcBorders>
            <w:vAlign w:val="top"/>
          </w:tcPr>
          <w:p w14:paraId="52FA51EC">
            <w:pPr>
              <w:rPr>
                <w:rFonts w:ascii="Arial"/>
                <w:sz w:val="21"/>
              </w:rPr>
            </w:pPr>
          </w:p>
        </w:tc>
        <w:tc>
          <w:tcPr>
            <w:tcW w:w="1023" w:type="dxa"/>
            <w:vAlign w:val="top"/>
          </w:tcPr>
          <w:p w14:paraId="55AF2A44">
            <w:pPr>
              <w:spacing w:before="206"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110" w:type="dxa"/>
            <w:vMerge w:val="continue"/>
            <w:tcBorders>
              <w:top w:val="nil"/>
              <w:bottom w:val="nil"/>
            </w:tcBorders>
            <w:vAlign w:val="top"/>
          </w:tcPr>
          <w:p w14:paraId="749C50F3">
            <w:pPr>
              <w:rPr>
                <w:rFonts w:ascii="Arial"/>
                <w:sz w:val="21"/>
              </w:rPr>
            </w:pPr>
          </w:p>
        </w:tc>
        <w:tc>
          <w:tcPr>
            <w:tcW w:w="1666" w:type="dxa"/>
            <w:vAlign w:val="top"/>
          </w:tcPr>
          <w:p w14:paraId="447C0657">
            <w:pPr>
              <w:spacing w:before="209" w:line="192"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4945E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99" w:type="dxa"/>
            <w:vAlign w:val="top"/>
          </w:tcPr>
          <w:p w14:paraId="2F8680B5">
            <w:pPr>
              <w:pStyle w:val="6"/>
              <w:spacing w:before="171" w:line="269" w:lineRule="exact"/>
              <w:ind w:left="204"/>
              <w:rPr>
                <w:sz w:val="20"/>
                <w:szCs w:val="20"/>
              </w:rPr>
            </w:pPr>
            <w:r>
              <w:rPr>
                <w:position w:val="1"/>
                <w:sz w:val="20"/>
                <w:szCs w:val="20"/>
              </w:rPr>
              <w:t>5</w:t>
            </w:r>
          </w:p>
        </w:tc>
        <w:tc>
          <w:tcPr>
            <w:tcW w:w="1228" w:type="dxa"/>
            <w:vAlign w:val="top"/>
          </w:tcPr>
          <w:p w14:paraId="31C1BE0C">
            <w:pPr>
              <w:pStyle w:val="6"/>
              <w:spacing w:before="172" w:line="228" w:lineRule="auto"/>
              <w:ind w:right="10"/>
              <w:jc w:val="right"/>
              <w:rPr>
                <w:sz w:val="20"/>
                <w:szCs w:val="20"/>
              </w:rPr>
            </w:pPr>
            <w:r>
              <w:rPr>
                <w:spacing w:val="-1"/>
                <w:sz w:val="20"/>
                <w:szCs w:val="20"/>
              </w:rPr>
              <w:t>片碱（99%）</w:t>
            </w:r>
          </w:p>
        </w:tc>
        <w:tc>
          <w:tcPr>
            <w:tcW w:w="1229" w:type="dxa"/>
            <w:vAlign w:val="top"/>
          </w:tcPr>
          <w:p w14:paraId="5D0EC099">
            <w:pPr>
              <w:pStyle w:val="6"/>
              <w:spacing w:before="37" w:line="222" w:lineRule="auto"/>
              <w:ind w:left="117"/>
              <w:rPr>
                <w:sz w:val="20"/>
                <w:szCs w:val="20"/>
              </w:rPr>
            </w:pPr>
            <w:r>
              <w:rPr>
                <w:spacing w:val="-1"/>
                <w:sz w:val="20"/>
                <w:szCs w:val="20"/>
              </w:rPr>
              <w:t>片状，25kg</w:t>
            </w:r>
          </w:p>
          <w:p w14:paraId="2A2CED6D">
            <w:pPr>
              <w:pStyle w:val="6"/>
              <w:spacing w:before="31" w:line="215" w:lineRule="auto"/>
              <w:ind w:left="408"/>
              <w:rPr>
                <w:sz w:val="20"/>
                <w:szCs w:val="20"/>
              </w:rPr>
            </w:pPr>
            <w:r>
              <w:rPr>
                <w:spacing w:val="4"/>
                <w:sz w:val="20"/>
                <w:szCs w:val="20"/>
              </w:rPr>
              <w:t>袋装</w:t>
            </w:r>
          </w:p>
        </w:tc>
        <w:tc>
          <w:tcPr>
            <w:tcW w:w="1095" w:type="dxa"/>
            <w:vAlign w:val="top"/>
          </w:tcPr>
          <w:p w14:paraId="3C5EB3FB">
            <w:pPr>
              <w:pStyle w:val="6"/>
              <w:spacing w:before="171" w:line="269" w:lineRule="exact"/>
              <w:ind w:left="464"/>
              <w:rPr>
                <w:sz w:val="20"/>
                <w:szCs w:val="20"/>
              </w:rPr>
            </w:pPr>
            <w:r>
              <w:rPr>
                <w:spacing w:val="-7"/>
                <w:position w:val="1"/>
                <w:sz w:val="20"/>
                <w:szCs w:val="20"/>
              </w:rPr>
              <w:t>10</w:t>
            </w:r>
          </w:p>
        </w:tc>
        <w:tc>
          <w:tcPr>
            <w:tcW w:w="835" w:type="dxa"/>
            <w:vMerge w:val="continue"/>
            <w:tcBorders>
              <w:top w:val="nil"/>
            </w:tcBorders>
            <w:vAlign w:val="top"/>
          </w:tcPr>
          <w:p w14:paraId="60080BE3">
            <w:pPr>
              <w:rPr>
                <w:rFonts w:ascii="Arial"/>
                <w:sz w:val="21"/>
              </w:rPr>
            </w:pPr>
          </w:p>
        </w:tc>
        <w:tc>
          <w:tcPr>
            <w:tcW w:w="1023" w:type="dxa"/>
            <w:vAlign w:val="top"/>
          </w:tcPr>
          <w:p w14:paraId="67CEB630">
            <w:pPr>
              <w:spacing w:before="207"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1110" w:type="dxa"/>
            <w:vMerge w:val="continue"/>
            <w:tcBorders>
              <w:top w:val="nil"/>
            </w:tcBorders>
            <w:vAlign w:val="top"/>
          </w:tcPr>
          <w:p w14:paraId="55267D8C">
            <w:pPr>
              <w:rPr>
                <w:rFonts w:ascii="Arial"/>
                <w:sz w:val="21"/>
              </w:rPr>
            </w:pPr>
          </w:p>
        </w:tc>
        <w:tc>
          <w:tcPr>
            <w:tcW w:w="1666" w:type="dxa"/>
            <w:vAlign w:val="top"/>
          </w:tcPr>
          <w:p w14:paraId="3F570BE2">
            <w:pPr>
              <w:spacing w:before="207" w:line="195" w:lineRule="auto"/>
              <w:ind w:left="73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11455E28">
      <w:pPr>
        <w:rPr>
          <w:rFonts w:ascii="Arial"/>
          <w:sz w:val="21"/>
        </w:rPr>
      </w:pPr>
    </w:p>
    <w:p w14:paraId="3FA5601C">
      <w:pPr>
        <w:rPr>
          <w:rFonts w:ascii="Arial" w:hAnsi="Arial" w:eastAsia="Arial" w:cs="Arial"/>
          <w:sz w:val="21"/>
          <w:szCs w:val="21"/>
        </w:rPr>
        <w:sectPr>
          <w:footerReference r:id="rId116" w:type="default"/>
          <w:pgSz w:w="11906" w:h="16839"/>
          <w:pgMar w:top="400" w:right="1471" w:bottom="1127" w:left="1539" w:header="0" w:footer="965" w:gutter="0"/>
          <w:cols w:space="720" w:num="1"/>
        </w:sectPr>
      </w:pPr>
    </w:p>
    <w:p w14:paraId="7F3BAF60">
      <w:pPr>
        <w:spacing w:before="19"/>
      </w:pPr>
    </w:p>
    <w:p w14:paraId="1B4416B7">
      <w:pPr>
        <w:spacing w:before="19"/>
      </w:pPr>
    </w:p>
    <w:p w14:paraId="4631D335">
      <w:pPr>
        <w:spacing w:before="19"/>
      </w:pPr>
    </w:p>
    <w:p w14:paraId="48B3ECF2">
      <w:pPr>
        <w:spacing w:before="18"/>
      </w:pPr>
    </w:p>
    <w:p w14:paraId="1351D31A">
      <w:pPr>
        <w:spacing w:before="18"/>
      </w:pPr>
    </w:p>
    <w:tbl>
      <w:tblPr>
        <w:tblStyle w:val="5"/>
        <w:tblW w:w="8685" w:type="dxa"/>
        <w:tblInd w:w="1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1228"/>
        <w:gridCol w:w="1229"/>
        <w:gridCol w:w="1095"/>
        <w:gridCol w:w="835"/>
        <w:gridCol w:w="1023"/>
        <w:gridCol w:w="1110"/>
        <w:gridCol w:w="1666"/>
      </w:tblGrid>
      <w:tr w14:paraId="4666A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99" w:type="dxa"/>
            <w:vAlign w:val="top"/>
          </w:tcPr>
          <w:p w14:paraId="22EF44A2">
            <w:pPr>
              <w:pStyle w:val="6"/>
              <w:spacing w:before="172" w:line="268" w:lineRule="exact"/>
              <w:ind w:left="202"/>
              <w:rPr>
                <w:sz w:val="20"/>
                <w:szCs w:val="20"/>
              </w:rPr>
            </w:pPr>
            <w:r>
              <w:rPr>
                <w:position w:val="1"/>
                <w:sz w:val="20"/>
                <w:szCs w:val="20"/>
              </w:rPr>
              <w:t>6</w:t>
            </w:r>
          </w:p>
        </w:tc>
        <w:tc>
          <w:tcPr>
            <w:tcW w:w="1228" w:type="dxa"/>
            <w:vAlign w:val="top"/>
          </w:tcPr>
          <w:p w14:paraId="0A773C78">
            <w:pPr>
              <w:pStyle w:val="6"/>
              <w:spacing w:before="172" w:line="228" w:lineRule="auto"/>
              <w:ind w:right="10"/>
              <w:jc w:val="right"/>
              <w:rPr>
                <w:sz w:val="20"/>
                <w:szCs w:val="20"/>
              </w:rPr>
            </w:pPr>
            <w:r>
              <w:rPr>
                <w:spacing w:val="-3"/>
                <w:sz w:val="20"/>
                <w:szCs w:val="20"/>
              </w:rPr>
              <w:t>乙醇（95%）</w:t>
            </w:r>
          </w:p>
        </w:tc>
        <w:tc>
          <w:tcPr>
            <w:tcW w:w="1229" w:type="dxa"/>
            <w:vAlign w:val="top"/>
          </w:tcPr>
          <w:p w14:paraId="20785519">
            <w:pPr>
              <w:pStyle w:val="6"/>
              <w:spacing w:before="35" w:line="222" w:lineRule="auto"/>
              <w:ind w:left="114"/>
              <w:rPr>
                <w:sz w:val="20"/>
                <w:szCs w:val="20"/>
              </w:rPr>
            </w:pPr>
            <w:r>
              <w:rPr>
                <w:sz w:val="20"/>
                <w:szCs w:val="20"/>
              </w:rPr>
              <w:t>液体，25kg</w:t>
            </w:r>
          </w:p>
          <w:p w14:paraId="20B33F1D">
            <w:pPr>
              <w:pStyle w:val="6"/>
              <w:spacing w:before="33" w:line="216" w:lineRule="auto"/>
              <w:ind w:left="409"/>
              <w:rPr>
                <w:sz w:val="20"/>
                <w:szCs w:val="20"/>
              </w:rPr>
            </w:pPr>
            <w:r>
              <w:rPr>
                <w:spacing w:val="3"/>
                <w:sz w:val="20"/>
                <w:szCs w:val="20"/>
              </w:rPr>
              <w:t>桶装</w:t>
            </w:r>
          </w:p>
        </w:tc>
        <w:tc>
          <w:tcPr>
            <w:tcW w:w="1095" w:type="dxa"/>
            <w:vAlign w:val="top"/>
          </w:tcPr>
          <w:p w14:paraId="72EB0783">
            <w:pPr>
              <w:spacing w:before="208"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35" w:type="dxa"/>
            <w:vMerge w:val="restart"/>
            <w:tcBorders>
              <w:bottom w:val="nil"/>
            </w:tcBorders>
            <w:vAlign w:val="top"/>
          </w:tcPr>
          <w:p w14:paraId="54658941">
            <w:pPr>
              <w:rPr>
                <w:rFonts w:ascii="Arial"/>
                <w:sz w:val="21"/>
              </w:rPr>
            </w:pPr>
          </w:p>
        </w:tc>
        <w:tc>
          <w:tcPr>
            <w:tcW w:w="1023" w:type="dxa"/>
            <w:vAlign w:val="top"/>
          </w:tcPr>
          <w:p w14:paraId="43413DB9">
            <w:pPr>
              <w:spacing w:before="20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0.0162</w:t>
            </w:r>
          </w:p>
        </w:tc>
        <w:tc>
          <w:tcPr>
            <w:tcW w:w="1110" w:type="dxa"/>
            <w:vMerge w:val="restart"/>
            <w:tcBorders>
              <w:bottom w:val="nil"/>
            </w:tcBorders>
            <w:vAlign w:val="top"/>
          </w:tcPr>
          <w:p w14:paraId="52595092">
            <w:pPr>
              <w:spacing w:line="328" w:lineRule="auto"/>
              <w:rPr>
                <w:rFonts w:ascii="Arial"/>
                <w:sz w:val="21"/>
              </w:rPr>
            </w:pPr>
          </w:p>
          <w:p w14:paraId="67484DCE">
            <w:pPr>
              <w:spacing w:line="329" w:lineRule="auto"/>
              <w:rPr>
                <w:rFonts w:ascii="Arial"/>
                <w:sz w:val="21"/>
              </w:rPr>
            </w:pPr>
          </w:p>
          <w:p w14:paraId="34D8C3FE">
            <w:pPr>
              <w:pStyle w:val="6"/>
              <w:spacing w:before="65" w:line="228" w:lineRule="auto"/>
              <w:ind w:left="142"/>
              <w:rPr>
                <w:sz w:val="20"/>
                <w:szCs w:val="20"/>
              </w:rPr>
            </w:pPr>
            <w:r>
              <w:rPr>
                <w:spacing w:val="7"/>
                <w:sz w:val="20"/>
                <w:szCs w:val="20"/>
              </w:rPr>
              <w:t>注胶车间</w:t>
            </w:r>
          </w:p>
        </w:tc>
        <w:tc>
          <w:tcPr>
            <w:tcW w:w="1666" w:type="dxa"/>
            <w:vAlign w:val="top"/>
          </w:tcPr>
          <w:p w14:paraId="3265AA3F">
            <w:pPr>
              <w:spacing w:before="208"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0D9A8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9" w:type="dxa"/>
            <w:vAlign w:val="top"/>
          </w:tcPr>
          <w:p w14:paraId="59BCACE1">
            <w:pPr>
              <w:pStyle w:val="6"/>
              <w:spacing w:before="166" w:line="268" w:lineRule="exact"/>
              <w:ind w:left="205"/>
              <w:rPr>
                <w:sz w:val="20"/>
                <w:szCs w:val="20"/>
              </w:rPr>
            </w:pPr>
            <w:r>
              <w:rPr>
                <w:position w:val="1"/>
                <w:sz w:val="20"/>
                <w:szCs w:val="20"/>
              </w:rPr>
              <w:t>7</w:t>
            </w:r>
          </w:p>
        </w:tc>
        <w:tc>
          <w:tcPr>
            <w:tcW w:w="1228" w:type="dxa"/>
            <w:vAlign w:val="top"/>
          </w:tcPr>
          <w:p w14:paraId="401CB0BA">
            <w:pPr>
              <w:pStyle w:val="6"/>
              <w:spacing w:before="166" w:line="228" w:lineRule="auto"/>
              <w:ind w:right="10"/>
              <w:jc w:val="right"/>
              <w:rPr>
                <w:sz w:val="20"/>
                <w:szCs w:val="20"/>
              </w:rPr>
            </w:pPr>
            <w:r>
              <w:rPr>
                <w:spacing w:val="-1"/>
                <w:sz w:val="20"/>
                <w:szCs w:val="20"/>
              </w:rPr>
              <w:t>丙酮（95%）</w:t>
            </w:r>
          </w:p>
        </w:tc>
        <w:tc>
          <w:tcPr>
            <w:tcW w:w="1229" w:type="dxa"/>
            <w:vAlign w:val="top"/>
          </w:tcPr>
          <w:p w14:paraId="0D46B976">
            <w:pPr>
              <w:pStyle w:val="6"/>
              <w:spacing w:before="31" w:line="222" w:lineRule="auto"/>
              <w:ind w:left="114"/>
              <w:rPr>
                <w:sz w:val="20"/>
                <w:szCs w:val="20"/>
              </w:rPr>
            </w:pPr>
            <w:r>
              <w:rPr>
                <w:sz w:val="20"/>
                <w:szCs w:val="20"/>
              </w:rPr>
              <w:t>液体，25kg</w:t>
            </w:r>
          </w:p>
          <w:p w14:paraId="28A6B8A7">
            <w:pPr>
              <w:pStyle w:val="6"/>
              <w:spacing w:before="32" w:line="215" w:lineRule="auto"/>
              <w:ind w:left="409"/>
              <w:rPr>
                <w:sz w:val="20"/>
                <w:szCs w:val="20"/>
              </w:rPr>
            </w:pPr>
            <w:r>
              <w:rPr>
                <w:spacing w:val="3"/>
                <w:sz w:val="20"/>
                <w:szCs w:val="20"/>
              </w:rPr>
              <w:t>桶装</w:t>
            </w:r>
          </w:p>
        </w:tc>
        <w:tc>
          <w:tcPr>
            <w:tcW w:w="1095" w:type="dxa"/>
            <w:vAlign w:val="top"/>
          </w:tcPr>
          <w:p w14:paraId="30F3C090">
            <w:pPr>
              <w:spacing w:before="20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35" w:type="dxa"/>
            <w:vMerge w:val="continue"/>
            <w:tcBorders>
              <w:top w:val="nil"/>
              <w:bottom w:val="nil"/>
            </w:tcBorders>
            <w:vAlign w:val="top"/>
          </w:tcPr>
          <w:p w14:paraId="7F00E3EA">
            <w:pPr>
              <w:rPr>
                <w:rFonts w:ascii="Arial"/>
                <w:sz w:val="21"/>
              </w:rPr>
            </w:pPr>
          </w:p>
        </w:tc>
        <w:tc>
          <w:tcPr>
            <w:tcW w:w="1023" w:type="dxa"/>
            <w:vAlign w:val="top"/>
          </w:tcPr>
          <w:p w14:paraId="314B63CC">
            <w:pPr>
              <w:spacing w:before="20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0.0162</w:t>
            </w:r>
          </w:p>
        </w:tc>
        <w:tc>
          <w:tcPr>
            <w:tcW w:w="1110" w:type="dxa"/>
            <w:vMerge w:val="continue"/>
            <w:tcBorders>
              <w:top w:val="nil"/>
              <w:bottom w:val="nil"/>
            </w:tcBorders>
            <w:vAlign w:val="top"/>
          </w:tcPr>
          <w:p w14:paraId="274EBD8A">
            <w:pPr>
              <w:rPr>
                <w:rFonts w:ascii="Arial"/>
                <w:sz w:val="21"/>
              </w:rPr>
            </w:pPr>
          </w:p>
        </w:tc>
        <w:tc>
          <w:tcPr>
            <w:tcW w:w="1666" w:type="dxa"/>
            <w:vAlign w:val="top"/>
          </w:tcPr>
          <w:p w14:paraId="71D97057">
            <w:pPr>
              <w:spacing w:before="204" w:line="195" w:lineRule="auto"/>
              <w:ind w:left="7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7CF60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9" w:type="dxa"/>
            <w:vAlign w:val="top"/>
          </w:tcPr>
          <w:p w14:paraId="22F479DF">
            <w:pPr>
              <w:pStyle w:val="6"/>
              <w:spacing w:before="170" w:line="268" w:lineRule="exact"/>
              <w:ind w:left="201"/>
              <w:rPr>
                <w:sz w:val="20"/>
                <w:szCs w:val="20"/>
              </w:rPr>
            </w:pPr>
            <w:r>
              <w:rPr>
                <w:position w:val="1"/>
                <w:sz w:val="20"/>
                <w:szCs w:val="20"/>
              </w:rPr>
              <w:t>8</w:t>
            </w:r>
          </w:p>
        </w:tc>
        <w:tc>
          <w:tcPr>
            <w:tcW w:w="1228" w:type="dxa"/>
            <w:vAlign w:val="top"/>
          </w:tcPr>
          <w:p w14:paraId="30180012">
            <w:pPr>
              <w:pStyle w:val="6"/>
              <w:spacing w:before="33" w:line="228" w:lineRule="auto"/>
              <w:ind w:left="196"/>
              <w:rPr>
                <w:sz w:val="20"/>
                <w:szCs w:val="20"/>
              </w:rPr>
            </w:pPr>
            <w:r>
              <w:rPr>
                <w:spacing w:val="7"/>
                <w:sz w:val="20"/>
                <w:szCs w:val="20"/>
              </w:rPr>
              <w:t>三乙醇胺</w:t>
            </w:r>
          </w:p>
          <w:p w14:paraId="087EF32C">
            <w:pPr>
              <w:pStyle w:val="6"/>
              <w:spacing w:before="26" w:line="214" w:lineRule="auto"/>
              <w:ind w:left="155"/>
              <w:rPr>
                <w:sz w:val="20"/>
                <w:szCs w:val="20"/>
              </w:rPr>
            </w:pPr>
            <w:r>
              <w:rPr>
                <w:spacing w:val="2"/>
                <w:sz w:val="20"/>
                <w:szCs w:val="20"/>
              </w:rPr>
              <w:t>（98.5%）</w:t>
            </w:r>
          </w:p>
        </w:tc>
        <w:tc>
          <w:tcPr>
            <w:tcW w:w="1229" w:type="dxa"/>
            <w:vAlign w:val="top"/>
          </w:tcPr>
          <w:p w14:paraId="1B348A86">
            <w:pPr>
              <w:pStyle w:val="6"/>
              <w:spacing w:before="33" w:line="222" w:lineRule="auto"/>
              <w:ind w:left="114"/>
              <w:rPr>
                <w:sz w:val="20"/>
                <w:szCs w:val="20"/>
              </w:rPr>
            </w:pPr>
            <w:r>
              <w:rPr>
                <w:sz w:val="20"/>
                <w:szCs w:val="20"/>
              </w:rPr>
              <w:t>液体，25kg</w:t>
            </w:r>
          </w:p>
          <w:p w14:paraId="13ADC5CA">
            <w:pPr>
              <w:pStyle w:val="6"/>
              <w:spacing w:before="33" w:line="214" w:lineRule="auto"/>
              <w:ind w:left="409"/>
              <w:rPr>
                <w:sz w:val="20"/>
                <w:szCs w:val="20"/>
              </w:rPr>
            </w:pPr>
            <w:r>
              <w:rPr>
                <w:spacing w:val="3"/>
                <w:sz w:val="20"/>
                <w:szCs w:val="20"/>
              </w:rPr>
              <w:t>桶装</w:t>
            </w:r>
          </w:p>
        </w:tc>
        <w:tc>
          <w:tcPr>
            <w:tcW w:w="1095" w:type="dxa"/>
            <w:vAlign w:val="top"/>
          </w:tcPr>
          <w:p w14:paraId="27EE2D96">
            <w:pPr>
              <w:spacing w:before="208" w:line="192"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35" w:type="dxa"/>
            <w:vMerge w:val="continue"/>
            <w:tcBorders>
              <w:top w:val="nil"/>
            </w:tcBorders>
            <w:vAlign w:val="top"/>
          </w:tcPr>
          <w:p w14:paraId="33802283">
            <w:pPr>
              <w:rPr>
                <w:rFonts w:ascii="Arial"/>
                <w:sz w:val="21"/>
              </w:rPr>
            </w:pPr>
          </w:p>
        </w:tc>
        <w:tc>
          <w:tcPr>
            <w:tcW w:w="1023" w:type="dxa"/>
            <w:vAlign w:val="top"/>
          </w:tcPr>
          <w:p w14:paraId="4BF6E1DE">
            <w:pPr>
              <w:spacing w:before="20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w:t>
            </w:r>
          </w:p>
        </w:tc>
        <w:tc>
          <w:tcPr>
            <w:tcW w:w="1110" w:type="dxa"/>
            <w:vMerge w:val="continue"/>
            <w:tcBorders>
              <w:top w:val="nil"/>
            </w:tcBorders>
            <w:vAlign w:val="top"/>
          </w:tcPr>
          <w:p w14:paraId="79E03EB2">
            <w:pPr>
              <w:rPr>
                <w:rFonts w:ascii="Arial"/>
                <w:sz w:val="21"/>
              </w:rPr>
            </w:pPr>
          </w:p>
        </w:tc>
        <w:tc>
          <w:tcPr>
            <w:tcW w:w="1666" w:type="dxa"/>
            <w:vAlign w:val="top"/>
          </w:tcPr>
          <w:p w14:paraId="0C16ED91">
            <w:pPr>
              <w:spacing w:before="205"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51F2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99" w:type="dxa"/>
            <w:vAlign w:val="top"/>
          </w:tcPr>
          <w:p w14:paraId="7273A4E7">
            <w:pPr>
              <w:pStyle w:val="6"/>
              <w:spacing w:before="170" w:line="268" w:lineRule="exact"/>
              <w:ind w:left="201"/>
              <w:rPr>
                <w:sz w:val="20"/>
                <w:szCs w:val="20"/>
              </w:rPr>
            </w:pPr>
            <w:r>
              <w:rPr>
                <w:position w:val="1"/>
                <w:sz w:val="20"/>
                <w:szCs w:val="20"/>
              </w:rPr>
              <w:t>9</w:t>
            </w:r>
          </w:p>
        </w:tc>
        <w:tc>
          <w:tcPr>
            <w:tcW w:w="1228" w:type="dxa"/>
            <w:vAlign w:val="top"/>
          </w:tcPr>
          <w:p w14:paraId="626797C4">
            <w:pPr>
              <w:pStyle w:val="6"/>
              <w:spacing w:before="170" w:line="228" w:lineRule="auto"/>
              <w:ind w:left="300"/>
              <w:rPr>
                <w:sz w:val="20"/>
                <w:szCs w:val="20"/>
              </w:rPr>
            </w:pPr>
            <w:r>
              <w:rPr>
                <w:spacing w:val="7"/>
                <w:sz w:val="20"/>
                <w:szCs w:val="20"/>
              </w:rPr>
              <w:t>废酸液</w:t>
            </w:r>
          </w:p>
        </w:tc>
        <w:tc>
          <w:tcPr>
            <w:tcW w:w="1229" w:type="dxa"/>
            <w:vAlign w:val="top"/>
          </w:tcPr>
          <w:p w14:paraId="60223F51">
            <w:pPr>
              <w:pStyle w:val="6"/>
              <w:spacing w:before="35" w:line="222" w:lineRule="auto"/>
              <w:ind w:left="114"/>
              <w:rPr>
                <w:sz w:val="20"/>
                <w:szCs w:val="20"/>
              </w:rPr>
            </w:pPr>
            <w:r>
              <w:rPr>
                <w:sz w:val="20"/>
                <w:szCs w:val="20"/>
              </w:rPr>
              <w:t>液体，25kg</w:t>
            </w:r>
          </w:p>
          <w:p w14:paraId="1F8828F7">
            <w:pPr>
              <w:pStyle w:val="6"/>
              <w:spacing w:before="30" w:line="218" w:lineRule="auto"/>
              <w:ind w:left="409"/>
              <w:rPr>
                <w:sz w:val="20"/>
                <w:szCs w:val="20"/>
              </w:rPr>
            </w:pPr>
            <w:r>
              <w:rPr>
                <w:spacing w:val="3"/>
                <w:sz w:val="20"/>
                <w:szCs w:val="20"/>
              </w:rPr>
              <w:t>桶装</w:t>
            </w:r>
          </w:p>
        </w:tc>
        <w:tc>
          <w:tcPr>
            <w:tcW w:w="1095" w:type="dxa"/>
            <w:vAlign w:val="top"/>
          </w:tcPr>
          <w:p w14:paraId="37A45BDE">
            <w:pPr>
              <w:spacing w:before="209" w:line="192"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835" w:type="dxa"/>
            <w:vAlign w:val="top"/>
          </w:tcPr>
          <w:p w14:paraId="3769230A">
            <w:pPr>
              <w:pStyle w:val="6"/>
              <w:spacing w:before="36" w:line="234" w:lineRule="auto"/>
              <w:ind w:left="317" w:right="207" w:hanging="102"/>
              <w:rPr>
                <w:sz w:val="20"/>
                <w:szCs w:val="20"/>
              </w:rPr>
            </w:pPr>
            <w:r>
              <w:rPr>
                <w:spacing w:val="3"/>
                <w:sz w:val="20"/>
                <w:szCs w:val="20"/>
              </w:rPr>
              <w:t>危废</w:t>
            </w:r>
            <w:r>
              <w:rPr>
                <w:sz w:val="20"/>
                <w:szCs w:val="20"/>
              </w:rPr>
              <w:t xml:space="preserve"> </w:t>
            </w:r>
            <w:r>
              <w:rPr>
                <w:spacing w:val="1"/>
                <w:sz w:val="20"/>
                <w:szCs w:val="20"/>
              </w:rPr>
              <w:t>仓</w:t>
            </w:r>
          </w:p>
        </w:tc>
        <w:tc>
          <w:tcPr>
            <w:tcW w:w="1023" w:type="dxa"/>
            <w:vAlign w:val="top"/>
          </w:tcPr>
          <w:p w14:paraId="25B7E909">
            <w:pPr>
              <w:pStyle w:val="6"/>
              <w:spacing w:before="170" w:line="233" w:lineRule="auto"/>
              <w:ind w:left="464"/>
              <w:rPr>
                <w:sz w:val="20"/>
                <w:szCs w:val="20"/>
              </w:rPr>
            </w:pPr>
            <w:r>
              <w:rPr>
                <w:sz w:val="20"/>
                <w:szCs w:val="20"/>
              </w:rPr>
              <w:t>/</w:t>
            </w:r>
          </w:p>
        </w:tc>
        <w:tc>
          <w:tcPr>
            <w:tcW w:w="1110" w:type="dxa"/>
            <w:vAlign w:val="top"/>
          </w:tcPr>
          <w:p w14:paraId="773384B7">
            <w:pPr>
              <w:pStyle w:val="6"/>
              <w:spacing w:before="170" w:line="233" w:lineRule="auto"/>
              <w:ind w:left="509"/>
              <w:rPr>
                <w:sz w:val="20"/>
                <w:szCs w:val="20"/>
              </w:rPr>
            </w:pPr>
            <w:r>
              <w:rPr>
                <w:sz w:val="20"/>
                <w:szCs w:val="20"/>
              </w:rPr>
              <w:t>/</w:t>
            </w:r>
          </w:p>
        </w:tc>
        <w:tc>
          <w:tcPr>
            <w:tcW w:w="1666" w:type="dxa"/>
            <w:vAlign w:val="top"/>
          </w:tcPr>
          <w:p w14:paraId="151D3516">
            <w:pPr>
              <w:spacing w:before="209" w:line="192" w:lineRule="auto"/>
              <w:ind w:left="78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bl>
    <w:p w14:paraId="17FDE638">
      <w:pPr>
        <w:spacing w:before="150" w:line="314" w:lineRule="auto"/>
        <w:ind w:left="121" w:right="77"/>
        <w:rPr>
          <w:rFonts w:ascii="宋体" w:hAnsi="宋体" w:eastAsia="宋体" w:cs="宋体"/>
          <w:sz w:val="20"/>
          <w:szCs w:val="20"/>
        </w:rPr>
      </w:pPr>
      <w:r>
        <w:rPr>
          <w:rFonts w:ascii="宋体" w:hAnsi="宋体" w:eastAsia="宋体" w:cs="宋体"/>
          <w:spacing w:val="10"/>
          <w:sz w:val="20"/>
          <w:szCs w:val="20"/>
        </w:rPr>
        <w:t>注：经鉴定，环氧树脂、草酸和碳酸钠属于普通化学品，不属于风险物质；在《建设项目环境风</w:t>
      </w:r>
      <w:r>
        <w:rPr>
          <w:rFonts w:ascii="宋体" w:hAnsi="宋体" w:eastAsia="宋体" w:cs="宋体"/>
          <w:spacing w:val="12"/>
          <w:sz w:val="20"/>
          <w:szCs w:val="20"/>
        </w:rPr>
        <w:t xml:space="preserve"> </w:t>
      </w:r>
      <w:r>
        <w:rPr>
          <w:rFonts w:ascii="宋体" w:hAnsi="宋体" w:eastAsia="宋体" w:cs="宋体"/>
          <w:spacing w:val="7"/>
          <w:sz w:val="20"/>
          <w:szCs w:val="20"/>
        </w:rPr>
        <w:t>险评价技术导则》</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169-2018)</w:t>
      </w:r>
      <w:r>
        <w:rPr>
          <w:rFonts w:ascii="宋体" w:hAnsi="宋体" w:eastAsia="宋体" w:cs="宋体"/>
          <w:spacing w:val="7"/>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spacing w:val="7"/>
          <w:sz w:val="20"/>
          <w:szCs w:val="20"/>
        </w:rPr>
        <w:t>B.</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0"/>
          <w:sz w:val="20"/>
          <w:szCs w:val="20"/>
        </w:rPr>
        <w:t xml:space="preserve"> </w:t>
      </w:r>
      <w:r>
        <w:rPr>
          <w:rFonts w:ascii="宋体" w:hAnsi="宋体" w:eastAsia="宋体" w:cs="宋体"/>
          <w:spacing w:val="7"/>
          <w:sz w:val="20"/>
          <w:szCs w:val="20"/>
        </w:rPr>
        <w:t>突发环境事件风险物质及临界量</w:t>
      </w:r>
      <w:r>
        <w:rPr>
          <w:rFonts w:ascii="宋体" w:hAnsi="宋体" w:eastAsia="宋体" w:cs="宋体"/>
          <w:spacing w:val="-70"/>
          <w:sz w:val="20"/>
          <w:szCs w:val="20"/>
        </w:rPr>
        <w:t xml:space="preserve"> </w:t>
      </w:r>
      <w:r>
        <w:rPr>
          <w:rFonts w:ascii="宋体" w:hAnsi="宋体" w:eastAsia="宋体" w:cs="宋体"/>
          <w:spacing w:val="7"/>
          <w:sz w:val="20"/>
          <w:szCs w:val="20"/>
        </w:rPr>
        <w:t>”中，有盐酸（</w:t>
      </w:r>
      <w:r>
        <w:rPr>
          <w:rFonts w:ascii="Times New Roman" w:hAnsi="Times New Roman" w:eastAsia="Times New Roman" w:cs="Times New Roman"/>
          <w:spacing w:val="7"/>
          <w:sz w:val="20"/>
          <w:szCs w:val="20"/>
        </w:rPr>
        <w:t>334</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7"/>
          <w:sz w:val="20"/>
          <w:szCs w:val="20"/>
        </w:rPr>
        <w:t>氢氟酸（</w:t>
      </w:r>
      <w:r>
        <w:rPr>
          <w:rFonts w:ascii="Times New Roman" w:hAnsi="Times New Roman" w:eastAsia="Times New Roman" w:cs="Times New Roman"/>
          <w:spacing w:val="7"/>
          <w:sz w:val="20"/>
          <w:szCs w:val="20"/>
        </w:rPr>
        <w:t>246</w:t>
      </w:r>
      <w:r>
        <w:rPr>
          <w:rFonts w:ascii="宋体" w:hAnsi="宋体" w:eastAsia="宋体" w:cs="宋体"/>
          <w:spacing w:val="7"/>
          <w:sz w:val="20"/>
          <w:szCs w:val="20"/>
        </w:rPr>
        <w:t>）的临界量值，废酸液参考“表</w:t>
      </w:r>
      <w:r>
        <w:rPr>
          <w:rFonts w:ascii="宋体" w:hAnsi="宋体" w:eastAsia="宋体" w:cs="宋体"/>
          <w:spacing w:val="-41"/>
          <w:sz w:val="20"/>
          <w:szCs w:val="20"/>
        </w:rPr>
        <w:t xml:space="preserve"> </w:t>
      </w:r>
      <w:r>
        <w:rPr>
          <w:rFonts w:ascii="Times New Roman" w:hAnsi="Times New Roman" w:eastAsia="Times New Roman" w:cs="Times New Roman"/>
          <w:spacing w:val="7"/>
          <w:sz w:val="20"/>
          <w:szCs w:val="20"/>
        </w:rPr>
        <w:t xml:space="preserve">B.2 </w:t>
      </w:r>
      <w:r>
        <w:rPr>
          <w:rFonts w:ascii="宋体" w:hAnsi="宋体" w:eastAsia="宋体" w:cs="宋体"/>
          <w:spacing w:val="7"/>
          <w:sz w:val="20"/>
          <w:szCs w:val="20"/>
        </w:rPr>
        <w:t>其他危险物质临界量</w:t>
      </w:r>
      <w:r>
        <w:rPr>
          <w:rFonts w:ascii="宋体" w:hAnsi="宋体" w:eastAsia="宋体" w:cs="宋体"/>
          <w:spacing w:val="6"/>
          <w:sz w:val="20"/>
          <w:szCs w:val="20"/>
        </w:rPr>
        <w:t>推荐值</w:t>
      </w:r>
      <w:r>
        <w:rPr>
          <w:rFonts w:ascii="宋体" w:hAnsi="宋体" w:eastAsia="宋体" w:cs="宋体"/>
          <w:spacing w:val="-70"/>
          <w:sz w:val="20"/>
          <w:szCs w:val="20"/>
        </w:rPr>
        <w:t xml:space="preserve"> </w:t>
      </w:r>
      <w:r>
        <w:rPr>
          <w:rFonts w:ascii="宋体" w:hAnsi="宋体" w:eastAsia="宋体" w:cs="宋体"/>
          <w:spacing w:val="6"/>
          <w:sz w:val="20"/>
          <w:szCs w:val="20"/>
        </w:rPr>
        <w:t>”中；片碱属于《危</w:t>
      </w:r>
      <w:r>
        <w:rPr>
          <w:rFonts w:ascii="宋体" w:hAnsi="宋体" w:eastAsia="宋体" w:cs="宋体"/>
          <w:sz w:val="20"/>
          <w:szCs w:val="20"/>
        </w:rPr>
        <w:t xml:space="preserve"> </w:t>
      </w:r>
      <w:r>
        <w:rPr>
          <w:rFonts w:ascii="宋体" w:hAnsi="宋体" w:eastAsia="宋体" w:cs="宋体"/>
          <w:spacing w:val="7"/>
          <w:sz w:val="20"/>
          <w:szCs w:val="20"/>
        </w:rPr>
        <w:t>险化学品重大危险源辨识》（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18218-2018</w:t>
      </w:r>
      <w:r>
        <w:rPr>
          <w:rFonts w:ascii="宋体" w:hAnsi="宋体" w:eastAsia="宋体" w:cs="宋体"/>
          <w:spacing w:val="7"/>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未在表</w:t>
      </w:r>
      <w:r>
        <w:rPr>
          <w:rFonts w:ascii="宋体" w:hAnsi="宋体" w:eastAsia="宋体" w:cs="宋体"/>
          <w:spacing w:val="-21"/>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30"/>
          <w:sz w:val="20"/>
          <w:szCs w:val="20"/>
        </w:rPr>
        <w:t xml:space="preserve"> </w:t>
      </w:r>
      <w:r>
        <w:rPr>
          <w:rFonts w:ascii="宋体" w:hAnsi="宋体" w:eastAsia="宋体" w:cs="宋体"/>
          <w:spacing w:val="7"/>
          <w:sz w:val="20"/>
          <w:szCs w:val="20"/>
        </w:rPr>
        <w:t>中列举的危</w:t>
      </w:r>
      <w:r>
        <w:rPr>
          <w:rFonts w:ascii="宋体" w:hAnsi="宋体" w:eastAsia="宋体" w:cs="宋体"/>
          <w:spacing w:val="6"/>
          <w:sz w:val="20"/>
          <w:szCs w:val="20"/>
        </w:rPr>
        <w:t>险化学品类别及其临界</w:t>
      </w:r>
      <w:r>
        <w:rPr>
          <w:rFonts w:ascii="宋体" w:hAnsi="宋体" w:eastAsia="宋体" w:cs="宋体"/>
          <w:sz w:val="20"/>
          <w:szCs w:val="20"/>
        </w:rPr>
        <w:t xml:space="preserve"> </w:t>
      </w:r>
      <w:r>
        <w:rPr>
          <w:rFonts w:ascii="宋体" w:hAnsi="宋体" w:eastAsia="宋体" w:cs="宋体"/>
          <w:spacing w:val="1"/>
          <w:sz w:val="20"/>
          <w:szCs w:val="20"/>
        </w:rPr>
        <w:t>量</w:t>
      </w:r>
      <w:r>
        <w:rPr>
          <w:rFonts w:ascii="宋体" w:hAnsi="宋体" w:eastAsia="宋体" w:cs="宋体"/>
          <w:spacing w:val="-72"/>
          <w:sz w:val="20"/>
          <w:szCs w:val="20"/>
        </w:rPr>
        <w:t xml:space="preserve"> </w:t>
      </w:r>
      <w:r>
        <w:rPr>
          <w:rFonts w:ascii="宋体" w:hAnsi="宋体" w:eastAsia="宋体" w:cs="宋体"/>
          <w:spacing w:val="1"/>
          <w:sz w:val="20"/>
          <w:szCs w:val="20"/>
        </w:rPr>
        <w:t>”中</w:t>
      </w:r>
      <w:r>
        <w:rPr>
          <w:rFonts w:ascii="宋体" w:hAnsi="宋体" w:eastAsia="宋体" w:cs="宋体"/>
          <w:spacing w:val="-45"/>
          <w:sz w:val="20"/>
          <w:szCs w:val="20"/>
        </w:rPr>
        <w:t xml:space="preserve"> </w:t>
      </w:r>
      <w:r>
        <w:rPr>
          <w:rFonts w:ascii="Times New Roman" w:hAnsi="Times New Roman" w:eastAsia="Times New Roman" w:cs="Times New Roman"/>
          <w:spacing w:val="1"/>
          <w:sz w:val="20"/>
          <w:szCs w:val="20"/>
        </w:rPr>
        <w:t xml:space="preserve">W72 </w:t>
      </w:r>
      <w:r>
        <w:rPr>
          <w:rFonts w:ascii="宋体" w:hAnsi="宋体" w:eastAsia="宋体" w:cs="宋体"/>
          <w:spacing w:val="1"/>
          <w:sz w:val="20"/>
          <w:szCs w:val="20"/>
        </w:rPr>
        <w:t>和</w:t>
      </w:r>
      <w:r>
        <w:rPr>
          <w:rFonts w:ascii="宋体" w:hAnsi="宋体" w:eastAsia="宋体" w:cs="宋体"/>
          <w:spacing w:val="-45"/>
          <w:sz w:val="20"/>
          <w:szCs w:val="20"/>
        </w:rPr>
        <w:t xml:space="preserve"> </w:t>
      </w:r>
      <w:r>
        <w:rPr>
          <w:rFonts w:ascii="Times New Roman" w:hAnsi="Times New Roman" w:eastAsia="Times New Roman" w:cs="Times New Roman"/>
          <w:spacing w:val="1"/>
          <w:sz w:val="20"/>
          <w:szCs w:val="20"/>
        </w:rPr>
        <w:t>W9.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r>
        <w:rPr>
          <w:rFonts w:ascii="宋体" w:hAnsi="宋体" w:eastAsia="宋体" w:cs="宋体"/>
          <w:spacing w:val="1"/>
          <w:sz w:val="20"/>
          <w:szCs w:val="20"/>
        </w:rPr>
        <w:t>。</w:t>
      </w:r>
    </w:p>
    <w:p w14:paraId="78FCC66B">
      <w:pPr>
        <w:spacing w:before="213" w:line="219" w:lineRule="auto"/>
        <w:ind w:left="128"/>
        <w:outlineLvl w:val="2"/>
        <w:rPr>
          <w:rFonts w:ascii="宋体" w:hAnsi="宋体" w:eastAsia="宋体" w:cs="宋体"/>
          <w:sz w:val="24"/>
          <w:szCs w:val="24"/>
        </w:rPr>
      </w:pPr>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环境敏感目标</w:t>
      </w:r>
    </w:p>
    <w:p w14:paraId="514EBFA4">
      <w:pPr>
        <w:spacing w:before="181" w:line="361" w:lineRule="auto"/>
        <w:ind w:left="123" w:right="75" w:firstLine="482"/>
        <w:jc w:val="both"/>
        <w:rPr>
          <w:rFonts w:ascii="宋体" w:hAnsi="宋体" w:eastAsia="宋体" w:cs="宋体"/>
          <w:sz w:val="24"/>
          <w:szCs w:val="24"/>
        </w:rPr>
      </w:pPr>
      <w:r>
        <w:rPr>
          <w:rFonts w:ascii="宋体" w:hAnsi="宋体" w:eastAsia="宋体" w:cs="宋体"/>
          <w:spacing w:val="-3"/>
          <w:sz w:val="24"/>
          <w:szCs w:val="24"/>
        </w:rPr>
        <w:t>项目（全厂）风险评价等级为二级，评价范围为距项目边界</w:t>
      </w:r>
      <w:r>
        <w:rPr>
          <w:rFonts w:ascii="宋体" w:hAnsi="宋体" w:eastAsia="宋体" w:cs="宋体"/>
          <w:spacing w:val="-41"/>
          <w:sz w:val="24"/>
          <w:szCs w:val="24"/>
        </w:rPr>
        <w:t xml:space="preserve"> </w:t>
      </w:r>
      <w:r>
        <w:rPr>
          <w:rFonts w:ascii="宋体" w:hAnsi="宋体" w:eastAsia="宋体" w:cs="宋体"/>
          <w:spacing w:val="-3"/>
          <w:sz w:val="24"/>
          <w:szCs w:val="24"/>
        </w:rPr>
        <w:t>5km</w:t>
      </w:r>
      <w:r>
        <w:rPr>
          <w:rFonts w:ascii="宋体" w:hAnsi="宋体" w:eastAsia="宋体" w:cs="宋体"/>
          <w:spacing w:val="-22"/>
          <w:sz w:val="24"/>
          <w:szCs w:val="24"/>
        </w:rPr>
        <w:t xml:space="preserve"> </w:t>
      </w:r>
      <w:r>
        <w:rPr>
          <w:rFonts w:ascii="宋体" w:hAnsi="宋体" w:eastAsia="宋体" w:cs="宋体"/>
          <w:spacing w:val="-3"/>
          <w:sz w:val="24"/>
          <w:szCs w:val="24"/>
        </w:rPr>
        <w:t>内的范围，因此</w:t>
      </w:r>
      <w:r>
        <w:rPr>
          <w:rFonts w:ascii="宋体" w:hAnsi="宋体" w:eastAsia="宋体" w:cs="宋体"/>
          <w:sz w:val="24"/>
          <w:szCs w:val="24"/>
        </w:rPr>
        <w:t xml:space="preserve"> </w:t>
      </w:r>
      <w:r>
        <w:rPr>
          <w:rFonts w:ascii="宋体" w:hAnsi="宋体" w:eastAsia="宋体" w:cs="宋体"/>
          <w:spacing w:val="-1"/>
          <w:sz w:val="24"/>
          <w:szCs w:val="24"/>
        </w:rPr>
        <w:t>风险评价敏感点主要考虑项目附近</w:t>
      </w:r>
      <w:r>
        <w:rPr>
          <w:rFonts w:ascii="宋体" w:hAnsi="宋体" w:eastAsia="宋体" w:cs="宋体"/>
          <w:spacing w:val="-31"/>
          <w:sz w:val="24"/>
          <w:szCs w:val="24"/>
        </w:rPr>
        <w:t xml:space="preserve"> </w:t>
      </w:r>
      <w:r>
        <w:rPr>
          <w:rFonts w:ascii="宋体" w:hAnsi="宋体" w:eastAsia="宋体" w:cs="宋体"/>
          <w:spacing w:val="-1"/>
          <w:sz w:val="24"/>
          <w:szCs w:val="24"/>
        </w:rPr>
        <w:t>5km</w:t>
      </w:r>
      <w:r>
        <w:rPr>
          <w:rFonts w:ascii="宋体" w:hAnsi="宋体" w:eastAsia="宋体" w:cs="宋体"/>
          <w:spacing w:val="-44"/>
          <w:sz w:val="24"/>
          <w:szCs w:val="24"/>
        </w:rPr>
        <w:t xml:space="preserve"> </w:t>
      </w:r>
      <w:r>
        <w:rPr>
          <w:rFonts w:ascii="宋体" w:hAnsi="宋体" w:eastAsia="宋体" w:cs="宋体"/>
          <w:spacing w:val="-1"/>
          <w:sz w:val="24"/>
          <w:szCs w:val="24"/>
        </w:rPr>
        <w:t>范围内敏感点，评价范围内（</w:t>
      </w:r>
      <w:r>
        <w:rPr>
          <w:rFonts w:ascii="Times New Roman" w:hAnsi="Times New Roman" w:eastAsia="Times New Roman" w:cs="Times New Roman"/>
          <w:spacing w:val="-1"/>
          <w:sz w:val="24"/>
          <w:szCs w:val="24"/>
        </w:rPr>
        <w:t>5km</w:t>
      </w:r>
      <w:r>
        <w:rPr>
          <w:rFonts w:ascii="宋体" w:hAnsi="宋体" w:eastAsia="宋体" w:cs="宋体"/>
          <w:spacing w:val="-1"/>
          <w:sz w:val="24"/>
          <w:szCs w:val="24"/>
        </w:rPr>
        <w:t>）主要环境</w:t>
      </w:r>
      <w:r>
        <w:rPr>
          <w:rFonts w:ascii="宋体" w:hAnsi="宋体" w:eastAsia="宋体" w:cs="宋体"/>
          <w:sz w:val="24"/>
          <w:szCs w:val="24"/>
        </w:rPr>
        <w:t xml:space="preserve"> </w:t>
      </w:r>
      <w:r>
        <w:rPr>
          <w:rFonts w:ascii="宋体" w:hAnsi="宋体" w:eastAsia="宋体" w:cs="宋体"/>
          <w:spacing w:val="-1"/>
          <w:sz w:val="24"/>
          <w:szCs w:val="24"/>
        </w:rPr>
        <w:t>敏感点基本情况见下表。</w:t>
      </w:r>
    </w:p>
    <w:p w14:paraId="3157B92E">
      <w:pPr>
        <w:spacing w:before="113" w:line="219" w:lineRule="auto"/>
        <w:ind w:left="312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3"/>
          <w:sz w:val="24"/>
          <w:szCs w:val="24"/>
        </w:rPr>
        <w:t xml:space="preserve">2    </w:t>
      </w:r>
      <w:r>
        <w:rPr>
          <w:rFonts w:ascii="宋体" w:hAnsi="宋体" w:eastAsia="宋体" w:cs="宋体"/>
          <w:b/>
          <w:bCs/>
          <w:spacing w:val="-3"/>
          <w:sz w:val="24"/>
          <w:szCs w:val="24"/>
        </w:rPr>
        <w:t>项目周边环境敏感点</w:t>
      </w:r>
    </w:p>
    <w:p w14:paraId="22D75177">
      <w:pPr>
        <w:spacing w:line="146" w:lineRule="exact"/>
      </w:pPr>
    </w:p>
    <w:tbl>
      <w:tblPr>
        <w:tblStyle w:val="5"/>
        <w:tblW w:w="90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134"/>
        <w:gridCol w:w="865"/>
        <w:gridCol w:w="836"/>
        <w:gridCol w:w="827"/>
        <w:gridCol w:w="899"/>
        <w:gridCol w:w="796"/>
        <w:gridCol w:w="1107"/>
        <w:gridCol w:w="876"/>
        <w:gridCol w:w="1150"/>
      </w:tblGrid>
      <w:tr w14:paraId="1C952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37" w:type="dxa"/>
            <w:textDirection w:val="tbRlV"/>
            <w:vAlign w:val="top"/>
          </w:tcPr>
          <w:p w14:paraId="51CB7A4B">
            <w:pPr>
              <w:pStyle w:val="6"/>
              <w:spacing w:before="161" w:line="218" w:lineRule="auto"/>
              <w:ind w:left="36"/>
              <w:rPr>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1134" w:type="dxa"/>
            <w:vAlign w:val="top"/>
          </w:tcPr>
          <w:p w14:paraId="4D220205">
            <w:pPr>
              <w:pStyle w:val="6"/>
              <w:spacing w:before="37" w:line="234" w:lineRule="auto"/>
              <w:ind w:left="360" w:right="249" w:hanging="104"/>
              <w:rPr>
                <w:sz w:val="20"/>
                <w:szCs w:val="20"/>
              </w:rPr>
            </w:pPr>
            <w:r>
              <w:rPr>
                <w:b/>
                <w:bCs/>
                <w:spacing w:val="5"/>
                <w:sz w:val="20"/>
                <w:szCs w:val="20"/>
              </w:rPr>
              <w:t>敏感度</w:t>
            </w:r>
            <w:r>
              <w:rPr>
                <w:sz w:val="20"/>
                <w:szCs w:val="20"/>
              </w:rPr>
              <w:t xml:space="preserve"> </w:t>
            </w:r>
            <w:r>
              <w:rPr>
                <w:b/>
                <w:bCs/>
                <w:spacing w:val="2"/>
                <w:sz w:val="20"/>
                <w:szCs w:val="20"/>
              </w:rPr>
              <w:t>名称</w:t>
            </w:r>
          </w:p>
        </w:tc>
        <w:tc>
          <w:tcPr>
            <w:tcW w:w="865" w:type="dxa"/>
            <w:vAlign w:val="top"/>
          </w:tcPr>
          <w:p w14:paraId="51280508">
            <w:pPr>
              <w:spacing w:before="211" w:line="192" w:lineRule="auto"/>
              <w:ind w:left="353"/>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836" w:type="dxa"/>
            <w:vAlign w:val="top"/>
          </w:tcPr>
          <w:p w14:paraId="65BDC57E">
            <w:pPr>
              <w:spacing w:before="211" w:line="192" w:lineRule="auto"/>
              <w:ind w:left="34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827" w:type="dxa"/>
            <w:vAlign w:val="top"/>
          </w:tcPr>
          <w:p w14:paraId="3FA8FA54">
            <w:pPr>
              <w:pStyle w:val="6"/>
              <w:spacing w:before="36" w:line="228" w:lineRule="auto"/>
              <w:ind w:left="208"/>
              <w:rPr>
                <w:sz w:val="20"/>
                <w:szCs w:val="20"/>
              </w:rPr>
            </w:pPr>
            <w:r>
              <w:rPr>
                <w:b/>
                <w:bCs/>
                <w:spacing w:val="3"/>
                <w:sz w:val="20"/>
                <w:szCs w:val="20"/>
              </w:rPr>
              <w:t>保护</w:t>
            </w:r>
          </w:p>
          <w:p w14:paraId="76D81CAD">
            <w:pPr>
              <w:pStyle w:val="6"/>
              <w:spacing w:before="24" w:line="218" w:lineRule="auto"/>
              <w:ind w:left="206"/>
              <w:rPr>
                <w:sz w:val="20"/>
                <w:szCs w:val="20"/>
              </w:rPr>
            </w:pPr>
            <w:r>
              <w:rPr>
                <w:b/>
                <w:bCs/>
                <w:spacing w:val="4"/>
                <w:sz w:val="20"/>
                <w:szCs w:val="20"/>
              </w:rPr>
              <w:t>对象</w:t>
            </w:r>
          </w:p>
        </w:tc>
        <w:tc>
          <w:tcPr>
            <w:tcW w:w="899" w:type="dxa"/>
            <w:vAlign w:val="top"/>
          </w:tcPr>
          <w:p w14:paraId="4AB53D3A">
            <w:pPr>
              <w:pStyle w:val="6"/>
              <w:spacing w:before="35" w:line="228" w:lineRule="auto"/>
              <w:ind w:left="139"/>
              <w:rPr>
                <w:sz w:val="20"/>
                <w:szCs w:val="20"/>
              </w:rPr>
            </w:pPr>
            <w:r>
              <w:rPr>
                <w:b/>
                <w:bCs/>
                <w:spacing w:val="5"/>
                <w:sz w:val="20"/>
                <w:szCs w:val="20"/>
              </w:rPr>
              <w:t>保护内</w:t>
            </w:r>
          </w:p>
          <w:p w14:paraId="470E1519">
            <w:pPr>
              <w:pStyle w:val="6"/>
              <w:spacing w:before="24" w:line="218" w:lineRule="auto"/>
              <w:ind w:left="352"/>
              <w:rPr>
                <w:sz w:val="20"/>
                <w:szCs w:val="20"/>
              </w:rPr>
            </w:pPr>
            <w:r>
              <w:rPr>
                <w:b/>
                <w:bCs/>
                <w:spacing w:val="-3"/>
                <w:sz w:val="20"/>
                <w:szCs w:val="20"/>
              </w:rPr>
              <w:t>容</w:t>
            </w:r>
          </w:p>
        </w:tc>
        <w:tc>
          <w:tcPr>
            <w:tcW w:w="796" w:type="dxa"/>
            <w:vAlign w:val="top"/>
          </w:tcPr>
          <w:p w14:paraId="71E349B9">
            <w:pPr>
              <w:pStyle w:val="6"/>
              <w:spacing w:before="36" w:line="228" w:lineRule="auto"/>
              <w:ind w:left="195"/>
              <w:rPr>
                <w:sz w:val="20"/>
                <w:szCs w:val="20"/>
              </w:rPr>
            </w:pPr>
            <w:r>
              <w:rPr>
                <w:b/>
                <w:bCs/>
                <w:spacing w:val="2"/>
                <w:sz w:val="20"/>
                <w:szCs w:val="20"/>
              </w:rPr>
              <w:t>大约</w:t>
            </w:r>
          </w:p>
          <w:p w14:paraId="006D2277">
            <w:pPr>
              <w:pStyle w:val="6"/>
              <w:spacing w:before="24" w:line="218" w:lineRule="auto"/>
              <w:ind w:left="194"/>
              <w:rPr>
                <w:sz w:val="20"/>
                <w:szCs w:val="20"/>
              </w:rPr>
            </w:pPr>
            <w:r>
              <w:rPr>
                <w:b/>
                <w:bCs/>
                <w:spacing w:val="3"/>
                <w:sz w:val="20"/>
                <w:szCs w:val="20"/>
              </w:rPr>
              <w:t>人数</w:t>
            </w:r>
          </w:p>
        </w:tc>
        <w:tc>
          <w:tcPr>
            <w:tcW w:w="1107" w:type="dxa"/>
            <w:vAlign w:val="top"/>
          </w:tcPr>
          <w:p w14:paraId="21FD5D3A">
            <w:pPr>
              <w:pStyle w:val="6"/>
              <w:spacing w:before="36" w:line="228" w:lineRule="auto"/>
              <w:ind w:left="138"/>
              <w:rPr>
                <w:sz w:val="20"/>
                <w:szCs w:val="20"/>
              </w:rPr>
            </w:pPr>
            <w:r>
              <w:rPr>
                <w:b/>
                <w:bCs/>
                <w:spacing w:val="6"/>
                <w:sz w:val="20"/>
                <w:szCs w:val="20"/>
              </w:rPr>
              <w:t>环境功能</w:t>
            </w:r>
          </w:p>
          <w:p w14:paraId="1780E708">
            <w:pPr>
              <w:pStyle w:val="6"/>
              <w:spacing w:before="24" w:line="218" w:lineRule="auto"/>
              <w:ind w:left="470"/>
              <w:rPr>
                <w:sz w:val="20"/>
                <w:szCs w:val="20"/>
              </w:rPr>
            </w:pPr>
            <w:r>
              <w:rPr>
                <w:b/>
                <w:bCs/>
                <w:spacing w:val="-3"/>
                <w:sz w:val="20"/>
                <w:szCs w:val="20"/>
              </w:rPr>
              <w:t>区</w:t>
            </w:r>
          </w:p>
        </w:tc>
        <w:tc>
          <w:tcPr>
            <w:tcW w:w="876" w:type="dxa"/>
            <w:vAlign w:val="top"/>
          </w:tcPr>
          <w:p w14:paraId="5C4A98DD">
            <w:pPr>
              <w:pStyle w:val="6"/>
              <w:spacing w:before="36" w:line="228" w:lineRule="auto"/>
              <w:ind w:left="127"/>
              <w:rPr>
                <w:sz w:val="20"/>
                <w:szCs w:val="20"/>
              </w:rPr>
            </w:pPr>
            <w:r>
              <w:rPr>
                <w:b/>
                <w:bCs/>
                <w:spacing w:val="5"/>
                <w:sz w:val="20"/>
                <w:szCs w:val="20"/>
              </w:rPr>
              <w:t>相对厂</w:t>
            </w:r>
          </w:p>
          <w:p w14:paraId="6F9C01C5">
            <w:pPr>
              <w:pStyle w:val="6"/>
              <w:spacing w:before="24" w:line="218" w:lineRule="auto"/>
              <w:ind w:left="128"/>
              <w:rPr>
                <w:sz w:val="20"/>
                <w:szCs w:val="20"/>
              </w:rPr>
            </w:pPr>
            <w:r>
              <w:rPr>
                <w:b/>
                <w:bCs/>
                <w:spacing w:val="5"/>
                <w:sz w:val="20"/>
                <w:szCs w:val="20"/>
              </w:rPr>
              <w:t>址方位</w:t>
            </w:r>
          </w:p>
        </w:tc>
        <w:tc>
          <w:tcPr>
            <w:tcW w:w="1150" w:type="dxa"/>
            <w:vAlign w:val="top"/>
          </w:tcPr>
          <w:p w14:paraId="5E54B3A4">
            <w:pPr>
              <w:pStyle w:val="6"/>
              <w:spacing w:before="36" w:line="228" w:lineRule="auto"/>
              <w:ind w:left="159"/>
              <w:rPr>
                <w:sz w:val="20"/>
                <w:szCs w:val="20"/>
              </w:rPr>
            </w:pPr>
            <w:r>
              <w:rPr>
                <w:b/>
                <w:bCs/>
                <w:spacing w:val="6"/>
                <w:sz w:val="20"/>
                <w:szCs w:val="20"/>
              </w:rPr>
              <w:t>相对厂界</w:t>
            </w:r>
          </w:p>
          <w:p w14:paraId="3AEDE798">
            <w:pPr>
              <w:pStyle w:val="6"/>
              <w:spacing w:before="24" w:line="218" w:lineRule="auto"/>
              <w:ind w:left="251"/>
              <w:rPr>
                <w:rFonts w:ascii="Times New Roman" w:hAnsi="Times New Roman" w:eastAsia="Times New Roman" w:cs="Times New Roman"/>
                <w:sz w:val="20"/>
                <w:szCs w:val="20"/>
              </w:rPr>
            </w:pPr>
            <w:r>
              <w:rPr>
                <w:b/>
                <w:bCs/>
                <w:spacing w:val="4"/>
                <w:sz w:val="20"/>
                <w:szCs w:val="20"/>
              </w:rPr>
              <w:t>距离</w:t>
            </w:r>
            <w:r>
              <w:rPr>
                <w:rFonts w:ascii="Times New Roman" w:hAnsi="Times New Roman" w:eastAsia="Times New Roman" w:cs="Times New Roman"/>
                <w:b/>
                <w:bCs/>
                <w:spacing w:val="4"/>
                <w:sz w:val="20"/>
                <w:szCs w:val="20"/>
              </w:rPr>
              <w:t>/m</w:t>
            </w:r>
          </w:p>
        </w:tc>
      </w:tr>
      <w:tr w14:paraId="09238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37" w:type="dxa"/>
            <w:vAlign w:val="top"/>
          </w:tcPr>
          <w:p w14:paraId="3372D066">
            <w:pPr>
              <w:spacing w:before="101"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4" w:type="dxa"/>
            <w:vAlign w:val="top"/>
          </w:tcPr>
          <w:p w14:paraId="7078B2E2">
            <w:pPr>
              <w:pStyle w:val="6"/>
              <w:spacing w:before="65" w:line="227" w:lineRule="auto"/>
              <w:ind w:left="258"/>
              <w:rPr>
                <w:sz w:val="20"/>
                <w:szCs w:val="20"/>
              </w:rPr>
            </w:pPr>
            <w:r>
              <w:rPr>
                <w:spacing w:val="6"/>
                <w:sz w:val="20"/>
                <w:szCs w:val="20"/>
              </w:rPr>
              <w:t>大嶂村</w:t>
            </w:r>
          </w:p>
        </w:tc>
        <w:tc>
          <w:tcPr>
            <w:tcW w:w="865" w:type="dxa"/>
            <w:vAlign w:val="top"/>
          </w:tcPr>
          <w:p w14:paraId="470096B4">
            <w:pPr>
              <w:spacing w:before="10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-4508</w:t>
            </w:r>
          </w:p>
        </w:tc>
        <w:tc>
          <w:tcPr>
            <w:tcW w:w="836" w:type="dxa"/>
            <w:vAlign w:val="top"/>
          </w:tcPr>
          <w:p w14:paraId="5CD19AC0">
            <w:pPr>
              <w:spacing w:before="101"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3077</w:t>
            </w:r>
          </w:p>
        </w:tc>
        <w:tc>
          <w:tcPr>
            <w:tcW w:w="827" w:type="dxa"/>
            <w:vAlign w:val="top"/>
          </w:tcPr>
          <w:p w14:paraId="53488E25">
            <w:pPr>
              <w:pStyle w:val="6"/>
              <w:spacing w:before="64" w:line="228" w:lineRule="auto"/>
              <w:ind w:left="209"/>
              <w:rPr>
                <w:sz w:val="20"/>
                <w:szCs w:val="20"/>
              </w:rPr>
            </w:pPr>
            <w:r>
              <w:rPr>
                <w:spacing w:val="3"/>
                <w:sz w:val="20"/>
                <w:szCs w:val="20"/>
              </w:rPr>
              <w:t>人群</w:t>
            </w:r>
          </w:p>
        </w:tc>
        <w:tc>
          <w:tcPr>
            <w:tcW w:w="899" w:type="dxa"/>
            <w:vAlign w:val="top"/>
          </w:tcPr>
          <w:p w14:paraId="7E00BE0E">
            <w:pPr>
              <w:pStyle w:val="6"/>
              <w:spacing w:before="65" w:line="228" w:lineRule="auto"/>
              <w:ind w:left="140"/>
              <w:rPr>
                <w:sz w:val="20"/>
                <w:szCs w:val="20"/>
              </w:rPr>
            </w:pPr>
            <w:r>
              <w:rPr>
                <w:spacing w:val="6"/>
                <w:sz w:val="20"/>
                <w:szCs w:val="20"/>
              </w:rPr>
              <w:t>居民区</w:t>
            </w:r>
          </w:p>
        </w:tc>
        <w:tc>
          <w:tcPr>
            <w:tcW w:w="796" w:type="dxa"/>
            <w:vAlign w:val="top"/>
          </w:tcPr>
          <w:p w14:paraId="2A6D07A9">
            <w:pPr>
              <w:spacing w:before="101"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107" w:type="dxa"/>
            <w:vMerge w:val="restart"/>
            <w:tcBorders>
              <w:bottom w:val="nil"/>
            </w:tcBorders>
            <w:vAlign w:val="top"/>
          </w:tcPr>
          <w:p w14:paraId="72644EB2">
            <w:pPr>
              <w:spacing w:line="247" w:lineRule="auto"/>
              <w:rPr>
                <w:rFonts w:ascii="Arial"/>
                <w:sz w:val="21"/>
              </w:rPr>
            </w:pPr>
          </w:p>
          <w:p w14:paraId="2EBDEAD5">
            <w:pPr>
              <w:spacing w:line="247" w:lineRule="auto"/>
              <w:rPr>
                <w:rFonts w:ascii="Arial"/>
                <w:sz w:val="21"/>
              </w:rPr>
            </w:pPr>
          </w:p>
          <w:p w14:paraId="73F28007">
            <w:pPr>
              <w:spacing w:line="248" w:lineRule="auto"/>
              <w:rPr>
                <w:rFonts w:ascii="Arial"/>
                <w:sz w:val="21"/>
              </w:rPr>
            </w:pPr>
          </w:p>
          <w:p w14:paraId="6DA70C39">
            <w:pPr>
              <w:spacing w:line="248" w:lineRule="auto"/>
              <w:rPr>
                <w:rFonts w:ascii="Arial"/>
                <w:sz w:val="21"/>
              </w:rPr>
            </w:pPr>
          </w:p>
          <w:p w14:paraId="35278211">
            <w:pPr>
              <w:spacing w:line="248" w:lineRule="auto"/>
              <w:rPr>
                <w:rFonts w:ascii="Arial"/>
                <w:sz w:val="21"/>
              </w:rPr>
            </w:pPr>
          </w:p>
          <w:p w14:paraId="4BF4681B">
            <w:pPr>
              <w:spacing w:line="248" w:lineRule="auto"/>
              <w:rPr>
                <w:rFonts w:ascii="Arial"/>
                <w:sz w:val="21"/>
              </w:rPr>
            </w:pPr>
          </w:p>
          <w:p w14:paraId="7F50119E">
            <w:pPr>
              <w:spacing w:line="248" w:lineRule="auto"/>
              <w:rPr>
                <w:rFonts w:ascii="Arial"/>
                <w:sz w:val="21"/>
              </w:rPr>
            </w:pPr>
          </w:p>
          <w:p w14:paraId="6BC746B7">
            <w:pPr>
              <w:spacing w:line="248" w:lineRule="auto"/>
              <w:rPr>
                <w:rFonts w:ascii="Arial"/>
                <w:sz w:val="21"/>
              </w:rPr>
            </w:pPr>
          </w:p>
          <w:p w14:paraId="3954CC4C">
            <w:pPr>
              <w:spacing w:line="248" w:lineRule="auto"/>
              <w:rPr>
                <w:rFonts w:ascii="Arial"/>
                <w:sz w:val="21"/>
              </w:rPr>
            </w:pPr>
          </w:p>
          <w:p w14:paraId="3D0D3384">
            <w:pPr>
              <w:spacing w:line="248" w:lineRule="auto"/>
              <w:rPr>
                <w:rFonts w:ascii="Arial"/>
                <w:sz w:val="21"/>
              </w:rPr>
            </w:pPr>
          </w:p>
          <w:p w14:paraId="62B3DDED">
            <w:pPr>
              <w:pStyle w:val="6"/>
              <w:spacing w:before="65" w:line="228" w:lineRule="auto"/>
              <w:ind w:left="140"/>
              <w:rPr>
                <w:sz w:val="20"/>
                <w:szCs w:val="20"/>
              </w:rPr>
            </w:pPr>
            <w:r>
              <w:rPr>
                <w:spacing w:val="7"/>
                <w:sz w:val="20"/>
                <w:szCs w:val="20"/>
              </w:rPr>
              <w:t>环境空气</w:t>
            </w:r>
          </w:p>
          <w:p w14:paraId="1449723F">
            <w:pPr>
              <w:pStyle w:val="6"/>
              <w:spacing w:before="23" w:line="228" w:lineRule="auto"/>
              <w:ind w:left="143"/>
              <w:rPr>
                <w:sz w:val="20"/>
                <w:szCs w:val="20"/>
              </w:rPr>
            </w:pPr>
            <w:r>
              <w:rPr>
                <w:spacing w:val="4"/>
                <w:sz w:val="20"/>
                <w:szCs w:val="20"/>
              </w:rPr>
              <w:t>二类区、</w:t>
            </w:r>
          </w:p>
          <w:p w14:paraId="3CAA8196">
            <w:pPr>
              <w:pStyle w:val="6"/>
              <w:spacing w:before="24" w:line="254" w:lineRule="auto"/>
              <w:ind w:left="349" w:right="157" w:hanging="178"/>
              <w:rPr>
                <w:sz w:val="20"/>
                <w:szCs w:val="20"/>
              </w:rPr>
            </w:pPr>
            <w:r>
              <w:rPr>
                <w:spacing w:val="4"/>
                <w:sz w:val="20"/>
                <w:szCs w:val="20"/>
              </w:rPr>
              <w:t>声环境</w:t>
            </w:r>
            <w:r>
              <w:rPr>
                <w:spacing w:val="-43"/>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 xml:space="preserve"> </w:t>
            </w:r>
            <w:r>
              <w:rPr>
                <w:spacing w:val="4"/>
                <w:sz w:val="20"/>
                <w:szCs w:val="20"/>
              </w:rPr>
              <w:t>类区</w:t>
            </w:r>
          </w:p>
        </w:tc>
        <w:tc>
          <w:tcPr>
            <w:tcW w:w="876" w:type="dxa"/>
            <w:vAlign w:val="top"/>
          </w:tcPr>
          <w:p w14:paraId="060E2CD3">
            <w:pPr>
              <w:pStyle w:val="6"/>
              <w:spacing w:before="65" w:line="231" w:lineRule="auto"/>
              <w:ind w:left="240"/>
              <w:rPr>
                <w:sz w:val="20"/>
                <w:szCs w:val="20"/>
              </w:rPr>
            </w:pPr>
            <w:r>
              <w:rPr>
                <w:spacing w:val="2"/>
                <w:sz w:val="20"/>
                <w:szCs w:val="20"/>
              </w:rPr>
              <w:t>西北</w:t>
            </w:r>
          </w:p>
        </w:tc>
        <w:tc>
          <w:tcPr>
            <w:tcW w:w="1150" w:type="dxa"/>
            <w:vAlign w:val="top"/>
          </w:tcPr>
          <w:p w14:paraId="7AD4E9AD">
            <w:pPr>
              <w:spacing w:before="10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4880</w:t>
            </w:r>
          </w:p>
        </w:tc>
      </w:tr>
      <w:tr w14:paraId="0BF13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37" w:type="dxa"/>
            <w:vAlign w:val="top"/>
          </w:tcPr>
          <w:p w14:paraId="18031E3B">
            <w:pPr>
              <w:spacing w:before="10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34" w:type="dxa"/>
            <w:vAlign w:val="top"/>
          </w:tcPr>
          <w:p w14:paraId="463F0CAC">
            <w:pPr>
              <w:pStyle w:val="6"/>
              <w:spacing w:before="64" w:line="228" w:lineRule="auto"/>
              <w:ind w:left="364"/>
              <w:rPr>
                <w:sz w:val="20"/>
                <w:szCs w:val="20"/>
              </w:rPr>
            </w:pPr>
            <w:r>
              <w:rPr>
                <w:spacing w:val="3"/>
                <w:sz w:val="20"/>
                <w:szCs w:val="20"/>
              </w:rPr>
              <w:t>兵营</w:t>
            </w:r>
          </w:p>
        </w:tc>
        <w:tc>
          <w:tcPr>
            <w:tcW w:w="865" w:type="dxa"/>
            <w:vAlign w:val="top"/>
          </w:tcPr>
          <w:p w14:paraId="4D977336">
            <w:pPr>
              <w:spacing w:before="102"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-2498</w:t>
            </w:r>
          </w:p>
        </w:tc>
        <w:tc>
          <w:tcPr>
            <w:tcW w:w="836" w:type="dxa"/>
            <w:vAlign w:val="top"/>
          </w:tcPr>
          <w:p w14:paraId="101E7A81">
            <w:pPr>
              <w:spacing w:before="102"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2320</w:t>
            </w:r>
          </w:p>
        </w:tc>
        <w:tc>
          <w:tcPr>
            <w:tcW w:w="827" w:type="dxa"/>
            <w:vAlign w:val="top"/>
          </w:tcPr>
          <w:p w14:paraId="065AF602">
            <w:pPr>
              <w:pStyle w:val="6"/>
              <w:spacing w:before="63" w:line="228" w:lineRule="auto"/>
              <w:ind w:left="209"/>
              <w:rPr>
                <w:sz w:val="20"/>
                <w:szCs w:val="20"/>
              </w:rPr>
            </w:pPr>
            <w:r>
              <w:rPr>
                <w:spacing w:val="3"/>
                <w:sz w:val="20"/>
                <w:szCs w:val="20"/>
              </w:rPr>
              <w:t>人群</w:t>
            </w:r>
          </w:p>
        </w:tc>
        <w:tc>
          <w:tcPr>
            <w:tcW w:w="899" w:type="dxa"/>
            <w:vAlign w:val="top"/>
          </w:tcPr>
          <w:p w14:paraId="7AB468C7">
            <w:pPr>
              <w:pStyle w:val="6"/>
              <w:spacing w:before="64" w:line="228" w:lineRule="auto"/>
              <w:ind w:left="140"/>
              <w:rPr>
                <w:sz w:val="20"/>
                <w:szCs w:val="20"/>
              </w:rPr>
            </w:pPr>
            <w:r>
              <w:rPr>
                <w:spacing w:val="6"/>
                <w:sz w:val="20"/>
                <w:szCs w:val="20"/>
              </w:rPr>
              <w:t>居民区</w:t>
            </w:r>
          </w:p>
        </w:tc>
        <w:tc>
          <w:tcPr>
            <w:tcW w:w="796" w:type="dxa"/>
            <w:vAlign w:val="top"/>
          </w:tcPr>
          <w:p w14:paraId="5257016F">
            <w:pPr>
              <w:spacing w:before="102"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107" w:type="dxa"/>
            <w:vMerge w:val="continue"/>
            <w:tcBorders>
              <w:top w:val="nil"/>
              <w:bottom w:val="nil"/>
            </w:tcBorders>
            <w:vAlign w:val="top"/>
          </w:tcPr>
          <w:p w14:paraId="0C79EA9B">
            <w:pPr>
              <w:rPr>
                <w:rFonts w:ascii="Arial"/>
                <w:sz w:val="21"/>
              </w:rPr>
            </w:pPr>
          </w:p>
        </w:tc>
        <w:tc>
          <w:tcPr>
            <w:tcW w:w="876" w:type="dxa"/>
            <w:vAlign w:val="top"/>
          </w:tcPr>
          <w:p w14:paraId="5D22028F">
            <w:pPr>
              <w:pStyle w:val="6"/>
              <w:spacing w:before="64" w:line="231" w:lineRule="auto"/>
              <w:ind w:left="240"/>
              <w:rPr>
                <w:sz w:val="20"/>
                <w:szCs w:val="20"/>
              </w:rPr>
            </w:pPr>
            <w:r>
              <w:rPr>
                <w:spacing w:val="2"/>
                <w:sz w:val="20"/>
                <w:szCs w:val="20"/>
              </w:rPr>
              <w:t>西北</w:t>
            </w:r>
          </w:p>
        </w:tc>
        <w:tc>
          <w:tcPr>
            <w:tcW w:w="1150" w:type="dxa"/>
            <w:vAlign w:val="top"/>
          </w:tcPr>
          <w:p w14:paraId="56442427">
            <w:pPr>
              <w:spacing w:before="10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2690</w:t>
            </w:r>
          </w:p>
        </w:tc>
      </w:tr>
      <w:tr w14:paraId="54466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00FDDAC9">
            <w:pPr>
              <w:spacing w:before="103"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34" w:type="dxa"/>
            <w:vAlign w:val="top"/>
          </w:tcPr>
          <w:p w14:paraId="68CA6E9B">
            <w:pPr>
              <w:pStyle w:val="6"/>
              <w:spacing w:before="65" w:line="227" w:lineRule="auto"/>
              <w:ind w:left="267"/>
              <w:rPr>
                <w:sz w:val="20"/>
                <w:szCs w:val="20"/>
              </w:rPr>
            </w:pPr>
            <w:r>
              <w:rPr>
                <w:spacing w:val="3"/>
                <w:sz w:val="20"/>
                <w:szCs w:val="20"/>
              </w:rPr>
              <w:t>陈庄村</w:t>
            </w:r>
          </w:p>
        </w:tc>
        <w:tc>
          <w:tcPr>
            <w:tcW w:w="865" w:type="dxa"/>
            <w:vAlign w:val="top"/>
          </w:tcPr>
          <w:p w14:paraId="5F0AD6E6">
            <w:pPr>
              <w:spacing w:before="103"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-2990</w:t>
            </w:r>
          </w:p>
        </w:tc>
        <w:tc>
          <w:tcPr>
            <w:tcW w:w="836" w:type="dxa"/>
            <w:vAlign w:val="top"/>
          </w:tcPr>
          <w:p w14:paraId="482B4E42">
            <w:pPr>
              <w:spacing w:before="10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1544</w:t>
            </w:r>
          </w:p>
        </w:tc>
        <w:tc>
          <w:tcPr>
            <w:tcW w:w="827" w:type="dxa"/>
            <w:vAlign w:val="top"/>
          </w:tcPr>
          <w:p w14:paraId="193354B4">
            <w:pPr>
              <w:pStyle w:val="6"/>
              <w:spacing w:before="65" w:line="228" w:lineRule="auto"/>
              <w:ind w:left="209"/>
              <w:rPr>
                <w:sz w:val="20"/>
                <w:szCs w:val="20"/>
              </w:rPr>
            </w:pPr>
            <w:r>
              <w:rPr>
                <w:spacing w:val="3"/>
                <w:sz w:val="20"/>
                <w:szCs w:val="20"/>
              </w:rPr>
              <w:t>人群</w:t>
            </w:r>
          </w:p>
        </w:tc>
        <w:tc>
          <w:tcPr>
            <w:tcW w:w="899" w:type="dxa"/>
            <w:vAlign w:val="top"/>
          </w:tcPr>
          <w:p w14:paraId="143D0D66">
            <w:pPr>
              <w:pStyle w:val="6"/>
              <w:spacing w:before="66" w:line="228" w:lineRule="auto"/>
              <w:ind w:left="140"/>
              <w:rPr>
                <w:sz w:val="20"/>
                <w:szCs w:val="20"/>
              </w:rPr>
            </w:pPr>
            <w:r>
              <w:rPr>
                <w:spacing w:val="6"/>
                <w:sz w:val="20"/>
                <w:szCs w:val="20"/>
              </w:rPr>
              <w:t>居民区</w:t>
            </w:r>
          </w:p>
        </w:tc>
        <w:tc>
          <w:tcPr>
            <w:tcW w:w="796" w:type="dxa"/>
            <w:vAlign w:val="top"/>
          </w:tcPr>
          <w:p w14:paraId="32347693">
            <w:pPr>
              <w:spacing w:before="10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107" w:type="dxa"/>
            <w:vMerge w:val="continue"/>
            <w:tcBorders>
              <w:top w:val="nil"/>
              <w:bottom w:val="nil"/>
            </w:tcBorders>
            <w:vAlign w:val="top"/>
          </w:tcPr>
          <w:p w14:paraId="5245CF77">
            <w:pPr>
              <w:rPr>
                <w:rFonts w:ascii="Arial"/>
                <w:sz w:val="21"/>
              </w:rPr>
            </w:pPr>
          </w:p>
        </w:tc>
        <w:tc>
          <w:tcPr>
            <w:tcW w:w="876" w:type="dxa"/>
            <w:vAlign w:val="top"/>
          </w:tcPr>
          <w:p w14:paraId="7E24A854">
            <w:pPr>
              <w:pStyle w:val="6"/>
              <w:spacing w:before="65" w:line="231" w:lineRule="auto"/>
              <w:ind w:left="240"/>
              <w:rPr>
                <w:sz w:val="20"/>
                <w:szCs w:val="20"/>
              </w:rPr>
            </w:pPr>
            <w:r>
              <w:rPr>
                <w:spacing w:val="2"/>
                <w:sz w:val="20"/>
                <w:szCs w:val="20"/>
              </w:rPr>
              <w:t>西北</w:t>
            </w:r>
          </w:p>
        </w:tc>
        <w:tc>
          <w:tcPr>
            <w:tcW w:w="1150" w:type="dxa"/>
            <w:vAlign w:val="top"/>
          </w:tcPr>
          <w:p w14:paraId="32F8BE55">
            <w:pPr>
              <w:spacing w:before="10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2970</w:t>
            </w:r>
          </w:p>
        </w:tc>
      </w:tr>
      <w:tr w14:paraId="56B9E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37" w:type="dxa"/>
            <w:vAlign w:val="top"/>
          </w:tcPr>
          <w:p w14:paraId="5644C4D5">
            <w:pPr>
              <w:spacing w:before="10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34" w:type="dxa"/>
            <w:vAlign w:val="top"/>
          </w:tcPr>
          <w:p w14:paraId="1482BC01">
            <w:pPr>
              <w:pStyle w:val="6"/>
              <w:spacing w:before="65" w:line="227" w:lineRule="auto"/>
              <w:ind w:left="161"/>
              <w:rPr>
                <w:sz w:val="20"/>
                <w:szCs w:val="20"/>
              </w:rPr>
            </w:pPr>
            <w:r>
              <w:rPr>
                <w:spacing w:val="4"/>
                <w:sz w:val="20"/>
                <w:szCs w:val="20"/>
              </w:rPr>
              <w:t>陈林新村</w:t>
            </w:r>
          </w:p>
        </w:tc>
        <w:tc>
          <w:tcPr>
            <w:tcW w:w="865" w:type="dxa"/>
            <w:vAlign w:val="top"/>
          </w:tcPr>
          <w:p w14:paraId="5DC777DA">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-3552</w:t>
            </w:r>
          </w:p>
        </w:tc>
        <w:tc>
          <w:tcPr>
            <w:tcW w:w="836" w:type="dxa"/>
            <w:vAlign w:val="top"/>
          </w:tcPr>
          <w:p w14:paraId="70789EEF">
            <w:pPr>
              <w:spacing w:before="10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1484</w:t>
            </w:r>
          </w:p>
        </w:tc>
        <w:tc>
          <w:tcPr>
            <w:tcW w:w="827" w:type="dxa"/>
            <w:vAlign w:val="top"/>
          </w:tcPr>
          <w:p w14:paraId="55CAB385">
            <w:pPr>
              <w:pStyle w:val="6"/>
              <w:spacing w:before="65" w:line="228" w:lineRule="auto"/>
              <w:ind w:left="209"/>
              <w:rPr>
                <w:sz w:val="20"/>
                <w:szCs w:val="20"/>
              </w:rPr>
            </w:pPr>
            <w:r>
              <w:rPr>
                <w:spacing w:val="3"/>
                <w:sz w:val="20"/>
                <w:szCs w:val="20"/>
              </w:rPr>
              <w:t>人群</w:t>
            </w:r>
          </w:p>
        </w:tc>
        <w:tc>
          <w:tcPr>
            <w:tcW w:w="899" w:type="dxa"/>
            <w:vAlign w:val="top"/>
          </w:tcPr>
          <w:p w14:paraId="5213092A">
            <w:pPr>
              <w:pStyle w:val="6"/>
              <w:spacing w:before="66" w:line="228" w:lineRule="auto"/>
              <w:ind w:left="140"/>
              <w:rPr>
                <w:sz w:val="20"/>
                <w:szCs w:val="20"/>
              </w:rPr>
            </w:pPr>
            <w:r>
              <w:rPr>
                <w:spacing w:val="6"/>
                <w:sz w:val="20"/>
                <w:szCs w:val="20"/>
              </w:rPr>
              <w:t>居民区</w:t>
            </w:r>
          </w:p>
        </w:tc>
        <w:tc>
          <w:tcPr>
            <w:tcW w:w="796" w:type="dxa"/>
            <w:vAlign w:val="top"/>
          </w:tcPr>
          <w:p w14:paraId="278FC793">
            <w:pPr>
              <w:spacing w:before="10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7" w:type="dxa"/>
            <w:vMerge w:val="continue"/>
            <w:tcBorders>
              <w:top w:val="nil"/>
              <w:bottom w:val="nil"/>
            </w:tcBorders>
            <w:vAlign w:val="top"/>
          </w:tcPr>
          <w:p w14:paraId="004632B6">
            <w:pPr>
              <w:rPr>
                <w:rFonts w:ascii="Arial"/>
                <w:sz w:val="21"/>
              </w:rPr>
            </w:pPr>
          </w:p>
        </w:tc>
        <w:tc>
          <w:tcPr>
            <w:tcW w:w="876" w:type="dxa"/>
            <w:vAlign w:val="top"/>
          </w:tcPr>
          <w:p w14:paraId="565B75BF">
            <w:pPr>
              <w:pStyle w:val="6"/>
              <w:spacing w:before="66" w:line="231" w:lineRule="auto"/>
              <w:ind w:left="240"/>
              <w:rPr>
                <w:sz w:val="20"/>
                <w:szCs w:val="20"/>
              </w:rPr>
            </w:pPr>
            <w:r>
              <w:rPr>
                <w:spacing w:val="2"/>
                <w:sz w:val="20"/>
                <w:szCs w:val="20"/>
              </w:rPr>
              <w:t>西北</w:t>
            </w:r>
          </w:p>
        </w:tc>
        <w:tc>
          <w:tcPr>
            <w:tcW w:w="1150" w:type="dxa"/>
            <w:vAlign w:val="top"/>
          </w:tcPr>
          <w:p w14:paraId="40F20B3B">
            <w:pPr>
              <w:spacing w:before="104"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3500</w:t>
            </w:r>
          </w:p>
        </w:tc>
      </w:tr>
      <w:tr w14:paraId="68C6D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31772FF7">
            <w:pPr>
              <w:spacing w:before="106"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4" w:type="dxa"/>
            <w:vAlign w:val="top"/>
          </w:tcPr>
          <w:p w14:paraId="465A369D">
            <w:pPr>
              <w:pStyle w:val="6"/>
              <w:spacing w:before="67" w:line="227" w:lineRule="auto"/>
              <w:ind w:left="152"/>
              <w:rPr>
                <w:sz w:val="20"/>
                <w:szCs w:val="20"/>
              </w:rPr>
            </w:pPr>
            <w:r>
              <w:rPr>
                <w:spacing w:val="6"/>
                <w:sz w:val="20"/>
                <w:szCs w:val="20"/>
              </w:rPr>
              <w:t>金钱埔村</w:t>
            </w:r>
          </w:p>
        </w:tc>
        <w:tc>
          <w:tcPr>
            <w:tcW w:w="865" w:type="dxa"/>
            <w:vAlign w:val="top"/>
          </w:tcPr>
          <w:p w14:paraId="29F5F924">
            <w:pPr>
              <w:spacing w:before="103"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-374</w:t>
            </w:r>
          </w:p>
        </w:tc>
        <w:tc>
          <w:tcPr>
            <w:tcW w:w="836" w:type="dxa"/>
            <w:vAlign w:val="top"/>
          </w:tcPr>
          <w:p w14:paraId="1BBC2BF8">
            <w:pPr>
              <w:spacing w:before="10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1211</w:t>
            </w:r>
          </w:p>
        </w:tc>
        <w:tc>
          <w:tcPr>
            <w:tcW w:w="827" w:type="dxa"/>
            <w:vAlign w:val="top"/>
          </w:tcPr>
          <w:p w14:paraId="7574842C">
            <w:pPr>
              <w:pStyle w:val="6"/>
              <w:spacing w:before="67" w:line="228" w:lineRule="auto"/>
              <w:ind w:left="209"/>
              <w:rPr>
                <w:sz w:val="20"/>
                <w:szCs w:val="20"/>
              </w:rPr>
            </w:pPr>
            <w:r>
              <w:rPr>
                <w:spacing w:val="3"/>
                <w:sz w:val="20"/>
                <w:szCs w:val="20"/>
              </w:rPr>
              <w:t>人群</w:t>
            </w:r>
          </w:p>
        </w:tc>
        <w:tc>
          <w:tcPr>
            <w:tcW w:w="899" w:type="dxa"/>
            <w:vAlign w:val="top"/>
          </w:tcPr>
          <w:p w14:paraId="5C776325">
            <w:pPr>
              <w:pStyle w:val="6"/>
              <w:spacing w:before="67" w:line="228" w:lineRule="auto"/>
              <w:ind w:left="140"/>
              <w:rPr>
                <w:sz w:val="20"/>
                <w:szCs w:val="20"/>
              </w:rPr>
            </w:pPr>
            <w:r>
              <w:rPr>
                <w:spacing w:val="6"/>
                <w:sz w:val="20"/>
                <w:szCs w:val="20"/>
              </w:rPr>
              <w:t>居民区</w:t>
            </w:r>
          </w:p>
        </w:tc>
        <w:tc>
          <w:tcPr>
            <w:tcW w:w="796" w:type="dxa"/>
            <w:vAlign w:val="top"/>
          </w:tcPr>
          <w:p w14:paraId="4B31131E">
            <w:pPr>
              <w:spacing w:before="10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7" w:type="dxa"/>
            <w:vMerge w:val="continue"/>
            <w:tcBorders>
              <w:top w:val="nil"/>
              <w:bottom w:val="nil"/>
            </w:tcBorders>
            <w:vAlign w:val="top"/>
          </w:tcPr>
          <w:p w14:paraId="0E48F3A9">
            <w:pPr>
              <w:rPr>
                <w:rFonts w:ascii="Arial"/>
                <w:sz w:val="21"/>
              </w:rPr>
            </w:pPr>
          </w:p>
        </w:tc>
        <w:tc>
          <w:tcPr>
            <w:tcW w:w="876" w:type="dxa"/>
            <w:vAlign w:val="top"/>
          </w:tcPr>
          <w:p w14:paraId="12A1B4C4">
            <w:pPr>
              <w:pStyle w:val="6"/>
              <w:spacing w:before="67" w:line="231" w:lineRule="auto"/>
              <w:ind w:left="240"/>
              <w:rPr>
                <w:sz w:val="20"/>
                <w:szCs w:val="20"/>
              </w:rPr>
            </w:pPr>
            <w:r>
              <w:rPr>
                <w:spacing w:val="2"/>
                <w:sz w:val="20"/>
                <w:szCs w:val="20"/>
              </w:rPr>
              <w:t>西北</w:t>
            </w:r>
          </w:p>
        </w:tc>
        <w:tc>
          <w:tcPr>
            <w:tcW w:w="1150" w:type="dxa"/>
            <w:vAlign w:val="top"/>
          </w:tcPr>
          <w:p w14:paraId="6956283C">
            <w:pPr>
              <w:spacing w:before="103"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1030</w:t>
            </w:r>
          </w:p>
        </w:tc>
      </w:tr>
      <w:tr w14:paraId="3F59C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1730860C">
            <w:pPr>
              <w:spacing w:before="103"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34" w:type="dxa"/>
            <w:vAlign w:val="top"/>
          </w:tcPr>
          <w:p w14:paraId="08193CBC">
            <w:pPr>
              <w:pStyle w:val="6"/>
              <w:spacing w:before="67" w:line="227" w:lineRule="auto"/>
              <w:ind w:left="257"/>
              <w:rPr>
                <w:sz w:val="20"/>
                <w:szCs w:val="20"/>
              </w:rPr>
            </w:pPr>
            <w:r>
              <w:rPr>
                <w:spacing w:val="6"/>
                <w:sz w:val="20"/>
                <w:szCs w:val="20"/>
              </w:rPr>
              <w:t>罗北村</w:t>
            </w:r>
          </w:p>
        </w:tc>
        <w:tc>
          <w:tcPr>
            <w:tcW w:w="865" w:type="dxa"/>
            <w:vAlign w:val="top"/>
          </w:tcPr>
          <w:p w14:paraId="6EF99776">
            <w:pPr>
              <w:spacing w:before="103"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-4675</w:t>
            </w:r>
          </w:p>
        </w:tc>
        <w:tc>
          <w:tcPr>
            <w:tcW w:w="836" w:type="dxa"/>
            <w:vAlign w:val="top"/>
          </w:tcPr>
          <w:p w14:paraId="5B4D2053">
            <w:pPr>
              <w:spacing w:before="10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27" w:type="dxa"/>
            <w:vAlign w:val="top"/>
          </w:tcPr>
          <w:p w14:paraId="4C5EAF8C">
            <w:pPr>
              <w:pStyle w:val="6"/>
              <w:spacing w:before="67" w:line="228" w:lineRule="auto"/>
              <w:ind w:left="209"/>
              <w:rPr>
                <w:sz w:val="20"/>
                <w:szCs w:val="20"/>
              </w:rPr>
            </w:pPr>
            <w:r>
              <w:rPr>
                <w:spacing w:val="3"/>
                <w:sz w:val="20"/>
                <w:szCs w:val="20"/>
              </w:rPr>
              <w:t>人群</w:t>
            </w:r>
          </w:p>
        </w:tc>
        <w:tc>
          <w:tcPr>
            <w:tcW w:w="899" w:type="dxa"/>
            <w:vAlign w:val="top"/>
          </w:tcPr>
          <w:p w14:paraId="3DD8078B">
            <w:pPr>
              <w:pStyle w:val="6"/>
              <w:spacing w:before="68" w:line="228" w:lineRule="auto"/>
              <w:ind w:left="140"/>
              <w:rPr>
                <w:sz w:val="20"/>
                <w:szCs w:val="20"/>
              </w:rPr>
            </w:pPr>
            <w:r>
              <w:rPr>
                <w:spacing w:val="6"/>
                <w:sz w:val="20"/>
                <w:szCs w:val="20"/>
              </w:rPr>
              <w:t>居民区</w:t>
            </w:r>
          </w:p>
        </w:tc>
        <w:tc>
          <w:tcPr>
            <w:tcW w:w="796" w:type="dxa"/>
            <w:vAlign w:val="top"/>
          </w:tcPr>
          <w:p w14:paraId="689F9B96">
            <w:pPr>
              <w:spacing w:before="103"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p>
        </w:tc>
        <w:tc>
          <w:tcPr>
            <w:tcW w:w="1107" w:type="dxa"/>
            <w:vMerge w:val="continue"/>
            <w:tcBorders>
              <w:top w:val="nil"/>
              <w:bottom w:val="nil"/>
            </w:tcBorders>
            <w:vAlign w:val="top"/>
          </w:tcPr>
          <w:p w14:paraId="70EF595D">
            <w:pPr>
              <w:rPr>
                <w:rFonts w:ascii="Arial"/>
                <w:sz w:val="21"/>
              </w:rPr>
            </w:pPr>
          </w:p>
        </w:tc>
        <w:tc>
          <w:tcPr>
            <w:tcW w:w="876" w:type="dxa"/>
            <w:vAlign w:val="top"/>
          </w:tcPr>
          <w:p w14:paraId="14E3E2F0">
            <w:pPr>
              <w:pStyle w:val="6"/>
              <w:spacing w:before="67" w:line="230" w:lineRule="auto"/>
              <w:ind w:left="240"/>
              <w:rPr>
                <w:sz w:val="20"/>
                <w:szCs w:val="20"/>
              </w:rPr>
            </w:pPr>
            <w:r>
              <w:rPr>
                <w:spacing w:val="2"/>
                <w:sz w:val="20"/>
                <w:szCs w:val="20"/>
              </w:rPr>
              <w:t>西南</w:t>
            </w:r>
          </w:p>
        </w:tc>
        <w:tc>
          <w:tcPr>
            <w:tcW w:w="1150" w:type="dxa"/>
            <w:vAlign w:val="top"/>
          </w:tcPr>
          <w:p w14:paraId="6C93AA15">
            <w:pPr>
              <w:spacing w:before="103"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3800</w:t>
            </w:r>
          </w:p>
        </w:tc>
      </w:tr>
      <w:tr w14:paraId="090B0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5793DF96">
            <w:pPr>
              <w:spacing w:before="107" w:line="192"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34" w:type="dxa"/>
            <w:vAlign w:val="top"/>
          </w:tcPr>
          <w:p w14:paraId="3392D7E5">
            <w:pPr>
              <w:pStyle w:val="6"/>
              <w:spacing w:before="68" w:line="227" w:lineRule="auto"/>
              <w:ind w:left="257"/>
              <w:rPr>
                <w:sz w:val="20"/>
                <w:szCs w:val="20"/>
              </w:rPr>
            </w:pPr>
            <w:r>
              <w:rPr>
                <w:spacing w:val="6"/>
                <w:sz w:val="20"/>
                <w:szCs w:val="20"/>
              </w:rPr>
              <w:t>上乡村</w:t>
            </w:r>
          </w:p>
        </w:tc>
        <w:tc>
          <w:tcPr>
            <w:tcW w:w="865" w:type="dxa"/>
            <w:vAlign w:val="top"/>
          </w:tcPr>
          <w:p w14:paraId="0BDAD9EC">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-4006</w:t>
            </w:r>
          </w:p>
        </w:tc>
        <w:tc>
          <w:tcPr>
            <w:tcW w:w="836" w:type="dxa"/>
            <w:vAlign w:val="top"/>
          </w:tcPr>
          <w:p w14:paraId="1B57C054">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368</w:t>
            </w:r>
          </w:p>
        </w:tc>
        <w:tc>
          <w:tcPr>
            <w:tcW w:w="827" w:type="dxa"/>
            <w:vAlign w:val="top"/>
          </w:tcPr>
          <w:p w14:paraId="68948BA8">
            <w:pPr>
              <w:pStyle w:val="6"/>
              <w:spacing w:before="67" w:line="228" w:lineRule="auto"/>
              <w:ind w:left="209"/>
              <w:rPr>
                <w:sz w:val="20"/>
                <w:szCs w:val="20"/>
              </w:rPr>
            </w:pPr>
            <w:r>
              <w:rPr>
                <w:spacing w:val="3"/>
                <w:sz w:val="20"/>
                <w:szCs w:val="20"/>
              </w:rPr>
              <w:t>人群</w:t>
            </w:r>
          </w:p>
        </w:tc>
        <w:tc>
          <w:tcPr>
            <w:tcW w:w="899" w:type="dxa"/>
            <w:vAlign w:val="top"/>
          </w:tcPr>
          <w:p w14:paraId="67AAEEA6">
            <w:pPr>
              <w:pStyle w:val="6"/>
              <w:spacing w:before="68" w:line="228" w:lineRule="auto"/>
              <w:ind w:left="140"/>
              <w:rPr>
                <w:sz w:val="20"/>
                <w:szCs w:val="20"/>
              </w:rPr>
            </w:pPr>
            <w:r>
              <w:rPr>
                <w:spacing w:val="6"/>
                <w:sz w:val="20"/>
                <w:szCs w:val="20"/>
              </w:rPr>
              <w:t>居民区</w:t>
            </w:r>
          </w:p>
        </w:tc>
        <w:tc>
          <w:tcPr>
            <w:tcW w:w="796" w:type="dxa"/>
            <w:vAlign w:val="top"/>
          </w:tcPr>
          <w:p w14:paraId="5CA3A9F1">
            <w:pPr>
              <w:spacing w:before="104"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28D585A6">
            <w:pPr>
              <w:rPr>
                <w:rFonts w:ascii="Arial"/>
                <w:sz w:val="21"/>
              </w:rPr>
            </w:pPr>
          </w:p>
        </w:tc>
        <w:tc>
          <w:tcPr>
            <w:tcW w:w="876" w:type="dxa"/>
            <w:vAlign w:val="top"/>
          </w:tcPr>
          <w:p w14:paraId="5F7497AC">
            <w:pPr>
              <w:pStyle w:val="6"/>
              <w:spacing w:before="68" w:line="230" w:lineRule="auto"/>
              <w:ind w:left="240"/>
              <w:rPr>
                <w:sz w:val="20"/>
                <w:szCs w:val="20"/>
              </w:rPr>
            </w:pPr>
            <w:r>
              <w:rPr>
                <w:spacing w:val="2"/>
                <w:sz w:val="20"/>
                <w:szCs w:val="20"/>
              </w:rPr>
              <w:t>西南</w:t>
            </w:r>
          </w:p>
        </w:tc>
        <w:tc>
          <w:tcPr>
            <w:tcW w:w="1150" w:type="dxa"/>
            <w:vAlign w:val="top"/>
          </w:tcPr>
          <w:p w14:paraId="4B6992C3">
            <w:pPr>
              <w:spacing w:before="104"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3640</w:t>
            </w:r>
          </w:p>
        </w:tc>
      </w:tr>
      <w:tr w14:paraId="39678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2EDD9C0B">
            <w:pPr>
              <w:spacing w:before="104" w:line="195" w:lineRule="auto"/>
              <w:ind w:left="22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34" w:type="dxa"/>
            <w:vAlign w:val="top"/>
          </w:tcPr>
          <w:p w14:paraId="1AC41DC1">
            <w:pPr>
              <w:pStyle w:val="6"/>
              <w:spacing w:before="66" w:line="227" w:lineRule="auto"/>
              <w:ind w:left="255"/>
              <w:rPr>
                <w:sz w:val="20"/>
                <w:szCs w:val="20"/>
              </w:rPr>
            </w:pPr>
            <w:r>
              <w:rPr>
                <w:spacing w:val="7"/>
                <w:sz w:val="20"/>
                <w:szCs w:val="20"/>
              </w:rPr>
              <w:t>港墘村</w:t>
            </w:r>
          </w:p>
        </w:tc>
        <w:tc>
          <w:tcPr>
            <w:tcW w:w="865" w:type="dxa"/>
            <w:vAlign w:val="top"/>
          </w:tcPr>
          <w:p w14:paraId="76798AE1">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-4110</w:t>
            </w:r>
          </w:p>
        </w:tc>
        <w:tc>
          <w:tcPr>
            <w:tcW w:w="836" w:type="dxa"/>
            <w:vAlign w:val="top"/>
          </w:tcPr>
          <w:p w14:paraId="7B0DF16A">
            <w:pPr>
              <w:spacing w:before="104"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-389</w:t>
            </w:r>
          </w:p>
        </w:tc>
        <w:tc>
          <w:tcPr>
            <w:tcW w:w="827" w:type="dxa"/>
            <w:vAlign w:val="top"/>
          </w:tcPr>
          <w:p w14:paraId="4582A399">
            <w:pPr>
              <w:pStyle w:val="6"/>
              <w:spacing w:before="65" w:line="228" w:lineRule="auto"/>
              <w:ind w:left="209"/>
              <w:rPr>
                <w:sz w:val="20"/>
                <w:szCs w:val="20"/>
              </w:rPr>
            </w:pPr>
            <w:r>
              <w:rPr>
                <w:spacing w:val="3"/>
                <w:sz w:val="20"/>
                <w:szCs w:val="20"/>
              </w:rPr>
              <w:t>人群</w:t>
            </w:r>
          </w:p>
        </w:tc>
        <w:tc>
          <w:tcPr>
            <w:tcW w:w="899" w:type="dxa"/>
            <w:vAlign w:val="top"/>
          </w:tcPr>
          <w:p w14:paraId="5EAAAAAF">
            <w:pPr>
              <w:pStyle w:val="6"/>
              <w:spacing w:before="66" w:line="228" w:lineRule="auto"/>
              <w:ind w:left="140"/>
              <w:rPr>
                <w:sz w:val="20"/>
                <w:szCs w:val="20"/>
              </w:rPr>
            </w:pPr>
            <w:r>
              <w:rPr>
                <w:spacing w:val="6"/>
                <w:sz w:val="20"/>
                <w:szCs w:val="20"/>
              </w:rPr>
              <w:t>居民区</w:t>
            </w:r>
          </w:p>
        </w:tc>
        <w:tc>
          <w:tcPr>
            <w:tcW w:w="796" w:type="dxa"/>
            <w:vAlign w:val="top"/>
          </w:tcPr>
          <w:p w14:paraId="2991AFA5">
            <w:pPr>
              <w:spacing w:before="104"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107" w:type="dxa"/>
            <w:vMerge w:val="continue"/>
            <w:tcBorders>
              <w:top w:val="nil"/>
              <w:bottom w:val="nil"/>
            </w:tcBorders>
            <w:vAlign w:val="top"/>
          </w:tcPr>
          <w:p w14:paraId="0645E665">
            <w:pPr>
              <w:rPr>
                <w:rFonts w:ascii="Arial"/>
                <w:sz w:val="21"/>
              </w:rPr>
            </w:pPr>
          </w:p>
        </w:tc>
        <w:tc>
          <w:tcPr>
            <w:tcW w:w="876" w:type="dxa"/>
            <w:vAlign w:val="top"/>
          </w:tcPr>
          <w:p w14:paraId="535426A6">
            <w:pPr>
              <w:pStyle w:val="6"/>
              <w:spacing w:before="66" w:line="230" w:lineRule="auto"/>
              <w:ind w:left="240"/>
              <w:rPr>
                <w:sz w:val="20"/>
                <w:szCs w:val="20"/>
              </w:rPr>
            </w:pPr>
            <w:r>
              <w:rPr>
                <w:spacing w:val="2"/>
                <w:sz w:val="20"/>
                <w:szCs w:val="20"/>
              </w:rPr>
              <w:t>西南</w:t>
            </w:r>
          </w:p>
        </w:tc>
        <w:tc>
          <w:tcPr>
            <w:tcW w:w="1150" w:type="dxa"/>
            <w:vAlign w:val="top"/>
          </w:tcPr>
          <w:p w14:paraId="62F6D09D">
            <w:pPr>
              <w:spacing w:before="104"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3750</w:t>
            </w:r>
          </w:p>
        </w:tc>
      </w:tr>
      <w:tr w14:paraId="73152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6770A6C9">
            <w:pPr>
              <w:spacing w:before="10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34" w:type="dxa"/>
            <w:vAlign w:val="top"/>
          </w:tcPr>
          <w:p w14:paraId="7BA9ABEC">
            <w:pPr>
              <w:pStyle w:val="6"/>
              <w:spacing w:before="66" w:line="227" w:lineRule="auto"/>
              <w:ind w:left="257"/>
              <w:rPr>
                <w:sz w:val="20"/>
                <w:szCs w:val="20"/>
              </w:rPr>
            </w:pPr>
            <w:r>
              <w:rPr>
                <w:spacing w:val="6"/>
                <w:sz w:val="20"/>
                <w:szCs w:val="20"/>
              </w:rPr>
              <w:t>罗东村</w:t>
            </w:r>
          </w:p>
        </w:tc>
        <w:tc>
          <w:tcPr>
            <w:tcW w:w="865" w:type="dxa"/>
            <w:vAlign w:val="top"/>
          </w:tcPr>
          <w:p w14:paraId="4B1C76DE">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-3350</w:t>
            </w:r>
          </w:p>
        </w:tc>
        <w:tc>
          <w:tcPr>
            <w:tcW w:w="836" w:type="dxa"/>
            <w:vAlign w:val="top"/>
          </w:tcPr>
          <w:p w14:paraId="3E0A1EF7">
            <w:pPr>
              <w:spacing w:before="104"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-598</w:t>
            </w:r>
          </w:p>
        </w:tc>
        <w:tc>
          <w:tcPr>
            <w:tcW w:w="827" w:type="dxa"/>
            <w:vAlign w:val="top"/>
          </w:tcPr>
          <w:p w14:paraId="6349C60A">
            <w:pPr>
              <w:pStyle w:val="6"/>
              <w:spacing w:before="66" w:line="228" w:lineRule="auto"/>
              <w:ind w:left="209"/>
              <w:rPr>
                <w:sz w:val="20"/>
                <w:szCs w:val="20"/>
              </w:rPr>
            </w:pPr>
            <w:r>
              <w:rPr>
                <w:spacing w:val="3"/>
                <w:sz w:val="20"/>
                <w:szCs w:val="20"/>
              </w:rPr>
              <w:t>人群</w:t>
            </w:r>
          </w:p>
        </w:tc>
        <w:tc>
          <w:tcPr>
            <w:tcW w:w="899" w:type="dxa"/>
            <w:vAlign w:val="top"/>
          </w:tcPr>
          <w:p w14:paraId="71F5BC86">
            <w:pPr>
              <w:pStyle w:val="6"/>
              <w:spacing w:before="67" w:line="228" w:lineRule="auto"/>
              <w:ind w:left="140"/>
              <w:rPr>
                <w:sz w:val="20"/>
                <w:szCs w:val="20"/>
              </w:rPr>
            </w:pPr>
            <w:r>
              <w:rPr>
                <w:spacing w:val="6"/>
                <w:sz w:val="20"/>
                <w:szCs w:val="20"/>
              </w:rPr>
              <w:t>居民区</w:t>
            </w:r>
          </w:p>
        </w:tc>
        <w:tc>
          <w:tcPr>
            <w:tcW w:w="796" w:type="dxa"/>
            <w:vAlign w:val="top"/>
          </w:tcPr>
          <w:p w14:paraId="612E9D69">
            <w:pPr>
              <w:spacing w:before="10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107" w:type="dxa"/>
            <w:vMerge w:val="continue"/>
            <w:tcBorders>
              <w:top w:val="nil"/>
              <w:bottom w:val="nil"/>
            </w:tcBorders>
            <w:vAlign w:val="top"/>
          </w:tcPr>
          <w:p w14:paraId="7843E35C">
            <w:pPr>
              <w:rPr>
                <w:rFonts w:ascii="Arial"/>
                <w:sz w:val="21"/>
              </w:rPr>
            </w:pPr>
          </w:p>
        </w:tc>
        <w:tc>
          <w:tcPr>
            <w:tcW w:w="876" w:type="dxa"/>
            <w:vAlign w:val="top"/>
          </w:tcPr>
          <w:p w14:paraId="0098F5A1">
            <w:pPr>
              <w:pStyle w:val="6"/>
              <w:spacing w:before="66" w:line="230" w:lineRule="auto"/>
              <w:ind w:left="240"/>
              <w:rPr>
                <w:sz w:val="20"/>
                <w:szCs w:val="20"/>
              </w:rPr>
            </w:pPr>
            <w:r>
              <w:rPr>
                <w:spacing w:val="2"/>
                <w:sz w:val="20"/>
                <w:szCs w:val="20"/>
              </w:rPr>
              <w:t>西南</w:t>
            </w:r>
          </w:p>
        </w:tc>
        <w:tc>
          <w:tcPr>
            <w:tcW w:w="1150" w:type="dxa"/>
            <w:vAlign w:val="top"/>
          </w:tcPr>
          <w:p w14:paraId="64EFF081">
            <w:pPr>
              <w:spacing w:before="10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2040</w:t>
            </w:r>
          </w:p>
        </w:tc>
      </w:tr>
      <w:tr w14:paraId="68C15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7" w:type="dxa"/>
            <w:vAlign w:val="top"/>
          </w:tcPr>
          <w:p w14:paraId="5D297452">
            <w:pPr>
              <w:spacing w:before="206"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34" w:type="dxa"/>
            <w:vAlign w:val="top"/>
          </w:tcPr>
          <w:p w14:paraId="034C0691">
            <w:pPr>
              <w:pStyle w:val="6"/>
              <w:spacing w:before="33" w:line="228" w:lineRule="auto"/>
              <w:ind w:left="152"/>
              <w:rPr>
                <w:sz w:val="20"/>
                <w:szCs w:val="20"/>
              </w:rPr>
            </w:pPr>
            <w:r>
              <w:rPr>
                <w:spacing w:val="6"/>
                <w:sz w:val="20"/>
                <w:szCs w:val="20"/>
              </w:rPr>
              <w:t>罗北新乡</w:t>
            </w:r>
          </w:p>
          <w:p w14:paraId="1143A0C2">
            <w:pPr>
              <w:pStyle w:val="6"/>
              <w:spacing w:before="26" w:line="214" w:lineRule="auto"/>
              <w:ind w:left="465"/>
              <w:rPr>
                <w:sz w:val="20"/>
                <w:szCs w:val="20"/>
              </w:rPr>
            </w:pPr>
            <w:r>
              <w:rPr>
                <w:sz w:val="20"/>
                <w:szCs w:val="20"/>
              </w:rPr>
              <w:t>村</w:t>
            </w:r>
          </w:p>
        </w:tc>
        <w:tc>
          <w:tcPr>
            <w:tcW w:w="865" w:type="dxa"/>
            <w:vAlign w:val="top"/>
          </w:tcPr>
          <w:p w14:paraId="13801777">
            <w:pPr>
              <w:spacing w:before="20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-5105</w:t>
            </w:r>
          </w:p>
        </w:tc>
        <w:tc>
          <w:tcPr>
            <w:tcW w:w="836" w:type="dxa"/>
            <w:vAlign w:val="top"/>
          </w:tcPr>
          <w:p w14:paraId="33BE85B9">
            <w:pPr>
              <w:spacing w:before="206"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-891</w:t>
            </w:r>
          </w:p>
        </w:tc>
        <w:tc>
          <w:tcPr>
            <w:tcW w:w="827" w:type="dxa"/>
            <w:vAlign w:val="top"/>
          </w:tcPr>
          <w:p w14:paraId="41693716">
            <w:pPr>
              <w:pStyle w:val="6"/>
              <w:spacing w:before="169" w:line="228" w:lineRule="auto"/>
              <w:ind w:left="209"/>
              <w:rPr>
                <w:sz w:val="20"/>
                <w:szCs w:val="20"/>
              </w:rPr>
            </w:pPr>
            <w:r>
              <w:rPr>
                <w:spacing w:val="3"/>
                <w:sz w:val="20"/>
                <w:szCs w:val="20"/>
              </w:rPr>
              <w:t>人群</w:t>
            </w:r>
          </w:p>
        </w:tc>
        <w:tc>
          <w:tcPr>
            <w:tcW w:w="899" w:type="dxa"/>
            <w:vAlign w:val="top"/>
          </w:tcPr>
          <w:p w14:paraId="533BB404">
            <w:pPr>
              <w:pStyle w:val="6"/>
              <w:spacing w:before="170" w:line="228" w:lineRule="auto"/>
              <w:ind w:left="140"/>
              <w:rPr>
                <w:sz w:val="20"/>
                <w:szCs w:val="20"/>
              </w:rPr>
            </w:pPr>
            <w:r>
              <w:rPr>
                <w:spacing w:val="6"/>
                <w:sz w:val="20"/>
                <w:szCs w:val="20"/>
              </w:rPr>
              <w:t>居民区</w:t>
            </w:r>
          </w:p>
        </w:tc>
        <w:tc>
          <w:tcPr>
            <w:tcW w:w="796" w:type="dxa"/>
            <w:vAlign w:val="top"/>
          </w:tcPr>
          <w:p w14:paraId="454437DC">
            <w:pPr>
              <w:spacing w:before="20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7C3ABA14">
            <w:pPr>
              <w:rPr>
                <w:rFonts w:ascii="Arial"/>
                <w:sz w:val="21"/>
              </w:rPr>
            </w:pPr>
          </w:p>
        </w:tc>
        <w:tc>
          <w:tcPr>
            <w:tcW w:w="876" w:type="dxa"/>
            <w:vAlign w:val="top"/>
          </w:tcPr>
          <w:p w14:paraId="5F47084A">
            <w:pPr>
              <w:pStyle w:val="6"/>
              <w:spacing w:before="170" w:line="230" w:lineRule="auto"/>
              <w:ind w:left="240"/>
              <w:rPr>
                <w:sz w:val="20"/>
                <w:szCs w:val="20"/>
              </w:rPr>
            </w:pPr>
            <w:r>
              <w:rPr>
                <w:spacing w:val="2"/>
                <w:sz w:val="20"/>
                <w:szCs w:val="20"/>
              </w:rPr>
              <w:t>西南</w:t>
            </w:r>
          </w:p>
        </w:tc>
        <w:tc>
          <w:tcPr>
            <w:tcW w:w="1150" w:type="dxa"/>
            <w:vAlign w:val="top"/>
          </w:tcPr>
          <w:p w14:paraId="671D672A">
            <w:pPr>
              <w:spacing w:before="206"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4740</w:t>
            </w:r>
          </w:p>
        </w:tc>
      </w:tr>
      <w:tr w14:paraId="4A28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6D25E721">
            <w:pPr>
              <w:spacing w:before="1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134" w:type="dxa"/>
            <w:vAlign w:val="top"/>
          </w:tcPr>
          <w:p w14:paraId="21F37E8D">
            <w:pPr>
              <w:pStyle w:val="6"/>
              <w:spacing w:before="67" w:line="227" w:lineRule="auto"/>
              <w:ind w:left="256"/>
              <w:rPr>
                <w:sz w:val="20"/>
                <w:szCs w:val="20"/>
              </w:rPr>
            </w:pPr>
            <w:r>
              <w:rPr>
                <w:spacing w:val="6"/>
                <w:sz w:val="20"/>
                <w:szCs w:val="20"/>
              </w:rPr>
              <w:t>长湖村</w:t>
            </w:r>
          </w:p>
        </w:tc>
        <w:tc>
          <w:tcPr>
            <w:tcW w:w="865" w:type="dxa"/>
            <w:vAlign w:val="top"/>
          </w:tcPr>
          <w:p w14:paraId="75F7F9B6">
            <w:pPr>
              <w:spacing w:before="10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-4031</w:t>
            </w:r>
          </w:p>
        </w:tc>
        <w:tc>
          <w:tcPr>
            <w:tcW w:w="836" w:type="dxa"/>
            <w:vAlign w:val="top"/>
          </w:tcPr>
          <w:p w14:paraId="4F9E4D4A">
            <w:pPr>
              <w:spacing w:before="10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-1450</w:t>
            </w:r>
          </w:p>
        </w:tc>
        <w:tc>
          <w:tcPr>
            <w:tcW w:w="827" w:type="dxa"/>
            <w:vAlign w:val="top"/>
          </w:tcPr>
          <w:p w14:paraId="608B9155">
            <w:pPr>
              <w:pStyle w:val="6"/>
              <w:spacing w:before="67" w:line="228" w:lineRule="auto"/>
              <w:ind w:left="209"/>
              <w:rPr>
                <w:sz w:val="20"/>
                <w:szCs w:val="20"/>
              </w:rPr>
            </w:pPr>
            <w:r>
              <w:rPr>
                <w:spacing w:val="3"/>
                <w:sz w:val="20"/>
                <w:szCs w:val="20"/>
              </w:rPr>
              <w:t>人群</w:t>
            </w:r>
          </w:p>
        </w:tc>
        <w:tc>
          <w:tcPr>
            <w:tcW w:w="899" w:type="dxa"/>
            <w:vAlign w:val="top"/>
          </w:tcPr>
          <w:p w14:paraId="1CB88080">
            <w:pPr>
              <w:pStyle w:val="6"/>
              <w:spacing w:before="67" w:line="228" w:lineRule="auto"/>
              <w:ind w:left="140"/>
              <w:rPr>
                <w:sz w:val="20"/>
                <w:szCs w:val="20"/>
              </w:rPr>
            </w:pPr>
            <w:r>
              <w:rPr>
                <w:spacing w:val="6"/>
                <w:sz w:val="20"/>
                <w:szCs w:val="20"/>
              </w:rPr>
              <w:t>居民区</w:t>
            </w:r>
          </w:p>
        </w:tc>
        <w:tc>
          <w:tcPr>
            <w:tcW w:w="796" w:type="dxa"/>
            <w:vAlign w:val="top"/>
          </w:tcPr>
          <w:p w14:paraId="5DFC2ACD">
            <w:pPr>
              <w:spacing w:before="10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638C7120">
            <w:pPr>
              <w:rPr>
                <w:rFonts w:ascii="Arial"/>
                <w:sz w:val="21"/>
              </w:rPr>
            </w:pPr>
          </w:p>
        </w:tc>
        <w:tc>
          <w:tcPr>
            <w:tcW w:w="876" w:type="dxa"/>
            <w:vAlign w:val="top"/>
          </w:tcPr>
          <w:p w14:paraId="622903FE">
            <w:pPr>
              <w:pStyle w:val="6"/>
              <w:spacing w:before="67" w:line="230" w:lineRule="auto"/>
              <w:ind w:left="240"/>
              <w:rPr>
                <w:sz w:val="20"/>
                <w:szCs w:val="20"/>
              </w:rPr>
            </w:pPr>
            <w:r>
              <w:rPr>
                <w:spacing w:val="2"/>
                <w:sz w:val="20"/>
                <w:szCs w:val="20"/>
              </w:rPr>
              <w:t>西南</w:t>
            </w:r>
          </w:p>
        </w:tc>
        <w:tc>
          <w:tcPr>
            <w:tcW w:w="1150" w:type="dxa"/>
            <w:vAlign w:val="top"/>
          </w:tcPr>
          <w:p w14:paraId="0FB98DC9">
            <w:pPr>
              <w:spacing w:before="105"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3920</w:t>
            </w:r>
          </w:p>
        </w:tc>
      </w:tr>
      <w:tr w14:paraId="524F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11DE72F4">
            <w:pPr>
              <w:spacing w:before="106"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34" w:type="dxa"/>
            <w:vAlign w:val="top"/>
          </w:tcPr>
          <w:p w14:paraId="3789567A">
            <w:pPr>
              <w:pStyle w:val="6"/>
              <w:spacing w:before="67" w:line="227" w:lineRule="auto"/>
              <w:ind w:left="258"/>
              <w:rPr>
                <w:sz w:val="20"/>
                <w:szCs w:val="20"/>
              </w:rPr>
            </w:pPr>
            <w:r>
              <w:rPr>
                <w:spacing w:val="6"/>
                <w:sz w:val="20"/>
                <w:szCs w:val="20"/>
              </w:rPr>
              <w:t>炉洋村</w:t>
            </w:r>
          </w:p>
        </w:tc>
        <w:tc>
          <w:tcPr>
            <w:tcW w:w="865" w:type="dxa"/>
            <w:vAlign w:val="top"/>
          </w:tcPr>
          <w:p w14:paraId="05FEA631">
            <w:pPr>
              <w:spacing w:before="10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-4641</w:t>
            </w:r>
          </w:p>
        </w:tc>
        <w:tc>
          <w:tcPr>
            <w:tcW w:w="836" w:type="dxa"/>
            <w:vAlign w:val="top"/>
          </w:tcPr>
          <w:p w14:paraId="66E79451">
            <w:pPr>
              <w:spacing w:before="106"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-1742</w:t>
            </w:r>
          </w:p>
        </w:tc>
        <w:tc>
          <w:tcPr>
            <w:tcW w:w="827" w:type="dxa"/>
            <w:vAlign w:val="top"/>
          </w:tcPr>
          <w:p w14:paraId="34CE86C1">
            <w:pPr>
              <w:pStyle w:val="6"/>
              <w:spacing w:before="67" w:line="228" w:lineRule="auto"/>
              <w:ind w:left="209"/>
              <w:rPr>
                <w:sz w:val="20"/>
                <w:szCs w:val="20"/>
              </w:rPr>
            </w:pPr>
            <w:r>
              <w:rPr>
                <w:spacing w:val="3"/>
                <w:sz w:val="20"/>
                <w:szCs w:val="20"/>
              </w:rPr>
              <w:t>人群</w:t>
            </w:r>
          </w:p>
        </w:tc>
        <w:tc>
          <w:tcPr>
            <w:tcW w:w="899" w:type="dxa"/>
            <w:vAlign w:val="top"/>
          </w:tcPr>
          <w:p w14:paraId="11D0BEDC">
            <w:pPr>
              <w:pStyle w:val="6"/>
              <w:spacing w:before="68" w:line="228" w:lineRule="auto"/>
              <w:ind w:left="140"/>
              <w:rPr>
                <w:sz w:val="20"/>
                <w:szCs w:val="20"/>
              </w:rPr>
            </w:pPr>
            <w:r>
              <w:rPr>
                <w:spacing w:val="6"/>
                <w:sz w:val="20"/>
                <w:szCs w:val="20"/>
              </w:rPr>
              <w:t>居民区</w:t>
            </w:r>
          </w:p>
        </w:tc>
        <w:tc>
          <w:tcPr>
            <w:tcW w:w="796" w:type="dxa"/>
            <w:vAlign w:val="top"/>
          </w:tcPr>
          <w:p w14:paraId="028D6DAD">
            <w:pPr>
              <w:spacing w:before="10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07" w:type="dxa"/>
            <w:vMerge w:val="continue"/>
            <w:tcBorders>
              <w:top w:val="nil"/>
              <w:bottom w:val="nil"/>
            </w:tcBorders>
            <w:vAlign w:val="top"/>
          </w:tcPr>
          <w:p w14:paraId="44DE6310">
            <w:pPr>
              <w:rPr>
                <w:rFonts w:ascii="Arial"/>
                <w:sz w:val="21"/>
              </w:rPr>
            </w:pPr>
          </w:p>
        </w:tc>
        <w:tc>
          <w:tcPr>
            <w:tcW w:w="876" w:type="dxa"/>
            <w:vAlign w:val="top"/>
          </w:tcPr>
          <w:p w14:paraId="0CD3A3FD">
            <w:pPr>
              <w:pStyle w:val="6"/>
              <w:spacing w:before="67" w:line="230" w:lineRule="auto"/>
              <w:ind w:left="240"/>
              <w:rPr>
                <w:sz w:val="20"/>
                <w:szCs w:val="20"/>
              </w:rPr>
            </w:pPr>
            <w:r>
              <w:rPr>
                <w:spacing w:val="2"/>
                <w:sz w:val="20"/>
                <w:szCs w:val="20"/>
              </w:rPr>
              <w:t>西南</w:t>
            </w:r>
          </w:p>
        </w:tc>
        <w:tc>
          <w:tcPr>
            <w:tcW w:w="1150" w:type="dxa"/>
            <w:vAlign w:val="top"/>
          </w:tcPr>
          <w:p w14:paraId="48407BCB">
            <w:pPr>
              <w:spacing w:before="106"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4590</w:t>
            </w:r>
          </w:p>
        </w:tc>
      </w:tr>
      <w:tr w14:paraId="3EE62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74EC0C15">
            <w:pPr>
              <w:spacing w:before="10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134" w:type="dxa"/>
            <w:vAlign w:val="top"/>
          </w:tcPr>
          <w:p w14:paraId="4D3E68ED">
            <w:pPr>
              <w:pStyle w:val="6"/>
              <w:spacing w:before="68" w:line="227" w:lineRule="auto"/>
              <w:ind w:left="258"/>
              <w:rPr>
                <w:sz w:val="20"/>
                <w:szCs w:val="20"/>
              </w:rPr>
            </w:pPr>
            <w:r>
              <w:rPr>
                <w:spacing w:val="6"/>
                <w:sz w:val="20"/>
                <w:szCs w:val="20"/>
              </w:rPr>
              <w:t>南笏村</w:t>
            </w:r>
          </w:p>
        </w:tc>
        <w:tc>
          <w:tcPr>
            <w:tcW w:w="865" w:type="dxa"/>
            <w:vAlign w:val="top"/>
          </w:tcPr>
          <w:p w14:paraId="40812368">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-4113</w:t>
            </w:r>
          </w:p>
        </w:tc>
        <w:tc>
          <w:tcPr>
            <w:tcW w:w="836" w:type="dxa"/>
            <w:vAlign w:val="top"/>
          </w:tcPr>
          <w:p w14:paraId="786414F3">
            <w:pPr>
              <w:spacing w:before="10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-2689</w:t>
            </w:r>
          </w:p>
        </w:tc>
        <w:tc>
          <w:tcPr>
            <w:tcW w:w="827" w:type="dxa"/>
            <w:vAlign w:val="top"/>
          </w:tcPr>
          <w:p w14:paraId="0290ECB2">
            <w:pPr>
              <w:pStyle w:val="6"/>
              <w:spacing w:before="67" w:line="228" w:lineRule="auto"/>
              <w:ind w:left="209"/>
              <w:rPr>
                <w:sz w:val="20"/>
                <w:szCs w:val="20"/>
              </w:rPr>
            </w:pPr>
            <w:r>
              <w:rPr>
                <w:spacing w:val="3"/>
                <w:sz w:val="20"/>
                <w:szCs w:val="20"/>
              </w:rPr>
              <w:t>人群</w:t>
            </w:r>
          </w:p>
        </w:tc>
        <w:tc>
          <w:tcPr>
            <w:tcW w:w="899" w:type="dxa"/>
            <w:vAlign w:val="top"/>
          </w:tcPr>
          <w:p w14:paraId="67EEAFAE">
            <w:pPr>
              <w:pStyle w:val="6"/>
              <w:spacing w:before="68" w:line="228" w:lineRule="auto"/>
              <w:ind w:left="140"/>
              <w:rPr>
                <w:sz w:val="20"/>
                <w:szCs w:val="20"/>
              </w:rPr>
            </w:pPr>
            <w:r>
              <w:rPr>
                <w:spacing w:val="6"/>
                <w:sz w:val="20"/>
                <w:szCs w:val="20"/>
              </w:rPr>
              <w:t>居民区</w:t>
            </w:r>
          </w:p>
        </w:tc>
        <w:tc>
          <w:tcPr>
            <w:tcW w:w="796" w:type="dxa"/>
            <w:vAlign w:val="top"/>
          </w:tcPr>
          <w:p w14:paraId="685C2E08">
            <w:pPr>
              <w:spacing w:before="10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7" w:type="dxa"/>
            <w:vMerge w:val="continue"/>
            <w:tcBorders>
              <w:top w:val="nil"/>
              <w:bottom w:val="nil"/>
            </w:tcBorders>
            <w:vAlign w:val="top"/>
          </w:tcPr>
          <w:p w14:paraId="75D9DBC1">
            <w:pPr>
              <w:rPr>
                <w:rFonts w:ascii="Arial"/>
                <w:sz w:val="21"/>
              </w:rPr>
            </w:pPr>
          </w:p>
        </w:tc>
        <w:tc>
          <w:tcPr>
            <w:tcW w:w="876" w:type="dxa"/>
            <w:vAlign w:val="top"/>
          </w:tcPr>
          <w:p w14:paraId="5EE2393F">
            <w:pPr>
              <w:pStyle w:val="6"/>
              <w:spacing w:before="68" w:line="230" w:lineRule="auto"/>
              <w:ind w:left="240"/>
              <w:rPr>
                <w:sz w:val="20"/>
                <w:szCs w:val="20"/>
              </w:rPr>
            </w:pPr>
            <w:r>
              <w:rPr>
                <w:spacing w:val="2"/>
                <w:sz w:val="20"/>
                <w:szCs w:val="20"/>
              </w:rPr>
              <w:t>西南</w:t>
            </w:r>
          </w:p>
        </w:tc>
        <w:tc>
          <w:tcPr>
            <w:tcW w:w="1150" w:type="dxa"/>
            <w:vAlign w:val="top"/>
          </w:tcPr>
          <w:p w14:paraId="344E71F0">
            <w:pPr>
              <w:spacing w:before="10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4430</w:t>
            </w:r>
          </w:p>
        </w:tc>
      </w:tr>
      <w:tr w14:paraId="35517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2B4AE07B">
            <w:pPr>
              <w:spacing w:before="10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134" w:type="dxa"/>
            <w:vAlign w:val="top"/>
          </w:tcPr>
          <w:p w14:paraId="1884F9A0">
            <w:pPr>
              <w:pStyle w:val="6"/>
              <w:spacing w:before="68" w:line="227" w:lineRule="auto"/>
              <w:ind w:left="256"/>
              <w:rPr>
                <w:sz w:val="20"/>
                <w:szCs w:val="20"/>
              </w:rPr>
            </w:pPr>
            <w:r>
              <w:rPr>
                <w:spacing w:val="6"/>
                <w:sz w:val="20"/>
                <w:szCs w:val="20"/>
              </w:rPr>
              <w:t>新厝村</w:t>
            </w:r>
          </w:p>
        </w:tc>
        <w:tc>
          <w:tcPr>
            <w:tcW w:w="865" w:type="dxa"/>
            <w:vAlign w:val="top"/>
          </w:tcPr>
          <w:p w14:paraId="7851B92C">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-4521</w:t>
            </w:r>
          </w:p>
        </w:tc>
        <w:tc>
          <w:tcPr>
            <w:tcW w:w="836" w:type="dxa"/>
            <w:vAlign w:val="top"/>
          </w:tcPr>
          <w:p w14:paraId="7D9E5655">
            <w:pPr>
              <w:spacing w:before="10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-2932</w:t>
            </w:r>
          </w:p>
        </w:tc>
        <w:tc>
          <w:tcPr>
            <w:tcW w:w="827" w:type="dxa"/>
            <w:vAlign w:val="top"/>
          </w:tcPr>
          <w:p w14:paraId="684079E4">
            <w:pPr>
              <w:pStyle w:val="6"/>
              <w:spacing w:before="68" w:line="228" w:lineRule="auto"/>
              <w:ind w:left="209"/>
              <w:rPr>
                <w:sz w:val="20"/>
                <w:szCs w:val="20"/>
              </w:rPr>
            </w:pPr>
            <w:r>
              <w:rPr>
                <w:spacing w:val="3"/>
                <w:sz w:val="20"/>
                <w:szCs w:val="20"/>
              </w:rPr>
              <w:t>人群</w:t>
            </w:r>
          </w:p>
        </w:tc>
        <w:tc>
          <w:tcPr>
            <w:tcW w:w="899" w:type="dxa"/>
            <w:vAlign w:val="top"/>
          </w:tcPr>
          <w:p w14:paraId="362E0D2F">
            <w:pPr>
              <w:pStyle w:val="6"/>
              <w:spacing w:before="69" w:line="228" w:lineRule="auto"/>
              <w:ind w:left="140"/>
              <w:rPr>
                <w:sz w:val="20"/>
                <w:szCs w:val="20"/>
              </w:rPr>
            </w:pPr>
            <w:r>
              <w:rPr>
                <w:spacing w:val="6"/>
                <w:sz w:val="20"/>
                <w:szCs w:val="20"/>
              </w:rPr>
              <w:t>居民区</w:t>
            </w:r>
          </w:p>
        </w:tc>
        <w:tc>
          <w:tcPr>
            <w:tcW w:w="796" w:type="dxa"/>
            <w:vAlign w:val="top"/>
          </w:tcPr>
          <w:p w14:paraId="49183FAF">
            <w:pPr>
              <w:spacing w:before="10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7" w:type="dxa"/>
            <w:vMerge w:val="continue"/>
            <w:tcBorders>
              <w:top w:val="nil"/>
              <w:bottom w:val="nil"/>
            </w:tcBorders>
            <w:vAlign w:val="top"/>
          </w:tcPr>
          <w:p w14:paraId="68964A47">
            <w:pPr>
              <w:rPr>
                <w:rFonts w:ascii="Arial"/>
                <w:sz w:val="21"/>
              </w:rPr>
            </w:pPr>
          </w:p>
        </w:tc>
        <w:tc>
          <w:tcPr>
            <w:tcW w:w="876" w:type="dxa"/>
            <w:vAlign w:val="top"/>
          </w:tcPr>
          <w:p w14:paraId="63EF9D3E">
            <w:pPr>
              <w:pStyle w:val="6"/>
              <w:spacing w:before="68" w:line="230" w:lineRule="auto"/>
              <w:ind w:left="240"/>
              <w:rPr>
                <w:sz w:val="20"/>
                <w:szCs w:val="20"/>
              </w:rPr>
            </w:pPr>
            <w:r>
              <w:rPr>
                <w:spacing w:val="2"/>
                <w:sz w:val="20"/>
                <w:szCs w:val="20"/>
              </w:rPr>
              <w:t>西南</w:t>
            </w:r>
          </w:p>
        </w:tc>
        <w:tc>
          <w:tcPr>
            <w:tcW w:w="1150" w:type="dxa"/>
            <w:vAlign w:val="top"/>
          </w:tcPr>
          <w:p w14:paraId="31F14A5B">
            <w:pPr>
              <w:spacing w:before="10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4960</w:t>
            </w:r>
          </w:p>
        </w:tc>
      </w:tr>
      <w:tr w14:paraId="1FAB9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385D91B0">
            <w:pPr>
              <w:spacing w:before="10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34" w:type="dxa"/>
            <w:vAlign w:val="top"/>
          </w:tcPr>
          <w:p w14:paraId="19D9FE31">
            <w:pPr>
              <w:pStyle w:val="6"/>
              <w:spacing w:before="68" w:line="227" w:lineRule="auto"/>
              <w:ind w:left="257"/>
              <w:rPr>
                <w:sz w:val="20"/>
                <w:szCs w:val="20"/>
              </w:rPr>
            </w:pPr>
            <w:r>
              <w:rPr>
                <w:spacing w:val="6"/>
                <w:sz w:val="20"/>
                <w:szCs w:val="20"/>
              </w:rPr>
              <w:t>上达村</w:t>
            </w:r>
          </w:p>
        </w:tc>
        <w:tc>
          <w:tcPr>
            <w:tcW w:w="865" w:type="dxa"/>
            <w:vAlign w:val="top"/>
          </w:tcPr>
          <w:p w14:paraId="4AD8F3B6">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-3145</w:t>
            </w:r>
          </w:p>
        </w:tc>
        <w:tc>
          <w:tcPr>
            <w:tcW w:w="836" w:type="dxa"/>
            <w:vAlign w:val="top"/>
          </w:tcPr>
          <w:p w14:paraId="1CA68927">
            <w:pPr>
              <w:spacing w:before="10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-2966</w:t>
            </w:r>
          </w:p>
        </w:tc>
        <w:tc>
          <w:tcPr>
            <w:tcW w:w="827" w:type="dxa"/>
            <w:vAlign w:val="top"/>
          </w:tcPr>
          <w:p w14:paraId="6AA68323">
            <w:pPr>
              <w:pStyle w:val="6"/>
              <w:spacing w:before="68" w:line="228" w:lineRule="auto"/>
              <w:ind w:left="209"/>
              <w:rPr>
                <w:sz w:val="20"/>
                <w:szCs w:val="20"/>
              </w:rPr>
            </w:pPr>
            <w:r>
              <w:rPr>
                <w:spacing w:val="3"/>
                <w:sz w:val="20"/>
                <w:szCs w:val="20"/>
              </w:rPr>
              <w:t>人群</w:t>
            </w:r>
          </w:p>
        </w:tc>
        <w:tc>
          <w:tcPr>
            <w:tcW w:w="899" w:type="dxa"/>
            <w:vAlign w:val="top"/>
          </w:tcPr>
          <w:p w14:paraId="4C6D7218">
            <w:pPr>
              <w:pStyle w:val="6"/>
              <w:spacing w:before="69" w:line="228" w:lineRule="auto"/>
              <w:ind w:left="140"/>
              <w:rPr>
                <w:sz w:val="20"/>
                <w:szCs w:val="20"/>
              </w:rPr>
            </w:pPr>
            <w:r>
              <w:rPr>
                <w:spacing w:val="6"/>
                <w:sz w:val="20"/>
                <w:szCs w:val="20"/>
              </w:rPr>
              <w:t>居民区</w:t>
            </w:r>
          </w:p>
        </w:tc>
        <w:tc>
          <w:tcPr>
            <w:tcW w:w="796" w:type="dxa"/>
            <w:vAlign w:val="top"/>
          </w:tcPr>
          <w:p w14:paraId="5BF12B78">
            <w:pPr>
              <w:spacing w:before="10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107" w:type="dxa"/>
            <w:vMerge w:val="continue"/>
            <w:tcBorders>
              <w:top w:val="nil"/>
              <w:bottom w:val="nil"/>
            </w:tcBorders>
            <w:vAlign w:val="top"/>
          </w:tcPr>
          <w:p w14:paraId="36AFA23E">
            <w:pPr>
              <w:rPr>
                <w:rFonts w:ascii="Arial"/>
                <w:sz w:val="21"/>
              </w:rPr>
            </w:pPr>
          </w:p>
        </w:tc>
        <w:tc>
          <w:tcPr>
            <w:tcW w:w="876" w:type="dxa"/>
            <w:vAlign w:val="top"/>
          </w:tcPr>
          <w:p w14:paraId="3CE582D6">
            <w:pPr>
              <w:pStyle w:val="6"/>
              <w:spacing w:before="68" w:line="230" w:lineRule="auto"/>
              <w:ind w:left="240"/>
              <w:rPr>
                <w:sz w:val="20"/>
                <w:szCs w:val="20"/>
              </w:rPr>
            </w:pPr>
            <w:r>
              <w:rPr>
                <w:spacing w:val="2"/>
                <w:sz w:val="20"/>
                <w:szCs w:val="20"/>
              </w:rPr>
              <w:t>西南</w:t>
            </w:r>
          </w:p>
        </w:tc>
        <w:tc>
          <w:tcPr>
            <w:tcW w:w="1150" w:type="dxa"/>
            <w:vAlign w:val="top"/>
          </w:tcPr>
          <w:p w14:paraId="67A3A3D8">
            <w:pPr>
              <w:spacing w:before="104"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3880</w:t>
            </w:r>
          </w:p>
        </w:tc>
      </w:tr>
      <w:tr w14:paraId="057CF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76447548">
            <w:pPr>
              <w:spacing w:before="1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134" w:type="dxa"/>
            <w:vAlign w:val="top"/>
          </w:tcPr>
          <w:p w14:paraId="11EBB846">
            <w:pPr>
              <w:pStyle w:val="6"/>
              <w:spacing w:before="69" w:line="227" w:lineRule="auto"/>
              <w:ind w:left="262"/>
              <w:rPr>
                <w:sz w:val="20"/>
                <w:szCs w:val="20"/>
              </w:rPr>
            </w:pPr>
            <w:r>
              <w:rPr>
                <w:spacing w:val="4"/>
                <w:sz w:val="20"/>
                <w:szCs w:val="20"/>
              </w:rPr>
              <w:t>下达村</w:t>
            </w:r>
          </w:p>
        </w:tc>
        <w:tc>
          <w:tcPr>
            <w:tcW w:w="865" w:type="dxa"/>
            <w:vAlign w:val="top"/>
          </w:tcPr>
          <w:p w14:paraId="2EAEBABD">
            <w:pPr>
              <w:spacing w:before="10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-3230</w:t>
            </w:r>
          </w:p>
        </w:tc>
        <w:tc>
          <w:tcPr>
            <w:tcW w:w="836" w:type="dxa"/>
            <w:vAlign w:val="top"/>
          </w:tcPr>
          <w:p w14:paraId="1AE43CF6">
            <w:pPr>
              <w:spacing w:before="10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-3702</w:t>
            </w:r>
          </w:p>
        </w:tc>
        <w:tc>
          <w:tcPr>
            <w:tcW w:w="827" w:type="dxa"/>
            <w:vAlign w:val="top"/>
          </w:tcPr>
          <w:p w14:paraId="3C7DAA3E">
            <w:pPr>
              <w:pStyle w:val="6"/>
              <w:spacing w:before="69" w:line="228" w:lineRule="auto"/>
              <w:ind w:left="209"/>
              <w:rPr>
                <w:sz w:val="20"/>
                <w:szCs w:val="20"/>
              </w:rPr>
            </w:pPr>
            <w:r>
              <w:rPr>
                <w:spacing w:val="3"/>
                <w:sz w:val="20"/>
                <w:szCs w:val="20"/>
              </w:rPr>
              <w:t>人群</w:t>
            </w:r>
          </w:p>
        </w:tc>
        <w:tc>
          <w:tcPr>
            <w:tcW w:w="899" w:type="dxa"/>
            <w:vAlign w:val="top"/>
          </w:tcPr>
          <w:p w14:paraId="695BED89">
            <w:pPr>
              <w:pStyle w:val="6"/>
              <w:spacing w:before="69" w:line="228" w:lineRule="auto"/>
              <w:ind w:left="140"/>
              <w:rPr>
                <w:sz w:val="20"/>
                <w:szCs w:val="20"/>
              </w:rPr>
            </w:pPr>
            <w:r>
              <w:rPr>
                <w:spacing w:val="6"/>
                <w:sz w:val="20"/>
                <w:szCs w:val="20"/>
              </w:rPr>
              <w:t>居民区</w:t>
            </w:r>
          </w:p>
        </w:tc>
        <w:tc>
          <w:tcPr>
            <w:tcW w:w="796" w:type="dxa"/>
            <w:vAlign w:val="top"/>
          </w:tcPr>
          <w:p w14:paraId="1C477EEA">
            <w:pPr>
              <w:spacing w:before="105"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107" w:type="dxa"/>
            <w:vMerge w:val="continue"/>
            <w:tcBorders>
              <w:top w:val="nil"/>
              <w:bottom w:val="nil"/>
            </w:tcBorders>
            <w:vAlign w:val="top"/>
          </w:tcPr>
          <w:p w14:paraId="30FE2258">
            <w:pPr>
              <w:rPr>
                <w:rFonts w:ascii="Arial"/>
                <w:sz w:val="21"/>
              </w:rPr>
            </w:pPr>
          </w:p>
        </w:tc>
        <w:tc>
          <w:tcPr>
            <w:tcW w:w="876" w:type="dxa"/>
            <w:vAlign w:val="top"/>
          </w:tcPr>
          <w:p w14:paraId="5CF6A87D">
            <w:pPr>
              <w:pStyle w:val="6"/>
              <w:spacing w:before="69" w:line="230" w:lineRule="auto"/>
              <w:ind w:left="240"/>
              <w:rPr>
                <w:sz w:val="20"/>
                <w:szCs w:val="20"/>
              </w:rPr>
            </w:pPr>
            <w:r>
              <w:rPr>
                <w:spacing w:val="2"/>
                <w:sz w:val="20"/>
                <w:szCs w:val="20"/>
              </w:rPr>
              <w:t>西南</w:t>
            </w:r>
          </w:p>
        </w:tc>
        <w:tc>
          <w:tcPr>
            <w:tcW w:w="1150" w:type="dxa"/>
            <w:vAlign w:val="top"/>
          </w:tcPr>
          <w:p w14:paraId="2FF7EBB8">
            <w:pPr>
              <w:spacing w:before="105"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4520</w:t>
            </w:r>
          </w:p>
        </w:tc>
      </w:tr>
      <w:tr w14:paraId="35275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37" w:type="dxa"/>
            <w:vAlign w:val="top"/>
          </w:tcPr>
          <w:p w14:paraId="677A365B">
            <w:pPr>
              <w:spacing w:before="1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34" w:type="dxa"/>
            <w:vAlign w:val="top"/>
          </w:tcPr>
          <w:p w14:paraId="27ABC547">
            <w:pPr>
              <w:pStyle w:val="6"/>
              <w:spacing w:before="67" w:line="227" w:lineRule="auto"/>
              <w:ind w:left="255"/>
              <w:rPr>
                <w:sz w:val="20"/>
                <w:szCs w:val="20"/>
              </w:rPr>
            </w:pPr>
            <w:r>
              <w:rPr>
                <w:spacing w:val="7"/>
                <w:sz w:val="20"/>
                <w:szCs w:val="20"/>
              </w:rPr>
              <w:t>仓前村</w:t>
            </w:r>
          </w:p>
        </w:tc>
        <w:tc>
          <w:tcPr>
            <w:tcW w:w="865" w:type="dxa"/>
            <w:vAlign w:val="top"/>
          </w:tcPr>
          <w:p w14:paraId="1619C0EB">
            <w:pPr>
              <w:spacing w:before="10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-2532</w:t>
            </w:r>
          </w:p>
        </w:tc>
        <w:tc>
          <w:tcPr>
            <w:tcW w:w="836" w:type="dxa"/>
            <w:vAlign w:val="top"/>
          </w:tcPr>
          <w:p w14:paraId="198979AF">
            <w:pPr>
              <w:spacing w:before="10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-2616</w:t>
            </w:r>
          </w:p>
        </w:tc>
        <w:tc>
          <w:tcPr>
            <w:tcW w:w="827" w:type="dxa"/>
            <w:vAlign w:val="top"/>
          </w:tcPr>
          <w:p w14:paraId="6CCC1B10">
            <w:pPr>
              <w:pStyle w:val="6"/>
              <w:spacing w:before="67" w:line="228" w:lineRule="auto"/>
              <w:ind w:left="209"/>
              <w:rPr>
                <w:sz w:val="20"/>
                <w:szCs w:val="20"/>
              </w:rPr>
            </w:pPr>
            <w:r>
              <w:rPr>
                <w:spacing w:val="3"/>
                <w:sz w:val="20"/>
                <w:szCs w:val="20"/>
              </w:rPr>
              <w:t>人群</w:t>
            </w:r>
          </w:p>
        </w:tc>
        <w:tc>
          <w:tcPr>
            <w:tcW w:w="899" w:type="dxa"/>
            <w:vAlign w:val="top"/>
          </w:tcPr>
          <w:p w14:paraId="65F82789">
            <w:pPr>
              <w:pStyle w:val="6"/>
              <w:spacing w:before="67" w:line="228" w:lineRule="auto"/>
              <w:ind w:left="140"/>
              <w:rPr>
                <w:sz w:val="20"/>
                <w:szCs w:val="20"/>
              </w:rPr>
            </w:pPr>
            <w:r>
              <w:rPr>
                <w:spacing w:val="6"/>
                <w:sz w:val="20"/>
                <w:szCs w:val="20"/>
              </w:rPr>
              <w:t>居民区</w:t>
            </w:r>
          </w:p>
        </w:tc>
        <w:tc>
          <w:tcPr>
            <w:tcW w:w="796" w:type="dxa"/>
            <w:vAlign w:val="top"/>
          </w:tcPr>
          <w:p w14:paraId="4E1AF708">
            <w:pPr>
              <w:spacing w:before="105"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107" w:type="dxa"/>
            <w:vMerge w:val="continue"/>
            <w:tcBorders>
              <w:top w:val="nil"/>
            </w:tcBorders>
            <w:vAlign w:val="top"/>
          </w:tcPr>
          <w:p w14:paraId="2A7EA91C">
            <w:pPr>
              <w:rPr>
                <w:rFonts w:ascii="Arial"/>
                <w:sz w:val="21"/>
              </w:rPr>
            </w:pPr>
          </w:p>
        </w:tc>
        <w:tc>
          <w:tcPr>
            <w:tcW w:w="876" w:type="dxa"/>
            <w:vAlign w:val="top"/>
          </w:tcPr>
          <w:p w14:paraId="0DE6E6B8">
            <w:pPr>
              <w:pStyle w:val="6"/>
              <w:spacing w:before="67" w:line="230" w:lineRule="auto"/>
              <w:ind w:left="240"/>
              <w:rPr>
                <w:sz w:val="20"/>
                <w:szCs w:val="20"/>
              </w:rPr>
            </w:pPr>
            <w:r>
              <w:rPr>
                <w:spacing w:val="2"/>
                <w:sz w:val="20"/>
                <w:szCs w:val="20"/>
              </w:rPr>
              <w:t>西南</w:t>
            </w:r>
          </w:p>
        </w:tc>
        <w:tc>
          <w:tcPr>
            <w:tcW w:w="1150" w:type="dxa"/>
            <w:vAlign w:val="top"/>
          </w:tcPr>
          <w:p w14:paraId="2208561D">
            <w:pPr>
              <w:spacing w:before="105"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3290</w:t>
            </w:r>
          </w:p>
        </w:tc>
      </w:tr>
    </w:tbl>
    <w:p w14:paraId="5C74AA8F">
      <w:pPr>
        <w:rPr>
          <w:rFonts w:ascii="Arial"/>
          <w:sz w:val="21"/>
        </w:rPr>
      </w:pPr>
    </w:p>
    <w:p w14:paraId="732D1DCA">
      <w:pPr>
        <w:rPr>
          <w:rFonts w:ascii="Arial" w:hAnsi="Arial" w:eastAsia="Arial" w:cs="Arial"/>
          <w:sz w:val="21"/>
          <w:szCs w:val="21"/>
        </w:rPr>
        <w:sectPr>
          <w:footerReference r:id="rId117" w:type="default"/>
          <w:pgSz w:w="11906" w:h="16839"/>
          <w:pgMar w:top="400" w:right="1455" w:bottom="1127" w:left="1418" w:header="0" w:footer="965" w:gutter="0"/>
          <w:cols w:space="720" w:num="1"/>
        </w:sectPr>
      </w:pPr>
    </w:p>
    <w:p w14:paraId="6C353E88">
      <w:pPr>
        <w:spacing w:before="19"/>
      </w:pPr>
    </w:p>
    <w:p w14:paraId="5404D88D">
      <w:pPr>
        <w:spacing w:before="19"/>
      </w:pPr>
    </w:p>
    <w:p w14:paraId="3C7643FA">
      <w:pPr>
        <w:spacing w:before="19"/>
      </w:pPr>
    </w:p>
    <w:p w14:paraId="68727BE7">
      <w:pPr>
        <w:spacing w:before="18"/>
      </w:pPr>
    </w:p>
    <w:p w14:paraId="7685CF35">
      <w:pPr>
        <w:spacing w:before="18"/>
      </w:pPr>
    </w:p>
    <w:tbl>
      <w:tblPr>
        <w:tblStyle w:val="5"/>
        <w:tblW w:w="90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134"/>
        <w:gridCol w:w="865"/>
        <w:gridCol w:w="836"/>
        <w:gridCol w:w="827"/>
        <w:gridCol w:w="899"/>
        <w:gridCol w:w="796"/>
        <w:gridCol w:w="1107"/>
        <w:gridCol w:w="876"/>
        <w:gridCol w:w="1150"/>
      </w:tblGrid>
      <w:tr w14:paraId="3D1BC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37" w:type="dxa"/>
            <w:textDirection w:val="tbRlV"/>
            <w:vAlign w:val="top"/>
          </w:tcPr>
          <w:p w14:paraId="2722E296">
            <w:pPr>
              <w:pStyle w:val="6"/>
              <w:spacing w:before="161" w:line="218" w:lineRule="auto"/>
              <w:ind w:left="35"/>
              <w:rPr>
                <w:sz w:val="20"/>
                <w:szCs w:val="20"/>
              </w:rPr>
            </w:pPr>
            <w:r>
              <w:rPr>
                <w:b/>
                <w:bCs/>
                <w:spacing w:val="6"/>
                <w:sz w:val="20"/>
                <w:szCs w:val="20"/>
              </w:rPr>
              <w:t>序</w:t>
            </w:r>
            <w:r>
              <w:rPr>
                <w:spacing w:val="-35"/>
                <w:sz w:val="20"/>
                <w:szCs w:val="20"/>
              </w:rPr>
              <w:t xml:space="preserve"> </w:t>
            </w:r>
            <w:r>
              <w:rPr>
                <w:b/>
                <w:bCs/>
                <w:spacing w:val="6"/>
                <w:sz w:val="20"/>
                <w:szCs w:val="20"/>
              </w:rPr>
              <w:t>号</w:t>
            </w:r>
          </w:p>
        </w:tc>
        <w:tc>
          <w:tcPr>
            <w:tcW w:w="1134" w:type="dxa"/>
            <w:vAlign w:val="top"/>
          </w:tcPr>
          <w:p w14:paraId="7A788F16">
            <w:pPr>
              <w:pStyle w:val="6"/>
              <w:spacing w:before="34" w:line="235" w:lineRule="auto"/>
              <w:ind w:left="360" w:right="249" w:hanging="104"/>
              <w:rPr>
                <w:sz w:val="20"/>
                <w:szCs w:val="20"/>
              </w:rPr>
            </w:pPr>
            <w:r>
              <w:rPr>
                <w:b/>
                <w:bCs/>
                <w:spacing w:val="5"/>
                <w:sz w:val="20"/>
                <w:szCs w:val="20"/>
              </w:rPr>
              <w:t>敏感度</w:t>
            </w:r>
            <w:r>
              <w:rPr>
                <w:sz w:val="20"/>
                <w:szCs w:val="20"/>
              </w:rPr>
              <w:t xml:space="preserve"> </w:t>
            </w:r>
            <w:r>
              <w:rPr>
                <w:b/>
                <w:bCs/>
                <w:spacing w:val="2"/>
                <w:sz w:val="20"/>
                <w:szCs w:val="20"/>
              </w:rPr>
              <w:t>名称</w:t>
            </w:r>
          </w:p>
        </w:tc>
        <w:tc>
          <w:tcPr>
            <w:tcW w:w="865" w:type="dxa"/>
            <w:vAlign w:val="top"/>
          </w:tcPr>
          <w:p w14:paraId="62E5A50D">
            <w:pPr>
              <w:spacing w:before="211" w:line="192" w:lineRule="auto"/>
              <w:ind w:left="353"/>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836" w:type="dxa"/>
            <w:vAlign w:val="top"/>
          </w:tcPr>
          <w:p w14:paraId="216F478B">
            <w:pPr>
              <w:spacing w:before="211" w:line="192" w:lineRule="auto"/>
              <w:ind w:left="34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827" w:type="dxa"/>
            <w:vAlign w:val="top"/>
          </w:tcPr>
          <w:p w14:paraId="2885C070">
            <w:pPr>
              <w:pStyle w:val="6"/>
              <w:spacing w:before="35" w:line="228" w:lineRule="auto"/>
              <w:ind w:left="208"/>
              <w:rPr>
                <w:sz w:val="20"/>
                <w:szCs w:val="20"/>
              </w:rPr>
            </w:pPr>
            <w:r>
              <w:rPr>
                <w:b/>
                <w:bCs/>
                <w:spacing w:val="3"/>
                <w:sz w:val="20"/>
                <w:szCs w:val="20"/>
              </w:rPr>
              <w:t>保护</w:t>
            </w:r>
          </w:p>
          <w:p w14:paraId="23C772D3">
            <w:pPr>
              <w:pStyle w:val="6"/>
              <w:spacing w:before="26" w:line="217" w:lineRule="auto"/>
              <w:ind w:left="206"/>
              <w:rPr>
                <w:sz w:val="20"/>
                <w:szCs w:val="20"/>
              </w:rPr>
            </w:pPr>
            <w:r>
              <w:rPr>
                <w:b/>
                <w:bCs/>
                <w:spacing w:val="4"/>
                <w:sz w:val="20"/>
                <w:szCs w:val="20"/>
              </w:rPr>
              <w:t>对象</w:t>
            </w:r>
          </w:p>
        </w:tc>
        <w:tc>
          <w:tcPr>
            <w:tcW w:w="899" w:type="dxa"/>
            <w:vAlign w:val="top"/>
          </w:tcPr>
          <w:p w14:paraId="13E8CD73">
            <w:pPr>
              <w:pStyle w:val="6"/>
              <w:spacing w:before="35" w:line="228" w:lineRule="auto"/>
              <w:ind w:left="139"/>
              <w:rPr>
                <w:sz w:val="20"/>
                <w:szCs w:val="20"/>
              </w:rPr>
            </w:pPr>
            <w:r>
              <w:rPr>
                <w:b/>
                <w:bCs/>
                <w:spacing w:val="5"/>
                <w:sz w:val="20"/>
                <w:szCs w:val="20"/>
              </w:rPr>
              <w:t>保护内</w:t>
            </w:r>
          </w:p>
          <w:p w14:paraId="0263996C">
            <w:pPr>
              <w:pStyle w:val="6"/>
              <w:spacing w:before="26" w:line="217" w:lineRule="auto"/>
              <w:ind w:left="352"/>
              <w:rPr>
                <w:sz w:val="20"/>
                <w:szCs w:val="20"/>
              </w:rPr>
            </w:pPr>
            <w:r>
              <w:rPr>
                <w:b/>
                <w:bCs/>
                <w:spacing w:val="-3"/>
                <w:sz w:val="20"/>
                <w:szCs w:val="20"/>
              </w:rPr>
              <w:t>容</w:t>
            </w:r>
          </w:p>
        </w:tc>
        <w:tc>
          <w:tcPr>
            <w:tcW w:w="796" w:type="dxa"/>
            <w:vAlign w:val="top"/>
          </w:tcPr>
          <w:p w14:paraId="47043E52">
            <w:pPr>
              <w:pStyle w:val="6"/>
              <w:spacing w:before="35" w:line="228" w:lineRule="auto"/>
              <w:ind w:left="195"/>
              <w:rPr>
                <w:sz w:val="20"/>
                <w:szCs w:val="20"/>
              </w:rPr>
            </w:pPr>
            <w:r>
              <w:rPr>
                <w:b/>
                <w:bCs/>
                <w:spacing w:val="2"/>
                <w:sz w:val="20"/>
                <w:szCs w:val="20"/>
              </w:rPr>
              <w:t>大约</w:t>
            </w:r>
          </w:p>
          <w:p w14:paraId="5A305190">
            <w:pPr>
              <w:pStyle w:val="6"/>
              <w:spacing w:before="26" w:line="217" w:lineRule="auto"/>
              <w:ind w:left="194"/>
              <w:rPr>
                <w:sz w:val="20"/>
                <w:szCs w:val="20"/>
              </w:rPr>
            </w:pPr>
            <w:r>
              <w:rPr>
                <w:b/>
                <w:bCs/>
                <w:spacing w:val="3"/>
                <w:sz w:val="20"/>
                <w:szCs w:val="20"/>
              </w:rPr>
              <w:t>人数</w:t>
            </w:r>
          </w:p>
        </w:tc>
        <w:tc>
          <w:tcPr>
            <w:tcW w:w="1107" w:type="dxa"/>
            <w:vAlign w:val="top"/>
          </w:tcPr>
          <w:p w14:paraId="75A9C451">
            <w:pPr>
              <w:pStyle w:val="6"/>
              <w:spacing w:before="35" w:line="228" w:lineRule="auto"/>
              <w:ind w:left="138"/>
              <w:rPr>
                <w:sz w:val="20"/>
                <w:szCs w:val="20"/>
              </w:rPr>
            </w:pPr>
            <w:r>
              <w:rPr>
                <w:b/>
                <w:bCs/>
                <w:spacing w:val="6"/>
                <w:sz w:val="20"/>
                <w:szCs w:val="20"/>
              </w:rPr>
              <w:t>环境功能</w:t>
            </w:r>
          </w:p>
          <w:p w14:paraId="7666D4FF">
            <w:pPr>
              <w:pStyle w:val="6"/>
              <w:spacing w:before="26" w:line="217" w:lineRule="auto"/>
              <w:ind w:left="470"/>
              <w:rPr>
                <w:sz w:val="20"/>
                <w:szCs w:val="20"/>
              </w:rPr>
            </w:pPr>
            <w:r>
              <w:rPr>
                <w:b/>
                <w:bCs/>
                <w:spacing w:val="-3"/>
                <w:sz w:val="20"/>
                <w:szCs w:val="20"/>
              </w:rPr>
              <w:t>区</w:t>
            </w:r>
          </w:p>
        </w:tc>
        <w:tc>
          <w:tcPr>
            <w:tcW w:w="876" w:type="dxa"/>
            <w:vAlign w:val="top"/>
          </w:tcPr>
          <w:p w14:paraId="3779EBB4">
            <w:pPr>
              <w:pStyle w:val="6"/>
              <w:spacing w:before="35" w:line="228" w:lineRule="auto"/>
              <w:ind w:left="127"/>
              <w:rPr>
                <w:sz w:val="20"/>
                <w:szCs w:val="20"/>
              </w:rPr>
            </w:pPr>
            <w:r>
              <w:rPr>
                <w:b/>
                <w:bCs/>
                <w:spacing w:val="5"/>
                <w:sz w:val="20"/>
                <w:szCs w:val="20"/>
              </w:rPr>
              <w:t>相对厂</w:t>
            </w:r>
          </w:p>
          <w:p w14:paraId="0D8FC45A">
            <w:pPr>
              <w:pStyle w:val="6"/>
              <w:spacing w:before="26" w:line="217" w:lineRule="auto"/>
              <w:ind w:left="128"/>
              <w:rPr>
                <w:sz w:val="20"/>
                <w:szCs w:val="20"/>
              </w:rPr>
            </w:pPr>
            <w:r>
              <w:rPr>
                <w:b/>
                <w:bCs/>
                <w:spacing w:val="5"/>
                <w:sz w:val="20"/>
                <w:szCs w:val="20"/>
              </w:rPr>
              <w:t>址方位</w:t>
            </w:r>
          </w:p>
        </w:tc>
        <w:tc>
          <w:tcPr>
            <w:tcW w:w="1150" w:type="dxa"/>
            <w:vAlign w:val="top"/>
          </w:tcPr>
          <w:p w14:paraId="0CF08032">
            <w:pPr>
              <w:pStyle w:val="6"/>
              <w:spacing w:before="35" w:line="228" w:lineRule="auto"/>
              <w:ind w:left="159"/>
              <w:rPr>
                <w:sz w:val="20"/>
                <w:szCs w:val="20"/>
              </w:rPr>
            </w:pPr>
            <w:r>
              <w:rPr>
                <w:b/>
                <w:bCs/>
                <w:spacing w:val="6"/>
                <w:sz w:val="20"/>
                <w:szCs w:val="20"/>
              </w:rPr>
              <w:t>相对厂界</w:t>
            </w:r>
          </w:p>
          <w:p w14:paraId="1BCBCB03">
            <w:pPr>
              <w:pStyle w:val="6"/>
              <w:spacing w:before="26" w:line="217" w:lineRule="auto"/>
              <w:ind w:left="251"/>
              <w:rPr>
                <w:rFonts w:ascii="Times New Roman" w:hAnsi="Times New Roman" w:eastAsia="Times New Roman" w:cs="Times New Roman"/>
                <w:sz w:val="20"/>
                <w:szCs w:val="20"/>
              </w:rPr>
            </w:pPr>
            <w:r>
              <w:rPr>
                <w:b/>
                <w:bCs/>
                <w:spacing w:val="4"/>
                <w:sz w:val="20"/>
                <w:szCs w:val="20"/>
              </w:rPr>
              <w:t>距离</w:t>
            </w:r>
            <w:r>
              <w:rPr>
                <w:rFonts w:ascii="Times New Roman" w:hAnsi="Times New Roman" w:eastAsia="Times New Roman" w:cs="Times New Roman"/>
                <w:b/>
                <w:bCs/>
                <w:spacing w:val="4"/>
                <w:sz w:val="20"/>
                <w:szCs w:val="20"/>
              </w:rPr>
              <w:t>/m</w:t>
            </w:r>
          </w:p>
        </w:tc>
      </w:tr>
      <w:tr w14:paraId="7F87D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61B2F7B4">
            <w:pPr>
              <w:spacing w:before="100"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134" w:type="dxa"/>
            <w:vAlign w:val="top"/>
          </w:tcPr>
          <w:p w14:paraId="1F911BA6">
            <w:pPr>
              <w:pStyle w:val="6"/>
              <w:spacing w:before="64" w:line="227" w:lineRule="auto"/>
              <w:ind w:left="269"/>
              <w:rPr>
                <w:sz w:val="20"/>
                <w:szCs w:val="20"/>
              </w:rPr>
            </w:pPr>
            <w:r>
              <w:rPr>
                <w:spacing w:val="2"/>
                <w:sz w:val="20"/>
                <w:szCs w:val="20"/>
              </w:rPr>
              <w:t>陇东村</w:t>
            </w:r>
          </w:p>
        </w:tc>
        <w:tc>
          <w:tcPr>
            <w:tcW w:w="865" w:type="dxa"/>
            <w:vAlign w:val="top"/>
          </w:tcPr>
          <w:p w14:paraId="14C9DAE3">
            <w:pPr>
              <w:spacing w:before="100"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-2274</w:t>
            </w:r>
          </w:p>
        </w:tc>
        <w:tc>
          <w:tcPr>
            <w:tcW w:w="836" w:type="dxa"/>
            <w:vAlign w:val="top"/>
          </w:tcPr>
          <w:p w14:paraId="545B50A7">
            <w:pPr>
              <w:spacing w:before="10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-4268</w:t>
            </w:r>
          </w:p>
        </w:tc>
        <w:tc>
          <w:tcPr>
            <w:tcW w:w="827" w:type="dxa"/>
            <w:vAlign w:val="top"/>
          </w:tcPr>
          <w:p w14:paraId="2A777652">
            <w:pPr>
              <w:pStyle w:val="6"/>
              <w:spacing w:before="64" w:line="228" w:lineRule="auto"/>
              <w:ind w:left="209"/>
              <w:rPr>
                <w:sz w:val="20"/>
                <w:szCs w:val="20"/>
              </w:rPr>
            </w:pPr>
            <w:r>
              <w:rPr>
                <w:spacing w:val="3"/>
                <w:sz w:val="20"/>
                <w:szCs w:val="20"/>
              </w:rPr>
              <w:t>人群</w:t>
            </w:r>
          </w:p>
        </w:tc>
        <w:tc>
          <w:tcPr>
            <w:tcW w:w="899" w:type="dxa"/>
            <w:vAlign w:val="top"/>
          </w:tcPr>
          <w:p w14:paraId="771E71F8">
            <w:pPr>
              <w:pStyle w:val="6"/>
              <w:spacing w:before="64" w:line="228" w:lineRule="auto"/>
              <w:ind w:left="140"/>
              <w:rPr>
                <w:sz w:val="20"/>
                <w:szCs w:val="20"/>
              </w:rPr>
            </w:pPr>
            <w:r>
              <w:rPr>
                <w:spacing w:val="6"/>
                <w:sz w:val="20"/>
                <w:szCs w:val="20"/>
              </w:rPr>
              <w:t>居民区</w:t>
            </w:r>
          </w:p>
        </w:tc>
        <w:tc>
          <w:tcPr>
            <w:tcW w:w="796" w:type="dxa"/>
            <w:vAlign w:val="top"/>
          </w:tcPr>
          <w:p w14:paraId="0E980EEA">
            <w:pPr>
              <w:spacing w:before="100"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107" w:type="dxa"/>
            <w:vMerge w:val="restart"/>
            <w:tcBorders>
              <w:bottom w:val="nil"/>
            </w:tcBorders>
            <w:vAlign w:val="top"/>
          </w:tcPr>
          <w:p w14:paraId="2A70FA3F">
            <w:pPr>
              <w:rPr>
                <w:rFonts w:ascii="Arial"/>
                <w:sz w:val="21"/>
              </w:rPr>
            </w:pPr>
          </w:p>
        </w:tc>
        <w:tc>
          <w:tcPr>
            <w:tcW w:w="876" w:type="dxa"/>
            <w:vAlign w:val="top"/>
          </w:tcPr>
          <w:p w14:paraId="65DA2E34">
            <w:pPr>
              <w:pStyle w:val="6"/>
              <w:spacing w:before="64" w:line="230" w:lineRule="auto"/>
              <w:ind w:left="341"/>
              <w:rPr>
                <w:sz w:val="20"/>
                <w:szCs w:val="20"/>
              </w:rPr>
            </w:pPr>
            <w:r>
              <w:rPr>
                <w:sz w:val="20"/>
                <w:szCs w:val="20"/>
              </w:rPr>
              <w:t>南</w:t>
            </w:r>
          </w:p>
        </w:tc>
        <w:tc>
          <w:tcPr>
            <w:tcW w:w="1150" w:type="dxa"/>
            <w:vAlign w:val="top"/>
          </w:tcPr>
          <w:p w14:paraId="2F1FE66F">
            <w:pPr>
              <w:spacing w:before="100"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4350</w:t>
            </w:r>
          </w:p>
        </w:tc>
      </w:tr>
      <w:tr w14:paraId="22992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1E5F1BFD">
            <w:pPr>
              <w:spacing w:before="100"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134" w:type="dxa"/>
            <w:vAlign w:val="top"/>
          </w:tcPr>
          <w:p w14:paraId="1853AB59">
            <w:pPr>
              <w:pStyle w:val="6"/>
              <w:spacing w:before="64" w:line="227" w:lineRule="auto"/>
              <w:ind w:left="264"/>
              <w:rPr>
                <w:sz w:val="20"/>
                <w:szCs w:val="20"/>
              </w:rPr>
            </w:pPr>
            <w:r>
              <w:rPr>
                <w:spacing w:val="3"/>
                <w:sz w:val="20"/>
                <w:szCs w:val="20"/>
              </w:rPr>
              <w:t>笏雅村</w:t>
            </w:r>
          </w:p>
        </w:tc>
        <w:tc>
          <w:tcPr>
            <w:tcW w:w="865" w:type="dxa"/>
            <w:vAlign w:val="top"/>
          </w:tcPr>
          <w:p w14:paraId="0AC22AFA">
            <w:pPr>
              <w:spacing w:before="100"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-1541</w:t>
            </w:r>
          </w:p>
        </w:tc>
        <w:tc>
          <w:tcPr>
            <w:tcW w:w="836" w:type="dxa"/>
            <w:vAlign w:val="top"/>
          </w:tcPr>
          <w:p w14:paraId="536D7F7D">
            <w:pPr>
              <w:spacing w:before="10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-4297</w:t>
            </w:r>
          </w:p>
        </w:tc>
        <w:tc>
          <w:tcPr>
            <w:tcW w:w="827" w:type="dxa"/>
            <w:vAlign w:val="top"/>
          </w:tcPr>
          <w:p w14:paraId="33740BA7">
            <w:pPr>
              <w:pStyle w:val="6"/>
              <w:spacing w:before="64" w:line="228" w:lineRule="auto"/>
              <w:ind w:left="209"/>
              <w:rPr>
                <w:sz w:val="20"/>
                <w:szCs w:val="20"/>
              </w:rPr>
            </w:pPr>
            <w:r>
              <w:rPr>
                <w:spacing w:val="3"/>
                <w:sz w:val="20"/>
                <w:szCs w:val="20"/>
              </w:rPr>
              <w:t>人群</w:t>
            </w:r>
          </w:p>
        </w:tc>
        <w:tc>
          <w:tcPr>
            <w:tcW w:w="899" w:type="dxa"/>
            <w:vAlign w:val="top"/>
          </w:tcPr>
          <w:p w14:paraId="67B3824B">
            <w:pPr>
              <w:pStyle w:val="6"/>
              <w:spacing w:before="65" w:line="228" w:lineRule="auto"/>
              <w:ind w:left="140"/>
              <w:rPr>
                <w:sz w:val="20"/>
                <w:szCs w:val="20"/>
              </w:rPr>
            </w:pPr>
            <w:r>
              <w:rPr>
                <w:spacing w:val="6"/>
                <w:sz w:val="20"/>
                <w:szCs w:val="20"/>
              </w:rPr>
              <w:t>居民区</w:t>
            </w:r>
          </w:p>
        </w:tc>
        <w:tc>
          <w:tcPr>
            <w:tcW w:w="796" w:type="dxa"/>
            <w:vAlign w:val="top"/>
          </w:tcPr>
          <w:p w14:paraId="2B6530BA">
            <w:pPr>
              <w:spacing w:before="100"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07" w:type="dxa"/>
            <w:vMerge w:val="continue"/>
            <w:tcBorders>
              <w:top w:val="nil"/>
              <w:bottom w:val="nil"/>
            </w:tcBorders>
            <w:vAlign w:val="top"/>
          </w:tcPr>
          <w:p w14:paraId="5C1B6F09">
            <w:pPr>
              <w:rPr>
                <w:rFonts w:ascii="Arial"/>
                <w:sz w:val="21"/>
              </w:rPr>
            </w:pPr>
          </w:p>
        </w:tc>
        <w:tc>
          <w:tcPr>
            <w:tcW w:w="876" w:type="dxa"/>
            <w:vAlign w:val="top"/>
          </w:tcPr>
          <w:p w14:paraId="290E254C">
            <w:pPr>
              <w:pStyle w:val="6"/>
              <w:spacing w:before="64" w:line="230" w:lineRule="auto"/>
              <w:ind w:left="341"/>
              <w:rPr>
                <w:sz w:val="20"/>
                <w:szCs w:val="20"/>
              </w:rPr>
            </w:pPr>
            <w:r>
              <w:rPr>
                <w:sz w:val="20"/>
                <w:szCs w:val="20"/>
              </w:rPr>
              <w:t>南</w:t>
            </w:r>
          </w:p>
        </w:tc>
        <w:tc>
          <w:tcPr>
            <w:tcW w:w="1150" w:type="dxa"/>
            <w:vAlign w:val="top"/>
          </w:tcPr>
          <w:p w14:paraId="1DA67783">
            <w:pPr>
              <w:spacing w:before="100"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4460</w:t>
            </w:r>
          </w:p>
        </w:tc>
      </w:tr>
      <w:tr w14:paraId="009EF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7D423900">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34" w:type="dxa"/>
            <w:vAlign w:val="top"/>
          </w:tcPr>
          <w:p w14:paraId="78EA002D">
            <w:pPr>
              <w:pStyle w:val="6"/>
              <w:spacing w:before="65" w:line="227" w:lineRule="auto"/>
              <w:ind w:left="263"/>
              <w:rPr>
                <w:sz w:val="20"/>
                <w:szCs w:val="20"/>
              </w:rPr>
            </w:pPr>
            <w:r>
              <w:rPr>
                <w:spacing w:val="4"/>
                <w:sz w:val="20"/>
                <w:szCs w:val="20"/>
              </w:rPr>
              <w:t>东新村</w:t>
            </w:r>
          </w:p>
        </w:tc>
        <w:tc>
          <w:tcPr>
            <w:tcW w:w="865" w:type="dxa"/>
            <w:vAlign w:val="top"/>
          </w:tcPr>
          <w:p w14:paraId="16AF19DD">
            <w:pPr>
              <w:spacing w:before="10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-995</w:t>
            </w:r>
          </w:p>
        </w:tc>
        <w:tc>
          <w:tcPr>
            <w:tcW w:w="836" w:type="dxa"/>
            <w:vAlign w:val="top"/>
          </w:tcPr>
          <w:p w14:paraId="0508B26B">
            <w:pPr>
              <w:spacing w:before="10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-4800</w:t>
            </w:r>
          </w:p>
        </w:tc>
        <w:tc>
          <w:tcPr>
            <w:tcW w:w="827" w:type="dxa"/>
            <w:vAlign w:val="top"/>
          </w:tcPr>
          <w:p w14:paraId="2D8FFD88">
            <w:pPr>
              <w:pStyle w:val="6"/>
              <w:spacing w:before="64" w:line="228" w:lineRule="auto"/>
              <w:ind w:left="209"/>
              <w:rPr>
                <w:sz w:val="20"/>
                <w:szCs w:val="20"/>
              </w:rPr>
            </w:pPr>
            <w:r>
              <w:rPr>
                <w:spacing w:val="3"/>
                <w:sz w:val="20"/>
                <w:szCs w:val="20"/>
              </w:rPr>
              <w:t>人群</w:t>
            </w:r>
          </w:p>
        </w:tc>
        <w:tc>
          <w:tcPr>
            <w:tcW w:w="899" w:type="dxa"/>
            <w:vAlign w:val="top"/>
          </w:tcPr>
          <w:p w14:paraId="249FFA04">
            <w:pPr>
              <w:pStyle w:val="6"/>
              <w:spacing w:before="65" w:line="228" w:lineRule="auto"/>
              <w:ind w:left="140"/>
              <w:rPr>
                <w:sz w:val="20"/>
                <w:szCs w:val="20"/>
              </w:rPr>
            </w:pPr>
            <w:r>
              <w:rPr>
                <w:spacing w:val="6"/>
                <w:sz w:val="20"/>
                <w:szCs w:val="20"/>
              </w:rPr>
              <w:t>居民区</w:t>
            </w:r>
          </w:p>
        </w:tc>
        <w:tc>
          <w:tcPr>
            <w:tcW w:w="796" w:type="dxa"/>
            <w:vAlign w:val="top"/>
          </w:tcPr>
          <w:p w14:paraId="2DEFCC82">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41BBAE72">
            <w:pPr>
              <w:rPr>
                <w:rFonts w:ascii="Arial"/>
                <w:sz w:val="21"/>
              </w:rPr>
            </w:pPr>
          </w:p>
        </w:tc>
        <w:tc>
          <w:tcPr>
            <w:tcW w:w="876" w:type="dxa"/>
            <w:vAlign w:val="top"/>
          </w:tcPr>
          <w:p w14:paraId="6EC6A085">
            <w:pPr>
              <w:pStyle w:val="6"/>
              <w:spacing w:before="65" w:line="230" w:lineRule="auto"/>
              <w:ind w:left="341"/>
              <w:rPr>
                <w:sz w:val="20"/>
                <w:szCs w:val="20"/>
              </w:rPr>
            </w:pPr>
            <w:r>
              <w:rPr>
                <w:sz w:val="20"/>
                <w:szCs w:val="20"/>
              </w:rPr>
              <w:t>南</w:t>
            </w:r>
          </w:p>
        </w:tc>
        <w:tc>
          <w:tcPr>
            <w:tcW w:w="1150" w:type="dxa"/>
            <w:vAlign w:val="top"/>
          </w:tcPr>
          <w:p w14:paraId="11A6ECE7">
            <w:pPr>
              <w:spacing w:before="10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4680</w:t>
            </w:r>
          </w:p>
        </w:tc>
      </w:tr>
      <w:tr w14:paraId="66E0F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6EDE72C1">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134" w:type="dxa"/>
            <w:vAlign w:val="top"/>
          </w:tcPr>
          <w:p w14:paraId="4041DF8E">
            <w:pPr>
              <w:pStyle w:val="6"/>
              <w:spacing w:before="63" w:line="227" w:lineRule="auto"/>
              <w:ind w:left="256"/>
              <w:rPr>
                <w:sz w:val="20"/>
                <w:szCs w:val="20"/>
              </w:rPr>
            </w:pPr>
            <w:r>
              <w:rPr>
                <w:spacing w:val="6"/>
                <w:sz w:val="20"/>
                <w:szCs w:val="20"/>
              </w:rPr>
              <w:t>凤山村</w:t>
            </w:r>
          </w:p>
        </w:tc>
        <w:tc>
          <w:tcPr>
            <w:tcW w:w="865" w:type="dxa"/>
            <w:vAlign w:val="top"/>
          </w:tcPr>
          <w:p w14:paraId="074461F0">
            <w:pPr>
              <w:spacing w:before="10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-1191</w:t>
            </w:r>
          </w:p>
        </w:tc>
        <w:tc>
          <w:tcPr>
            <w:tcW w:w="836" w:type="dxa"/>
            <w:vAlign w:val="top"/>
          </w:tcPr>
          <w:p w14:paraId="05798EBE">
            <w:pPr>
              <w:spacing w:before="10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-1036</w:t>
            </w:r>
          </w:p>
        </w:tc>
        <w:tc>
          <w:tcPr>
            <w:tcW w:w="827" w:type="dxa"/>
            <w:vAlign w:val="top"/>
          </w:tcPr>
          <w:p w14:paraId="16356033">
            <w:pPr>
              <w:pStyle w:val="6"/>
              <w:spacing w:before="62" w:line="228" w:lineRule="auto"/>
              <w:ind w:left="209"/>
              <w:rPr>
                <w:sz w:val="20"/>
                <w:szCs w:val="20"/>
              </w:rPr>
            </w:pPr>
            <w:r>
              <w:rPr>
                <w:spacing w:val="3"/>
                <w:sz w:val="20"/>
                <w:szCs w:val="20"/>
              </w:rPr>
              <w:t>人群</w:t>
            </w:r>
          </w:p>
        </w:tc>
        <w:tc>
          <w:tcPr>
            <w:tcW w:w="899" w:type="dxa"/>
            <w:vAlign w:val="top"/>
          </w:tcPr>
          <w:p w14:paraId="68E64DFD">
            <w:pPr>
              <w:pStyle w:val="6"/>
              <w:spacing w:before="63" w:line="228" w:lineRule="auto"/>
              <w:ind w:left="140"/>
              <w:rPr>
                <w:sz w:val="20"/>
                <w:szCs w:val="20"/>
              </w:rPr>
            </w:pPr>
            <w:r>
              <w:rPr>
                <w:spacing w:val="6"/>
                <w:sz w:val="20"/>
                <w:szCs w:val="20"/>
              </w:rPr>
              <w:t>居民区</w:t>
            </w:r>
          </w:p>
        </w:tc>
        <w:tc>
          <w:tcPr>
            <w:tcW w:w="796" w:type="dxa"/>
            <w:vAlign w:val="top"/>
          </w:tcPr>
          <w:p w14:paraId="193582AC">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6C50B3BD">
            <w:pPr>
              <w:rPr>
                <w:rFonts w:ascii="Arial"/>
                <w:sz w:val="21"/>
              </w:rPr>
            </w:pPr>
          </w:p>
        </w:tc>
        <w:tc>
          <w:tcPr>
            <w:tcW w:w="876" w:type="dxa"/>
            <w:vAlign w:val="top"/>
          </w:tcPr>
          <w:p w14:paraId="03494F43">
            <w:pPr>
              <w:pStyle w:val="6"/>
              <w:spacing w:before="63" w:line="230" w:lineRule="auto"/>
              <w:ind w:left="240"/>
              <w:rPr>
                <w:sz w:val="20"/>
                <w:szCs w:val="20"/>
              </w:rPr>
            </w:pPr>
            <w:r>
              <w:rPr>
                <w:spacing w:val="2"/>
                <w:sz w:val="20"/>
                <w:szCs w:val="20"/>
              </w:rPr>
              <w:t>西南</w:t>
            </w:r>
          </w:p>
        </w:tc>
        <w:tc>
          <w:tcPr>
            <w:tcW w:w="1150" w:type="dxa"/>
            <w:vAlign w:val="top"/>
          </w:tcPr>
          <w:p w14:paraId="142D3774">
            <w:pPr>
              <w:spacing w:before="101"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1260</w:t>
            </w:r>
          </w:p>
        </w:tc>
      </w:tr>
      <w:tr w14:paraId="64AFB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3A7E2C07">
            <w:pPr>
              <w:spacing w:before="10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134" w:type="dxa"/>
            <w:vAlign w:val="top"/>
          </w:tcPr>
          <w:p w14:paraId="4D51CEB4">
            <w:pPr>
              <w:pStyle w:val="6"/>
              <w:spacing w:before="63" w:line="228" w:lineRule="auto"/>
              <w:ind w:left="257"/>
              <w:rPr>
                <w:sz w:val="20"/>
                <w:szCs w:val="20"/>
              </w:rPr>
            </w:pPr>
            <w:r>
              <w:rPr>
                <w:spacing w:val="6"/>
                <w:sz w:val="20"/>
                <w:szCs w:val="20"/>
              </w:rPr>
              <w:t>可塘镇</w:t>
            </w:r>
          </w:p>
        </w:tc>
        <w:tc>
          <w:tcPr>
            <w:tcW w:w="865" w:type="dxa"/>
            <w:vAlign w:val="top"/>
          </w:tcPr>
          <w:p w14:paraId="7A2A8259">
            <w:pPr>
              <w:spacing w:before="10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-434</w:t>
            </w:r>
          </w:p>
        </w:tc>
        <w:tc>
          <w:tcPr>
            <w:tcW w:w="836" w:type="dxa"/>
            <w:vAlign w:val="top"/>
          </w:tcPr>
          <w:p w14:paraId="094F4F47">
            <w:pPr>
              <w:spacing w:before="10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-1244</w:t>
            </w:r>
          </w:p>
        </w:tc>
        <w:tc>
          <w:tcPr>
            <w:tcW w:w="827" w:type="dxa"/>
            <w:vAlign w:val="top"/>
          </w:tcPr>
          <w:p w14:paraId="2DC9501B">
            <w:pPr>
              <w:pStyle w:val="6"/>
              <w:spacing w:before="63" w:line="228" w:lineRule="auto"/>
              <w:ind w:left="209"/>
              <w:rPr>
                <w:sz w:val="20"/>
                <w:szCs w:val="20"/>
              </w:rPr>
            </w:pPr>
            <w:r>
              <w:rPr>
                <w:spacing w:val="3"/>
                <w:sz w:val="20"/>
                <w:szCs w:val="20"/>
              </w:rPr>
              <w:t>人群</w:t>
            </w:r>
          </w:p>
        </w:tc>
        <w:tc>
          <w:tcPr>
            <w:tcW w:w="899" w:type="dxa"/>
            <w:vAlign w:val="top"/>
          </w:tcPr>
          <w:p w14:paraId="5450811F">
            <w:pPr>
              <w:pStyle w:val="6"/>
              <w:spacing w:before="64" w:line="228" w:lineRule="auto"/>
              <w:ind w:left="140"/>
              <w:rPr>
                <w:sz w:val="20"/>
                <w:szCs w:val="20"/>
              </w:rPr>
            </w:pPr>
            <w:r>
              <w:rPr>
                <w:spacing w:val="6"/>
                <w:sz w:val="20"/>
                <w:szCs w:val="20"/>
              </w:rPr>
              <w:t>居民区</w:t>
            </w:r>
          </w:p>
        </w:tc>
        <w:tc>
          <w:tcPr>
            <w:tcW w:w="796" w:type="dxa"/>
            <w:vAlign w:val="top"/>
          </w:tcPr>
          <w:p w14:paraId="73CD81C2">
            <w:pPr>
              <w:spacing w:before="101" w:line="195" w:lineRule="auto"/>
              <w:ind w:left="156"/>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c>
          <w:tcPr>
            <w:tcW w:w="1107" w:type="dxa"/>
            <w:vMerge w:val="continue"/>
            <w:tcBorders>
              <w:top w:val="nil"/>
              <w:bottom w:val="nil"/>
            </w:tcBorders>
            <w:vAlign w:val="top"/>
          </w:tcPr>
          <w:p w14:paraId="6245D0E0">
            <w:pPr>
              <w:rPr>
                <w:rFonts w:ascii="Arial"/>
                <w:sz w:val="21"/>
              </w:rPr>
            </w:pPr>
          </w:p>
        </w:tc>
        <w:tc>
          <w:tcPr>
            <w:tcW w:w="876" w:type="dxa"/>
            <w:vAlign w:val="top"/>
          </w:tcPr>
          <w:p w14:paraId="2E556A26">
            <w:pPr>
              <w:pStyle w:val="6"/>
              <w:spacing w:before="63" w:line="230" w:lineRule="auto"/>
              <w:ind w:left="341"/>
              <w:rPr>
                <w:sz w:val="20"/>
                <w:szCs w:val="20"/>
              </w:rPr>
            </w:pPr>
            <w:r>
              <w:rPr>
                <w:sz w:val="20"/>
                <w:szCs w:val="20"/>
              </w:rPr>
              <w:t>南</w:t>
            </w:r>
          </w:p>
        </w:tc>
        <w:tc>
          <w:tcPr>
            <w:tcW w:w="1150" w:type="dxa"/>
            <w:vAlign w:val="top"/>
          </w:tcPr>
          <w:p w14:paraId="6BC06541">
            <w:pPr>
              <w:spacing w:before="10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6942C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48072BBA">
            <w:pPr>
              <w:spacing w:before="10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134" w:type="dxa"/>
            <w:vAlign w:val="top"/>
          </w:tcPr>
          <w:p w14:paraId="44C88D53">
            <w:pPr>
              <w:pStyle w:val="6"/>
              <w:spacing w:before="63" w:line="227" w:lineRule="auto"/>
              <w:ind w:left="263"/>
              <w:rPr>
                <w:sz w:val="20"/>
                <w:szCs w:val="20"/>
              </w:rPr>
            </w:pPr>
            <w:r>
              <w:rPr>
                <w:spacing w:val="4"/>
                <w:sz w:val="20"/>
                <w:szCs w:val="20"/>
              </w:rPr>
              <w:t>东溪村</w:t>
            </w:r>
          </w:p>
        </w:tc>
        <w:tc>
          <w:tcPr>
            <w:tcW w:w="865" w:type="dxa"/>
            <w:vAlign w:val="top"/>
          </w:tcPr>
          <w:p w14:paraId="7E4F634B">
            <w:pPr>
              <w:spacing w:before="10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836" w:type="dxa"/>
            <w:vAlign w:val="top"/>
          </w:tcPr>
          <w:p w14:paraId="121CA693">
            <w:pPr>
              <w:spacing w:before="10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-3904</w:t>
            </w:r>
          </w:p>
        </w:tc>
        <w:tc>
          <w:tcPr>
            <w:tcW w:w="827" w:type="dxa"/>
            <w:vAlign w:val="top"/>
          </w:tcPr>
          <w:p w14:paraId="1C363240">
            <w:pPr>
              <w:pStyle w:val="6"/>
              <w:spacing w:before="63" w:line="228" w:lineRule="auto"/>
              <w:ind w:left="209"/>
              <w:rPr>
                <w:sz w:val="20"/>
                <w:szCs w:val="20"/>
              </w:rPr>
            </w:pPr>
            <w:r>
              <w:rPr>
                <w:spacing w:val="3"/>
                <w:sz w:val="20"/>
                <w:szCs w:val="20"/>
              </w:rPr>
              <w:t>人群</w:t>
            </w:r>
          </w:p>
        </w:tc>
        <w:tc>
          <w:tcPr>
            <w:tcW w:w="899" w:type="dxa"/>
            <w:vAlign w:val="top"/>
          </w:tcPr>
          <w:p w14:paraId="49168CE5">
            <w:pPr>
              <w:pStyle w:val="6"/>
              <w:spacing w:before="64" w:line="228" w:lineRule="auto"/>
              <w:ind w:left="140"/>
              <w:rPr>
                <w:sz w:val="20"/>
                <w:szCs w:val="20"/>
              </w:rPr>
            </w:pPr>
            <w:r>
              <w:rPr>
                <w:spacing w:val="6"/>
                <w:sz w:val="20"/>
                <w:szCs w:val="20"/>
              </w:rPr>
              <w:t>居民区</w:t>
            </w:r>
          </w:p>
        </w:tc>
        <w:tc>
          <w:tcPr>
            <w:tcW w:w="796" w:type="dxa"/>
            <w:vAlign w:val="top"/>
          </w:tcPr>
          <w:p w14:paraId="35811475">
            <w:pPr>
              <w:spacing w:before="10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61C8C4CC">
            <w:pPr>
              <w:rPr>
                <w:rFonts w:ascii="Arial"/>
                <w:sz w:val="21"/>
              </w:rPr>
            </w:pPr>
          </w:p>
        </w:tc>
        <w:tc>
          <w:tcPr>
            <w:tcW w:w="876" w:type="dxa"/>
            <w:vAlign w:val="top"/>
          </w:tcPr>
          <w:p w14:paraId="4D75AA5F">
            <w:pPr>
              <w:pStyle w:val="6"/>
              <w:spacing w:before="63" w:line="228" w:lineRule="auto"/>
              <w:ind w:left="243"/>
              <w:rPr>
                <w:sz w:val="20"/>
                <w:szCs w:val="20"/>
              </w:rPr>
            </w:pPr>
            <w:r>
              <w:rPr>
                <w:spacing w:val="1"/>
                <w:sz w:val="20"/>
                <w:szCs w:val="20"/>
              </w:rPr>
              <w:t>东南</w:t>
            </w:r>
          </w:p>
        </w:tc>
        <w:tc>
          <w:tcPr>
            <w:tcW w:w="1150" w:type="dxa"/>
            <w:vAlign w:val="top"/>
          </w:tcPr>
          <w:p w14:paraId="68550EC1">
            <w:pPr>
              <w:spacing w:before="10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3810</w:t>
            </w:r>
          </w:p>
        </w:tc>
      </w:tr>
      <w:tr w14:paraId="3FE68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00AE286A">
            <w:pPr>
              <w:spacing w:before="10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34" w:type="dxa"/>
            <w:vAlign w:val="top"/>
          </w:tcPr>
          <w:p w14:paraId="168BB97F">
            <w:pPr>
              <w:pStyle w:val="6"/>
              <w:spacing w:before="64" w:line="227" w:lineRule="auto"/>
              <w:ind w:left="152"/>
              <w:rPr>
                <w:sz w:val="20"/>
                <w:szCs w:val="20"/>
              </w:rPr>
            </w:pPr>
            <w:r>
              <w:rPr>
                <w:spacing w:val="6"/>
                <w:sz w:val="20"/>
                <w:szCs w:val="20"/>
              </w:rPr>
              <w:t>君硕围村</w:t>
            </w:r>
          </w:p>
        </w:tc>
        <w:tc>
          <w:tcPr>
            <w:tcW w:w="865" w:type="dxa"/>
            <w:vAlign w:val="top"/>
          </w:tcPr>
          <w:p w14:paraId="1EAA6EA2">
            <w:pPr>
              <w:spacing w:before="100"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w:t>
            </w:r>
          </w:p>
        </w:tc>
        <w:tc>
          <w:tcPr>
            <w:tcW w:w="836" w:type="dxa"/>
            <w:vAlign w:val="top"/>
          </w:tcPr>
          <w:p w14:paraId="01F11B71">
            <w:pPr>
              <w:spacing w:before="10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-2386</w:t>
            </w:r>
          </w:p>
        </w:tc>
        <w:tc>
          <w:tcPr>
            <w:tcW w:w="827" w:type="dxa"/>
            <w:vAlign w:val="top"/>
          </w:tcPr>
          <w:p w14:paraId="26147C21">
            <w:pPr>
              <w:pStyle w:val="6"/>
              <w:spacing w:before="64" w:line="228" w:lineRule="auto"/>
              <w:ind w:left="209"/>
              <w:rPr>
                <w:sz w:val="20"/>
                <w:szCs w:val="20"/>
              </w:rPr>
            </w:pPr>
            <w:r>
              <w:rPr>
                <w:spacing w:val="3"/>
                <w:sz w:val="20"/>
                <w:szCs w:val="20"/>
              </w:rPr>
              <w:t>人群</w:t>
            </w:r>
          </w:p>
        </w:tc>
        <w:tc>
          <w:tcPr>
            <w:tcW w:w="899" w:type="dxa"/>
            <w:vAlign w:val="top"/>
          </w:tcPr>
          <w:p w14:paraId="5786C20A">
            <w:pPr>
              <w:pStyle w:val="6"/>
              <w:spacing w:before="64" w:line="228" w:lineRule="auto"/>
              <w:ind w:left="140"/>
              <w:rPr>
                <w:sz w:val="20"/>
                <w:szCs w:val="20"/>
              </w:rPr>
            </w:pPr>
            <w:r>
              <w:rPr>
                <w:spacing w:val="6"/>
                <w:sz w:val="20"/>
                <w:szCs w:val="20"/>
              </w:rPr>
              <w:t>居民区</w:t>
            </w:r>
          </w:p>
        </w:tc>
        <w:tc>
          <w:tcPr>
            <w:tcW w:w="796" w:type="dxa"/>
            <w:vAlign w:val="top"/>
          </w:tcPr>
          <w:p w14:paraId="6DA825C7">
            <w:pPr>
              <w:spacing w:before="10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4224ECB0">
            <w:pPr>
              <w:rPr>
                <w:rFonts w:ascii="Arial"/>
                <w:sz w:val="21"/>
              </w:rPr>
            </w:pPr>
          </w:p>
        </w:tc>
        <w:tc>
          <w:tcPr>
            <w:tcW w:w="876" w:type="dxa"/>
            <w:vAlign w:val="top"/>
          </w:tcPr>
          <w:p w14:paraId="6E6D6B05">
            <w:pPr>
              <w:pStyle w:val="6"/>
              <w:spacing w:before="64" w:line="228" w:lineRule="auto"/>
              <w:ind w:left="243"/>
              <w:rPr>
                <w:sz w:val="20"/>
                <w:szCs w:val="20"/>
              </w:rPr>
            </w:pPr>
            <w:r>
              <w:rPr>
                <w:spacing w:val="1"/>
                <w:sz w:val="20"/>
                <w:szCs w:val="20"/>
              </w:rPr>
              <w:t>东南</w:t>
            </w:r>
          </w:p>
        </w:tc>
        <w:tc>
          <w:tcPr>
            <w:tcW w:w="1150" w:type="dxa"/>
            <w:vAlign w:val="top"/>
          </w:tcPr>
          <w:p w14:paraId="05D5F17F">
            <w:pPr>
              <w:spacing w:before="100"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2300</w:t>
            </w:r>
          </w:p>
        </w:tc>
      </w:tr>
      <w:tr w14:paraId="49049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2C18EAB9">
            <w:pPr>
              <w:spacing w:before="10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34" w:type="dxa"/>
            <w:vAlign w:val="top"/>
          </w:tcPr>
          <w:p w14:paraId="697B2F5F">
            <w:pPr>
              <w:pStyle w:val="6"/>
              <w:spacing w:before="64" w:line="227" w:lineRule="auto"/>
              <w:ind w:left="255"/>
              <w:rPr>
                <w:sz w:val="20"/>
                <w:szCs w:val="20"/>
              </w:rPr>
            </w:pPr>
            <w:r>
              <w:rPr>
                <w:spacing w:val="7"/>
                <w:sz w:val="20"/>
                <w:szCs w:val="20"/>
              </w:rPr>
              <w:t>低港村</w:t>
            </w:r>
          </w:p>
        </w:tc>
        <w:tc>
          <w:tcPr>
            <w:tcW w:w="865" w:type="dxa"/>
            <w:vAlign w:val="top"/>
          </w:tcPr>
          <w:p w14:paraId="19FF5FC9">
            <w:pPr>
              <w:spacing w:before="10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980</w:t>
            </w:r>
          </w:p>
        </w:tc>
        <w:tc>
          <w:tcPr>
            <w:tcW w:w="836" w:type="dxa"/>
            <w:vAlign w:val="top"/>
          </w:tcPr>
          <w:p w14:paraId="1F2E0E5B">
            <w:pPr>
              <w:spacing w:before="10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-2423</w:t>
            </w:r>
          </w:p>
        </w:tc>
        <w:tc>
          <w:tcPr>
            <w:tcW w:w="827" w:type="dxa"/>
            <w:vAlign w:val="top"/>
          </w:tcPr>
          <w:p w14:paraId="26D8F280">
            <w:pPr>
              <w:pStyle w:val="6"/>
              <w:spacing w:before="64" w:line="228" w:lineRule="auto"/>
              <w:ind w:left="209"/>
              <w:rPr>
                <w:sz w:val="20"/>
                <w:szCs w:val="20"/>
              </w:rPr>
            </w:pPr>
            <w:r>
              <w:rPr>
                <w:spacing w:val="3"/>
                <w:sz w:val="20"/>
                <w:szCs w:val="20"/>
              </w:rPr>
              <w:t>人群</w:t>
            </w:r>
          </w:p>
        </w:tc>
        <w:tc>
          <w:tcPr>
            <w:tcW w:w="899" w:type="dxa"/>
            <w:vAlign w:val="top"/>
          </w:tcPr>
          <w:p w14:paraId="675A1BEC">
            <w:pPr>
              <w:pStyle w:val="6"/>
              <w:spacing w:before="65" w:line="228" w:lineRule="auto"/>
              <w:ind w:left="140"/>
              <w:rPr>
                <w:sz w:val="20"/>
                <w:szCs w:val="20"/>
              </w:rPr>
            </w:pPr>
            <w:r>
              <w:rPr>
                <w:spacing w:val="6"/>
                <w:sz w:val="20"/>
                <w:szCs w:val="20"/>
              </w:rPr>
              <w:t>居民区</w:t>
            </w:r>
          </w:p>
        </w:tc>
        <w:tc>
          <w:tcPr>
            <w:tcW w:w="796" w:type="dxa"/>
            <w:vAlign w:val="top"/>
          </w:tcPr>
          <w:p w14:paraId="59568982">
            <w:pPr>
              <w:spacing w:before="100"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07" w:type="dxa"/>
            <w:vMerge w:val="continue"/>
            <w:tcBorders>
              <w:top w:val="nil"/>
              <w:bottom w:val="nil"/>
            </w:tcBorders>
            <w:vAlign w:val="top"/>
          </w:tcPr>
          <w:p w14:paraId="1E857013">
            <w:pPr>
              <w:rPr>
                <w:rFonts w:ascii="Arial"/>
                <w:sz w:val="21"/>
              </w:rPr>
            </w:pPr>
          </w:p>
        </w:tc>
        <w:tc>
          <w:tcPr>
            <w:tcW w:w="876" w:type="dxa"/>
            <w:vAlign w:val="top"/>
          </w:tcPr>
          <w:p w14:paraId="2DD144FA">
            <w:pPr>
              <w:pStyle w:val="6"/>
              <w:spacing w:before="64" w:line="228" w:lineRule="auto"/>
              <w:ind w:left="243"/>
              <w:rPr>
                <w:sz w:val="20"/>
                <w:szCs w:val="20"/>
              </w:rPr>
            </w:pPr>
            <w:r>
              <w:rPr>
                <w:spacing w:val="1"/>
                <w:sz w:val="20"/>
                <w:szCs w:val="20"/>
              </w:rPr>
              <w:t>东南</w:t>
            </w:r>
          </w:p>
        </w:tc>
        <w:tc>
          <w:tcPr>
            <w:tcW w:w="1150" w:type="dxa"/>
            <w:vAlign w:val="top"/>
          </w:tcPr>
          <w:p w14:paraId="40442D25">
            <w:pPr>
              <w:spacing w:before="100"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r>
      <w:tr w14:paraId="0262E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2CE27D6F">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34" w:type="dxa"/>
            <w:vAlign w:val="top"/>
          </w:tcPr>
          <w:p w14:paraId="0152267A">
            <w:pPr>
              <w:pStyle w:val="6"/>
              <w:spacing w:before="65" w:line="227" w:lineRule="auto"/>
              <w:ind w:left="173"/>
              <w:rPr>
                <w:sz w:val="20"/>
                <w:szCs w:val="20"/>
              </w:rPr>
            </w:pPr>
            <w:r>
              <w:rPr>
                <w:spacing w:val="1"/>
                <w:sz w:val="20"/>
                <w:szCs w:val="20"/>
              </w:rPr>
              <w:t>尚仁家村</w:t>
            </w:r>
          </w:p>
        </w:tc>
        <w:tc>
          <w:tcPr>
            <w:tcW w:w="865" w:type="dxa"/>
            <w:vAlign w:val="top"/>
          </w:tcPr>
          <w:p w14:paraId="21E6C5CA">
            <w:pPr>
              <w:spacing w:before="10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1009</w:t>
            </w:r>
          </w:p>
        </w:tc>
        <w:tc>
          <w:tcPr>
            <w:tcW w:w="836" w:type="dxa"/>
            <w:vAlign w:val="top"/>
          </w:tcPr>
          <w:p w14:paraId="278489BD">
            <w:pPr>
              <w:spacing w:before="10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-1092</w:t>
            </w:r>
          </w:p>
        </w:tc>
        <w:tc>
          <w:tcPr>
            <w:tcW w:w="827" w:type="dxa"/>
            <w:vAlign w:val="top"/>
          </w:tcPr>
          <w:p w14:paraId="174D8DE1">
            <w:pPr>
              <w:pStyle w:val="6"/>
              <w:spacing w:before="64" w:line="228" w:lineRule="auto"/>
              <w:ind w:left="209"/>
              <w:rPr>
                <w:sz w:val="20"/>
                <w:szCs w:val="20"/>
              </w:rPr>
            </w:pPr>
            <w:r>
              <w:rPr>
                <w:spacing w:val="3"/>
                <w:sz w:val="20"/>
                <w:szCs w:val="20"/>
              </w:rPr>
              <w:t>人群</w:t>
            </w:r>
          </w:p>
        </w:tc>
        <w:tc>
          <w:tcPr>
            <w:tcW w:w="899" w:type="dxa"/>
            <w:vAlign w:val="top"/>
          </w:tcPr>
          <w:p w14:paraId="15497BF1">
            <w:pPr>
              <w:pStyle w:val="6"/>
              <w:spacing w:before="65" w:line="228" w:lineRule="auto"/>
              <w:ind w:left="140"/>
              <w:rPr>
                <w:sz w:val="20"/>
                <w:szCs w:val="20"/>
              </w:rPr>
            </w:pPr>
            <w:r>
              <w:rPr>
                <w:spacing w:val="6"/>
                <w:sz w:val="20"/>
                <w:szCs w:val="20"/>
              </w:rPr>
              <w:t>居民区</w:t>
            </w:r>
          </w:p>
        </w:tc>
        <w:tc>
          <w:tcPr>
            <w:tcW w:w="796" w:type="dxa"/>
            <w:vAlign w:val="top"/>
          </w:tcPr>
          <w:p w14:paraId="731597EE">
            <w:pPr>
              <w:spacing w:before="10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07" w:type="dxa"/>
            <w:vMerge w:val="continue"/>
            <w:tcBorders>
              <w:top w:val="nil"/>
              <w:bottom w:val="nil"/>
            </w:tcBorders>
            <w:vAlign w:val="top"/>
          </w:tcPr>
          <w:p w14:paraId="20E2076D">
            <w:pPr>
              <w:rPr>
                <w:rFonts w:ascii="Arial"/>
                <w:sz w:val="21"/>
              </w:rPr>
            </w:pPr>
          </w:p>
        </w:tc>
        <w:tc>
          <w:tcPr>
            <w:tcW w:w="876" w:type="dxa"/>
            <w:vAlign w:val="top"/>
          </w:tcPr>
          <w:p w14:paraId="1369E423">
            <w:pPr>
              <w:pStyle w:val="6"/>
              <w:spacing w:before="64" w:line="228" w:lineRule="auto"/>
              <w:ind w:left="243"/>
              <w:rPr>
                <w:sz w:val="20"/>
                <w:szCs w:val="20"/>
              </w:rPr>
            </w:pPr>
            <w:r>
              <w:rPr>
                <w:spacing w:val="1"/>
                <w:sz w:val="20"/>
                <w:szCs w:val="20"/>
              </w:rPr>
              <w:t>东南</w:t>
            </w:r>
          </w:p>
        </w:tc>
        <w:tc>
          <w:tcPr>
            <w:tcW w:w="1150" w:type="dxa"/>
            <w:vAlign w:val="top"/>
          </w:tcPr>
          <w:p w14:paraId="093FFCC5">
            <w:pPr>
              <w:spacing w:before="101"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w:t>
            </w:r>
          </w:p>
        </w:tc>
      </w:tr>
      <w:tr w14:paraId="496A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52CDFD61">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34" w:type="dxa"/>
            <w:vAlign w:val="top"/>
          </w:tcPr>
          <w:p w14:paraId="28F508DA">
            <w:pPr>
              <w:pStyle w:val="6"/>
              <w:spacing w:before="63" w:line="227" w:lineRule="auto"/>
              <w:ind w:left="150"/>
              <w:rPr>
                <w:sz w:val="20"/>
                <w:szCs w:val="20"/>
              </w:rPr>
            </w:pPr>
            <w:r>
              <w:rPr>
                <w:spacing w:val="7"/>
                <w:sz w:val="20"/>
                <w:szCs w:val="20"/>
              </w:rPr>
              <w:t>埔中央村</w:t>
            </w:r>
          </w:p>
        </w:tc>
        <w:tc>
          <w:tcPr>
            <w:tcW w:w="865" w:type="dxa"/>
            <w:vAlign w:val="top"/>
          </w:tcPr>
          <w:p w14:paraId="4324F9D6">
            <w:pPr>
              <w:spacing w:before="10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1470</w:t>
            </w:r>
          </w:p>
        </w:tc>
        <w:tc>
          <w:tcPr>
            <w:tcW w:w="836" w:type="dxa"/>
            <w:vAlign w:val="top"/>
          </w:tcPr>
          <w:p w14:paraId="51136F39">
            <w:pPr>
              <w:spacing w:before="10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-1142</w:t>
            </w:r>
          </w:p>
        </w:tc>
        <w:tc>
          <w:tcPr>
            <w:tcW w:w="827" w:type="dxa"/>
            <w:vAlign w:val="top"/>
          </w:tcPr>
          <w:p w14:paraId="50D87838">
            <w:pPr>
              <w:pStyle w:val="6"/>
              <w:spacing w:before="62" w:line="228" w:lineRule="auto"/>
              <w:ind w:left="209"/>
              <w:rPr>
                <w:sz w:val="20"/>
                <w:szCs w:val="20"/>
              </w:rPr>
            </w:pPr>
            <w:r>
              <w:rPr>
                <w:spacing w:val="3"/>
                <w:sz w:val="20"/>
                <w:szCs w:val="20"/>
              </w:rPr>
              <w:t>人群</w:t>
            </w:r>
          </w:p>
        </w:tc>
        <w:tc>
          <w:tcPr>
            <w:tcW w:w="899" w:type="dxa"/>
            <w:vAlign w:val="top"/>
          </w:tcPr>
          <w:p w14:paraId="42ACEE8D">
            <w:pPr>
              <w:pStyle w:val="6"/>
              <w:spacing w:before="63" w:line="228" w:lineRule="auto"/>
              <w:ind w:left="140"/>
              <w:rPr>
                <w:sz w:val="20"/>
                <w:szCs w:val="20"/>
              </w:rPr>
            </w:pPr>
            <w:r>
              <w:rPr>
                <w:spacing w:val="6"/>
                <w:sz w:val="20"/>
                <w:szCs w:val="20"/>
              </w:rPr>
              <w:t>居民区</w:t>
            </w:r>
          </w:p>
        </w:tc>
        <w:tc>
          <w:tcPr>
            <w:tcW w:w="796" w:type="dxa"/>
            <w:vAlign w:val="top"/>
          </w:tcPr>
          <w:p w14:paraId="719D268F">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47FFE256">
            <w:pPr>
              <w:rPr>
                <w:rFonts w:ascii="Arial"/>
                <w:sz w:val="21"/>
              </w:rPr>
            </w:pPr>
          </w:p>
        </w:tc>
        <w:tc>
          <w:tcPr>
            <w:tcW w:w="876" w:type="dxa"/>
            <w:vAlign w:val="top"/>
          </w:tcPr>
          <w:p w14:paraId="4E4B631E">
            <w:pPr>
              <w:pStyle w:val="6"/>
              <w:spacing w:before="62" w:line="228" w:lineRule="auto"/>
              <w:ind w:left="243"/>
              <w:rPr>
                <w:sz w:val="20"/>
                <w:szCs w:val="20"/>
              </w:rPr>
            </w:pPr>
            <w:r>
              <w:rPr>
                <w:spacing w:val="1"/>
                <w:sz w:val="20"/>
                <w:szCs w:val="20"/>
              </w:rPr>
              <w:t>东南</w:t>
            </w:r>
          </w:p>
        </w:tc>
        <w:tc>
          <w:tcPr>
            <w:tcW w:w="1150" w:type="dxa"/>
            <w:vAlign w:val="top"/>
          </w:tcPr>
          <w:p w14:paraId="01C88FF0">
            <w:pPr>
              <w:spacing w:before="101"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1660</w:t>
            </w:r>
          </w:p>
        </w:tc>
      </w:tr>
      <w:tr w14:paraId="4D96B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64A76516">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34" w:type="dxa"/>
            <w:vAlign w:val="top"/>
          </w:tcPr>
          <w:p w14:paraId="047DC608">
            <w:pPr>
              <w:pStyle w:val="6"/>
              <w:spacing w:before="64" w:line="228" w:lineRule="auto"/>
              <w:ind w:left="256"/>
              <w:rPr>
                <w:sz w:val="20"/>
                <w:szCs w:val="20"/>
              </w:rPr>
            </w:pPr>
            <w:r>
              <w:rPr>
                <w:spacing w:val="6"/>
                <w:sz w:val="20"/>
                <w:szCs w:val="20"/>
              </w:rPr>
              <w:t>庄厝围</w:t>
            </w:r>
          </w:p>
        </w:tc>
        <w:tc>
          <w:tcPr>
            <w:tcW w:w="865" w:type="dxa"/>
            <w:vAlign w:val="top"/>
          </w:tcPr>
          <w:p w14:paraId="11D970C5">
            <w:pPr>
              <w:spacing w:before="10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1970</w:t>
            </w:r>
          </w:p>
        </w:tc>
        <w:tc>
          <w:tcPr>
            <w:tcW w:w="836" w:type="dxa"/>
            <w:vAlign w:val="top"/>
          </w:tcPr>
          <w:p w14:paraId="087CF57D">
            <w:pPr>
              <w:spacing w:before="10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-2851</w:t>
            </w:r>
          </w:p>
        </w:tc>
        <w:tc>
          <w:tcPr>
            <w:tcW w:w="827" w:type="dxa"/>
            <w:vAlign w:val="top"/>
          </w:tcPr>
          <w:p w14:paraId="5DC188D3">
            <w:pPr>
              <w:pStyle w:val="6"/>
              <w:spacing w:before="63" w:line="228" w:lineRule="auto"/>
              <w:ind w:left="209"/>
              <w:rPr>
                <w:sz w:val="20"/>
                <w:szCs w:val="20"/>
              </w:rPr>
            </w:pPr>
            <w:r>
              <w:rPr>
                <w:spacing w:val="3"/>
                <w:sz w:val="20"/>
                <w:szCs w:val="20"/>
              </w:rPr>
              <w:t>人群</w:t>
            </w:r>
          </w:p>
        </w:tc>
        <w:tc>
          <w:tcPr>
            <w:tcW w:w="899" w:type="dxa"/>
            <w:vAlign w:val="top"/>
          </w:tcPr>
          <w:p w14:paraId="7AD6715D">
            <w:pPr>
              <w:pStyle w:val="6"/>
              <w:spacing w:before="64" w:line="228" w:lineRule="auto"/>
              <w:ind w:left="140"/>
              <w:rPr>
                <w:sz w:val="20"/>
                <w:szCs w:val="20"/>
              </w:rPr>
            </w:pPr>
            <w:r>
              <w:rPr>
                <w:spacing w:val="6"/>
                <w:sz w:val="20"/>
                <w:szCs w:val="20"/>
              </w:rPr>
              <w:t>居民区</w:t>
            </w:r>
          </w:p>
        </w:tc>
        <w:tc>
          <w:tcPr>
            <w:tcW w:w="796" w:type="dxa"/>
            <w:vAlign w:val="top"/>
          </w:tcPr>
          <w:p w14:paraId="165585A2">
            <w:pPr>
              <w:spacing w:before="101"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7" w:type="dxa"/>
            <w:vMerge w:val="continue"/>
            <w:tcBorders>
              <w:top w:val="nil"/>
              <w:bottom w:val="nil"/>
            </w:tcBorders>
            <w:vAlign w:val="top"/>
          </w:tcPr>
          <w:p w14:paraId="3F68015C">
            <w:pPr>
              <w:rPr>
                <w:rFonts w:ascii="Arial"/>
                <w:sz w:val="21"/>
              </w:rPr>
            </w:pPr>
          </w:p>
        </w:tc>
        <w:tc>
          <w:tcPr>
            <w:tcW w:w="876" w:type="dxa"/>
            <w:vAlign w:val="top"/>
          </w:tcPr>
          <w:p w14:paraId="5AE6444F">
            <w:pPr>
              <w:pStyle w:val="6"/>
              <w:spacing w:before="63" w:line="228" w:lineRule="auto"/>
              <w:ind w:left="243"/>
              <w:rPr>
                <w:sz w:val="20"/>
                <w:szCs w:val="20"/>
              </w:rPr>
            </w:pPr>
            <w:r>
              <w:rPr>
                <w:spacing w:val="1"/>
                <w:sz w:val="20"/>
                <w:szCs w:val="20"/>
              </w:rPr>
              <w:t>东南</w:t>
            </w:r>
          </w:p>
        </w:tc>
        <w:tc>
          <w:tcPr>
            <w:tcW w:w="1150" w:type="dxa"/>
            <w:vAlign w:val="top"/>
          </w:tcPr>
          <w:p w14:paraId="1BA28B7A">
            <w:pPr>
              <w:spacing w:before="101"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3260</w:t>
            </w:r>
          </w:p>
        </w:tc>
      </w:tr>
      <w:tr w14:paraId="49272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13B6FC95">
            <w:pPr>
              <w:spacing w:before="10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134" w:type="dxa"/>
            <w:vAlign w:val="top"/>
          </w:tcPr>
          <w:p w14:paraId="2DD88650">
            <w:pPr>
              <w:pStyle w:val="6"/>
              <w:spacing w:before="63" w:line="227" w:lineRule="auto"/>
              <w:ind w:left="259"/>
              <w:rPr>
                <w:sz w:val="20"/>
                <w:szCs w:val="20"/>
              </w:rPr>
            </w:pPr>
            <w:r>
              <w:rPr>
                <w:spacing w:val="5"/>
                <w:sz w:val="20"/>
                <w:szCs w:val="20"/>
              </w:rPr>
              <w:t>凯南村</w:t>
            </w:r>
          </w:p>
        </w:tc>
        <w:tc>
          <w:tcPr>
            <w:tcW w:w="865" w:type="dxa"/>
            <w:vAlign w:val="top"/>
          </w:tcPr>
          <w:p w14:paraId="30FE67FA">
            <w:pPr>
              <w:spacing w:before="102"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2061</w:t>
            </w:r>
          </w:p>
        </w:tc>
        <w:tc>
          <w:tcPr>
            <w:tcW w:w="836" w:type="dxa"/>
            <w:vAlign w:val="top"/>
          </w:tcPr>
          <w:p w14:paraId="73DED8FD">
            <w:pPr>
              <w:spacing w:before="10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-3350</w:t>
            </w:r>
          </w:p>
        </w:tc>
        <w:tc>
          <w:tcPr>
            <w:tcW w:w="827" w:type="dxa"/>
            <w:vAlign w:val="top"/>
          </w:tcPr>
          <w:p w14:paraId="45C6C75A">
            <w:pPr>
              <w:pStyle w:val="6"/>
              <w:spacing w:before="63" w:line="228" w:lineRule="auto"/>
              <w:ind w:left="209"/>
              <w:rPr>
                <w:sz w:val="20"/>
                <w:szCs w:val="20"/>
              </w:rPr>
            </w:pPr>
            <w:r>
              <w:rPr>
                <w:spacing w:val="3"/>
                <w:sz w:val="20"/>
                <w:szCs w:val="20"/>
              </w:rPr>
              <w:t>人群</w:t>
            </w:r>
          </w:p>
        </w:tc>
        <w:tc>
          <w:tcPr>
            <w:tcW w:w="899" w:type="dxa"/>
            <w:vAlign w:val="top"/>
          </w:tcPr>
          <w:p w14:paraId="140F4631">
            <w:pPr>
              <w:pStyle w:val="6"/>
              <w:spacing w:before="64" w:line="228" w:lineRule="auto"/>
              <w:ind w:left="140"/>
              <w:rPr>
                <w:sz w:val="20"/>
                <w:szCs w:val="20"/>
              </w:rPr>
            </w:pPr>
            <w:r>
              <w:rPr>
                <w:spacing w:val="6"/>
                <w:sz w:val="20"/>
                <w:szCs w:val="20"/>
              </w:rPr>
              <w:t>居民区</w:t>
            </w:r>
          </w:p>
        </w:tc>
        <w:tc>
          <w:tcPr>
            <w:tcW w:w="796" w:type="dxa"/>
            <w:vAlign w:val="top"/>
          </w:tcPr>
          <w:p w14:paraId="35AFA758">
            <w:pPr>
              <w:spacing w:before="102"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107" w:type="dxa"/>
            <w:vMerge w:val="continue"/>
            <w:tcBorders>
              <w:top w:val="nil"/>
              <w:bottom w:val="nil"/>
            </w:tcBorders>
            <w:vAlign w:val="top"/>
          </w:tcPr>
          <w:p w14:paraId="5BB80FB2">
            <w:pPr>
              <w:rPr>
                <w:rFonts w:ascii="Arial"/>
                <w:sz w:val="21"/>
              </w:rPr>
            </w:pPr>
          </w:p>
        </w:tc>
        <w:tc>
          <w:tcPr>
            <w:tcW w:w="876" w:type="dxa"/>
            <w:vAlign w:val="top"/>
          </w:tcPr>
          <w:p w14:paraId="5289E2DC">
            <w:pPr>
              <w:pStyle w:val="6"/>
              <w:spacing w:before="63" w:line="228" w:lineRule="auto"/>
              <w:ind w:left="243"/>
              <w:rPr>
                <w:sz w:val="20"/>
                <w:szCs w:val="20"/>
              </w:rPr>
            </w:pPr>
            <w:r>
              <w:rPr>
                <w:spacing w:val="1"/>
                <w:sz w:val="20"/>
                <w:szCs w:val="20"/>
              </w:rPr>
              <w:t>东南</w:t>
            </w:r>
          </w:p>
        </w:tc>
        <w:tc>
          <w:tcPr>
            <w:tcW w:w="1150" w:type="dxa"/>
            <w:vAlign w:val="top"/>
          </w:tcPr>
          <w:p w14:paraId="7C517FD9">
            <w:pPr>
              <w:spacing w:before="10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3650</w:t>
            </w:r>
          </w:p>
        </w:tc>
      </w:tr>
      <w:tr w14:paraId="52E22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37" w:type="dxa"/>
            <w:vAlign w:val="top"/>
          </w:tcPr>
          <w:p w14:paraId="142C54D8">
            <w:pPr>
              <w:spacing w:before="100"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34" w:type="dxa"/>
            <w:vAlign w:val="top"/>
          </w:tcPr>
          <w:p w14:paraId="0B8D6644">
            <w:pPr>
              <w:pStyle w:val="6"/>
              <w:spacing w:before="64" w:line="227" w:lineRule="auto"/>
              <w:ind w:left="262"/>
              <w:rPr>
                <w:sz w:val="20"/>
                <w:szCs w:val="20"/>
              </w:rPr>
            </w:pPr>
            <w:r>
              <w:rPr>
                <w:spacing w:val="4"/>
                <w:sz w:val="20"/>
                <w:szCs w:val="20"/>
              </w:rPr>
              <w:t>下许村</w:t>
            </w:r>
          </w:p>
        </w:tc>
        <w:tc>
          <w:tcPr>
            <w:tcW w:w="865" w:type="dxa"/>
            <w:vAlign w:val="top"/>
          </w:tcPr>
          <w:p w14:paraId="66A55F82">
            <w:pPr>
              <w:spacing w:before="100"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2730</w:t>
            </w:r>
          </w:p>
        </w:tc>
        <w:tc>
          <w:tcPr>
            <w:tcW w:w="836" w:type="dxa"/>
            <w:vAlign w:val="top"/>
          </w:tcPr>
          <w:p w14:paraId="68ACCF7C">
            <w:pPr>
              <w:spacing w:before="10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-3590</w:t>
            </w:r>
          </w:p>
        </w:tc>
        <w:tc>
          <w:tcPr>
            <w:tcW w:w="827" w:type="dxa"/>
            <w:vAlign w:val="top"/>
          </w:tcPr>
          <w:p w14:paraId="4B280E17">
            <w:pPr>
              <w:pStyle w:val="6"/>
              <w:spacing w:before="64" w:line="228" w:lineRule="auto"/>
              <w:ind w:left="209"/>
              <w:rPr>
                <w:sz w:val="20"/>
                <w:szCs w:val="20"/>
              </w:rPr>
            </w:pPr>
            <w:r>
              <w:rPr>
                <w:spacing w:val="3"/>
                <w:sz w:val="20"/>
                <w:szCs w:val="20"/>
              </w:rPr>
              <w:t>人群</w:t>
            </w:r>
          </w:p>
        </w:tc>
        <w:tc>
          <w:tcPr>
            <w:tcW w:w="899" w:type="dxa"/>
            <w:vAlign w:val="top"/>
          </w:tcPr>
          <w:p w14:paraId="04D51B9C">
            <w:pPr>
              <w:pStyle w:val="6"/>
              <w:spacing w:before="64" w:line="228" w:lineRule="auto"/>
              <w:ind w:left="140"/>
              <w:rPr>
                <w:sz w:val="20"/>
                <w:szCs w:val="20"/>
              </w:rPr>
            </w:pPr>
            <w:r>
              <w:rPr>
                <w:spacing w:val="6"/>
                <w:sz w:val="20"/>
                <w:szCs w:val="20"/>
              </w:rPr>
              <w:t>居民区</w:t>
            </w:r>
          </w:p>
        </w:tc>
        <w:tc>
          <w:tcPr>
            <w:tcW w:w="796" w:type="dxa"/>
            <w:vAlign w:val="top"/>
          </w:tcPr>
          <w:p w14:paraId="6EB19C1C">
            <w:pPr>
              <w:spacing w:before="10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65512CF0">
            <w:pPr>
              <w:rPr>
                <w:rFonts w:ascii="Arial"/>
                <w:sz w:val="21"/>
              </w:rPr>
            </w:pPr>
          </w:p>
        </w:tc>
        <w:tc>
          <w:tcPr>
            <w:tcW w:w="876" w:type="dxa"/>
            <w:vAlign w:val="top"/>
          </w:tcPr>
          <w:p w14:paraId="1E028529">
            <w:pPr>
              <w:pStyle w:val="6"/>
              <w:spacing w:before="64" w:line="228" w:lineRule="auto"/>
              <w:ind w:left="243"/>
              <w:rPr>
                <w:sz w:val="20"/>
                <w:szCs w:val="20"/>
              </w:rPr>
            </w:pPr>
            <w:r>
              <w:rPr>
                <w:spacing w:val="1"/>
                <w:sz w:val="20"/>
                <w:szCs w:val="20"/>
              </w:rPr>
              <w:t>东南</w:t>
            </w:r>
          </w:p>
        </w:tc>
        <w:tc>
          <w:tcPr>
            <w:tcW w:w="1150" w:type="dxa"/>
            <w:vAlign w:val="top"/>
          </w:tcPr>
          <w:p w14:paraId="7484A81E">
            <w:pPr>
              <w:spacing w:before="100"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4300</w:t>
            </w:r>
          </w:p>
        </w:tc>
      </w:tr>
      <w:tr w14:paraId="682DC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2256AD6B">
            <w:pPr>
              <w:spacing w:before="10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134" w:type="dxa"/>
            <w:vAlign w:val="top"/>
          </w:tcPr>
          <w:p w14:paraId="17E9995C">
            <w:pPr>
              <w:pStyle w:val="6"/>
              <w:spacing w:before="65" w:line="227" w:lineRule="auto"/>
              <w:ind w:left="262"/>
              <w:rPr>
                <w:sz w:val="20"/>
                <w:szCs w:val="20"/>
              </w:rPr>
            </w:pPr>
            <w:r>
              <w:rPr>
                <w:spacing w:val="4"/>
                <w:sz w:val="20"/>
                <w:szCs w:val="20"/>
              </w:rPr>
              <w:t>赤箖村</w:t>
            </w:r>
          </w:p>
        </w:tc>
        <w:tc>
          <w:tcPr>
            <w:tcW w:w="865" w:type="dxa"/>
            <w:vAlign w:val="top"/>
          </w:tcPr>
          <w:p w14:paraId="4E9EA8D6">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3509</w:t>
            </w:r>
          </w:p>
        </w:tc>
        <w:tc>
          <w:tcPr>
            <w:tcW w:w="836" w:type="dxa"/>
            <w:vAlign w:val="top"/>
          </w:tcPr>
          <w:p w14:paraId="32F64BB5">
            <w:pPr>
              <w:spacing w:before="10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-2984</w:t>
            </w:r>
          </w:p>
        </w:tc>
        <w:tc>
          <w:tcPr>
            <w:tcW w:w="827" w:type="dxa"/>
            <w:vAlign w:val="top"/>
          </w:tcPr>
          <w:p w14:paraId="13B542D6">
            <w:pPr>
              <w:pStyle w:val="6"/>
              <w:spacing w:before="65" w:line="228" w:lineRule="auto"/>
              <w:ind w:left="209"/>
              <w:rPr>
                <w:sz w:val="20"/>
                <w:szCs w:val="20"/>
              </w:rPr>
            </w:pPr>
            <w:r>
              <w:rPr>
                <w:spacing w:val="3"/>
                <w:sz w:val="20"/>
                <w:szCs w:val="20"/>
              </w:rPr>
              <w:t>人群</w:t>
            </w:r>
          </w:p>
        </w:tc>
        <w:tc>
          <w:tcPr>
            <w:tcW w:w="899" w:type="dxa"/>
            <w:vAlign w:val="top"/>
          </w:tcPr>
          <w:p w14:paraId="39964727">
            <w:pPr>
              <w:pStyle w:val="6"/>
              <w:spacing w:before="66" w:line="228" w:lineRule="auto"/>
              <w:ind w:left="140"/>
              <w:rPr>
                <w:sz w:val="20"/>
                <w:szCs w:val="20"/>
              </w:rPr>
            </w:pPr>
            <w:r>
              <w:rPr>
                <w:spacing w:val="6"/>
                <w:sz w:val="20"/>
                <w:szCs w:val="20"/>
              </w:rPr>
              <w:t>居民区</w:t>
            </w:r>
          </w:p>
        </w:tc>
        <w:tc>
          <w:tcPr>
            <w:tcW w:w="796" w:type="dxa"/>
            <w:vAlign w:val="top"/>
          </w:tcPr>
          <w:p w14:paraId="2EFC2528">
            <w:pPr>
              <w:spacing w:before="10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07" w:type="dxa"/>
            <w:vMerge w:val="continue"/>
            <w:tcBorders>
              <w:top w:val="nil"/>
              <w:bottom w:val="nil"/>
            </w:tcBorders>
            <w:vAlign w:val="top"/>
          </w:tcPr>
          <w:p w14:paraId="4336190E">
            <w:pPr>
              <w:rPr>
                <w:rFonts w:ascii="Arial"/>
                <w:sz w:val="21"/>
              </w:rPr>
            </w:pPr>
          </w:p>
        </w:tc>
        <w:tc>
          <w:tcPr>
            <w:tcW w:w="876" w:type="dxa"/>
            <w:vAlign w:val="top"/>
          </w:tcPr>
          <w:p w14:paraId="28C1098A">
            <w:pPr>
              <w:pStyle w:val="6"/>
              <w:spacing w:before="65" w:line="228" w:lineRule="auto"/>
              <w:ind w:left="243"/>
              <w:rPr>
                <w:sz w:val="20"/>
                <w:szCs w:val="20"/>
              </w:rPr>
            </w:pPr>
            <w:r>
              <w:rPr>
                <w:spacing w:val="1"/>
                <w:sz w:val="20"/>
                <w:szCs w:val="20"/>
              </w:rPr>
              <w:t>东南</w:t>
            </w:r>
          </w:p>
        </w:tc>
        <w:tc>
          <w:tcPr>
            <w:tcW w:w="1150" w:type="dxa"/>
            <w:vAlign w:val="top"/>
          </w:tcPr>
          <w:p w14:paraId="5431F74C">
            <w:pPr>
              <w:spacing w:before="10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4320</w:t>
            </w:r>
          </w:p>
        </w:tc>
      </w:tr>
      <w:tr w14:paraId="717FC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0D0DA0E0">
            <w:pPr>
              <w:spacing w:before="10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134" w:type="dxa"/>
            <w:vAlign w:val="top"/>
          </w:tcPr>
          <w:p w14:paraId="6FBFBE0C">
            <w:pPr>
              <w:pStyle w:val="6"/>
              <w:spacing w:before="66" w:line="227" w:lineRule="auto"/>
              <w:ind w:left="180"/>
              <w:rPr>
                <w:sz w:val="20"/>
                <w:szCs w:val="20"/>
              </w:rPr>
            </w:pPr>
            <w:r>
              <w:rPr>
                <w:spacing w:val="-1"/>
                <w:sz w:val="20"/>
                <w:szCs w:val="20"/>
              </w:rPr>
              <w:t>白沙新村</w:t>
            </w:r>
          </w:p>
        </w:tc>
        <w:tc>
          <w:tcPr>
            <w:tcW w:w="865" w:type="dxa"/>
            <w:vAlign w:val="top"/>
          </w:tcPr>
          <w:p w14:paraId="392956A5">
            <w:pPr>
              <w:spacing w:before="102"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2370</w:t>
            </w:r>
          </w:p>
        </w:tc>
        <w:tc>
          <w:tcPr>
            <w:tcW w:w="836" w:type="dxa"/>
            <w:vAlign w:val="top"/>
          </w:tcPr>
          <w:p w14:paraId="4407B995">
            <w:pPr>
              <w:spacing w:before="102"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-720</w:t>
            </w:r>
          </w:p>
        </w:tc>
        <w:tc>
          <w:tcPr>
            <w:tcW w:w="827" w:type="dxa"/>
            <w:vAlign w:val="top"/>
          </w:tcPr>
          <w:p w14:paraId="7EE53E3E">
            <w:pPr>
              <w:pStyle w:val="6"/>
              <w:spacing w:before="65" w:line="228" w:lineRule="auto"/>
              <w:ind w:left="209"/>
              <w:rPr>
                <w:sz w:val="20"/>
                <w:szCs w:val="20"/>
              </w:rPr>
            </w:pPr>
            <w:r>
              <w:rPr>
                <w:spacing w:val="3"/>
                <w:sz w:val="20"/>
                <w:szCs w:val="20"/>
              </w:rPr>
              <w:t>人群</w:t>
            </w:r>
          </w:p>
        </w:tc>
        <w:tc>
          <w:tcPr>
            <w:tcW w:w="899" w:type="dxa"/>
            <w:vAlign w:val="top"/>
          </w:tcPr>
          <w:p w14:paraId="55733198">
            <w:pPr>
              <w:pStyle w:val="6"/>
              <w:spacing w:before="66" w:line="228" w:lineRule="auto"/>
              <w:ind w:left="140"/>
              <w:rPr>
                <w:sz w:val="20"/>
                <w:szCs w:val="20"/>
              </w:rPr>
            </w:pPr>
            <w:r>
              <w:rPr>
                <w:spacing w:val="6"/>
                <w:sz w:val="20"/>
                <w:szCs w:val="20"/>
              </w:rPr>
              <w:t>居民区</w:t>
            </w:r>
          </w:p>
        </w:tc>
        <w:tc>
          <w:tcPr>
            <w:tcW w:w="796" w:type="dxa"/>
            <w:vAlign w:val="top"/>
          </w:tcPr>
          <w:p w14:paraId="293A5808">
            <w:pPr>
              <w:spacing w:before="10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1ED58F4B">
            <w:pPr>
              <w:rPr>
                <w:rFonts w:ascii="Arial"/>
                <w:sz w:val="21"/>
              </w:rPr>
            </w:pPr>
          </w:p>
        </w:tc>
        <w:tc>
          <w:tcPr>
            <w:tcW w:w="876" w:type="dxa"/>
            <w:vAlign w:val="top"/>
          </w:tcPr>
          <w:p w14:paraId="195B5DC5">
            <w:pPr>
              <w:pStyle w:val="6"/>
              <w:spacing w:before="65" w:line="228" w:lineRule="auto"/>
              <w:ind w:left="346"/>
              <w:rPr>
                <w:sz w:val="20"/>
                <w:szCs w:val="20"/>
              </w:rPr>
            </w:pPr>
            <w:r>
              <w:rPr>
                <w:sz w:val="20"/>
                <w:szCs w:val="20"/>
              </w:rPr>
              <w:t>东</w:t>
            </w:r>
          </w:p>
        </w:tc>
        <w:tc>
          <w:tcPr>
            <w:tcW w:w="1150" w:type="dxa"/>
            <w:vAlign w:val="top"/>
          </w:tcPr>
          <w:p w14:paraId="24C55C81">
            <w:pPr>
              <w:spacing w:before="10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r>
      <w:tr w14:paraId="5A1A5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4A19178E">
            <w:pPr>
              <w:spacing w:before="10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134" w:type="dxa"/>
            <w:vAlign w:val="top"/>
          </w:tcPr>
          <w:p w14:paraId="23550286">
            <w:pPr>
              <w:pStyle w:val="6"/>
              <w:spacing w:before="64" w:line="227" w:lineRule="auto"/>
              <w:ind w:left="260"/>
              <w:rPr>
                <w:sz w:val="20"/>
                <w:szCs w:val="20"/>
              </w:rPr>
            </w:pPr>
            <w:r>
              <w:rPr>
                <w:spacing w:val="5"/>
                <w:sz w:val="20"/>
                <w:szCs w:val="20"/>
              </w:rPr>
              <w:t>西城村</w:t>
            </w:r>
          </w:p>
        </w:tc>
        <w:tc>
          <w:tcPr>
            <w:tcW w:w="865" w:type="dxa"/>
            <w:vAlign w:val="top"/>
          </w:tcPr>
          <w:p w14:paraId="55217DF9">
            <w:pPr>
              <w:spacing w:before="10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3610</w:t>
            </w:r>
          </w:p>
        </w:tc>
        <w:tc>
          <w:tcPr>
            <w:tcW w:w="836" w:type="dxa"/>
            <w:vAlign w:val="top"/>
          </w:tcPr>
          <w:p w14:paraId="3C22867B">
            <w:pPr>
              <w:spacing w:before="10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-1146</w:t>
            </w:r>
          </w:p>
        </w:tc>
        <w:tc>
          <w:tcPr>
            <w:tcW w:w="827" w:type="dxa"/>
            <w:vAlign w:val="top"/>
          </w:tcPr>
          <w:p w14:paraId="611CFF8B">
            <w:pPr>
              <w:pStyle w:val="6"/>
              <w:spacing w:before="63" w:line="228" w:lineRule="auto"/>
              <w:ind w:left="209"/>
              <w:rPr>
                <w:sz w:val="20"/>
                <w:szCs w:val="20"/>
              </w:rPr>
            </w:pPr>
            <w:r>
              <w:rPr>
                <w:spacing w:val="3"/>
                <w:sz w:val="20"/>
                <w:szCs w:val="20"/>
              </w:rPr>
              <w:t>人群</w:t>
            </w:r>
          </w:p>
        </w:tc>
        <w:tc>
          <w:tcPr>
            <w:tcW w:w="899" w:type="dxa"/>
            <w:vAlign w:val="top"/>
          </w:tcPr>
          <w:p w14:paraId="7B0891A5">
            <w:pPr>
              <w:pStyle w:val="6"/>
              <w:spacing w:before="64" w:line="228" w:lineRule="auto"/>
              <w:ind w:left="140"/>
              <w:rPr>
                <w:sz w:val="20"/>
                <w:szCs w:val="20"/>
              </w:rPr>
            </w:pPr>
            <w:r>
              <w:rPr>
                <w:spacing w:val="6"/>
                <w:sz w:val="20"/>
                <w:szCs w:val="20"/>
              </w:rPr>
              <w:t>居民区</w:t>
            </w:r>
          </w:p>
        </w:tc>
        <w:tc>
          <w:tcPr>
            <w:tcW w:w="796" w:type="dxa"/>
            <w:vAlign w:val="top"/>
          </w:tcPr>
          <w:p w14:paraId="5806471C">
            <w:pPr>
              <w:spacing w:before="10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7" w:type="dxa"/>
            <w:vMerge w:val="continue"/>
            <w:tcBorders>
              <w:top w:val="nil"/>
              <w:bottom w:val="nil"/>
            </w:tcBorders>
            <w:vAlign w:val="top"/>
          </w:tcPr>
          <w:p w14:paraId="365BEB61">
            <w:pPr>
              <w:rPr>
                <w:rFonts w:ascii="Arial"/>
                <w:sz w:val="21"/>
              </w:rPr>
            </w:pPr>
          </w:p>
        </w:tc>
        <w:tc>
          <w:tcPr>
            <w:tcW w:w="876" w:type="dxa"/>
            <w:vAlign w:val="top"/>
          </w:tcPr>
          <w:p w14:paraId="5DD79612">
            <w:pPr>
              <w:pStyle w:val="6"/>
              <w:spacing w:before="63" w:line="228" w:lineRule="auto"/>
              <w:ind w:left="346"/>
              <w:rPr>
                <w:sz w:val="20"/>
                <w:szCs w:val="20"/>
              </w:rPr>
            </w:pPr>
            <w:r>
              <w:rPr>
                <w:sz w:val="20"/>
                <w:szCs w:val="20"/>
              </w:rPr>
              <w:t>东</w:t>
            </w:r>
          </w:p>
        </w:tc>
        <w:tc>
          <w:tcPr>
            <w:tcW w:w="1150" w:type="dxa"/>
            <w:vAlign w:val="top"/>
          </w:tcPr>
          <w:p w14:paraId="2315357E">
            <w:pPr>
              <w:spacing w:before="10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2950</w:t>
            </w:r>
          </w:p>
        </w:tc>
      </w:tr>
      <w:tr w14:paraId="6A189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390DB80B">
            <w:pPr>
              <w:spacing w:before="10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134" w:type="dxa"/>
            <w:vAlign w:val="top"/>
          </w:tcPr>
          <w:p w14:paraId="34F31437">
            <w:pPr>
              <w:pStyle w:val="6"/>
              <w:spacing w:before="64" w:line="227" w:lineRule="auto"/>
              <w:ind w:left="263"/>
              <w:rPr>
                <w:sz w:val="20"/>
                <w:szCs w:val="20"/>
              </w:rPr>
            </w:pPr>
            <w:r>
              <w:rPr>
                <w:spacing w:val="4"/>
                <w:sz w:val="20"/>
                <w:szCs w:val="20"/>
              </w:rPr>
              <w:t>东湖村</w:t>
            </w:r>
          </w:p>
        </w:tc>
        <w:tc>
          <w:tcPr>
            <w:tcW w:w="865" w:type="dxa"/>
            <w:vAlign w:val="top"/>
          </w:tcPr>
          <w:p w14:paraId="0DF90E1F">
            <w:pPr>
              <w:spacing w:before="10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4487</w:t>
            </w:r>
          </w:p>
        </w:tc>
        <w:tc>
          <w:tcPr>
            <w:tcW w:w="836" w:type="dxa"/>
            <w:vAlign w:val="top"/>
          </w:tcPr>
          <w:p w14:paraId="0165C182">
            <w:pPr>
              <w:spacing w:before="102"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-988</w:t>
            </w:r>
          </w:p>
        </w:tc>
        <w:tc>
          <w:tcPr>
            <w:tcW w:w="827" w:type="dxa"/>
            <w:vAlign w:val="top"/>
          </w:tcPr>
          <w:p w14:paraId="444847A9">
            <w:pPr>
              <w:pStyle w:val="6"/>
              <w:spacing w:before="64" w:line="228" w:lineRule="auto"/>
              <w:ind w:left="209"/>
              <w:rPr>
                <w:sz w:val="20"/>
                <w:szCs w:val="20"/>
              </w:rPr>
            </w:pPr>
            <w:r>
              <w:rPr>
                <w:spacing w:val="3"/>
                <w:sz w:val="20"/>
                <w:szCs w:val="20"/>
              </w:rPr>
              <w:t>人群</w:t>
            </w:r>
          </w:p>
        </w:tc>
        <w:tc>
          <w:tcPr>
            <w:tcW w:w="899" w:type="dxa"/>
            <w:vAlign w:val="top"/>
          </w:tcPr>
          <w:p w14:paraId="344F67F5">
            <w:pPr>
              <w:pStyle w:val="6"/>
              <w:spacing w:before="65" w:line="228" w:lineRule="auto"/>
              <w:ind w:left="140"/>
              <w:rPr>
                <w:sz w:val="20"/>
                <w:szCs w:val="20"/>
              </w:rPr>
            </w:pPr>
            <w:r>
              <w:rPr>
                <w:spacing w:val="6"/>
                <w:sz w:val="20"/>
                <w:szCs w:val="20"/>
              </w:rPr>
              <w:t>居民区</w:t>
            </w:r>
          </w:p>
        </w:tc>
        <w:tc>
          <w:tcPr>
            <w:tcW w:w="796" w:type="dxa"/>
            <w:vAlign w:val="top"/>
          </w:tcPr>
          <w:p w14:paraId="148A269F">
            <w:pPr>
              <w:spacing w:before="10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7" w:type="dxa"/>
            <w:vMerge w:val="continue"/>
            <w:tcBorders>
              <w:top w:val="nil"/>
              <w:bottom w:val="nil"/>
            </w:tcBorders>
            <w:vAlign w:val="top"/>
          </w:tcPr>
          <w:p w14:paraId="7A403F24">
            <w:pPr>
              <w:rPr>
                <w:rFonts w:ascii="Arial"/>
                <w:sz w:val="21"/>
              </w:rPr>
            </w:pPr>
          </w:p>
        </w:tc>
        <w:tc>
          <w:tcPr>
            <w:tcW w:w="876" w:type="dxa"/>
            <w:vAlign w:val="top"/>
          </w:tcPr>
          <w:p w14:paraId="7C23B827">
            <w:pPr>
              <w:pStyle w:val="6"/>
              <w:spacing w:before="64" w:line="228" w:lineRule="auto"/>
              <w:ind w:left="346"/>
              <w:rPr>
                <w:sz w:val="20"/>
                <w:szCs w:val="20"/>
              </w:rPr>
            </w:pPr>
            <w:r>
              <w:rPr>
                <w:sz w:val="20"/>
                <w:szCs w:val="20"/>
              </w:rPr>
              <w:t>东</w:t>
            </w:r>
          </w:p>
        </w:tc>
        <w:tc>
          <w:tcPr>
            <w:tcW w:w="1150" w:type="dxa"/>
            <w:vAlign w:val="top"/>
          </w:tcPr>
          <w:p w14:paraId="0BA28F55">
            <w:pPr>
              <w:spacing w:before="102"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4090</w:t>
            </w:r>
          </w:p>
        </w:tc>
      </w:tr>
      <w:tr w14:paraId="09AF6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7F6C01A5">
            <w:pPr>
              <w:spacing w:before="10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134" w:type="dxa"/>
            <w:vAlign w:val="top"/>
          </w:tcPr>
          <w:p w14:paraId="4B6E3769">
            <w:pPr>
              <w:pStyle w:val="6"/>
              <w:spacing w:before="64" w:line="227" w:lineRule="auto"/>
              <w:ind w:left="255"/>
              <w:rPr>
                <w:sz w:val="20"/>
                <w:szCs w:val="20"/>
              </w:rPr>
            </w:pPr>
            <w:r>
              <w:rPr>
                <w:spacing w:val="6"/>
                <w:sz w:val="20"/>
                <w:szCs w:val="20"/>
              </w:rPr>
              <w:t>第一村</w:t>
            </w:r>
          </w:p>
        </w:tc>
        <w:tc>
          <w:tcPr>
            <w:tcW w:w="865" w:type="dxa"/>
            <w:vAlign w:val="top"/>
          </w:tcPr>
          <w:p w14:paraId="176D5483">
            <w:pPr>
              <w:spacing w:before="10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3966</w:t>
            </w:r>
          </w:p>
        </w:tc>
        <w:tc>
          <w:tcPr>
            <w:tcW w:w="836" w:type="dxa"/>
            <w:vAlign w:val="top"/>
          </w:tcPr>
          <w:p w14:paraId="65E2AC05">
            <w:pPr>
              <w:spacing w:before="103"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827" w:type="dxa"/>
            <w:vAlign w:val="top"/>
          </w:tcPr>
          <w:p w14:paraId="3147B246">
            <w:pPr>
              <w:pStyle w:val="6"/>
              <w:spacing w:before="64" w:line="228" w:lineRule="auto"/>
              <w:ind w:left="209"/>
              <w:rPr>
                <w:sz w:val="20"/>
                <w:szCs w:val="20"/>
              </w:rPr>
            </w:pPr>
            <w:r>
              <w:rPr>
                <w:spacing w:val="3"/>
                <w:sz w:val="20"/>
                <w:szCs w:val="20"/>
              </w:rPr>
              <w:t>人群</w:t>
            </w:r>
          </w:p>
        </w:tc>
        <w:tc>
          <w:tcPr>
            <w:tcW w:w="899" w:type="dxa"/>
            <w:vAlign w:val="top"/>
          </w:tcPr>
          <w:p w14:paraId="42930B7B">
            <w:pPr>
              <w:pStyle w:val="6"/>
              <w:spacing w:before="65" w:line="228" w:lineRule="auto"/>
              <w:ind w:left="140"/>
              <w:rPr>
                <w:sz w:val="20"/>
                <w:szCs w:val="20"/>
              </w:rPr>
            </w:pPr>
            <w:r>
              <w:rPr>
                <w:spacing w:val="6"/>
                <w:sz w:val="20"/>
                <w:szCs w:val="20"/>
              </w:rPr>
              <w:t>居民区</w:t>
            </w:r>
          </w:p>
        </w:tc>
        <w:tc>
          <w:tcPr>
            <w:tcW w:w="796" w:type="dxa"/>
            <w:vAlign w:val="top"/>
          </w:tcPr>
          <w:p w14:paraId="15B39BF1">
            <w:pPr>
              <w:spacing w:before="103"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07" w:type="dxa"/>
            <w:vMerge w:val="continue"/>
            <w:tcBorders>
              <w:top w:val="nil"/>
              <w:bottom w:val="nil"/>
            </w:tcBorders>
            <w:vAlign w:val="top"/>
          </w:tcPr>
          <w:p w14:paraId="23CC196C">
            <w:pPr>
              <w:rPr>
                <w:rFonts w:ascii="Arial"/>
                <w:sz w:val="21"/>
              </w:rPr>
            </w:pPr>
          </w:p>
        </w:tc>
        <w:tc>
          <w:tcPr>
            <w:tcW w:w="876" w:type="dxa"/>
            <w:vAlign w:val="top"/>
          </w:tcPr>
          <w:p w14:paraId="3888F3CC">
            <w:pPr>
              <w:pStyle w:val="6"/>
              <w:spacing w:before="64" w:line="228" w:lineRule="auto"/>
              <w:ind w:left="346"/>
              <w:rPr>
                <w:sz w:val="20"/>
                <w:szCs w:val="20"/>
              </w:rPr>
            </w:pPr>
            <w:r>
              <w:rPr>
                <w:sz w:val="20"/>
                <w:szCs w:val="20"/>
              </w:rPr>
              <w:t>东</w:t>
            </w:r>
          </w:p>
        </w:tc>
        <w:tc>
          <w:tcPr>
            <w:tcW w:w="1150" w:type="dxa"/>
            <w:vAlign w:val="top"/>
          </w:tcPr>
          <w:p w14:paraId="01CA847B">
            <w:pPr>
              <w:spacing w:before="103"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3460</w:t>
            </w:r>
          </w:p>
        </w:tc>
      </w:tr>
      <w:tr w14:paraId="072A4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42642AFA">
            <w:pPr>
              <w:spacing w:before="10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134" w:type="dxa"/>
            <w:vAlign w:val="top"/>
          </w:tcPr>
          <w:p w14:paraId="71FC3DC3">
            <w:pPr>
              <w:pStyle w:val="6"/>
              <w:spacing w:before="65" w:line="227" w:lineRule="auto"/>
              <w:ind w:left="286"/>
              <w:rPr>
                <w:sz w:val="20"/>
                <w:szCs w:val="20"/>
              </w:rPr>
            </w:pPr>
            <w:r>
              <w:rPr>
                <w:spacing w:val="-4"/>
                <w:sz w:val="20"/>
                <w:szCs w:val="20"/>
              </w:rPr>
              <w:t>白沙村</w:t>
            </w:r>
          </w:p>
        </w:tc>
        <w:tc>
          <w:tcPr>
            <w:tcW w:w="865" w:type="dxa"/>
            <w:vAlign w:val="top"/>
          </w:tcPr>
          <w:p w14:paraId="66AAF9F3">
            <w:pPr>
              <w:spacing w:before="101"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2315</w:t>
            </w:r>
          </w:p>
        </w:tc>
        <w:tc>
          <w:tcPr>
            <w:tcW w:w="836" w:type="dxa"/>
            <w:vAlign w:val="top"/>
          </w:tcPr>
          <w:p w14:paraId="45E57B0B">
            <w:pPr>
              <w:spacing w:before="101"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27" w:type="dxa"/>
            <w:vAlign w:val="top"/>
          </w:tcPr>
          <w:p w14:paraId="1D2E8AC0">
            <w:pPr>
              <w:pStyle w:val="6"/>
              <w:spacing w:before="65" w:line="228" w:lineRule="auto"/>
              <w:ind w:left="209"/>
              <w:rPr>
                <w:sz w:val="20"/>
                <w:szCs w:val="20"/>
              </w:rPr>
            </w:pPr>
            <w:r>
              <w:rPr>
                <w:spacing w:val="3"/>
                <w:sz w:val="20"/>
                <w:szCs w:val="20"/>
              </w:rPr>
              <w:t>人群</w:t>
            </w:r>
          </w:p>
        </w:tc>
        <w:tc>
          <w:tcPr>
            <w:tcW w:w="899" w:type="dxa"/>
            <w:vAlign w:val="top"/>
          </w:tcPr>
          <w:p w14:paraId="46B6D4AF">
            <w:pPr>
              <w:pStyle w:val="6"/>
              <w:spacing w:before="65" w:line="228" w:lineRule="auto"/>
              <w:ind w:left="140"/>
              <w:rPr>
                <w:sz w:val="20"/>
                <w:szCs w:val="20"/>
              </w:rPr>
            </w:pPr>
            <w:r>
              <w:rPr>
                <w:spacing w:val="6"/>
                <w:sz w:val="20"/>
                <w:szCs w:val="20"/>
              </w:rPr>
              <w:t>居民区</w:t>
            </w:r>
          </w:p>
        </w:tc>
        <w:tc>
          <w:tcPr>
            <w:tcW w:w="796" w:type="dxa"/>
            <w:vAlign w:val="top"/>
          </w:tcPr>
          <w:p w14:paraId="67260E59">
            <w:pPr>
              <w:spacing w:before="101"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07" w:type="dxa"/>
            <w:vMerge w:val="continue"/>
            <w:tcBorders>
              <w:top w:val="nil"/>
              <w:bottom w:val="nil"/>
            </w:tcBorders>
            <w:vAlign w:val="top"/>
          </w:tcPr>
          <w:p w14:paraId="1FFE7209">
            <w:pPr>
              <w:rPr>
                <w:rFonts w:ascii="Arial"/>
                <w:sz w:val="21"/>
              </w:rPr>
            </w:pPr>
          </w:p>
        </w:tc>
        <w:tc>
          <w:tcPr>
            <w:tcW w:w="876" w:type="dxa"/>
            <w:vAlign w:val="top"/>
          </w:tcPr>
          <w:p w14:paraId="51070F80">
            <w:pPr>
              <w:pStyle w:val="6"/>
              <w:spacing w:before="65" w:line="228" w:lineRule="auto"/>
              <w:ind w:left="346"/>
              <w:rPr>
                <w:sz w:val="20"/>
                <w:szCs w:val="20"/>
              </w:rPr>
            </w:pPr>
            <w:r>
              <w:rPr>
                <w:sz w:val="20"/>
                <w:szCs w:val="20"/>
              </w:rPr>
              <w:t>东</w:t>
            </w:r>
          </w:p>
        </w:tc>
        <w:tc>
          <w:tcPr>
            <w:tcW w:w="1150" w:type="dxa"/>
            <w:vAlign w:val="top"/>
          </w:tcPr>
          <w:p w14:paraId="26E94A0C">
            <w:pPr>
              <w:spacing w:before="10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2010</w:t>
            </w:r>
          </w:p>
        </w:tc>
      </w:tr>
      <w:tr w14:paraId="4AE0B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4E2AA9E8">
            <w:pPr>
              <w:spacing w:before="10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134" w:type="dxa"/>
            <w:vAlign w:val="top"/>
          </w:tcPr>
          <w:p w14:paraId="4438F14A">
            <w:pPr>
              <w:pStyle w:val="6"/>
              <w:spacing w:before="65" w:line="227" w:lineRule="auto"/>
              <w:ind w:left="150"/>
              <w:rPr>
                <w:sz w:val="20"/>
                <w:szCs w:val="20"/>
              </w:rPr>
            </w:pPr>
            <w:r>
              <w:rPr>
                <w:spacing w:val="7"/>
                <w:sz w:val="20"/>
                <w:szCs w:val="20"/>
              </w:rPr>
              <w:t>双桂山村</w:t>
            </w:r>
          </w:p>
        </w:tc>
        <w:tc>
          <w:tcPr>
            <w:tcW w:w="865" w:type="dxa"/>
            <w:vAlign w:val="top"/>
          </w:tcPr>
          <w:p w14:paraId="4CA3249E">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3370</w:t>
            </w:r>
          </w:p>
        </w:tc>
        <w:tc>
          <w:tcPr>
            <w:tcW w:w="836" w:type="dxa"/>
            <w:vAlign w:val="top"/>
          </w:tcPr>
          <w:p w14:paraId="7736201E">
            <w:pPr>
              <w:spacing w:before="10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651</w:t>
            </w:r>
          </w:p>
        </w:tc>
        <w:tc>
          <w:tcPr>
            <w:tcW w:w="827" w:type="dxa"/>
            <w:vAlign w:val="top"/>
          </w:tcPr>
          <w:p w14:paraId="34710072">
            <w:pPr>
              <w:pStyle w:val="6"/>
              <w:spacing w:before="65" w:line="228" w:lineRule="auto"/>
              <w:ind w:left="209"/>
              <w:rPr>
                <w:sz w:val="20"/>
                <w:szCs w:val="20"/>
              </w:rPr>
            </w:pPr>
            <w:r>
              <w:rPr>
                <w:spacing w:val="3"/>
                <w:sz w:val="20"/>
                <w:szCs w:val="20"/>
              </w:rPr>
              <w:t>人群</w:t>
            </w:r>
          </w:p>
        </w:tc>
        <w:tc>
          <w:tcPr>
            <w:tcW w:w="899" w:type="dxa"/>
            <w:vAlign w:val="top"/>
          </w:tcPr>
          <w:p w14:paraId="5E11D657">
            <w:pPr>
              <w:pStyle w:val="6"/>
              <w:spacing w:before="66" w:line="228" w:lineRule="auto"/>
              <w:ind w:left="140"/>
              <w:rPr>
                <w:sz w:val="20"/>
                <w:szCs w:val="20"/>
              </w:rPr>
            </w:pPr>
            <w:r>
              <w:rPr>
                <w:spacing w:val="6"/>
                <w:sz w:val="20"/>
                <w:szCs w:val="20"/>
              </w:rPr>
              <w:t>居民区</w:t>
            </w:r>
          </w:p>
        </w:tc>
        <w:tc>
          <w:tcPr>
            <w:tcW w:w="796" w:type="dxa"/>
            <w:vAlign w:val="top"/>
          </w:tcPr>
          <w:p w14:paraId="0B623AC0">
            <w:pPr>
              <w:spacing w:before="101"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07" w:type="dxa"/>
            <w:vMerge w:val="continue"/>
            <w:tcBorders>
              <w:top w:val="nil"/>
              <w:bottom w:val="nil"/>
            </w:tcBorders>
            <w:vAlign w:val="top"/>
          </w:tcPr>
          <w:p w14:paraId="0C8EEB7D">
            <w:pPr>
              <w:rPr>
                <w:rFonts w:ascii="Arial"/>
                <w:sz w:val="21"/>
              </w:rPr>
            </w:pPr>
          </w:p>
        </w:tc>
        <w:tc>
          <w:tcPr>
            <w:tcW w:w="876" w:type="dxa"/>
            <w:vAlign w:val="top"/>
          </w:tcPr>
          <w:p w14:paraId="4047A608">
            <w:pPr>
              <w:pStyle w:val="6"/>
              <w:spacing w:before="65" w:line="228" w:lineRule="auto"/>
              <w:ind w:left="243"/>
              <w:rPr>
                <w:sz w:val="20"/>
                <w:szCs w:val="20"/>
              </w:rPr>
            </w:pPr>
            <w:r>
              <w:rPr>
                <w:spacing w:val="1"/>
                <w:sz w:val="20"/>
                <w:szCs w:val="20"/>
              </w:rPr>
              <w:t>东北</w:t>
            </w:r>
          </w:p>
        </w:tc>
        <w:tc>
          <w:tcPr>
            <w:tcW w:w="1150" w:type="dxa"/>
            <w:vAlign w:val="top"/>
          </w:tcPr>
          <w:p w14:paraId="6234BD10">
            <w:pPr>
              <w:spacing w:before="101"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3080</w:t>
            </w:r>
          </w:p>
        </w:tc>
      </w:tr>
      <w:tr w14:paraId="46D3F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2AA95BC0">
            <w:pPr>
              <w:spacing w:before="10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134" w:type="dxa"/>
            <w:vAlign w:val="top"/>
          </w:tcPr>
          <w:p w14:paraId="08C327F8">
            <w:pPr>
              <w:pStyle w:val="6"/>
              <w:spacing w:before="66" w:line="227" w:lineRule="auto"/>
              <w:ind w:left="151"/>
              <w:rPr>
                <w:sz w:val="20"/>
                <w:szCs w:val="20"/>
              </w:rPr>
            </w:pPr>
            <w:r>
              <w:rPr>
                <w:spacing w:val="7"/>
                <w:sz w:val="20"/>
                <w:szCs w:val="20"/>
              </w:rPr>
              <w:t>朱厝坑村</w:t>
            </w:r>
          </w:p>
        </w:tc>
        <w:tc>
          <w:tcPr>
            <w:tcW w:w="865" w:type="dxa"/>
            <w:vAlign w:val="top"/>
          </w:tcPr>
          <w:p w14:paraId="12FA2EBC">
            <w:pPr>
              <w:spacing w:before="10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3161</w:t>
            </w:r>
          </w:p>
        </w:tc>
        <w:tc>
          <w:tcPr>
            <w:tcW w:w="836" w:type="dxa"/>
            <w:vAlign w:val="top"/>
          </w:tcPr>
          <w:p w14:paraId="1DEFCB95">
            <w:pPr>
              <w:spacing w:before="10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1803</w:t>
            </w:r>
          </w:p>
        </w:tc>
        <w:tc>
          <w:tcPr>
            <w:tcW w:w="827" w:type="dxa"/>
            <w:vAlign w:val="top"/>
          </w:tcPr>
          <w:p w14:paraId="378AD17B">
            <w:pPr>
              <w:pStyle w:val="6"/>
              <w:spacing w:before="65" w:line="228" w:lineRule="auto"/>
              <w:ind w:left="209"/>
              <w:rPr>
                <w:sz w:val="20"/>
                <w:szCs w:val="20"/>
              </w:rPr>
            </w:pPr>
            <w:r>
              <w:rPr>
                <w:spacing w:val="3"/>
                <w:sz w:val="20"/>
                <w:szCs w:val="20"/>
              </w:rPr>
              <w:t>人群</w:t>
            </w:r>
          </w:p>
        </w:tc>
        <w:tc>
          <w:tcPr>
            <w:tcW w:w="899" w:type="dxa"/>
            <w:vAlign w:val="top"/>
          </w:tcPr>
          <w:p w14:paraId="3A4A56F8">
            <w:pPr>
              <w:pStyle w:val="6"/>
              <w:spacing w:before="66" w:line="228" w:lineRule="auto"/>
              <w:ind w:left="140"/>
              <w:rPr>
                <w:sz w:val="20"/>
                <w:szCs w:val="20"/>
              </w:rPr>
            </w:pPr>
            <w:r>
              <w:rPr>
                <w:spacing w:val="6"/>
                <w:sz w:val="20"/>
                <w:szCs w:val="20"/>
              </w:rPr>
              <w:t>居民区</w:t>
            </w:r>
          </w:p>
        </w:tc>
        <w:tc>
          <w:tcPr>
            <w:tcW w:w="796" w:type="dxa"/>
            <w:vAlign w:val="top"/>
          </w:tcPr>
          <w:p w14:paraId="149A5076">
            <w:pPr>
              <w:spacing w:before="102"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07" w:type="dxa"/>
            <w:vMerge w:val="continue"/>
            <w:tcBorders>
              <w:top w:val="nil"/>
              <w:bottom w:val="nil"/>
            </w:tcBorders>
            <w:vAlign w:val="top"/>
          </w:tcPr>
          <w:p w14:paraId="0C6471E7">
            <w:pPr>
              <w:rPr>
                <w:rFonts w:ascii="Arial"/>
                <w:sz w:val="21"/>
              </w:rPr>
            </w:pPr>
          </w:p>
        </w:tc>
        <w:tc>
          <w:tcPr>
            <w:tcW w:w="876" w:type="dxa"/>
            <w:vAlign w:val="top"/>
          </w:tcPr>
          <w:p w14:paraId="71119B98">
            <w:pPr>
              <w:pStyle w:val="6"/>
              <w:spacing w:before="65" w:line="228" w:lineRule="auto"/>
              <w:ind w:left="243"/>
              <w:rPr>
                <w:sz w:val="20"/>
                <w:szCs w:val="20"/>
              </w:rPr>
            </w:pPr>
            <w:r>
              <w:rPr>
                <w:spacing w:val="1"/>
                <w:sz w:val="20"/>
                <w:szCs w:val="20"/>
              </w:rPr>
              <w:t>东北</w:t>
            </w:r>
          </w:p>
        </w:tc>
        <w:tc>
          <w:tcPr>
            <w:tcW w:w="1150" w:type="dxa"/>
            <w:vAlign w:val="top"/>
          </w:tcPr>
          <w:p w14:paraId="3BD397B9">
            <w:pPr>
              <w:spacing w:before="10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3340</w:t>
            </w:r>
          </w:p>
        </w:tc>
      </w:tr>
      <w:tr w14:paraId="68CA3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5F790131">
            <w:pPr>
              <w:spacing w:before="10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134" w:type="dxa"/>
            <w:vAlign w:val="top"/>
          </w:tcPr>
          <w:p w14:paraId="5FD71B6E">
            <w:pPr>
              <w:pStyle w:val="6"/>
              <w:spacing w:before="64" w:line="227" w:lineRule="auto"/>
              <w:ind w:left="255"/>
              <w:rPr>
                <w:sz w:val="20"/>
                <w:szCs w:val="20"/>
              </w:rPr>
            </w:pPr>
            <w:r>
              <w:rPr>
                <w:spacing w:val="7"/>
                <w:sz w:val="20"/>
                <w:szCs w:val="20"/>
              </w:rPr>
              <w:t>河新村</w:t>
            </w:r>
          </w:p>
        </w:tc>
        <w:tc>
          <w:tcPr>
            <w:tcW w:w="865" w:type="dxa"/>
            <w:vAlign w:val="top"/>
          </w:tcPr>
          <w:p w14:paraId="0FC1A5F7">
            <w:pPr>
              <w:spacing w:before="102"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2325</w:t>
            </w:r>
          </w:p>
        </w:tc>
        <w:tc>
          <w:tcPr>
            <w:tcW w:w="836" w:type="dxa"/>
            <w:vAlign w:val="top"/>
          </w:tcPr>
          <w:p w14:paraId="61BE3461">
            <w:pPr>
              <w:spacing w:before="1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876</w:t>
            </w:r>
          </w:p>
        </w:tc>
        <w:tc>
          <w:tcPr>
            <w:tcW w:w="827" w:type="dxa"/>
            <w:vAlign w:val="top"/>
          </w:tcPr>
          <w:p w14:paraId="5D3BAD91">
            <w:pPr>
              <w:pStyle w:val="6"/>
              <w:spacing w:before="63" w:line="228" w:lineRule="auto"/>
              <w:ind w:left="209"/>
              <w:rPr>
                <w:sz w:val="20"/>
                <w:szCs w:val="20"/>
              </w:rPr>
            </w:pPr>
            <w:r>
              <w:rPr>
                <w:spacing w:val="3"/>
                <w:sz w:val="20"/>
                <w:szCs w:val="20"/>
              </w:rPr>
              <w:t>人群</w:t>
            </w:r>
          </w:p>
        </w:tc>
        <w:tc>
          <w:tcPr>
            <w:tcW w:w="899" w:type="dxa"/>
            <w:vAlign w:val="top"/>
          </w:tcPr>
          <w:p w14:paraId="2CA8E81D">
            <w:pPr>
              <w:pStyle w:val="6"/>
              <w:spacing w:before="64" w:line="228" w:lineRule="auto"/>
              <w:ind w:left="140"/>
              <w:rPr>
                <w:sz w:val="20"/>
                <w:szCs w:val="20"/>
              </w:rPr>
            </w:pPr>
            <w:r>
              <w:rPr>
                <w:spacing w:val="6"/>
                <w:sz w:val="20"/>
                <w:szCs w:val="20"/>
              </w:rPr>
              <w:t>居民区</w:t>
            </w:r>
          </w:p>
        </w:tc>
        <w:tc>
          <w:tcPr>
            <w:tcW w:w="796" w:type="dxa"/>
            <w:vAlign w:val="top"/>
          </w:tcPr>
          <w:p w14:paraId="29463F89">
            <w:pPr>
              <w:spacing w:before="102"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07" w:type="dxa"/>
            <w:vMerge w:val="continue"/>
            <w:tcBorders>
              <w:top w:val="nil"/>
              <w:bottom w:val="nil"/>
            </w:tcBorders>
            <w:vAlign w:val="top"/>
          </w:tcPr>
          <w:p w14:paraId="0ADF011E">
            <w:pPr>
              <w:rPr>
                <w:rFonts w:ascii="Arial"/>
                <w:sz w:val="21"/>
              </w:rPr>
            </w:pPr>
          </w:p>
        </w:tc>
        <w:tc>
          <w:tcPr>
            <w:tcW w:w="876" w:type="dxa"/>
            <w:vAlign w:val="top"/>
          </w:tcPr>
          <w:p w14:paraId="256EEC47">
            <w:pPr>
              <w:pStyle w:val="6"/>
              <w:spacing w:before="63" w:line="228" w:lineRule="auto"/>
              <w:ind w:left="243"/>
              <w:rPr>
                <w:sz w:val="20"/>
                <w:szCs w:val="20"/>
              </w:rPr>
            </w:pPr>
            <w:r>
              <w:rPr>
                <w:spacing w:val="1"/>
                <w:sz w:val="20"/>
                <w:szCs w:val="20"/>
              </w:rPr>
              <w:t>东北</w:t>
            </w:r>
          </w:p>
        </w:tc>
        <w:tc>
          <w:tcPr>
            <w:tcW w:w="1150" w:type="dxa"/>
            <w:vAlign w:val="top"/>
          </w:tcPr>
          <w:p w14:paraId="50470B39">
            <w:pPr>
              <w:spacing w:before="10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2140</w:t>
            </w:r>
          </w:p>
        </w:tc>
      </w:tr>
      <w:tr w14:paraId="34FAE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39528528">
            <w:pPr>
              <w:spacing w:before="10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134" w:type="dxa"/>
            <w:vAlign w:val="top"/>
          </w:tcPr>
          <w:p w14:paraId="4BFE5FED">
            <w:pPr>
              <w:pStyle w:val="6"/>
              <w:spacing w:before="64" w:line="227" w:lineRule="auto"/>
              <w:ind w:left="256"/>
              <w:rPr>
                <w:sz w:val="20"/>
                <w:szCs w:val="20"/>
              </w:rPr>
            </w:pPr>
            <w:r>
              <w:rPr>
                <w:spacing w:val="6"/>
                <w:sz w:val="20"/>
                <w:szCs w:val="20"/>
              </w:rPr>
              <w:t>新丰村</w:t>
            </w:r>
          </w:p>
        </w:tc>
        <w:tc>
          <w:tcPr>
            <w:tcW w:w="865" w:type="dxa"/>
            <w:vAlign w:val="top"/>
          </w:tcPr>
          <w:p w14:paraId="66BAD392">
            <w:pPr>
              <w:spacing w:before="10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1239</w:t>
            </w:r>
          </w:p>
        </w:tc>
        <w:tc>
          <w:tcPr>
            <w:tcW w:w="836" w:type="dxa"/>
            <w:vAlign w:val="top"/>
          </w:tcPr>
          <w:p w14:paraId="0407C061">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371</w:t>
            </w:r>
          </w:p>
        </w:tc>
        <w:tc>
          <w:tcPr>
            <w:tcW w:w="827" w:type="dxa"/>
            <w:vAlign w:val="top"/>
          </w:tcPr>
          <w:p w14:paraId="220CF21A">
            <w:pPr>
              <w:pStyle w:val="6"/>
              <w:spacing w:before="64" w:line="228" w:lineRule="auto"/>
              <w:ind w:left="209"/>
              <w:rPr>
                <w:sz w:val="20"/>
                <w:szCs w:val="20"/>
              </w:rPr>
            </w:pPr>
            <w:r>
              <w:rPr>
                <w:spacing w:val="3"/>
                <w:sz w:val="20"/>
                <w:szCs w:val="20"/>
              </w:rPr>
              <w:t>人群</w:t>
            </w:r>
          </w:p>
        </w:tc>
        <w:tc>
          <w:tcPr>
            <w:tcW w:w="899" w:type="dxa"/>
            <w:vAlign w:val="top"/>
          </w:tcPr>
          <w:p w14:paraId="6E88913C">
            <w:pPr>
              <w:pStyle w:val="6"/>
              <w:spacing w:before="65" w:line="228" w:lineRule="auto"/>
              <w:ind w:left="140"/>
              <w:rPr>
                <w:sz w:val="20"/>
                <w:szCs w:val="20"/>
              </w:rPr>
            </w:pPr>
            <w:r>
              <w:rPr>
                <w:spacing w:val="6"/>
                <w:sz w:val="20"/>
                <w:szCs w:val="20"/>
              </w:rPr>
              <w:t>居民区</w:t>
            </w:r>
          </w:p>
        </w:tc>
        <w:tc>
          <w:tcPr>
            <w:tcW w:w="796" w:type="dxa"/>
            <w:vAlign w:val="top"/>
          </w:tcPr>
          <w:p w14:paraId="4B13B6EF">
            <w:pPr>
              <w:spacing w:before="102"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07" w:type="dxa"/>
            <w:vMerge w:val="continue"/>
            <w:tcBorders>
              <w:top w:val="nil"/>
              <w:bottom w:val="nil"/>
            </w:tcBorders>
            <w:vAlign w:val="top"/>
          </w:tcPr>
          <w:p w14:paraId="0E649EA7">
            <w:pPr>
              <w:rPr>
                <w:rFonts w:ascii="Arial"/>
                <w:sz w:val="21"/>
              </w:rPr>
            </w:pPr>
          </w:p>
        </w:tc>
        <w:tc>
          <w:tcPr>
            <w:tcW w:w="876" w:type="dxa"/>
            <w:vAlign w:val="top"/>
          </w:tcPr>
          <w:p w14:paraId="1C2B064D">
            <w:pPr>
              <w:pStyle w:val="6"/>
              <w:spacing w:before="64" w:line="228" w:lineRule="auto"/>
              <w:ind w:left="243"/>
              <w:rPr>
                <w:sz w:val="20"/>
                <w:szCs w:val="20"/>
              </w:rPr>
            </w:pPr>
            <w:r>
              <w:rPr>
                <w:spacing w:val="1"/>
                <w:sz w:val="20"/>
                <w:szCs w:val="20"/>
              </w:rPr>
              <w:t>东北</w:t>
            </w:r>
          </w:p>
        </w:tc>
        <w:tc>
          <w:tcPr>
            <w:tcW w:w="1150" w:type="dxa"/>
            <w:vAlign w:val="top"/>
          </w:tcPr>
          <w:p w14:paraId="64906D22">
            <w:pPr>
              <w:spacing w:before="102"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930</w:t>
            </w:r>
          </w:p>
        </w:tc>
      </w:tr>
      <w:tr w14:paraId="7A51F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1BBC6C61">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134" w:type="dxa"/>
            <w:vAlign w:val="top"/>
          </w:tcPr>
          <w:p w14:paraId="31EF34A1">
            <w:pPr>
              <w:pStyle w:val="6"/>
              <w:spacing w:before="64" w:line="227" w:lineRule="auto"/>
              <w:ind w:left="152"/>
              <w:rPr>
                <w:sz w:val="20"/>
                <w:szCs w:val="20"/>
              </w:rPr>
            </w:pPr>
            <w:r>
              <w:rPr>
                <w:spacing w:val="6"/>
                <w:sz w:val="20"/>
                <w:szCs w:val="20"/>
              </w:rPr>
              <w:t>洪宽塘村</w:t>
            </w:r>
          </w:p>
        </w:tc>
        <w:tc>
          <w:tcPr>
            <w:tcW w:w="865" w:type="dxa"/>
            <w:vAlign w:val="top"/>
          </w:tcPr>
          <w:p w14:paraId="5DC6DE77">
            <w:pPr>
              <w:spacing w:before="10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955</w:t>
            </w:r>
          </w:p>
        </w:tc>
        <w:tc>
          <w:tcPr>
            <w:tcW w:w="836" w:type="dxa"/>
            <w:vAlign w:val="top"/>
          </w:tcPr>
          <w:p w14:paraId="4293DE9E">
            <w:pPr>
              <w:spacing w:before="10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827" w:type="dxa"/>
            <w:vAlign w:val="top"/>
          </w:tcPr>
          <w:p w14:paraId="7DB00A06">
            <w:pPr>
              <w:pStyle w:val="6"/>
              <w:spacing w:before="64" w:line="228" w:lineRule="auto"/>
              <w:ind w:left="209"/>
              <w:rPr>
                <w:sz w:val="20"/>
                <w:szCs w:val="20"/>
              </w:rPr>
            </w:pPr>
            <w:r>
              <w:rPr>
                <w:spacing w:val="3"/>
                <w:sz w:val="20"/>
                <w:szCs w:val="20"/>
              </w:rPr>
              <w:t>人群</w:t>
            </w:r>
          </w:p>
        </w:tc>
        <w:tc>
          <w:tcPr>
            <w:tcW w:w="899" w:type="dxa"/>
            <w:vAlign w:val="top"/>
          </w:tcPr>
          <w:p w14:paraId="3B3C0C9A">
            <w:pPr>
              <w:pStyle w:val="6"/>
              <w:spacing w:before="65" w:line="228" w:lineRule="auto"/>
              <w:ind w:left="140"/>
              <w:rPr>
                <w:sz w:val="20"/>
                <w:szCs w:val="20"/>
              </w:rPr>
            </w:pPr>
            <w:r>
              <w:rPr>
                <w:spacing w:val="6"/>
                <w:sz w:val="20"/>
                <w:szCs w:val="20"/>
              </w:rPr>
              <w:t>居民区</w:t>
            </w:r>
          </w:p>
        </w:tc>
        <w:tc>
          <w:tcPr>
            <w:tcW w:w="796" w:type="dxa"/>
            <w:vAlign w:val="top"/>
          </w:tcPr>
          <w:p w14:paraId="5F97E226">
            <w:pPr>
              <w:spacing w:before="10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7" w:type="dxa"/>
            <w:vMerge w:val="continue"/>
            <w:tcBorders>
              <w:top w:val="nil"/>
              <w:bottom w:val="nil"/>
            </w:tcBorders>
            <w:vAlign w:val="top"/>
          </w:tcPr>
          <w:p w14:paraId="51BD7351">
            <w:pPr>
              <w:rPr>
                <w:rFonts w:ascii="Arial"/>
                <w:sz w:val="21"/>
              </w:rPr>
            </w:pPr>
          </w:p>
        </w:tc>
        <w:tc>
          <w:tcPr>
            <w:tcW w:w="876" w:type="dxa"/>
            <w:vAlign w:val="top"/>
          </w:tcPr>
          <w:p w14:paraId="66EF24E9">
            <w:pPr>
              <w:pStyle w:val="6"/>
              <w:spacing w:before="64" w:line="228" w:lineRule="auto"/>
              <w:ind w:left="243"/>
              <w:rPr>
                <w:sz w:val="20"/>
                <w:szCs w:val="20"/>
              </w:rPr>
            </w:pPr>
            <w:r>
              <w:rPr>
                <w:spacing w:val="1"/>
                <w:sz w:val="20"/>
                <w:szCs w:val="20"/>
              </w:rPr>
              <w:t>东北</w:t>
            </w:r>
          </w:p>
        </w:tc>
        <w:tc>
          <w:tcPr>
            <w:tcW w:w="1150" w:type="dxa"/>
            <w:vAlign w:val="top"/>
          </w:tcPr>
          <w:p w14:paraId="0C9646CC">
            <w:pPr>
              <w:spacing w:before="10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770</w:t>
            </w:r>
          </w:p>
        </w:tc>
      </w:tr>
      <w:tr w14:paraId="60C4F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7" w:type="dxa"/>
            <w:vAlign w:val="top"/>
          </w:tcPr>
          <w:p w14:paraId="783DE47C">
            <w:pPr>
              <w:spacing w:before="10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134" w:type="dxa"/>
            <w:vAlign w:val="top"/>
          </w:tcPr>
          <w:p w14:paraId="76C94A2E">
            <w:pPr>
              <w:pStyle w:val="6"/>
              <w:spacing w:before="65" w:line="227" w:lineRule="auto"/>
              <w:ind w:left="256"/>
              <w:rPr>
                <w:sz w:val="20"/>
                <w:szCs w:val="20"/>
              </w:rPr>
            </w:pPr>
            <w:r>
              <w:rPr>
                <w:spacing w:val="6"/>
                <w:sz w:val="20"/>
                <w:szCs w:val="20"/>
              </w:rPr>
              <w:t>新埔村</w:t>
            </w:r>
          </w:p>
        </w:tc>
        <w:tc>
          <w:tcPr>
            <w:tcW w:w="865" w:type="dxa"/>
            <w:vAlign w:val="top"/>
          </w:tcPr>
          <w:p w14:paraId="6DD893F5">
            <w:pPr>
              <w:spacing w:before="10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4288</w:t>
            </w:r>
          </w:p>
        </w:tc>
        <w:tc>
          <w:tcPr>
            <w:tcW w:w="836" w:type="dxa"/>
            <w:vAlign w:val="top"/>
          </w:tcPr>
          <w:p w14:paraId="78F0E93F">
            <w:pPr>
              <w:spacing w:before="10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-3505</w:t>
            </w:r>
          </w:p>
        </w:tc>
        <w:tc>
          <w:tcPr>
            <w:tcW w:w="827" w:type="dxa"/>
            <w:vAlign w:val="top"/>
          </w:tcPr>
          <w:p w14:paraId="1BAF9A5D">
            <w:pPr>
              <w:pStyle w:val="6"/>
              <w:spacing w:before="65" w:line="228" w:lineRule="auto"/>
              <w:ind w:left="209"/>
              <w:rPr>
                <w:sz w:val="20"/>
                <w:szCs w:val="20"/>
              </w:rPr>
            </w:pPr>
            <w:r>
              <w:rPr>
                <w:spacing w:val="3"/>
                <w:sz w:val="20"/>
                <w:szCs w:val="20"/>
              </w:rPr>
              <w:t>人群</w:t>
            </w:r>
          </w:p>
        </w:tc>
        <w:tc>
          <w:tcPr>
            <w:tcW w:w="899" w:type="dxa"/>
            <w:vAlign w:val="top"/>
          </w:tcPr>
          <w:p w14:paraId="359553F4">
            <w:pPr>
              <w:pStyle w:val="6"/>
              <w:spacing w:before="65" w:line="228" w:lineRule="auto"/>
              <w:ind w:left="140"/>
              <w:rPr>
                <w:sz w:val="20"/>
                <w:szCs w:val="20"/>
              </w:rPr>
            </w:pPr>
            <w:r>
              <w:rPr>
                <w:spacing w:val="6"/>
                <w:sz w:val="20"/>
                <w:szCs w:val="20"/>
              </w:rPr>
              <w:t>居民区</w:t>
            </w:r>
          </w:p>
        </w:tc>
        <w:tc>
          <w:tcPr>
            <w:tcW w:w="796" w:type="dxa"/>
            <w:vAlign w:val="top"/>
          </w:tcPr>
          <w:p w14:paraId="240A2CC0">
            <w:pPr>
              <w:spacing w:before="101"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107" w:type="dxa"/>
            <w:vMerge w:val="continue"/>
            <w:tcBorders>
              <w:top w:val="nil"/>
            </w:tcBorders>
            <w:vAlign w:val="top"/>
          </w:tcPr>
          <w:p w14:paraId="77AAAF1A">
            <w:pPr>
              <w:rPr>
                <w:rFonts w:ascii="Arial"/>
                <w:sz w:val="21"/>
              </w:rPr>
            </w:pPr>
          </w:p>
        </w:tc>
        <w:tc>
          <w:tcPr>
            <w:tcW w:w="876" w:type="dxa"/>
            <w:vAlign w:val="top"/>
          </w:tcPr>
          <w:p w14:paraId="42EF3184">
            <w:pPr>
              <w:pStyle w:val="6"/>
              <w:spacing w:before="65" w:line="228" w:lineRule="auto"/>
              <w:ind w:left="243"/>
              <w:rPr>
                <w:sz w:val="20"/>
                <w:szCs w:val="20"/>
              </w:rPr>
            </w:pPr>
            <w:r>
              <w:rPr>
                <w:spacing w:val="1"/>
                <w:sz w:val="20"/>
                <w:szCs w:val="20"/>
              </w:rPr>
              <w:t>东南</w:t>
            </w:r>
          </w:p>
        </w:tc>
        <w:tc>
          <w:tcPr>
            <w:tcW w:w="1150" w:type="dxa"/>
            <w:vAlign w:val="top"/>
          </w:tcPr>
          <w:p w14:paraId="7EEB064C">
            <w:pPr>
              <w:spacing w:before="10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4920</w:t>
            </w:r>
          </w:p>
        </w:tc>
      </w:tr>
      <w:tr w14:paraId="7719C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37" w:type="dxa"/>
            <w:vAlign w:val="top"/>
          </w:tcPr>
          <w:p w14:paraId="0C45BCC6">
            <w:pPr>
              <w:spacing w:before="2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134" w:type="dxa"/>
            <w:vAlign w:val="top"/>
          </w:tcPr>
          <w:p w14:paraId="6E1809AA">
            <w:pPr>
              <w:pStyle w:val="6"/>
              <w:spacing w:before="166" w:line="228" w:lineRule="auto"/>
              <w:ind w:left="156"/>
              <w:rPr>
                <w:sz w:val="20"/>
                <w:szCs w:val="20"/>
              </w:rPr>
            </w:pPr>
            <w:r>
              <w:rPr>
                <w:spacing w:val="5"/>
                <w:sz w:val="20"/>
                <w:szCs w:val="20"/>
              </w:rPr>
              <w:t>公平灌渠</w:t>
            </w:r>
          </w:p>
        </w:tc>
        <w:tc>
          <w:tcPr>
            <w:tcW w:w="865" w:type="dxa"/>
            <w:vAlign w:val="top"/>
          </w:tcPr>
          <w:p w14:paraId="5376D4F0">
            <w:pPr>
              <w:spacing w:before="201" w:line="199"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6" w:type="dxa"/>
            <w:vAlign w:val="top"/>
          </w:tcPr>
          <w:p w14:paraId="1CB5C9A5">
            <w:pPr>
              <w:spacing w:before="201" w:line="199"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7" w:type="dxa"/>
            <w:vAlign w:val="top"/>
          </w:tcPr>
          <w:p w14:paraId="2CB6EB69">
            <w:pPr>
              <w:pStyle w:val="6"/>
              <w:spacing w:before="33" w:line="233" w:lineRule="auto"/>
              <w:ind w:left="315" w:right="205" w:hanging="108"/>
              <w:rPr>
                <w:sz w:val="20"/>
                <w:szCs w:val="20"/>
              </w:rPr>
            </w:pPr>
            <w:r>
              <w:rPr>
                <w:spacing w:val="4"/>
                <w:sz w:val="20"/>
                <w:szCs w:val="20"/>
              </w:rPr>
              <w:t>地表</w:t>
            </w:r>
            <w:r>
              <w:rPr>
                <w:sz w:val="20"/>
                <w:szCs w:val="20"/>
              </w:rPr>
              <w:t xml:space="preserve"> 水</w:t>
            </w:r>
          </w:p>
        </w:tc>
        <w:tc>
          <w:tcPr>
            <w:tcW w:w="899" w:type="dxa"/>
            <w:vAlign w:val="top"/>
          </w:tcPr>
          <w:p w14:paraId="56CEF44A">
            <w:pPr>
              <w:spacing w:before="201" w:line="199"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6" w:type="dxa"/>
            <w:vAlign w:val="top"/>
          </w:tcPr>
          <w:p w14:paraId="5FC18306">
            <w:pPr>
              <w:spacing w:before="201" w:line="199"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7" w:type="dxa"/>
            <w:vMerge w:val="restart"/>
            <w:tcBorders>
              <w:bottom w:val="nil"/>
            </w:tcBorders>
            <w:vAlign w:val="top"/>
          </w:tcPr>
          <w:p w14:paraId="4665CA3F">
            <w:pPr>
              <w:spacing w:line="250" w:lineRule="auto"/>
              <w:rPr>
                <w:rFonts w:ascii="Arial"/>
                <w:sz w:val="21"/>
              </w:rPr>
            </w:pPr>
          </w:p>
          <w:p w14:paraId="45CC1083">
            <w:pPr>
              <w:pStyle w:val="6"/>
              <w:spacing w:before="65" w:line="228" w:lineRule="auto"/>
              <w:ind w:left="145"/>
              <w:rPr>
                <w:sz w:val="20"/>
                <w:szCs w:val="20"/>
              </w:rPr>
            </w:pPr>
            <w:r>
              <w:rPr>
                <w:spacing w:val="6"/>
                <w:sz w:val="20"/>
                <w:szCs w:val="20"/>
              </w:rPr>
              <w:t>《地表水</w:t>
            </w:r>
          </w:p>
          <w:p w14:paraId="53F28D61">
            <w:pPr>
              <w:pStyle w:val="6"/>
              <w:spacing w:before="27" w:line="251" w:lineRule="auto"/>
              <w:ind w:left="244" w:right="131" w:hanging="104"/>
              <w:rPr>
                <w:sz w:val="20"/>
                <w:szCs w:val="20"/>
              </w:rPr>
            </w:pPr>
            <w:r>
              <w:rPr>
                <w:spacing w:val="7"/>
                <w:sz w:val="20"/>
                <w:szCs w:val="20"/>
              </w:rPr>
              <w:t>环境质量</w:t>
            </w:r>
            <w:r>
              <w:rPr>
                <w:sz w:val="20"/>
                <w:szCs w:val="20"/>
              </w:rPr>
              <w:t xml:space="preserve"> </w:t>
            </w:r>
            <w:r>
              <w:rPr>
                <w:spacing w:val="2"/>
                <w:sz w:val="20"/>
                <w:szCs w:val="20"/>
              </w:rPr>
              <w:t>标准》</w:t>
            </w:r>
          </w:p>
          <w:p w14:paraId="20FE1622">
            <w:pPr>
              <w:pStyle w:val="6"/>
              <w:ind w:left="160"/>
              <w:rPr>
                <w:rFonts w:ascii="Times New Roman" w:hAnsi="Times New Roman" w:eastAsia="Times New Roman" w:cs="Times New Roman"/>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383</w:t>
            </w:r>
          </w:p>
          <w:p w14:paraId="38A08234">
            <w:pPr>
              <w:pStyle w:val="6"/>
              <w:spacing w:before="10" w:line="252" w:lineRule="auto"/>
              <w:ind w:left="140" w:right="136" w:firstLine="21"/>
              <w:rPr>
                <w:sz w:val="20"/>
                <w:szCs w:val="20"/>
              </w:rPr>
            </w:pPr>
            <w:r>
              <w:rPr>
                <w:rFonts w:ascii="Times New Roman" w:hAnsi="Times New Roman" w:eastAsia="Times New Roman" w:cs="Times New Roman"/>
                <w:spacing w:val="2"/>
                <w:sz w:val="20"/>
                <w:szCs w:val="20"/>
              </w:rPr>
              <w:t>8-2002</w:t>
            </w:r>
            <w:r>
              <w:rPr>
                <w:spacing w:val="2"/>
                <w:sz w:val="20"/>
                <w:szCs w:val="20"/>
              </w:rPr>
              <w:t>）</w:t>
            </w:r>
            <w:r>
              <w:rPr>
                <w:sz w:val="20"/>
                <w:szCs w:val="20"/>
              </w:rPr>
              <w:t xml:space="preserve"> </w:t>
            </w:r>
            <w:r>
              <w:rPr>
                <w:rFonts w:ascii="Times New Roman" w:hAnsi="Times New Roman" w:eastAsia="Times New Roman" w:cs="Times New Roman"/>
                <w:spacing w:val="8"/>
                <w:sz w:val="20"/>
                <w:szCs w:val="20"/>
              </w:rPr>
              <w:t>Ⅲ</w:t>
            </w:r>
            <w:r>
              <w:rPr>
                <w:spacing w:val="8"/>
                <w:sz w:val="20"/>
                <w:szCs w:val="20"/>
              </w:rPr>
              <w:t>类标准</w:t>
            </w:r>
          </w:p>
        </w:tc>
        <w:tc>
          <w:tcPr>
            <w:tcW w:w="876" w:type="dxa"/>
            <w:vAlign w:val="top"/>
          </w:tcPr>
          <w:p w14:paraId="508F4788">
            <w:pPr>
              <w:pStyle w:val="6"/>
              <w:spacing w:before="166" w:line="231" w:lineRule="auto"/>
              <w:ind w:left="344"/>
              <w:rPr>
                <w:sz w:val="20"/>
                <w:szCs w:val="20"/>
              </w:rPr>
            </w:pPr>
            <w:r>
              <w:rPr>
                <w:sz w:val="20"/>
                <w:szCs w:val="20"/>
              </w:rPr>
              <w:t>西</w:t>
            </w:r>
          </w:p>
        </w:tc>
        <w:tc>
          <w:tcPr>
            <w:tcW w:w="1150" w:type="dxa"/>
            <w:vAlign w:val="top"/>
          </w:tcPr>
          <w:p w14:paraId="5BD70698">
            <w:pPr>
              <w:spacing w:before="201" w:line="199"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86A8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7" w:type="dxa"/>
            <w:vAlign w:val="top"/>
          </w:tcPr>
          <w:p w14:paraId="4FB2F870">
            <w:pPr>
              <w:spacing w:before="20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134" w:type="dxa"/>
            <w:vAlign w:val="top"/>
          </w:tcPr>
          <w:p w14:paraId="7B92DDEA">
            <w:pPr>
              <w:pStyle w:val="6"/>
              <w:spacing w:before="170" w:line="228" w:lineRule="auto"/>
              <w:ind w:left="255"/>
              <w:rPr>
                <w:sz w:val="20"/>
                <w:szCs w:val="20"/>
              </w:rPr>
            </w:pPr>
            <w:r>
              <w:rPr>
                <w:spacing w:val="6"/>
                <w:sz w:val="20"/>
                <w:szCs w:val="20"/>
              </w:rPr>
              <w:t>溪头溪</w:t>
            </w:r>
          </w:p>
        </w:tc>
        <w:tc>
          <w:tcPr>
            <w:tcW w:w="865" w:type="dxa"/>
            <w:vAlign w:val="top"/>
          </w:tcPr>
          <w:p w14:paraId="4A53CA35">
            <w:pPr>
              <w:spacing w:before="202" w:line="199"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6" w:type="dxa"/>
            <w:vAlign w:val="top"/>
          </w:tcPr>
          <w:p w14:paraId="3233B9EB">
            <w:pPr>
              <w:spacing w:before="202" w:line="199"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7" w:type="dxa"/>
            <w:vAlign w:val="top"/>
          </w:tcPr>
          <w:p w14:paraId="08458A37">
            <w:pPr>
              <w:pStyle w:val="6"/>
              <w:spacing w:before="34" w:line="233" w:lineRule="auto"/>
              <w:ind w:left="315" w:right="205" w:hanging="108"/>
              <w:rPr>
                <w:sz w:val="20"/>
                <w:szCs w:val="20"/>
              </w:rPr>
            </w:pPr>
            <w:r>
              <w:rPr>
                <w:spacing w:val="4"/>
                <w:sz w:val="20"/>
                <w:szCs w:val="20"/>
              </w:rPr>
              <w:t>地表</w:t>
            </w:r>
            <w:r>
              <w:rPr>
                <w:sz w:val="20"/>
                <w:szCs w:val="20"/>
              </w:rPr>
              <w:t xml:space="preserve"> 水</w:t>
            </w:r>
          </w:p>
        </w:tc>
        <w:tc>
          <w:tcPr>
            <w:tcW w:w="899" w:type="dxa"/>
            <w:vAlign w:val="top"/>
          </w:tcPr>
          <w:p w14:paraId="0D88097E">
            <w:pPr>
              <w:spacing w:before="202" w:line="199"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6" w:type="dxa"/>
            <w:vAlign w:val="top"/>
          </w:tcPr>
          <w:p w14:paraId="0F29B7C2">
            <w:pPr>
              <w:spacing w:before="202" w:line="199"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7" w:type="dxa"/>
            <w:vMerge w:val="continue"/>
            <w:tcBorders>
              <w:top w:val="nil"/>
              <w:bottom w:val="nil"/>
            </w:tcBorders>
            <w:vAlign w:val="top"/>
          </w:tcPr>
          <w:p w14:paraId="6FEBB400">
            <w:pPr>
              <w:rPr>
                <w:rFonts w:ascii="Arial"/>
                <w:sz w:val="21"/>
              </w:rPr>
            </w:pPr>
          </w:p>
        </w:tc>
        <w:tc>
          <w:tcPr>
            <w:tcW w:w="876" w:type="dxa"/>
            <w:vAlign w:val="top"/>
          </w:tcPr>
          <w:p w14:paraId="1CBCE9A9">
            <w:pPr>
              <w:pStyle w:val="6"/>
              <w:spacing w:before="170" w:line="230" w:lineRule="auto"/>
              <w:ind w:left="341"/>
              <w:rPr>
                <w:sz w:val="20"/>
                <w:szCs w:val="20"/>
              </w:rPr>
            </w:pPr>
            <w:r>
              <w:rPr>
                <w:sz w:val="20"/>
                <w:szCs w:val="20"/>
              </w:rPr>
              <w:t>南</w:t>
            </w:r>
          </w:p>
        </w:tc>
        <w:tc>
          <w:tcPr>
            <w:tcW w:w="1150" w:type="dxa"/>
            <w:vAlign w:val="top"/>
          </w:tcPr>
          <w:p w14:paraId="0638D9A2">
            <w:pPr>
              <w:spacing w:before="202" w:line="199"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942B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7" w:type="dxa"/>
            <w:vAlign w:val="top"/>
          </w:tcPr>
          <w:p w14:paraId="110284DF">
            <w:pPr>
              <w:spacing w:before="20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134" w:type="dxa"/>
            <w:vAlign w:val="top"/>
          </w:tcPr>
          <w:p w14:paraId="1A5EE43E">
            <w:pPr>
              <w:pStyle w:val="6"/>
              <w:spacing w:before="170" w:line="230" w:lineRule="auto"/>
              <w:ind w:left="255"/>
              <w:rPr>
                <w:sz w:val="20"/>
                <w:szCs w:val="20"/>
              </w:rPr>
            </w:pPr>
            <w:r>
              <w:rPr>
                <w:spacing w:val="7"/>
                <w:sz w:val="20"/>
                <w:szCs w:val="20"/>
              </w:rPr>
              <w:t>湖埔溪</w:t>
            </w:r>
          </w:p>
        </w:tc>
        <w:tc>
          <w:tcPr>
            <w:tcW w:w="865" w:type="dxa"/>
            <w:vAlign w:val="top"/>
          </w:tcPr>
          <w:p w14:paraId="25D462E4">
            <w:pPr>
              <w:spacing w:before="202" w:line="199"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6" w:type="dxa"/>
            <w:vAlign w:val="top"/>
          </w:tcPr>
          <w:p w14:paraId="03500737">
            <w:pPr>
              <w:spacing w:before="202" w:line="199"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7" w:type="dxa"/>
            <w:vAlign w:val="top"/>
          </w:tcPr>
          <w:p w14:paraId="77AE97D7">
            <w:pPr>
              <w:pStyle w:val="6"/>
              <w:spacing w:before="36" w:line="232" w:lineRule="auto"/>
              <w:ind w:left="315" w:right="205" w:hanging="108"/>
              <w:rPr>
                <w:sz w:val="20"/>
                <w:szCs w:val="20"/>
              </w:rPr>
            </w:pPr>
            <w:r>
              <w:rPr>
                <w:spacing w:val="4"/>
                <w:sz w:val="20"/>
                <w:szCs w:val="20"/>
              </w:rPr>
              <w:t>地表</w:t>
            </w:r>
            <w:r>
              <w:rPr>
                <w:sz w:val="20"/>
                <w:szCs w:val="20"/>
              </w:rPr>
              <w:t xml:space="preserve"> 水</w:t>
            </w:r>
          </w:p>
        </w:tc>
        <w:tc>
          <w:tcPr>
            <w:tcW w:w="899" w:type="dxa"/>
            <w:vAlign w:val="top"/>
          </w:tcPr>
          <w:p w14:paraId="0DB29097">
            <w:pPr>
              <w:spacing w:before="202" w:line="199"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6" w:type="dxa"/>
            <w:vAlign w:val="top"/>
          </w:tcPr>
          <w:p w14:paraId="38BB30F1">
            <w:pPr>
              <w:spacing w:before="202" w:line="199"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7" w:type="dxa"/>
            <w:vMerge w:val="continue"/>
            <w:tcBorders>
              <w:top w:val="nil"/>
              <w:bottom w:val="nil"/>
            </w:tcBorders>
            <w:vAlign w:val="top"/>
          </w:tcPr>
          <w:p w14:paraId="4D3B6033">
            <w:pPr>
              <w:rPr>
                <w:rFonts w:ascii="Arial"/>
                <w:sz w:val="21"/>
              </w:rPr>
            </w:pPr>
          </w:p>
        </w:tc>
        <w:tc>
          <w:tcPr>
            <w:tcW w:w="876" w:type="dxa"/>
            <w:vAlign w:val="top"/>
          </w:tcPr>
          <w:p w14:paraId="199ED379">
            <w:pPr>
              <w:pStyle w:val="6"/>
              <w:spacing w:before="170" w:line="228" w:lineRule="auto"/>
              <w:ind w:left="346"/>
              <w:rPr>
                <w:sz w:val="20"/>
                <w:szCs w:val="20"/>
              </w:rPr>
            </w:pPr>
            <w:r>
              <w:rPr>
                <w:sz w:val="20"/>
                <w:szCs w:val="20"/>
              </w:rPr>
              <w:t>东</w:t>
            </w:r>
          </w:p>
        </w:tc>
        <w:tc>
          <w:tcPr>
            <w:tcW w:w="1150" w:type="dxa"/>
            <w:vAlign w:val="top"/>
          </w:tcPr>
          <w:p w14:paraId="522C2F7F">
            <w:pPr>
              <w:spacing w:before="202" w:line="199"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672F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37" w:type="dxa"/>
            <w:vAlign w:val="top"/>
          </w:tcPr>
          <w:p w14:paraId="0D0047FD">
            <w:pPr>
              <w:spacing w:before="20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134" w:type="dxa"/>
            <w:vAlign w:val="top"/>
          </w:tcPr>
          <w:p w14:paraId="03E77E25">
            <w:pPr>
              <w:pStyle w:val="6"/>
              <w:spacing w:before="170" w:line="228" w:lineRule="auto"/>
              <w:ind w:left="152"/>
              <w:rPr>
                <w:sz w:val="20"/>
                <w:szCs w:val="20"/>
              </w:rPr>
            </w:pPr>
            <w:r>
              <w:rPr>
                <w:spacing w:val="6"/>
                <w:sz w:val="20"/>
                <w:szCs w:val="20"/>
              </w:rPr>
              <w:t>可北水库</w:t>
            </w:r>
          </w:p>
        </w:tc>
        <w:tc>
          <w:tcPr>
            <w:tcW w:w="865" w:type="dxa"/>
            <w:vAlign w:val="top"/>
          </w:tcPr>
          <w:p w14:paraId="74047B42">
            <w:pPr>
              <w:spacing w:before="203" w:line="199"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6" w:type="dxa"/>
            <w:vAlign w:val="top"/>
          </w:tcPr>
          <w:p w14:paraId="60C42A18">
            <w:pPr>
              <w:spacing w:before="203" w:line="199"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7" w:type="dxa"/>
            <w:vAlign w:val="top"/>
          </w:tcPr>
          <w:p w14:paraId="47767548">
            <w:pPr>
              <w:pStyle w:val="6"/>
              <w:spacing w:before="33" w:line="235" w:lineRule="auto"/>
              <w:ind w:left="315" w:right="205" w:hanging="108"/>
              <w:rPr>
                <w:sz w:val="20"/>
                <w:szCs w:val="20"/>
              </w:rPr>
            </w:pPr>
            <w:r>
              <w:rPr>
                <w:spacing w:val="4"/>
                <w:sz w:val="20"/>
                <w:szCs w:val="20"/>
              </w:rPr>
              <w:t>地表</w:t>
            </w:r>
            <w:r>
              <w:rPr>
                <w:sz w:val="20"/>
                <w:szCs w:val="20"/>
              </w:rPr>
              <w:t xml:space="preserve"> 水</w:t>
            </w:r>
          </w:p>
        </w:tc>
        <w:tc>
          <w:tcPr>
            <w:tcW w:w="899" w:type="dxa"/>
            <w:vAlign w:val="top"/>
          </w:tcPr>
          <w:p w14:paraId="03B7F4AB">
            <w:pPr>
              <w:spacing w:before="203" w:line="199"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6" w:type="dxa"/>
            <w:vAlign w:val="top"/>
          </w:tcPr>
          <w:p w14:paraId="1C0FB3E6">
            <w:pPr>
              <w:spacing w:before="203" w:line="199"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7" w:type="dxa"/>
            <w:vMerge w:val="continue"/>
            <w:tcBorders>
              <w:top w:val="nil"/>
            </w:tcBorders>
            <w:vAlign w:val="top"/>
          </w:tcPr>
          <w:p w14:paraId="66E2AB3B">
            <w:pPr>
              <w:rPr>
                <w:rFonts w:ascii="Arial"/>
                <w:sz w:val="21"/>
              </w:rPr>
            </w:pPr>
          </w:p>
        </w:tc>
        <w:tc>
          <w:tcPr>
            <w:tcW w:w="876" w:type="dxa"/>
            <w:vAlign w:val="top"/>
          </w:tcPr>
          <w:p w14:paraId="5A67F1D8">
            <w:pPr>
              <w:pStyle w:val="6"/>
              <w:spacing w:before="170" w:line="228" w:lineRule="auto"/>
              <w:ind w:left="243"/>
              <w:rPr>
                <w:sz w:val="20"/>
                <w:szCs w:val="20"/>
              </w:rPr>
            </w:pPr>
            <w:r>
              <w:rPr>
                <w:spacing w:val="1"/>
                <w:sz w:val="20"/>
                <w:szCs w:val="20"/>
              </w:rPr>
              <w:t>东北</w:t>
            </w:r>
          </w:p>
        </w:tc>
        <w:tc>
          <w:tcPr>
            <w:tcW w:w="1150" w:type="dxa"/>
            <w:vAlign w:val="top"/>
          </w:tcPr>
          <w:p w14:paraId="13B8F04C">
            <w:pPr>
              <w:spacing w:before="203" w:line="199"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3879D159">
      <w:pPr>
        <w:rPr>
          <w:rFonts w:ascii="Arial"/>
          <w:sz w:val="21"/>
        </w:rPr>
      </w:pPr>
    </w:p>
    <w:p w14:paraId="283DC15C">
      <w:pPr>
        <w:rPr>
          <w:rFonts w:ascii="Arial" w:hAnsi="Arial" w:eastAsia="Arial" w:cs="Arial"/>
          <w:sz w:val="21"/>
          <w:szCs w:val="21"/>
        </w:rPr>
        <w:sectPr>
          <w:footerReference r:id="rId118" w:type="default"/>
          <w:pgSz w:w="11906" w:h="16839"/>
          <w:pgMar w:top="400" w:right="1455" w:bottom="1127" w:left="1418" w:header="0" w:footer="965" w:gutter="0"/>
          <w:cols w:space="720" w:num="1"/>
        </w:sectPr>
      </w:pPr>
    </w:p>
    <w:p w14:paraId="7F162DAC">
      <w:pPr>
        <w:spacing w:line="281" w:lineRule="auto"/>
        <w:rPr>
          <w:rFonts w:ascii="Arial"/>
          <w:sz w:val="21"/>
        </w:rPr>
      </w:pPr>
    </w:p>
    <w:p w14:paraId="16DAAF6F">
      <w:pPr>
        <w:spacing w:line="281" w:lineRule="auto"/>
        <w:rPr>
          <w:rFonts w:ascii="Arial"/>
          <w:sz w:val="21"/>
        </w:rPr>
      </w:pPr>
    </w:p>
    <w:p w14:paraId="34E31E43">
      <w:pPr>
        <w:spacing w:line="281" w:lineRule="auto"/>
        <w:rPr>
          <w:rFonts w:ascii="Arial"/>
          <w:sz w:val="21"/>
        </w:rPr>
      </w:pPr>
    </w:p>
    <w:p w14:paraId="5333207B">
      <w:pPr>
        <w:spacing w:line="281" w:lineRule="auto"/>
        <w:rPr>
          <w:rFonts w:ascii="Arial"/>
          <w:sz w:val="21"/>
        </w:rPr>
      </w:pPr>
    </w:p>
    <w:p w14:paraId="78B6462C">
      <w:pPr>
        <w:spacing w:line="8297" w:lineRule="exact"/>
      </w:pPr>
      <w:r>
        <w:rPr>
          <w:position w:val="-165"/>
        </w:rPr>
        <w:drawing>
          <wp:inline distT="0" distB="0" distL="0" distR="0">
            <wp:extent cx="7534275" cy="52679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06"/>
                    <a:stretch>
                      <a:fillRect/>
                    </a:stretch>
                  </pic:blipFill>
                  <pic:spPr>
                    <a:xfrm>
                      <a:off x="0" y="0"/>
                      <a:ext cx="7534656" cy="5268467"/>
                    </a:xfrm>
                    <a:prstGeom prst="rect">
                      <a:avLst/>
                    </a:prstGeom>
                  </pic:spPr>
                </pic:pic>
              </a:graphicData>
            </a:graphic>
          </wp:inline>
        </w:drawing>
      </w:r>
    </w:p>
    <w:p w14:paraId="57D3BB40">
      <w:pPr>
        <w:spacing w:before="34" w:line="218" w:lineRule="auto"/>
        <w:ind w:left="3464"/>
        <w:rPr>
          <w:rFonts w:ascii="宋体" w:hAnsi="宋体" w:eastAsia="宋体" w:cs="宋体"/>
          <w:sz w:val="24"/>
          <w:szCs w:val="24"/>
        </w:rPr>
      </w:pPr>
      <w:r>
        <w:rPr>
          <w:rFonts w:ascii="宋体" w:hAnsi="宋体" w:eastAsia="宋体" w:cs="宋体"/>
          <w:b/>
          <w:bCs/>
          <w:spacing w:val="-6"/>
          <w:sz w:val="24"/>
          <w:szCs w:val="24"/>
        </w:rPr>
        <w:t>图</w:t>
      </w:r>
      <w:r>
        <w:rPr>
          <w:rFonts w:ascii="宋体" w:hAnsi="宋体" w:eastAsia="宋体" w:cs="宋体"/>
          <w:spacing w:val="-32"/>
          <w:sz w:val="24"/>
          <w:szCs w:val="24"/>
        </w:rPr>
        <w:t xml:space="preserve"> </w:t>
      </w: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0"/>
          <w:sz w:val="24"/>
          <w:szCs w:val="24"/>
        </w:rPr>
        <w:t xml:space="preserve"> </w:t>
      </w:r>
      <w:r>
        <w:rPr>
          <w:rFonts w:ascii="宋体" w:hAnsi="宋体" w:eastAsia="宋体" w:cs="宋体"/>
          <w:b/>
          <w:bCs/>
          <w:spacing w:val="-6"/>
          <w:sz w:val="24"/>
          <w:szCs w:val="24"/>
        </w:rPr>
        <w:t>：项目环境风险评价范围及保护目标示意图</w:t>
      </w:r>
    </w:p>
    <w:p w14:paraId="4AEE8B11">
      <w:pPr>
        <w:spacing w:line="218" w:lineRule="auto"/>
        <w:rPr>
          <w:rFonts w:ascii="宋体" w:hAnsi="宋体" w:eastAsia="宋体" w:cs="宋体"/>
          <w:sz w:val="24"/>
          <w:szCs w:val="24"/>
        </w:rPr>
        <w:sectPr>
          <w:footerReference r:id="rId119" w:type="default"/>
          <w:pgSz w:w="16839" w:h="11906"/>
          <w:pgMar w:top="400" w:right="2485" w:bottom="1127" w:left="2486" w:header="0" w:footer="965" w:gutter="0"/>
          <w:cols w:space="720" w:num="1"/>
        </w:sectPr>
      </w:pPr>
    </w:p>
    <w:p w14:paraId="7AAF88FF">
      <w:pPr>
        <w:spacing w:line="248" w:lineRule="auto"/>
        <w:rPr>
          <w:rFonts w:ascii="Arial"/>
          <w:sz w:val="21"/>
        </w:rPr>
      </w:pPr>
    </w:p>
    <w:p w14:paraId="71626093">
      <w:pPr>
        <w:spacing w:line="248" w:lineRule="auto"/>
        <w:rPr>
          <w:rFonts w:ascii="Arial"/>
          <w:sz w:val="21"/>
        </w:rPr>
      </w:pPr>
    </w:p>
    <w:p w14:paraId="59C828C9">
      <w:pPr>
        <w:spacing w:line="248" w:lineRule="auto"/>
        <w:rPr>
          <w:rFonts w:ascii="Arial"/>
          <w:sz w:val="21"/>
        </w:rPr>
      </w:pPr>
    </w:p>
    <w:p w14:paraId="59C0180F">
      <w:pPr>
        <w:spacing w:line="248" w:lineRule="auto"/>
        <w:rPr>
          <w:rFonts w:ascii="Arial"/>
          <w:sz w:val="21"/>
        </w:rPr>
      </w:pPr>
    </w:p>
    <w:p w14:paraId="5FC108C2">
      <w:pPr>
        <w:spacing w:line="248" w:lineRule="auto"/>
        <w:rPr>
          <w:rFonts w:ascii="Arial"/>
          <w:sz w:val="21"/>
        </w:rPr>
      </w:pPr>
    </w:p>
    <w:p w14:paraId="7DD42F3A">
      <w:pPr>
        <w:spacing w:line="249" w:lineRule="auto"/>
        <w:rPr>
          <w:rFonts w:ascii="Arial"/>
          <w:sz w:val="21"/>
        </w:rPr>
      </w:pPr>
    </w:p>
    <w:p w14:paraId="7F4E373B">
      <w:pPr>
        <w:spacing w:before="78" w:line="218" w:lineRule="auto"/>
        <w:ind w:left="39"/>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2 </w:t>
      </w:r>
      <w:r>
        <w:rPr>
          <w:rFonts w:ascii="宋体" w:hAnsi="宋体" w:eastAsia="宋体" w:cs="宋体"/>
          <w:b/>
          <w:bCs/>
          <w:spacing w:val="-2"/>
          <w:sz w:val="24"/>
          <w:szCs w:val="24"/>
        </w:rPr>
        <w:t>环境风险潜势初判及评价等级范围确定</w:t>
      </w:r>
    </w:p>
    <w:p w14:paraId="04B42F55">
      <w:pPr>
        <w:spacing w:before="182" w:line="219" w:lineRule="auto"/>
        <w:ind w:left="39"/>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环境风险潜势初判</w:t>
      </w:r>
    </w:p>
    <w:p w14:paraId="009A21DC">
      <w:pPr>
        <w:spacing w:before="182" w:line="220" w:lineRule="auto"/>
        <w:ind w:left="39"/>
        <w:outlineLvl w:val="3"/>
        <w:rPr>
          <w:rFonts w:ascii="宋体" w:hAnsi="宋体" w:eastAsia="宋体" w:cs="宋体"/>
          <w:sz w:val="24"/>
          <w:szCs w:val="24"/>
        </w:rPr>
      </w:pPr>
      <w:r>
        <w:rPr>
          <w:rFonts w:ascii="Times New Roman" w:hAnsi="Times New Roman" w:eastAsia="Times New Roman" w:cs="Times New Roman"/>
          <w:b/>
          <w:bCs/>
          <w:spacing w:val="-2"/>
          <w:sz w:val="24"/>
          <w:szCs w:val="24"/>
        </w:rPr>
        <w:t>2.1.1 P</w:t>
      </w:r>
      <w:r>
        <w:rPr>
          <w:rFonts w:ascii="宋体" w:hAnsi="宋体" w:eastAsia="宋体" w:cs="宋体"/>
          <w:b/>
          <w:bCs/>
          <w:spacing w:val="-2"/>
          <w:sz w:val="24"/>
          <w:szCs w:val="24"/>
        </w:rPr>
        <w:t>的分级确定</w:t>
      </w:r>
    </w:p>
    <w:p w14:paraId="00B79A72">
      <w:pPr>
        <w:spacing w:before="179" w:line="212" w:lineRule="auto"/>
        <w:ind w:left="49"/>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34"/>
          <w:sz w:val="24"/>
          <w:szCs w:val="24"/>
        </w:rPr>
        <w:t xml:space="preserve"> </w:t>
      </w:r>
      <w:r>
        <w:rPr>
          <w:rFonts w:ascii="宋体" w:hAnsi="宋体" w:eastAsia="宋体" w:cs="宋体"/>
          <w:b/>
          <w:bCs/>
          <w:spacing w:val="-4"/>
          <w:sz w:val="24"/>
          <w:szCs w:val="24"/>
        </w:rPr>
        <w:t>、危险物质数量与临界量比值（</w:t>
      </w:r>
      <w:r>
        <w:rPr>
          <w:rFonts w:ascii="Times New Roman" w:hAnsi="Times New Roman" w:eastAsia="Times New Roman" w:cs="Times New Roman"/>
          <w:b/>
          <w:bCs/>
          <w:spacing w:val="-4"/>
          <w:sz w:val="24"/>
          <w:szCs w:val="24"/>
        </w:rPr>
        <w:t>Q</w:t>
      </w:r>
      <w:r>
        <w:rPr>
          <w:rFonts w:ascii="宋体" w:hAnsi="宋体" w:eastAsia="宋体" w:cs="宋体"/>
          <w:b/>
          <w:bCs/>
          <w:spacing w:val="-4"/>
          <w:sz w:val="24"/>
          <w:szCs w:val="24"/>
        </w:rPr>
        <w:t>）</w:t>
      </w:r>
    </w:p>
    <w:p w14:paraId="2647514E">
      <w:pPr>
        <w:spacing w:before="192" w:line="358" w:lineRule="auto"/>
        <w:ind w:left="44" w:right="59" w:firstLine="479"/>
        <w:jc w:val="both"/>
        <w:rPr>
          <w:rFonts w:ascii="宋体" w:hAnsi="宋体" w:eastAsia="宋体" w:cs="宋体"/>
          <w:sz w:val="24"/>
          <w:szCs w:val="24"/>
        </w:rPr>
      </w:pPr>
      <w:r>
        <w:rPr>
          <w:rFonts w:ascii="宋体" w:hAnsi="宋体" w:eastAsia="宋体" w:cs="宋体"/>
          <w:spacing w:val="-1"/>
          <w:sz w:val="24"/>
          <w:szCs w:val="24"/>
        </w:rPr>
        <w:t>计算建设项目所涉及每种风险物质在厂界内的最大存</w:t>
      </w:r>
      <w:r>
        <w:rPr>
          <w:rFonts w:ascii="宋体" w:hAnsi="宋体" w:eastAsia="宋体" w:cs="宋体"/>
          <w:spacing w:val="-2"/>
          <w:sz w:val="24"/>
          <w:szCs w:val="24"/>
        </w:rPr>
        <w:t>在总量与其在《建设项目环</w:t>
      </w:r>
      <w:r>
        <w:rPr>
          <w:rFonts w:ascii="宋体" w:hAnsi="宋体" w:eastAsia="宋体" w:cs="宋体"/>
          <w:sz w:val="24"/>
          <w:szCs w:val="24"/>
        </w:rPr>
        <w:t xml:space="preserve"> </w:t>
      </w:r>
      <w:r>
        <w:rPr>
          <w:rFonts w:ascii="宋体" w:hAnsi="宋体" w:eastAsia="宋体" w:cs="宋体"/>
          <w:spacing w:val="-3"/>
          <w:sz w:val="24"/>
          <w:szCs w:val="24"/>
        </w:rPr>
        <w:t>境风险评价技术导则》（</w:t>
      </w:r>
      <w:r>
        <w:rPr>
          <w:rFonts w:ascii="Times New Roman" w:hAnsi="Times New Roman" w:eastAsia="Times New Roman" w:cs="Times New Roman"/>
          <w:spacing w:val="-3"/>
          <w:sz w:val="24"/>
          <w:szCs w:val="24"/>
        </w:rPr>
        <w:t>HJ/T169-2018</w:t>
      </w:r>
      <w:r>
        <w:rPr>
          <w:rFonts w:ascii="宋体" w:hAnsi="宋体" w:eastAsia="宋体" w:cs="宋体"/>
          <w:spacing w:val="-3"/>
          <w:sz w:val="24"/>
          <w:szCs w:val="24"/>
        </w:rPr>
        <w:t>）附录</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中对应的临界量的比值</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Q</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。在不同厂</w:t>
      </w:r>
      <w:r>
        <w:rPr>
          <w:rFonts w:ascii="宋体" w:hAnsi="宋体" w:eastAsia="宋体" w:cs="宋体"/>
          <w:sz w:val="24"/>
          <w:szCs w:val="24"/>
        </w:rPr>
        <w:t xml:space="preserve"> </w:t>
      </w:r>
      <w:r>
        <w:rPr>
          <w:rFonts w:ascii="宋体" w:hAnsi="宋体" w:eastAsia="宋体" w:cs="宋体"/>
          <w:spacing w:val="-1"/>
          <w:sz w:val="24"/>
          <w:szCs w:val="24"/>
        </w:rPr>
        <w:t>区的同一种物质，按其在厂界内的最大存在总量计算。</w:t>
      </w:r>
    </w:p>
    <w:p w14:paraId="3B9B8BD8">
      <w:pPr>
        <w:spacing w:line="338" w:lineRule="auto"/>
        <w:rPr>
          <w:rFonts w:ascii="Arial"/>
          <w:sz w:val="21"/>
        </w:rPr>
      </w:pPr>
    </w:p>
    <w:p w14:paraId="323A8BDE">
      <w:pPr>
        <w:spacing w:before="78" w:line="212" w:lineRule="auto"/>
        <w:jc w:val="right"/>
        <w:rPr>
          <w:rFonts w:ascii="宋体" w:hAnsi="宋体" w:eastAsia="宋体" w:cs="宋体"/>
          <w:sz w:val="24"/>
          <w:szCs w:val="24"/>
        </w:rPr>
      </w:pPr>
      <w:r>
        <w:rPr>
          <w:rFonts w:ascii="宋体" w:hAnsi="宋体" w:eastAsia="宋体" w:cs="宋体"/>
          <w:spacing w:val="-7"/>
          <w:sz w:val="24"/>
          <w:szCs w:val="24"/>
        </w:rPr>
        <w:t>当企业只涉及一种危险物质时，计算该物质的总量与其临界量的比值，即为（</w:t>
      </w:r>
      <w:r>
        <w:rPr>
          <w:rFonts w:ascii="Times New Roman" w:hAnsi="Times New Roman" w:eastAsia="Times New Roman" w:cs="Times New Roman"/>
          <w:spacing w:val="-7"/>
          <w:sz w:val="24"/>
          <w:szCs w:val="24"/>
        </w:rPr>
        <w:t>Q</w:t>
      </w:r>
      <w:r>
        <w:rPr>
          <w:rFonts w:ascii="宋体" w:hAnsi="宋体" w:eastAsia="宋体" w:cs="宋体"/>
          <w:spacing w:val="-56"/>
          <w:w w:val="87"/>
          <w:sz w:val="24"/>
          <w:szCs w:val="24"/>
        </w:rPr>
        <w:t>）；</w:t>
      </w:r>
    </w:p>
    <w:p w14:paraId="0D44DEB5">
      <w:pPr>
        <w:spacing w:before="190" w:line="212" w:lineRule="auto"/>
        <w:jc w:val="right"/>
        <w:rPr>
          <w:rFonts w:ascii="宋体" w:hAnsi="宋体" w:eastAsia="宋体" w:cs="宋体"/>
          <w:sz w:val="24"/>
          <w:szCs w:val="24"/>
        </w:rPr>
      </w:pPr>
      <w:r>
        <w:rPr>
          <w:rFonts w:ascii="宋体" w:hAnsi="宋体" w:eastAsia="宋体" w:cs="宋体"/>
          <w:spacing w:val="-4"/>
          <w:sz w:val="24"/>
          <w:szCs w:val="24"/>
        </w:rPr>
        <w:t>当存在多种危险物质时，按公式（</w:t>
      </w:r>
      <w:r>
        <w:rPr>
          <w:rFonts w:ascii="Times New Roman" w:hAnsi="Times New Roman" w:eastAsia="Times New Roman" w:cs="Times New Roman"/>
          <w:spacing w:val="-4"/>
          <w:sz w:val="24"/>
          <w:szCs w:val="24"/>
        </w:rPr>
        <w:t>1</w:t>
      </w:r>
      <w:r>
        <w:rPr>
          <w:rFonts w:ascii="宋体" w:hAnsi="宋体" w:eastAsia="宋体" w:cs="宋体"/>
          <w:spacing w:val="-4"/>
          <w:sz w:val="24"/>
          <w:szCs w:val="24"/>
        </w:rPr>
        <w:t>）计算物质总量与其临界量的比值，即（</w:t>
      </w:r>
      <w:r>
        <w:rPr>
          <w:rFonts w:ascii="Times New Roman" w:hAnsi="Times New Roman" w:eastAsia="Times New Roman" w:cs="Times New Roman"/>
          <w:spacing w:val="-4"/>
          <w:sz w:val="24"/>
          <w:szCs w:val="24"/>
        </w:rPr>
        <w:t>Q</w:t>
      </w:r>
      <w:r>
        <w:rPr>
          <w:rFonts w:ascii="宋体" w:hAnsi="宋体" w:eastAsia="宋体" w:cs="宋体"/>
          <w:spacing w:val="-59"/>
          <w:w w:val="92"/>
          <w:sz w:val="24"/>
          <w:szCs w:val="24"/>
        </w:rPr>
        <w:t>）：</w:t>
      </w:r>
    </w:p>
    <w:p w14:paraId="657DD1F9">
      <w:pPr>
        <w:spacing w:before="193" w:line="212" w:lineRule="auto"/>
        <w:ind w:left="526"/>
        <w:rPr>
          <w:rFonts w:ascii="宋体" w:hAnsi="宋体" w:eastAsia="宋体" w:cs="宋体"/>
          <w:sz w:val="24"/>
          <w:szCs w:val="24"/>
        </w:rPr>
      </w:pPr>
      <w:r>
        <w:rPr>
          <w:rFonts w:ascii="宋体" w:hAnsi="宋体" w:eastAsia="宋体" w:cs="宋体"/>
          <w:spacing w:val="-1"/>
          <w:sz w:val="24"/>
          <w:szCs w:val="24"/>
        </w:rPr>
        <w:t>危险物质数量与临界量比值（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）的计算：</w:t>
      </w:r>
    </w:p>
    <w:p w14:paraId="1AE3F355">
      <w:pPr>
        <w:spacing w:before="273"/>
        <w:ind w:left="3275"/>
        <w:rPr>
          <w:sz w:val="23"/>
          <w:szCs w:val="23"/>
        </w:rPr>
      </w:pPr>
      <w:r>
        <w:rPr>
          <w:rFonts w:ascii="Times New Roman" w:hAnsi="Times New Roman" w:eastAsia="Times New Roman" w:cs="Times New Roman"/>
          <w:i/>
          <w:iCs/>
          <w:spacing w:val="-12"/>
          <w:position w:val="4"/>
          <w:sz w:val="23"/>
          <w:szCs w:val="23"/>
        </w:rPr>
        <w:t>Q</w:t>
      </w:r>
      <w:r>
        <w:rPr>
          <w:rFonts w:ascii="Times New Roman" w:hAnsi="Times New Roman" w:eastAsia="Times New Roman" w:cs="Times New Roman"/>
          <w:i/>
          <w:iCs/>
          <w:spacing w:val="10"/>
          <w:position w:val="4"/>
          <w:sz w:val="23"/>
          <w:szCs w:val="23"/>
        </w:rPr>
        <w:t xml:space="preserve"> </w:t>
      </w:r>
      <w:r>
        <w:rPr>
          <w:rFonts w:ascii="Arial" w:hAnsi="Arial" w:eastAsia="Arial" w:cs="Arial"/>
          <w:spacing w:val="-12"/>
          <w:position w:val="4"/>
          <w:sz w:val="23"/>
          <w:szCs w:val="23"/>
        </w:rPr>
        <w:t xml:space="preserve">= </w:t>
      </w:r>
      <w:r>
        <w:rPr>
          <w:position w:val="-18"/>
          <w:sz w:val="23"/>
          <w:szCs w:val="23"/>
        </w:rPr>
        <w:drawing>
          <wp:inline distT="0" distB="0" distL="0" distR="0">
            <wp:extent cx="168910" cy="3232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07"/>
                    <a:stretch>
                      <a:fillRect/>
                    </a:stretch>
                  </pic:blipFill>
                  <pic:spPr>
                    <a:xfrm>
                      <a:off x="0" y="0"/>
                      <a:ext cx="169341" cy="323801"/>
                    </a:xfrm>
                    <a:prstGeom prst="rect">
                      <a:avLst/>
                    </a:prstGeom>
                  </pic:spPr>
                </pic:pic>
              </a:graphicData>
            </a:graphic>
          </wp:inline>
        </w:drawing>
      </w:r>
      <w:r>
        <w:rPr>
          <w:rFonts w:ascii="Arial" w:hAnsi="Arial" w:eastAsia="Arial" w:cs="Arial"/>
          <w:spacing w:val="-16"/>
          <w:position w:val="4"/>
          <w:sz w:val="23"/>
          <w:szCs w:val="23"/>
        </w:rPr>
        <w:t xml:space="preserve"> </w:t>
      </w:r>
      <w:r>
        <w:rPr>
          <w:rFonts w:ascii="Arial" w:hAnsi="Arial" w:eastAsia="Arial" w:cs="Arial"/>
          <w:spacing w:val="-12"/>
          <w:position w:val="4"/>
          <w:sz w:val="23"/>
          <w:szCs w:val="23"/>
        </w:rPr>
        <w:t>+</w:t>
      </w:r>
      <w:r>
        <w:rPr>
          <w:rFonts w:ascii="Arial" w:hAnsi="Arial" w:eastAsia="Arial" w:cs="Arial"/>
          <w:spacing w:val="-19"/>
          <w:position w:val="4"/>
          <w:sz w:val="23"/>
          <w:szCs w:val="23"/>
        </w:rPr>
        <w:t xml:space="preserve"> </w:t>
      </w:r>
      <w:r>
        <w:rPr>
          <w:position w:val="-18"/>
          <w:sz w:val="23"/>
          <w:szCs w:val="23"/>
        </w:rPr>
        <w:drawing>
          <wp:inline distT="0" distB="0" distL="0" distR="0">
            <wp:extent cx="185420" cy="3232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08"/>
                    <a:stretch>
                      <a:fillRect/>
                    </a:stretch>
                  </pic:blipFill>
                  <pic:spPr>
                    <a:xfrm>
                      <a:off x="0" y="0"/>
                      <a:ext cx="185978" cy="323801"/>
                    </a:xfrm>
                    <a:prstGeom prst="rect">
                      <a:avLst/>
                    </a:prstGeom>
                  </pic:spPr>
                </pic:pic>
              </a:graphicData>
            </a:graphic>
          </wp:inline>
        </w:drawing>
      </w:r>
      <w:r>
        <w:rPr>
          <w:rFonts w:ascii="Arial" w:hAnsi="Arial" w:eastAsia="Arial" w:cs="Arial"/>
          <w:spacing w:val="-16"/>
          <w:position w:val="4"/>
          <w:sz w:val="23"/>
          <w:szCs w:val="23"/>
        </w:rPr>
        <w:t xml:space="preserve"> </w:t>
      </w:r>
      <w:r>
        <w:rPr>
          <w:rFonts w:ascii="Arial" w:hAnsi="Arial" w:eastAsia="Arial" w:cs="Arial"/>
          <w:spacing w:val="-12"/>
          <w:position w:val="4"/>
          <w:sz w:val="23"/>
          <w:szCs w:val="23"/>
        </w:rPr>
        <w:t>+</w:t>
      </w:r>
      <w:r>
        <w:rPr>
          <w:rFonts w:ascii="Arial" w:hAnsi="Arial" w:eastAsia="Arial" w:cs="Arial"/>
          <w:spacing w:val="-10"/>
          <w:position w:val="4"/>
          <w:sz w:val="23"/>
          <w:szCs w:val="23"/>
        </w:rPr>
        <w:t xml:space="preserve"> </w:t>
      </w:r>
      <w:r>
        <w:rPr>
          <w:rFonts w:ascii="Arial" w:hAnsi="Arial" w:eastAsia="Arial" w:cs="Arial"/>
          <w:b/>
          <w:bCs/>
          <w:spacing w:val="-12"/>
          <w:position w:val="4"/>
          <w:sz w:val="23"/>
          <w:szCs w:val="23"/>
        </w:rPr>
        <w:t>…</w:t>
      </w:r>
      <w:r>
        <w:rPr>
          <w:rFonts w:ascii="Arial" w:hAnsi="Arial" w:eastAsia="Arial" w:cs="Arial"/>
          <w:b/>
          <w:bCs/>
          <w:spacing w:val="-39"/>
          <w:position w:val="4"/>
          <w:sz w:val="23"/>
          <w:szCs w:val="23"/>
        </w:rPr>
        <w:t xml:space="preserve"> </w:t>
      </w:r>
      <w:r>
        <w:rPr>
          <w:rFonts w:ascii="Arial" w:hAnsi="Arial" w:eastAsia="Arial" w:cs="Arial"/>
          <w:b/>
          <w:bCs/>
          <w:spacing w:val="-12"/>
          <w:position w:val="4"/>
          <w:sz w:val="23"/>
          <w:szCs w:val="23"/>
        </w:rPr>
        <w:t>…</w:t>
      </w:r>
      <w:r>
        <w:rPr>
          <w:rFonts w:ascii="Arial" w:hAnsi="Arial" w:eastAsia="Arial" w:cs="Arial"/>
          <w:b/>
          <w:bCs/>
          <w:spacing w:val="-35"/>
          <w:position w:val="4"/>
          <w:sz w:val="23"/>
          <w:szCs w:val="23"/>
        </w:rPr>
        <w:t xml:space="preserve"> </w:t>
      </w:r>
      <w:r>
        <w:rPr>
          <w:rFonts w:ascii="Arial" w:hAnsi="Arial" w:eastAsia="Arial" w:cs="Arial"/>
          <w:spacing w:val="-12"/>
          <w:position w:val="4"/>
          <w:sz w:val="23"/>
          <w:szCs w:val="23"/>
        </w:rPr>
        <w:t>+</w:t>
      </w:r>
      <w:r>
        <w:rPr>
          <w:rFonts w:ascii="Arial" w:hAnsi="Arial" w:eastAsia="Arial" w:cs="Arial"/>
          <w:spacing w:val="-20"/>
          <w:position w:val="4"/>
          <w:sz w:val="23"/>
          <w:szCs w:val="23"/>
        </w:rPr>
        <w:t xml:space="preserve"> </w:t>
      </w:r>
      <w:r>
        <w:rPr>
          <w:position w:val="-18"/>
          <w:sz w:val="23"/>
          <w:szCs w:val="23"/>
        </w:rPr>
        <w:drawing>
          <wp:inline distT="0" distB="0" distL="0" distR="0">
            <wp:extent cx="187325" cy="3244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09"/>
                    <a:stretch>
                      <a:fillRect/>
                    </a:stretch>
                  </pic:blipFill>
                  <pic:spPr>
                    <a:xfrm>
                      <a:off x="0" y="0"/>
                      <a:ext cx="187579" cy="324771"/>
                    </a:xfrm>
                    <a:prstGeom prst="rect">
                      <a:avLst/>
                    </a:prstGeom>
                  </pic:spPr>
                </pic:pic>
              </a:graphicData>
            </a:graphic>
          </wp:inline>
        </w:drawing>
      </w:r>
    </w:p>
    <w:p w14:paraId="33B04E3E">
      <w:pPr>
        <w:spacing w:before="87" w:line="212" w:lineRule="auto"/>
        <w:ind w:left="528"/>
        <w:rPr>
          <w:rFonts w:ascii="宋体" w:hAnsi="宋体" w:eastAsia="宋体" w:cs="宋体"/>
          <w:sz w:val="24"/>
          <w:szCs w:val="24"/>
        </w:rPr>
      </w:pPr>
      <w:r>
        <w:rPr>
          <w:rFonts w:ascii="宋体" w:hAnsi="宋体" w:eastAsia="宋体" w:cs="宋体"/>
          <w:spacing w:val="-8"/>
          <w:sz w:val="24"/>
          <w:szCs w:val="24"/>
        </w:rPr>
        <w:t>式中：</w:t>
      </w:r>
      <w:r>
        <w:rPr>
          <w:rFonts w:ascii="Times New Roman" w:hAnsi="Times New Roman" w:eastAsia="Times New Roman" w:cs="Times New Roman"/>
          <w:spacing w:val="-8"/>
          <w:sz w:val="24"/>
          <w:szCs w:val="24"/>
        </w:rPr>
        <w:t>q</w:t>
      </w:r>
      <w:r>
        <w:rPr>
          <w:rFonts w:ascii="Times New Roman" w:hAnsi="Times New Roman" w:eastAsia="Times New Roman" w:cs="Times New Roman"/>
          <w:spacing w:val="-8"/>
          <w:position w:val="-1"/>
          <w:sz w:val="15"/>
          <w:szCs w:val="15"/>
        </w:rPr>
        <w:t>1</w:t>
      </w:r>
      <w:r>
        <w:rPr>
          <w:rFonts w:ascii="Times New Roman" w:hAnsi="Times New Roman" w:eastAsia="Times New Roman" w:cs="Times New Roman"/>
          <w:spacing w:val="-2"/>
          <w:position w:val="-1"/>
          <w:sz w:val="15"/>
          <w:szCs w:val="15"/>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q</w:t>
      </w:r>
      <w:r>
        <w:rPr>
          <w:rFonts w:ascii="Times New Roman" w:hAnsi="Times New Roman" w:eastAsia="Times New Roman" w:cs="Times New Roman"/>
          <w:spacing w:val="-8"/>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8"/>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35"/>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35"/>
          <w:sz w:val="24"/>
          <w:szCs w:val="24"/>
        </w:rPr>
        <w:t xml:space="preserve">,  </w:t>
      </w:r>
      <w:r>
        <w:rPr>
          <w:rFonts w:ascii="Times New Roman" w:hAnsi="Times New Roman" w:eastAsia="Times New Roman" w:cs="Times New Roman"/>
          <w:spacing w:val="-35"/>
          <w:sz w:val="24"/>
          <w:szCs w:val="24"/>
        </w:rPr>
        <w:t>q</w:t>
      </w:r>
      <w:r>
        <w:rPr>
          <w:rFonts w:ascii="Times New Roman" w:hAnsi="Times New Roman" w:eastAsia="Times New Roman" w:cs="Times New Roman"/>
          <w:sz w:val="15"/>
          <w:szCs w:val="15"/>
        </w:rPr>
        <w:t>n</w:t>
      </w:r>
      <w:r>
        <w:rPr>
          <w:rFonts w:ascii="Times New Roman" w:hAnsi="Times New Roman" w:eastAsia="Times New Roman" w:cs="Times New Roman"/>
          <w:sz w:val="24"/>
          <w:szCs w:val="24"/>
        </w:rPr>
        <w:t>—</w:t>
      </w:r>
      <w:r>
        <w:rPr>
          <w:rFonts w:ascii="宋体" w:hAnsi="宋体" w:eastAsia="宋体" w:cs="宋体"/>
          <w:sz w:val="24"/>
          <w:szCs w:val="24"/>
        </w:rPr>
        <w:t>每种危险物质的最大存在总量，</w:t>
      </w:r>
      <w:r>
        <w:rPr>
          <w:rFonts w:ascii="Times New Roman" w:hAnsi="Times New Roman" w:eastAsia="Times New Roman" w:cs="Times New Roman"/>
          <w:sz w:val="24"/>
          <w:szCs w:val="24"/>
        </w:rPr>
        <w:t>t</w:t>
      </w:r>
      <w:r>
        <w:rPr>
          <w:rFonts w:ascii="宋体" w:hAnsi="宋体" w:eastAsia="宋体" w:cs="宋体"/>
          <w:sz w:val="24"/>
          <w:szCs w:val="24"/>
        </w:rPr>
        <w:t>；</w:t>
      </w:r>
    </w:p>
    <w:p w14:paraId="52897491">
      <w:pPr>
        <w:spacing w:before="193" w:line="210" w:lineRule="auto"/>
        <w:ind w:left="522"/>
        <w:rPr>
          <w:rFonts w:ascii="宋体" w:hAnsi="宋体" w:eastAsia="宋体" w:cs="宋体"/>
          <w:sz w:val="24"/>
          <w:szCs w:val="24"/>
        </w:rPr>
      </w:pPr>
      <w:r>
        <w:rPr>
          <w:rFonts w:ascii="Times New Roman" w:hAnsi="Times New Roman" w:eastAsia="Times New Roman" w:cs="Times New Roman"/>
          <w:spacing w:val="-3"/>
          <w:sz w:val="24"/>
          <w:szCs w:val="24"/>
        </w:rPr>
        <w:t>Q</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6"/>
          <w:position w:val="-1"/>
          <w:sz w:val="15"/>
          <w:szCs w:val="15"/>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Q</w:t>
      </w:r>
      <w:r>
        <w:rPr>
          <w:rFonts w:ascii="Times New Roman" w:hAnsi="Times New Roman" w:eastAsia="Times New Roman" w:cs="Times New Roman"/>
          <w:spacing w:val="-9"/>
          <w:position w:val="-1"/>
          <w:sz w:val="15"/>
          <w:szCs w:val="15"/>
        </w:rPr>
        <w:t xml:space="preserve">2 </w:t>
      </w:r>
      <w:r>
        <w:rPr>
          <w:rFonts w:ascii="宋体" w:hAnsi="宋体" w:eastAsia="宋体" w:cs="宋体"/>
          <w:spacing w:val="-37"/>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37"/>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37"/>
          <w:sz w:val="24"/>
          <w:szCs w:val="24"/>
        </w:rPr>
        <w:t>,</w:t>
      </w:r>
      <w:r>
        <w:rPr>
          <w:rFonts w:ascii="宋体" w:hAnsi="宋体" w:eastAsia="宋体" w:cs="宋体"/>
          <w:spacing w:val="62"/>
          <w:sz w:val="24"/>
          <w:szCs w:val="24"/>
        </w:rPr>
        <w:t xml:space="preserve"> </w:t>
      </w:r>
      <w:r>
        <w:rPr>
          <w:rFonts w:ascii="Times New Roman" w:hAnsi="Times New Roman" w:eastAsia="Times New Roman" w:cs="Times New Roman"/>
          <w:spacing w:val="-37"/>
          <w:sz w:val="24"/>
          <w:szCs w:val="24"/>
        </w:rPr>
        <w:t>Q</w:t>
      </w:r>
      <w:r>
        <w:rPr>
          <w:rFonts w:ascii="Times New Roman" w:hAnsi="Times New Roman" w:eastAsia="Times New Roman" w:cs="Times New Roman"/>
          <w:sz w:val="15"/>
          <w:szCs w:val="15"/>
        </w:rPr>
        <w:t>n</w:t>
      </w:r>
      <w:r>
        <w:rPr>
          <w:rFonts w:ascii="Times New Roman" w:hAnsi="Times New Roman" w:eastAsia="Times New Roman" w:cs="Times New Roman"/>
          <w:sz w:val="24"/>
          <w:szCs w:val="24"/>
        </w:rPr>
        <w:t>—</w:t>
      </w:r>
      <w:r>
        <w:rPr>
          <w:rFonts w:ascii="宋体" w:hAnsi="宋体" w:eastAsia="宋体" w:cs="宋体"/>
          <w:sz w:val="24"/>
          <w:szCs w:val="24"/>
        </w:rPr>
        <w:t>每种危险物质的临界量，</w:t>
      </w:r>
      <w:r>
        <w:rPr>
          <w:rFonts w:ascii="Times New Roman" w:hAnsi="Times New Roman" w:eastAsia="Times New Roman" w:cs="Times New Roman"/>
          <w:sz w:val="24"/>
          <w:szCs w:val="24"/>
        </w:rPr>
        <w:t>t</w:t>
      </w:r>
      <w:r>
        <w:rPr>
          <w:rFonts w:ascii="宋体" w:hAnsi="宋体" w:eastAsia="宋体" w:cs="宋体"/>
          <w:sz w:val="24"/>
          <w:szCs w:val="24"/>
        </w:rPr>
        <w:t>。</w:t>
      </w:r>
    </w:p>
    <w:p w14:paraId="72014134">
      <w:pPr>
        <w:spacing w:before="192" w:line="212" w:lineRule="auto"/>
        <w:ind w:left="538"/>
        <w:rPr>
          <w:rFonts w:ascii="宋体" w:hAnsi="宋体" w:eastAsia="宋体" w:cs="宋体"/>
          <w:sz w:val="24"/>
          <w:szCs w:val="24"/>
        </w:rPr>
      </w:pPr>
      <w:r>
        <w:rPr>
          <w:rFonts w:ascii="宋体" w:hAnsi="宋体" w:eastAsia="宋体" w:cs="宋体"/>
          <w:spacing w:val="-4"/>
          <w:sz w:val="24"/>
          <w:szCs w:val="24"/>
        </w:rPr>
        <w:t>当</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Q&lt;1</w:t>
      </w:r>
      <w:r>
        <w:rPr>
          <w:rFonts w:ascii="Times New Roman" w:hAnsi="Times New Roman" w:eastAsia="Times New Roman" w:cs="Times New Roman"/>
          <w:spacing w:val="21"/>
          <w:sz w:val="24"/>
          <w:szCs w:val="24"/>
        </w:rPr>
        <w:t xml:space="preserve"> </w:t>
      </w:r>
      <w:r>
        <w:rPr>
          <w:rFonts w:ascii="宋体" w:hAnsi="宋体" w:eastAsia="宋体" w:cs="宋体"/>
          <w:spacing w:val="-4"/>
          <w:sz w:val="24"/>
          <w:szCs w:val="24"/>
        </w:rPr>
        <w:t>时，该项目环境风险潜势为</w:t>
      </w:r>
      <w:r>
        <w:rPr>
          <w:rFonts w:ascii="Times New Roman" w:hAnsi="Times New Roman" w:eastAsia="Times New Roman" w:cs="Times New Roman"/>
          <w:spacing w:val="-4"/>
          <w:sz w:val="24"/>
          <w:szCs w:val="24"/>
        </w:rPr>
        <w:t>Ⅰ</w:t>
      </w:r>
      <w:r>
        <w:rPr>
          <w:rFonts w:ascii="宋体" w:hAnsi="宋体" w:eastAsia="宋体" w:cs="宋体"/>
          <w:spacing w:val="-4"/>
          <w:sz w:val="24"/>
          <w:szCs w:val="24"/>
        </w:rPr>
        <w:t>。</w:t>
      </w:r>
    </w:p>
    <w:p w14:paraId="7888C537">
      <w:pPr>
        <w:spacing w:before="193" w:line="210" w:lineRule="auto"/>
        <w:ind w:left="538"/>
        <w:rPr>
          <w:rFonts w:ascii="宋体" w:hAnsi="宋体" w:eastAsia="宋体" w:cs="宋体"/>
          <w:sz w:val="24"/>
          <w:szCs w:val="24"/>
        </w:rPr>
      </w:pPr>
      <w:r>
        <w:rPr>
          <w:rFonts w:ascii="宋体" w:hAnsi="宋体" w:eastAsia="宋体" w:cs="宋体"/>
          <w:spacing w:val="1"/>
          <w:sz w:val="24"/>
          <w:szCs w:val="24"/>
        </w:rPr>
        <w:t>当</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Q≥1</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时，将</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Q </w:t>
      </w:r>
      <w:r>
        <w:rPr>
          <w:rFonts w:ascii="宋体" w:hAnsi="宋体" w:eastAsia="宋体" w:cs="宋体"/>
          <w:spacing w:val="1"/>
          <w:sz w:val="24"/>
          <w:szCs w:val="24"/>
        </w:rPr>
        <w:t>值划分为</w:t>
      </w:r>
      <w:r>
        <w:rPr>
          <w:rFonts w:ascii="宋体" w:hAnsi="宋体" w:eastAsia="宋体" w:cs="宋体"/>
          <w:spacing w:val="-17"/>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1≤Q&lt;10</w:t>
      </w:r>
      <w:r>
        <w:rPr>
          <w:rFonts w:ascii="宋体" w:hAnsi="宋体" w:eastAsia="宋体" w:cs="宋体"/>
          <w:spacing w:val="-17"/>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ascii="Times New Roman" w:hAnsi="Times New Roman" w:eastAsia="Times New Roman" w:cs="Times New Roman"/>
          <w:spacing w:val="1"/>
          <w:sz w:val="24"/>
          <w:szCs w:val="24"/>
        </w:rPr>
        <w:t>10≤Q&lt;100</w:t>
      </w:r>
      <w:r>
        <w:rPr>
          <w:rFonts w:ascii="宋体" w:hAnsi="宋体" w:eastAsia="宋体" w:cs="宋体"/>
          <w:spacing w:val="-17"/>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w:t>
      </w:r>
      <w:r>
        <w:rPr>
          <w:rFonts w:ascii="Times New Roman" w:hAnsi="Times New Roman" w:eastAsia="Times New Roman" w:cs="Times New Roman"/>
          <w:spacing w:val="1"/>
          <w:sz w:val="24"/>
          <w:szCs w:val="24"/>
        </w:rPr>
        <w:t>Q≥100</w:t>
      </w:r>
      <w:r>
        <w:rPr>
          <w:rFonts w:ascii="宋体" w:hAnsi="宋体" w:eastAsia="宋体" w:cs="宋体"/>
          <w:spacing w:val="1"/>
          <w:sz w:val="24"/>
          <w:szCs w:val="24"/>
        </w:rPr>
        <w:t>。</w:t>
      </w:r>
    </w:p>
    <w:p w14:paraId="3C5BC3AB">
      <w:pPr>
        <w:spacing w:before="191" w:line="362" w:lineRule="auto"/>
        <w:ind w:left="42" w:right="59" w:firstLine="480"/>
        <w:rPr>
          <w:rFonts w:ascii="宋体" w:hAnsi="宋体" w:eastAsia="宋体" w:cs="宋体"/>
          <w:sz w:val="20"/>
          <w:szCs w:val="20"/>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pacing w:val="-2"/>
          <w:sz w:val="24"/>
          <w:szCs w:val="24"/>
        </w:rPr>
        <w:t>HJ169-2018</w:t>
      </w:r>
      <w:r>
        <w:rPr>
          <w:rFonts w:ascii="宋体" w:hAnsi="宋体" w:eastAsia="宋体" w:cs="宋体"/>
          <w:spacing w:val="-2"/>
          <w:sz w:val="24"/>
          <w:szCs w:val="24"/>
        </w:rPr>
        <w:t>）附录</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对照项目产生过</w:t>
      </w:r>
      <w:r>
        <w:rPr>
          <w:rFonts w:ascii="宋体" w:hAnsi="宋体" w:eastAsia="宋体" w:cs="宋体"/>
          <w:sz w:val="24"/>
          <w:szCs w:val="24"/>
        </w:rPr>
        <w:t xml:space="preserve"> </w:t>
      </w:r>
      <w:r>
        <w:rPr>
          <w:rFonts w:ascii="宋体" w:hAnsi="宋体" w:eastAsia="宋体" w:cs="宋体"/>
          <w:spacing w:val="6"/>
          <w:sz w:val="24"/>
          <w:szCs w:val="24"/>
        </w:rPr>
        <w:t>程中所涉及的原辅材料，</w:t>
      </w:r>
      <w:r>
        <w:rPr>
          <w:rFonts w:ascii="宋体" w:hAnsi="宋体" w:eastAsia="宋体" w:cs="宋体"/>
          <w:spacing w:val="6"/>
          <w:sz w:val="20"/>
          <w:szCs w:val="20"/>
        </w:rPr>
        <w:t>全厂生产过程中涉及的危险物质及其临界量情况详见下</w:t>
      </w:r>
    </w:p>
    <w:p w14:paraId="2EA7F4E8">
      <w:pPr>
        <w:spacing w:before="113" w:line="212" w:lineRule="auto"/>
        <w:ind w:left="301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7"/>
          <w:sz w:val="24"/>
          <w:szCs w:val="24"/>
        </w:rPr>
        <w:t xml:space="preserve"> </w:t>
      </w:r>
      <w:r>
        <w:rPr>
          <w:rFonts w:ascii="Times New Roman" w:hAnsi="Times New Roman" w:eastAsia="Times New Roman" w:cs="Times New Roman"/>
          <w:b/>
          <w:bCs/>
          <w:spacing w:val="2"/>
          <w:sz w:val="24"/>
          <w:szCs w:val="24"/>
        </w:rPr>
        <w:t xml:space="preserve">3    </w:t>
      </w:r>
      <w:r>
        <w:rPr>
          <w:rFonts w:ascii="宋体" w:hAnsi="宋体" w:eastAsia="宋体" w:cs="宋体"/>
          <w:b/>
          <w:bCs/>
          <w:spacing w:val="2"/>
          <w:sz w:val="24"/>
          <w:szCs w:val="24"/>
        </w:rPr>
        <w:t>项目</w:t>
      </w:r>
      <w:r>
        <w:rPr>
          <w:rFonts w:ascii="Times New Roman" w:hAnsi="Times New Roman" w:eastAsia="Times New Roman" w:cs="Times New Roman"/>
          <w:b/>
          <w:bCs/>
          <w:spacing w:val="2"/>
          <w:sz w:val="24"/>
          <w:szCs w:val="24"/>
        </w:rPr>
        <w:t xml:space="preserve">Q </w:t>
      </w:r>
      <w:r>
        <w:rPr>
          <w:rFonts w:ascii="宋体" w:hAnsi="宋体" w:eastAsia="宋体" w:cs="宋体"/>
          <w:b/>
          <w:bCs/>
          <w:spacing w:val="2"/>
          <w:sz w:val="24"/>
          <w:szCs w:val="24"/>
        </w:rPr>
        <w:t>值核算过程表</w:t>
      </w:r>
    </w:p>
    <w:p w14:paraId="6F379F9B">
      <w:pPr>
        <w:spacing w:line="157" w:lineRule="exact"/>
      </w:pPr>
    </w:p>
    <w:tbl>
      <w:tblPr>
        <w:tblStyle w:val="5"/>
        <w:tblW w:w="89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929"/>
        <w:gridCol w:w="950"/>
        <w:gridCol w:w="951"/>
        <w:gridCol w:w="1110"/>
        <w:gridCol w:w="1302"/>
        <w:gridCol w:w="1005"/>
        <w:gridCol w:w="651"/>
        <w:gridCol w:w="1002"/>
      </w:tblGrid>
      <w:tr w14:paraId="5368A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06" w:type="dxa"/>
            <w:vAlign w:val="top"/>
          </w:tcPr>
          <w:p w14:paraId="2098D214">
            <w:pPr>
              <w:pStyle w:val="6"/>
              <w:spacing w:before="36" w:line="228" w:lineRule="auto"/>
              <w:ind w:left="298"/>
              <w:rPr>
                <w:sz w:val="20"/>
                <w:szCs w:val="20"/>
              </w:rPr>
            </w:pPr>
            <w:r>
              <w:rPr>
                <w:spacing w:val="4"/>
                <w:sz w:val="20"/>
                <w:szCs w:val="20"/>
              </w:rPr>
              <w:t>物料</w:t>
            </w:r>
          </w:p>
          <w:p w14:paraId="6037FF51">
            <w:pPr>
              <w:pStyle w:val="6"/>
              <w:spacing w:before="23" w:line="219" w:lineRule="auto"/>
              <w:ind w:left="301"/>
              <w:rPr>
                <w:sz w:val="20"/>
                <w:szCs w:val="20"/>
              </w:rPr>
            </w:pPr>
            <w:r>
              <w:rPr>
                <w:spacing w:val="3"/>
                <w:sz w:val="20"/>
                <w:szCs w:val="20"/>
              </w:rPr>
              <w:t>名称</w:t>
            </w:r>
          </w:p>
        </w:tc>
        <w:tc>
          <w:tcPr>
            <w:tcW w:w="929" w:type="dxa"/>
            <w:vAlign w:val="top"/>
          </w:tcPr>
          <w:p w14:paraId="19D9FBF6">
            <w:pPr>
              <w:pStyle w:val="6"/>
              <w:spacing w:before="36" w:line="228" w:lineRule="auto"/>
              <w:ind w:left="257"/>
              <w:rPr>
                <w:sz w:val="20"/>
                <w:szCs w:val="20"/>
              </w:rPr>
            </w:pPr>
            <w:r>
              <w:rPr>
                <w:spacing w:val="4"/>
                <w:sz w:val="20"/>
                <w:szCs w:val="20"/>
              </w:rPr>
              <w:t>浓度</w:t>
            </w:r>
          </w:p>
          <w:p w14:paraId="30606CF8">
            <w:pPr>
              <w:pStyle w:val="6"/>
              <w:spacing w:before="23" w:line="219" w:lineRule="auto"/>
              <w:ind w:left="261"/>
              <w:rPr>
                <w:sz w:val="20"/>
                <w:szCs w:val="20"/>
              </w:rPr>
            </w:pPr>
            <w:r>
              <w:rPr>
                <w:spacing w:val="2"/>
                <w:sz w:val="20"/>
                <w:szCs w:val="20"/>
              </w:rPr>
              <w:t>系数</w:t>
            </w:r>
          </w:p>
        </w:tc>
        <w:tc>
          <w:tcPr>
            <w:tcW w:w="950" w:type="dxa"/>
            <w:vAlign w:val="top"/>
          </w:tcPr>
          <w:p w14:paraId="06538307">
            <w:pPr>
              <w:pStyle w:val="6"/>
              <w:spacing w:before="35" w:line="228" w:lineRule="auto"/>
              <w:ind w:left="167"/>
              <w:rPr>
                <w:sz w:val="20"/>
                <w:szCs w:val="20"/>
              </w:rPr>
            </w:pPr>
            <w:r>
              <w:rPr>
                <w:spacing w:val="5"/>
                <w:sz w:val="20"/>
                <w:szCs w:val="20"/>
              </w:rPr>
              <w:t>项目年</w:t>
            </w:r>
          </w:p>
          <w:p w14:paraId="2E9F0B05">
            <w:pPr>
              <w:pStyle w:val="6"/>
              <w:spacing w:before="24" w:line="219" w:lineRule="auto"/>
              <w:ind w:left="191"/>
              <w:rPr>
                <w:sz w:val="20"/>
                <w:szCs w:val="20"/>
              </w:rPr>
            </w:pPr>
            <w:r>
              <w:rPr>
                <w:spacing w:val="2"/>
                <w:sz w:val="20"/>
                <w:szCs w:val="20"/>
              </w:rPr>
              <w:t>用量</w:t>
            </w:r>
            <w:r>
              <w:rPr>
                <w:spacing w:val="-31"/>
                <w:sz w:val="20"/>
                <w:szCs w:val="20"/>
              </w:rPr>
              <w:t xml:space="preserve"> </w:t>
            </w:r>
            <w:r>
              <w:rPr>
                <w:spacing w:val="2"/>
                <w:sz w:val="20"/>
                <w:szCs w:val="20"/>
              </w:rPr>
              <w:t>t</w:t>
            </w:r>
          </w:p>
        </w:tc>
        <w:tc>
          <w:tcPr>
            <w:tcW w:w="951" w:type="dxa"/>
            <w:vAlign w:val="top"/>
          </w:tcPr>
          <w:p w14:paraId="08F0D3AF">
            <w:pPr>
              <w:pStyle w:val="6"/>
              <w:spacing w:before="35" w:line="228" w:lineRule="auto"/>
              <w:ind w:left="163"/>
              <w:rPr>
                <w:sz w:val="20"/>
                <w:szCs w:val="20"/>
              </w:rPr>
            </w:pPr>
            <w:r>
              <w:rPr>
                <w:spacing w:val="7"/>
                <w:sz w:val="20"/>
                <w:szCs w:val="20"/>
              </w:rPr>
              <w:t>仓库暂</w:t>
            </w:r>
          </w:p>
          <w:p w14:paraId="6BBFB39F">
            <w:pPr>
              <w:pStyle w:val="6"/>
              <w:spacing w:before="24" w:line="219" w:lineRule="auto"/>
              <w:ind w:left="189"/>
              <w:rPr>
                <w:sz w:val="20"/>
                <w:szCs w:val="20"/>
              </w:rPr>
            </w:pPr>
            <w:r>
              <w:rPr>
                <w:spacing w:val="3"/>
                <w:sz w:val="20"/>
                <w:szCs w:val="20"/>
              </w:rPr>
              <w:t>存量</w:t>
            </w:r>
            <w:r>
              <w:rPr>
                <w:spacing w:val="-32"/>
                <w:sz w:val="20"/>
                <w:szCs w:val="20"/>
              </w:rPr>
              <w:t xml:space="preserve"> </w:t>
            </w:r>
            <w:r>
              <w:rPr>
                <w:spacing w:val="3"/>
                <w:sz w:val="20"/>
                <w:szCs w:val="20"/>
              </w:rPr>
              <w:t>t</w:t>
            </w:r>
          </w:p>
        </w:tc>
        <w:tc>
          <w:tcPr>
            <w:tcW w:w="1110" w:type="dxa"/>
            <w:vAlign w:val="top"/>
          </w:tcPr>
          <w:p w14:paraId="2ABE24A0">
            <w:pPr>
              <w:pStyle w:val="6"/>
              <w:spacing w:before="35" w:line="228" w:lineRule="auto"/>
              <w:ind w:left="140"/>
              <w:rPr>
                <w:sz w:val="20"/>
                <w:szCs w:val="20"/>
              </w:rPr>
            </w:pPr>
            <w:r>
              <w:rPr>
                <w:spacing w:val="7"/>
                <w:sz w:val="20"/>
                <w:szCs w:val="20"/>
              </w:rPr>
              <w:t>使用在线</w:t>
            </w:r>
          </w:p>
          <w:p w14:paraId="56260A00">
            <w:pPr>
              <w:pStyle w:val="6"/>
              <w:spacing w:before="24" w:line="219" w:lineRule="auto"/>
              <w:ind w:left="374"/>
              <w:rPr>
                <w:sz w:val="20"/>
                <w:szCs w:val="20"/>
              </w:rPr>
            </w:pPr>
            <w:r>
              <w:rPr>
                <w:sz w:val="20"/>
                <w:szCs w:val="20"/>
              </w:rPr>
              <w:t>量</w:t>
            </w:r>
            <w:r>
              <w:rPr>
                <w:spacing w:val="-32"/>
                <w:sz w:val="20"/>
                <w:szCs w:val="20"/>
              </w:rPr>
              <w:t xml:space="preserve"> </w:t>
            </w:r>
            <w:r>
              <w:rPr>
                <w:sz w:val="20"/>
                <w:szCs w:val="20"/>
              </w:rPr>
              <w:t>t</w:t>
            </w:r>
          </w:p>
        </w:tc>
        <w:tc>
          <w:tcPr>
            <w:tcW w:w="1302" w:type="dxa"/>
            <w:vAlign w:val="top"/>
          </w:tcPr>
          <w:p w14:paraId="12CA5E8B">
            <w:pPr>
              <w:pStyle w:val="6"/>
              <w:spacing w:before="35" w:line="228" w:lineRule="auto"/>
              <w:ind w:left="133"/>
              <w:rPr>
                <w:sz w:val="20"/>
                <w:szCs w:val="20"/>
              </w:rPr>
            </w:pPr>
            <w:r>
              <w:rPr>
                <w:spacing w:val="7"/>
                <w:sz w:val="20"/>
                <w:szCs w:val="20"/>
              </w:rPr>
              <w:t>厂界内最大</w:t>
            </w:r>
          </w:p>
          <w:p w14:paraId="0ABACE23">
            <w:pPr>
              <w:pStyle w:val="6"/>
              <w:spacing w:before="24" w:line="219" w:lineRule="auto"/>
              <w:ind w:left="156"/>
              <w:rPr>
                <w:sz w:val="20"/>
                <w:szCs w:val="20"/>
              </w:rPr>
            </w:pPr>
            <w:r>
              <w:rPr>
                <w:spacing w:val="6"/>
                <w:sz w:val="20"/>
                <w:szCs w:val="20"/>
              </w:rPr>
              <w:t>存在总量</w:t>
            </w:r>
            <w:r>
              <w:rPr>
                <w:spacing w:val="-32"/>
                <w:sz w:val="20"/>
                <w:szCs w:val="20"/>
              </w:rPr>
              <w:t xml:space="preserve"> </w:t>
            </w:r>
            <w:r>
              <w:rPr>
                <w:spacing w:val="6"/>
                <w:sz w:val="20"/>
                <w:szCs w:val="20"/>
              </w:rPr>
              <w:t>t</w:t>
            </w:r>
          </w:p>
        </w:tc>
        <w:tc>
          <w:tcPr>
            <w:tcW w:w="1005" w:type="dxa"/>
            <w:vAlign w:val="top"/>
          </w:tcPr>
          <w:p w14:paraId="6DA2AE2E">
            <w:pPr>
              <w:pStyle w:val="6"/>
              <w:spacing w:before="35" w:line="228" w:lineRule="auto"/>
              <w:ind w:left="196"/>
              <w:rPr>
                <w:sz w:val="20"/>
                <w:szCs w:val="20"/>
              </w:rPr>
            </w:pPr>
            <w:r>
              <w:rPr>
                <w:spacing w:val="6"/>
                <w:sz w:val="20"/>
                <w:szCs w:val="20"/>
              </w:rPr>
              <w:t>折算后</w:t>
            </w:r>
          </w:p>
          <w:p w14:paraId="684EE189">
            <w:pPr>
              <w:pStyle w:val="6"/>
              <w:spacing w:before="24" w:line="219" w:lineRule="auto"/>
              <w:ind w:left="238"/>
              <w:rPr>
                <w:sz w:val="20"/>
                <w:szCs w:val="20"/>
              </w:rPr>
            </w:pPr>
            <w:r>
              <w:rPr>
                <w:spacing w:val="-3"/>
                <w:sz w:val="20"/>
                <w:szCs w:val="20"/>
              </w:rPr>
              <w:t>的量</w:t>
            </w:r>
            <w:r>
              <w:rPr>
                <w:spacing w:val="-32"/>
                <w:sz w:val="20"/>
                <w:szCs w:val="20"/>
              </w:rPr>
              <w:t xml:space="preserve"> </w:t>
            </w:r>
            <w:r>
              <w:rPr>
                <w:spacing w:val="-3"/>
                <w:sz w:val="20"/>
                <w:szCs w:val="20"/>
              </w:rPr>
              <w:t>t</w:t>
            </w:r>
          </w:p>
        </w:tc>
        <w:tc>
          <w:tcPr>
            <w:tcW w:w="651" w:type="dxa"/>
            <w:vAlign w:val="top"/>
          </w:tcPr>
          <w:p w14:paraId="1AE0D8EF">
            <w:pPr>
              <w:pStyle w:val="6"/>
              <w:spacing w:before="34" w:line="235" w:lineRule="auto"/>
              <w:ind w:left="228" w:right="113" w:hanging="94"/>
              <w:rPr>
                <w:sz w:val="20"/>
                <w:szCs w:val="20"/>
              </w:rPr>
            </w:pPr>
            <w:r>
              <w:rPr>
                <w:spacing w:val="-1"/>
                <w:sz w:val="20"/>
                <w:szCs w:val="20"/>
              </w:rPr>
              <w:t>临界</w:t>
            </w:r>
            <w:r>
              <w:rPr>
                <w:sz w:val="20"/>
                <w:szCs w:val="20"/>
              </w:rPr>
              <w:t xml:space="preserve"> 量</w:t>
            </w:r>
          </w:p>
        </w:tc>
        <w:tc>
          <w:tcPr>
            <w:tcW w:w="1002" w:type="dxa"/>
            <w:vAlign w:val="top"/>
          </w:tcPr>
          <w:p w14:paraId="153D1DA6">
            <w:pPr>
              <w:pStyle w:val="6"/>
              <w:spacing w:before="170" w:line="223" w:lineRule="auto"/>
              <w:ind w:left="299"/>
              <w:rPr>
                <w:sz w:val="20"/>
                <w:szCs w:val="20"/>
              </w:rPr>
            </w:pPr>
            <w:r>
              <w:rPr>
                <w:rFonts w:ascii="Times New Roman" w:hAnsi="Times New Roman" w:eastAsia="Times New Roman" w:cs="Times New Roman"/>
                <w:spacing w:val="-1"/>
                <w:sz w:val="20"/>
                <w:szCs w:val="20"/>
              </w:rPr>
              <w:t>Q</w:t>
            </w:r>
            <w:r>
              <w:rPr>
                <w:rFonts w:ascii="Times New Roman" w:hAnsi="Times New Roman" w:eastAsia="Times New Roman" w:cs="Times New Roman"/>
                <w:spacing w:val="12"/>
                <w:sz w:val="20"/>
                <w:szCs w:val="20"/>
              </w:rPr>
              <w:t xml:space="preserve"> </w:t>
            </w:r>
            <w:r>
              <w:rPr>
                <w:spacing w:val="-1"/>
                <w:sz w:val="20"/>
                <w:szCs w:val="20"/>
              </w:rPr>
              <w:t>值</w:t>
            </w:r>
          </w:p>
        </w:tc>
      </w:tr>
      <w:tr w14:paraId="1BF4E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06" w:type="dxa"/>
            <w:vAlign w:val="top"/>
          </w:tcPr>
          <w:p w14:paraId="1D19970F">
            <w:pPr>
              <w:pStyle w:val="6"/>
              <w:spacing w:before="31" w:line="229" w:lineRule="auto"/>
              <w:ind w:left="300"/>
              <w:rPr>
                <w:sz w:val="20"/>
                <w:szCs w:val="20"/>
              </w:rPr>
            </w:pPr>
            <w:r>
              <w:rPr>
                <w:spacing w:val="3"/>
                <w:sz w:val="20"/>
                <w:szCs w:val="20"/>
              </w:rPr>
              <w:t>盐酸</w:t>
            </w:r>
          </w:p>
          <w:p w14:paraId="5810127B">
            <w:pPr>
              <w:pStyle w:val="6"/>
              <w:spacing w:before="22" w:line="218" w:lineRule="auto"/>
              <w:ind w:left="150"/>
              <w:rPr>
                <w:sz w:val="20"/>
                <w:szCs w:val="20"/>
              </w:rPr>
            </w:pPr>
            <w:r>
              <w:rPr>
                <w:spacing w:val="1"/>
                <w:sz w:val="20"/>
                <w:szCs w:val="20"/>
              </w:rPr>
              <w:t>（31%）</w:t>
            </w:r>
          </w:p>
        </w:tc>
        <w:tc>
          <w:tcPr>
            <w:tcW w:w="929" w:type="dxa"/>
            <w:vAlign w:val="top"/>
          </w:tcPr>
          <w:p w14:paraId="71568F14">
            <w:pPr>
              <w:spacing w:before="203"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950" w:type="dxa"/>
            <w:vAlign w:val="top"/>
          </w:tcPr>
          <w:p w14:paraId="4053C5E3">
            <w:pPr>
              <w:spacing w:before="203"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4400</w:t>
            </w:r>
          </w:p>
        </w:tc>
        <w:tc>
          <w:tcPr>
            <w:tcW w:w="951" w:type="dxa"/>
            <w:vAlign w:val="top"/>
          </w:tcPr>
          <w:p w14:paraId="7B06F49F">
            <w:pPr>
              <w:spacing w:before="203"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10" w:type="dxa"/>
            <w:vAlign w:val="top"/>
          </w:tcPr>
          <w:p w14:paraId="4362F465">
            <w:pPr>
              <w:spacing w:before="203"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14.67</w:t>
            </w:r>
          </w:p>
        </w:tc>
        <w:tc>
          <w:tcPr>
            <w:tcW w:w="1302" w:type="dxa"/>
            <w:vAlign w:val="top"/>
          </w:tcPr>
          <w:p w14:paraId="3927417F">
            <w:pPr>
              <w:spacing w:before="20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64.67</w:t>
            </w:r>
          </w:p>
        </w:tc>
        <w:tc>
          <w:tcPr>
            <w:tcW w:w="1005" w:type="dxa"/>
            <w:vAlign w:val="top"/>
          </w:tcPr>
          <w:p w14:paraId="539C0316">
            <w:pPr>
              <w:spacing w:before="20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54.18</w:t>
            </w:r>
          </w:p>
        </w:tc>
        <w:tc>
          <w:tcPr>
            <w:tcW w:w="651" w:type="dxa"/>
            <w:vAlign w:val="top"/>
          </w:tcPr>
          <w:p w14:paraId="449F64FD">
            <w:pPr>
              <w:spacing w:before="206" w:line="192"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2" w:type="dxa"/>
            <w:vAlign w:val="top"/>
          </w:tcPr>
          <w:p w14:paraId="0C672BC7">
            <w:pPr>
              <w:spacing w:before="20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7.224</w:t>
            </w:r>
          </w:p>
        </w:tc>
      </w:tr>
      <w:tr w14:paraId="19CC3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06" w:type="dxa"/>
            <w:vAlign w:val="top"/>
          </w:tcPr>
          <w:p w14:paraId="2129DDB3">
            <w:pPr>
              <w:pStyle w:val="6"/>
              <w:spacing w:before="32" w:line="228" w:lineRule="auto"/>
              <w:ind w:left="193"/>
              <w:rPr>
                <w:sz w:val="20"/>
                <w:szCs w:val="20"/>
              </w:rPr>
            </w:pPr>
            <w:r>
              <w:rPr>
                <w:spacing w:val="6"/>
                <w:sz w:val="20"/>
                <w:szCs w:val="20"/>
              </w:rPr>
              <w:t>氢氟酸</w:t>
            </w:r>
          </w:p>
          <w:p w14:paraId="3D81F501">
            <w:pPr>
              <w:pStyle w:val="6"/>
              <w:spacing w:before="27" w:line="215" w:lineRule="auto"/>
              <w:ind w:left="150"/>
              <w:rPr>
                <w:sz w:val="20"/>
                <w:szCs w:val="20"/>
              </w:rPr>
            </w:pPr>
            <w:r>
              <w:rPr>
                <w:spacing w:val="1"/>
                <w:sz w:val="20"/>
                <w:szCs w:val="20"/>
              </w:rPr>
              <w:t>（30%）</w:t>
            </w:r>
          </w:p>
        </w:tc>
        <w:tc>
          <w:tcPr>
            <w:tcW w:w="929" w:type="dxa"/>
            <w:vAlign w:val="top"/>
          </w:tcPr>
          <w:p w14:paraId="2FD83D51">
            <w:pPr>
              <w:spacing w:before="205"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950" w:type="dxa"/>
            <w:vAlign w:val="top"/>
          </w:tcPr>
          <w:p w14:paraId="73BB1267">
            <w:pPr>
              <w:spacing w:before="205"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951" w:type="dxa"/>
            <w:vAlign w:val="top"/>
          </w:tcPr>
          <w:p w14:paraId="16302AA4">
            <w:pPr>
              <w:spacing w:before="20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10" w:type="dxa"/>
            <w:vAlign w:val="top"/>
          </w:tcPr>
          <w:p w14:paraId="12D52AB1">
            <w:pPr>
              <w:spacing w:before="208" w:line="192"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02" w:type="dxa"/>
            <w:vAlign w:val="top"/>
          </w:tcPr>
          <w:p w14:paraId="499855A6">
            <w:pPr>
              <w:spacing w:before="205"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05" w:type="dxa"/>
            <w:vAlign w:val="top"/>
          </w:tcPr>
          <w:p w14:paraId="042910C7">
            <w:pPr>
              <w:spacing w:before="205"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51" w:type="dxa"/>
            <w:vAlign w:val="top"/>
          </w:tcPr>
          <w:p w14:paraId="294C38E0">
            <w:pPr>
              <w:spacing w:before="20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2" w:type="dxa"/>
            <w:vAlign w:val="top"/>
          </w:tcPr>
          <w:p w14:paraId="1E71D3C8">
            <w:pPr>
              <w:spacing w:before="20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03D0D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06" w:type="dxa"/>
            <w:vAlign w:val="top"/>
          </w:tcPr>
          <w:p w14:paraId="53B6BAB1">
            <w:pPr>
              <w:pStyle w:val="6"/>
              <w:spacing w:before="32" w:line="229" w:lineRule="auto"/>
              <w:ind w:left="297"/>
              <w:rPr>
                <w:sz w:val="20"/>
                <w:szCs w:val="20"/>
              </w:rPr>
            </w:pPr>
            <w:r>
              <w:rPr>
                <w:spacing w:val="5"/>
                <w:sz w:val="20"/>
                <w:szCs w:val="20"/>
              </w:rPr>
              <w:t>硫酸</w:t>
            </w:r>
          </w:p>
          <w:p w14:paraId="76654257">
            <w:pPr>
              <w:pStyle w:val="6"/>
              <w:spacing w:before="25" w:line="215" w:lineRule="auto"/>
              <w:ind w:left="150"/>
              <w:rPr>
                <w:sz w:val="20"/>
                <w:szCs w:val="20"/>
              </w:rPr>
            </w:pPr>
            <w:r>
              <w:rPr>
                <w:spacing w:val="1"/>
                <w:sz w:val="20"/>
                <w:szCs w:val="20"/>
              </w:rPr>
              <w:t>（98%）</w:t>
            </w:r>
          </w:p>
        </w:tc>
        <w:tc>
          <w:tcPr>
            <w:tcW w:w="929" w:type="dxa"/>
            <w:vAlign w:val="top"/>
          </w:tcPr>
          <w:p w14:paraId="60971F2C">
            <w:pPr>
              <w:spacing w:before="205"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950" w:type="dxa"/>
            <w:vAlign w:val="top"/>
          </w:tcPr>
          <w:p w14:paraId="6E8C09DD">
            <w:pPr>
              <w:spacing w:before="205"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51" w:type="dxa"/>
            <w:vAlign w:val="top"/>
          </w:tcPr>
          <w:p w14:paraId="421DB53C">
            <w:pPr>
              <w:spacing w:before="205"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0" w:type="dxa"/>
            <w:vAlign w:val="top"/>
          </w:tcPr>
          <w:p w14:paraId="71431A84">
            <w:pPr>
              <w:spacing w:before="20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02" w:type="dxa"/>
            <w:vAlign w:val="top"/>
          </w:tcPr>
          <w:p w14:paraId="171E5693">
            <w:pPr>
              <w:spacing w:before="205"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1005" w:type="dxa"/>
            <w:vAlign w:val="top"/>
          </w:tcPr>
          <w:p w14:paraId="1ADB4546">
            <w:pPr>
              <w:spacing w:before="20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651" w:type="dxa"/>
            <w:vAlign w:val="top"/>
          </w:tcPr>
          <w:p w14:paraId="739BA5F4">
            <w:pPr>
              <w:spacing w:before="205"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2" w:type="dxa"/>
            <w:vAlign w:val="top"/>
          </w:tcPr>
          <w:p w14:paraId="7F83E502">
            <w:pPr>
              <w:spacing w:before="205"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r>
      <w:tr w14:paraId="0D95D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06" w:type="dxa"/>
            <w:vAlign w:val="top"/>
          </w:tcPr>
          <w:p w14:paraId="60B60252">
            <w:pPr>
              <w:pStyle w:val="6"/>
              <w:spacing w:before="33" w:line="229" w:lineRule="auto"/>
              <w:ind w:left="300"/>
              <w:rPr>
                <w:sz w:val="20"/>
                <w:szCs w:val="20"/>
              </w:rPr>
            </w:pPr>
            <w:r>
              <w:rPr>
                <w:spacing w:val="3"/>
                <w:sz w:val="20"/>
                <w:szCs w:val="20"/>
              </w:rPr>
              <w:t>硝酸</w:t>
            </w:r>
          </w:p>
          <w:p w14:paraId="5912B979">
            <w:pPr>
              <w:pStyle w:val="6"/>
              <w:spacing w:before="25" w:line="214" w:lineRule="auto"/>
              <w:ind w:left="150"/>
              <w:rPr>
                <w:sz w:val="20"/>
                <w:szCs w:val="20"/>
              </w:rPr>
            </w:pPr>
            <w:r>
              <w:rPr>
                <w:spacing w:val="1"/>
                <w:sz w:val="20"/>
                <w:szCs w:val="20"/>
              </w:rPr>
              <w:t>（68%）</w:t>
            </w:r>
          </w:p>
        </w:tc>
        <w:tc>
          <w:tcPr>
            <w:tcW w:w="929" w:type="dxa"/>
            <w:vAlign w:val="top"/>
          </w:tcPr>
          <w:p w14:paraId="0802CD7D">
            <w:pPr>
              <w:spacing w:before="205"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c>
          <w:tcPr>
            <w:tcW w:w="950" w:type="dxa"/>
            <w:vAlign w:val="top"/>
          </w:tcPr>
          <w:p w14:paraId="2D60A7CA">
            <w:pPr>
              <w:spacing w:before="205"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c>
          <w:tcPr>
            <w:tcW w:w="951" w:type="dxa"/>
            <w:vAlign w:val="top"/>
          </w:tcPr>
          <w:p w14:paraId="2C2F4B9C">
            <w:pPr>
              <w:spacing w:before="206"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0" w:type="dxa"/>
            <w:vAlign w:val="top"/>
          </w:tcPr>
          <w:p w14:paraId="7351C702">
            <w:pPr>
              <w:spacing w:before="205"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302" w:type="dxa"/>
            <w:vAlign w:val="top"/>
          </w:tcPr>
          <w:p w14:paraId="302F6BA2">
            <w:pPr>
              <w:spacing w:before="205"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1005" w:type="dxa"/>
            <w:vAlign w:val="top"/>
          </w:tcPr>
          <w:p w14:paraId="0E2E796E">
            <w:pPr>
              <w:spacing w:before="205"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651" w:type="dxa"/>
            <w:vAlign w:val="top"/>
          </w:tcPr>
          <w:p w14:paraId="38D9BF64">
            <w:pPr>
              <w:spacing w:before="208" w:line="192"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2" w:type="dxa"/>
            <w:vAlign w:val="top"/>
          </w:tcPr>
          <w:p w14:paraId="32E5CD42">
            <w:pPr>
              <w:spacing w:before="205"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0.139</w:t>
            </w:r>
          </w:p>
        </w:tc>
      </w:tr>
      <w:tr w14:paraId="6ACA5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06" w:type="dxa"/>
            <w:vAlign w:val="top"/>
          </w:tcPr>
          <w:p w14:paraId="1CFE9388">
            <w:pPr>
              <w:pStyle w:val="6"/>
              <w:spacing w:before="36" w:line="228" w:lineRule="auto"/>
              <w:ind w:left="303"/>
              <w:rPr>
                <w:sz w:val="20"/>
                <w:szCs w:val="20"/>
              </w:rPr>
            </w:pPr>
            <w:r>
              <w:rPr>
                <w:spacing w:val="2"/>
                <w:sz w:val="20"/>
                <w:szCs w:val="20"/>
              </w:rPr>
              <w:t>片碱</w:t>
            </w:r>
          </w:p>
          <w:p w14:paraId="0BEBFE02">
            <w:pPr>
              <w:pStyle w:val="6"/>
              <w:spacing w:before="23" w:line="214" w:lineRule="auto"/>
              <w:ind w:left="150"/>
              <w:rPr>
                <w:sz w:val="20"/>
                <w:szCs w:val="20"/>
              </w:rPr>
            </w:pPr>
            <w:r>
              <w:rPr>
                <w:spacing w:val="1"/>
                <w:sz w:val="20"/>
                <w:szCs w:val="20"/>
              </w:rPr>
              <w:t>（99%）</w:t>
            </w:r>
          </w:p>
        </w:tc>
        <w:tc>
          <w:tcPr>
            <w:tcW w:w="929" w:type="dxa"/>
            <w:vAlign w:val="top"/>
          </w:tcPr>
          <w:p w14:paraId="54AA486B">
            <w:pPr>
              <w:spacing w:before="206"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c>
          <w:tcPr>
            <w:tcW w:w="950" w:type="dxa"/>
            <w:vAlign w:val="top"/>
          </w:tcPr>
          <w:p w14:paraId="73479E37">
            <w:pPr>
              <w:spacing w:before="206"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825</w:t>
            </w:r>
          </w:p>
        </w:tc>
        <w:tc>
          <w:tcPr>
            <w:tcW w:w="951" w:type="dxa"/>
            <w:vAlign w:val="top"/>
          </w:tcPr>
          <w:p w14:paraId="3060B300">
            <w:pPr>
              <w:spacing w:before="206"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10" w:type="dxa"/>
            <w:vAlign w:val="top"/>
          </w:tcPr>
          <w:p w14:paraId="1A10F810">
            <w:pPr>
              <w:spacing w:before="206"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1302" w:type="dxa"/>
            <w:vAlign w:val="top"/>
          </w:tcPr>
          <w:p w14:paraId="6DBBCDAD">
            <w:pPr>
              <w:spacing w:before="206"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12.75</w:t>
            </w:r>
          </w:p>
        </w:tc>
        <w:tc>
          <w:tcPr>
            <w:tcW w:w="1005" w:type="dxa"/>
            <w:vAlign w:val="top"/>
          </w:tcPr>
          <w:p w14:paraId="3FA68086">
            <w:pPr>
              <w:spacing w:before="206"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12.75</w:t>
            </w:r>
          </w:p>
        </w:tc>
        <w:tc>
          <w:tcPr>
            <w:tcW w:w="651" w:type="dxa"/>
            <w:vAlign w:val="top"/>
          </w:tcPr>
          <w:p w14:paraId="0DED42E3">
            <w:pPr>
              <w:spacing w:before="206"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02" w:type="dxa"/>
            <w:vAlign w:val="top"/>
          </w:tcPr>
          <w:p w14:paraId="248C166B">
            <w:pPr>
              <w:spacing w:before="20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0.255</w:t>
            </w:r>
          </w:p>
        </w:tc>
      </w:tr>
      <w:tr w14:paraId="63566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06" w:type="dxa"/>
            <w:vAlign w:val="top"/>
          </w:tcPr>
          <w:p w14:paraId="36992209">
            <w:pPr>
              <w:pStyle w:val="6"/>
              <w:spacing w:before="36" w:line="228" w:lineRule="auto"/>
              <w:ind w:left="319"/>
              <w:rPr>
                <w:sz w:val="20"/>
                <w:szCs w:val="20"/>
              </w:rPr>
            </w:pPr>
            <w:r>
              <w:rPr>
                <w:spacing w:val="-6"/>
                <w:sz w:val="20"/>
                <w:szCs w:val="20"/>
              </w:rPr>
              <w:t>乙醇</w:t>
            </w:r>
          </w:p>
          <w:p w14:paraId="7D220862">
            <w:pPr>
              <w:pStyle w:val="6"/>
              <w:spacing w:before="24" w:line="216" w:lineRule="auto"/>
              <w:ind w:left="150"/>
              <w:rPr>
                <w:sz w:val="20"/>
                <w:szCs w:val="20"/>
              </w:rPr>
            </w:pPr>
            <w:r>
              <w:rPr>
                <w:spacing w:val="1"/>
                <w:sz w:val="20"/>
                <w:szCs w:val="20"/>
              </w:rPr>
              <w:t>（95%）</w:t>
            </w:r>
          </w:p>
        </w:tc>
        <w:tc>
          <w:tcPr>
            <w:tcW w:w="929" w:type="dxa"/>
            <w:vAlign w:val="top"/>
          </w:tcPr>
          <w:p w14:paraId="12BFAE18">
            <w:pPr>
              <w:spacing w:before="206"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0.95</w:t>
            </w:r>
          </w:p>
        </w:tc>
        <w:tc>
          <w:tcPr>
            <w:tcW w:w="950" w:type="dxa"/>
            <w:vAlign w:val="top"/>
          </w:tcPr>
          <w:p w14:paraId="06639766">
            <w:pPr>
              <w:spacing w:before="206"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951" w:type="dxa"/>
            <w:vAlign w:val="top"/>
          </w:tcPr>
          <w:p w14:paraId="2E094D86">
            <w:pPr>
              <w:spacing w:before="206"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10" w:type="dxa"/>
            <w:vAlign w:val="top"/>
          </w:tcPr>
          <w:p w14:paraId="33480BF2">
            <w:pPr>
              <w:spacing w:before="20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0.0162</w:t>
            </w:r>
          </w:p>
        </w:tc>
        <w:tc>
          <w:tcPr>
            <w:tcW w:w="1302" w:type="dxa"/>
            <w:vAlign w:val="top"/>
          </w:tcPr>
          <w:p w14:paraId="7D9D13FD">
            <w:pPr>
              <w:spacing w:before="206"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0.2162</w:t>
            </w:r>
          </w:p>
        </w:tc>
        <w:tc>
          <w:tcPr>
            <w:tcW w:w="1005" w:type="dxa"/>
            <w:vAlign w:val="top"/>
          </w:tcPr>
          <w:p w14:paraId="3B28F91B">
            <w:pPr>
              <w:spacing w:before="206"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0.2162</w:t>
            </w:r>
          </w:p>
        </w:tc>
        <w:tc>
          <w:tcPr>
            <w:tcW w:w="651" w:type="dxa"/>
            <w:vAlign w:val="top"/>
          </w:tcPr>
          <w:p w14:paraId="37F29AF4">
            <w:pPr>
              <w:spacing w:before="206"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02" w:type="dxa"/>
            <w:vAlign w:val="top"/>
          </w:tcPr>
          <w:p w14:paraId="40CAD4E8">
            <w:pPr>
              <w:spacing w:before="206"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r>
    </w:tbl>
    <w:p w14:paraId="56DE2674">
      <w:pPr>
        <w:rPr>
          <w:rFonts w:ascii="Arial"/>
          <w:sz w:val="21"/>
        </w:rPr>
      </w:pPr>
    </w:p>
    <w:p w14:paraId="4FA62545">
      <w:pPr>
        <w:rPr>
          <w:rFonts w:ascii="Arial" w:hAnsi="Arial" w:eastAsia="Arial" w:cs="Arial"/>
          <w:sz w:val="21"/>
          <w:szCs w:val="21"/>
        </w:rPr>
        <w:sectPr>
          <w:footerReference r:id="rId120" w:type="default"/>
          <w:pgSz w:w="11906" w:h="16839"/>
          <w:pgMar w:top="400" w:right="1471" w:bottom="1127" w:left="1497" w:header="0" w:footer="965" w:gutter="0"/>
          <w:cols w:space="720" w:num="1"/>
        </w:sectPr>
      </w:pPr>
    </w:p>
    <w:p w14:paraId="56F12F68">
      <w:pPr>
        <w:spacing w:before="19"/>
      </w:pPr>
    </w:p>
    <w:p w14:paraId="05B761F9">
      <w:pPr>
        <w:spacing w:before="19"/>
      </w:pPr>
    </w:p>
    <w:p w14:paraId="249DBF9A">
      <w:pPr>
        <w:spacing w:before="19"/>
      </w:pPr>
    </w:p>
    <w:p w14:paraId="2104D126">
      <w:pPr>
        <w:spacing w:before="18"/>
      </w:pPr>
    </w:p>
    <w:p w14:paraId="73EC442C">
      <w:pPr>
        <w:spacing w:before="18"/>
      </w:pPr>
    </w:p>
    <w:tbl>
      <w:tblPr>
        <w:tblStyle w:val="5"/>
        <w:tblW w:w="8906"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929"/>
        <w:gridCol w:w="950"/>
        <w:gridCol w:w="951"/>
        <w:gridCol w:w="1110"/>
        <w:gridCol w:w="1302"/>
        <w:gridCol w:w="1005"/>
        <w:gridCol w:w="651"/>
        <w:gridCol w:w="1002"/>
      </w:tblGrid>
      <w:tr w14:paraId="6806F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06" w:type="dxa"/>
            <w:vAlign w:val="top"/>
          </w:tcPr>
          <w:p w14:paraId="7278250F">
            <w:pPr>
              <w:pStyle w:val="6"/>
              <w:spacing w:before="35" w:line="228" w:lineRule="auto"/>
              <w:ind w:left="302"/>
              <w:rPr>
                <w:sz w:val="20"/>
                <w:szCs w:val="20"/>
              </w:rPr>
            </w:pPr>
            <w:r>
              <w:rPr>
                <w:spacing w:val="2"/>
                <w:sz w:val="20"/>
                <w:szCs w:val="20"/>
              </w:rPr>
              <w:t>丙酮</w:t>
            </w:r>
          </w:p>
          <w:p w14:paraId="0BA42FAC">
            <w:pPr>
              <w:pStyle w:val="6"/>
              <w:spacing w:before="26" w:line="216" w:lineRule="auto"/>
              <w:ind w:left="126"/>
              <w:rPr>
                <w:sz w:val="20"/>
                <w:szCs w:val="20"/>
              </w:rPr>
            </w:pPr>
            <w:r>
              <w:rPr>
                <w:spacing w:val="1"/>
                <w:sz w:val="20"/>
                <w:szCs w:val="20"/>
              </w:rPr>
              <w:t>（</w:t>
            </w:r>
            <w:r>
              <w:rPr>
                <w:rFonts w:ascii="Times New Roman" w:hAnsi="Times New Roman" w:eastAsia="Times New Roman" w:cs="Times New Roman"/>
                <w:spacing w:val="1"/>
                <w:sz w:val="20"/>
                <w:szCs w:val="20"/>
              </w:rPr>
              <w:t>95%</w:t>
            </w:r>
            <w:r>
              <w:rPr>
                <w:spacing w:val="1"/>
                <w:sz w:val="20"/>
                <w:szCs w:val="20"/>
              </w:rPr>
              <w:t>）</w:t>
            </w:r>
          </w:p>
        </w:tc>
        <w:tc>
          <w:tcPr>
            <w:tcW w:w="929" w:type="dxa"/>
            <w:vAlign w:val="top"/>
          </w:tcPr>
          <w:p w14:paraId="6034C9A5">
            <w:pPr>
              <w:spacing w:before="208"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0.985</w:t>
            </w:r>
          </w:p>
        </w:tc>
        <w:tc>
          <w:tcPr>
            <w:tcW w:w="950" w:type="dxa"/>
            <w:vAlign w:val="top"/>
          </w:tcPr>
          <w:p w14:paraId="0FB2D2AC">
            <w:pPr>
              <w:spacing w:before="20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4.86</w:t>
            </w:r>
          </w:p>
        </w:tc>
        <w:tc>
          <w:tcPr>
            <w:tcW w:w="951" w:type="dxa"/>
            <w:vAlign w:val="top"/>
          </w:tcPr>
          <w:p w14:paraId="6E240307">
            <w:pPr>
              <w:spacing w:before="208"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10" w:type="dxa"/>
            <w:vAlign w:val="top"/>
          </w:tcPr>
          <w:p w14:paraId="64D6376F">
            <w:pPr>
              <w:spacing w:before="20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0.0162</w:t>
            </w:r>
          </w:p>
        </w:tc>
        <w:tc>
          <w:tcPr>
            <w:tcW w:w="1302" w:type="dxa"/>
            <w:vAlign w:val="top"/>
          </w:tcPr>
          <w:p w14:paraId="76168752">
            <w:pPr>
              <w:spacing w:before="20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0.2162</w:t>
            </w:r>
          </w:p>
        </w:tc>
        <w:tc>
          <w:tcPr>
            <w:tcW w:w="1005" w:type="dxa"/>
            <w:vAlign w:val="top"/>
          </w:tcPr>
          <w:p w14:paraId="6319DDB2">
            <w:pPr>
              <w:spacing w:before="20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0.2162</w:t>
            </w:r>
          </w:p>
        </w:tc>
        <w:tc>
          <w:tcPr>
            <w:tcW w:w="651" w:type="dxa"/>
            <w:vAlign w:val="top"/>
          </w:tcPr>
          <w:p w14:paraId="65745F3D">
            <w:pPr>
              <w:spacing w:before="20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02" w:type="dxa"/>
            <w:vAlign w:val="top"/>
          </w:tcPr>
          <w:p w14:paraId="43BBD344">
            <w:pPr>
              <w:spacing w:before="20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0.0865</w:t>
            </w:r>
          </w:p>
        </w:tc>
      </w:tr>
      <w:tr w14:paraId="25F1B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06" w:type="dxa"/>
            <w:vAlign w:val="top"/>
          </w:tcPr>
          <w:p w14:paraId="6DF1E718">
            <w:pPr>
              <w:pStyle w:val="6"/>
              <w:spacing w:before="32" w:line="228" w:lineRule="auto"/>
              <w:ind w:left="89"/>
              <w:rPr>
                <w:sz w:val="20"/>
                <w:szCs w:val="20"/>
              </w:rPr>
            </w:pPr>
            <w:r>
              <w:rPr>
                <w:spacing w:val="7"/>
                <w:sz w:val="20"/>
                <w:szCs w:val="20"/>
              </w:rPr>
              <w:t>三乙醇胺</w:t>
            </w:r>
          </w:p>
          <w:p w14:paraId="54AE255D">
            <w:pPr>
              <w:pStyle w:val="6"/>
              <w:spacing w:before="25" w:line="214" w:lineRule="auto"/>
              <w:ind w:left="37"/>
              <w:rPr>
                <w:sz w:val="20"/>
                <w:szCs w:val="20"/>
              </w:rPr>
            </w:pPr>
            <w:r>
              <w:rPr>
                <w:spacing w:val="2"/>
                <w:sz w:val="20"/>
                <w:szCs w:val="20"/>
              </w:rPr>
              <w:t>（</w:t>
            </w:r>
            <w:r>
              <w:rPr>
                <w:rFonts w:ascii="Times New Roman" w:hAnsi="Times New Roman" w:eastAsia="Times New Roman" w:cs="Times New Roman"/>
                <w:spacing w:val="2"/>
                <w:sz w:val="20"/>
                <w:szCs w:val="20"/>
              </w:rPr>
              <w:t>98.5%</w:t>
            </w:r>
            <w:r>
              <w:rPr>
                <w:spacing w:val="2"/>
                <w:sz w:val="20"/>
                <w:szCs w:val="20"/>
              </w:rPr>
              <w:t>）</w:t>
            </w:r>
          </w:p>
        </w:tc>
        <w:tc>
          <w:tcPr>
            <w:tcW w:w="929" w:type="dxa"/>
            <w:vAlign w:val="top"/>
          </w:tcPr>
          <w:p w14:paraId="36DC4E93">
            <w:pPr>
              <w:spacing w:before="204"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0.985</w:t>
            </w:r>
          </w:p>
        </w:tc>
        <w:tc>
          <w:tcPr>
            <w:tcW w:w="950" w:type="dxa"/>
            <w:vAlign w:val="top"/>
          </w:tcPr>
          <w:p w14:paraId="7B4A1C82">
            <w:pPr>
              <w:spacing w:before="20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171.5</w:t>
            </w:r>
          </w:p>
        </w:tc>
        <w:tc>
          <w:tcPr>
            <w:tcW w:w="951" w:type="dxa"/>
            <w:vAlign w:val="top"/>
          </w:tcPr>
          <w:p w14:paraId="089B1B14">
            <w:pPr>
              <w:spacing w:before="207"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10" w:type="dxa"/>
            <w:vAlign w:val="top"/>
          </w:tcPr>
          <w:p w14:paraId="40CCAFD6">
            <w:pPr>
              <w:spacing w:before="204"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w:t>
            </w:r>
          </w:p>
        </w:tc>
        <w:tc>
          <w:tcPr>
            <w:tcW w:w="1302" w:type="dxa"/>
            <w:vAlign w:val="top"/>
          </w:tcPr>
          <w:p w14:paraId="7AB89C99">
            <w:pPr>
              <w:spacing w:before="207" w:line="192"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w:t>
            </w:r>
          </w:p>
        </w:tc>
        <w:tc>
          <w:tcPr>
            <w:tcW w:w="1005" w:type="dxa"/>
            <w:vAlign w:val="top"/>
          </w:tcPr>
          <w:p w14:paraId="3A89325A">
            <w:pPr>
              <w:spacing w:before="207" w:line="192"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w:t>
            </w:r>
          </w:p>
        </w:tc>
        <w:tc>
          <w:tcPr>
            <w:tcW w:w="651" w:type="dxa"/>
            <w:vAlign w:val="top"/>
          </w:tcPr>
          <w:p w14:paraId="4AED1D31">
            <w:pPr>
              <w:spacing w:before="204"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2" w:type="dxa"/>
            <w:vAlign w:val="top"/>
          </w:tcPr>
          <w:p w14:paraId="1FC7314B">
            <w:pPr>
              <w:spacing w:before="20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0.557</w:t>
            </w:r>
          </w:p>
        </w:tc>
      </w:tr>
      <w:tr w14:paraId="2F7F3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06" w:type="dxa"/>
            <w:vAlign w:val="top"/>
          </w:tcPr>
          <w:p w14:paraId="6B037C22">
            <w:pPr>
              <w:pStyle w:val="6"/>
              <w:spacing w:before="97" w:line="228" w:lineRule="auto"/>
              <w:ind w:left="192"/>
              <w:rPr>
                <w:sz w:val="20"/>
                <w:szCs w:val="20"/>
              </w:rPr>
            </w:pPr>
            <w:r>
              <w:rPr>
                <w:spacing w:val="7"/>
                <w:sz w:val="20"/>
                <w:szCs w:val="20"/>
              </w:rPr>
              <w:t>废酸液</w:t>
            </w:r>
          </w:p>
        </w:tc>
        <w:tc>
          <w:tcPr>
            <w:tcW w:w="929" w:type="dxa"/>
            <w:vAlign w:val="top"/>
          </w:tcPr>
          <w:p w14:paraId="67A65EC2">
            <w:pPr>
              <w:spacing w:before="128" w:line="199"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0" w:type="dxa"/>
            <w:vAlign w:val="top"/>
          </w:tcPr>
          <w:p w14:paraId="69A5E9AB">
            <w:pPr>
              <w:spacing w:before="132"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3189.6</w:t>
            </w:r>
          </w:p>
        </w:tc>
        <w:tc>
          <w:tcPr>
            <w:tcW w:w="951" w:type="dxa"/>
            <w:vAlign w:val="top"/>
          </w:tcPr>
          <w:p w14:paraId="252C5210">
            <w:pPr>
              <w:spacing w:before="135" w:line="192"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110" w:type="dxa"/>
            <w:vAlign w:val="top"/>
          </w:tcPr>
          <w:p w14:paraId="5C6A43DE">
            <w:pPr>
              <w:spacing w:before="128" w:line="199"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2" w:type="dxa"/>
            <w:vAlign w:val="top"/>
          </w:tcPr>
          <w:p w14:paraId="287CD755">
            <w:pPr>
              <w:spacing w:before="135" w:line="192"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5" w:type="dxa"/>
            <w:vAlign w:val="top"/>
          </w:tcPr>
          <w:p w14:paraId="417F8868">
            <w:pPr>
              <w:spacing w:before="135" w:line="192"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51" w:type="dxa"/>
            <w:vAlign w:val="top"/>
          </w:tcPr>
          <w:p w14:paraId="1CC6A206">
            <w:pPr>
              <w:spacing w:before="135" w:line="192"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2" w:type="dxa"/>
            <w:vAlign w:val="top"/>
          </w:tcPr>
          <w:p w14:paraId="4C080BE7">
            <w:pPr>
              <w:spacing w:before="132"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64657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06" w:type="dxa"/>
            <w:vAlign w:val="top"/>
          </w:tcPr>
          <w:p w14:paraId="564D6F3C">
            <w:pPr>
              <w:pStyle w:val="6"/>
              <w:spacing w:before="98" w:line="229" w:lineRule="auto"/>
              <w:ind w:left="299"/>
              <w:rPr>
                <w:sz w:val="20"/>
                <w:szCs w:val="20"/>
              </w:rPr>
            </w:pPr>
            <w:r>
              <w:rPr>
                <w:spacing w:val="4"/>
                <w:sz w:val="20"/>
                <w:szCs w:val="20"/>
              </w:rPr>
              <w:t>合计</w:t>
            </w:r>
          </w:p>
        </w:tc>
        <w:tc>
          <w:tcPr>
            <w:tcW w:w="929" w:type="dxa"/>
            <w:vAlign w:val="top"/>
          </w:tcPr>
          <w:p w14:paraId="4C8F265D">
            <w:pPr>
              <w:spacing w:before="130" w:line="199"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0" w:type="dxa"/>
            <w:vAlign w:val="top"/>
          </w:tcPr>
          <w:p w14:paraId="50605C00">
            <w:pPr>
              <w:spacing w:before="130" w:line="199"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1" w:type="dxa"/>
            <w:vAlign w:val="top"/>
          </w:tcPr>
          <w:p w14:paraId="6A44941D">
            <w:pPr>
              <w:spacing w:before="130" w:line="199"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0" w:type="dxa"/>
            <w:vAlign w:val="top"/>
          </w:tcPr>
          <w:p w14:paraId="26D25C6D">
            <w:pPr>
              <w:spacing w:before="130" w:line="199"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2" w:type="dxa"/>
            <w:vAlign w:val="top"/>
          </w:tcPr>
          <w:p w14:paraId="47A77F49">
            <w:pPr>
              <w:spacing w:before="130"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5" w:type="dxa"/>
            <w:vAlign w:val="top"/>
          </w:tcPr>
          <w:p w14:paraId="310E86CE">
            <w:pPr>
              <w:spacing w:before="130" w:line="199"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51" w:type="dxa"/>
            <w:vAlign w:val="top"/>
          </w:tcPr>
          <w:p w14:paraId="7319A999">
            <w:pPr>
              <w:spacing w:before="130" w:line="199"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2" w:type="dxa"/>
            <w:vAlign w:val="top"/>
          </w:tcPr>
          <w:p w14:paraId="54C7517C">
            <w:pPr>
              <w:spacing w:before="134"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43.3719</w:t>
            </w:r>
          </w:p>
        </w:tc>
      </w:tr>
    </w:tbl>
    <w:p w14:paraId="57C7F4BA">
      <w:pPr>
        <w:spacing w:before="33" w:line="309" w:lineRule="auto"/>
        <w:ind w:left="89" w:firstLine="422"/>
        <w:rPr>
          <w:rFonts w:ascii="楷体" w:hAnsi="楷体" w:eastAsia="楷体" w:cs="楷体"/>
          <w:sz w:val="20"/>
          <w:szCs w:val="20"/>
        </w:rPr>
      </w:pPr>
      <w:r>
        <w:rPr>
          <w:rFonts w:ascii="楷体" w:hAnsi="楷体" w:eastAsia="楷体" w:cs="楷体"/>
          <w:spacing w:val="8"/>
          <w:sz w:val="20"/>
          <w:szCs w:val="20"/>
        </w:rPr>
        <w:t>注：1、项</w:t>
      </w:r>
      <w:r>
        <w:rPr>
          <w:rFonts w:ascii="楷体" w:hAnsi="楷体" w:eastAsia="楷体" w:cs="楷体"/>
          <w:spacing w:val="-42"/>
          <w:sz w:val="20"/>
          <w:szCs w:val="20"/>
        </w:rPr>
        <w:t xml:space="preserve"> </w:t>
      </w:r>
      <w:r>
        <w:rPr>
          <w:rFonts w:ascii="楷体" w:hAnsi="楷体" w:eastAsia="楷体" w:cs="楷体"/>
          <w:spacing w:val="8"/>
          <w:sz w:val="20"/>
          <w:szCs w:val="20"/>
        </w:rPr>
        <w:t>目使用的盐酸的浓度是</w:t>
      </w:r>
      <w:r>
        <w:rPr>
          <w:rFonts w:ascii="楷体" w:hAnsi="楷体" w:eastAsia="楷体" w:cs="楷体"/>
          <w:spacing w:val="-34"/>
          <w:sz w:val="20"/>
          <w:szCs w:val="20"/>
        </w:rPr>
        <w:t xml:space="preserve"> </w:t>
      </w:r>
      <w:r>
        <w:rPr>
          <w:rFonts w:ascii="楷体" w:hAnsi="楷体" w:eastAsia="楷体" w:cs="楷体"/>
          <w:spacing w:val="8"/>
          <w:sz w:val="20"/>
          <w:szCs w:val="20"/>
        </w:rPr>
        <w:t>31%，总用量是</w:t>
      </w:r>
      <w:r>
        <w:rPr>
          <w:rFonts w:ascii="楷体" w:hAnsi="楷体" w:eastAsia="楷体" w:cs="楷体"/>
          <w:spacing w:val="-42"/>
          <w:sz w:val="20"/>
          <w:szCs w:val="20"/>
        </w:rPr>
        <w:t xml:space="preserve"> </w:t>
      </w:r>
      <w:r>
        <w:rPr>
          <w:rFonts w:ascii="楷体" w:hAnsi="楷体" w:eastAsia="楷体" w:cs="楷体"/>
          <w:spacing w:val="8"/>
          <w:sz w:val="20"/>
          <w:szCs w:val="20"/>
        </w:rPr>
        <w:t>4400t/a，最大暂存量为</w:t>
      </w:r>
      <w:r>
        <w:rPr>
          <w:rFonts w:ascii="楷体" w:hAnsi="楷体" w:eastAsia="楷体" w:cs="楷体"/>
          <w:spacing w:val="-40"/>
          <w:sz w:val="20"/>
          <w:szCs w:val="20"/>
        </w:rPr>
        <w:t xml:space="preserve"> </w:t>
      </w:r>
      <w:r>
        <w:rPr>
          <w:rFonts w:ascii="楷体" w:hAnsi="楷体" w:eastAsia="楷体" w:cs="楷体"/>
          <w:spacing w:val="7"/>
          <w:sz w:val="20"/>
          <w:szCs w:val="20"/>
        </w:rPr>
        <w:t>50t，使用在线量</w:t>
      </w:r>
      <w:r>
        <w:rPr>
          <w:rFonts w:ascii="楷体" w:hAnsi="楷体" w:eastAsia="楷体" w:cs="楷体"/>
          <w:sz w:val="20"/>
          <w:szCs w:val="20"/>
        </w:rPr>
        <w:t xml:space="preserve"> 为</w:t>
      </w:r>
      <w:r>
        <w:rPr>
          <w:rFonts w:ascii="楷体" w:hAnsi="楷体" w:eastAsia="楷体" w:cs="楷体"/>
          <w:spacing w:val="-35"/>
          <w:sz w:val="20"/>
          <w:szCs w:val="20"/>
        </w:rPr>
        <w:t xml:space="preserve"> </w:t>
      </w:r>
      <w:r>
        <w:rPr>
          <w:rFonts w:ascii="楷体" w:hAnsi="楷体" w:eastAsia="楷体" w:cs="楷体"/>
          <w:sz w:val="20"/>
          <w:szCs w:val="20"/>
        </w:rPr>
        <w:t>14.67t，</w:t>
      </w:r>
      <w:r>
        <w:rPr>
          <w:rFonts w:ascii="宋体" w:hAnsi="宋体" w:eastAsia="宋体" w:cs="宋体"/>
          <w:sz w:val="20"/>
          <w:szCs w:val="20"/>
        </w:rPr>
        <w:t>厂界内最大存在总量位</w:t>
      </w:r>
      <w:r>
        <w:rPr>
          <w:rFonts w:ascii="宋体" w:hAnsi="宋体" w:eastAsia="宋体" w:cs="宋体"/>
          <w:spacing w:val="-45"/>
          <w:sz w:val="20"/>
          <w:szCs w:val="20"/>
        </w:rPr>
        <w:t xml:space="preserve"> </w:t>
      </w:r>
      <w:r>
        <w:rPr>
          <w:rFonts w:ascii="宋体" w:hAnsi="宋体" w:eastAsia="宋体" w:cs="宋体"/>
          <w:sz w:val="20"/>
          <w:szCs w:val="20"/>
        </w:rPr>
        <w:t>64.67</w:t>
      </w:r>
      <w:r>
        <w:rPr>
          <w:rFonts w:ascii="楷体" w:hAnsi="楷体" w:eastAsia="楷体" w:cs="楷体"/>
          <w:sz w:val="20"/>
          <w:szCs w:val="20"/>
        </w:rPr>
        <w:t>t。折算为浓度</w:t>
      </w:r>
      <w:r>
        <w:rPr>
          <w:rFonts w:ascii="楷体" w:hAnsi="楷体" w:eastAsia="楷体" w:cs="楷体"/>
          <w:spacing w:val="-44"/>
          <w:sz w:val="20"/>
          <w:szCs w:val="20"/>
        </w:rPr>
        <w:t xml:space="preserve"> </w:t>
      </w:r>
      <w:r>
        <w:rPr>
          <w:rFonts w:ascii="楷体" w:hAnsi="楷体" w:eastAsia="楷体" w:cs="楷体"/>
          <w:sz w:val="20"/>
          <w:szCs w:val="20"/>
        </w:rPr>
        <w:t>37%的盐酸，</w:t>
      </w:r>
      <w:r>
        <w:rPr>
          <w:rFonts w:ascii="宋体" w:hAnsi="宋体" w:eastAsia="宋体" w:cs="宋体"/>
          <w:sz w:val="20"/>
          <w:szCs w:val="20"/>
        </w:rPr>
        <w:t>厂界内最大存在总量</w:t>
      </w:r>
      <w:r>
        <w:rPr>
          <w:rFonts w:ascii="宋体" w:hAnsi="宋体" w:eastAsia="宋体" w:cs="宋体"/>
          <w:spacing w:val="-1"/>
          <w:sz w:val="20"/>
          <w:szCs w:val="20"/>
        </w:rPr>
        <w:t>位</w:t>
      </w:r>
      <w:r>
        <w:rPr>
          <w:rFonts w:ascii="宋体" w:hAnsi="宋体" w:eastAsia="宋体" w:cs="宋体"/>
          <w:spacing w:val="-45"/>
          <w:sz w:val="20"/>
          <w:szCs w:val="20"/>
        </w:rPr>
        <w:t xml:space="preserve"> </w:t>
      </w:r>
      <w:r>
        <w:rPr>
          <w:rFonts w:ascii="Times New Roman" w:hAnsi="Times New Roman" w:eastAsia="Times New Roman" w:cs="Times New Roman"/>
          <w:spacing w:val="-1"/>
          <w:sz w:val="20"/>
          <w:szCs w:val="20"/>
        </w:rPr>
        <w:t>54.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18</w:t>
      </w:r>
      <w:r>
        <w:rPr>
          <w:rFonts w:ascii="楷体" w:hAnsi="楷体" w:eastAsia="楷体" w:cs="楷体"/>
          <w:spacing w:val="-1"/>
          <w:sz w:val="20"/>
          <w:szCs w:val="20"/>
        </w:rPr>
        <w:t>t。</w:t>
      </w:r>
    </w:p>
    <w:p w14:paraId="72CF9120">
      <w:pPr>
        <w:spacing w:before="133" w:line="212" w:lineRule="auto"/>
        <w:ind w:left="562"/>
        <w:rPr>
          <w:rFonts w:ascii="宋体" w:hAnsi="宋体" w:eastAsia="宋体" w:cs="宋体"/>
          <w:sz w:val="24"/>
          <w:szCs w:val="24"/>
        </w:rPr>
      </w:pPr>
      <w:r>
        <w:rPr>
          <w:rFonts w:ascii="宋体" w:hAnsi="宋体" w:eastAsia="宋体" w:cs="宋体"/>
          <w:spacing w:val="-3"/>
          <w:sz w:val="24"/>
          <w:szCs w:val="24"/>
        </w:rPr>
        <w:t>根据上述计算，本项目</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 xml:space="preserve">Q </w:t>
      </w:r>
      <w:r>
        <w:rPr>
          <w:rFonts w:ascii="宋体" w:hAnsi="宋体" w:eastAsia="宋体" w:cs="宋体"/>
          <w:spacing w:val="-3"/>
          <w:sz w:val="24"/>
          <w:szCs w:val="24"/>
        </w:rPr>
        <w:t>值为</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43.3719</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，属于</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10≤Q</w:t>
      </w:r>
      <w:r>
        <w:rPr>
          <w:rFonts w:ascii="宋体" w:hAnsi="宋体" w:eastAsia="宋体" w:cs="宋体"/>
          <w:spacing w:val="-3"/>
          <w:sz w:val="24"/>
          <w:szCs w:val="24"/>
        </w:rPr>
        <w:t>＜</w:t>
      </w:r>
      <w:r>
        <w:rPr>
          <w:rFonts w:ascii="Times New Roman" w:hAnsi="Times New Roman" w:eastAsia="Times New Roman" w:cs="Times New Roman"/>
          <w:spacing w:val="-3"/>
          <w:sz w:val="24"/>
          <w:szCs w:val="24"/>
        </w:rPr>
        <w:t>100</w:t>
      </w:r>
      <w:r>
        <w:rPr>
          <w:rFonts w:ascii="宋体" w:hAnsi="宋体" w:eastAsia="宋体" w:cs="宋体"/>
          <w:spacing w:val="-3"/>
          <w:sz w:val="24"/>
          <w:szCs w:val="24"/>
        </w:rPr>
        <w:t>。</w:t>
      </w:r>
    </w:p>
    <w:p w14:paraId="57BC5061">
      <w:pPr>
        <w:spacing w:before="192" w:line="219" w:lineRule="auto"/>
        <w:ind w:left="78"/>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5"/>
          <w:sz w:val="24"/>
          <w:szCs w:val="24"/>
        </w:rPr>
        <w:t xml:space="preserve"> </w:t>
      </w:r>
      <w:r>
        <w:rPr>
          <w:rFonts w:ascii="宋体" w:hAnsi="宋体" w:eastAsia="宋体" w:cs="宋体"/>
          <w:b/>
          <w:bCs/>
          <w:spacing w:val="-5"/>
          <w:sz w:val="24"/>
          <w:szCs w:val="24"/>
        </w:rPr>
        <w:t>、行业及生产工艺（</w:t>
      </w:r>
      <w:r>
        <w:rPr>
          <w:rFonts w:ascii="Times New Roman" w:hAnsi="Times New Roman" w:eastAsia="Times New Roman" w:cs="Times New Roman"/>
          <w:b/>
          <w:bCs/>
          <w:spacing w:val="-5"/>
          <w:sz w:val="24"/>
          <w:szCs w:val="24"/>
        </w:rPr>
        <w:t>M</w:t>
      </w:r>
      <w:r>
        <w:rPr>
          <w:rFonts w:ascii="宋体" w:hAnsi="宋体" w:eastAsia="宋体" w:cs="宋体"/>
          <w:b/>
          <w:bCs/>
          <w:spacing w:val="-5"/>
          <w:sz w:val="24"/>
          <w:szCs w:val="24"/>
        </w:rPr>
        <w:t>）</w:t>
      </w:r>
    </w:p>
    <w:p w14:paraId="4D8B54A6">
      <w:pPr>
        <w:spacing w:before="182" w:line="359" w:lineRule="auto"/>
        <w:ind w:left="81" w:right="71" w:firstLine="480"/>
        <w:jc w:val="both"/>
        <w:rPr>
          <w:rFonts w:ascii="宋体" w:hAnsi="宋体" w:eastAsia="宋体" w:cs="宋体"/>
          <w:sz w:val="24"/>
          <w:szCs w:val="24"/>
        </w:rPr>
      </w:pPr>
      <w:r>
        <w:rPr>
          <w:rFonts w:ascii="宋体" w:hAnsi="宋体" w:eastAsia="宋体" w:cs="宋体"/>
          <w:sz w:val="24"/>
          <w:szCs w:val="24"/>
        </w:rPr>
        <w:t>根据《建设项目环境风险评价技术导则》（</w:t>
      </w:r>
      <w:r>
        <w:rPr>
          <w:rFonts w:ascii="Times New Roman" w:hAnsi="Times New Roman" w:eastAsia="Times New Roman" w:cs="Times New Roman"/>
          <w:sz w:val="24"/>
          <w:szCs w:val="24"/>
        </w:rPr>
        <w:t>HJ169-2018</w:t>
      </w:r>
      <w:r>
        <w:rPr>
          <w:rFonts w:ascii="宋体" w:hAnsi="宋体" w:eastAsia="宋体" w:cs="宋体"/>
          <w:spacing w:val="7"/>
          <w:sz w:val="24"/>
          <w:szCs w:val="24"/>
        </w:rPr>
        <w:t>），</w:t>
      </w:r>
      <w:r>
        <w:rPr>
          <w:rFonts w:ascii="宋体" w:hAnsi="宋体" w:eastAsia="宋体" w:cs="宋体"/>
          <w:sz w:val="24"/>
          <w:szCs w:val="24"/>
        </w:rPr>
        <w:t>将</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M </w:t>
      </w:r>
      <w:r>
        <w:rPr>
          <w:rFonts w:ascii="宋体" w:hAnsi="宋体" w:eastAsia="宋体" w:cs="宋体"/>
          <w:sz w:val="24"/>
          <w:szCs w:val="24"/>
        </w:rPr>
        <w:t>划分为（</w:t>
      </w:r>
      <w:r>
        <w:rPr>
          <w:rFonts w:ascii="Times New Roman" w:hAnsi="Times New Roman" w:eastAsia="Times New Roman" w:cs="Times New Roman"/>
          <w:sz w:val="24"/>
          <w:szCs w:val="24"/>
        </w:rPr>
        <w:t>1</w:t>
      </w:r>
      <w:r>
        <w:rPr>
          <w:rFonts w:ascii="宋体" w:hAnsi="宋体" w:eastAsia="宋体" w:cs="宋体"/>
          <w:sz w:val="24"/>
          <w:szCs w:val="24"/>
        </w:rPr>
        <w:t>）</w:t>
      </w:r>
      <w:r>
        <w:rPr>
          <w:rFonts w:ascii="Times New Roman" w:hAnsi="Times New Roman" w:eastAsia="Times New Roman" w:cs="Times New Roman"/>
          <w:sz w:val="24"/>
          <w:szCs w:val="24"/>
        </w:rPr>
        <w:t xml:space="preserve">M </w:t>
      </w:r>
      <w:r>
        <w:rPr>
          <w:rFonts w:ascii="宋体" w:hAnsi="宋体" w:eastAsia="宋体" w:cs="宋体"/>
          <w:spacing w:val="3"/>
          <w:sz w:val="24"/>
          <w:szCs w:val="24"/>
        </w:rPr>
        <w:t>&gt;</w:t>
      </w:r>
      <w:r>
        <w:rPr>
          <w:rFonts w:ascii="Times New Roman" w:hAnsi="Times New Roman" w:eastAsia="Times New Roman" w:cs="Times New Roman"/>
          <w:spacing w:val="3"/>
          <w:sz w:val="24"/>
          <w:szCs w:val="24"/>
        </w:rPr>
        <w:t>20</w:t>
      </w:r>
      <w:r>
        <w:rPr>
          <w:rFonts w:ascii="宋体" w:hAnsi="宋体" w:eastAsia="宋体" w:cs="宋体"/>
          <w:spacing w:val="-14"/>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r>
        <w:rPr>
          <w:rFonts w:ascii="Times New Roman" w:hAnsi="Times New Roman" w:eastAsia="Times New Roman" w:cs="Times New Roman"/>
          <w:spacing w:val="3"/>
          <w:sz w:val="24"/>
          <w:szCs w:val="24"/>
        </w:rPr>
        <w:t>M≤20</w:t>
      </w:r>
      <w:r>
        <w:rPr>
          <w:rFonts w:ascii="宋体" w:hAnsi="宋体" w:eastAsia="宋体" w:cs="宋体"/>
          <w:spacing w:val="-14"/>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r>
        <w:rPr>
          <w:rFonts w:ascii="Times New Roman" w:hAnsi="Times New Roman" w:eastAsia="Times New Roman" w:cs="Times New Roman"/>
          <w:spacing w:val="3"/>
          <w:sz w:val="24"/>
          <w:szCs w:val="24"/>
        </w:rPr>
        <w:t>M≤10</w:t>
      </w:r>
      <w:r>
        <w:rPr>
          <w:rFonts w:ascii="宋体" w:hAnsi="宋体" w:eastAsia="宋体" w:cs="宋体"/>
          <w:spacing w:val="-14"/>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，分别以</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M1</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M2</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M3 </w:t>
      </w:r>
      <w:r>
        <w:rPr>
          <w:rFonts w:ascii="宋体" w:hAnsi="宋体" w:eastAsia="宋体" w:cs="宋体"/>
          <w:spacing w:val="3"/>
          <w:sz w:val="24"/>
          <w:szCs w:val="24"/>
        </w:rPr>
        <w:t>和</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M4</w:t>
      </w:r>
      <w:r>
        <w:rPr>
          <w:rFonts w:ascii="Times New Roman" w:hAnsi="Times New Roman" w:eastAsia="Times New Roman" w:cs="Times New Roman"/>
          <w:sz w:val="24"/>
          <w:szCs w:val="24"/>
        </w:rPr>
        <w:t xml:space="preserve"> </w:t>
      </w:r>
      <w:r>
        <w:rPr>
          <w:rFonts w:ascii="宋体" w:hAnsi="宋体" w:eastAsia="宋体" w:cs="宋体"/>
          <w:spacing w:val="-3"/>
          <w:sz w:val="24"/>
          <w:szCs w:val="24"/>
        </w:rPr>
        <w:t>表示。</w:t>
      </w:r>
    </w:p>
    <w:p w14:paraId="514BFBF0">
      <w:pPr>
        <w:spacing w:before="2" w:line="360" w:lineRule="auto"/>
        <w:ind w:left="81" w:right="71" w:firstLine="480"/>
        <w:jc w:val="both"/>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3"/>
          <w:sz w:val="24"/>
          <w:szCs w:val="24"/>
        </w:rPr>
        <w:t>J169-2018</w:t>
      </w:r>
      <w:r>
        <w:rPr>
          <w:rFonts w:ascii="宋体" w:hAnsi="宋体" w:eastAsia="宋体" w:cs="宋体"/>
          <w:spacing w:val="-3"/>
          <w:sz w:val="24"/>
          <w:szCs w:val="24"/>
        </w:rPr>
        <w:t>）附录</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33"/>
          <w:w w:val="101"/>
          <w:sz w:val="24"/>
          <w:szCs w:val="24"/>
        </w:rPr>
        <w:t xml:space="preserve"> </w:t>
      </w:r>
      <w:r>
        <w:rPr>
          <w:rFonts w:ascii="宋体" w:hAnsi="宋体" w:eastAsia="宋体" w:cs="宋体"/>
          <w:spacing w:val="-3"/>
          <w:sz w:val="24"/>
          <w:szCs w:val="24"/>
        </w:rPr>
        <w:t>中“表</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 xml:space="preserve">C.1 </w:t>
      </w:r>
      <w:r>
        <w:rPr>
          <w:rFonts w:ascii="宋体" w:hAnsi="宋体" w:eastAsia="宋体" w:cs="宋体"/>
          <w:spacing w:val="-3"/>
          <w:sz w:val="24"/>
          <w:szCs w:val="24"/>
        </w:rPr>
        <w:t>行业</w:t>
      </w:r>
      <w:r>
        <w:rPr>
          <w:rFonts w:ascii="宋体" w:hAnsi="宋体" w:eastAsia="宋体" w:cs="宋体"/>
          <w:sz w:val="24"/>
          <w:szCs w:val="24"/>
        </w:rPr>
        <w:t xml:space="preserve"> </w:t>
      </w:r>
      <w:r>
        <w:rPr>
          <w:rFonts w:ascii="宋体" w:hAnsi="宋体" w:eastAsia="宋体" w:cs="宋体"/>
          <w:spacing w:val="-4"/>
          <w:sz w:val="24"/>
          <w:szCs w:val="24"/>
        </w:rPr>
        <w:t>及生产工艺（</w:t>
      </w:r>
      <w:r>
        <w:rPr>
          <w:rFonts w:ascii="Times New Roman" w:hAnsi="Times New Roman" w:eastAsia="Times New Roman" w:cs="Times New Roman"/>
          <w:spacing w:val="-4"/>
          <w:sz w:val="24"/>
          <w:szCs w:val="24"/>
        </w:rPr>
        <w:t>M</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w:t>
      </w:r>
      <w:r>
        <w:rPr>
          <w:rFonts w:ascii="宋体" w:hAnsi="宋体" w:eastAsia="宋体" w:cs="宋体"/>
          <w:spacing w:val="63"/>
          <w:sz w:val="24"/>
          <w:szCs w:val="24"/>
        </w:rPr>
        <w:t xml:space="preserve"> </w:t>
      </w:r>
      <w:r>
        <w:rPr>
          <w:rFonts w:ascii="宋体" w:hAnsi="宋体" w:eastAsia="宋体" w:cs="宋体"/>
          <w:spacing w:val="-4"/>
          <w:sz w:val="24"/>
          <w:szCs w:val="24"/>
        </w:rPr>
        <w:t>全厂生产过程中涉及表</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C.1</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中的行业及生产工艺主要为泡酸工</w:t>
      </w:r>
      <w:r>
        <w:rPr>
          <w:rFonts w:ascii="宋体" w:hAnsi="宋体" w:eastAsia="宋体" w:cs="宋体"/>
          <w:sz w:val="24"/>
          <w:szCs w:val="24"/>
        </w:rPr>
        <w:t xml:space="preserve"> </w:t>
      </w:r>
      <w:r>
        <w:rPr>
          <w:rFonts w:ascii="宋体" w:hAnsi="宋体" w:eastAsia="宋体" w:cs="宋体"/>
          <w:spacing w:val="-2"/>
          <w:sz w:val="24"/>
          <w:szCs w:val="24"/>
        </w:rPr>
        <w:t>艺和注胶工艺，无“其他高温或高压，涉及危险物质使用、贮存的项目</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有涉及危</w:t>
      </w:r>
      <w:r>
        <w:rPr>
          <w:rFonts w:ascii="宋体" w:hAnsi="宋体" w:eastAsia="宋体" w:cs="宋体"/>
          <w:sz w:val="24"/>
          <w:szCs w:val="24"/>
        </w:rPr>
        <w:t xml:space="preserve"> </w:t>
      </w:r>
      <w:r>
        <w:rPr>
          <w:rFonts w:ascii="宋体" w:hAnsi="宋体" w:eastAsia="宋体" w:cs="宋体"/>
          <w:spacing w:val="-1"/>
          <w:sz w:val="24"/>
          <w:szCs w:val="24"/>
        </w:rPr>
        <w:t>险物质使用、贮存的项目，详见下表。</w:t>
      </w:r>
    </w:p>
    <w:p w14:paraId="2689F2E1">
      <w:pPr>
        <w:spacing w:before="113" w:line="219" w:lineRule="auto"/>
        <w:ind w:left="2975"/>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3"/>
          <w:sz w:val="24"/>
          <w:szCs w:val="24"/>
        </w:rPr>
        <w:t xml:space="preserve">4    </w:t>
      </w:r>
      <w:r>
        <w:rPr>
          <w:rFonts w:ascii="宋体" w:hAnsi="宋体" w:eastAsia="宋体" w:cs="宋体"/>
          <w:b/>
          <w:bCs/>
          <w:spacing w:val="-3"/>
          <w:sz w:val="24"/>
          <w:szCs w:val="24"/>
        </w:rPr>
        <w:t>行业及生产工艺（</w:t>
      </w:r>
      <w:r>
        <w:rPr>
          <w:rFonts w:ascii="Times New Roman" w:hAnsi="Times New Roman" w:eastAsia="Times New Roman" w:cs="Times New Roman"/>
          <w:b/>
          <w:bCs/>
          <w:spacing w:val="-3"/>
          <w:sz w:val="24"/>
          <w:szCs w:val="24"/>
        </w:rPr>
        <w:t>M</w:t>
      </w:r>
      <w:r>
        <w:rPr>
          <w:rFonts w:ascii="宋体" w:hAnsi="宋体" w:eastAsia="宋体" w:cs="宋体"/>
          <w:b/>
          <w:bCs/>
          <w:spacing w:val="-3"/>
          <w:sz w:val="24"/>
          <w:szCs w:val="24"/>
        </w:rPr>
        <w:t>）</w:t>
      </w:r>
    </w:p>
    <w:p w14:paraId="28668CD5">
      <w:pPr>
        <w:spacing w:line="147" w:lineRule="exact"/>
      </w:pPr>
    </w:p>
    <w:tbl>
      <w:tblPr>
        <w:tblStyle w:val="5"/>
        <w:tblW w:w="89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7"/>
        <w:gridCol w:w="5563"/>
        <w:gridCol w:w="1743"/>
      </w:tblGrid>
      <w:tr w14:paraId="13EBB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7" w:type="dxa"/>
            <w:vAlign w:val="top"/>
          </w:tcPr>
          <w:p w14:paraId="7B5723C1">
            <w:pPr>
              <w:pStyle w:val="6"/>
              <w:spacing w:before="130" w:line="228" w:lineRule="auto"/>
              <w:ind w:left="636"/>
              <w:rPr>
                <w:sz w:val="20"/>
                <w:szCs w:val="20"/>
              </w:rPr>
            </w:pPr>
            <w:r>
              <w:rPr>
                <w:b/>
                <w:bCs/>
                <w:spacing w:val="2"/>
                <w:sz w:val="20"/>
                <w:szCs w:val="20"/>
              </w:rPr>
              <w:t>行业</w:t>
            </w:r>
          </w:p>
        </w:tc>
        <w:tc>
          <w:tcPr>
            <w:tcW w:w="5563" w:type="dxa"/>
            <w:vAlign w:val="top"/>
          </w:tcPr>
          <w:p w14:paraId="38C4CC27">
            <w:pPr>
              <w:pStyle w:val="6"/>
              <w:spacing w:before="130" w:line="226" w:lineRule="auto"/>
              <w:ind w:left="2363"/>
              <w:rPr>
                <w:sz w:val="20"/>
                <w:szCs w:val="20"/>
              </w:rPr>
            </w:pPr>
            <w:r>
              <w:rPr>
                <w:b/>
                <w:bCs/>
                <w:spacing w:val="6"/>
                <w:sz w:val="20"/>
                <w:szCs w:val="20"/>
              </w:rPr>
              <w:t>评估依据</w:t>
            </w:r>
          </w:p>
        </w:tc>
        <w:tc>
          <w:tcPr>
            <w:tcW w:w="1743" w:type="dxa"/>
            <w:vAlign w:val="top"/>
          </w:tcPr>
          <w:p w14:paraId="29E01362">
            <w:pPr>
              <w:pStyle w:val="6"/>
              <w:spacing w:before="129" w:line="228" w:lineRule="auto"/>
              <w:ind w:left="667"/>
              <w:rPr>
                <w:sz w:val="20"/>
                <w:szCs w:val="20"/>
              </w:rPr>
            </w:pPr>
            <w:r>
              <w:rPr>
                <w:b/>
                <w:bCs/>
                <w:spacing w:val="2"/>
                <w:sz w:val="20"/>
                <w:szCs w:val="20"/>
              </w:rPr>
              <w:t>分值</w:t>
            </w:r>
          </w:p>
        </w:tc>
      </w:tr>
      <w:tr w14:paraId="34F4D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1677" w:type="dxa"/>
            <w:vMerge w:val="restart"/>
            <w:tcBorders>
              <w:bottom w:val="nil"/>
            </w:tcBorders>
            <w:vAlign w:val="top"/>
          </w:tcPr>
          <w:p w14:paraId="7368A9A5">
            <w:pPr>
              <w:spacing w:line="306" w:lineRule="auto"/>
              <w:rPr>
                <w:rFonts w:ascii="Arial"/>
                <w:sz w:val="21"/>
              </w:rPr>
            </w:pPr>
          </w:p>
          <w:p w14:paraId="221DEB10">
            <w:pPr>
              <w:spacing w:line="307" w:lineRule="auto"/>
              <w:rPr>
                <w:rFonts w:ascii="Arial"/>
                <w:sz w:val="21"/>
              </w:rPr>
            </w:pPr>
          </w:p>
          <w:p w14:paraId="6D77F46E">
            <w:pPr>
              <w:spacing w:line="307" w:lineRule="auto"/>
              <w:rPr>
                <w:rFonts w:ascii="Arial"/>
                <w:sz w:val="21"/>
              </w:rPr>
            </w:pPr>
          </w:p>
          <w:p w14:paraId="7A97D417">
            <w:pPr>
              <w:pStyle w:val="6"/>
              <w:spacing w:before="65" w:line="252" w:lineRule="auto"/>
              <w:ind w:left="117" w:right="37"/>
              <w:jc w:val="both"/>
              <w:rPr>
                <w:sz w:val="20"/>
                <w:szCs w:val="20"/>
              </w:rPr>
            </w:pPr>
            <w:r>
              <w:rPr>
                <w:spacing w:val="6"/>
                <w:sz w:val="20"/>
                <w:szCs w:val="20"/>
              </w:rPr>
              <w:t>石化、化工、医</w:t>
            </w:r>
            <w:r>
              <w:rPr>
                <w:spacing w:val="2"/>
                <w:sz w:val="20"/>
                <w:szCs w:val="20"/>
              </w:rPr>
              <w:t xml:space="preserve"> </w:t>
            </w:r>
            <w:r>
              <w:rPr>
                <w:spacing w:val="-11"/>
                <w:sz w:val="20"/>
                <w:szCs w:val="20"/>
              </w:rPr>
              <w:t>药、轻工、化纤、</w:t>
            </w:r>
            <w:r>
              <w:rPr>
                <w:spacing w:val="3"/>
                <w:sz w:val="20"/>
                <w:szCs w:val="20"/>
              </w:rPr>
              <w:t xml:space="preserve"> </w:t>
            </w:r>
            <w:r>
              <w:rPr>
                <w:spacing w:val="7"/>
                <w:sz w:val="20"/>
                <w:szCs w:val="20"/>
              </w:rPr>
              <w:t>有色冶炼等</w:t>
            </w:r>
          </w:p>
        </w:tc>
        <w:tc>
          <w:tcPr>
            <w:tcW w:w="5563" w:type="dxa"/>
            <w:vAlign w:val="top"/>
          </w:tcPr>
          <w:p w14:paraId="1D158842">
            <w:pPr>
              <w:pStyle w:val="6"/>
              <w:spacing w:before="111" w:line="228" w:lineRule="auto"/>
              <w:ind w:left="114"/>
              <w:rPr>
                <w:sz w:val="20"/>
                <w:szCs w:val="20"/>
              </w:rPr>
            </w:pPr>
            <w:r>
              <w:rPr>
                <w:spacing w:val="9"/>
                <w:sz w:val="20"/>
                <w:szCs w:val="20"/>
              </w:rPr>
              <w:t>涉及光气及光气化工艺、电解工艺（氯碱）、氯化工艺、</w:t>
            </w:r>
          </w:p>
          <w:p w14:paraId="0F7DE8FA">
            <w:pPr>
              <w:pStyle w:val="6"/>
              <w:spacing w:before="24" w:line="228" w:lineRule="auto"/>
              <w:ind w:left="114"/>
              <w:rPr>
                <w:sz w:val="20"/>
                <w:szCs w:val="20"/>
              </w:rPr>
            </w:pPr>
            <w:r>
              <w:rPr>
                <w:spacing w:val="9"/>
                <w:sz w:val="20"/>
                <w:szCs w:val="20"/>
              </w:rPr>
              <w:t>硝化工艺、合成氨工艺、裂解（裂化）工艺、氟化工艺、</w:t>
            </w:r>
          </w:p>
          <w:p w14:paraId="42D9DDF2">
            <w:pPr>
              <w:pStyle w:val="6"/>
              <w:spacing w:before="25" w:line="252" w:lineRule="auto"/>
              <w:ind w:left="117" w:right="35" w:hanging="5"/>
              <w:rPr>
                <w:sz w:val="20"/>
                <w:szCs w:val="20"/>
              </w:rPr>
            </w:pPr>
            <w:r>
              <w:rPr>
                <w:spacing w:val="9"/>
                <w:sz w:val="20"/>
                <w:szCs w:val="20"/>
              </w:rPr>
              <w:t>加氢工艺、重氮工艺、氧化工艺、过氧化工艺、胺基化工</w:t>
            </w:r>
            <w:r>
              <w:rPr>
                <w:spacing w:val="7"/>
                <w:sz w:val="20"/>
                <w:szCs w:val="20"/>
              </w:rPr>
              <w:t xml:space="preserve">  </w:t>
            </w:r>
            <w:r>
              <w:rPr>
                <w:spacing w:val="8"/>
                <w:sz w:val="20"/>
                <w:szCs w:val="20"/>
              </w:rPr>
              <w:t>艺、磺化工艺、聚合工艺、烷基化工艺、新型煤化</w:t>
            </w:r>
            <w:r>
              <w:rPr>
                <w:spacing w:val="7"/>
                <w:sz w:val="20"/>
                <w:szCs w:val="20"/>
              </w:rPr>
              <w:t>工工艺、</w:t>
            </w:r>
            <w:r>
              <w:rPr>
                <w:sz w:val="20"/>
                <w:szCs w:val="20"/>
              </w:rPr>
              <w:t xml:space="preserve"> </w:t>
            </w:r>
            <w:r>
              <w:rPr>
                <w:spacing w:val="8"/>
                <w:sz w:val="20"/>
                <w:szCs w:val="20"/>
              </w:rPr>
              <w:t>电石生产工艺、偶氮化工艺</w:t>
            </w:r>
          </w:p>
        </w:tc>
        <w:tc>
          <w:tcPr>
            <w:tcW w:w="1743" w:type="dxa"/>
            <w:vAlign w:val="top"/>
          </w:tcPr>
          <w:p w14:paraId="191C5986">
            <w:pPr>
              <w:spacing w:line="294" w:lineRule="auto"/>
              <w:rPr>
                <w:rFonts w:ascii="Arial"/>
                <w:sz w:val="21"/>
              </w:rPr>
            </w:pPr>
          </w:p>
          <w:p w14:paraId="699672BC">
            <w:pPr>
              <w:spacing w:line="294" w:lineRule="auto"/>
              <w:rPr>
                <w:rFonts w:ascii="Arial"/>
                <w:sz w:val="21"/>
              </w:rPr>
            </w:pPr>
          </w:p>
          <w:p w14:paraId="5975932F">
            <w:pPr>
              <w:pStyle w:val="6"/>
              <w:spacing w:before="65" w:line="228" w:lineRule="auto"/>
              <w:ind w:left="654"/>
              <w:rPr>
                <w:sz w:val="20"/>
                <w:szCs w:val="20"/>
              </w:rPr>
            </w:pPr>
            <w:r>
              <w:rPr>
                <w:rFonts w:ascii="Times New Roman" w:hAnsi="Times New Roman" w:eastAsia="Times New Roman" w:cs="Times New Roman"/>
                <w:spacing w:val="-2"/>
                <w:sz w:val="20"/>
                <w:szCs w:val="20"/>
              </w:rPr>
              <w:t>10/</w:t>
            </w:r>
            <w:r>
              <w:rPr>
                <w:spacing w:val="-2"/>
                <w:sz w:val="20"/>
                <w:szCs w:val="20"/>
              </w:rPr>
              <w:t>套</w:t>
            </w:r>
          </w:p>
        </w:tc>
      </w:tr>
      <w:tr w14:paraId="475D5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677" w:type="dxa"/>
            <w:vMerge w:val="continue"/>
            <w:tcBorders>
              <w:top w:val="nil"/>
              <w:bottom w:val="nil"/>
            </w:tcBorders>
            <w:vAlign w:val="top"/>
          </w:tcPr>
          <w:p w14:paraId="664E6884">
            <w:pPr>
              <w:rPr>
                <w:rFonts w:ascii="Arial"/>
                <w:sz w:val="21"/>
              </w:rPr>
            </w:pPr>
          </w:p>
        </w:tc>
        <w:tc>
          <w:tcPr>
            <w:tcW w:w="5563" w:type="dxa"/>
            <w:vAlign w:val="top"/>
          </w:tcPr>
          <w:p w14:paraId="4EC11E47">
            <w:pPr>
              <w:pStyle w:val="6"/>
              <w:spacing w:before="126" w:line="227" w:lineRule="auto"/>
              <w:ind w:left="114"/>
              <w:rPr>
                <w:sz w:val="20"/>
                <w:szCs w:val="20"/>
              </w:rPr>
            </w:pPr>
            <w:r>
              <w:rPr>
                <w:spacing w:val="8"/>
                <w:sz w:val="20"/>
                <w:szCs w:val="20"/>
              </w:rPr>
              <w:t>无机酸制酸工艺、焦化工艺</w:t>
            </w:r>
          </w:p>
        </w:tc>
        <w:tc>
          <w:tcPr>
            <w:tcW w:w="1743" w:type="dxa"/>
            <w:vAlign w:val="top"/>
          </w:tcPr>
          <w:p w14:paraId="3E07652F">
            <w:pPr>
              <w:pStyle w:val="6"/>
              <w:spacing w:before="127" w:line="228" w:lineRule="auto"/>
              <w:ind w:left="690"/>
              <w:rPr>
                <w:sz w:val="20"/>
                <w:szCs w:val="20"/>
              </w:rPr>
            </w:pPr>
            <w:r>
              <w:rPr>
                <w:rFonts w:ascii="Times New Roman" w:hAnsi="Times New Roman" w:eastAsia="Times New Roman" w:cs="Times New Roman"/>
                <w:spacing w:val="2"/>
                <w:sz w:val="20"/>
                <w:szCs w:val="20"/>
              </w:rPr>
              <w:t>5/</w:t>
            </w:r>
            <w:r>
              <w:rPr>
                <w:spacing w:val="2"/>
                <w:sz w:val="20"/>
                <w:szCs w:val="20"/>
              </w:rPr>
              <w:t>套</w:t>
            </w:r>
          </w:p>
        </w:tc>
      </w:tr>
      <w:tr w14:paraId="5E0C5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677" w:type="dxa"/>
            <w:vMerge w:val="continue"/>
            <w:tcBorders>
              <w:top w:val="nil"/>
            </w:tcBorders>
            <w:vAlign w:val="top"/>
          </w:tcPr>
          <w:p w14:paraId="737ECC70">
            <w:pPr>
              <w:rPr>
                <w:rFonts w:ascii="Arial"/>
                <w:sz w:val="21"/>
              </w:rPr>
            </w:pPr>
          </w:p>
        </w:tc>
        <w:tc>
          <w:tcPr>
            <w:tcW w:w="5563" w:type="dxa"/>
            <w:vAlign w:val="top"/>
          </w:tcPr>
          <w:p w14:paraId="3A7BF43D">
            <w:pPr>
              <w:pStyle w:val="6"/>
              <w:spacing w:before="126" w:line="252" w:lineRule="auto"/>
              <w:ind w:left="113" w:right="106"/>
              <w:rPr>
                <w:sz w:val="20"/>
                <w:szCs w:val="20"/>
              </w:rPr>
            </w:pPr>
            <w:r>
              <w:rPr>
                <w:spacing w:val="7"/>
                <w:sz w:val="20"/>
                <w:szCs w:val="20"/>
              </w:rPr>
              <w:t>其他高温或高压，且涉及危险物质的工艺过程</w:t>
            </w:r>
            <w:r>
              <w:rPr>
                <w:spacing w:val="-25"/>
                <w:sz w:val="20"/>
                <w:szCs w:val="20"/>
              </w:rPr>
              <w:t xml:space="preserve"> </w:t>
            </w:r>
            <w:r>
              <w:rPr>
                <w:rFonts w:ascii="Times New Roman" w:hAnsi="Times New Roman" w:eastAsia="Times New Roman" w:cs="Times New Roman"/>
                <w:spacing w:val="7"/>
                <w:position w:val="6"/>
                <w:sz w:val="13"/>
                <w:szCs w:val="13"/>
              </w:rPr>
              <w:t>a</w:t>
            </w:r>
            <w:r>
              <w:rPr>
                <w:rFonts w:ascii="Times New Roman" w:hAnsi="Times New Roman" w:eastAsia="Times New Roman" w:cs="Times New Roman"/>
                <w:spacing w:val="-10"/>
                <w:position w:val="6"/>
                <w:sz w:val="13"/>
                <w:szCs w:val="13"/>
              </w:rPr>
              <w:t xml:space="preserve"> </w:t>
            </w:r>
            <w:r>
              <w:rPr>
                <w:spacing w:val="7"/>
                <w:sz w:val="20"/>
                <w:szCs w:val="20"/>
              </w:rPr>
              <w:t>、危险物质</w:t>
            </w:r>
            <w:r>
              <w:rPr>
                <w:sz w:val="20"/>
                <w:szCs w:val="20"/>
              </w:rPr>
              <w:t xml:space="preserve"> </w:t>
            </w:r>
            <w:r>
              <w:rPr>
                <w:spacing w:val="7"/>
                <w:sz w:val="20"/>
                <w:szCs w:val="20"/>
              </w:rPr>
              <w:t>贮存罐区</w:t>
            </w:r>
          </w:p>
        </w:tc>
        <w:tc>
          <w:tcPr>
            <w:tcW w:w="1743" w:type="dxa"/>
            <w:vAlign w:val="top"/>
          </w:tcPr>
          <w:p w14:paraId="3A72670B">
            <w:pPr>
              <w:pStyle w:val="6"/>
              <w:spacing w:before="260" w:line="228" w:lineRule="auto"/>
              <w:ind w:left="270"/>
              <w:rPr>
                <w:sz w:val="20"/>
                <w:szCs w:val="20"/>
              </w:rPr>
            </w:pPr>
            <w:r>
              <w:rPr>
                <w:rFonts w:ascii="Times New Roman" w:hAnsi="Times New Roman" w:eastAsia="Times New Roman" w:cs="Times New Roman"/>
                <w:spacing w:val="5"/>
                <w:sz w:val="20"/>
                <w:szCs w:val="20"/>
              </w:rPr>
              <w:t>5/</w:t>
            </w:r>
            <w:r>
              <w:rPr>
                <w:spacing w:val="5"/>
                <w:sz w:val="20"/>
                <w:szCs w:val="20"/>
              </w:rPr>
              <w:t>套（罐区）</w:t>
            </w:r>
          </w:p>
        </w:tc>
      </w:tr>
      <w:tr w14:paraId="40C86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677" w:type="dxa"/>
            <w:vAlign w:val="top"/>
          </w:tcPr>
          <w:p w14:paraId="1F51A01C">
            <w:pPr>
              <w:pStyle w:val="6"/>
              <w:spacing w:before="37" w:line="235" w:lineRule="auto"/>
              <w:ind w:left="118" w:right="108" w:firstLine="3"/>
              <w:rPr>
                <w:sz w:val="20"/>
                <w:szCs w:val="20"/>
              </w:rPr>
            </w:pPr>
            <w:r>
              <w:rPr>
                <w:spacing w:val="-2"/>
                <w:sz w:val="20"/>
                <w:szCs w:val="20"/>
              </w:rPr>
              <w:t>管道、港口</w:t>
            </w:r>
            <w:r>
              <w:rPr>
                <w:rFonts w:ascii="Times New Roman" w:hAnsi="Times New Roman" w:eastAsia="Times New Roman" w:cs="Times New Roman"/>
                <w:spacing w:val="-2"/>
                <w:sz w:val="20"/>
                <w:szCs w:val="20"/>
              </w:rPr>
              <w:t>/</w:t>
            </w:r>
            <w:r>
              <w:rPr>
                <w:spacing w:val="-2"/>
                <w:sz w:val="20"/>
                <w:szCs w:val="20"/>
              </w:rPr>
              <w:t>码头</w:t>
            </w:r>
            <w:r>
              <w:rPr>
                <w:sz w:val="20"/>
                <w:szCs w:val="20"/>
              </w:rPr>
              <w:t xml:space="preserve"> 等</w:t>
            </w:r>
          </w:p>
        </w:tc>
        <w:tc>
          <w:tcPr>
            <w:tcW w:w="5563" w:type="dxa"/>
            <w:vAlign w:val="top"/>
          </w:tcPr>
          <w:p w14:paraId="556CB806">
            <w:pPr>
              <w:pStyle w:val="6"/>
              <w:spacing w:before="174" w:line="228" w:lineRule="auto"/>
              <w:ind w:left="114"/>
              <w:rPr>
                <w:sz w:val="20"/>
                <w:szCs w:val="20"/>
              </w:rPr>
            </w:pPr>
            <w:r>
              <w:rPr>
                <w:spacing w:val="8"/>
                <w:sz w:val="20"/>
                <w:szCs w:val="20"/>
              </w:rPr>
              <w:t>涉及危险物质管道运输项目、港口</w:t>
            </w:r>
            <w:r>
              <w:rPr>
                <w:rFonts w:ascii="Times New Roman" w:hAnsi="Times New Roman" w:eastAsia="Times New Roman" w:cs="Times New Roman"/>
                <w:spacing w:val="8"/>
                <w:sz w:val="20"/>
                <w:szCs w:val="20"/>
              </w:rPr>
              <w:t>/</w:t>
            </w:r>
            <w:r>
              <w:rPr>
                <w:spacing w:val="8"/>
                <w:sz w:val="20"/>
                <w:szCs w:val="20"/>
              </w:rPr>
              <w:t>码头等</w:t>
            </w:r>
          </w:p>
        </w:tc>
        <w:tc>
          <w:tcPr>
            <w:tcW w:w="1743" w:type="dxa"/>
            <w:vAlign w:val="top"/>
          </w:tcPr>
          <w:p w14:paraId="15D40BB7">
            <w:pPr>
              <w:spacing w:before="210"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099C9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1677" w:type="dxa"/>
            <w:vAlign w:val="top"/>
          </w:tcPr>
          <w:p w14:paraId="3A87B2C3">
            <w:pPr>
              <w:pStyle w:val="6"/>
              <w:spacing w:before="277" w:line="228" w:lineRule="auto"/>
              <w:ind w:left="117"/>
              <w:rPr>
                <w:sz w:val="20"/>
                <w:szCs w:val="20"/>
              </w:rPr>
            </w:pPr>
            <w:r>
              <w:rPr>
                <w:spacing w:val="7"/>
                <w:sz w:val="20"/>
                <w:szCs w:val="20"/>
              </w:rPr>
              <w:t>石油天然气</w:t>
            </w:r>
          </w:p>
        </w:tc>
        <w:tc>
          <w:tcPr>
            <w:tcW w:w="5563" w:type="dxa"/>
            <w:vAlign w:val="top"/>
          </w:tcPr>
          <w:p w14:paraId="4A8C4848">
            <w:pPr>
              <w:pStyle w:val="6"/>
              <w:spacing w:before="142" w:line="252" w:lineRule="auto"/>
              <w:ind w:left="113" w:right="204"/>
              <w:rPr>
                <w:sz w:val="20"/>
                <w:szCs w:val="20"/>
              </w:rPr>
            </w:pPr>
            <w:r>
              <w:rPr>
                <w:spacing w:val="9"/>
                <w:sz w:val="20"/>
                <w:szCs w:val="20"/>
              </w:rPr>
              <w:t>石油、天然气、页岩气开采（含净化</w:t>
            </w:r>
            <w:r>
              <w:rPr>
                <w:spacing w:val="15"/>
                <w:sz w:val="20"/>
                <w:szCs w:val="20"/>
              </w:rPr>
              <w:t>），</w:t>
            </w:r>
            <w:r>
              <w:rPr>
                <w:spacing w:val="9"/>
                <w:sz w:val="20"/>
                <w:szCs w:val="20"/>
              </w:rPr>
              <w:t>气库（不含加气</w:t>
            </w:r>
            <w:r>
              <w:rPr>
                <w:spacing w:val="1"/>
                <w:sz w:val="20"/>
                <w:szCs w:val="20"/>
              </w:rPr>
              <w:t xml:space="preserve"> </w:t>
            </w:r>
            <w:r>
              <w:rPr>
                <w:spacing w:val="8"/>
                <w:sz w:val="20"/>
                <w:szCs w:val="20"/>
              </w:rPr>
              <w:t>站的油库）、油气管线</w:t>
            </w:r>
            <w:r>
              <w:rPr>
                <w:spacing w:val="-35"/>
                <w:sz w:val="20"/>
                <w:szCs w:val="20"/>
              </w:rPr>
              <w:t xml:space="preserve"> </w:t>
            </w:r>
            <w:r>
              <w:rPr>
                <w:rFonts w:ascii="Times New Roman" w:hAnsi="Times New Roman" w:eastAsia="Times New Roman" w:cs="Times New Roman"/>
                <w:spacing w:val="8"/>
                <w:position w:val="6"/>
                <w:sz w:val="13"/>
                <w:szCs w:val="13"/>
              </w:rPr>
              <w:t>b</w:t>
            </w:r>
            <w:r>
              <w:rPr>
                <w:spacing w:val="8"/>
                <w:sz w:val="20"/>
                <w:szCs w:val="20"/>
              </w:rPr>
              <w:t>（不含城镇燃气管线）</w:t>
            </w:r>
          </w:p>
        </w:tc>
        <w:tc>
          <w:tcPr>
            <w:tcW w:w="1743" w:type="dxa"/>
            <w:vAlign w:val="top"/>
          </w:tcPr>
          <w:p w14:paraId="5B916CDA">
            <w:pPr>
              <w:spacing w:line="256" w:lineRule="auto"/>
              <w:rPr>
                <w:rFonts w:ascii="Arial"/>
                <w:sz w:val="21"/>
              </w:rPr>
            </w:pPr>
          </w:p>
          <w:p w14:paraId="47A581EC">
            <w:pPr>
              <w:spacing w:before="57"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1C032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677" w:type="dxa"/>
            <w:shd w:val="clear" w:color="auto" w:fill="BFBFBF"/>
            <w:vAlign w:val="top"/>
          </w:tcPr>
          <w:p w14:paraId="2DE58119">
            <w:pPr>
              <w:pStyle w:val="6"/>
              <w:spacing w:before="130" w:line="228" w:lineRule="auto"/>
              <w:ind w:left="117"/>
              <w:rPr>
                <w:sz w:val="20"/>
                <w:szCs w:val="20"/>
              </w:rPr>
            </w:pPr>
            <w:r>
              <w:rPr>
                <w:spacing w:val="4"/>
                <w:sz w:val="20"/>
                <w:szCs w:val="20"/>
              </w:rPr>
              <w:t>其他</w:t>
            </w:r>
          </w:p>
        </w:tc>
        <w:tc>
          <w:tcPr>
            <w:tcW w:w="5563" w:type="dxa"/>
            <w:shd w:val="clear" w:color="auto" w:fill="BFBFBF"/>
            <w:vAlign w:val="top"/>
          </w:tcPr>
          <w:p w14:paraId="5A9EB86A">
            <w:pPr>
              <w:pStyle w:val="6"/>
              <w:spacing w:before="129" w:line="228" w:lineRule="auto"/>
              <w:ind w:left="114"/>
              <w:rPr>
                <w:sz w:val="20"/>
                <w:szCs w:val="20"/>
              </w:rPr>
            </w:pPr>
            <w:r>
              <w:rPr>
                <w:spacing w:val="9"/>
                <w:sz w:val="20"/>
                <w:szCs w:val="20"/>
              </w:rPr>
              <w:t>涉及危险物质使用、贮存的项目</w:t>
            </w:r>
          </w:p>
        </w:tc>
        <w:tc>
          <w:tcPr>
            <w:tcW w:w="1743" w:type="dxa"/>
            <w:shd w:val="clear" w:color="auto" w:fill="BFBFBF"/>
            <w:vAlign w:val="top"/>
          </w:tcPr>
          <w:p w14:paraId="69DBC9C7">
            <w:pPr>
              <w:spacing w:before="169" w:line="192" w:lineRule="auto"/>
              <w:ind w:left="82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7D3E0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983" w:type="dxa"/>
            <w:gridSpan w:val="3"/>
            <w:vAlign w:val="top"/>
          </w:tcPr>
          <w:p w14:paraId="79A7DF73">
            <w:pPr>
              <w:pStyle w:val="6"/>
              <w:spacing w:before="132" w:line="251" w:lineRule="auto"/>
              <w:ind w:left="108" w:right="2360" w:firstLine="5"/>
              <w:rPr>
                <w:sz w:val="20"/>
                <w:szCs w:val="20"/>
              </w:rPr>
            </w:pPr>
            <w:r>
              <w:rPr>
                <w:rFonts w:ascii="Times New Roman" w:hAnsi="Times New Roman" w:eastAsia="Times New Roman" w:cs="Times New Roman"/>
                <w:spacing w:val="4"/>
                <w:sz w:val="13"/>
                <w:szCs w:val="13"/>
              </w:rPr>
              <w:t>a</w:t>
            </w:r>
            <w:r>
              <w:rPr>
                <w:rFonts w:ascii="Times New Roman" w:hAnsi="Times New Roman" w:eastAsia="Times New Roman" w:cs="Times New Roman"/>
                <w:spacing w:val="16"/>
                <w:w w:val="102"/>
                <w:sz w:val="13"/>
                <w:szCs w:val="13"/>
              </w:rPr>
              <w:t xml:space="preserve"> </w:t>
            </w:r>
            <w:r>
              <w:rPr>
                <w:spacing w:val="4"/>
                <w:sz w:val="20"/>
                <w:szCs w:val="20"/>
              </w:rPr>
              <w:t>高温指工艺温度</w:t>
            </w:r>
            <w:r>
              <w:rPr>
                <w:rFonts w:ascii="Times New Roman" w:hAnsi="Times New Roman" w:eastAsia="Times New Roman" w:cs="Times New Roman"/>
                <w:spacing w:val="4"/>
                <w:sz w:val="20"/>
                <w:szCs w:val="20"/>
              </w:rPr>
              <w:t>≥300℃</w:t>
            </w:r>
            <w:r>
              <w:rPr>
                <w:rFonts w:ascii="Times New Roman" w:hAnsi="Times New Roman" w:eastAsia="Times New Roman" w:cs="Times New Roman"/>
                <w:spacing w:val="-23"/>
                <w:sz w:val="20"/>
                <w:szCs w:val="20"/>
              </w:rPr>
              <w:t xml:space="preserve"> </w:t>
            </w:r>
            <w:r>
              <w:rPr>
                <w:spacing w:val="4"/>
                <w:sz w:val="20"/>
                <w:szCs w:val="20"/>
              </w:rPr>
              <w:t>,</w:t>
            </w:r>
            <w:r>
              <w:rPr>
                <w:spacing w:val="65"/>
                <w:sz w:val="20"/>
                <w:szCs w:val="20"/>
              </w:rPr>
              <w:t xml:space="preserve"> </w:t>
            </w:r>
            <w:r>
              <w:rPr>
                <w:spacing w:val="4"/>
                <w:sz w:val="20"/>
                <w:szCs w:val="20"/>
              </w:rPr>
              <w:t>高压指压力容器的设计压力（</w:t>
            </w:r>
            <w:r>
              <w:rPr>
                <w:rFonts w:ascii="Times New Roman" w:hAnsi="Times New Roman" w:eastAsia="Times New Roman" w:cs="Times New Roman"/>
                <w:spacing w:val="4"/>
                <w:sz w:val="20"/>
                <w:szCs w:val="20"/>
              </w:rPr>
              <w:t>P</w:t>
            </w:r>
            <w:r>
              <w:rPr>
                <w:spacing w:val="4"/>
                <w:sz w:val="20"/>
                <w:szCs w:val="20"/>
              </w:rPr>
              <w:t>）</w:t>
            </w:r>
            <w:r>
              <w:rPr>
                <w:rFonts w:ascii="Times New Roman" w:hAnsi="Times New Roman" w:eastAsia="Times New Roman" w:cs="Times New Roman"/>
                <w:spacing w:val="4"/>
                <w:sz w:val="20"/>
                <w:szCs w:val="20"/>
              </w:rPr>
              <w:t>≥10.0</w:t>
            </w:r>
            <w:r>
              <w:rPr>
                <w:rFonts w:ascii="Times New Roman" w:hAnsi="Times New Roman" w:eastAsia="Times New Roman" w:cs="Times New Roman"/>
                <w:sz w:val="20"/>
                <w:szCs w:val="20"/>
              </w:rPr>
              <w:t>MPa</w:t>
            </w:r>
            <w:r>
              <w:rPr>
                <w:spacing w:val="4"/>
                <w:sz w:val="20"/>
                <w:szCs w:val="20"/>
              </w:rPr>
              <w:t>；</w:t>
            </w:r>
            <w:r>
              <w:rPr>
                <w:sz w:val="20"/>
                <w:szCs w:val="20"/>
              </w:rPr>
              <w:t xml:space="preserve"> </w:t>
            </w:r>
            <w:r>
              <w:rPr>
                <w:rFonts w:ascii="Times New Roman" w:hAnsi="Times New Roman" w:eastAsia="Times New Roman" w:cs="Times New Roman"/>
                <w:spacing w:val="9"/>
                <w:position w:val="6"/>
                <w:sz w:val="13"/>
                <w:szCs w:val="13"/>
              </w:rPr>
              <w:t xml:space="preserve">b </w:t>
            </w:r>
            <w:r>
              <w:rPr>
                <w:spacing w:val="9"/>
                <w:sz w:val="20"/>
                <w:szCs w:val="20"/>
              </w:rPr>
              <w:t>长输管道运输项目应按站场、管线分段</w:t>
            </w:r>
            <w:r>
              <w:rPr>
                <w:spacing w:val="8"/>
                <w:sz w:val="20"/>
                <w:szCs w:val="20"/>
              </w:rPr>
              <w:t>进行评价。</w:t>
            </w:r>
          </w:p>
        </w:tc>
      </w:tr>
    </w:tbl>
    <w:p w14:paraId="671FE0BD">
      <w:pPr>
        <w:rPr>
          <w:rFonts w:ascii="Arial"/>
          <w:sz w:val="21"/>
        </w:rPr>
      </w:pPr>
    </w:p>
    <w:p w14:paraId="4652ED01">
      <w:pPr>
        <w:rPr>
          <w:rFonts w:ascii="Arial" w:hAnsi="Arial" w:eastAsia="Arial" w:cs="Arial"/>
          <w:sz w:val="21"/>
          <w:szCs w:val="21"/>
        </w:rPr>
        <w:sectPr>
          <w:footerReference r:id="rId121" w:type="default"/>
          <w:pgSz w:w="11906" w:h="16839"/>
          <w:pgMar w:top="400" w:right="1458" w:bottom="1127" w:left="1458" w:header="0" w:footer="965" w:gutter="0"/>
          <w:cols w:space="720" w:num="1"/>
        </w:sectPr>
      </w:pPr>
    </w:p>
    <w:p w14:paraId="279B6C79">
      <w:pPr>
        <w:spacing w:line="250" w:lineRule="auto"/>
        <w:rPr>
          <w:rFonts w:ascii="Arial"/>
          <w:sz w:val="21"/>
        </w:rPr>
      </w:pPr>
    </w:p>
    <w:p w14:paraId="0C1965DB">
      <w:pPr>
        <w:spacing w:line="250" w:lineRule="auto"/>
        <w:rPr>
          <w:rFonts w:ascii="Arial"/>
          <w:sz w:val="21"/>
        </w:rPr>
      </w:pPr>
    </w:p>
    <w:p w14:paraId="324D8377">
      <w:pPr>
        <w:spacing w:line="250" w:lineRule="auto"/>
        <w:rPr>
          <w:rFonts w:ascii="Arial"/>
          <w:sz w:val="21"/>
        </w:rPr>
      </w:pPr>
    </w:p>
    <w:p w14:paraId="4A4CAFC6">
      <w:pPr>
        <w:spacing w:line="250" w:lineRule="auto"/>
        <w:rPr>
          <w:rFonts w:ascii="Arial"/>
          <w:sz w:val="21"/>
        </w:rPr>
      </w:pPr>
    </w:p>
    <w:p w14:paraId="22F2283A">
      <w:pPr>
        <w:spacing w:line="250" w:lineRule="auto"/>
        <w:rPr>
          <w:rFonts w:ascii="Arial"/>
          <w:sz w:val="21"/>
        </w:rPr>
      </w:pPr>
    </w:p>
    <w:p w14:paraId="0A0E4B62">
      <w:pPr>
        <w:spacing w:before="78" w:line="220" w:lineRule="auto"/>
        <w:ind w:left="62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）危险物质及工艺系统危险性（</w:t>
      </w:r>
      <w:r>
        <w:rPr>
          <w:rFonts w:ascii="Times New Roman" w:hAnsi="Times New Roman" w:eastAsia="Times New Roman" w:cs="Times New Roman"/>
          <w:spacing w:val="-2"/>
          <w:sz w:val="24"/>
          <w:szCs w:val="24"/>
        </w:rPr>
        <w:t>P</w:t>
      </w:r>
      <w:r>
        <w:rPr>
          <w:rFonts w:ascii="宋体" w:hAnsi="宋体" w:eastAsia="宋体" w:cs="宋体"/>
          <w:spacing w:val="-2"/>
          <w:sz w:val="24"/>
          <w:szCs w:val="24"/>
        </w:rPr>
        <w:t>）的确定</w:t>
      </w:r>
    </w:p>
    <w:p w14:paraId="04E6AC51">
      <w:pPr>
        <w:spacing w:before="180" w:line="358" w:lineRule="auto"/>
        <w:ind w:left="145" w:right="121" w:firstLine="466"/>
        <w:rPr>
          <w:rFonts w:ascii="宋体" w:hAnsi="宋体" w:eastAsia="宋体" w:cs="宋体"/>
          <w:sz w:val="24"/>
          <w:szCs w:val="24"/>
        </w:rPr>
      </w:pPr>
      <w:r>
        <w:rPr>
          <w:rFonts w:ascii="宋体" w:hAnsi="宋体" w:eastAsia="宋体" w:cs="宋体"/>
          <w:spacing w:val="1"/>
          <w:sz w:val="24"/>
          <w:szCs w:val="24"/>
        </w:rPr>
        <w:t>根据危险物质数量与临界量比值（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）和行业及生产工艺（</w:t>
      </w:r>
      <w:r>
        <w:rPr>
          <w:rFonts w:ascii="Times New Roman" w:hAnsi="Times New Roman" w:eastAsia="Times New Roman" w:cs="Times New Roman"/>
          <w:spacing w:val="1"/>
          <w:sz w:val="24"/>
          <w:szCs w:val="24"/>
        </w:rPr>
        <w:t>M</w:t>
      </w:r>
      <w:r>
        <w:rPr>
          <w:rFonts w:ascii="宋体" w:hAnsi="宋体" w:eastAsia="宋体" w:cs="宋体"/>
          <w:spacing w:val="7"/>
          <w:sz w:val="24"/>
          <w:szCs w:val="24"/>
        </w:rPr>
        <w:t>），</w:t>
      </w:r>
      <w:r>
        <w:rPr>
          <w:rFonts w:ascii="宋体" w:hAnsi="宋体" w:eastAsia="宋体" w:cs="宋体"/>
          <w:spacing w:val="1"/>
          <w:sz w:val="24"/>
          <w:szCs w:val="24"/>
        </w:rPr>
        <w:t>按照《</w:t>
      </w:r>
      <w:r>
        <w:rPr>
          <w:rFonts w:ascii="宋体" w:hAnsi="宋体" w:eastAsia="宋体" w:cs="宋体"/>
          <w:sz w:val="24"/>
          <w:szCs w:val="24"/>
        </w:rPr>
        <w:t xml:space="preserve">建设项 </w:t>
      </w:r>
      <w:r>
        <w:rPr>
          <w:rFonts w:ascii="宋体" w:hAnsi="宋体" w:eastAsia="宋体" w:cs="宋体"/>
          <w:spacing w:val="-4"/>
          <w:sz w:val="24"/>
          <w:szCs w:val="24"/>
        </w:rPr>
        <w:t>目环境风险评价技术导则》（</w:t>
      </w:r>
      <w:r>
        <w:rPr>
          <w:rFonts w:ascii="Times New Roman" w:hAnsi="Times New Roman" w:eastAsia="Times New Roman" w:cs="Times New Roman"/>
          <w:spacing w:val="-4"/>
          <w:sz w:val="24"/>
          <w:szCs w:val="24"/>
        </w:rPr>
        <w:t>HJ</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4"/>
          <w:sz w:val="24"/>
          <w:szCs w:val="24"/>
        </w:rPr>
        <w:t>169-2018</w:t>
      </w:r>
      <w:r>
        <w:rPr>
          <w:rFonts w:ascii="宋体" w:hAnsi="宋体" w:eastAsia="宋体" w:cs="宋体"/>
          <w:spacing w:val="-4"/>
          <w:sz w:val="24"/>
          <w:szCs w:val="24"/>
        </w:rPr>
        <w:t>）附录</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C.2 </w:t>
      </w:r>
      <w:r>
        <w:rPr>
          <w:rFonts w:ascii="宋体" w:hAnsi="宋体" w:eastAsia="宋体" w:cs="宋体"/>
          <w:spacing w:val="-4"/>
          <w:sz w:val="24"/>
          <w:szCs w:val="24"/>
        </w:rPr>
        <w:t>确定危险物质及工艺系统危</w:t>
      </w:r>
      <w:r>
        <w:rPr>
          <w:rFonts w:ascii="宋体" w:hAnsi="宋体" w:eastAsia="宋体" w:cs="宋体"/>
          <w:sz w:val="24"/>
          <w:szCs w:val="24"/>
        </w:rPr>
        <w:t xml:space="preserve"> </w:t>
      </w:r>
      <w:r>
        <w:rPr>
          <w:rFonts w:ascii="宋体" w:hAnsi="宋体" w:eastAsia="宋体" w:cs="宋体"/>
          <w:spacing w:val="-4"/>
          <w:sz w:val="24"/>
          <w:szCs w:val="24"/>
        </w:rPr>
        <w:t>险性等级（</w:t>
      </w:r>
      <w:r>
        <w:rPr>
          <w:rFonts w:ascii="Times New Roman" w:hAnsi="Times New Roman" w:eastAsia="Times New Roman" w:cs="Times New Roman"/>
          <w:spacing w:val="-4"/>
          <w:sz w:val="24"/>
          <w:szCs w:val="24"/>
        </w:rPr>
        <w:t>P</w:t>
      </w:r>
      <w:r>
        <w:rPr>
          <w:rFonts w:ascii="宋体" w:hAnsi="宋体" w:eastAsia="宋体" w:cs="宋体"/>
          <w:spacing w:val="7"/>
          <w:sz w:val="24"/>
          <w:szCs w:val="24"/>
        </w:rPr>
        <w:t>），</w:t>
      </w:r>
      <w:r>
        <w:rPr>
          <w:rFonts w:ascii="宋体" w:hAnsi="宋体" w:eastAsia="宋体" w:cs="宋体"/>
          <w:spacing w:val="-4"/>
          <w:sz w:val="24"/>
          <w:szCs w:val="24"/>
        </w:rPr>
        <w:t>分别以</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P1</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P2</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P3</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P4 </w:t>
      </w:r>
      <w:r>
        <w:rPr>
          <w:rFonts w:ascii="宋体" w:hAnsi="宋体" w:eastAsia="宋体" w:cs="宋体"/>
          <w:spacing w:val="-4"/>
          <w:sz w:val="24"/>
          <w:szCs w:val="24"/>
        </w:rPr>
        <w:t>表示。</w:t>
      </w:r>
    </w:p>
    <w:p w14:paraId="2C642F1D">
      <w:pPr>
        <w:spacing w:before="3" w:line="355" w:lineRule="auto"/>
        <w:ind w:left="138" w:right="124" w:firstLine="474"/>
        <w:rPr>
          <w:rFonts w:ascii="宋体" w:hAnsi="宋体" w:eastAsia="宋体" w:cs="宋体"/>
          <w:sz w:val="24"/>
          <w:szCs w:val="24"/>
        </w:rPr>
      </w:pPr>
      <w:r>
        <w:rPr>
          <w:rFonts w:ascii="宋体" w:hAnsi="宋体" w:eastAsia="宋体" w:cs="宋体"/>
          <w:sz w:val="24"/>
          <w:szCs w:val="24"/>
        </w:rPr>
        <w:t>根据下表，本项目行业及生产工艺属于</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M4</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级且</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1≤Q&lt;10</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，对应的危险物质及工</w:t>
      </w:r>
      <w:r>
        <w:rPr>
          <w:rFonts w:ascii="宋体" w:hAnsi="宋体" w:eastAsia="宋体" w:cs="宋体"/>
          <w:sz w:val="24"/>
          <w:szCs w:val="24"/>
        </w:rPr>
        <w:t xml:space="preserve"> </w:t>
      </w:r>
      <w:r>
        <w:rPr>
          <w:rFonts w:ascii="宋体" w:hAnsi="宋体" w:eastAsia="宋体" w:cs="宋体"/>
          <w:spacing w:val="-2"/>
          <w:sz w:val="24"/>
          <w:szCs w:val="24"/>
        </w:rPr>
        <w:t>艺系统危险性级别为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P4 </w:t>
      </w:r>
      <w:r>
        <w:rPr>
          <w:rFonts w:ascii="宋体" w:hAnsi="宋体" w:eastAsia="宋体" w:cs="宋体"/>
          <w:spacing w:val="-2"/>
          <w:sz w:val="24"/>
          <w:szCs w:val="24"/>
        </w:rPr>
        <w:t>级。</w:t>
      </w:r>
    </w:p>
    <w:p w14:paraId="2DD1DB6B">
      <w:pPr>
        <w:spacing w:before="131" w:line="219" w:lineRule="auto"/>
        <w:ind w:left="198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5    </w:t>
      </w:r>
      <w:r>
        <w:rPr>
          <w:rFonts w:ascii="宋体" w:hAnsi="宋体" w:eastAsia="宋体" w:cs="宋体"/>
          <w:b/>
          <w:bCs/>
          <w:spacing w:val="-2"/>
          <w:sz w:val="24"/>
          <w:szCs w:val="24"/>
        </w:rPr>
        <w:t>危险物质及工艺系统危险性等级判断（</w:t>
      </w:r>
      <w:r>
        <w:rPr>
          <w:rFonts w:ascii="Times New Roman" w:hAnsi="Times New Roman" w:eastAsia="Times New Roman" w:cs="Times New Roman"/>
          <w:b/>
          <w:bCs/>
          <w:spacing w:val="-3"/>
          <w:sz w:val="24"/>
          <w:szCs w:val="24"/>
        </w:rPr>
        <w:t>P</w:t>
      </w:r>
      <w:r>
        <w:rPr>
          <w:rFonts w:ascii="宋体" w:hAnsi="宋体" w:eastAsia="宋体" w:cs="宋体"/>
          <w:b/>
          <w:bCs/>
          <w:spacing w:val="-3"/>
          <w:sz w:val="24"/>
          <w:szCs w:val="24"/>
        </w:rPr>
        <w:t>）</w:t>
      </w:r>
    </w:p>
    <w:p w14:paraId="421F774E">
      <w:pPr>
        <w:spacing w:line="147" w:lineRule="exact"/>
      </w:pPr>
    </w:p>
    <w:tbl>
      <w:tblPr>
        <w:tblStyle w:val="5"/>
        <w:tblW w:w="8812" w:type="dxa"/>
        <w:tblInd w:w="1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8"/>
        <w:gridCol w:w="1646"/>
        <w:gridCol w:w="1719"/>
        <w:gridCol w:w="1754"/>
        <w:gridCol w:w="1705"/>
      </w:tblGrid>
      <w:tr w14:paraId="61E2E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988" w:type="dxa"/>
            <w:vMerge w:val="restart"/>
            <w:tcBorders>
              <w:bottom w:val="nil"/>
            </w:tcBorders>
            <w:vAlign w:val="top"/>
          </w:tcPr>
          <w:p w14:paraId="171DF79B">
            <w:pPr>
              <w:pStyle w:val="6"/>
              <w:spacing w:before="236" w:line="247" w:lineRule="auto"/>
              <w:ind w:left="290" w:right="150" w:hanging="132"/>
              <w:rPr>
                <w:sz w:val="20"/>
                <w:szCs w:val="20"/>
              </w:rPr>
            </w:pPr>
            <w:r>
              <w:rPr>
                <w:b/>
                <w:bCs/>
                <w:spacing w:val="7"/>
                <w:sz w:val="20"/>
                <w:szCs w:val="20"/>
              </w:rPr>
              <w:t>危险物质数量与临</w:t>
            </w:r>
            <w:r>
              <w:rPr>
                <w:sz w:val="20"/>
                <w:szCs w:val="20"/>
              </w:rPr>
              <w:t xml:space="preserve"> </w:t>
            </w:r>
            <w:r>
              <w:rPr>
                <w:b/>
                <w:bCs/>
                <w:spacing w:val="4"/>
                <w:sz w:val="20"/>
                <w:szCs w:val="20"/>
              </w:rPr>
              <w:t>界量比值（</w:t>
            </w:r>
            <w:r>
              <w:rPr>
                <w:rFonts w:ascii="Times New Roman" w:hAnsi="Times New Roman" w:eastAsia="Times New Roman" w:cs="Times New Roman"/>
                <w:b/>
                <w:bCs/>
                <w:spacing w:val="4"/>
                <w:sz w:val="20"/>
                <w:szCs w:val="20"/>
              </w:rPr>
              <w:t>Q</w:t>
            </w:r>
            <w:r>
              <w:rPr>
                <w:b/>
                <w:bCs/>
                <w:spacing w:val="4"/>
                <w:sz w:val="20"/>
                <w:szCs w:val="20"/>
              </w:rPr>
              <w:t>）</w:t>
            </w:r>
          </w:p>
        </w:tc>
        <w:tc>
          <w:tcPr>
            <w:tcW w:w="6824" w:type="dxa"/>
            <w:gridSpan w:val="4"/>
            <w:vAlign w:val="top"/>
          </w:tcPr>
          <w:p w14:paraId="3227090A">
            <w:pPr>
              <w:pStyle w:val="6"/>
              <w:spacing w:before="131" w:line="228" w:lineRule="auto"/>
              <w:ind w:left="2371"/>
              <w:rPr>
                <w:sz w:val="20"/>
                <w:szCs w:val="20"/>
              </w:rPr>
            </w:pPr>
            <w:r>
              <w:rPr>
                <w:b/>
                <w:bCs/>
                <w:spacing w:val="6"/>
                <w:sz w:val="20"/>
                <w:szCs w:val="20"/>
              </w:rPr>
              <w:t>行业及生产工艺（</w:t>
            </w:r>
            <w:r>
              <w:rPr>
                <w:rFonts w:ascii="Times New Roman" w:hAnsi="Times New Roman" w:eastAsia="Times New Roman" w:cs="Times New Roman"/>
                <w:b/>
                <w:bCs/>
                <w:spacing w:val="6"/>
                <w:sz w:val="20"/>
                <w:szCs w:val="20"/>
              </w:rPr>
              <w:t>M</w:t>
            </w:r>
            <w:r>
              <w:rPr>
                <w:b/>
                <w:bCs/>
                <w:spacing w:val="6"/>
                <w:sz w:val="20"/>
                <w:szCs w:val="20"/>
              </w:rPr>
              <w:t>）</w:t>
            </w:r>
          </w:p>
        </w:tc>
      </w:tr>
      <w:tr w14:paraId="1E689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88" w:type="dxa"/>
            <w:vMerge w:val="continue"/>
            <w:tcBorders>
              <w:top w:val="nil"/>
            </w:tcBorders>
            <w:vAlign w:val="top"/>
          </w:tcPr>
          <w:p w14:paraId="307F900C">
            <w:pPr>
              <w:rPr>
                <w:rFonts w:ascii="Arial"/>
                <w:sz w:val="21"/>
              </w:rPr>
            </w:pPr>
          </w:p>
        </w:tc>
        <w:tc>
          <w:tcPr>
            <w:tcW w:w="1646" w:type="dxa"/>
            <w:vAlign w:val="top"/>
          </w:tcPr>
          <w:p w14:paraId="2B008E12">
            <w:pPr>
              <w:spacing w:before="165"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M1</w:t>
            </w:r>
          </w:p>
        </w:tc>
        <w:tc>
          <w:tcPr>
            <w:tcW w:w="1719" w:type="dxa"/>
            <w:vAlign w:val="top"/>
          </w:tcPr>
          <w:p w14:paraId="597FD333">
            <w:pPr>
              <w:spacing w:before="165"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M2</w:t>
            </w:r>
          </w:p>
        </w:tc>
        <w:tc>
          <w:tcPr>
            <w:tcW w:w="1754" w:type="dxa"/>
            <w:vAlign w:val="top"/>
          </w:tcPr>
          <w:p w14:paraId="7BB9D2DE">
            <w:pPr>
              <w:spacing w:before="165"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M3</w:t>
            </w:r>
          </w:p>
        </w:tc>
        <w:tc>
          <w:tcPr>
            <w:tcW w:w="1705" w:type="dxa"/>
            <w:shd w:val="clear" w:color="auto" w:fill="BEBEBE"/>
            <w:vAlign w:val="top"/>
          </w:tcPr>
          <w:p w14:paraId="7D1BF938">
            <w:pPr>
              <w:spacing w:before="165" w:line="195" w:lineRule="auto"/>
              <w:ind w:left="70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M4</w:t>
            </w:r>
          </w:p>
        </w:tc>
      </w:tr>
      <w:tr w14:paraId="273D1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88" w:type="dxa"/>
            <w:vAlign w:val="top"/>
          </w:tcPr>
          <w:p w14:paraId="552FDB33">
            <w:pPr>
              <w:spacing w:before="165" w:line="197"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Q≥100</w:t>
            </w:r>
          </w:p>
        </w:tc>
        <w:tc>
          <w:tcPr>
            <w:tcW w:w="1646" w:type="dxa"/>
            <w:vAlign w:val="top"/>
          </w:tcPr>
          <w:p w14:paraId="7DBE26F3">
            <w:pPr>
              <w:spacing w:before="166"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P1</w:t>
            </w:r>
          </w:p>
        </w:tc>
        <w:tc>
          <w:tcPr>
            <w:tcW w:w="1719" w:type="dxa"/>
            <w:vAlign w:val="top"/>
          </w:tcPr>
          <w:p w14:paraId="5B98D931">
            <w:pPr>
              <w:spacing w:before="166"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P1</w:t>
            </w:r>
          </w:p>
        </w:tc>
        <w:tc>
          <w:tcPr>
            <w:tcW w:w="1754" w:type="dxa"/>
            <w:vAlign w:val="top"/>
          </w:tcPr>
          <w:p w14:paraId="16A253F8">
            <w:pPr>
              <w:spacing w:before="166"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P2</w:t>
            </w:r>
          </w:p>
        </w:tc>
        <w:tc>
          <w:tcPr>
            <w:tcW w:w="1705" w:type="dxa"/>
            <w:vAlign w:val="top"/>
          </w:tcPr>
          <w:p w14:paraId="3D5BCA5B">
            <w:pPr>
              <w:spacing w:before="165"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P3</w:t>
            </w:r>
          </w:p>
        </w:tc>
      </w:tr>
      <w:tr w14:paraId="0F85B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88" w:type="dxa"/>
            <w:shd w:val="clear" w:color="auto" w:fill="BEBEBE"/>
            <w:vAlign w:val="top"/>
          </w:tcPr>
          <w:p w14:paraId="1EA7593B">
            <w:pPr>
              <w:pStyle w:val="6"/>
              <w:spacing w:before="129" w:line="221" w:lineRule="auto"/>
              <w:ind w:left="497"/>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10≤Q</w:t>
            </w:r>
            <w:r>
              <w:rPr>
                <w:b/>
                <w:bCs/>
                <w:spacing w:val="4"/>
                <w:sz w:val="20"/>
                <w:szCs w:val="20"/>
              </w:rPr>
              <w:t>＜</w:t>
            </w:r>
            <w:r>
              <w:rPr>
                <w:rFonts w:ascii="Times New Roman" w:hAnsi="Times New Roman" w:eastAsia="Times New Roman" w:cs="Times New Roman"/>
                <w:b/>
                <w:bCs/>
                <w:spacing w:val="4"/>
                <w:sz w:val="20"/>
                <w:szCs w:val="20"/>
              </w:rPr>
              <w:t>100</w:t>
            </w:r>
          </w:p>
        </w:tc>
        <w:tc>
          <w:tcPr>
            <w:tcW w:w="1646" w:type="dxa"/>
            <w:vAlign w:val="top"/>
          </w:tcPr>
          <w:p w14:paraId="500C7CBE">
            <w:pPr>
              <w:spacing w:before="166"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P1</w:t>
            </w:r>
          </w:p>
        </w:tc>
        <w:tc>
          <w:tcPr>
            <w:tcW w:w="1719" w:type="dxa"/>
            <w:vAlign w:val="top"/>
          </w:tcPr>
          <w:p w14:paraId="709A8F56">
            <w:pPr>
              <w:spacing w:before="166"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P2</w:t>
            </w:r>
          </w:p>
        </w:tc>
        <w:tc>
          <w:tcPr>
            <w:tcW w:w="1754" w:type="dxa"/>
            <w:vAlign w:val="top"/>
          </w:tcPr>
          <w:p w14:paraId="4A856F88">
            <w:pPr>
              <w:spacing w:before="166"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P3</w:t>
            </w:r>
          </w:p>
        </w:tc>
        <w:tc>
          <w:tcPr>
            <w:tcW w:w="1705" w:type="dxa"/>
            <w:shd w:val="clear" w:color="auto" w:fill="BEBEBE"/>
            <w:vAlign w:val="top"/>
          </w:tcPr>
          <w:p w14:paraId="6139587D">
            <w:pPr>
              <w:spacing w:before="166" w:line="195" w:lineRule="auto"/>
              <w:ind w:left="73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P4</w:t>
            </w:r>
          </w:p>
        </w:tc>
      </w:tr>
      <w:tr w14:paraId="0A0CC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988" w:type="dxa"/>
            <w:vAlign w:val="top"/>
          </w:tcPr>
          <w:p w14:paraId="63C46E8E">
            <w:pPr>
              <w:pStyle w:val="6"/>
              <w:spacing w:before="135" w:line="221"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1≤Q</w:t>
            </w:r>
            <w:r>
              <w:rPr>
                <w:spacing w:val="2"/>
                <w:sz w:val="20"/>
                <w:szCs w:val="20"/>
              </w:rPr>
              <w:t>＜</w:t>
            </w:r>
            <w:r>
              <w:rPr>
                <w:rFonts w:ascii="Times New Roman" w:hAnsi="Times New Roman" w:eastAsia="Times New Roman" w:cs="Times New Roman"/>
                <w:spacing w:val="2"/>
                <w:sz w:val="20"/>
                <w:szCs w:val="20"/>
              </w:rPr>
              <w:t>10</w:t>
            </w:r>
          </w:p>
        </w:tc>
        <w:tc>
          <w:tcPr>
            <w:tcW w:w="1646" w:type="dxa"/>
            <w:vAlign w:val="top"/>
          </w:tcPr>
          <w:p w14:paraId="4BC3C38F">
            <w:pPr>
              <w:spacing w:before="173"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P2</w:t>
            </w:r>
          </w:p>
        </w:tc>
        <w:tc>
          <w:tcPr>
            <w:tcW w:w="1719" w:type="dxa"/>
            <w:vAlign w:val="top"/>
          </w:tcPr>
          <w:p w14:paraId="6CB829AC">
            <w:pPr>
              <w:spacing w:before="173"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P3</w:t>
            </w:r>
          </w:p>
        </w:tc>
        <w:tc>
          <w:tcPr>
            <w:tcW w:w="1754" w:type="dxa"/>
            <w:vAlign w:val="top"/>
          </w:tcPr>
          <w:p w14:paraId="507B149D">
            <w:pPr>
              <w:spacing w:before="173"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P4</w:t>
            </w:r>
          </w:p>
        </w:tc>
        <w:tc>
          <w:tcPr>
            <w:tcW w:w="1705" w:type="dxa"/>
            <w:vAlign w:val="top"/>
          </w:tcPr>
          <w:p w14:paraId="735568EA">
            <w:pPr>
              <w:spacing w:before="173"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P4</w:t>
            </w:r>
          </w:p>
        </w:tc>
      </w:tr>
    </w:tbl>
    <w:p w14:paraId="2AE165F9">
      <w:pPr>
        <w:spacing w:before="277" w:line="220" w:lineRule="auto"/>
        <w:ind w:left="128"/>
        <w:outlineLvl w:val="3"/>
        <w:rPr>
          <w:rFonts w:ascii="宋体" w:hAnsi="宋体" w:eastAsia="宋体" w:cs="宋体"/>
          <w:sz w:val="24"/>
          <w:szCs w:val="24"/>
        </w:rPr>
      </w:pPr>
      <w:r>
        <w:rPr>
          <w:rFonts w:ascii="Times New Roman" w:hAnsi="Times New Roman" w:eastAsia="Times New Roman" w:cs="Times New Roman"/>
          <w:b/>
          <w:bCs/>
          <w:spacing w:val="-2"/>
          <w:sz w:val="24"/>
          <w:szCs w:val="24"/>
        </w:rPr>
        <w:t>2.1.2 E</w:t>
      </w:r>
      <w:r>
        <w:rPr>
          <w:rFonts w:ascii="宋体" w:hAnsi="宋体" w:eastAsia="宋体" w:cs="宋体"/>
          <w:b/>
          <w:bCs/>
          <w:spacing w:val="-2"/>
          <w:sz w:val="24"/>
          <w:szCs w:val="24"/>
        </w:rPr>
        <w:t>的分级确定</w:t>
      </w:r>
    </w:p>
    <w:p w14:paraId="3D38DA0C">
      <w:pPr>
        <w:spacing w:before="180" w:line="219" w:lineRule="auto"/>
        <w:ind w:left="138"/>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rFonts w:ascii="宋体" w:hAnsi="宋体" w:eastAsia="宋体" w:cs="宋体"/>
          <w:b/>
          <w:bCs/>
          <w:spacing w:val="-6"/>
          <w:sz w:val="24"/>
          <w:szCs w:val="24"/>
        </w:rPr>
        <w:t>、大气环境敏感区分级</w:t>
      </w:r>
    </w:p>
    <w:p w14:paraId="6B0619D2">
      <w:pPr>
        <w:spacing w:before="182" w:line="359" w:lineRule="auto"/>
        <w:ind w:left="132" w:right="121" w:firstLine="481"/>
        <w:jc w:val="both"/>
        <w:rPr>
          <w:rFonts w:ascii="宋体" w:hAnsi="宋体" w:eastAsia="宋体" w:cs="宋体"/>
          <w:sz w:val="24"/>
          <w:szCs w:val="24"/>
        </w:rPr>
      </w:pPr>
      <w:r>
        <w:rPr>
          <w:rFonts w:ascii="宋体" w:hAnsi="宋体" w:eastAsia="宋体" w:cs="宋体"/>
          <w:spacing w:val="-1"/>
          <w:sz w:val="24"/>
          <w:szCs w:val="24"/>
        </w:rPr>
        <w:t>依据环境敏感目标环境敏感性及人口密度划分环</w:t>
      </w:r>
      <w:r>
        <w:rPr>
          <w:rFonts w:ascii="宋体" w:hAnsi="宋体" w:eastAsia="宋体" w:cs="宋体"/>
          <w:spacing w:val="-2"/>
          <w:sz w:val="24"/>
          <w:szCs w:val="24"/>
        </w:rPr>
        <w:t>境风险受体的敏感性，共分为三</w:t>
      </w:r>
      <w:r>
        <w:rPr>
          <w:rFonts w:ascii="宋体" w:hAnsi="宋体" w:eastAsia="宋体" w:cs="宋体"/>
          <w:sz w:val="24"/>
          <w:szCs w:val="24"/>
        </w:rPr>
        <w:t xml:space="preserve"> </w:t>
      </w:r>
      <w:r>
        <w:rPr>
          <w:rFonts w:ascii="宋体" w:hAnsi="宋体" w:eastAsia="宋体" w:cs="宋体"/>
          <w:spacing w:val="-1"/>
          <w:sz w:val="24"/>
          <w:szCs w:val="24"/>
        </w:rPr>
        <w:t>种类型，E1</w:t>
      </w:r>
      <w:r>
        <w:rPr>
          <w:rFonts w:ascii="宋体" w:hAnsi="宋体" w:eastAsia="宋体" w:cs="宋体"/>
          <w:spacing w:val="-32"/>
          <w:sz w:val="24"/>
          <w:szCs w:val="24"/>
        </w:rPr>
        <w:t xml:space="preserve"> </w:t>
      </w:r>
      <w:r>
        <w:rPr>
          <w:rFonts w:ascii="宋体" w:hAnsi="宋体" w:eastAsia="宋体" w:cs="宋体"/>
          <w:spacing w:val="-1"/>
          <w:sz w:val="24"/>
          <w:szCs w:val="24"/>
        </w:rPr>
        <w:t>为环境高度敏感区，E2</w:t>
      </w:r>
      <w:r>
        <w:rPr>
          <w:rFonts w:ascii="宋体" w:hAnsi="宋体" w:eastAsia="宋体" w:cs="宋体"/>
          <w:spacing w:val="-48"/>
          <w:sz w:val="24"/>
          <w:szCs w:val="24"/>
        </w:rPr>
        <w:t xml:space="preserve"> </w:t>
      </w:r>
      <w:r>
        <w:rPr>
          <w:rFonts w:ascii="宋体" w:hAnsi="宋体" w:eastAsia="宋体" w:cs="宋体"/>
          <w:spacing w:val="-1"/>
          <w:sz w:val="24"/>
          <w:szCs w:val="24"/>
        </w:rPr>
        <w:t>为环境中度敏感区，E3</w:t>
      </w:r>
      <w:r>
        <w:rPr>
          <w:rFonts w:ascii="宋体" w:hAnsi="宋体" w:eastAsia="宋体" w:cs="宋体"/>
          <w:spacing w:val="-48"/>
          <w:sz w:val="24"/>
          <w:szCs w:val="24"/>
        </w:rPr>
        <w:t xml:space="preserve"> </w:t>
      </w:r>
      <w:r>
        <w:rPr>
          <w:rFonts w:ascii="宋体" w:hAnsi="宋体" w:eastAsia="宋体" w:cs="宋体"/>
          <w:spacing w:val="-1"/>
          <w:sz w:val="24"/>
          <w:szCs w:val="24"/>
        </w:rPr>
        <w:t>为环境低度敏感区，分级</w:t>
      </w:r>
      <w:r>
        <w:rPr>
          <w:rFonts w:ascii="宋体" w:hAnsi="宋体" w:eastAsia="宋体" w:cs="宋体"/>
          <w:sz w:val="24"/>
          <w:szCs w:val="24"/>
        </w:rPr>
        <w:t xml:space="preserve"> </w:t>
      </w:r>
      <w:r>
        <w:rPr>
          <w:rFonts w:ascii="宋体" w:hAnsi="宋体" w:eastAsia="宋体" w:cs="宋体"/>
          <w:spacing w:val="-2"/>
          <w:sz w:val="24"/>
          <w:szCs w:val="24"/>
        </w:rPr>
        <w:t>原则见下表。</w:t>
      </w:r>
    </w:p>
    <w:p w14:paraId="5240E819">
      <w:pPr>
        <w:spacing w:before="2" w:line="360" w:lineRule="auto"/>
        <w:ind w:left="132" w:right="41" w:firstLine="483"/>
        <w:jc w:val="both"/>
        <w:rPr>
          <w:rFonts w:ascii="宋体" w:hAnsi="宋体" w:eastAsia="宋体" w:cs="宋体"/>
          <w:sz w:val="24"/>
          <w:szCs w:val="24"/>
        </w:rPr>
      </w:pPr>
      <w:r>
        <w:rPr>
          <w:rFonts w:ascii="宋体" w:hAnsi="宋体" w:eastAsia="宋体" w:cs="宋体"/>
          <w:spacing w:val="-1"/>
          <w:sz w:val="24"/>
          <w:szCs w:val="24"/>
        </w:rPr>
        <w:t>项目危险品盐酸、草酸、氢氟酸等储存在化</w:t>
      </w:r>
      <w:r>
        <w:rPr>
          <w:rFonts w:ascii="宋体" w:hAnsi="宋体" w:eastAsia="宋体" w:cs="宋体"/>
          <w:spacing w:val="-2"/>
          <w:sz w:val="24"/>
          <w:szCs w:val="24"/>
        </w:rPr>
        <w:t>学品仓库，环境风险评价新导则主要</w:t>
      </w:r>
      <w:r>
        <w:rPr>
          <w:rFonts w:ascii="宋体" w:hAnsi="宋体" w:eastAsia="宋体" w:cs="宋体"/>
          <w:sz w:val="24"/>
          <w:szCs w:val="24"/>
        </w:rPr>
        <w:t xml:space="preserve"> 针对建设项目，项目所在可塘镇区总人口约为</w:t>
      </w:r>
      <w:r>
        <w:rPr>
          <w:rFonts w:ascii="宋体" w:hAnsi="宋体" w:eastAsia="宋体" w:cs="宋体"/>
          <w:spacing w:val="-48"/>
          <w:sz w:val="24"/>
          <w:szCs w:val="24"/>
        </w:rPr>
        <w:t xml:space="preserve"> </w:t>
      </w:r>
      <w:r>
        <w:rPr>
          <w:rFonts w:ascii="宋体" w:hAnsi="宋体" w:eastAsia="宋体" w:cs="宋体"/>
          <w:sz w:val="24"/>
          <w:szCs w:val="24"/>
        </w:rPr>
        <w:t>2.5</w:t>
      </w:r>
      <w:r>
        <w:rPr>
          <w:rFonts w:ascii="宋体" w:hAnsi="宋体" w:eastAsia="宋体" w:cs="宋体"/>
          <w:spacing w:val="-45"/>
          <w:sz w:val="24"/>
          <w:szCs w:val="24"/>
        </w:rPr>
        <w:t xml:space="preserve"> </w:t>
      </w:r>
      <w:r>
        <w:rPr>
          <w:rFonts w:ascii="宋体" w:hAnsi="宋体" w:eastAsia="宋体" w:cs="宋体"/>
          <w:sz w:val="24"/>
          <w:szCs w:val="24"/>
        </w:rPr>
        <w:t>万人。因项目</w:t>
      </w:r>
      <w:r>
        <w:rPr>
          <w:rFonts w:ascii="宋体" w:hAnsi="宋体" w:eastAsia="宋体" w:cs="宋体"/>
          <w:spacing w:val="-1"/>
          <w:sz w:val="24"/>
          <w:szCs w:val="24"/>
        </w:rPr>
        <w:t>周边多是工业企业，</w:t>
      </w:r>
      <w:r>
        <w:rPr>
          <w:rFonts w:ascii="宋体" w:hAnsi="宋体" w:eastAsia="宋体" w:cs="宋体"/>
          <w:sz w:val="24"/>
          <w:szCs w:val="24"/>
        </w:rPr>
        <w:t xml:space="preserve"> </w:t>
      </w:r>
      <w:r>
        <w:rPr>
          <w:rFonts w:ascii="宋体" w:hAnsi="宋体" w:eastAsia="宋体" w:cs="宋体"/>
          <w:spacing w:val="-2"/>
          <w:sz w:val="24"/>
          <w:szCs w:val="24"/>
        </w:rPr>
        <w:t>正常工作日时可造成人员集中，瞬时人口增加数按</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5"/>
          <w:sz w:val="24"/>
          <w:szCs w:val="24"/>
        </w:rPr>
        <w:t xml:space="preserve"> </w:t>
      </w:r>
      <w:r>
        <w:rPr>
          <w:rFonts w:ascii="宋体" w:hAnsi="宋体" w:eastAsia="宋体" w:cs="宋体"/>
          <w:spacing w:val="-3"/>
          <w:sz w:val="24"/>
          <w:szCs w:val="24"/>
        </w:rPr>
        <w:t>万人计，则项目周边敏感目标人</w:t>
      </w:r>
      <w:r>
        <w:rPr>
          <w:rFonts w:ascii="宋体" w:hAnsi="宋体" w:eastAsia="宋体" w:cs="宋体"/>
          <w:sz w:val="24"/>
          <w:szCs w:val="24"/>
        </w:rPr>
        <w:t xml:space="preserve"> </w:t>
      </w:r>
      <w:r>
        <w:rPr>
          <w:rFonts w:ascii="宋体" w:hAnsi="宋体" w:eastAsia="宋体" w:cs="宋体"/>
          <w:spacing w:val="-9"/>
          <w:sz w:val="24"/>
          <w:szCs w:val="24"/>
        </w:rPr>
        <w:t>口总数最大约</w:t>
      </w:r>
      <w:r>
        <w:rPr>
          <w:rFonts w:ascii="宋体" w:hAnsi="宋体" w:eastAsia="宋体" w:cs="宋体"/>
          <w:spacing w:val="-33"/>
          <w:sz w:val="24"/>
          <w:szCs w:val="24"/>
        </w:rPr>
        <w:t xml:space="preserve"> </w:t>
      </w:r>
      <w:r>
        <w:rPr>
          <w:rFonts w:ascii="宋体" w:hAnsi="宋体" w:eastAsia="宋体" w:cs="宋体"/>
          <w:spacing w:val="-9"/>
          <w:sz w:val="24"/>
          <w:szCs w:val="24"/>
        </w:rPr>
        <w:t>2.21</w:t>
      </w:r>
      <w:r>
        <w:rPr>
          <w:rFonts w:ascii="宋体" w:hAnsi="宋体" w:eastAsia="宋体" w:cs="宋体"/>
          <w:spacing w:val="-45"/>
          <w:sz w:val="24"/>
          <w:szCs w:val="24"/>
        </w:rPr>
        <w:t xml:space="preserve"> </w:t>
      </w:r>
      <w:r>
        <w:rPr>
          <w:rFonts w:ascii="宋体" w:hAnsi="宋体" w:eastAsia="宋体" w:cs="宋体"/>
          <w:spacing w:val="-9"/>
          <w:sz w:val="24"/>
          <w:szCs w:val="24"/>
        </w:rPr>
        <w:t>万人。查表可知，项目所在区域大气环境为环境高度敏感区（E1）。</w:t>
      </w:r>
    </w:p>
    <w:p w14:paraId="683FFB7C">
      <w:pPr>
        <w:spacing w:before="116" w:line="219" w:lineRule="auto"/>
        <w:ind w:left="301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3"/>
          <w:sz w:val="24"/>
          <w:szCs w:val="24"/>
        </w:rPr>
        <w:t xml:space="preserve">6    </w:t>
      </w:r>
      <w:r>
        <w:rPr>
          <w:rFonts w:ascii="宋体" w:hAnsi="宋体" w:eastAsia="宋体" w:cs="宋体"/>
          <w:b/>
          <w:bCs/>
          <w:spacing w:val="-3"/>
          <w:sz w:val="24"/>
          <w:szCs w:val="24"/>
        </w:rPr>
        <w:t>大气环境敏感程度分级</w:t>
      </w:r>
    </w:p>
    <w:p w14:paraId="0C16AC32">
      <w:pPr>
        <w:spacing w:line="145" w:lineRule="exact"/>
      </w:pPr>
    </w:p>
    <w:tbl>
      <w:tblPr>
        <w:tblStyle w:val="5"/>
        <w:tblW w:w="90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8278"/>
      </w:tblGrid>
      <w:tr w14:paraId="727CE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05" w:type="dxa"/>
            <w:vAlign w:val="top"/>
          </w:tcPr>
          <w:p w14:paraId="264081AF">
            <w:pPr>
              <w:pStyle w:val="6"/>
              <w:spacing w:before="126" w:line="228" w:lineRule="auto"/>
              <w:ind w:left="198"/>
              <w:rPr>
                <w:sz w:val="20"/>
                <w:szCs w:val="20"/>
              </w:rPr>
            </w:pPr>
            <w:r>
              <w:rPr>
                <w:b/>
                <w:bCs/>
                <w:spacing w:val="2"/>
                <w:sz w:val="20"/>
                <w:szCs w:val="20"/>
              </w:rPr>
              <w:t>分级</w:t>
            </w:r>
          </w:p>
        </w:tc>
        <w:tc>
          <w:tcPr>
            <w:tcW w:w="8278" w:type="dxa"/>
            <w:vAlign w:val="top"/>
          </w:tcPr>
          <w:p w14:paraId="454B15D5">
            <w:pPr>
              <w:pStyle w:val="6"/>
              <w:spacing w:before="126" w:line="228" w:lineRule="auto"/>
              <w:ind w:left="3408"/>
              <w:rPr>
                <w:sz w:val="20"/>
                <w:szCs w:val="20"/>
              </w:rPr>
            </w:pPr>
            <w:r>
              <w:rPr>
                <w:b/>
                <w:bCs/>
                <w:spacing w:val="6"/>
                <w:sz w:val="20"/>
                <w:szCs w:val="20"/>
              </w:rPr>
              <w:t>大气环境敏感性</w:t>
            </w:r>
          </w:p>
        </w:tc>
      </w:tr>
      <w:tr w14:paraId="4E985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805" w:type="dxa"/>
            <w:shd w:val="clear" w:color="auto" w:fill="BEBEBE"/>
            <w:vAlign w:val="top"/>
          </w:tcPr>
          <w:p w14:paraId="0C883B06">
            <w:pPr>
              <w:spacing w:line="407" w:lineRule="auto"/>
              <w:rPr>
                <w:rFonts w:ascii="Arial"/>
                <w:sz w:val="21"/>
              </w:rPr>
            </w:pPr>
          </w:p>
          <w:p w14:paraId="300277D7">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8278" w:type="dxa"/>
            <w:shd w:val="clear" w:color="auto" w:fill="BEBEBE"/>
            <w:vAlign w:val="top"/>
          </w:tcPr>
          <w:p w14:paraId="3BB45797">
            <w:pPr>
              <w:pStyle w:val="6"/>
              <w:spacing w:before="160" w:line="251" w:lineRule="auto"/>
              <w:ind w:left="114" w:right="132" w:hanging="3"/>
              <w:jc w:val="both"/>
              <w:rPr>
                <w:sz w:val="20"/>
                <w:szCs w:val="20"/>
              </w:rPr>
            </w:pPr>
            <w:r>
              <w:rPr>
                <w:spacing w:val="9"/>
                <w:sz w:val="20"/>
                <w:szCs w:val="20"/>
              </w:rPr>
              <w:t>周边</w:t>
            </w:r>
            <w:r>
              <w:rPr>
                <w:spacing w:val="-35"/>
                <w:sz w:val="20"/>
                <w:szCs w:val="20"/>
              </w:rPr>
              <w:t xml:space="preserve"> </w:t>
            </w:r>
            <w:r>
              <w:rPr>
                <w:rFonts w:ascii="Times New Roman" w:hAnsi="Times New Roman" w:eastAsia="Times New Roman" w:cs="Times New Roman"/>
                <w:spacing w:val="9"/>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19"/>
                <w:w w:val="101"/>
                <w:sz w:val="20"/>
                <w:szCs w:val="20"/>
              </w:rPr>
              <w:t xml:space="preserve"> </w:t>
            </w:r>
            <w:r>
              <w:rPr>
                <w:spacing w:val="9"/>
                <w:sz w:val="20"/>
                <w:szCs w:val="20"/>
              </w:rPr>
              <w:t>范围内居住区、医疗卫生、文化教育、科研、行政办公</w:t>
            </w:r>
            <w:r>
              <w:rPr>
                <w:spacing w:val="8"/>
                <w:sz w:val="20"/>
                <w:szCs w:val="20"/>
              </w:rPr>
              <w:t>等机构人口总数大于</w:t>
            </w:r>
            <w:r>
              <w:rPr>
                <w:spacing w:val="-37"/>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 xml:space="preserve">  </w:t>
            </w:r>
            <w:r>
              <w:rPr>
                <w:spacing w:val="8"/>
                <w:sz w:val="20"/>
                <w:szCs w:val="20"/>
              </w:rPr>
              <w:t>万人，或其他需要特殊保护区域；或周边</w:t>
            </w:r>
            <w:r>
              <w:rPr>
                <w:spacing w:val="-35"/>
                <w:sz w:val="20"/>
                <w:szCs w:val="20"/>
              </w:rPr>
              <w:t xml:space="preserve"> </w:t>
            </w:r>
            <w:r>
              <w:rPr>
                <w:rFonts w:ascii="Times New Roman" w:hAnsi="Times New Roman" w:eastAsia="Times New Roman" w:cs="Times New Roman"/>
                <w:spacing w:val="8"/>
                <w:sz w:val="20"/>
                <w:szCs w:val="20"/>
              </w:rPr>
              <w:t xml:space="preserve">500m </w:t>
            </w:r>
            <w:r>
              <w:rPr>
                <w:spacing w:val="7"/>
                <w:sz w:val="20"/>
                <w:szCs w:val="20"/>
              </w:rPr>
              <w:t>范围内人口总数大于</w:t>
            </w:r>
            <w:r>
              <w:rPr>
                <w:spacing w:val="-21"/>
                <w:sz w:val="20"/>
                <w:szCs w:val="20"/>
              </w:rPr>
              <w:t xml:space="preserve"> </w:t>
            </w:r>
            <w:r>
              <w:rPr>
                <w:rFonts w:ascii="Times New Roman" w:hAnsi="Times New Roman" w:eastAsia="Times New Roman" w:cs="Times New Roman"/>
                <w:spacing w:val="7"/>
                <w:sz w:val="20"/>
                <w:szCs w:val="20"/>
              </w:rPr>
              <w:t xml:space="preserve">1000 </w:t>
            </w:r>
            <w:r>
              <w:rPr>
                <w:spacing w:val="7"/>
                <w:sz w:val="20"/>
                <w:szCs w:val="20"/>
              </w:rPr>
              <w:t>人；油气、化</w:t>
            </w:r>
            <w:r>
              <w:rPr>
                <w:sz w:val="20"/>
                <w:szCs w:val="20"/>
              </w:rPr>
              <w:t xml:space="preserve"> </w:t>
            </w:r>
            <w:r>
              <w:rPr>
                <w:spacing w:val="8"/>
                <w:sz w:val="20"/>
                <w:szCs w:val="20"/>
              </w:rPr>
              <w:t>学品输送管线管段周边</w:t>
            </w:r>
            <w:r>
              <w:rPr>
                <w:spacing w:val="-41"/>
                <w:sz w:val="20"/>
                <w:szCs w:val="20"/>
              </w:rPr>
              <w:t xml:space="preserve"> </w:t>
            </w:r>
            <w:r>
              <w:rPr>
                <w:rFonts w:ascii="Times New Roman" w:hAnsi="Times New Roman" w:eastAsia="Times New Roman" w:cs="Times New Roman"/>
                <w:spacing w:val="8"/>
                <w:sz w:val="20"/>
                <w:szCs w:val="20"/>
              </w:rPr>
              <w:t xml:space="preserve">200m </w:t>
            </w:r>
            <w:r>
              <w:rPr>
                <w:spacing w:val="8"/>
                <w:sz w:val="20"/>
                <w:szCs w:val="20"/>
              </w:rPr>
              <w:t>范围内，每千米管段人口数</w:t>
            </w:r>
            <w:r>
              <w:rPr>
                <w:spacing w:val="7"/>
                <w:sz w:val="20"/>
                <w:szCs w:val="20"/>
              </w:rPr>
              <w:t>大于</w:t>
            </w:r>
            <w:r>
              <w:rPr>
                <w:spacing w:val="-40"/>
                <w:sz w:val="20"/>
                <w:szCs w:val="20"/>
              </w:rPr>
              <w:t xml:space="preserve"> </w:t>
            </w:r>
            <w:r>
              <w:rPr>
                <w:rFonts w:ascii="Times New Roman" w:hAnsi="Times New Roman" w:eastAsia="Times New Roman" w:cs="Times New Roman"/>
                <w:spacing w:val="7"/>
                <w:sz w:val="20"/>
                <w:szCs w:val="20"/>
              </w:rPr>
              <w:t xml:space="preserve">200 </w:t>
            </w:r>
            <w:r>
              <w:rPr>
                <w:spacing w:val="7"/>
                <w:sz w:val="20"/>
                <w:szCs w:val="20"/>
              </w:rPr>
              <w:t>人</w:t>
            </w:r>
          </w:p>
        </w:tc>
      </w:tr>
      <w:tr w14:paraId="5CE9E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805" w:type="dxa"/>
            <w:vAlign w:val="top"/>
          </w:tcPr>
          <w:p w14:paraId="1AB5004A">
            <w:pPr>
              <w:spacing w:line="395" w:lineRule="auto"/>
              <w:rPr>
                <w:rFonts w:ascii="Arial"/>
                <w:sz w:val="21"/>
              </w:rPr>
            </w:pPr>
          </w:p>
          <w:p w14:paraId="50DFBF54">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E2</w:t>
            </w:r>
          </w:p>
        </w:tc>
        <w:tc>
          <w:tcPr>
            <w:tcW w:w="8278" w:type="dxa"/>
            <w:vAlign w:val="top"/>
          </w:tcPr>
          <w:p w14:paraId="67472257">
            <w:pPr>
              <w:pStyle w:val="6"/>
              <w:spacing w:before="147" w:line="252" w:lineRule="auto"/>
              <w:ind w:left="114" w:right="132" w:hanging="3"/>
              <w:jc w:val="both"/>
              <w:rPr>
                <w:sz w:val="20"/>
                <w:szCs w:val="20"/>
              </w:rPr>
            </w:pPr>
            <w:r>
              <w:rPr>
                <w:spacing w:val="8"/>
                <w:sz w:val="20"/>
                <w:szCs w:val="20"/>
              </w:rPr>
              <w:t>周边</w:t>
            </w:r>
            <w:r>
              <w:rPr>
                <w:spacing w:val="-22"/>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19"/>
                <w:sz w:val="20"/>
                <w:szCs w:val="20"/>
              </w:rPr>
              <w:t xml:space="preserve"> </w:t>
            </w:r>
            <w:r>
              <w:rPr>
                <w:spacing w:val="8"/>
                <w:sz w:val="20"/>
                <w:szCs w:val="20"/>
              </w:rPr>
              <w:t>范围内居住区、医疗卫生、文化教育、科研、行政办公等机构人口总数大于</w:t>
            </w:r>
            <w:r>
              <w:rPr>
                <w:spacing w:val="-23"/>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z w:val="20"/>
                <w:szCs w:val="20"/>
              </w:rPr>
              <w:t xml:space="preserve">  </w:t>
            </w:r>
            <w:r>
              <w:rPr>
                <w:spacing w:val="6"/>
                <w:sz w:val="20"/>
                <w:szCs w:val="20"/>
              </w:rPr>
              <w:t>万人，小于</w:t>
            </w:r>
            <w:r>
              <w:rPr>
                <w:spacing w:val="-17"/>
                <w:sz w:val="20"/>
                <w:szCs w:val="20"/>
              </w:rPr>
              <w:t xml:space="preserve"> </w:t>
            </w:r>
            <w:r>
              <w:rPr>
                <w:rFonts w:ascii="Times New Roman" w:hAnsi="Times New Roman" w:eastAsia="Times New Roman" w:cs="Times New Roman"/>
                <w:spacing w:val="6"/>
                <w:sz w:val="20"/>
                <w:szCs w:val="20"/>
              </w:rPr>
              <w:t xml:space="preserve">5 </w:t>
            </w:r>
            <w:r>
              <w:rPr>
                <w:spacing w:val="6"/>
                <w:sz w:val="20"/>
                <w:szCs w:val="20"/>
              </w:rPr>
              <w:t>万人；或周边</w:t>
            </w:r>
            <w:r>
              <w:rPr>
                <w:spacing w:val="-35"/>
                <w:sz w:val="20"/>
                <w:szCs w:val="20"/>
              </w:rPr>
              <w:t xml:space="preserve"> </w:t>
            </w:r>
            <w:r>
              <w:rPr>
                <w:rFonts w:ascii="Times New Roman" w:hAnsi="Times New Roman" w:eastAsia="Times New Roman" w:cs="Times New Roman"/>
                <w:spacing w:val="6"/>
                <w:sz w:val="20"/>
                <w:szCs w:val="20"/>
              </w:rPr>
              <w:t xml:space="preserve">500m </w:t>
            </w:r>
            <w:r>
              <w:rPr>
                <w:spacing w:val="6"/>
                <w:sz w:val="20"/>
                <w:szCs w:val="20"/>
              </w:rPr>
              <w:t>范围内人口总数大于</w:t>
            </w:r>
            <w:r>
              <w:rPr>
                <w:spacing w:val="-35"/>
                <w:sz w:val="20"/>
                <w:szCs w:val="20"/>
              </w:rPr>
              <w:t xml:space="preserve"> </w:t>
            </w:r>
            <w:r>
              <w:rPr>
                <w:rFonts w:ascii="Times New Roman" w:hAnsi="Times New Roman" w:eastAsia="Times New Roman" w:cs="Times New Roman"/>
                <w:spacing w:val="6"/>
                <w:sz w:val="20"/>
                <w:szCs w:val="20"/>
              </w:rPr>
              <w:t xml:space="preserve">500 </w:t>
            </w:r>
            <w:r>
              <w:rPr>
                <w:spacing w:val="6"/>
                <w:sz w:val="20"/>
                <w:szCs w:val="20"/>
              </w:rPr>
              <w:t>人，小于</w:t>
            </w:r>
            <w:r>
              <w:rPr>
                <w:spacing w:val="-21"/>
                <w:sz w:val="20"/>
                <w:szCs w:val="20"/>
              </w:rPr>
              <w:t xml:space="preserve"> </w:t>
            </w:r>
            <w:r>
              <w:rPr>
                <w:rFonts w:ascii="Times New Roman" w:hAnsi="Times New Roman" w:eastAsia="Times New Roman" w:cs="Times New Roman"/>
                <w:spacing w:val="6"/>
                <w:sz w:val="20"/>
                <w:szCs w:val="20"/>
              </w:rPr>
              <w:t xml:space="preserve">1000 </w:t>
            </w:r>
            <w:r>
              <w:rPr>
                <w:spacing w:val="6"/>
                <w:sz w:val="20"/>
                <w:szCs w:val="20"/>
              </w:rPr>
              <w:t>人；油气、化</w:t>
            </w:r>
            <w:r>
              <w:rPr>
                <w:sz w:val="20"/>
                <w:szCs w:val="20"/>
              </w:rPr>
              <w:t xml:space="preserve"> </w:t>
            </w:r>
            <w:r>
              <w:rPr>
                <w:spacing w:val="7"/>
                <w:sz w:val="20"/>
                <w:szCs w:val="20"/>
              </w:rPr>
              <w:t>学品输送管线管段周边</w:t>
            </w:r>
            <w:r>
              <w:rPr>
                <w:spacing w:val="-39"/>
                <w:sz w:val="20"/>
                <w:szCs w:val="20"/>
              </w:rPr>
              <w:t xml:space="preserve"> </w:t>
            </w:r>
            <w:r>
              <w:rPr>
                <w:rFonts w:ascii="Times New Roman" w:hAnsi="Times New Roman" w:eastAsia="Times New Roman" w:cs="Times New Roman"/>
                <w:spacing w:val="7"/>
                <w:sz w:val="20"/>
                <w:szCs w:val="20"/>
              </w:rPr>
              <w:t xml:space="preserve">200m </w:t>
            </w:r>
            <w:r>
              <w:rPr>
                <w:spacing w:val="7"/>
                <w:sz w:val="20"/>
                <w:szCs w:val="20"/>
              </w:rPr>
              <w:t>范围内，每千米管段人口数大于</w:t>
            </w:r>
            <w:r>
              <w:rPr>
                <w:spacing w:val="-21"/>
                <w:sz w:val="20"/>
                <w:szCs w:val="20"/>
              </w:rPr>
              <w:t xml:space="preserve"> </w:t>
            </w:r>
            <w:r>
              <w:rPr>
                <w:rFonts w:ascii="Times New Roman" w:hAnsi="Times New Roman" w:eastAsia="Times New Roman" w:cs="Times New Roman"/>
                <w:spacing w:val="7"/>
                <w:sz w:val="20"/>
                <w:szCs w:val="20"/>
              </w:rPr>
              <w:t xml:space="preserve">100 </w:t>
            </w:r>
            <w:r>
              <w:rPr>
                <w:spacing w:val="7"/>
                <w:sz w:val="20"/>
                <w:szCs w:val="20"/>
              </w:rPr>
              <w:t>人，小于</w:t>
            </w:r>
            <w:r>
              <w:rPr>
                <w:spacing w:val="-40"/>
                <w:sz w:val="20"/>
                <w:szCs w:val="20"/>
              </w:rPr>
              <w:t xml:space="preserve"> </w:t>
            </w:r>
            <w:r>
              <w:rPr>
                <w:rFonts w:ascii="Times New Roman" w:hAnsi="Times New Roman" w:eastAsia="Times New Roman" w:cs="Times New Roman"/>
                <w:spacing w:val="7"/>
                <w:sz w:val="20"/>
                <w:szCs w:val="20"/>
              </w:rPr>
              <w:t xml:space="preserve">200 </w:t>
            </w:r>
            <w:r>
              <w:rPr>
                <w:spacing w:val="7"/>
                <w:sz w:val="20"/>
                <w:szCs w:val="20"/>
              </w:rPr>
              <w:t>人</w:t>
            </w:r>
          </w:p>
        </w:tc>
      </w:tr>
    </w:tbl>
    <w:p w14:paraId="17F545A1">
      <w:pPr>
        <w:rPr>
          <w:rFonts w:ascii="Arial"/>
          <w:sz w:val="21"/>
        </w:rPr>
      </w:pPr>
    </w:p>
    <w:p w14:paraId="065EDD68">
      <w:pPr>
        <w:rPr>
          <w:rFonts w:ascii="Arial" w:hAnsi="Arial" w:eastAsia="Arial" w:cs="Arial"/>
          <w:sz w:val="21"/>
          <w:szCs w:val="21"/>
        </w:rPr>
        <w:sectPr>
          <w:footerReference r:id="rId122" w:type="default"/>
          <w:pgSz w:w="11906" w:h="16839"/>
          <w:pgMar w:top="400" w:right="1409" w:bottom="1127" w:left="1408" w:header="0" w:footer="965" w:gutter="0"/>
          <w:cols w:space="720" w:num="1"/>
        </w:sectPr>
      </w:pPr>
    </w:p>
    <w:p w14:paraId="3D39790A">
      <w:pPr>
        <w:spacing w:before="19"/>
      </w:pPr>
    </w:p>
    <w:p w14:paraId="2BE14B80">
      <w:pPr>
        <w:spacing w:before="19"/>
      </w:pPr>
    </w:p>
    <w:p w14:paraId="09AADBB3">
      <w:pPr>
        <w:spacing w:before="19"/>
      </w:pPr>
    </w:p>
    <w:p w14:paraId="3FDC3927">
      <w:pPr>
        <w:spacing w:before="18"/>
      </w:pPr>
    </w:p>
    <w:p w14:paraId="547CF7E2">
      <w:pPr>
        <w:spacing w:before="18"/>
      </w:pPr>
    </w:p>
    <w:tbl>
      <w:tblPr>
        <w:tblStyle w:val="5"/>
        <w:tblW w:w="90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8278"/>
      </w:tblGrid>
      <w:tr w14:paraId="371CE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805" w:type="dxa"/>
            <w:vAlign w:val="top"/>
          </w:tcPr>
          <w:p w14:paraId="7FC49062">
            <w:pPr>
              <w:spacing w:line="402" w:lineRule="auto"/>
              <w:rPr>
                <w:rFonts w:ascii="Arial"/>
                <w:sz w:val="21"/>
              </w:rPr>
            </w:pPr>
          </w:p>
          <w:p w14:paraId="54B8BE4F">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E3</w:t>
            </w:r>
          </w:p>
        </w:tc>
        <w:tc>
          <w:tcPr>
            <w:tcW w:w="8278" w:type="dxa"/>
            <w:vAlign w:val="top"/>
          </w:tcPr>
          <w:p w14:paraId="784B1417">
            <w:pPr>
              <w:pStyle w:val="6"/>
              <w:spacing w:before="156" w:line="251" w:lineRule="auto"/>
              <w:ind w:left="115" w:right="126" w:hanging="4"/>
              <w:jc w:val="both"/>
              <w:rPr>
                <w:sz w:val="20"/>
                <w:szCs w:val="20"/>
              </w:rPr>
            </w:pPr>
            <w:r>
              <w:rPr>
                <w:spacing w:val="8"/>
                <w:sz w:val="20"/>
                <w:szCs w:val="20"/>
              </w:rPr>
              <w:t>周边</w:t>
            </w:r>
            <w:r>
              <w:rPr>
                <w:spacing w:val="-22"/>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19"/>
                <w:sz w:val="20"/>
                <w:szCs w:val="20"/>
              </w:rPr>
              <w:t xml:space="preserve"> </w:t>
            </w:r>
            <w:r>
              <w:rPr>
                <w:spacing w:val="8"/>
                <w:sz w:val="20"/>
                <w:szCs w:val="20"/>
              </w:rPr>
              <w:t>范围内居住区、医疗卫生、文化教育、科研、行政办公等机构人口总数小于</w:t>
            </w:r>
            <w:r>
              <w:rPr>
                <w:spacing w:val="-23"/>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z w:val="20"/>
                <w:szCs w:val="20"/>
              </w:rPr>
              <w:t xml:space="preserve">  </w:t>
            </w:r>
            <w:r>
              <w:rPr>
                <w:spacing w:val="8"/>
                <w:sz w:val="20"/>
                <w:szCs w:val="20"/>
              </w:rPr>
              <w:t>万人；或周边</w:t>
            </w:r>
            <w:r>
              <w:rPr>
                <w:spacing w:val="-35"/>
                <w:sz w:val="20"/>
                <w:szCs w:val="20"/>
              </w:rPr>
              <w:t xml:space="preserve"> </w:t>
            </w:r>
            <w:r>
              <w:rPr>
                <w:rFonts w:ascii="Times New Roman" w:hAnsi="Times New Roman" w:eastAsia="Times New Roman" w:cs="Times New Roman"/>
                <w:spacing w:val="8"/>
                <w:sz w:val="20"/>
                <w:szCs w:val="20"/>
              </w:rPr>
              <w:t xml:space="preserve">500m </w:t>
            </w:r>
            <w:r>
              <w:rPr>
                <w:spacing w:val="8"/>
                <w:sz w:val="20"/>
                <w:szCs w:val="20"/>
              </w:rPr>
              <w:t>范围内人口总数小于</w:t>
            </w:r>
            <w:r>
              <w:rPr>
                <w:spacing w:val="-35"/>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 xml:space="preserve">00 </w:t>
            </w:r>
            <w:r>
              <w:rPr>
                <w:spacing w:val="7"/>
                <w:sz w:val="20"/>
                <w:szCs w:val="20"/>
              </w:rPr>
              <w:t>人；油气、化学品输送管线管段周边</w:t>
            </w:r>
            <w:r>
              <w:rPr>
                <w:spacing w:val="-41"/>
                <w:sz w:val="20"/>
                <w:szCs w:val="20"/>
              </w:rPr>
              <w:t xml:space="preserve"> </w:t>
            </w:r>
            <w:r>
              <w:rPr>
                <w:rFonts w:ascii="Times New Roman" w:hAnsi="Times New Roman" w:eastAsia="Times New Roman" w:cs="Times New Roman"/>
                <w:spacing w:val="7"/>
                <w:sz w:val="20"/>
                <w:szCs w:val="20"/>
              </w:rPr>
              <w:t>200m</w:t>
            </w:r>
            <w:r>
              <w:rPr>
                <w:rFonts w:ascii="Times New Roman" w:hAnsi="Times New Roman" w:eastAsia="Times New Roman" w:cs="Times New Roman"/>
                <w:sz w:val="20"/>
                <w:szCs w:val="20"/>
              </w:rPr>
              <w:t xml:space="preserve"> </w:t>
            </w:r>
            <w:r>
              <w:rPr>
                <w:spacing w:val="6"/>
                <w:sz w:val="20"/>
                <w:szCs w:val="20"/>
              </w:rPr>
              <w:t>范围内，每千米管段人口数小于</w:t>
            </w:r>
            <w:r>
              <w:rPr>
                <w:spacing w:val="-9"/>
                <w:sz w:val="20"/>
                <w:szCs w:val="20"/>
              </w:rPr>
              <w:t xml:space="preserve"> </w:t>
            </w:r>
            <w:r>
              <w:rPr>
                <w:rFonts w:ascii="Times New Roman" w:hAnsi="Times New Roman" w:eastAsia="Times New Roman" w:cs="Times New Roman"/>
                <w:spacing w:val="6"/>
                <w:sz w:val="20"/>
                <w:szCs w:val="20"/>
              </w:rPr>
              <w:t xml:space="preserve">100 </w:t>
            </w:r>
            <w:r>
              <w:rPr>
                <w:spacing w:val="6"/>
                <w:sz w:val="20"/>
                <w:szCs w:val="20"/>
              </w:rPr>
              <w:t>人</w:t>
            </w:r>
          </w:p>
        </w:tc>
      </w:tr>
    </w:tbl>
    <w:p w14:paraId="269B18AD">
      <w:pPr>
        <w:spacing w:before="277" w:line="219" w:lineRule="auto"/>
        <w:ind w:left="128"/>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5"/>
          <w:sz w:val="24"/>
          <w:szCs w:val="24"/>
        </w:rPr>
        <w:t xml:space="preserve"> </w:t>
      </w:r>
      <w:r>
        <w:rPr>
          <w:rFonts w:ascii="宋体" w:hAnsi="宋体" w:eastAsia="宋体" w:cs="宋体"/>
          <w:b/>
          <w:bCs/>
          <w:spacing w:val="-5"/>
          <w:sz w:val="24"/>
          <w:szCs w:val="24"/>
        </w:rPr>
        <w:t>、地表水环境敏感区分级</w:t>
      </w:r>
    </w:p>
    <w:p w14:paraId="745661F1">
      <w:pPr>
        <w:spacing w:before="181" w:line="359" w:lineRule="auto"/>
        <w:ind w:left="129" w:right="60" w:firstLine="484"/>
        <w:jc w:val="both"/>
        <w:rPr>
          <w:rFonts w:ascii="宋体" w:hAnsi="宋体" w:eastAsia="宋体" w:cs="宋体"/>
          <w:sz w:val="24"/>
          <w:szCs w:val="24"/>
        </w:rPr>
      </w:pPr>
      <w:r>
        <w:rPr>
          <w:rFonts w:ascii="宋体" w:hAnsi="宋体" w:eastAsia="宋体" w:cs="宋体"/>
          <w:spacing w:val="-1"/>
          <w:sz w:val="24"/>
          <w:szCs w:val="24"/>
        </w:rPr>
        <w:t>依据事故情况下危险物质泄漏到水体的排放点受</w:t>
      </w:r>
      <w:r>
        <w:rPr>
          <w:rFonts w:ascii="宋体" w:hAnsi="宋体" w:eastAsia="宋体" w:cs="宋体"/>
          <w:spacing w:val="-2"/>
          <w:sz w:val="24"/>
          <w:szCs w:val="24"/>
        </w:rPr>
        <w:t>纳地表水体功能敏感性，与下游</w:t>
      </w:r>
      <w:r>
        <w:rPr>
          <w:rFonts w:ascii="宋体" w:hAnsi="宋体" w:eastAsia="宋体" w:cs="宋体"/>
          <w:sz w:val="24"/>
          <w:szCs w:val="24"/>
        </w:rPr>
        <w:t xml:space="preserve"> </w:t>
      </w:r>
      <w:r>
        <w:rPr>
          <w:rFonts w:ascii="宋体" w:hAnsi="宋体" w:eastAsia="宋体" w:cs="宋体"/>
          <w:spacing w:val="-3"/>
          <w:sz w:val="24"/>
          <w:szCs w:val="24"/>
        </w:rPr>
        <w:t>环境敏感目标情况，共分为三种类型，E1</w:t>
      </w:r>
      <w:r>
        <w:rPr>
          <w:rFonts w:ascii="宋体" w:hAnsi="宋体" w:eastAsia="宋体" w:cs="宋体"/>
          <w:spacing w:val="-48"/>
          <w:sz w:val="24"/>
          <w:szCs w:val="24"/>
        </w:rPr>
        <w:t xml:space="preserve"> </w:t>
      </w:r>
      <w:r>
        <w:rPr>
          <w:rFonts w:ascii="宋体" w:hAnsi="宋体" w:eastAsia="宋体" w:cs="宋体"/>
          <w:spacing w:val="-3"/>
          <w:sz w:val="24"/>
          <w:szCs w:val="24"/>
        </w:rPr>
        <w:t>为环境高度敏感区，E</w:t>
      </w:r>
      <w:r>
        <w:rPr>
          <w:rFonts w:ascii="宋体" w:hAnsi="宋体" w:eastAsia="宋体" w:cs="宋体"/>
          <w:spacing w:val="-4"/>
          <w:sz w:val="24"/>
          <w:szCs w:val="24"/>
        </w:rPr>
        <w:t>2</w:t>
      </w:r>
      <w:r>
        <w:rPr>
          <w:rFonts w:ascii="宋体" w:hAnsi="宋体" w:eastAsia="宋体" w:cs="宋体"/>
          <w:spacing w:val="-48"/>
          <w:sz w:val="24"/>
          <w:szCs w:val="24"/>
        </w:rPr>
        <w:t xml:space="preserve"> </w:t>
      </w:r>
      <w:r>
        <w:rPr>
          <w:rFonts w:ascii="宋体" w:hAnsi="宋体" w:eastAsia="宋体" w:cs="宋体"/>
          <w:spacing w:val="-4"/>
          <w:sz w:val="24"/>
          <w:szCs w:val="24"/>
        </w:rPr>
        <w:t>为环境中度敏感区，</w:t>
      </w:r>
      <w:r>
        <w:rPr>
          <w:rFonts w:ascii="宋体" w:hAnsi="宋体" w:eastAsia="宋体" w:cs="宋体"/>
          <w:sz w:val="24"/>
          <w:szCs w:val="24"/>
        </w:rPr>
        <w:t xml:space="preserve"> </w:t>
      </w:r>
      <w:r>
        <w:rPr>
          <w:rFonts w:ascii="宋体" w:hAnsi="宋体" w:eastAsia="宋体" w:cs="宋体"/>
          <w:spacing w:val="-1"/>
          <w:sz w:val="24"/>
          <w:szCs w:val="24"/>
        </w:rPr>
        <w:t>E3</w:t>
      </w:r>
      <w:r>
        <w:rPr>
          <w:rFonts w:ascii="宋体" w:hAnsi="宋体" w:eastAsia="宋体" w:cs="宋体"/>
          <w:spacing w:val="-48"/>
          <w:sz w:val="24"/>
          <w:szCs w:val="24"/>
        </w:rPr>
        <w:t xml:space="preserve"> </w:t>
      </w:r>
      <w:r>
        <w:rPr>
          <w:rFonts w:ascii="宋体" w:hAnsi="宋体" w:eastAsia="宋体" w:cs="宋体"/>
          <w:spacing w:val="-1"/>
          <w:sz w:val="24"/>
          <w:szCs w:val="24"/>
        </w:rPr>
        <w:t>为环境低度敏感区，分级原则见下表。</w:t>
      </w:r>
    </w:p>
    <w:p w14:paraId="4E71B654">
      <w:pPr>
        <w:spacing w:before="4" w:line="359" w:lineRule="auto"/>
        <w:ind w:left="131" w:right="121" w:firstLine="480"/>
        <w:jc w:val="both"/>
        <w:rPr>
          <w:rFonts w:ascii="宋体" w:hAnsi="宋体" w:eastAsia="宋体" w:cs="宋体"/>
          <w:sz w:val="24"/>
          <w:szCs w:val="24"/>
        </w:rPr>
      </w:pPr>
      <w:r>
        <w:rPr>
          <w:rFonts w:ascii="宋体" w:hAnsi="宋体" w:eastAsia="宋体" w:cs="宋体"/>
          <w:spacing w:val="-1"/>
          <w:sz w:val="24"/>
          <w:szCs w:val="24"/>
        </w:rPr>
        <w:t>根据下表和建设项目周边的水体情况，项目生产废水</w:t>
      </w:r>
      <w:r>
        <w:rPr>
          <w:rFonts w:ascii="宋体" w:hAnsi="宋体" w:eastAsia="宋体" w:cs="宋体"/>
          <w:spacing w:val="-2"/>
          <w:sz w:val="24"/>
          <w:szCs w:val="24"/>
        </w:rPr>
        <w:t>、生活污水经处理达标后排</w:t>
      </w:r>
      <w:r>
        <w:rPr>
          <w:rFonts w:ascii="宋体" w:hAnsi="宋体" w:eastAsia="宋体" w:cs="宋体"/>
          <w:sz w:val="24"/>
          <w:szCs w:val="24"/>
        </w:rPr>
        <w:t xml:space="preserve"> </w:t>
      </w:r>
      <w:r>
        <w:rPr>
          <w:rFonts w:ascii="宋体" w:hAnsi="宋体" w:eastAsia="宋体" w:cs="宋体"/>
          <w:spacing w:val="-1"/>
          <w:sz w:val="24"/>
          <w:szCs w:val="24"/>
        </w:rPr>
        <w:t>入污水管网，最后汇入可塘镇污水处理厂，尾水最终汇入东溪，</w:t>
      </w:r>
      <w:r>
        <w:rPr>
          <w:rFonts w:ascii="宋体" w:hAnsi="宋体" w:eastAsia="宋体" w:cs="宋体"/>
          <w:spacing w:val="-2"/>
          <w:sz w:val="24"/>
          <w:szCs w:val="24"/>
        </w:rPr>
        <w:t>东溪水环境功能为Ⅲ</w:t>
      </w:r>
      <w:r>
        <w:rPr>
          <w:rFonts w:ascii="宋体" w:hAnsi="宋体" w:eastAsia="宋体" w:cs="宋体"/>
          <w:sz w:val="24"/>
          <w:szCs w:val="24"/>
        </w:rPr>
        <w:t xml:space="preserve"> </w:t>
      </w:r>
      <w:r>
        <w:rPr>
          <w:rFonts w:ascii="宋体" w:hAnsi="宋体" w:eastAsia="宋体" w:cs="宋体"/>
          <w:spacing w:val="2"/>
          <w:sz w:val="24"/>
          <w:szCs w:val="24"/>
        </w:rPr>
        <w:t>类，东溪的出海口处为养殖区，则可识别出本`项目地表水功能敏感性为F2，环</w:t>
      </w:r>
      <w:r>
        <w:rPr>
          <w:rFonts w:ascii="宋体" w:hAnsi="宋体" w:eastAsia="宋体" w:cs="宋体"/>
          <w:spacing w:val="1"/>
          <w:sz w:val="24"/>
          <w:szCs w:val="24"/>
        </w:rPr>
        <w:t>境敏</w:t>
      </w:r>
      <w:r>
        <w:rPr>
          <w:rFonts w:ascii="宋体" w:hAnsi="宋体" w:eastAsia="宋体" w:cs="宋体"/>
          <w:sz w:val="24"/>
          <w:szCs w:val="24"/>
        </w:rPr>
        <w:t xml:space="preserve"> </w:t>
      </w:r>
      <w:r>
        <w:rPr>
          <w:rFonts w:ascii="宋体" w:hAnsi="宋体" w:eastAsia="宋体" w:cs="宋体"/>
          <w:spacing w:val="1"/>
          <w:sz w:val="24"/>
          <w:szCs w:val="24"/>
        </w:rPr>
        <w:t>感目标分级为S2，总体地表水环境敏感程度分级为</w:t>
      </w:r>
      <w:r>
        <w:rPr>
          <w:rFonts w:ascii="宋体" w:hAnsi="宋体" w:eastAsia="宋体" w:cs="宋体"/>
          <w:spacing w:val="-53"/>
          <w:sz w:val="24"/>
          <w:szCs w:val="24"/>
        </w:rPr>
        <w:t xml:space="preserve"> </w:t>
      </w:r>
      <w:r>
        <w:rPr>
          <w:rFonts w:ascii="宋体" w:hAnsi="宋体" w:eastAsia="宋体" w:cs="宋体"/>
          <w:spacing w:val="1"/>
          <w:sz w:val="24"/>
          <w:szCs w:val="24"/>
        </w:rPr>
        <w:t>E2</w:t>
      </w:r>
      <w:r>
        <w:rPr>
          <w:rFonts w:ascii="宋体" w:hAnsi="宋体" w:eastAsia="宋体" w:cs="宋体"/>
          <w:spacing w:val="-51"/>
          <w:sz w:val="24"/>
          <w:szCs w:val="24"/>
        </w:rPr>
        <w:t xml:space="preserve"> </w:t>
      </w:r>
      <w:r>
        <w:rPr>
          <w:rFonts w:ascii="宋体" w:hAnsi="宋体" w:eastAsia="宋体" w:cs="宋体"/>
          <w:spacing w:val="1"/>
          <w:sz w:val="24"/>
          <w:szCs w:val="24"/>
        </w:rPr>
        <w:t>地表水环境中度敏感</w:t>
      </w:r>
      <w:r>
        <w:rPr>
          <w:rFonts w:ascii="宋体" w:hAnsi="宋体" w:eastAsia="宋体" w:cs="宋体"/>
          <w:sz w:val="24"/>
          <w:szCs w:val="24"/>
        </w:rPr>
        <w:t>区。</w:t>
      </w:r>
    </w:p>
    <w:p w14:paraId="680AAC8A">
      <w:pPr>
        <w:spacing w:before="116" w:line="219" w:lineRule="auto"/>
        <w:ind w:left="2896"/>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3"/>
          <w:sz w:val="24"/>
          <w:szCs w:val="24"/>
        </w:rPr>
        <w:t xml:space="preserve">7    </w:t>
      </w:r>
      <w:r>
        <w:rPr>
          <w:rFonts w:ascii="宋体" w:hAnsi="宋体" w:eastAsia="宋体" w:cs="宋体"/>
          <w:b/>
          <w:bCs/>
          <w:spacing w:val="-3"/>
          <w:sz w:val="24"/>
          <w:szCs w:val="24"/>
        </w:rPr>
        <w:t>地表水环境敏感程度分级</w:t>
      </w:r>
    </w:p>
    <w:p w14:paraId="56C18736">
      <w:pPr>
        <w:spacing w:line="146" w:lineRule="exact"/>
      </w:pPr>
    </w:p>
    <w:tbl>
      <w:tblPr>
        <w:tblStyle w:val="5"/>
        <w:tblW w:w="9044"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6"/>
        <w:gridCol w:w="2324"/>
        <w:gridCol w:w="2272"/>
        <w:gridCol w:w="2122"/>
      </w:tblGrid>
      <w:tr w14:paraId="2316E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326" w:type="dxa"/>
            <w:vMerge w:val="restart"/>
            <w:tcBorders>
              <w:bottom w:val="nil"/>
            </w:tcBorders>
            <w:vAlign w:val="top"/>
          </w:tcPr>
          <w:p w14:paraId="7CFBCA16">
            <w:pPr>
              <w:spacing w:line="346" w:lineRule="auto"/>
              <w:rPr>
                <w:rFonts w:ascii="Arial"/>
                <w:sz w:val="21"/>
              </w:rPr>
            </w:pPr>
          </w:p>
          <w:p w14:paraId="133B4E4C">
            <w:pPr>
              <w:pStyle w:val="6"/>
              <w:spacing w:before="65" w:line="228" w:lineRule="auto"/>
              <w:ind w:left="535"/>
              <w:rPr>
                <w:sz w:val="20"/>
                <w:szCs w:val="20"/>
              </w:rPr>
            </w:pPr>
            <w:r>
              <w:rPr>
                <w:b/>
                <w:bCs/>
                <w:spacing w:val="6"/>
                <w:sz w:val="20"/>
                <w:szCs w:val="20"/>
              </w:rPr>
              <w:t>环境敏感目标</w:t>
            </w:r>
          </w:p>
        </w:tc>
        <w:tc>
          <w:tcPr>
            <w:tcW w:w="6718" w:type="dxa"/>
            <w:gridSpan w:val="3"/>
            <w:vAlign w:val="top"/>
          </w:tcPr>
          <w:p w14:paraId="2B470C6E">
            <w:pPr>
              <w:pStyle w:val="6"/>
              <w:spacing w:before="154" w:line="228" w:lineRule="auto"/>
              <w:ind w:left="2520"/>
              <w:rPr>
                <w:sz w:val="20"/>
                <w:szCs w:val="20"/>
              </w:rPr>
            </w:pPr>
            <w:r>
              <w:rPr>
                <w:b/>
                <w:bCs/>
                <w:spacing w:val="7"/>
                <w:sz w:val="20"/>
                <w:szCs w:val="20"/>
              </w:rPr>
              <w:t>地表水功能敏感性</w:t>
            </w:r>
          </w:p>
        </w:tc>
      </w:tr>
      <w:tr w14:paraId="4ABFE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26" w:type="dxa"/>
            <w:vMerge w:val="continue"/>
            <w:tcBorders>
              <w:top w:val="nil"/>
            </w:tcBorders>
            <w:vAlign w:val="top"/>
          </w:tcPr>
          <w:p w14:paraId="762F294F">
            <w:pPr>
              <w:rPr>
                <w:rFonts w:ascii="Arial"/>
                <w:sz w:val="21"/>
              </w:rPr>
            </w:pPr>
          </w:p>
        </w:tc>
        <w:tc>
          <w:tcPr>
            <w:tcW w:w="2324" w:type="dxa"/>
            <w:vAlign w:val="top"/>
          </w:tcPr>
          <w:p w14:paraId="1087CAD3">
            <w:pPr>
              <w:spacing w:before="186" w:line="195" w:lineRule="auto"/>
              <w:ind w:left="104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F1</w:t>
            </w:r>
          </w:p>
        </w:tc>
        <w:tc>
          <w:tcPr>
            <w:tcW w:w="2272" w:type="dxa"/>
            <w:shd w:val="clear" w:color="auto" w:fill="BFBFBF"/>
            <w:vAlign w:val="top"/>
          </w:tcPr>
          <w:p w14:paraId="15D9C702">
            <w:pPr>
              <w:spacing w:before="186" w:line="195" w:lineRule="auto"/>
              <w:ind w:left="102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F2</w:t>
            </w:r>
          </w:p>
        </w:tc>
        <w:tc>
          <w:tcPr>
            <w:tcW w:w="2122" w:type="dxa"/>
            <w:vAlign w:val="top"/>
          </w:tcPr>
          <w:p w14:paraId="32A0213B">
            <w:pPr>
              <w:spacing w:before="186" w:line="195" w:lineRule="auto"/>
              <w:ind w:left="94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F3</w:t>
            </w:r>
          </w:p>
        </w:tc>
      </w:tr>
      <w:tr w14:paraId="73407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26" w:type="dxa"/>
            <w:vAlign w:val="top"/>
          </w:tcPr>
          <w:p w14:paraId="1F115A9D">
            <w:pPr>
              <w:spacing w:before="187" w:line="195" w:lineRule="auto"/>
              <w:ind w:left="10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2324" w:type="dxa"/>
            <w:vAlign w:val="top"/>
          </w:tcPr>
          <w:p w14:paraId="2EBBEB66">
            <w:pPr>
              <w:spacing w:before="187" w:line="195" w:lineRule="auto"/>
              <w:ind w:left="10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2272" w:type="dxa"/>
            <w:vAlign w:val="top"/>
          </w:tcPr>
          <w:p w14:paraId="05935654">
            <w:pPr>
              <w:spacing w:before="187" w:line="195" w:lineRule="auto"/>
              <w:ind w:left="10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2122" w:type="dxa"/>
            <w:vAlign w:val="top"/>
          </w:tcPr>
          <w:p w14:paraId="4D81EA75">
            <w:pPr>
              <w:spacing w:before="187"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E2</w:t>
            </w:r>
          </w:p>
        </w:tc>
      </w:tr>
      <w:tr w14:paraId="08A62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26" w:type="dxa"/>
            <w:shd w:val="clear" w:color="auto" w:fill="BFBFBF"/>
            <w:vAlign w:val="top"/>
          </w:tcPr>
          <w:p w14:paraId="080C6819">
            <w:pPr>
              <w:spacing w:before="187" w:line="195" w:lineRule="auto"/>
              <w:ind w:left="10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2324" w:type="dxa"/>
            <w:vAlign w:val="top"/>
          </w:tcPr>
          <w:p w14:paraId="2CA2EAF6">
            <w:pPr>
              <w:spacing w:before="188" w:line="195" w:lineRule="auto"/>
              <w:ind w:left="10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2272" w:type="dxa"/>
            <w:shd w:val="clear" w:color="auto" w:fill="BFBFBF"/>
            <w:vAlign w:val="top"/>
          </w:tcPr>
          <w:p w14:paraId="504451DE">
            <w:pPr>
              <w:spacing w:before="188" w:line="195" w:lineRule="auto"/>
              <w:ind w:left="10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E2</w:t>
            </w:r>
          </w:p>
        </w:tc>
        <w:tc>
          <w:tcPr>
            <w:tcW w:w="2122" w:type="dxa"/>
            <w:vAlign w:val="top"/>
          </w:tcPr>
          <w:p w14:paraId="2A4B414E">
            <w:pPr>
              <w:spacing w:before="187"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E3</w:t>
            </w:r>
          </w:p>
        </w:tc>
      </w:tr>
      <w:tr w14:paraId="31F68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2326" w:type="dxa"/>
            <w:vAlign w:val="top"/>
          </w:tcPr>
          <w:p w14:paraId="50234E00">
            <w:pPr>
              <w:spacing w:before="195" w:line="195" w:lineRule="auto"/>
              <w:ind w:left="10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2324" w:type="dxa"/>
            <w:vAlign w:val="top"/>
          </w:tcPr>
          <w:p w14:paraId="562733A5">
            <w:pPr>
              <w:spacing w:before="196" w:line="195" w:lineRule="auto"/>
              <w:ind w:left="10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2272" w:type="dxa"/>
            <w:vAlign w:val="top"/>
          </w:tcPr>
          <w:p w14:paraId="6D783B5A">
            <w:pPr>
              <w:spacing w:before="196" w:line="195" w:lineRule="auto"/>
              <w:ind w:left="10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E2</w:t>
            </w:r>
          </w:p>
        </w:tc>
        <w:tc>
          <w:tcPr>
            <w:tcW w:w="2122" w:type="dxa"/>
            <w:vAlign w:val="top"/>
          </w:tcPr>
          <w:p w14:paraId="6DEDE149">
            <w:pPr>
              <w:spacing w:before="195"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E3</w:t>
            </w:r>
          </w:p>
        </w:tc>
      </w:tr>
    </w:tbl>
    <w:p w14:paraId="7E0B05C0">
      <w:pPr>
        <w:spacing w:line="315" w:lineRule="auto"/>
        <w:rPr>
          <w:rFonts w:ascii="Arial"/>
          <w:sz w:val="21"/>
        </w:rPr>
      </w:pPr>
    </w:p>
    <w:p w14:paraId="0332F6D1">
      <w:pPr>
        <w:spacing w:before="78" w:line="219" w:lineRule="auto"/>
        <w:ind w:left="301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3"/>
          <w:sz w:val="24"/>
          <w:szCs w:val="24"/>
        </w:rPr>
        <w:t xml:space="preserve">8    </w:t>
      </w:r>
      <w:r>
        <w:rPr>
          <w:rFonts w:ascii="宋体" w:hAnsi="宋体" w:eastAsia="宋体" w:cs="宋体"/>
          <w:b/>
          <w:bCs/>
          <w:spacing w:val="-3"/>
          <w:sz w:val="24"/>
          <w:szCs w:val="24"/>
        </w:rPr>
        <w:t>地表水功能敏感性分区</w:t>
      </w:r>
    </w:p>
    <w:p w14:paraId="5D3C9263">
      <w:pPr>
        <w:spacing w:line="148" w:lineRule="exact"/>
      </w:pPr>
    </w:p>
    <w:tbl>
      <w:tblPr>
        <w:tblStyle w:val="5"/>
        <w:tblW w:w="90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0"/>
        <w:gridCol w:w="7563"/>
      </w:tblGrid>
      <w:tr w14:paraId="22FBB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20" w:type="dxa"/>
            <w:vAlign w:val="top"/>
          </w:tcPr>
          <w:p w14:paraId="181395D5">
            <w:pPr>
              <w:pStyle w:val="6"/>
              <w:spacing w:before="174" w:line="228" w:lineRule="auto"/>
              <w:ind w:left="450"/>
              <w:rPr>
                <w:sz w:val="20"/>
                <w:szCs w:val="20"/>
              </w:rPr>
            </w:pPr>
            <w:r>
              <w:rPr>
                <w:b/>
                <w:bCs/>
                <w:spacing w:val="5"/>
                <w:sz w:val="20"/>
                <w:szCs w:val="20"/>
              </w:rPr>
              <w:t>敏感性</w:t>
            </w:r>
          </w:p>
        </w:tc>
        <w:tc>
          <w:tcPr>
            <w:tcW w:w="7563" w:type="dxa"/>
            <w:vAlign w:val="top"/>
          </w:tcPr>
          <w:p w14:paraId="00FF7B46">
            <w:pPr>
              <w:pStyle w:val="6"/>
              <w:spacing w:before="174" w:line="228" w:lineRule="auto"/>
              <w:ind w:left="2942"/>
              <w:rPr>
                <w:sz w:val="20"/>
                <w:szCs w:val="20"/>
              </w:rPr>
            </w:pPr>
            <w:r>
              <w:rPr>
                <w:b/>
                <w:bCs/>
                <w:spacing w:val="7"/>
                <w:sz w:val="20"/>
                <w:szCs w:val="20"/>
              </w:rPr>
              <w:t>地表水功能敏感性</w:t>
            </w:r>
          </w:p>
        </w:tc>
      </w:tr>
      <w:tr w14:paraId="39C5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1520" w:type="dxa"/>
            <w:vAlign w:val="top"/>
          </w:tcPr>
          <w:p w14:paraId="6BD98D10">
            <w:pPr>
              <w:spacing w:line="456" w:lineRule="auto"/>
              <w:rPr>
                <w:rFonts w:ascii="Arial"/>
                <w:sz w:val="21"/>
              </w:rPr>
            </w:pPr>
          </w:p>
          <w:p w14:paraId="5190F756">
            <w:pPr>
              <w:pStyle w:val="6"/>
              <w:spacing w:before="65" w:line="228" w:lineRule="auto"/>
              <w:ind w:left="419"/>
              <w:rPr>
                <w:rFonts w:ascii="Times New Roman" w:hAnsi="Times New Roman" w:eastAsia="Times New Roman" w:cs="Times New Roman"/>
                <w:sz w:val="20"/>
                <w:szCs w:val="20"/>
              </w:rPr>
            </w:pPr>
            <w:r>
              <w:rPr>
                <w:spacing w:val="3"/>
                <w:sz w:val="20"/>
                <w:szCs w:val="20"/>
              </w:rPr>
              <w:t>敏感</w:t>
            </w:r>
            <w:r>
              <w:rPr>
                <w:spacing w:val="-41"/>
                <w:sz w:val="20"/>
                <w:szCs w:val="20"/>
              </w:rPr>
              <w:t xml:space="preserve"> </w:t>
            </w:r>
            <w:r>
              <w:rPr>
                <w:rFonts w:ascii="Times New Roman" w:hAnsi="Times New Roman" w:eastAsia="Times New Roman" w:cs="Times New Roman"/>
                <w:spacing w:val="3"/>
                <w:sz w:val="20"/>
                <w:szCs w:val="20"/>
              </w:rPr>
              <w:t>F1</w:t>
            </w:r>
          </w:p>
        </w:tc>
        <w:tc>
          <w:tcPr>
            <w:tcW w:w="7563" w:type="dxa"/>
            <w:vAlign w:val="top"/>
          </w:tcPr>
          <w:p w14:paraId="2E3A7172">
            <w:pPr>
              <w:pStyle w:val="6"/>
              <w:spacing w:before="252" w:line="252" w:lineRule="auto"/>
              <w:ind w:left="107" w:right="108" w:firstLine="3"/>
              <w:jc w:val="both"/>
              <w:rPr>
                <w:sz w:val="20"/>
                <w:szCs w:val="20"/>
              </w:rPr>
            </w:pPr>
            <w:r>
              <w:rPr>
                <w:spacing w:val="12"/>
                <w:sz w:val="20"/>
                <w:szCs w:val="20"/>
              </w:rPr>
              <w:t>排放点进入地表水水域环境功能为</w:t>
            </w:r>
            <w:r>
              <w:rPr>
                <w:rFonts w:ascii="Times New Roman" w:hAnsi="Times New Roman" w:eastAsia="Times New Roman" w:cs="Times New Roman"/>
                <w:spacing w:val="12"/>
                <w:sz w:val="20"/>
                <w:szCs w:val="20"/>
              </w:rPr>
              <w:t>Ⅱ</w:t>
            </w:r>
            <w:r>
              <w:rPr>
                <w:spacing w:val="12"/>
                <w:sz w:val="20"/>
                <w:szCs w:val="20"/>
              </w:rPr>
              <w:t>类及以上，或</w:t>
            </w:r>
            <w:r>
              <w:rPr>
                <w:spacing w:val="11"/>
                <w:sz w:val="20"/>
                <w:szCs w:val="20"/>
              </w:rPr>
              <w:t>海水水质分类第一类；或以发</w:t>
            </w:r>
            <w:r>
              <w:rPr>
                <w:sz w:val="20"/>
                <w:szCs w:val="20"/>
              </w:rPr>
              <w:t xml:space="preserve"> </w:t>
            </w:r>
            <w:r>
              <w:rPr>
                <w:spacing w:val="10"/>
                <w:sz w:val="20"/>
                <w:szCs w:val="20"/>
              </w:rPr>
              <w:t>生事故时，危险物质泄漏到水体的排放点算起，排放进入受</w:t>
            </w:r>
            <w:r>
              <w:rPr>
                <w:spacing w:val="9"/>
                <w:sz w:val="20"/>
                <w:szCs w:val="20"/>
              </w:rPr>
              <w:t>纳河流最大流速时，</w:t>
            </w:r>
            <w:r>
              <w:rPr>
                <w:sz w:val="20"/>
                <w:szCs w:val="20"/>
              </w:rPr>
              <w:t xml:space="preserve"> </w:t>
            </w:r>
            <w:r>
              <w:rPr>
                <w:rFonts w:ascii="Times New Roman" w:hAnsi="Times New Roman" w:eastAsia="Times New Roman" w:cs="Times New Roman"/>
                <w:spacing w:val="7"/>
                <w:sz w:val="20"/>
                <w:szCs w:val="20"/>
              </w:rPr>
              <w:t xml:space="preserve">24h </w:t>
            </w:r>
            <w:r>
              <w:rPr>
                <w:spacing w:val="7"/>
                <w:sz w:val="20"/>
                <w:szCs w:val="20"/>
              </w:rPr>
              <w:t>流经范围内涉跨国界的</w:t>
            </w:r>
          </w:p>
        </w:tc>
      </w:tr>
      <w:tr w14:paraId="4D5D5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1520" w:type="dxa"/>
            <w:vAlign w:val="top"/>
          </w:tcPr>
          <w:p w14:paraId="3FD2A3B8">
            <w:pPr>
              <w:spacing w:line="440" w:lineRule="auto"/>
              <w:rPr>
                <w:rFonts w:ascii="Arial"/>
                <w:sz w:val="21"/>
              </w:rPr>
            </w:pPr>
          </w:p>
          <w:p w14:paraId="20646503">
            <w:pPr>
              <w:pStyle w:val="6"/>
              <w:spacing w:before="65" w:line="228" w:lineRule="auto"/>
              <w:ind w:left="313"/>
              <w:rPr>
                <w:rFonts w:ascii="Times New Roman" w:hAnsi="Times New Roman" w:eastAsia="Times New Roman" w:cs="Times New Roman"/>
                <w:sz w:val="20"/>
                <w:szCs w:val="20"/>
              </w:rPr>
            </w:pPr>
            <w:r>
              <w:rPr>
                <w:spacing w:val="5"/>
                <w:sz w:val="20"/>
                <w:szCs w:val="20"/>
              </w:rPr>
              <w:t>较敏感</w:t>
            </w:r>
            <w:r>
              <w:rPr>
                <w:spacing w:val="-45"/>
                <w:sz w:val="20"/>
                <w:szCs w:val="20"/>
              </w:rPr>
              <w:t xml:space="preserve"> </w:t>
            </w:r>
            <w:r>
              <w:rPr>
                <w:rFonts w:ascii="Times New Roman" w:hAnsi="Times New Roman" w:eastAsia="Times New Roman" w:cs="Times New Roman"/>
                <w:spacing w:val="5"/>
                <w:sz w:val="20"/>
                <w:szCs w:val="20"/>
              </w:rPr>
              <w:t>F2</w:t>
            </w:r>
          </w:p>
        </w:tc>
        <w:tc>
          <w:tcPr>
            <w:tcW w:w="7563" w:type="dxa"/>
            <w:vAlign w:val="top"/>
          </w:tcPr>
          <w:p w14:paraId="5F70629C">
            <w:pPr>
              <w:pStyle w:val="6"/>
              <w:spacing w:before="237" w:line="228" w:lineRule="auto"/>
              <w:ind w:left="110"/>
              <w:rPr>
                <w:sz w:val="20"/>
                <w:szCs w:val="20"/>
              </w:rPr>
            </w:pPr>
            <w:r>
              <w:rPr>
                <w:b/>
                <w:bCs/>
                <w:spacing w:val="8"/>
                <w:sz w:val="20"/>
                <w:szCs w:val="20"/>
              </w:rPr>
              <w:t>排放点进入地表水水域环境功能为</w:t>
            </w:r>
            <w:r>
              <w:rPr>
                <w:rFonts w:ascii="Times New Roman" w:hAnsi="Times New Roman" w:eastAsia="Times New Roman" w:cs="Times New Roman"/>
                <w:b/>
                <w:bCs/>
                <w:spacing w:val="8"/>
                <w:sz w:val="20"/>
                <w:szCs w:val="20"/>
              </w:rPr>
              <w:t>Ⅲ</w:t>
            </w:r>
            <w:r>
              <w:rPr>
                <w:b/>
                <w:bCs/>
                <w:spacing w:val="8"/>
                <w:sz w:val="20"/>
                <w:szCs w:val="20"/>
              </w:rPr>
              <w:t>类</w:t>
            </w:r>
            <w:r>
              <w:rPr>
                <w:spacing w:val="8"/>
                <w:sz w:val="20"/>
                <w:szCs w:val="20"/>
              </w:rPr>
              <w:t>，或海水水质分类第二类；</w:t>
            </w:r>
          </w:p>
          <w:p w14:paraId="67128A56">
            <w:pPr>
              <w:pStyle w:val="6"/>
              <w:spacing w:before="24" w:line="252" w:lineRule="auto"/>
              <w:ind w:left="110" w:right="108" w:firstLine="3"/>
              <w:rPr>
                <w:sz w:val="20"/>
                <w:szCs w:val="20"/>
              </w:rPr>
            </w:pPr>
            <w:r>
              <w:rPr>
                <w:spacing w:val="10"/>
                <w:sz w:val="20"/>
                <w:szCs w:val="20"/>
              </w:rPr>
              <w:t>或以发生事故时，危险物质泄漏到水体的排</w:t>
            </w:r>
            <w:r>
              <w:rPr>
                <w:spacing w:val="9"/>
                <w:sz w:val="20"/>
                <w:szCs w:val="20"/>
              </w:rPr>
              <w:t>放点算起，排放进入受纳河流最大流</w:t>
            </w:r>
            <w:r>
              <w:rPr>
                <w:sz w:val="20"/>
                <w:szCs w:val="20"/>
              </w:rPr>
              <w:t xml:space="preserve"> </w:t>
            </w:r>
            <w:r>
              <w:rPr>
                <w:spacing w:val="8"/>
                <w:sz w:val="20"/>
                <w:szCs w:val="20"/>
              </w:rPr>
              <w:t>速时，</w:t>
            </w:r>
            <w:r>
              <w:rPr>
                <w:rFonts w:ascii="Times New Roman" w:hAnsi="Times New Roman" w:eastAsia="Times New Roman" w:cs="Times New Roman"/>
                <w:spacing w:val="8"/>
                <w:sz w:val="20"/>
                <w:szCs w:val="20"/>
              </w:rPr>
              <w:t xml:space="preserve">24h </w:t>
            </w:r>
            <w:r>
              <w:rPr>
                <w:spacing w:val="8"/>
                <w:sz w:val="20"/>
                <w:szCs w:val="20"/>
              </w:rPr>
              <w:t>流经范围内涉跨省界的</w:t>
            </w:r>
          </w:p>
        </w:tc>
      </w:tr>
      <w:tr w14:paraId="6AFD9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520" w:type="dxa"/>
            <w:vAlign w:val="top"/>
          </w:tcPr>
          <w:p w14:paraId="512B7371">
            <w:pPr>
              <w:pStyle w:val="6"/>
              <w:spacing w:before="141" w:line="228" w:lineRule="auto"/>
              <w:ind w:left="312"/>
              <w:rPr>
                <w:rFonts w:ascii="Times New Roman" w:hAnsi="Times New Roman" w:eastAsia="Times New Roman" w:cs="Times New Roman"/>
                <w:sz w:val="20"/>
                <w:szCs w:val="20"/>
              </w:rPr>
            </w:pPr>
            <w:r>
              <w:rPr>
                <w:spacing w:val="5"/>
                <w:sz w:val="20"/>
                <w:szCs w:val="20"/>
              </w:rPr>
              <w:t>低敏感</w:t>
            </w:r>
            <w:r>
              <w:rPr>
                <w:spacing w:val="-44"/>
                <w:sz w:val="20"/>
                <w:szCs w:val="20"/>
              </w:rPr>
              <w:t xml:space="preserve"> </w:t>
            </w:r>
            <w:r>
              <w:rPr>
                <w:rFonts w:ascii="Times New Roman" w:hAnsi="Times New Roman" w:eastAsia="Times New Roman" w:cs="Times New Roman"/>
                <w:spacing w:val="5"/>
                <w:sz w:val="20"/>
                <w:szCs w:val="20"/>
              </w:rPr>
              <w:t>F3</w:t>
            </w:r>
          </w:p>
        </w:tc>
        <w:tc>
          <w:tcPr>
            <w:tcW w:w="7563" w:type="dxa"/>
            <w:vAlign w:val="top"/>
          </w:tcPr>
          <w:p w14:paraId="2249FDF8">
            <w:pPr>
              <w:pStyle w:val="6"/>
              <w:spacing w:before="142" w:line="228" w:lineRule="auto"/>
              <w:ind w:left="112"/>
              <w:rPr>
                <w:sz w:val="20"/>
                <w:szCs w:val="20"/>
              </w:rPr>
            </w:pPr>
            <w:r>
              <w:rPr>
                <w:spacing w:val="9"/>
                <w:sz w:val="20"/>
                <w:szCs w:val="20"/>
              </w:rPr>
              <w:t>上述地区之外的其他地区</w:t>
            </w:r>
          </w:p>
        </w:tc>
      </w:tr>
    </w:tbl>
    <w:p w14:paraId="51A2D8ED">
      <w:pPr>
        <w:rPr>
          <w:rFonts w:ascii="Arial"/>
          <w:sz w:val="21"/>
        </w:rPr>
      </w:pPr>
    </w:p>
    <w:p w14:paraId="0E880586">
      <w:pPr>
        <w:rPr>
          <w:rFonts w:ascii="Arial" w:hAnsi="Arial" w:eastAsia="Arial" w:cs="Arial"/>
          <w:sz w:val="21"/>
          <w:szCs w:val="21"/>
        </w:rPr>
        <w:sectPr>
          <w:footerReference r:id="rId123" w:type="default"/>
          <w:pgSz w:w="11906" w:h="16839"/>
          <w:pgMar w:top="400" w:right="1409" w:bottom="1127" w:left="1408" w:header="0" w:footer="965" w:gutter="0"/>
          <w:cols w:space="720" w:num="1"/>
        </w:sectPr>
      </w:pPr>
    </w:p>
    <w:p w14:paraId="0BDEE89C">
      <w:pPr>
        <w:spacing w:line="250" w:lineRule="auto"/>
        <w:rPr>
          <w:rFonts w:ascii="Arial"/>
          <w:sz w:val="21"/>
        </w:rPr>
      </w:pPr>
    </w:p>
    <w:p w14:paraId="7A141B5C">
      <w:pPr>
        <w:spacing w:line="250" w:lineRule="auto"/>
        <w:rPr>
          <w:rFonts w:ascii="Arial"/>
          <w:sz w:val="21"/>
        </w:rPr>
      </w:pPr>
    </w:p>
    <w:p w14:paraId="4AF04A06">
      <w:pPr>
        <w:spacing w:line="250" w:lineRule="auto"/>
        <w:rPr>
          <w:rFonts w:ascii="Arial"/>
          <w:sz w:val="21"/>
        </w:rPr>
      </w:pPr>
    </w:p>
    <w:p w14:paraId="26DCAF4A">
      <w:pPr>
        <w:spacing w:line="250" w:lineRule="auto"/>
        <w:rPr>
          <w:rFonts w:ascii="Arial"/>
          <w:sz w:val="21"/>
        </w:rPr>
      </w:pPr>
    </w:p>
    <w:p w14:paraId="1B2F73A0">
      <w:pPr>
        <w:spacing w:line="251" w:lineRule="auto"/>
        <w:rPr>
          <w:rFonts w:ascii="Arial"/>
          <w:sz w:val="21"/>
        </w:rPr>
      </w:pPr>
    </w:p>
    <w:p w14:paraId="352CD8E6">
      <w:pPr>
        <w:spacing w:before="78" w:line="219" w:lineRule="auto"/>
        <w:ind w:left="324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3"/>
          <w:sz w:val="24"/>
          <w:szCs w:val="24"/>
        </w:rPr>
        <w:t xml:space="preserve">9    </w:t>
      </w:r>
      <w:r>
        <w:rPr>
          <w:rFonts w:ascii="宋体" w:hAnsi="宋体" w:eastAsia="宋体" w:cs="宋体"/>
          <w:b/>
          <w:bCs/>
          <w:spacing w:val="-3"/>
          <w:sz w:val="24"/>
          <w:szCs w:val="24"/>
        </w:rPr>
        <w:t>环境敏感目标分级</w:t>
      </w:r>
    </w:p>
    <w:p w14:paraId="7E3F8416">
      <w:pPr>
        <w:spacing w:line="146"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8215"/>
      </w:tblGrid>
      <w:tr w14:paraId="19EBE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49" w:type="dxa"/>
            <w:vAlign w:val="top"/>
          </w:tcPr>
          <w:p w14:paraId="632C72EE">
            <w:pPr>
              <w:pStyle w:val="6"/>
              <w:spacing w:before="99" w:line="228" w:lineRule="auto"/>
              <w:ind w:left="221"/>
              <w:rPr>
                <w:sz w:val="20"/>
                <w:szCs w:val="20"/>
              </w:rPr>
            </w:pPr>
            <w:r>
              <w:rPr>
                <w:spacing w:val="3"/>
                <w:sz w:val="20"/>
                <w:szCs w:val="20"/>
              </w:rPr>
              <w:t>分级</w:t>
            </w:r>
          </w:p>
        </w:tc>
        <w:tc>
          <w:tcPr>
            <w:tcW w:w="8215" w:type="dxa"/>
            <w:vAlign w:val="top"/>
          </w:tcPr>
          <w:p w14:paraId="2240ED5F">
            <w:pPr>
              <w:pStyle w:val="6"/>
              <w:spacing w:before="98" w:line="228" w:lineRule="auto"/>
              <w:ind w:left="3481"/>
              <w:rPr>
                <w:sz w:val="20"/>
                <w:szCs w:val="20"/>
              </w:rPr>
            </w:pPr>
            <w:r>
              <w:rPr>
                <w:spacing w:val="8"/>
                <w:sz w:val="20"/>
                <w:szCs w:val="20"/>
              </w:rPr>
              <w:t>环境敏感目标</w:t>
            </w:r>
          </w:p>
        </w:tc>
      </w:tr>
      <w:tr w14:paraId="5685A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849" w:type="dxa"/>
            <w:vAlign w:val="top"/>
          </w:tcPr>
          <w:p w14:paraId="1692A7AC">
            <w:pPr>
              <w:spacing w:line="279" w:lineRule="auto"/>
              <w:rPr>
                <w:rFonts w:ascii="Arial"/>
                <w:sz w:val="21"/>
              </w:rPr>
            </w:pPr>
          </w:p>
          <w:p w14:paraId="1D238E74">
            <w:pPr>
              <w:spacing w:line="279" w:lineRule="auto"/>
              <w:rPr>
                <w:rFonts w:ascii="Arial"/>
                <w:sz w:val="21"/>
              </w:rPr>
            </w:pPr>
          </w:p>
          <w:p w14:paraId="71F4EE43">
            <w:pPr>
              <w:spacing w:line="279" w:lineRule="auto"/>
              <w:rPr>
                <w:rFonts w:ascii="Arial"/>
                <w:sz w:val="21"/>
              </w:rPr>
            </w:pPr>
          </w:p>
          <w:p w14:paraId="76F88E55">
            <w:pPr>
              <w:spacing w:line="279" w:lineRule="auto"/>
              <w:rPr>
                <w:rFonts w:ascii="Arial"/>
                <w:sz w:val="21"/>
              </w:rPr>
            </w:pPr>
          </w:p>
          <w:p w14:paraId="71B10887">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8215" w:type="dxa"/>
            <w:vAlign w:val="top"/>
          </w:tcPr>
          <w:p w14:paraId="77689AE5">
            <w:pPr>
              <w:pStyle w:val="6"/>
              <w:spacing w:before="186" w:line="252" w:lineRule="auto"/>
              <w:ind w:left="111" w:right="57" w:firstLine="4"/>
              <w:jc w:val="both"/>
              <w:rPr>
                <w:sz w:val="20"/>
                <w:szCs w:val="20"/>
              </w:rPr>
            </w:pPr>
            <w:r>
              <w:rPr>
                <w:spacing w:val="7"/>
                <w:sz w:val="20"/>
                <w:szCs w:val="20"/>
              </w:rPr>
              <w:t>发生事故时，危险物质泄漏到内陆水体的排放点下游（顺水流向）</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km</w:t>
            </w:r>
            <w:r>
              <w:rPr>
                <w:rFonts w:ascii="Times New Roman" w:hAnsi="Times New Roman" w:eastAsia="Times New Roman" w:cs="Times New Roman"/>
                <w:spacing w:val="16"/>
                <w:w w:val="101"/>
                <w:sz w:val="20"/>
                <w:szCs w:val="20"/>
              </w:rPr>
              <w:t xml:space="preserve"> </w:t>
            </w:r>
            <w:r>
              <w:rPr>
                <w:spacing w:val="7"/>
                <w:sz w:val="20"/>
                <w:szCs w:val="20"/>
              </w:rPr>
              <w:t>范围内</w:t>
            </w:r>
            <w:r>
              <w:rPr>
                <w:spacing w:val="6"/>
                <w:sz w:val="20"/>
                <w:szCs w:val="20"/>
              </w:rPr>
              <w:t>、近岸海</w:t>
            </w:r>
            <w:r>
              <w:rPr>
                <w:sz w:val="20"/>
                <w:szCs w:val="20"/>
              </w:rPr>
              <w:t xml:space="preserve"> </w:t>
            </w:r>
            <w:r>
              <w:rPr>
                <w:spacing w:val="10"/>
                <w:sz w:val="20"/>
                <w:szCs w:val="20"/>
              </w:rPr>
              <w:t>域一个潮周期水质点可能达到的最大水平距离的两倍范围内，有如下一类或多类环境风</w:t>
            </w:r>
            <w:r>
              <w:rPr>
                <w:spacing w:val="8"/>
                <w:sz w:val="20"/>
                <w:szCs w:val="20"/>
              </w:rPr>
              <w:t xml:space="preserve"> 险受体：集中式地表水饮用水水源保护区（包括一级保护区、二级保护区及准</w:t>
            </w:r>
            <w:r>
              <w:rPr>
                <w:spacing w:val="7"/>
                <w:sz w:val="20"/>
                <w:szCs w:val="20"/>
              </w:rPr>
              <w:t>保护区</w:t>
            </w:r>
            <w:r>
              <w:rPr>
                <w:spacing w:val="-27"/>
                <w:sz w:val="20"/>
                <w:szCs w:val="20"/>
              </w:rPr>
              <w:t>）；</w:t>
            </w:r>
            <w:r>
              <w:rPr>
                <w:spacing w:val="1"/>
                <w:sz w:val="20"/>
                <w:szCs w:val="20"/>
              </w:rPr>
              <w:t xml:space="preserve"> </w:t>
            </w:r>
            <w:r>
              <w:rPr>
                <w:spacing w:val="9"/>
                <w:sz w:val="20"/>
                <w:szCs w:val="20"/>
              </w:rPr>
              <w:t>农村及分散式饮用水水源保护区；</w:t>
            </w:r>
            <w:r>
              <w:rPr>
                <w:spacing w:val="-44"/>
                <w:sz w:val="20"/>
                <w:szCs w:val="20"/>
              </w:rPr>
              <w:t xml:space="preserve"> </w:t>
            </w:r>
            <w:r>
              <w:rPr>
                <w:spacing w:val="9"/>
                <w:sz w:val="20"/>
                <w:szCs w:val="20"/>
              </w:rPr>
              <w:t>自然保护区；重要湿地；珍稀</w:t>
            </w:r>
            <w:r>
              <w:rPr>
                <w:spacing w:val="8"/>
                <w:sz w:val="20"/>
                <w:szCs w:val="20"/>
              </w:rPr>
              <w:t>濒危野生动植物天然集</w:t>
            </w:r>
            <w:r>
              <w:rPr>
                <w:sz w:val="20"/>
                <w:szCs w:val="20"/>
              </w:rPr>
              <w:t xml:space="preserve"> </w:t>
            </w:r>
            <w:r>
              <w:rPr>
                <w:spacing w:val="10"/>
                <w:sz w:val="20"/>
                <w:szCs w:val="20"/>
              </w:rPr>
              <w:t>中分布区；重要水生生物的自然产卵场及索饵场、越冬场和洄游通道；世界文化和自然</w:t>
            </w:r>
            <w:r>
              <w:rPr>
                <w:spacing w:val="8"/>
                <w:sz w:val="20"/>
                <w:szCs w:val="20"/>
              </w:rPr>
              <w:t xml:space="preserve"> </w:t>
            </w:r>
            <w:r>
              <w:rPr>
                <w:spacing w:val="6"/>
                <w:sz w:val="20"/>
                <w:szCs w:val="20"/>
              </w:rPr>
              <w:t xml:space="preserve">遗产地；红树林、珊瑚礁等滨海湿地生态系统；珍稀、濒危海洋生物的天然集中分布区； </w:t>
            </w:r>
            <w:r>
              <w:rPr>
                <w:spacing w:val="10"/>
                <w:sz w:val="20"/>
                <w:szCs w:val="20"/>
              </w:rPr>
              <w:t>海洋特别保护区；海上自然保护区；盐场保护区；海水浴场；海洋自然历史遗迹；风景</w:t>
            </w:r>
            <w:r>
              <w:rPr>
                <w:spacing w:val="8"/>
                <w:sz w:val="20"/>
                <w:szCs w:val="20"/>
              </w:rPr>
              <w:t xml:space="preserve"> </w:t>
            </w:r>
            <w:r>
              <w:rPr>
                <w:spacing w:val="9"/>
                <w:sz w:val="20"/>
                <w:szCs w:val="20"/>
              </w:rPr>
              <w:t>名胜区；或其他特殊重要保护区域</w:t>
            </w:r>
          </w:p>
        </w:tc>
      </w:tr>
      <w:tr w14:paraId="05C6C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49" w:type="dxa"/>
            <w:vAlign w:val="top"/>
          </w:tcPr>
          <w:p w14:paraId="12D5C281">
            <w:pPr>
              <w:spacing w:line="280" w:lineRule="auto"/>
              <w:rPr>
                <w:rFonts w:ascii="Arial"/>
                <w:sz w:val="21"/>
              </w:rPr>
            </w:pPr>
          </w:p>
          <w:p w14:paraId="17A6A177">
            <w:pPr>
              <w:spacing w:line="281" w:lineRule="auto"/>
              <w:rPr>
                <w:rFonts w:ascii="Arial"/>
                <w:sz w:val="21"/>
              </w:rPr>
            </w:pPr>
          </w:p>
          <w:p w14:paraId="4769DEA0">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8215" w:type="dxa"/>
            <w:vAlign w:val="top"/>
          </w:tcPr>
          <w:p w14:paraId="2C17C3D8">
            <w:pPr>
              <w:pStyle w:val="6"/>
              <w:spacing w:before="180" w:line="251" w:lineRule="auto"/>
              <w:ind w:left="112" w:right="109" w:firstLine="2"/>
              <w:jc w:val="both"/>
              <w:rPr>
                <w:sz w:val="20"/>
                <w:szCs w:val="20"/>
              </w:rPr>
            </w:pPr>
            <w:r>
              <w:rPr>
                <w:spacing w:val="7"/>
                <w:sz w:val="20"/>
                <w:szCs w:val="20"/>
              </w:rPr>
              <w:t>发生事故时，危险物质泄漏到内陆水体的排放点下游（顺水流向）</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km</w:t>
            </w:r>
            <w:r>
              <w:rPr>
                <w:rFonts w:ascii="Times New Roman" w:hAnsi="Times New Roman" w:eastAsia="Times New Roman" w:cs="Times New Roman"/>
                <w:spacing w:val="16"/>
                <w:w w:val="101"/>
                <w:sz w:val="20"/>
                <w:szCs w:val="20"/>
              </w:rPr>
              <w:t xml:space="preserve"> </w:t>
            </w:r>
            <w:r>
              <w:rPr>
                <w:spacing w:val="7"/>
                <w:sz w:val="20"/>
                <w:szCs w:val="20"/>
              </w:rPr>
              <w:t>范围内</w:t>
            </w:r>
            <w:r>
              <w:rPr>
                <w:spacing w:val="6"/>
                <w:sz w:val="20"/>
                <w:szCs w:val="20"/>
              </w:rPr>
              <w:t>、近岸海</w:t>
            </w:r>
            <w:r>
              <w:rPr>
                <w:sz w:val="20"/>
                <w:szCs w:val="20"/>
              </w:rPr>
              <w:t xml:space="preserve"> </w:t>
            </w:r>
            <w:r>
              <w:rPr>
                <w:spacing w:val="10"/>
                <w:sz w:val="20"/>
                <w:szCs w:val="20"/>
              </w:rPr>
              <w:t>域一个潮周期水质点可能达到的最大水平距离的两倍范围内，有如下一类或多类环境风</w:t>
            </w:r>
            <w:r>
              <w:rPr>
                <w:spacing w:val="6"/>
                <w:sz w:val="20"/>
                <w:szCs w:val="20"/>
              </w:rPr>
              <w:t xml:space="preserve"> </w:t>
            </w:r>
            <w:r>
              <w:rPr>
                <w:spacing w:val="10"/>
                <w:sz w:val="20"/>
                <w:szCs w:val="20"/>
              </w:rPr>
              <w:t>险受体的：</w:t>
            </w:r>
            <w:r>
              <w:rPr>
                <w:b/>
                <w:bCs/>
                <w:spacing w:val="10"/>
                <w:sz w:val="20"/>
                <w:szCs w:val="20"/>
              </w:rPr>
              <w:t>水产养殖区；</w:t>
            </w:r>
            <w:r>
              <w:rPr>
                <w:spacing w:val="10"/>
                <w:sz w:val="20"/>
                <w:szCs w:val="20"/>
              </w:rPr>
              <w:t>天然渔场；森林公园；地质公园；海滨风景游览</w:t>
            </w:r>
            <w:r>
              <w:rPr>
                <w:spacing w:val="9"/>
                <w:sz w:val="20"/>
                <w:szCs w:val="20"/>
              </w:rPr>
              <w:t>区；具有重要</w:t>
            </w:r>
            <w:r>
              <w:rPr>
                <w:sz w:val="20"/>
                <w:szCs w:val="20"/>
              </w:rPr>
              <w:t xml:space="preserve"> </w:t>
            </w:r>
            <w:r>
              <w:rPr>
                <w:spacing w:val="9"/>
                <w:sz w:val="20"/>
                <w:szCs w:val="20"/>
              </w:rPr>
              <w:t>经济价值的海洋生物生存区域</w:t>
            </w:r>
          </w:p>
        </w:tc>
      </w:tr>
      <w:tr w14:paraId="3FF47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49" w:type="dxa"/>
            <w:vAlign w:val="top"/>
          </w:tcPr>
          <w:p w14:paraId="67E70ACA">
            <w:pPr>
              <w:spacing w:line="303" w:lineRule="auto"/>
              <w:rPr>
                <w:rFonts w:ascii="Arial"/>
                <w:sz w:val="21"/>
              </w:rPr>
            </w:pPr>
          </w:p>
          <w:p w14:paraId="59507402">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8215" w:type="dxa"/>
            <w:vAlign w:val="top"/>
          </w:tcPr>
          <w:p w14:paraId="2ABD8AAC">
            <w:pPr>
              <w:pStyle w:val="6"/>
              <w:spacing w:before="189" w:line="252" w:lineRule="auto"/>
              <w:ind w:left="114" w:right="109" w:hanging="3"/>
              <w:rPr>
                <w:sz w:val="20"/>
                <w:szCs w:val="20"/>
              </w:rPr>
            </w:pPr>
            <w:r>
              <w:rPr>
                <w:spacing w:val="7"/>
                <w:sz w:val="20"/>
                <w:szCs w:val="20"/>
              </w:rPr>
              <w:t>排放点下游（顺水流向）</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km</w:t>
            </w:r>
            <w:r>
              <w:rPr>
                <w:rFonts w:ascii="Times New Roman" w:hAnsi="Times New Roman" w:eastAsia="Times New Roman" w:cs="Times New Roman"/>
                <w:spacing w:val="16"/>
                <w:w w:val="101"/>
                <w:sz w:val="20"/>
                <w:szCs w:val="20"/>
              </w:rPr>
              <w:t xml:space="preserve"> </w:t>
            </w:r>
            <w:r>
              <w:rPr>
                <w:spacing w:val="7"/>
                <w:sz w:val="20"/>
                <w:szCs w:val="20"/>
              </w:rPr>
              <w:t>范围、近岸海域一个潮周期水质点可能达到的最大水平距</w:t>
            </w:r>
            <w:r>
              <w:rPr>
                <w:sz w:val="20"/>
                <w:szCs w:val="20"/>
              </w:rPr>
              <w:t xml:space="preserve"> </w:t>
            </w:r>
            <w:r>
              <w:rPr>
                <w:spacing w:val="7"/>
                <w:sz w:val="20"/>
                <w:szCs w:val="20"/>
              </w:rPr>
              <w:t>离的两倍范围内无上述类型</w:t>
            </w:r>
            <w:r>
              <w:rPr>
                <w:spacing w:val="-11"/>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和类型</w:t>
            </w:r>
            <w:r>
              <w:rPr>
                <w:spacing w:val="-40"/>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包括的敏感保护目标</w:t>
            </w:r>
          </w:p>
        </w:tc>
      </w:tr>
    </w:tbl>
    <w:p w14:paraId="17EC9C9F">
      <w:pPr>
        <w:spacing w:before="156" w:line="219" w:lineRule="auto"/>
        <w:ind w:left="116"/>
        <w:rPr>
          <w:rFonts w:ascii="宋体" w:hAnsi="宋体" w:eastAsia="宋体" w:cs="宋体"/>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3"/>
          <w:sz w:val="24"/>
          <w:szCs w:val="24"/>
        </w:rPr>
        <w:t xml:space="preserve"> </w:t>
      </w:r>
      <w:r>
        <w:rPr>
          <w:rFonts w:ascii="宋体" w:hAnsi="宋体" w:eastAsia="宋体" w:cs="宋体"/>
          <w:b/>
          <w:bCs/>
          <w:spacing w:val="-5"/>
          <w:sz w:val="24"/>
          <w:szCs w:val="24"/>
        </w:rPr>
        <w:t>、地下水环境敏感区分级</w:t>
      </w:r>
    </w:p>
    <w:p w14:paraId="13524195">
      <w:pPr>
        <w:spacing w:before="181" w:line="359" w:lineRule="auto"/>
        <w:ind w:left="123" w:right="112" w:firstLine="480"/>
        <w:jc w:val="both"/>
        <w:rPr>
          <w:rFonts w:ascii="宋体" w:hAnsi="宋体" w:eastAsia="宋体" w:cs="宋体"/>
          <w:sz w:val="24"/>
          <w:szCs w:val="24"/>
        </w:rPr>
      </w:pPr>
      <w:r>
        <w:rPr>
          <w:rFonts w:ascii="宋体" w:hAnsi="宋体" w:eastAsia="宋体" w:cs="宋体"/>
          <w:spacing w:val="2"/>
          <w:sz w:val="24"/>
          <w:szCs w:val="24"/>
        </w:rPr>
        <w:t>依据地下水功能敏感性与包气带防污性能，共分为三种类型，</w:t>
      </w:r>
      <w:r>
        <w:rPr>
          <w:rFonts w:ascii="Times New Roman" w:hAnsi="Times New Roman" w:eastAsia="Times New Roman" w:cs="Times New Roman"/>
          <w:spacing w:val="2"/>
          <w:sz w:val="24"/>
          <w:szCs w:val="24"/>
        </w:rPr>
        <w:t>E1</w:t>
      </w:r>
      <w:r>
        <w:rPr>
          <w:rFonts w:ascii="Times New Roman" w:hAnsi="Times New Roman" w:eastAsia="Times New Roman" w:cs="Times New Roman"/>
          <w:spacing w:val="32"/>
          <w:w w:val="101"/>
          <w:sz w:val="24"/>
          <w:szCs w:val="24"/>
        </w:rPr>
        <w:t xml:space="preserve"> </w:t>
      </w:r>
      <w:r>
        <w:rPr>
          <w:rFonts w:ascii="宋体" w:hAnsi="宋体" w:eastAsia="宋体" w:cs="宋体"/>
          <w:spacing w:val="2"/>
          <w:sz w:val="24"/>
          <w:szCs w:val="24"/>
        </w:rPr>
        <w:t>为环境高度敏</w:t>
      </w:r>
      <w:r>
        <w:rPr>
          <w:rFonts w:ascii="宋体" w:hAnsi="宋体" w:eastAsia="宋体" w:cs="宋体"/>
          <w:sz w:val="24"/>
          <w:szCs w:val="24"/>
        </w:rPr>
        <w:t xml:space="preserve"> </w:t>
      </w:r>
      <w:r>
        <w:rPr>
          <w:rFonts w:ascii="宋体" w:hAnsi="宋体" w:eastAsia="宋体" w:cs="宋体"/>
          <w:spacing w:val="1"/>
          <w:sz w:val="24"/>
          <w:szCs w:val="24"/>
        </w:rPr>
        <w:t>感区，</w:t>
      </w:r>
      <w:r>
        <w:rPr>
          <w:rFonts w:ascii="Times New Roman" w:hAnsi="Times New Roman" w:eastAsia="Times New Roman" w:cs="Times New Roman"/>
          <w:spacing w:val="1"/>
          <w:sz w:val="24"/>
          <w:szCs w:val="24"/>
        </w:rPr>
        <w:t xml:space="preserve">E2 </w:t>
      </w:r>
      <w:r>
        <w:rPr>
          <w:rFonts w:ascii="宋体" w:hAnsi="宋体" w:eastAsia="宋体" w:cs="宋体"/>
          <w:spacing w:val="1"/>
          <w:sz w:val="24"/>
          <w:szCs w:val="24"/>
        </w:rPr>
        <w:t>为环境中度敏感区，</w:t>
      </w:r>
      <w:r>
        <w:rPr>
          <w:rFonts w:ascii="Times New Roman" w:hAnsi="Times New Roman" w:eastAsia="Times New Roman" w:cs="Times New Roman"/>
          <w:spacing w:val="1"/>
          <w:sz w:val="24"/>
          <w:szCs w:val="24"/>
        </w:rPr>
        <w:t xml:space="preserve">E3 </w:t>
      </w:r>
      <w:r>
        <w:rPr>
          <w:rFonts w:ascii="宋体" w:hAnsi="宋体" w:eastAsia="宋体" w:cs="宋体"/>
          <w:spacing w:val="1"/>
          <w:sz w:val="24"/>
          <w:szCs w:val="24"/>
        </w:rPr>
        <w:t>为</w:t>
      </w:r>
      <w:r>
        <w:rPr>
          <w:rFonts w:ascii="宋体" w:hAnsi="宋体" w:eastAsia="宋体" w:cs="宋体"/>
          <w:sz w:val="24"/>
          <w:szCs w:val="24"/>
        </w:rPr>
        <w:t xml:space="preserve">环境低度敏感区，分级原则见下表。当同一建设 </w:t>
      </w:r>
      <w:r>
        <w:rPr>
          <w:rFonts w:ascii="宋体" w:hAnsi="宋体" w:eastAsia="宋体" w:cs="宋体"/>
          <w:spacing w:val="-1"/>
          <w:sz w:val="24"/>
          <w:szCs w:val="24"/>
        </w:rPr>
        <w:t>项目涉及两个</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G </w:t>
      </w:r>
      <w:r>
        <w:rPr>
          <w:rFonts w:ascii="宋体" w:hAnsi="宋体" w:eastAsia="宋体" w:cs="宋体"/>
          <w:spacing w:val="-1"/>
          <w:sz w:val="24"/>
          <w:szCs w:val="24"/>
        </w:rPr>
        <w:t>分区或</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分级及以上时，取相对高值。</w:t>
      </w:r>
    </w:p>
    <w:p w14:paraId="61A3FC8A">
      <w:pPr>
        <w:spacing w:before="2" w:line="360" w:lineRule="auto"/>
        <w:ind w:left="122" w:right="112" w:firstLine="480"/>
        <w:jc w:val="both"/>
        <w:rPr>
          <w:rFonts w:ascii="宋体" w:hAnsi="宋体" w:eastAsia="宋体" w:cs="宋体"/>
          <w:sz w:val="24"/>
          <w:szCs w:val="24"/>
        </w:rPr>
      </w:pPr>
      <w:r>
        <w:rPr>
          <w:rFonts w:ascii="宋体" w:hAnsi="宋体" w:eastAsia="宋体" w:cs="宋体"/>
          <w:spacing w:val="-1"/>
          <w:sz w:val="24"/>
          <w:szCs w:val="24"/>
        </w:rPr>
        <w:t>根据下表和建设项目周边的地下水实际情况，本项目</w:t>
      </w:r>
      <w:r>
        <w:rPr>
          <w:rFonts w:ascii="宋体" w:hAnsi="宋体" w:eastAsia="宋体" w:cs="宋体"/>
          <w:spacing w:val="-2"/>
          <w:sz w:val="24"/>
          <w:szCs w:val="24"/>
        </w:rPr>
        <w:t>周边区域均不涉及地下水的</w:t>
      </w:r>
      <w:r>
        <w:rPr>
          <w:rFonts w:ascii="宋体" w:hAnsi="宋体" w:eastAsia="宋体" w:cs="宋体"/>
          <w:sz w:val="24"/>
          <w:szCs w:val="24"/>
        </w:rPr>
        <w:t xml:space="preserve"> </w:t>
      </w:r>
      <w:r>
        <w:rPr>
          <w:rFonts w:ascii="宋体" w:hAnsi="宋体" w:eastAsia="宋体" w:cs="宋体"/>
          <w:spacing w:val="-14"/>
          <w:sz w:val="24"/>
          <w:szCs w:val="24"/>
        </w:rPr>
        <w:t>环</w:t>
      </w:r>
      <w:r>
        <w:rPr>
          <w:rFonts w:ascii="宋体" w:hAnsi="宋体" w:eastAsia="宋体" w:cs="宋体"/>
          <w:spacing w:val="-64"/>
          <w:sz w:val="24"/>
          <w:szCs w:val="24"/>
        </w:rPr>
        <w:t xml:space="preserve"> </w:t>
      </w:r>
      <w:r>
        <w:rPr>
          <w:rFonts w:ascii="宋体" w:hAnsi="宋体" w:eastAsia="宋体" w:cs="宋体"/>
          <w:spacing w:val="-14"/>
          <w:sz w:val="24"/>
          <w:szCs w:val="24"/>
        </w:rPr>
        <w:t>境</w:t>
      </w:r>
      <w:r>
        <w:rPr>
          <w:rFonts w:ascii="宋体" w:hAnsi="宋体" w:eastAsia="宋体" w:cs="宋体"/>
          <w:spacing w:val="-67"/>
          <w:sz w:val="24"/>
          <w:szCs w:val="24"/>
        </w:rPr>
        <w:t xml:space="preserve"> </w:t>
      </w:r>
      <w:r>
        <w:rPr>
          <w:rFonts w:ascii="宋体" w:hAnsi="宋体" w:eastAsia="宋体" w:cs="宋体"/>
          <w:spacing w:val="-14"/>
          <w:sz w:val="24"/>
          <w:szCs w:val="24"/>
        </w:rPr>
        <w:t>敏</w:t>
      </w:r>
      <w:r>
        <w:rPr>
          <w:rFonts w:ascii="宋体" w:hAnsi="宋体" w:eastAsia="宋体" w:cs="宋体"/>
          <w:spacing w:val="-64"/>
          <w:sz w:val="24"/>
          <w:szCs w:val="24"/>
        </w:rPr>
        <w:t xml:space="preserve"> </w:t>
      </w:r>
      <w:r>
        <w:rPr>
          <w:rFonts w:ascii="宋体" w:hAnsi="宋体" w:eastAsia="宋体" w:cs="宋体"/>
          <w:spacing w:val="-14"/>
          <w:sz w:val="24"/>
          <w:szCs w:val="24"/>
        </w:rPr>
        <w:t>感</w:t>
      </w:r>
      <w:r>
        <w:rPr>
          <w:rFonts w:ascii="宋体" w:hAnsi="宋体" w:eastAsia="宋体" w:cs="宋体"/>
          <w:spacing w:val="-50"/>
          <w:sz w:val="24"/>
          <w:szCs w:val="24"/>
        </w:rPr>
        <w:t xml:space="preserve"> </w:t>
      </w:r>
      <w:r>
        <w:rPr>
          <w:rFonts w:ascii="宋体" w:hAnsi="宋体" w:eastAsia="宋体" w:cs="宋体"/>
          <w:spacing w:val="-14"/>
          <w:sz w:val="24"/>
          <w:szCs w:val="24"/>
        </w:rPr>
        <w:t>区</w:t>
      </w:r>
      <w:r>
        <w:rPr>
          <w:rFonts w:ascii="宋体" w:hAnsi="宋体" w:eastAsia="宋体" w:cs="宋体"/>
          <w:spacing w:val="-45"/>
          <w:sz w:val="24"/>
          <w:szCs w:val="24"/>
        </w:rPr>
        <w:t xml:space="preserve"> </w:t>
      </w:r>
      <w:r>
        <w:rPr>
          <w:rFonts w:ascii="宋体" w:hAnsi="宋体" w:eastAsia="宋体" w:cs="宋体"/>
          <w:spacing w:val="-14"/>
          <w:sz w:val="24"/>
          <w:szCs w:val="24"/>
        </w:rPr>
        <w:t>，</w:t>
      </w:r>
      <w:r>
        <w:rPr>
          <w:rFonts w:ascii="宋体" w:hAnsi="宋体" w:eastAsia="宋体" w:cs="宋体"/>
          <w:spacing w:val="-61"/>
          <w:sz w:val="24"/>
          <w:szCs w:val="24"/>
        </w:rPr>
        <w:t xml:space="preserve"> </w:t>
      </w:r>
      <w:r>
        <w:rPr>
          <w:rFonts w:ascii="宋体" w:hAnsi="宋体" w:eastAsia="宋体" w:cs="宋体"/>
          <w:spacing w:val="-14"/>
          <w:sz w:val="24"/>
          <w:szCs w:val="24"/>
        </w:rPr>
        <w:t>项 目</w:t>
      </w:r>
      <w:r>
        <w:rPr>
          <w:rFonts w:ascii="宋体" w:hAnsi="宋体" w:eastAsia="宋体" w:cs="宋体"/>
          <w:spacing w:val="-66"/>
          <w:sz w:val="24"/>
          <w:szCs w:val="24"/>
        </w:rPr>
        <w:t xml:space="preserve"> </w:t>
      </w:r>
      <w:r>
        <w:rPr>
          <w:rFonts w:ascii="宋体" w:hAnsi="宋体" w:eastAsia="宋体" w:cs="宋体"/>
          <w:spacing w:val="-14"/>
          <w:sz w:val="24"/>
          <w:szCs w:val="24"/>
        </w:rPr>
        <w:t>场</w:t>
      </w:r>
      <w:r>
        <w:rPr>
          <w:rFonts w:ascii="宋体" w:hAnsi="宋体" w:eastAsia="宋体" w:cs="宋体"/>
          <w:spacing w:val="-65"/>
          <w:sz w:val="24"/>
          <w:szCs w:val="24"/>
        </w:rPr>
        <w:t xml:space="preserve"> </w:t>
      </w:r>
      <w:r>
        <w:rPr>
          <w:rFonts w:ascii="宋体" w:hAnsi="宋体" w:eastAsia="宋体" w:cs="宋体"/>
          <w:spacing w:val="-14"/>
          <w:sz w:val="24"/>
          <w:szCs w:val="24"/>
        </w:rPr>
        <w:t>地</w:t>
      </w:r>
      <w:r>
        <w:rPr>
          <w:rFonts w:ascii="宋体" w:hAnsi="宋体" w:eastAsia="宋体" w:cs="宋体"/>
          <w:spacing w:val="-68"/>
          <w:sz w:val="24"/>
          <w:szCs w:val="24"/>
        </w:rPr>
        <w:t xml:space="preserve"> </w:t>
      </w:r>
      <w:r>
        <w:rPr>
          <w:rFonts w:ascii="宋体" w:hAnsi="宋体" w:eastAsia="宋体" w:cs="宋体"/>
          <w:spacing w:val="-14"/>
          <w:sz w:val="24"/>
          <w:szCs w:val="24"/>
        </w:rPr>
        <w:t>包</w:t>
      </w:r>
      <w:r>
        <w:rPr>
          <w:rFonts w:ascii="宋体" w:hAnsi="宋体" w:eastAsia="宋体" w:cs="宋体"/>
          <w:spacing w:val="-64"/>
          <w:sz w:val="24"/>
          <w:szCs w:val="24"/>
        </w:rPr>
        <w:t xml:space="preserve"> </w:t>
      </w:r>
      <w:r>
        <w:rPr>
          <w:rFonts w:ascii="宋体" w:hAnsi="宋体" w:eastAsia="宋体" w:cs="宋体"/>
          <w:spacing w:val="-14"/>
          <w:sz w:val="24"/>
          <w:szCs w:val="24"/>
        </w:rPr>
        <w:t>气</w:t>
      </w:r>
      <w:r>
        <w:rPr>
          <w:rFonts w:ascii="宋体" w:hAnsi="宋体" w:eastAsia="宋体" w:cs="宋体"/>
          <w:spacing w:val="-59"/>
          <w:sz w:val="24"/>
          <w:szCs w:val="24"/>
        </w:rPr>
        <w:t xml:space="preserve"> </w:t>
      </w:r>
      <w:r>
        <w:rPr>
          <w:rFonts w:ascii="宋体" w:hAnsi="宋体" w:eastAsia="宋体" w:cs="宋体"/>
          <w:spacing w:val="-14"/>
          <w:sz w:val="24"/>
          <w:szCs w:val="24"/>
        </w:rPr>
        <w:t>厚</w:t>
      </w:r>
      <w:r>
        <w:rPr>
          <w:rFonts w:ascii="宋体" w:hAnsi="宋体" w:eastAsia="宋体" w:cs="宋体"/>
          <w:spacing w:val="-68"/>
          <w:sz w:val="24"/>
          <w:szCs w:val="24"/>
        </w:rPr>
        <w:t xml:space="preserve"> </w:t>
      </w:r>
      <w:r>
        <w:rPr>
          <w:rFonts w:ascii="宋体" w:hAnsi="宋体" w:eastAsia="宋体" w:cs="宋体"/>
          <w:spacing w:val="-14"/>
          <w:sz w:val="24"/>
          <w:szCs w:val="24"/>
        </w:rPr>
        <w:t>度</w:t>
      </w:r>
      <w:r>
        <w:rPr>
          <w:rFonts w:ascii="宋体" w:hAnsi="宋体" w:eastAsia="宋体" w:cs="宋体"/>
          <w:spacing w:val="-60"/>
          <w:sz w:val="24"/>
          <w:szCs w:val="24"/>
        </w:rPr>
        <w:t xml:space="preserve"> </w:t>
      </w:r>
      <w:r>
        <w:rPr>
          <w:rFonts w:ascii="宋体" w:hAnsi="宋体" w:eastAsia="宋体" w:cs="宋体"/>
          <w:spacing w:val="-14"/>
          <w:sz w:val="24"/>
          <w:szCs w:val="24"/>
        </w:rPr>
        <w:t>约</w:t>
      </w:r>
      <w:r>
        <w:rPr>
          <w:rFonts w:ascii="宋体" w:hAnsi="宋体" w:eastAsia="宋体" w:cs="宋体"/>
          <w:spacing w:val="-62"/>
          <w:sz w:val="24"/>
          <w:szCs w:val="24"/>
        </w:rPr>
        <w:t xml:space="preserve"> </w:t>
      </w:r>
      <w:r>
        <w:rPr>
          <w:rFonts w:ascii="宋体" w:hAnsi="宋体" w:eastAsia="宋体" w:cs="宋体"/>
          <w:spacing w:val="-14"/>
          <w:sz w:val="24"/>
          <w:szCs w:val="24"/>
        </w:rPr>
        <w:t>为</w:t>
      </w:r>
      <w:r>
        <w:rPr>
          <w:rFonts w:ascii="宋体" w:hAnsi="宋体" w:eastAsia="宋体" w:cs="宋体"/>
          <w:spacing w:val="-48"/>
          <w:sz w:val="24"/>
          <w:szCs w:val="24"/>
        </w:rPr>
        <w:t xml:space="preserve"> </w:t>
      </w:r>
      <w:r>
        <w:rPr>
          <w:rFonts w:ascii="Times New Roman" w:hAnsi="Times New Roman" w:eastAsia="Times New Roman" w:cs="Times New Roman"/>
          <w:spacing w:val="-14"/>
          <w:sz w:val="24"/>
          <w:szCs w:val="24"/>
        </w:rPr>
        <w:t xml:space="preserve">1.5 </w:t>
      </w:r>
      <w:r>
        <w:rPr>
          <w:rFonts w:ascii="宋体" w:hAnsi="宋体" w:eastAsia="宋体" w:cs="宋体"/>
          <w:spacing w:val="-14"/>
          <w:sz w:val="24"/>
          <w:szCs w:val="24"/>
        </w:rPr>
        <w:t>米</w:t>
      </w:r>
      <w:r>
        <w:rPr>
          <w:rFonts w:ascii="宋体" w:hAnsi="宋体" w:eastAsia="宋体" w:cs="宋体"/>
          <w:spacing w:val="-46"/>
          <w:sz w:val="24"/>
          <w:szCs w:val="24"/>
        </w:rPr>
        <w:t xml:space="preserve"> </w:t>
      </w:r>
      <w:r>
        <w:rPr>
          <w:rFonts w:ascii="宋体" w:hAnsi="宋体" w:eastAsia="宋体" w:cs="宋体"/>
          <w:spacing w:val="-14"/>
          <w:sz w:val="24"/>
          <w:szCs w:val="24"/>
        </w:rPr>
        <w:t>，</w:t>
      </w:r>
      <w:r>
        <w:rPr>
          <w:rFonts w:ascii="宋体" w:hAnsi="宋体" w:eastAsia="宋体" w:cs="宋体"/>
          <w:spacing w:val="-65"/>
          <w:sz w:val="24"/>
          <w:szCs w:val="24"/>
        </w:rPr>
        <w:t xml:space="preserve"> </w:t>
      </w:r>
      <w:r>
        <w:rPr>
          <w:rFonts w:ascii="宋体" w:hAnsi="宋体" w:eastAsia="宋体" w:cs="宋体"/>
          <w:spacing w:val="-14"/>
          <w:sz w:val="24"/>
          <w:szCs w:val="24"/>
        </w:rPr>
        <w:t>主</w:t>
      </w:r>
      <w:r>
        <w:rPr>
          <w:rFonts w:ascii="宋体" w:hAnsi="宋体" w:eastAsia="宋体" w:cs="宋体"/>
          <w:spacing w:val="-64"/>
          <w:sz w:val="24"/>
          <w:szCs w:val="24"/>
        </w:rPr>
        <w:t xml:space="preserve"> </w:t>
      </w:r>
      <w:r>
        <w:rPr>
          <w:rFonts w:ascii="宋体" w:hAnsi="宋体" w:eastAsia="宋体" w:cs="宋体"/>
          <w:spacing w:val="-15"/>
          <w:sz w:val="24"/>
          <w:szCs w:val="24"/>
        </w:rPr>
        <w:t>要</w:t>
      </w:r>
      <w:r>
        <w:rPr>
          <w:rFonts w:ascii="宋体" w:hAnsi="宋体" w:eastAsia="宋体" w:cs="宋体"/>
          <w:spacing w:val="-61"/>
          <w:sz w:val="24"/>
          <w:szCs w:val="24"/>
        </w:rPr>
        <w:t xml:space="preserve"> </w:t>
      </w:r>
      <w:r>
        <w:rPr>
          <w:rFonts w:ascii="宋体" w:hAnsi="宋体" w:eastAsia="宋体" w:cs="宋体"/>
          <w:spacing w:val="-15"/>
          <w:sz w:val="24"/>
          <w:szCs w:val="24"/>
        </w:rPr>
        <w:t>是</w:t>
      </w:r>
      <w:r>
        <w:rPr>
          <w:rFonts w:ascii="宋体" w:hAnsi="宋体" w:eastAsia="宋体" w:cs="宋体"/>
          <w:spacing w:val="-69"/>
          <w:sz w:val="24"/>
          <w:szCs w:val="24"/>
        </w:rPr>
        <w:t xml:space="preserve"> </w:t>
      </w:r>
      <w:r>
        <w:rPr>
          <w:rFonts w:ascii="宋体" w:hAnsi="宋体" w:eastAsia="宋体" w:cs="宋体"/>
          <w:spacing w:val="-15"/>
          <w:sz w:val="24"/>
          <w:szCs w:val="24"/>
        </w:rPr>
        <w:t>粉</w:t>
      </w:r>
      <w:r>
        <w:rPr>
          <w:rFonts w:ascii="宋体" w:hAnsi="宋体" w:eastAsia="宋体" w:cs="宋体"/>
          <w:spacing w:val="-64"/>
          <w:sz w:val="24"/>
          <w:szCs w:val="24"/>
        </w:rPr>
        <w:t xml:space="preserve"> </w:t>
      </w:r>
      <w:r>
        <w:rPr>
          <w:rFonts w:ascii="宋体" w:hAnsi="宋体" w:eastAsia="宋体" w:cs="宋体"/>
          <w:spacing w:val="-15"/>
          <w:sz w:val="24"/>
          <w:szCs w:val="24"/>
        </w:rPr>
        <w:t>质</w:t>
      </w:r>
      <w:r>
        <w:rPr>
          <w:rFonts w:ascii="宋体" w:hAnsi="宋体" w:eastAsia="宋体" w:cs="宋体"/>
          <w:spacing w:val="-65"/>
          <w:sz w:val="24"/>
          <w:szCs w:val="24"/>
        </w:rPr>
        <w:t xml:space="preserve"> </w:t>
      </w:r>
      <w:r>
        <w:rPr>
          <w:rFonts w:ascii="宋体" w:hAnsi="宋体" w:eastAsia="宋体" w:cs="宋体"/>
          <w:spacing w:val="-15"/>
          <w:sz w:val="24"/>
          <w:szCs w:val="24"/>
        </w:rPr>
        <w:t>黏</w:t>
      </w:r>
      <w:r>
        <w:rPr>
          <w:rFonts w:ascii="宋体" w:hAnsi="宋体" w:eastAsia="宋体" w:cs="宋体"/>
          <w:spacing w:val="-46"/>
          <w:sz w:val="24"/>
          <w:szCs w:val="24"/>
        </w:rPr>
        <w:t xml:space="preserve"> </w:t>
      </w:r>
      <w:r>
        <w:rPr>
          <w:rFonts w:ascii="宋体" w:hAnsi="宋体" w:eastAsia="宋体" w:cs="宋体"/>
          <w:spacing w:val="-15"/>
          <w:sz w:val="24"/>
          <w:szCs w:val="24"/>
        </w:rPr>
        <w:t>，</w:t>
      </w:r>
      <w:r>
        <w:rPr>
          <w:rFonts w:ascii="宋体" w:hAnsi="宋体" w:eastAsia="宋体" w:cs="宋体"/>
          <w:spacing w:val="-64"/>
          <w:sz w:val="24"/>
          <w:szCs w:val="24"/>
        </w:rPr>
        <w:t xml:space="preserve"> </w:t>
      </w:r>
      <w:r>
        <w:rPr>
          <w:rFonts w:ascii="宋体" w:hAnsi="宋体" w:eastAsia="宋体" w:cs="宋体"/>
          <w:spacing w:val="-15"/>
          <w:sz w:val="24"/>
          <w:szCs w:val="24"/>
        </w:rPr>
        <w:t>渗</w:t>
      </w:r>
      <w:r>
        <w:rPr>
          <w:rFonts w:ascii="宋体" w:hAnsi="宋体" w:eastAsia="宋体" w:cs="宋体"/>
          <w:spacing w:val="-68"/>
          <w:sz w:val="24"/>
          <w:szCs w:val="24"/>
        </w:rPr>
        <w:t xml:space="preserve"> </w:t>
      </w:r>
      <w:r>
        <w:rPr>
          <w:rFonts w:ascii="宋体" w:hAnsi="宋体" w:eastAsia="宋体" w:cs="宋体"/>
          <w:spacing w:val="-15"/>
          <w:sz w:val="24"/>
          <w:szCs w:val="24"/>
        </w:rPr>
        <w:t>透</w:t>
      </w:r>
      <w:r>
        <w:rPr>
          <w:rFonts w:ascii="宋体" w:hAnsi="宋体" w:eastAsia="宋体" w:cs="宋体"/>
          <w:spacing w:val="-61"/>
          <w:sz w:val="24"/>
          <w:szCs w:val="24"/>
        </w:rPr>
        <w:t xml:space="preserve"> </w:t>
      </w:r>
      <w:r>
        <w:rPr>
          <w:rFonts w:ascii="宋体" w:hAnsi="宋体" w:eastAsia="宋体" w:cs="宋体"/>
          <w:spacing w:val="-15"/>
          <w:sz w:val="24"/>
          <w:szCs w:val="24"/>
        </w:rPr>
        <w:t>系</w:t>
      </w:r>
      <w:r>
        <w:rPr>
          <w:rFonts w:ascii="宋体" w:hAnsi="宋体" w:eastAsia="宋体" w:cs="宋体"/>
          <w:spacing w:val="-63"/>
          <w:sz w:val="24"/>
          <w:szCs w:val="24"/>
        </w:rPr>
        <w:t xml:space="preserve"> </w:t>
      </w:r>
      <w:r>
        <w:rPr>
          <w:rFonts w:ascii="宋体" w:hAnsi="宋体" w:eastAsia="宋体" w:cs="宋体"/>
          <w:spacing w:val="-15"/>
          <w:sz w:val="24"/>
          <w:szCs w:val="24"/>
        </w:rPr>
        <w:t>数</w:t>
      </w:r>
      <w:r>
        <w:rPr>
          <w:rFonts w:ascii="宋体" w:hAnsi="宋体" w:eastAsia="宋体" w:cs="宋体"/>
          <w:spacing w:val="-61"/>
          <w:sz w:val="24"/>
          <w:szCs w:val="24"/>
        </w:rPr>
        <w:t xml:space="preserve"> </w:t>
      </w:r>
      <w:r>
        <w:rPr>
          <w:rFonts w:ascii="宋体" w:hAnsi="宋体" w:eastAsia="宋体" w:cs="宋体"/>
          <w:spacing w:val="-15"/>
          <w:sz w:val="24"/>
          <w:szCs w:val="24"/>
        </w:rPr>
        <w:t>约</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10×10</w:t>
      </w:r>
      <w:r>
        <w:rPr>
          <w:rFonts w:ascii="Times New Roman" w:hAnsi="Times New Roman" w:eastAsia="Times New Roman" w:cs="Times New Roman"/>
          <w:spacing w:val="-1"/>
          <w:position w:val="7"/>
          <w:sz w:val="15"/>
          <w:szCs w:val="15"/>
        </w:rPr>
        <w:t>-5</w:t>
      </w:r>
      <w:r>
        <w:rPr>
          <w:rFonts w:ascii="Times New Roman" w:hAnsi="Times New Roman" w:eastAsia="Times New Roman" w:cs="Times New Roman"/>
          <w:spacing w:val="-1"/>
          <w:sz w:val="24"/>
          <w:szCs w:val="24"/>
        </w:rPr>
        <w:t>~3.26×10</w:t>
      </w:r>
      <w:r>
        <w:rPr>
          <w:rFonts w:ascii="Times New Roman" w:hAnsi="Times New Roman" w:eastAsia="Times New Roman" w:cs="Times New Roman"/>
          <w:spacing w:val="-1"/>
          <w:position w:val="7"/>
          <w:sz w:val="15"/>
          <w:szCs w:val="15"/>
        </w:rPr>
        <w:t>-5</w:t>
      </w:r>
      <w:r>
        <w:rPr>
          <w:rFonts w:ascii="Times New Roman" w:hAnsi="Times New Roman" w:eastAsia="Times New Roman" w:cs="Times New Roman"/>
          <w:spacing w:val="-1"/>
          <w:sz w:val="24"/>
          <w:szCs w:val="24"/>
        </w:rPr>
        <w:t>cm/s</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w:t>
      </w:r>
      <w:r>
        <w:rPr>
          <w:rFonts w:ascii="宋体" w:hAnsi="宋体" w:eastAsia="宋体" w:cs="宋体"/>
          <w:b/>
          <w:bCs/>
          <w:spacing w:val="-1"/>
          <w:sz w:val="24"/>
          <w:szCs w:val="24"/>
        </w:rPr>
        <w:t>则可识别出本项目地下水功能敏感性为</w:t>
      </w:r>
      <w:r>
        <w:rPr>
          <w:rFonts w:ascii="Times New Roman" w:hAnsi="Times New Roman" w:eastAsia="Times New Roman" w:cs="Times New Roman"/>
          <w:b/>
          <w:bCs/>
          <w:spacing w:val="-1"/>
          <w:sz w:val="24"/>
          <w:szCs w:val="24"/>
        </w:rPr>
        <w:t>G3</w:t>
      </w:r>
      <w:r>
        <w:rPr>
          <w:rFonts w:ascii="Times New Roman" w:hAnsi="Times New Roman" w:eastAsia="Times New Roman" w:cs="Times New Roman"/>
          <w:b/>
          <w:bCs/>
          <w:spacing w:val="-26"/>
          <w:sz w:val="24"/>
          <w:szCs w:val="24"/>
        </w:rPr>
        <w:t xml:space="preserve"> </w:t>
      </w:r>
      <w:r>
        <w:rPr>
          <w:rFonts w:ascii="宋体" w:hAnsi="宋体" w:eastAsia="宋体" w:cs="宋体"/>
          <w:b/>
          <w:bCs/>
          <w:spacing w:val="-1"/>
          <w:sz w:val="24"/>
          <w:szCs w:val="24"/>
        </w:rPr>
        <w:t>，包气</w:t>
      </w:r>
      <w:r>
        <w:rPr>
          <w:rFonts w:ascii="宋体" w:hAnsi="宋体" w:eastAsia="宋体" w:cs="宋体"/>
          <w:b/>
          <w:bCs/>
          <w:spacing w:val="-2"/>
          <w:sz w:val="24"/>
          <w:szCs w:val="24"/>
        </w:rPr>
        <w:t>带防污性</w:t>
      </w:r>
      <w:r>
        <w:rPr>
          <w:rFonts w:ascii="宋体" w:hAnsi="宋体" w:eastAsia="宋体" w:cs="宋体"/>
          <w:sz w:val="24"/>
          <w:szCs w:val="24"/>
        </w:rPr>
        <w:t xml:space="preserve"> </w:t>
      </w:r>
      <w:r>
        <w:rPr>
          <w:rFonts w:ascii="宋体" w:hAnsi="宋体" w:eastAsia="宋体" w:cs="宋体"/>
          <w:b/>
          <w:bCs/>
          <w:spacing w:val="-3"/>
          <w:sz w:val="24"/>
          <w:szCs w:val="24"/>
        </w:rPr>
        <w:t>能分级为</w:t>
      </w:r>
      <w:r>
        <w:rPr>
          <w:rFonts w:ascii="Times New Roman" w:hAnsi="Times New Roman" w:eastAsia="Times New Roman" w:cs="Times New Roman"/>
          <w:b/>
          <w:bCs/>
          <w:spacing w:val="-3"/>
          <w:sz w:val="24"/>
          <w:szCs w:val="24"/>
        </w:rPr>
        <w:t>D2</w:t>
      </w:r>
      <w:r>
        <w:rPr>
          <w:rFonts w:ascii="Times New Roman" w:hAnsi="Times New Roman" w:eastAsia="Times New Roman" w:cs="Times New Roman"/>
          <w:b/>
          <w:bCs/>
          <w:spacing w:val="-18"/>
          <w:sz w:val="24"/>
          <w:szCs w:val="24"/>
        </w:rPr>
        <w:t xml:space="preserve"> </w:t>
      </w:r>
      <w:r>
        <w:rPr>
          <w:rFonts w:ascii="宋体" w:hAnsi="宋体" w:eastAsia="宋体" w:cs="宋体"/>
          <w:b/>
          <w:bCs/>
          <w:spacing w:val="-3"/>
          <w:sz w:val="24"/>
          <w:szCs w:val="24"/>
        </w:rPr>
        <w:t>，总体地下水环境敏感程度分级为</w:t>
      </w:r>
      <w:r>
        <w:rPr>
          <w:rFonts w:ascii="Times New Roman" w:hAnsi="Times New Roman" w:eastAsia="Times New Roman" w:cs="Times New Roman"/>
          <w:b/>
          <w:bCs/>
          <w:spacing w:val="-3"/>
          <w:sz w:val="24"/>
          <w:szCs w:val="24"/>
        </w:rPr>
        <w:t>E3</w:t>
      </w:r>
      <w:r>
        <w:rPr>
          <w:rFonts w:ascii="宋体" w:hAnsi="宋体" w:eastAsia="宋体" w:cs="宋体"/>
          <w:b/>
          <w:bCs/>
          <w:spacing w:val="-3"/>
          <w:sz w:val="24"/>
          <w:szCs w:val="24"/>
        </w:rPr>
        <w:t>地下水环境低度敏感区。</w:t>
      </w:r>
    </w:p>
    <w:p w14:paraId="232F6ACD">
      <w:pPr>
        <w:spacing w:before="233" w:line="219" w:lineRule="auto"/>
        <w:ind w:left="2826"/>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7"/>
          <w:sz w:val="24"/>
          <w:szCs w:val="24"/>
        </w:rPr>
        <w:t xml:space="preserve"> </w:t>
      </w:r>
      <w:r>
        <w:rPr>
          <w:rFonts w:ascii="Times New Roman" w:hAnsi="Times New Roman" w:eastAsia="Times New Roman" w:cs="Times New Roman"/>
          <w:b/>
          <w:bCs/>
          <w:spacing w:val="-3"/>
          <w:sz w:val="24"/>
          <w:szCs w:val="24"/>
        </w:rPr>
        <w:t xml:space="preserve">10    </w:t>
      </w:r>
      <w:r>
        <w:rPr>
          <w:rFonts w:ascii="宋体" w:hAnsi="宋体" w:eastAsia="宋体" w:cs="宋体"/>
          <w:b/>
          <w:bCs/>
          <w:spacing w:val="-3"/>
          <w:sz w:val="24"/>
          <w:szCs w:val="24"/>
        </w:rPr>
        <w:t>地下水环境敏感程度分级</w:t>
      </w:r>
    </w:p>
    <w:p w14:paraId="1F3FDB20">
      <w:pPr>
        <w:spacing w:line="147" w:lineRule="exact"/>
      </w:pPr>
    </w:p>
    <w:tbl>
      <w:tblPr>
        <w:tblStyle w:val="5"/>
        <w:tblW w:w="8943"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1"/>
        <w:gridCol w:w="2314"/>
        <w:gridCol w:w="2263"/>
        <w:gridCol w:w="2115"/>
      </w:tblGrid>
      <w:tr w14:paraId="420E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2251" w:type="dxa"/>
            <w:vMerge w:val="restart"/>
            <w:tcBorders>
              <w:bottom w:val="nil"/>
            </w:tcBorders>
            <w:vAlign w:val="top"/>
          </w:tcPr>
          <w:p w14:paraId="5D3F4047">
            <w:pPr>
              <w:spacing w:line="313" w:lineRule="auto"/>
              <w:rPr>
                <w:rFonts w:ascii="Arial"/>
                <w:sz w:val="21"/>
              </w:rPr>
            </w:pPr>
          </w:p>
          <w:p w14:paraId="0CACAD4F">
            <w:pPr>
              <w:pStyle w:val="6"/>
              <w:spacing w:before="65" w:line="228" w:lineRule="auto"/>
              <w:ind w:left="394"/>
              <w:rPr>
                <w:sz w:val="20"/>
                <w:szCs w:val="20"/>
              </w:rPr>
            </w:pPr>
            <w:r>
              <w:rPr>
                <w:b/>
                <w:bCs/>
                <w:spacing w:val="7"/>
                <w:sz w:val="20"/>
                <w:szCs w:val="20"/>
              </w:rPr>
              <w:t>包气带防污性能</w:t>
            </w:r>
          </w:p>
        </w:tc>
        <w:tc>
          <w:tcPr>
            <w:tcW w:w="6692" w:type="dxa"/>
            <w:gridSpan w:val="3"/>
            <w:vAlign w:val="top"/>
          </w:tcPr>
          <w:p w14:paraId="52A2030A">
            <w:pPr>
              <w:pStyle w:val="6"/>
              <w:spacing w:before="136" w:line="228" w:lineRule="auto"/>
              <w:ind w:left="2506"/>
              <w:rPr>
                <w:sz w:val="20"/>
                <w:szCs w:val="20"/>
              </w:rPr>
            </w:pPr>
            <w:r>
              <w:rPr>
                <w:b/>
                <w:bCs/>
                <w:spacing w:val="7"/>
                <w:sz w:val="20"/>
                <w:szCs w:val="20"/>
              </w:rPr>
              <w:t>地下水功能敏感性</w:t>
            </w:r>
          </w:p>
        </w:tc>
      </w:tr>
      <w:tr w14:paraId="03B0B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51" w:type="dxa"/>
            <w:vMerge w:val="continue"/>
            <w:tcBorders>
              <w:top w:val="nil"/>
            </w:tcBorders>
            <w:vAlign w:val="top"/>
          </w:tcPr>
          <w:p w14:paraId="2F4BC51B">
            <w:pPr>
              <w:rPr>
                <w:rFonts w:ascii="Arial"/>
                <w:sz w:val="21"/>
              </w:rPr>
            </w:pPr>
          </w:p>
        </w:tc>
        <w:tc>
          <w:tcPr>
            <w:tcW w:w="2314" w:type="dxa"/>
            <w:vAlign w:val="top"/>
          </w:tcPr>
          <w:p w14:paraId="3A2344E8">
            <w:pPr>
              <w:spacing w:before="170" w:line="195" w:lineRule="auto"/>
              <w:ind w:left="102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G1</w:t>
            </w:r>
          </w:p>
        </w:tc>
        <w:tc>
          <w:tcPr>
            <w:tcW w:w="2263" w:type="dxa"/>
            <w:vAlign w:val="top"/>
          </w:tcPr>
          <w:p w14:paraId="62A6EC4D">
            <w:pPr>
              <w:spacing w:before="170" w:line="195" w:lineRule="auto"/>
              <w:ind w:left="100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G2</w:t>
            </w:r>
          </w:p>
        </w:tc>
        <w:tc>
          <w:tcPr>
            <w:tcW w:w="2115" w:type="dxa"/>
            <w:shd w:val="clear" w:color="auto" w:fill="BFBFBF"/>
            <w:vAlign w:val="top"/>
          </w:tcPr>
          <w:p w14:paraId="39AF164E">
            <w:pPr>
              <w:spacing w:before="170" w:line="195" w:lineRule="auto"/>
              <w:ind w:left="93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G3</w:t>
            </w:r>
          </w:p>
        </w:tc>
      </w:tr>
      <w:tr w14:paraId="00B47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51" w:type="dxa"/>
            <w:vAlign w:val="top"/>
          </w:tcPr>
          <w:p w14:paraId="22FE3B9B">
            <w:pPr>
              <w:spacing w:before="170"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w:t>
            </w:r>
          </w:p>
        </w:tc>
        <w:tc>
          <w:tcPr>
            <w:tcW w:w="2314" w:type="dxa"/>
            <w:vAlign w:val="top"/>
          </w:tcPr>
          <w:p w14:paraId="0A524A31">
            <w:pPr>
              <w:spacing w:before="170"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2263" w:type="dxa"/>
            <w:vAlign w:val="top"/>
          </w:tcPr>
          <w:p w14:paraId="13211052">
            <w:pPr>
              <w:spacing w:before="170"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2115" w:type="dxa"/>
            <w:vAlign w:val="top"/>
          </w:tcPr>
          <w:p w14:paraId="752D3655">
            <w:pPr>
              <w:spacing w:before="170"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E2</w:t>
            </w:r>
          </w:p>
        </w:tc>
      </w:tr>
      <w:tr w14:paraId="0062F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51" w:type="dxa"/>
            <w:shd w:val="clear" w:color="auto" w:fill="BFBFBF"/>
            <w:vAlign w:val="top"/>
          </w:tcPr>
          <w:p w14:paraId="55770704">
            <w:pPr>
              <w:spacing w:before="172"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D2</w:t>
            </w:r>
          </w:p>
        </w:tc>
        <w:tc>
          <w:tcPr>
            <w:tcW w:w="2314" w:type="dxa"/>
            <w:vAlign w:val="top"/>
          </w:tcPr>
          <w:p w14:paraId="26263AD0">
            <w:pPr>
              <w:spacing w:before="172"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w:t>
            </w:r>
          </w:p>
        </w:tc>
        <w:tc>
          <w:tcPr>
            <w:tcW w:w="2263" w:type="dxa"/>
            <w:vAlign w:val="top"/>
          </w:tcPr>
          <w:p w14:paraId="276C7CE7">
            <w:pPr>
              <w:spacing w:before="172"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E2</w:t>
            </w:r>
          </w:p>
        </w:tc>
        <w:tc>
          <w:tcPr>
            <w:tcW w:w="2115" w:type="dxa"/>
            <w:shd w:val="clear" w:color="auto" w:fill="BFBFBF"/>
            <w:vAlign w:val="top"/>
          </w:tcPr>
          <w:p w14:paraId="0654F3C9">
            <w:pPr>
              <w:spacing w:before="172"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E3</w:t>
            </w:r>
          </w:p>
        </w:tc>
      </w:tr>
      <w:tr w14:paraId="5D9F5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251" w:type="dxa"/>
            <w:vAlign w:val="top"/>
          </w:tcPr>
          <w:p w14:paraId="17851C49">
            <w:pPr>
              <w:spacing w:before="184"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D3</w:t>
            </w:r>
          </w:p>
        </w:tc>
        <w:tc>
          <w:tcPr>
            <w:tcW w:w="2314" w:type="dxa"/>
            <w:vAlign w:val="top"/>
          </w:tcPr>
          <w:p w14:paraId="717F077E">
            <w:pPr>
              <w:spacing w:before="185"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E2</w:t>
            </w:r>
          </w:p>
        </w:tc>
        <w:tc>
          <w:tcPr>
            <w:tcW w:w="2263" w:type="dxa"/>
            <w:vAlign w:val="top"/>
          </w:tcPr>
          <w:p w14:paraId="4980E7D9">
            <w:pPr>
              <w:spacing w:before="184"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E3</w:t>
            </w:r>
          </w:p>
        </w:tc>
        <w:tc>
          <w:tcPr>
            <w:tcW w:w="2115" w:type="dxa"/>
            <w:vAlign w:val="top"/>
          </w:tcPr>
          <w:p w14:paraId="5D4B6B36">
            <w:pPr>
              <w:spacing w:before="184"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E3</w:t>
            </w:r>
          </w:p>
        </w:tc>
      </w:tr>
    </w:tbl>
    <w:p w14:paraId="0AAC5618">
      <w:pPr>
        <w:rPr>
          <w:rFonts w:ascii="Arial"/>
          <w:sz w:val="21"/>
        </w:rPr>
      </w:pPr>
    </w:p>
    <w:p w14:paraId="067E81FE">
      <w:pPr>
        <w:rPr>
          <w:rFonts w:ascii="Arial" w:hAnsi="Arial" w:eastAsia="Arial" w:cs="Arial"/>
          <w:sz w:val="21"/>
          <w:szCs w:val="21"/>
        </w:rPr>
        <w:sectPr>
          <w:footerReference r:id="rId124" w:type="default"/>
          <w:pgSz w:w="11906" w:h="16839"/>
          <w:pgMar w:top="400" w:right="1418" w:bottom="1127" w:left="1418" w:header="0" w:footer="965" w:gutter="0"/>
          <w:cols w:space="720" w:num="1"/>
        </w:sectPr>
      </w:pPr>
    </w:p>
    <w:p w14:paraId="079FB30C">
      <w:pPr>
        <w:spacing w:line="250" w:lineRule="auto"/>
        <w:rPr>
          <w:rFonts w:ascii="Arial"/>
          <w:sz w:val="21"/>
        </w:rPr>
      </w:pPr>
    </w:p>
    <w:p w14:paraId="40ED611A">
      <w:pPr>
        <w:spacing w:line="250" w:lineRule="auto"/>
        <w:rPr>
          <w:rFonts w:ascii="Arial"/>
          <w:sz w:val="21"/>
        </w:rPr>
      </w:pPr>
    </w:p>
    <w:p w14:paraId="5FE6DBD8">
      <w:pPr>
        <w:spacing w:line="250" w:lineRule="auto"/>
        <w:rPr>
          <w:rFonts w:ascii="Arial"/>
          <w:sz w:val="21"/>
        </w:rPr>
      </w:pPr>
    </w:p>
    <w:p w14:paraId="674311F1">
      <w:pPr>
        <w:spacing w:line="250" w:lineRule="auto"/>
        <w:rPr>
          <w:rFonts w:ascii="Arial"/>
          <w:sz w:val="21"/>
        </w:rPr>
      </w:pPr>
    </w:p>
    <w:p w14:paraId="07FBBAC3">
      <w:pPr>
        <w:spacing w:line="251" w:lineRule="auto"/>
        <w:rPr>
          <w:rFonts w:ascii="Arial"/>
          <w:sz w:val="21"/>
        </w:rPr>
      </w:pPr>
    </w:p>
    <w:p w14:paraId="3AB9E573">
      <w:pPr>
        <w:spacing w:before="78" w:line="219" w:lineRule="auto"/>
        <w:ind w:left="2943"/>
        <w:rPr>
          <w:rFonts w:ascii="宋体" w:hAnsi="宋体" w:eastAsia="宋体" w:cs="宋体"/>
          <w:sz w:val="24"/>
          <w:szCs w:val="24"/>
        </w:rPr>
      </w:pPr>
      <w:r>
        <w:rPr>
          <w:rFonts w:ascii="宋体" w:hAnsi="宋体" w:eastAsia="宋体" w:cs="宋体"/>
          <w:b/>
          <w:bCs/>
          <w:spacing w:val="-4"/>
          <w:sz w:val="24"/>
          <w:szCs w:val="24"/>
        </w:rPr>
        <w:t>表</w:t>
      </w:r>
      <w:r>
        <w:rPr>
          <w:rFonts w:ascii="宋体" w:hAnsi="宋体" w:eastAsia="宋体" w:cs="宋体"/>
          <w:spacing w:val="-32"/>
          <w:sz w:val="24"/>
          <w:szCs w:val="24"/>
        </w:rPr>
        <w:t xml:space="preserve"> </w:t>
      </w:r>
      <w:r>
        <w:rPr>
          <w:rFonts w:ascii="Times New Roman" w:hAnsi="Times New Roman" w:eastAsia="Times New Roman" w:cs="Times New Roman"/>
          <w:b/>
          <w:bCs/>
          <w:spacing w:val="-4"/>
          <w:sz w:val="24"/>
          <w:szCs w:val="24"/>
        </w:rPr>
        <w:t xml:space="preserve">11    </w:t>
      </w:r>
      <w:r>
        <w:rPr>
          <w:rFonts w:ascii="宋体" w:hAnsi="宋体" w:eastAsia="宋体" w:cs="宋体"/>
          <w:b/>
          <w:bCs/>
          <w:spacing w:val="-4"/>
          <w:sz w:val="24"/>
          <w:szCs w:val="24"/>
        </w:rPr>
        <w:t>地下水功能敏感性分区</w:t>
      </w:r>
    </w:p>
    <w:p w14:paraId="5D19959A">
      <w:pPr>
        <w:spacing w:line="146" w:lineRule="exact"/>
      </w:pPr>
    </w:p>
    <w:tbl>
      <w:tblPr>
        <w:tblStyle w:val="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3"/>
        <w:gridCol w:w="7810"/>
      </w:tblGrid>
      <w:tr w14:paraId="5BD7E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33" w:type="dxa"/>
            <w:vAlign w:val="top"/>
          </w:tcPr>
          <w:p w14:paraId="1F09EB28">
            <w:pPr>
              <w:pStyle w:val="6"/>
              <w:spacing w:before="108" w:line="228" w:lineRule="auto"/>
              <w:ind w:left="308"/>
              <w:rPr>
                <w:sz w:val="20"/>
                <w:szCs w:val="20"/>
              </w:rPr>
            </w:pPr>
            <w:r>
              <w:rPr>
                <w:spacing w:val="6"/>
                <w:sz w:val="20"/>
                <w:szCs w:val="20"/>
              </w:rPr>
              <w:t>敏感性</w:t>
            </w:r>
          </w:p>
        </w:tc>
        <w:tc>
          <w:tcPr>
            <w:tcW w:w="7810" w:type="dxa"/>
            <w:vAlign w:val="top"/>
          </w:tcPr>
          <w:p w14:paraId="369F90E5">
            <w:pPr>
              <w:pStyle w:val="6"/>
              <w:spacing w:before="108" w:line="228" w:lineRule="auto"/>
              <w:ind w:left="3068"/>
              <w:rPr>
                <w:sz w:val="20"/>
                <w:szCs w:val="20"/>
              </w:rPr>
            </w:pPr>
            <w:r>
              <w:rPr>
                <w:spacing w:val="8"/>
                <w:sz w:val="20"/>
                <w:szCs w:val="20"/>
              </w:rPr>
              <w:t>地下水功能敏感性</w:t>
            </w:r>
          </w:p>
        </w:tc>
      </w:tr>
      <w:tr w14:paraId="39EFB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33" w:type="dxa"/>
            <w:vAlign w:val="top"/>
          </w:tcPr>
          <w:p w14:paraId="56520CA8">
            <w:pPr>
              <w:spacing w:line="296" w:lineRule="auto"/>
              <w:rPr>
                <w:rFonts w:ascii="Arial"/>
                <w:sz w:val="21"/>
              </w:rPr>
            </w:pPr>
          </w:p>
          <w:p w14:paraId="7EC6263B">
            <w:pPr>
              <w:pStyle w:val="6"/>
              <w:spacing w:before="65" w:line="228" w:lineRule="auto"/>
              <w:ind w:left="258"/>
              <w:rPr>
                <w:rFonts w:ascii="Times New Roman" w:hAnsi="Times New Roman" w:eastAsia="Times New Roman" w:cs="Times New Roman"/>
                <w:sz w:val="20"/>
                <w:szCs w:val="20"/>
              </w:rPr>
            </w:pPr>
            <w:r>
              <w:rPr>
                <w:spacing w:val="3"/>
                <w:sz w:val="20"/>
                <w:szCs w:val="20"/>
              </w:rPr>
              <w:t>敏感</w:t>
            </w:r>
            <w:r>
              <w:rPr>
                <w:spacing w:val="-38"/>
                <w:sz w:val="20"/>
                <w:szCs w:val="20"/>
              </w:rPr>
              <w:t xml:space="preserve"> </w:t>
            </w:r>
            <w:r>
              <w:rPr>
                <w:rFonts w:ascii="Times New Roman" w:hAnsi="Times New Roman" w:eastAsia="Times New Roman" w:cs="Times New Roman"/>
                <w:spacing w:val="3"/>
                <w:sz w:val="20"/>
                <w:szCs w:val="20"/>
              </w:rPr>
              <w:t>G1</w:t>
            </w:r>
          </w:p>
        </w:tc>
        <w:tc>
          <w:tcPr>
            <w:tcW w:w="7810" w:type="dxa"/>
            <w:vAlign w:val="top"/>
          </w:tcPr>
          <w:p w14:paraId="4DE74BBA">
            <w:pPr>
              <w:pStyle w:val="6"/>
              <w:spacing w:before="90" w:line="252" w:lineRule="auto"/>
              <w:ind w:left="110" w:right="108"/>
              <w:jc w:val="both"/>
              <w:rPr>
                <w:sz w:val="20"/>
                <w:szCs w:val="20"/>
              </w:rPr>
            </w:pPr>
            <w:r>
              <w:rPr>
                <w:spacing w:val="11"/>
                <w:sz w:val="20"/>
                <w:szCs w:val="20"/>
              </w:rPr>
              <w:t>集中式饮用水水源（包括已建成的在用、备用、应急水</w:t>
            </w:r>
            <w:r>
              <w:rPr>
                <w:spacing w:val="10"/>
                <w:sz w:val="20"/>
                <w:szCs w:val="20"/>
              </w:rPr>
              <w:t>源，在建和规划的饮用水水</w:t>
            </w:r>
            <w:r>
              <w:rPr>
                <w:sz w:val="20"/>
                <w:szCs w:val="20"/>
              </w:rPr>
              <w:t xml:space="preserve"> </w:t>
            </w:r>
            <w:r>
              <w:rPr>
                <w:spacing w:val="11"/>
                <w:sz w:val="20"/>
                <w:szCs w:val="20"/>
              </w:rPr>
              <w:t>源）准保护区；除集中式饮用水水源以外的国家或地方政</w:t>
            </w:r>
            <w:r>
              <w:rPr>
                <w:spacing w:val="10"/>
                <w:sz w:val="20"/>
                <w:szCs w:val="20"/>
              </w:rPr>
              <w:t>府设定的与地下水环境相</w:t>
            </w:r>
            <w:r>
              <w:rPr>
                <w:sz w:val="20"/>
                <w:szCs w:val="20"/>
              </w:rPr>
              <w:t xml:space="preserve"> </w:t>
            </w:r>
            <w:r>
              <w:rPr>
                <w:spacing w:val="10"/>
                <w:sz w:val="20"/>
                <w:szCs w:val="20"/>
              </w:rPr>
              <w:t>关的其他保护区，如热水、矿泉水、温泉等</w:t>
            </w:r>
            <w:r>
              <w:rPr>
                <w:spacing w:val="9"/>
                <w:sz w:val="20"/>
                <w:szCs w:val="20"/>
              </w:rPr>
              <w:t>特殊地下水资源保护区</w:t>
            </w:r>
          </w:p>
        </w:tc>
      </w:tr>
      <w:tr w14:paraId="743C1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1233" w:type="dxa"/>
            <w:vAlign w:val="top"/>
          </w:tcPr>
          <w:p w14:paraId="13EFBF45">
            <w:pPr>
              <w:spacing w:line="426" w:lineRule="auto"/>
              <w:rPr>
                <w:rFonts w:ascii="Arial"/>
                <w:sz w:val="21"/>
              </w:rPr>
            </w:pPr>
          </w:p>
          <w:p w14:paraId="109C9431">
            <w:pPr>
              <w:pStyle w:val="6"/>
              <w:spacing w:before="65" w:line="228" w:lineRule="auto"/>
              <w:ind w:left="151"/>
              <w:rPr>
                <w:rFonts w:ascii="Times New Roman" w:hAnsi="Times New Roman" w:eastAsia="Times New Roman" w:cs="Times New Roman"/>
                <w:sz w:val="20"/>
                <w:szCs w:val="20"/>
              </w:rPr>
            </w:pPr>
            <w:r>
              <w:rPr>
                <w:spacing w:val="4"/>
                <w:sz w:val="20"/>
                <w:szCs w:val="20"/>
              </w:rPr>
              <w:t>较敏感</w:t>
            </w:r>
            <w:r>
              <w:rPr>
                <w:spacing w:val="-34"/>
                <w:sz w:val="20"/>
                <w:szCs w:val="20"/>
              </w:rPr>
              <w:t xml:space="preserve"> </w:t>
            </w:r>
            <w:r>
              <w:rPr>
                <w:rFonts w:ascii="Times New Roman" w:hAnsi="Times New Roman" w:eastAsia="Times New Roman" w:cs="Times New Roman"/>
                <w:spacing w:val="4"/>
                <w:sz w:val="20"/>
                <w:szCs w:val="20"/>
              </w:rPr>
              <w:t>G2</w:t>
            </w:r>
          </w:p>
        </w:tc>
        <w:tc>
          <w:tcPr>
            <w:tcW w:w="7810" w:type="dxa"/>
            <w:vAlign w:val="top"/>
          </w:tcPr>
          <w:p w14:paraId="71A3BCDD">
            <w:pPr>
              <w:pStyle w:val="6"/>
              <w:spacing w:before="85" w:line="252" w:lineRule="auto"/>
              <w:ind w:left="110" w:right="108"/>
              <w:jc w:val="both"/>
              <w:rPr>
                <w:rFonts w:ascii="Times New Roman" w:hAnsi="Times New Roman" w:eastAsia="Times New Roman" w:cs="Times New Roman"/>
                <w:sz w:val="13"/>
                <w:szCs w:val="13"/>
              </w:rPr>
            </w:pPr>
            <w:r>
              <w:rPr>
                <w:spacing w:val="11"/>
                <w:sz w:val="20"/>
                <w:szCs w:val="20"/>
              </w:rPr>
              <w:t>集中式饮用水水源（包括已建成的在用、备用、应急水</w:t>
            </w:r>
            <w:r>
              <w:rPr>
                <w:spacing w:val="10"/>
                <w:sz w:val="20"/>
                <w:szCs w:val="20"/>
              </w:rPr>
              <w:t>源，在建和规划的饮用水水</w:t>
            </w:r>
            <w:r>
              <w:rPr>
                <w:sz w:val="20"/>
                <w:szCs w:val="20"/>
              </w:rPr>
              <w:t xml:space="preserve"> </w:t>
            </w:r>
            <w:r>
              <w:rPr>
                <w:spacing w:val="11"/>
                <w:sz w:val="20"/>
                <w:szCs w:val="20"/>
              </w:rPr>
              <w:t>源）准保护区以外的补给径流区；未划定准保护区的集中</w:t>
            </w:r>
            <w:r>
              <w:rPr>
                <w:spacing w:val="10"/>
                <w:sz w:val="20"/>
                <w:szCs w:val="20"/>
              </w:rPr>
              <w:t>式饮用水水源，其保护区</w:t>
            </w:r>
            <w:r>
              <w:rPr>
                <w:sz w:val="20"/>
                <w:szCs w:val="20"/>
              </w:rPr>
              <w:t xml:space="preserve"> </w:t>
            </w:r>
            <w:r>
              <w:rPr>
                <w:spacing w:val="11"/>
                <w:sz w:val="20"/>
                <w:szCs w:val="20"/>
              </w:rPr>
              <w:t>以外的补给径流区；分散式饮用水水源地；特殊地下水资</w:t>
            </w:r>
            <w:r>
              <w:rPr>
                <w:spacing w:val="10"/>
                <w:sz w:val="20"/>
                <w:szCs w:val="20"/>
              </w:rPr>
              <w:t>源（如热水、矿泉水、温</w:t>
            </w:r>
            <w:r>
              <w:rPr>
                <w:sz w:val="20"/>
                <w:szCs w:val="20"/>
              </w:rPr>
              <w:t xml:space="preserve"> </w:t>
            </w:r>
            <w:r>
              <w:rPr>
                <w:spacing w:val="9"/>
                <w:sz w:val="20"/>
                <w:szCs w:val="20"/>
              </w:rPr>
              <w:t>泉等）保护区以外的分布区等其他未列入上述敏感分级的环境敏感区</w:t>
            </w:r>
            <w:r>
              <w:rPr>
                <w:spacing w:val="-30"/>
                <w:sz w:val="20"/>
                <w:szCs w:val="20"/>
              </w:rPr>
              <w:t xml:space="preserve"> </w:t>
            </w:r>
            <w:r>
              <w:rPr>
                <w:rFonts w:ascii="Times New Roman" w:hAnsi="Times New Roman" w:eastAsia="Times New Roman" w:cs="Times New Roman"/>
                <w:spacing w:val="9"/>
                <w:position w:val="6"/>
                <w:sz w:val="13"/>
                <w:szCs w:val="13"/>
              </w:rPr>
              <w:t>a</w:t>
            </w:r>
          </w:p>
        </w:tc>
      </w:tr>
      <w:tr w14:paraId="516BF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233" w:type="dxa"/>
            <w:vAlign w:val="top"/>
          </w:tcPr>
          <w:p w14:paraId="2C4D6A08">
            <w:pPr>
              <w:pStyle w:val="6"/>
              <w:spacing w:before="139" w:line="228" w:lineRule="auto"/>
              <w:ind w:left="150"/>
              <w:rPr>
                <w:rFonts w:ascii="Times New Roman" w:hAnsi="Times New Roman" w:eastAsia="Times New Roman" w:cs="Times New Roman"/>
                <w:sz w:val="20"/>
                <w:szCs w:val="20"/>
              </w:rPr>
            </w:pPr>
            <w:r>
              <w:rPr>
                <w:spacing w:val="5"/>
                <w:sz w:val="20"/>
                <w:szCs w:val="20"/>
              </w:rPr>
              <w:t>低敏感</w:t>
            </w:r>
            <w:r>
              <w:rPr>
                <w:spacing w:val="-38"/>
                <w:sz w:val="20"/>
                <w:szCs w:val="20"/>
              </w:rPr>
              <w:t xml:space="preserve"> </w:t>
            </w:r>
            <w:r>
              <w:rPr>
                <w:rFonts w:ascii="Times New Roman" w:hAnsi="Times New Roman" w:eastAsia="Times New Roman" w:cs="Times New Roman"/>
                <w:spacing w:val="5"/>
                <w:sz w:val="20"/>
                <w:szCs w:val="20"/>
              </w:rPr>
              <w:t>G3</w:t>
            </w:r>
          </w:p>
        </w:tc>
        <w:tc>
          <w:tcPr>
            <w:tcW w:w="7810" w:type="dxa"/>
            <w:vAlign w:val="top"/>
          </w:tcPr>
          <w:p w14:paraId="03DD1FA1">
            <w:pPr>
              <w:pStyle w:val="6"/>
              <w:spacing w:before="139" w:line="228" w:lineRule="auto"/>
              <w:ind w:left="2750"/>
              <w:rPr>
                <w:sz w:val="20"/>
                <w:szCs w:val="20"/>
              </w:rPr>
            </w:pPr>
            <w:r>
              <w:rPr>
                <w:b/>
                <w:bCs/>
                <w:spacing w:val="7"/>
                <w:sz w:val="20"/>
                <w:szCs w:val="20"/>
              </w:rPr>
              <w:t>上述地区之外的其他地区</w:t>
            </w:r>
          </w:p>
        </w:tc>
      </w:tr>
      <w:tr w14:paraId="3CC29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043" w:type="dxa"/>
            <w:gridSpan w:val="2"/>
            <w:vAlign w:val="top"/>
          </w:tcPr>
          <w:p w14:paraId="2C8A5D58">
            <w:pPr>
              <w:pStyle w:val="6"/>
              <w:spacing w:before="147" w:line="226" w:lineRule="auto"/>
              <w:ind w:left="112"/>
              <w:rPr>
                <w:sz w:val="20"/>
                <w:szCs w:val="20"/>
              </w:rPr>
            </w:pPr>
            <w:r>
              <w:rPr>
                <w:rFonts w:ascii="Times New Roman" w:hAnsi="Times New Roman" w:eastAsia="Times New Roman" w:cs="Times New Roman"/>
                <w:spacing w:val="9"/>
                <w:sz w:val="13"/>
                <w:szCs w:val="13"/>
              </w:rPr>
              <w:t>a</w:t>
            </w:r>
            <w:r>
              <w:rPr>
                <w:rFonts w:ascii="Times New Roman" w:hAnsi="Times New Roman" w:eastAsia="Times New Roman" w:cs="Times New Roman"/>
                <w:spacing w:val="9"/>
                <w:sz w:val="20"/>
                <w:szCs w:val="20"/>
              </w:rPr>
              <w:t>“</w:t>
            </w:r>
            <w:r>
              <w:rPr>
                <w:spacing w:val="9"/>
                <w:sz w:val="20"/>
                <w:szCs w:val="20"/>
              </w:rPr>
              <w:t>环境敏感区</w:t>
            </w:r>
            <w:r>
              <w:rPr>
                <w:rFonts w:ascii="Times New Roman" w:hAnsi="Times New Roman" w:eastAsia="Times New Roman" w:cs="Times New Roman"/>
                <w:spacing w:val="9"/>
                <w:sz w:val="20"/>
                <w:szCs w:val="20"/>
              </w:rPr>
              <w:t>”</w:t>
            </w:r>
            <w:r>
              <w:rPr>
                <w:spacing w:val="9"/>
                <w:sz w:val="20"/>
                <w:szCs w:val="20"/>
              </w:rPr>
              <w:t>是指《建设项目环境影响评价分类管理名</w:t>
            </w:r>
            <w:r>
              <w:rPr>
                <w:spacing w:val="8"/>
                <w:sz w:val="20"/>
                <w:szCs w:val="20"/>
              </w:rPr>
              <w:t>录》中所界定的涉及地下水的环境敏感区</w:t>
            </w:r>
          </w:p>
        </w:tc>
      </w:tr>
    </w:tbl>
    <w:p w14:paraId="2C5A3532">
      <w:pPr>
        <w:spacing w:line="316" w:lineRule="auto"/>
        <w:rPr>
          <w:rFonts w:ascii="Arial"/>
          <w:sz w:val="21"/>
        </w:rPr>
      </w:pPr>
    </w:p>
    <w:p w14:paraId="74027FF1">
      <w:pPr>
        <w:spacing w:before="78" w:line="219" w:lineRule="auto"/>
        <w:ind w:left="305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包气带防污性能分级</w:t>
      </w:r>
    </w:p>
    <w:p w14:paraId="4A325721">
      <w:pPr>
        <w:spacing w:line="146" w:lineRule="exact"/>
      </w:pPr>
    </w:p>
    <w:tbl>
      <w:tblPr>
        <w:tblStyle w:val="5"/>
        <w:tblW w:w="90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8169"/>
      </w:tblGrid>
      <w:tr w14:paraId="43719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54" w:type="dxa"/>
            <w:vAlign w:val="top"/>
          </w:tcPr>
          <w:p w14:paraId="1CA7F229">
            <w:pPr>
              <w:pStyle w:val="6"/>
              <w:spacing w:before="104" w:line="228" w:lineRule="auto"/>
              <w:ind w:left="225"/>
              <w:rPr>
                <w:sz w:val="20"/>
                <w:szCs w:val="20"/>
              </w:rPr>
            </w:pPr>
            <w:r>
              <w:rPr>
                <w:spacing w:val="3"/>
                <w:sz w:val="20"/>
                <w:szCs w:val="20"/>
              </w:rPr>
              <w:t>分级</w:t>
            </w:r>
          </w:p>
        </w:tc>
        <w:tc>
          <w:tcPr>
            <w:tcW w:w="8169" w:type="dxa"/>
            <w:vAlign w:val="top"/>
          </w:tcPr>
          <w:p w14:paraId="2666845D">
            <w:pPr>
              <w:pStyle w:val="6"/>
              <w:spacing w:before="103" w:line="228" w:lineRule="auto"/>
              <w:ind w:left="3038"/>
              <w:rPr>
                <w:sz w:val="20"/>
                <w:szCs w:val="20"/>
              </w:rPr>
            </w:pPr>
            <w:r>
              <w:rPr>
                <w:spacing w:val="8"/>
                <w:sz w:val="20"/>
                <w:szCs w:val="20"/>
              </w:rPr>
              <w:t>包气带岩土的渗透性能</w:t>
            </w:r>
          </w:p>
        </w:tc>
      </w:tr>
      <w:tr w14:paraId="0D124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54" w:type="dxa"/>
            <w:vAlign w:val="top"/>
          </w:tcPr>
          <w:p w14:paraId="22B0189D">
            <w:pPr>
              <w:spacing w:before="134"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D3</w:t>
            </w:r>
          </w:p>
        </w:tc>
        <w:tc>
          <w:tcPr>
            <w:tcW w:w="8169" w:type="dxa"/>
            <w:vAlign w:val="top"/>
          </w:tcPr>
          <w:p w14:paraId="5CB6C0A0">
            <w:pPr>
              <w:pStyle w:val="6"/>
              <w:spacing w:before="98" w:line="227" w:lineRule="auto"/>
              <w:ind w:left="1932"/>
              <w:rPr>
                <w:sz w:val="20"/>
                <w:szCs w:val="20"/>
              </w:rPr>
            </w:pPr>
            <w:r>
              <w:rPr>
                <w:rFonts w:ascii="Times New Roman" w:hAnsi="Times New Roman" w:eastAsia="Times New Roman" w:cs="Times New Roman"/>
                <w:sz w:val="20"/>
                <w:szCs w:val="20"/>
              </w:rPr>
              <w:t>Mb</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13"/>
                <w:sz w:val="20"/>
                <w:szCs w:val="20"/>
              </w:rPr>
              <w:t xml:space="preserve"> </w:t>
            </w:r>
            <w:r>
              <w:rPr>
                <w:spacing w:val="5"/>
                <w:sz w:val="20"/>
                <w:szCs w:val="20"/>
              </w:rPr>
              <w:t>，</w:t>
            </w:r>
            <w:r>
              <w:rPr>
                <w:rFonts w:ascii="Times New Roman" w:hAnsi="Times New Roman" w:eastAsia="Times New Roman" w:cs="Times New Roman"/>
                <w:spacing w:val="5"/>
                <w:sz w:val="20"/>
                <w:szCs w:val="20"/>
              </w:rPr>
              <w:t>K≤1.0×10</w:t>
            </w:r>
            <w:r>
              <w:rPr>
                <w:rFonts w:ascii="Times New Roman" w:hAnsi="Times New Roman" w:eastAsia="Times New Roman" w:cs="Times New Roman"/>
                <w:spacing w:val="5"/>
                <w:position w:val="6"/>
                <w:sz w:val="13"/>
                <w:szCs w:val="13"/>
              </w:rPr>
              <w:t>-6</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r>
              <w:rPr>
                <w:rFonts w:ascii="Times New Roman" w:hAnsi="Times New Roman" w:eastAsia="Times New Roman" w:cs="Times New Roman"/>
                <w:spacing w:val="-25"/>
                <w:sz w:val="20"/>
                <w:szCs w:val="20"/>
              </w:rPr>
              <w:t xml:space="preserve"> </w:t>
            </w:r>
            <w:r>
              <w:rPr>
                <w:spacing w:val="5"/>
                <w:sz w:val="20"/>
                <w:szCs w:val="20"/>
              </w:rPr>
              <w:t>，且分布连续、稳定</w:t>
            </w:r>
          </w:p>
        </w:tc>
      </w:tr>
      <w:tr w14:paraId="55DF6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54" w:type="dxa"/>
            <w:vAlign w:val="top"/>
          </w:tcPr>
          <w:p w14:paraId="72DA7E6B">
            <w:pPr>
              <w:spacing w:before="230" w:line="195" w:lineRule="auto"/>
              <w:ind w:left="29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D2</w:t>
            </w:r>
          </w:p>
        </w:tc>
        <w:tc>
          <w:tcPr>
            <w:tcW w:w="8169" w:type="dxa"/>
            <w:vAlign w:val="top"/>
          </w:tcPr>
          <w:p w14:paraId="29F9F383">
            <w:pPr>
              <w:pStyle w:val="6"/>
              <w:spacing w:before="57" w:line="227" w:lineRule="auto"/>
              <w:ind w:left="1624"/>
              <w:rPr>
                <w:sz w:val="20"/>
                <w:szCs w:val="20"/>
              </w:rPr>
            </w:pPr>
            <w:r>
              <w:rPr>
                <w:rFonts w:ascii="Times New Roman" w:hAnsi="Times New Roman" w:eastAsia="Times New Roman" w:cs="Times New Roman"/>
                <w:b/>
                <w:bCs/>
                <w:spacing w:val="5"/>
                <w:sz w:val="20"/>
                <w:szCs w:val="20"/>
              </w:rPr>
              <w:t>0.5m≤</w:t>
            </w:r>
            <w:r>
              <w:rPr>
                <w:rFonts w:ascii="Times New Roman" w:hAnsi="Times New Roman" w:eastAsia="Times New Roman" w:cs="Times New Roman"/>
                <w:b/>
                <w:bCs/>
                <w:sz w:val="20"/>
                <w:szCs w:val="20"/>
              </w:rPr>
              <w:t>Mb</w:t>
            </w:r>
            <w:r>
              <w:rPr>
                <w:rFonts w:ascii="Times New Roman" w:hAnsi="Times New Roman" w:eastAsia="Times New Roman" w:cs="Times New Roman"/>
                <w:b/>
                <w:bCs/>
                <w:spacing w:val="5"/>
                <w:sz w:val="20"/>
                <w:szCs w:val="20"/>
              </w:rPr>
              <w:t>&lt;1.0m</w:t>
            </w:r>
            <w:r>
              <w:rPr>
                <w:rFonts w:ascii="Times New Roman" w:hAnsi="Times New Roman" w:eastAsia="Times New Roman" w:cs="Times New Roman"/>
                <w:b/>
                <w:bCs/>
                <w:spacing w:val="-23"/>
                <w:sz w:val="20"/>
                <w:szCs w:val="20"/>
              </w:rPr>
              <w:t xml:space="preserve"> </w:t>
            </w:r>
            <w:r>
              <w:rPr>
                <w:b/>
                <w:bCs/>
                <w:spacing w:val="5"/>
                <w:sz w:val="20"/>
                <w:szCs w:val="20"/>
              </w:rPr>
              <w:t>，</w:t>
            </w:r>
            <w:r>
              <w:rPr>
                <w:rFonts w:ascii="Times New Roman" w:hAnsi="Times New Roman" w:eastAsia="Times New Roman" w:cs="Times New Roman"/>
                <w:b/>
                <w:bCs/>
                <w:spacing w:val="5"/>
                <w:sz w:val="20"/>
                <w:szCs w:val="20"/>
              </w:rPr>
              <w:t>K≤1.0×10</w:t>
            </w:r>
            <w:r>
              <w:rPr>
                <w:rFonts w:ascii="Times New Roman" w:hAnsi="Times New Roman" w:eastAsia="Times New Roman" w:cs="Times New Roman"/>
                <w:b/>
                <w:bCs/>
                <w:spacing w:val="5"/>
                <w:position w:val="6"/>
                <w:sz w:val="13"/>
                <w:szCs w:val="13"/>
              </w:rPr>
              <w:t>-6</w:t>
            </w:r>
            <w:r>
              <w:rPr>
                <w:rFonts w:ascii="Times New Roman" w:hAnsi="Times New Roman" w:eastAsia="Times New Roman" w:cs="Times New Roman"/>
                <w:b/>
                <w:bCs/>
                <w:sz w:val="20"/>
                <w:szCs w:val="20"/>
              </w:rPr>
              <w:t>cm</w:t>
            </w:r>
            <w:r>
              <w:rPr>
                <w:rFonts w:ascii="Times New Roman" w:hAnsi="Times New Roman" w:eastAsia="Times New Roman" w:cs="Times New Roman"/>
                <w:b/>
                <w:bCs/>
                <w:spacing w:val="5"/>
                <w:sz w:val="20"/>
                <w:szCs w:val="20"/>
              </w:rPr>
              <w:t>/s</w:t>
            </w:r>
            <w:r>
              <w:rPr>
                <w:rFonts w:ascii="Times New Roman" w:hAnsi="Times New Roman" w:eastAsia="Times New Roman" w:cs="Times New Roman"/>
                <w:b/>
                <w:bCs/>
                <w:spacing w:val="-25"/>
                <w:sz w:val="20"/>
                <w:szCs w:val="20"/>
              </w:rPr>
              <w:t xml:space="preserve"> </w:t>
            </w:r>
            <w:r>
              <w:rPr>
                <w:b/>
                <w:bCs/>
                <w:spacing w:val="5"/>
                <w:sz w:val="20"/>
                <w:szCs w:val="20"/>
              </w:rPr>
              <w:t>，且分布连续</w:t>
            </w:r>
            <w:r>
              <w:rPr>
                <w:b/>
                <w:bCs/>
                <w:spacing w:val="4"/>
                <w:sz w:val="20"/>
                <w:szCs w:val="20"/>
              </w:rPr>
              <w:t>、稳定</w:t>
            </w:r>
          </w:p>
          <w:p w14:paraId="5A1FC833">
            <w:pPr>
              <w:pStyle w:val="6"/>
              <w:spacing w:before="25" w:line="227" w:lineRule="auto"/>
              <w:ind w:left="1237"/>
              <w:rPr>
                <w:sz w:val="20"/>
                <w:szCs w:val="20"/>
              </w:rPr>
            </w:pPr>
            <w:r>
              <w:rPr>
                <w:rFonts w:ascii="Times New Roman" w:hAnsi="Times New Roman" w:eastAsia="Times New Roman" w:cs="Times New Roman"/>
                <w:b/>
                <w:bCs/>
                <w:sz w:val="20"/>
                <w:szCs w:val="20"/>
              </w:rPr>
              <w:t>Mb</w:t>
            </w:r>
            <w:r>
              <w:rPr>
                <w:rFonts w:ascii="Times New Roman" w:hAnsi="Times New Roman" w:eastAsia="Times New Roman" w:cs="Times New Roman"/>
                <w:b/>
                <w:bCs/>
                <w:spacing w:val="5"/>
                <w:sz w:val="20"/>
                <w:szCs w:val="20"/>
              </w:rPr>
              <w:t>≥1.0m</w:t>
            </w:r>
            <w:r>
              <w:rPr>
                <w:rFonts w:ascii="Times New Roman" w:hAnsi="Times New Roman" w:eastAsia="Times New Roman" w:cs="Times New Roman"/>
                <w:b/>
                <w:bCs/>
                <w:spacing w:val="-18"/>
                <w:sz w:val="20"/>
                <w:szCs w:val="20"/>
              </w:rPr>
              <w:t xml:space="preserve"> </w:t>
            </w:r>
            <w:r>
              <w:rPr>
                <w:b/>
                <w:bCs/>
                <w:spacing w:val="5"/>
                <w:sz w:val="20"/>
                <w:szCs w:val="20"/>
              </w:rPr>
              <w:t>，</w:t>
            </w:r>
            <w:r>
              <w:rPr>
                <w:rFonts w:ascii="Times New Roman" w:hAnsi="Times New Roman" w:eastAsia="Times New Roman" w:cs="Times New Roman"/>
                <w:b/>
                <w:bCs/>
                <w:spacing w:val="5"/>
                <w:sz w:val="20"/>
                <w:szCs w:val="20"/>
              </w:rPr>
              <w:t>1.0×10</w:t>
            </w:r>
            <w:r>
              <w:rPr>
                <w:rFonts w:ascii="Times New Roman" w:hAnsi="Times New Roman" w:eastAsia="Times New Roman" w:cs="Times New Roman"/>
                <w:b/>
                <w:bCs/>
                <w:spacing w:val="5"/>
                <w:position w:val="6"/>
                <w:sz w:val="13"/>
                <w:szCs w:val="13"/>
              </w:rPr>
              <w:t>-6</w:t>
            </w:r>
            <w:r>
              <w:rPr>
                <w:rFonts w:ascii="Times New Roman" w:hAnsi="Times New Roman" w:eastAsia="Times New Roman" w:cs="Times New Roman"/>
                <w:b/>
                <w:bCs/>
                <w:sz w:val="20"/>
                <w:szCs w:val="20"/>
              </w:rPr>
              <w:t>cm</w:t>
            </w:r>
            <w:r>
              <w:rPr>
                <w:rFonts w:ascii="Times New Roman" w:hAnsi="Times New Roman" w:eastAsia="Times New Roman" w:cs="Times New Roman"/>
                <w:b/>
                <w:bCs/>
                <w:spacing w:val="5"/>
                <w:sz w:val="20"/>
                <w:szCs w:val="20"/>
              </w:rPr>
              <w:t>/s</w:t>
            </w:r>
            <w:r>
              <w:rPr>
                <w:b/>
                <w:bCs/>
                <w:spacing w:val="5"/>
                <w:sz w:val="20"/>
                <w:szCs w:val="20"/>
              </w:rPr>
              <w:t>＜</w:t>
            </w:r>
            <w:r>
              <w:rPr>
                <w:rFonts w:ascii="Times New Roman" w:hAnsi="Times New Roman" w:eastAsia="Times New Roman" w:cs="Times New Roman"/>
                <w:b/>
                <w:bCs/>
                <w:spacing w:val="5"/>
                <w:sz w:val="20"/>
                <w:szCs w:val="20"/>
              </w:rPr>
              <w:t>K≤1.0×10</w:t>
            </w:r>
            <w:r>
              <w:rPr>
                <w:rFonts w:ascii="Times New Roman" w:hAnsi="Times New Roman" w:eastAsia="Times New Roman" w:cs="Times New Roman"/>
                <w:b/>
                <w:bCs/>
                <w:spacing w:val="5"/>
                <w:position w:val="6"/>
                <w:sz w:val="13"/>
                <w:szCs w:val="13"/>
              </w:rPr>
              <w:t>-4</w:t>
            </w:r>
            <w:r>
              <w:rPr>
                <w:rFonts w:ascii="Times New Roman" w:hAnsi="Times New Roman" w:eastAsia="Times New Roman" w:cs="Times New Roman"/>
                <w:b/>
                <w:bCs/>
                <w:sz w:val="20"/>
                <w:szCs w:val="20"/>
              </w:rPr>
              <w:t>cm</w:t>
            </w:r>
            <w:r>
              <w:rPr>
                <w:rFonts w:ascii="Times New Roman" w:hAnsi="Times New Roman" w:eastAsia="Times New Roman" w:cs="Times New Roman"/>
                <w:b/>
                <w:bCs/>
                <w:spacing w:val="5"/>
                <w:sz w:val="20"/>
                <w:szCs w:val="20"/>
              </w:rPr>
              <w:t>/s</w:t>
            </w:r>
            <w:r>
              <w:rPr>
                <w:rFonts w:ascii="Times New Roman" w:hAnsi="Times New Roman" w:eastAsia="Times New Roman" w:cs="Times New Roman"/>
                <w:b/>
                <w:bCs/>
                <w:spacing w:val="-24"/>
                <w:sz w:val="20"/>
                <w:szCs w:val="20"/>
              </w:rPr>
              <w:t xml:space="preserve"> </w:t>
            </w:r>
            <w:r>
              <w:rPr>
                <w:b/>
                <w:bCs/>
                <w:spacing w:val="5"/>
                <w:sz w:val="20"/>
                <w:szCs w:val="20"/>
              </w:rPr>
              <w:t>，且分布连续、稳定</w:t>
            </w:r>
          </w:p>
        </w:tc>
      </w:tr>
      <w:tr w14:paraId="1EF05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54" w:type="dxa"/>
            <w:vAlign w:val="top"/>
          </w:tcPr>
          <w:p w14:paraId="24B58CAB">
            <w:pPr>
              <w:spacing w:before="13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w:t>
            </w:r>
          </w:p>
        </w:tc>
        <w:tc>
          <w:tcPr>
            <w:tcW w:w="8169" w:type="dxa"/>
            <w:vAlign w:val="top"/>
          </w:tcPr>
          <w:p w14:paraId="57DB42DE">
            <w:pPr>
              <w:pStyle w:val="6"/>
              <w:spacing w:before="101" w:line="228" w:lineRule="auto"/>
              <w:ind w:left="2280"/>
              <w:rPr>
                <w:sz w:val="20"/>
                <w:szCs w:val="20"/>
              </w:rPr>
            </w:pPr>
            <w:r>
              <w:rPr>
                <w:spacing w:val="7"/>
                <w:sz w:val="20"/>
                <w:szCs w:val="20"/>
              </w:rPr>
              <w:t>岩（土）层不满足上述</w:t>
            </w:r>
            <w:r>
              <w:rPr>
                <w:rFonts w:ascii="Times New Roman" w:hAnsi="Times New Roman" w:eastAsia="Times New Roman" w:cs="Times New Roman"/>
                <w:spacing w:val="7"/>
                <w:sz w:val="20"/>
                <w:szCs w:val="20"/>
              </w:rPr>
              <w:t>“D2”</w:t>
            </w:r>
            <w:r>
              <w:rPr>
                <w:spacing w:val="7"/>
                <w:sz w:val="20"/>
                <w:szCs w:val="20"/>
              </w:rPr>
              <w:t>和</w:t>
            </w:r>
            <w:r>
              <w:rPr>
                <w:rFonts w:ascii="Times New Roman" w:hAnsi="Times New Roman" w:eastAsia="Times New Roman" w:cs="Times New Roman"/>
                <w:spacing w:val="7"/>
                <w:sz w:val="20"/>
                <w:szCs w:val="20"/>
              </w:rPr>
              <w:t>“D3”</w:t>
            </w:r>
            <w:r>
              <w:rPr>
                <w:spacing w:val="7"/>
                <w:sz w:val="20"/>
                <w:szCs w:val="20"/>
              </w:rPr>
              <w:t>条件</w:t>
            </w:r>
          </w:p>
        </w:tc>
      </w:tr>
      <w:tr w14:paraId="22B67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023" w:type="dxa"/>
            <w:gridSpan w:val="2"/>
            <w:vAlign w:val="top"/>
          </w:tcPr>
          <w:p w14:paraId="3236E4F9">
            <w:pPr>
              <w:pStyle w:val="6"/>
              <w:spacing w:before="111" w:line="228" w:lineRule="auto"/>
              <w:ind w:left="110"/>
              <w:rPr>
                <w:sz w:val="20"/>
                <w:szCs w:val="20"/>
              </w:rPr>
            </w:pPr>
            <w:r>
              <w:rPr>
                <w:rFonts w:ascii="Times New Roman" w:hAnsi="Times New Roman" w:eastAsia="Times New Roman" w:cs="Times New Roman"/>
                <w:sz w:val="20"/>
                <w:szCs w:val="20"/>
              </w:rPr>
              <w:t>Mb</w:t>
            </w:r>
            <w:r>
              <w:rPr>
                <w:spacing w:val="9"/>
                <w:sz w:val="20"/>
                <w:szCs w:val="20"/>
              </w:rPr>
              <w:t>：岩土层单层厚度；</w:t>
            </w:r>
            <w:r>
              <w:rPr>
                <w:rFonts w:ascii="Times New Roman" w:hAnsi="Times New Roman" w:eastAsia="Times New Roman" w:cs="Times New Roman"/>
                <w:spacing w:val="9"/>
                <w:sz w:val="20"/>
                <w:szCs w:val="20"/>
              </w:rPr>
              <w:t>K</w:t>
            </w:r>
            <w:r>
              <w:rPr>
                <w:spacing w:val="9"/>
                <w:sz w:val="20"/>
                <w:szCs w:val="20"/>
              </w:rPr>
              <w:t>：渗透系数。</w:t>
            </w:r>
          </w:p>
        </w:tc>
      </w:tr>
    </w:tbl>
    <w:p w14:paraId="62A55397">
      <w:pPr>
        <w:spacing w:before="274" w:line="219" w:lineRule="auto"/>
        <w:ind w:left="108"/>
        <w:outlineLvl w:val="3"/>
        <w:rPr>
          <w:rFonts w:ascii="宋体" w:hAnsi="宋体" w:eastAsia="宋体" w:cs="宋体"/>
          <w:sz w:val="24"/>
          <w:szCs w:val="24"/>
        </w:rPr>
      </w:pPr>
      <w:r>
        <w:rPr>
          <w:rFonts w:ascii="Times New Roman" w:hAnsi="Times New Roman" w:eastAsia="Times New Roman" w:cs="Times New Roman"/>
          <w:b/>
          <w:bCs/>
          <w:spacing w:val="-2"/>
          <w:sz w:val="24"/>
          <w:szCs w:val="24"/>
        </w:rPr>
        <w:t>2.1.3</w:t>
      </w:r>
      <w:r>
        <w:rPr>
          <w:rFonts w:ascii="宋体" w:hAnsi="宋体" w:eastAsia="宋体" w:cs="宋体"/>
          <w:b/>
          <w:bCs/>
          <w:spacing w:val="-2"/>
          <w:sz w:val="24"/>
          <w:szCs w:val="24"/>
        </w:rPr>
        <w:t>环境风险潜势的确定</w:t>
      </w:r>
    </w:p>
    <w:p w14:paraId="23FDEB93">
      <w:pPr>
        <w:spacing w:before="181" w:line="359" w:lineRule="auto"/>
        <w:ind w:left="108" w:right="78" w:firstLine="484"/>
        <w:jc w:val="both"/>
        <w:rPr>
          <w:rFonts w:ascii="宋体" w:hAnsi="宋体" w:eastAsia="宋体" w:cs="宋体"/>
          <w:sz w:val="24"/>
          <w:szCs w:val="24"/>
        </w:rPr>
      </w:pPr>
      <w:r>
        <w:rPr>
          <w:rFonts w:ascii="宋体" w:hAnsi="宋体" w:eastAsia="宋体" w:cs="宋体"/>
          <w:spacing w:val="-4"/>
          <w:sz w:val="24"/>
          <w:szCs w:val="24"/>
        </w:rPr>
        <w:t>根据前文分析，</w:t>
      </w:r>
      <w:r>
        <w:rPr>
          <w:rFonts w:ascii="宋体" w:hAnsi="宋体" w:eastAsia="宋体" w:cs="宋体"/>
          <w:b/>
          <w:bCs/>
          <w:spacing w:val="-4"/>
          <w:sz w:val="24"/>
          <w:szCs w:val="24"/>
        </w:rPr>
        <w:t>本项目对应的危险物质及工艺系统危险性级别为</w:t>
      </w:r>
      <w:r>
        <w:rPr>
          <w:rFonts w:ascii="Times New Roman" w:hAnsi="Times New Roman" w:eastAsia="Times New Roman" w:cs="Times New Roman"/>
          <w:b/>
          <w:bCs/>
          <w:spacing w:val="-4"/>
          <w:sz w:val="24"/>
          <w:szCs w:val="24"/>
        </w:rPr>
        <w:t>P4</w:t>
      </w:r>
      <w:r>
        <w:rPr>
          <w:rFonts w:ascii="宋体" w:hAnsi="宋体" w:eastAsia="宋体" w:cs="宋体"/>
          <w:b/>
          <w:bCs/>
          <w:spacing w:val="-4"/>
          <w:sz w:val="24"/>
          <w:szCs w:val="24"/>
        </w:rPr>
        <w:t>级，大气环境</w:t>
      </w:r>
      <w:r>
        <w:rPr>
          <w:rFonts w:ascii="宋体" w:hAnsi="宋体" w:eastAsia="宋体" w:cs="宋体"/>
          <w:sz w:val="24"/>
          <w:szCs w:val="24"/>
        </w:rPr>
        <w:t xml:space="preserve"> </w:t>
      </w:r>
      <w:r>
        <w:rPr>
          <w:rFonts w:ascii="宋体" w:hAnsi="宋体" w:eastAsia="宋体" w:cs="宋体"/>
          <w:b/>
          <w:bCs/>
          <w:spacing w:val="1"/>
          <w:sz w:val="24"/>
          <w:szCs w:val="24"/>
        </w:rPr>
        <w:t>为环境高度敏感区</w:t>
      </w:r>
      <w:r>
        <w:rPr>
          <w:rFonts w:ascii="Times New Roman" w:hAnsi="Times New Roman" w:eastAsia="Times New Roman" w:cs="Times New Roman"/>
          <w:b/>
          <w:bCs/>
          <w:spacing w:val="1"/>
          <w:sz w:val="24"/>
          <w:szCs w:val="24"/>
        </w:rPr>
        <w:t>E1</w:t>
      </w:r>
      <w:r>
        <w:rPr>
          <w:rFonts w:ascii="宋体" w:hAnsi="宋体" w:eastAsia="宋体" w:cs="宋体"/>
          <w:b/>
          <w:bCs/>
          <w:spacing w:val="1"/>
          <w:sz w:val="24"/>
          <w:szCs w:val="24"/>
        </w:rPr>
        <w:t>级、地表水环境为环境中度敏感区</w:t>
      </w:r>
      <w:r>
        <w:rPr>
          <w:rFonts w:ascii="Times New Roman" w:hAnsi="Times New Roman" w:eastAsia="Times New Roman" w:cs="Times New Roman"/>
          <w:b/>
          <w:bCs/>
          <w:spacing w:val="1"/>
          <w:sz w:val="24"/>
          <w:szCs w:val="24"/>
        </w:rPr>
        <w:t>E2</w:t>
      </w:r>
      <w:r>
        <w:rPr>
          <w:rFonts w:ascii="宋体" w:hAnsi="宋体" w:eastAsia="宋体" w:cs="宋体"/>
          <w:b/>
          <w:bCs/>
          <w:spacing w:val="1"/>
          <w:sz w:val="24"/>
          <w:szCs w:val="24"/>
        </w:rPr>
        <w:t>级，</w:t>
      </w:r>
      <w:r>
        <w:rPr>
          <w:rFonts w:ascii="宋体" w:hAnsi="宋体" w:eastAsia="宋体" w:cs="宋体"/>
          <w:b/>
          <w:bCs/>
          <w:sz w:val="24"/>
          <w:szCs w:val="24"/>
        </w:rPr>
        <w:t>地下水环境为环境低</w:t>
      </w:r>
      <w:r>
        <w:rPr>
          <w:rFonts w:ascii="宋体" w:hAnsi="宋体" w:eastAsia="宋体" w:cs="宋体"/>
          <w:sz w:val="24"/>
          <w:szCs w:val="24"/>
        </w:rPr>
        <w:t xml:space="preserve"> </w:t>
      </w:r>
      <w:r>
        <w:rPr>
          <w:rFonts w:ascii="宋体" w:hAnsi="宋体" w:eastAsia="宋体" w:cs="宋体"/>
          <w:b/>
          <w:bCs/>
          <w:spacing w:val="-3"/>
          <w:sz w:val="24"/>
          <w:szCs w:val="24"/>
        </w:rPr>
        <w:t>度敏感区</w:t>
      </w:r>
      <w:r>
        <w:rPr>
          <w:rFonts w:ascii="Times New Roman" w:hAnsi="Times New Roman" w:eastAsia="Times New Roman" w:cs="Times New Roman"/>
          <w:b/>
          <w:bCs/>
          <w:spacing w:val="-3"/>
          <w:sz w:val="24"/>
          <w:szCs w:val="24"/>
        </w:rPr>
        <w:t>E3</w:t>
      </w:r>
      <w:r>
        <w:rPr>
          <w:rFonts w:ascii="宋体" w:hAnsi="宋体" w:eastAsia="宋体" w:cs="宋体"/>
          <w:b/>
          <w:bCs/>
          <w:spacing w:val="-3"/>
          <w:sz w:val="24"/>
          <w:szCs w:val="24"/>
        </w:rPr>
        <w:t>级；最终判定本项目的环境风险潜势为</w:t>
      </w:r>
      <w:r>
        <w:rPr>
          <w:rFonts w:ascii="Times New Roman" w:hAnsi="Times New Roman" w:eastAsia="Times New Roman" w:cs="Times New Roman"/>
          <w:b/>
          <w:bCs/>
          <w:spacing w:val="-3"/>
          <w:sz w:val="24"/>
          <w:szCs w:val="24"/>
        </w:rPr>
        <w:t>Ⅲ(</w:t>
      </w:r>
      <w:r>
        <w:rPr>
          <w:rFonts w:ascii="宋体" w:hAnsi="宋体" w:eastAsia="宋体" w:cs="宋体"/>
          <w:b/>
          <w:bCs/>
          <w:spacing w:val="-3"/>
          <w:sz w:val="24"/>
          <w:szCs w:val="24"/>
        </w:rPr>
        <w:t>大气环境）、</w:t>
      </w:r>
      <w:r>
        <w:rPr>
          <w:rFonts w:ascii="Times New Roman" w:hAnsi="Times New Roman" w:eastAsia="Times New Roman" w:cs="Times New Roman"/>
          <w:b/>
          <w:bCs/>
          <w:spacing w:val="-3"/>
          <w:sz w:val="24"/>
          <w:szCs w:val="24"/>
        </w:rPr>
        <w:t>Ⅱ(</w:t>
      </w:r>
      <w:r>
        <w:rPr>
          <w:rFonts w:ascii="宋体" w:hAnsi="宋体" w:eastAsia="宋体" w:cs="宋体"/>
          <w:b/>
          <w:bCs/>
          <w:spacing w:val="-3"/>
          <w:sz w:val="24"/>
          <w:szCs w:val="24"/>
        </w:rPr>
        <w:t>地表水环境</w:t>
      </w:r>
      <w:r>
        <w:rPr>
          <w:rFonts w:ascii="Times New Roman" w:hAnsi="Times New Roman" w:eastAsia="Times New Roman" w:cs="Times New Roman"/>
          <w:b/>
          <w:bCs/>
          <w:spacing w:val="-3"/>
          <w:sz w:val="24"/>
          <w:szCs w:val="24"/>
        </w:rPr>
        <w:t>)</w:t>
      </w:r>
      <w:r>
        <w:rPr>
          <w:rFonts w:ascii="宋体" w:hAnsi="宋体" w:eastAsia="宋体" w:cs="宋体"/>
          <w:b/>
          <w:bCs/>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b/>
          <w:bCs/>
          <w:spacing w:val="-3"/>
          <w:sz w:val="24"/>
          <w:szCs w:val="24"/>
        </w:rPr>
        <w:t>Ⅰ</w:t>
      </w:r>
      <w:r>
        <w:rPr>
          <w:rFonts w:ascii="宋体" w:hAnsi="宋体" w:eastAsia="宋体" w:cs="宋体"/>
          <w:b/>
          <w:bCs/>
          <w:spacing w:val="-3"/>
          <w:sz w:val="24"/>
          <w:szCs w:val="24"/>
        </w:rPr>
        <w:t>（地下水环境）。</w:t>
      </w:r>
    </w:p>
    <w:p w14:paraId="37F66604">
      <w:pPr>
        <w:spacing w:before="122" w:line="219" w:lineRule="auto"/>
        <w:ind w:left="2696"/>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b/>
          <w:bCs/>
          <w:spacing w:val="-3"/>
          <w:sz w:val="24"/>
          <w:szCs w:val="24"/>
        </w:rPr>
        <w:t xml:space="preserve">13    </w:t>
      </w:r>
      <w:r>
        <w:rPr>
          <w:rFonts w:ascii="宋体" w:hAnsi="宋体" w:eastAsia="宋体" w:cs="宋体"/>
          <w:b/>
          <w:bCs/>
          <w:spacing w:val="-3"/>
          <w:sz w:val="24"/>
          <w:szCs w:val="24"/>
        </w:rPr>
        <w:t>建设项目环境风险潜势划分</w:t>
      </w:r>
    </w:p>
    <w:p w14:paraId="29654DE6">
      <w:pPr>
        <w:spacing w:line="147" w:lineRule="exact"/>
      </w:pPr>
    </w:p>
    <w:tbl>
      <w:tblPr>
        <w:tblStyle w:val="5"/>
        <w:tblW w:w="884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9"/>
        <w:gridCol w:w="1634"/>
        <w:gridCol w:w="1699"/>
        <w:gridCol w:w="1626"/>
        <w:gridCol w:w="1985"/>
      </w:tblGrid>
      <w:tr w14:paraId="7A7D0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99" w:type="dxa"/>
            <w:vMerge w:val="restart"/>
            <w:tcBorders>
              <w:bottom w:val="nil"/>
            </w:tcBorders>
            <w:vAlign w:val="top"/>
          </w:tcPr>
          <w:p w14:paraId="22F07E92">
            <w:pPr>
              <w:pStyle w:val="6"/>
              <w:spacing w:before="301" w:line="228" w:lineRule="auto"/>
              <w:ind w:right="13"/>
              <w:jc w:val="right"/>
              <w:rPr>
                <w:sz w:val="20"/>
                <w:szCs w:val="20"/>
              </w:rPr>
            </w:pPr>
            <w:r>
              <w:rPr>
                <w:b/>
                <w:bCs/>
                <w:spacing w:val="1"/>
                <w:sz w:val="20"/>
                <w:szCs w:val="20"/>
              </w:rPr>
              <w:t>环境敏感程度（</w:t>
            </w:r>
            <w:r>
              <w:rPr>
                <w:rFonts w:ascii="Times New Roman" w:hAnsi="Times New Roman" w:eastAsia="Times New Roman" w:cs="Times New Roman"/>
                <w:b/>
                <w:bCs/>
                <w:spacing w:val="1"/>
                <w:sz w:val="20"/>
                <w:szCs w:val="20"/>
              </w:rPr>
              <w:t>E</w:t>
            </w:r>
            <w:r>
              <w:rPr>
                <w:b/>
                <w:bCs/>
                <w:spacing w:val="1"/>
                <w:sz w:val="20"/>
                <w:szCs w:val="20"/>
              </w:rPr>
              <w:t>）</w:t>
            </w:r>
          </w:p>
        </w:tc>
        <w:tc>
          <w:tcPr>
            <w:tcW w:w="6944" w:type="dxa"/>
            <w:gridSpan w:val="4"/>
            <w:vAlign w:val="top"/>
          </w:tcPr>
          <w:p w14:paraId="150C2BBC">
            <w:pPr>
              <w:pStyle w:val="6"/>
              <w:spacing w:before="98" w:line="228" w:lineRule="auto"/>
              <w:ind w:left="1937"/>
              <w:rPr>
                <w:sz w:val="20"/>
                <w:szCs w:val="20"/>
              </w:rPr>
            </w:pPr>
            <w:r>
              <w:rPr>
                <w:b/>
                <w:bCs/>
                <w:spacing w:val="7"/>
                <w:sz w:val="20"/>
                <w:szCs w:val="20"/>
              </w:rPr>
              <w:t>危险物质及工艺系统危险性（</w:t>
            </w:r>
            <w:r>
              <w:rPr>
                <w:rFonts w:ascii="Times New Roman" w:hAnsi="Times New Roman" w:eastAsia="Times New Roman" w:cs="Times New Roman"/>
                <w:b/>
                <w:bCs/>
                <w:spacing w:val="7"/>
                <w:sz w:val="20"/>
                <w:szCs w:val="20"/>
              </w:rPr>
              <w:t>P</w:t>
            </w:r>
            <w:r>
              <w:rPr>
                <w:b/>
                <w:bCs/>
                <w:spacing w:val="7"/>
                <w:sz w:val="20"/>
                <w:szCs w:val="20"/>
              </w:rPr>
              <w:t>）</w:t>
            </w:r>
          </w:p>
        </w:tc>
      </w:tr>
      <w:tr w14:paraId="45659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899" w:type="dxa"/>
            <w:vMerge w:val="continue"/>
            <w:tcBorders>
              <w:top w:val="nil"/>
            </w:tcBorders>
            <w:vAlign w:val="top"/>
          </w:tcPr>
          <w:p w14:paraId="2321DD18">
            <w:pPr>
              <w:rPr>
                <w:rFonts w:ascii="Arial"/>
                <w:sz w:val="21"/>
              </w:rPr>
            </w:pPr>
          </w:p>
        </w:tc>
        <w:tc>
          <w:tcPr>
            <w:tcW w:w="1634" w:type="dxa"/>
            <w:vAlign w:val="top"/>
          </w:tcPr>
          <w:p w14:paraId="64AE0F17">
            <w:pPr>
              <w:pStyle w:val="6"/>
              <w:spacing w:before="94" w:line="228" w:lineRule="auto"/>
              <w:ind w:left="113"/>
              <w:rPr>
                <w:sz w:val="20"/>
                <w:szCs w:val="20"/>
              </w:rPr>
            </w:pPr>
            <w:r>
              <w:rPr>
                <w:b/>
                <w:bCs/>
                <w:spacing w:val="4"/>
                <w:sz w:val="20"/>
                <w:szCs w:val="20"/>
              </w:rPr>
              <w:t>极高危害（</w:t>
            </w:r>
            <w:r>
              <w:rPr>
                <w:rFonts w:ascii="Times New Roman" w:hAnsi="Times New Roman" w:eastAsia="Times New Roman" w:cs="Times New Roman"/>
                <w:b/>
                <w:bCs/>
                <w:spacing w:val="4"/>
                <w:sz w:val="20"/>
                <w:szCs w:val="20"/>
              </w:rPr>
              <w:t>P1</w:t>
            </w:r>
            <w:r>
              <w:rPr>
                <w:b/>
                <w:bCs/>
                <w:spacing w:val="4"/>
                <w:sz w:val="20"/>
                <w:szCs w:val="20"/>
              </w:rPr>
              <w:t>）</w:t>
            </w:r>
          </w:p>
        </w:tc>
        <w:tc>
          <w:tcPr>
            <w:tcW w:w="1699" w:type="dxa"/>
            <w:vAlign w:val="top"/>
          </w:tcPr>
          <w:p w14:paraId="1290381B">
            <w:pPr>
              <w:pStyle w:val="6"/>
              <w:spacing w:before="94" w:line="228" w:lineRule="auto"/>
              <w:ind w:left="119"/>
              <w:rPr>
                <w:sz w:val="20"/>
                <w:szCs w:val="20"/>
              </w:rPr>
            </w:pPr>
            <w:r>
              <w:rPr>
                <w:b/>
                <w:bCs/>
                <w:spacing w:val="4"/>
                <w:sz w:val="20"/>
                <w:szCs w:val="20"/>
              </w:rPr>
              <w:t>高度危害（</w:t>
            </w:r>
            <w:r>
              <w:rPr>
                <w:rFonts w:ascii="Times New Roman" w:hAnsi="Times New Roman" w:eastAsia="Times New Roman" w:cs="Times New Roman"/>
                <w:b/>
                <w:bCs/>
                <w:spacing w:val="4"/>
                <w:sz w:val="20"/>
                <w:szCs w:val="20"/>
              </w:rPr>
              <w:t>P2</w:t>
            </w:r>
            <w:r>
              <w:rPr>
                <w:b/>
                <w:bCs/>
                <w:spacing w:val="4"/>
                <w:sz w:val="20"/>
                <w:szCs w:val="20"/>
              </w:rPr>
              <w:t>）</w:t>
            </w:r>
          </w:p>
        </w:tc>
        <w:tc>
          <w:tcPr>
            <w:tcW w:w="1626" w:type="dxa"/>
            <w:vAlign w:val="top"/>
          </w:tcPr>
          <w:p w14:paraId="0CF1EE6F">
            <w:pPr>
              <w:pStyle w:val="6"/>
              <w:spacing w:before="95" w:line="228" w:lineRule="auto"/>
              <w:ind w:left="133"/>
              <w:rPr>
                <w:sz w:val="20"/>
                <w:szCs w:val="20"/>
              </w:rPr>
            </w:pPr>
            <w:r>
              <w:rPr>
                <w:b/>
                <w:bCs/>
                <w:spacing w:val="2"/>
                <w:sz w:val="20"/>
                <w:szCs w:val="20"/>
              </w:rPr>
              <w:t>中度危害（</w:t>
            </w:r>
            <w:r>
              <w:rPr>
                <w:rFonts w:ascii="Times New Roman" w:hAnsi="Times New Roman" w:eastAsia="Times New Roman" w:cs="Times New Roman"/>
                <w:b/>
                <w:bCs/>
                <w:spacing w:val="2"/>
                <w:sz w:val="20"/>
                <w:szCs w:val="20"/>
              </w:rPr>
              <w:t>P3</w:t>
            </w:r>
            <w:r>
              <w:rPr>
                <w:b/>
                <w:bCs/>
                <w:spacing w:val="2"/>
                <w:sz w:val="20"/>
                <w:szCs w:val="20"/>
              </w:rPr>
              <w:t>）</w:t>
            </w:r>
          </w:p>
        </w:tc>
        <w:tc>
          <w:tcPr>
            <w:tcW w:w="1985" w:type="dxa"/>
            <w:vAlign w:val="top"/>
          </w:tcPr>
          <w:p w14:paraId="00D8C793">
            <w:pPr>
              <w:pStyle w:val="6"/>
              <w:spacing w:before="94" w:line="228" w:lineRule="auto"/>
              <w:ind w:left="250"/>
              <w:rPr>
                <w:sz w:val="20"/>
                <w:szCs w:val="20"/>
              </w:rPr>
            </w:pPr>
            <w:r>
              <w:rPr>
                <w:b/>
                <w:bCs/>
                <w:spacing w:val="5"/>
                <w:sz w:val="20"/>
                <w:szCs w:val="20"/>
              </w:rPr>
              <w:t>轻度危害（</w:t>
            </w:r>
            <w:r>
              <w:rPr>
                <w:rFonts w:ascii="Times New Roman" w:hAnsi="Times New Roman" w:eastAsia="Times New Roman" w:cs="Times New Roman"/>
                <w:b/>
                <w:bCs/>
                <w:spacing w:val="5"/>
                <w:sz w:val="20"/>
                <w:szCs w:val="20"/>
              </w:rPr>
              <w:t>P4</w:t>
            </w:r>
            <w:r>
              <w:rPr>
                <w:b/>
                <w:bCs/>
                <w:spacing w:val="5"/>
                <w:sz w:val="20"/>
                <w:szCs w:val="20"/>
              </w:rPr>
              <w:t>）</w:t>
            </w:r>
          </w:p>
        </w:tc>
      </w:tr>
      <w:tr w14:paraId="379DC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99" w:type="dxa"/>
            <w:vAlign w:val="top"/>
          </w:tcPr>
          <w:p w14:paraId="7B98EAEA">
            <w:pPr>
              <w:pStyle w:val="6"/>
              <w:spacing w:before="32" w:line="228" w:lineRule="auto"/>
              <w:ind w:left="219"/>
              <w:rPr>
                <w:sz w:val="20"/>
                <w:szCs w:val="20"/>
              </w:rPr>
            </w:pPr>
            <w:r>
              <w:rPr>
                <w:spacing w:val="8"/>
                <w:sz w:val="20"/>
                <w:szCs w:val="20"/>
              </w:rPr>
              <w:t>环境高度敏感区</w:t>
            </w:r>
          </w:p>
          <w:p w14:paraId="51369CCA">
            <w:pPr>
              <w:pStyle w:val="6"/>
              <w:spacing w:before="27" w:line="215" w:lineRule="auto"/>
              <w:ind w:left="637"/>
              <w:rPr>
                <w:sz w:val="20"/>
                <w:szCs w:val="20"/>
              </w:rPr>
            </w:pPr>
            <w:r>
              <w:rPr>
                <w:sz w:val="20"/>
                <w:szCs w:val="20"/>
              </w:rPr>
              <w:t>（</w:t>
            </w:r>
            <w:r>
              <w:rPr>
                <w:rFonts w:ascii="Times New Roman" w:hAnsi="Times New Roman" w:eastAsia="Times New Roman" w:cs="Times New Roman"/>
                <w:sz w:val="20"/>
                <w:szCs w:val="20"/>
              </w:rPr>
              <w:t>E1</w:t>
            </w:r>
            <w:r>
              <w:rPr>
                <w:sz w:val="20"/>
                <w:szCs w:val="20"/>
              </w:rPr>
              <w:t>）</w:t>
            </w:r>
          </w:p>
        </w:tc>
        <w:tc>
          <w:tcPr>
            <w:tcW w:w="1634" w:type="dxa"/>
            <w:vAlign w:val="top"/>
          </w:tcPr>
          <w:p w14:paraId="01C8F21D">
            <w:pPr>
              <w:spacing w:before="196" w:line="204" w:lineRule="auto"/>
              <w:ind w:left="669"/>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Ⅳ</w:t>
            </w:r>
            <w:r>
              <w:rPr>
                <w:rFonts w:ascii="Times New Roman" w:hAnsi="Times New Roman" w:eastAsia="Times New Roman" w:cs="Times New Roman"/>
                <w:spacing w:val="4"/>
                <w:position w:val="5"/>
                <w:sz w:val="13"/>
                <w:szCs w:val="13"/>
              </w:rPr>
              <w:t>+</w:t>
            </w:r>
          </w:p>
        </w:tc>
        <w:tc>
          <w:tcPr>
            <w:tcW w:w="1699" w:type="dxa"/>
            <w:vAlign w:val="top"/>
          </w:tcPr>
          <w:p w14:paraId="30D07EAD">
            <w:pPr>
              <w:spacing w:before="207" w:line="192"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626" w:type="dxa"/>
            <w:vAlign w:val="top"/>
          </w:tcPr>
          <w:p w14:paraId="6E421606">
            <w:pPr>
              <w:spacing w:before="208"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985" w:type="dxa"/>
            <w:shd w:val="clear" w:color="auto" w:fill="BEBEBE"/>
            <w:vAlign w:val="top"/>
          </w:tcPr>
          <w:p w14:paraId="60913F83">
            <w:pPr>
              <w:pStyle w:val="6"/>
              <w:spacing w:before="169" w:line="228" w:lineRule="auto"/>
              <w:ind w:left="474"/>
              <w:rPr>
                <w:sz w:val="20"/>
                <w:szCs w:val="20"/>
              </w:rPr>
            </w:pPr>
            <w:r>
              <w:rPr>
                <w:rFonts w:ascii="Times New Roman" w:hAnsi="Times New Roman" w:eastAsia="Times New Roman" w:cs="Times New Roman"/>
                <w:spacing w:val="6"/>
                <w:sz w:val="20"/>
                <w:szCs w:val="20"/>
              </w:rPr>
              <w:t>Ⅲ</w:t>
            </w:r>
            <w:r>
              <w:rPr>
                <w:spacing w:val="6"/>
                <w:sz w:val="20"/>
                <w:szCs w:val="20"/>
              </w:rPr>
              <w:t>（大气）</w:t>
            </w:r>
          </w:p>
        </w:tc>
      </w:tr>
      <w:tr w14:paraId="5F29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99" w:type="dxa"/>
            <w:vAlign w:val="top"/>
          </w:tcPr>
          <w:p w14:paraId="104F1E04">
            <w:pPr>
              <w:pStyle w:val="6"/>
              <w:spacing w:before="32" w:line="228" w:lineRule="auto"/>
              <w:ind w:left="219"/>
              <w:rPr>
                <w:sz w:val="20"/>
                <w:szCs w:val="20"/>
              </w:rPr>
            </w:pPr>
            <w:r>
              <w:rPr>
                <w:spacing w:val="8"/>
                <w:sz w:val="20"/>
                <w:szCs w:val="20"/>
              </w:rPr>
              <w:t>环境中度敏感区</w:t>
            </w:r>
          </w:p>
          <w:p w14:paraId="20E57CE3">
            <w:pPr>
              <w:pStyle w:val="6"/>
              <w:spacing w:before="26" w:line="214" w:lineRule="auto"/>
              <w:ind w:left="637"/>
              <w:rPr>
                <w:sz w:val="20"/>
                <w:szCs w:val="20"/>
              </w:rPr>
            </w:pPr>
            <w:r>
              <w:rPr>
                <w:sz w:val="20"/>
                <w:szCs w:val="20"/>
              </w:rPr>
              <w:t>（</w:t>
            </w:r>
            <w:r>
              <w:rPr>
                <w:rFonts w:ascii="Times New Roman" w:hAnsi="Times New Roman" w:eastAsia="Times New Roman" w:cs="Times New Roman"/>
                <w:sz w:val="20"/>
                <w:szCs w:val="20"/>
              </w:rPr>
              <w:t>E2</w:t>
            </w:r>
            <w:r>
              <w:rPr>
                <w:sz w:val="20"/>
                <w:szCs w:val="20"/>
              </w:rPr>
              <w:t>）</w:t>
            </w:r>
          </w:p>
        </w:tc>
        <w:tc>
          <w:tcPr>
            <w:tcW w:w="1634" w:type="dxa"/>
            <w:vAlign w:val="top"/>
          </w:tcPr>
          <w:p w14:paraId="3EDD9458">
            <w:pPr>
              <w:spacing w:before="208" w:line="192" w:lineRule="auto"/>
              <w:ind w:left="7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699" w:type="dxa"/>
            <w:vAlign w:val="top"/>
          </w:tcPr>
          <w:p w14:paraId="6927F032">
            <w:pPr>
              <w:spacing w:before="208" w:line="192"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626" w:type="dxa"/>
            <w:vAlign w:val="top"/>
          </w:tcPr>
          <w:p w14:paraId="66B053E2">
            <w:pPr>
              <w:spacing w:before="208"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985" w:type="dxa"/>
            <w:shd w:val="clear" w:color="auto" w:fill="BEBEBE"/>
            <w:vAlign w:val="top"/>
          </w:tcPr>
          <w:p w14:paraId="745D99CF">
            <w:pPr>
              <w:pStyle w:val="6"/>
              <w:spacing w:before="166" w:line="228" w:lineRule="auto"/>
              <w:ind w:left="402"/>
              <w:rPr>
                <w:sz w:val="20"/>
                <w:szCs w:val="20"/>
              </w:rPr>
            </w:pPr>
            <w:r>
              <w:rPr>
                <w:rFonts w:ascii="Times New Roman" w:hAnsi="Times New Roman" w:eastAsia="Times New Roman" w:cs="Times New Roman"/>
                <w:spacing w:val="6"/>
                <w:sz w:val="20"/>
                <w:szCs w:val="20"/>
              </w:rPr>
              <w:t>Ⅱ</w:t>
            </w:r>
            <w:r>
              <w:rPr>
                <w:spacing w:val="6"/>
                <w:sz w:val="20"/>
                <w:szCs w:val="20"/>
              </w:rPr>
              <w:t>（地表水）</w:t>
            </w:r>
          </w:p>
        </w:tc>
      </w:tr>
      <w:tr w14:paraId="7D9E7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99" w:type="dxa"/>
            <w:vAlign w:val="top"/>
          </w:tcPr>
          <w:p w14:paraId="1E643139">
            <w:pPr>
              <w:pStyle w:val="6"/>
              <w:spacing w:before="33" w:line="228" w:lineRule="auto"/>
              <w:ind w:left="219"/>
              <w:rPr>
                <w:sz w:val="20"/>
                <w:szCs w:val="20"/>
              </w:rPr>
            </w:pPr>
            <w:r>
              <w:rPr>
                <w:spacing w:val="8"/>
                <w:sz w:val="20"/>
                <w:szCs w:val="20"/>
              </w:rPr>
              <w:t>环境低度敏感区</w:t>
            </w:r>
          </w:p>
          <w:p w14:paraId="34697051">
            <w:pPr>
              <w:pStyle w:val="6"/>
              <w:spacing w:before="27" w:line="213" w:lineRule="auto"/>
              <w:ind w:left="637"/>
              <w:rPr>
                <w:sz w:val="20"/>
                <w:szCs w:val="20"/>
              </w:rPr>
            </w:pPr>
            <w:r>
              <w:rPr>
                <w:sz w:val="20"/>
                <w:szCs w:val="20"/>
              </w:rPr>
              <w:t>（</w:t>
            </w:r>
            <w:r>
              <w:rPr>
                <w:rFonts w:ascii="Times New Roman" w:hAnsi="Times New Roman" w:eastAsia="Times New Roman" w:cs="Times New Roman"/>
                <w:sz w:val="20"/>
                <w:szCs w:val="20"/>
              </w:rPr>
              <w:t>E3</w:t>
            </w:r>
            <w:r>
              <w:rPr>
                <w:sz w:val="20"/>
                <w:szCs w:val="20"/>
              </w:rPr>
              <w:t>）</w:t>
            </w:r>
          </w:p>
        </w:tc>
        <w:tc>
          <w:tcPr>
            <w:tcW w:w="1634" w:type="dxa"/>
            <w:vAlign w:val="top"/>
          </w:tcPr>
          <w:p w14:paraId="1241B0C2">
            <w:pPr>
              <w:spacing w:before="209"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699" w:type="dxa"/>
            <w:vAlign w:val="top"/>
          </w:tcPr>
          <w:p w14:paraId="663A3883">
            <w:pPr>
              <w:spacing w:before="209" w:line="192"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626" w:type="dxa"/>
            <w:vAlign w:val="top"/>
          </w:tcPr>
          <w:p w14:paraId="46BDBC24">
            <w:pPr>
              <w:spacing w:before="209" w:line="192" w:lineRule="auto"/>
              <w:ind w:left="747"/>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985" w:type="dxa"/>
            <w:shd w:val="clear" w:color="auto" w:fill="BEBEBE"/>
            <w:vAlign w:val="top"/>
          </w:tcPr>
          <w:p w14:paraId="187DBB7C">
            <w:pPr>
              <w:pStyle w:val="6"/>
              <w:spacing w:before="170" w:line="228" w:lineRule="auto"/>
              <w:ind w:left="434"/>
              <w:rPr>
                <w:sz w:val="20"/>
                <w:szCs w:val="20"/>
              </w:rPr>
            </w:pPr>
            <w:r>
              <w:rPr>
                <w:rFonts w:ascii="Times New Roman" w:hAnsi="Times New Roman" w:eastAsia="Times New Roman" w:cs="Times New Roman"/>
                <w:spacing w:val="5"/>
                <w:sz w:val="20"/>
                <w:szCs w:val="20"/>
              </w:rPr>
              <w:t>Ⅰ</w:t>
            </w:r>
            <w:r>
              <w:rPr>
                <w:spacing w:val="5"/>
                <w:sz w:val="20"/>
                <w:szCs w:val="20"/>
              </w:rPr>
              <w:t>（地下水）</w:t>
            </w:r>
          </w:p>
        </w:tc>
      </w:tr>
      <w:tr w14:paraId="24BED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843" w:type="dxa"/>
            <w:gridSpan w:val="5"/>
            <w:vAlign w:val="top"/>
          </w:tcPr>
          <w:p w14:paraId="5CF8F8FC">
            <w:pPr>
              <w:pStyle w:val="6"/>
              <w:spacing w:before="99" w:line="228" w:lineRule="auto"/>
              <w:ind w:left="116"/>
              <w:rPr>
                <w:sz w:val="20"/>
                <w:szCs w:val="20"/>
              </w:rPr>
            </w:pPr>
            <w:r>
              <w:rPr>
                <w:spacing w:val="8"/>
                <w:sz w:val="20"/>
                <w:szCs w:val="20"/>
              </w:rPr>
              <w:t>注：</w:t>
            </w:r>
            <w:r>
              <w:rPr>
                <w:rFonts w:ascii="Times New Roman" w:hAnsi="Times New Roman" w:eastAsia="Times New Roman" w:cs="Times New Roman"/>
                <w:spacing w:val="8"/>
                <w:sz w:val="20"/>
                <w:szCs w:val="20"/>
              </w:rPr>
              <w:t>Ⅳ</w:t>
            </w:r>
            <w:r>
              <w:rPr>
                <w:rFonts w:ascii="Times New Roman" w:hAnsi="Times New Roman" w:eastAsia="Times New Roman" w:cs="Times New Roman"/>
                <w:spacing w:val="8"/>
                <w:position w:val="6"/>
                <w:sz w:val="13"/>
                <w:szCs w:val="13"/>
              </w:rPr>
              <w:t>+</w:t>
            </w:r>
            <w:r>
              <w:rPr>
                <w:spacing w:val="8"/>
                <w:sz w:val="20"/>
                <w:szCs w:val="20"/>
              </w:rPr>
              <w:t>为极高环境风险</w:t>
            </w:r>
          </w:p>
        </w:tc>
      </w:tr>
    </w:tbl>
    <w:p w14:paraId="3480A530">
      <w:pPr>
        <w:rPr>
          <w:rFonts w:ascii="Arial"/>
          <w:sz w:val="21"/>
        </w:rPr>
      </w:pPr>
    </w:p>
    <w:p w14:paraId="4CA34CDC">
      <w:pPr>
        <w:rPr>
          <w:rFonts w:ascii="Arial" w:hAnsi="Arial" w:eastAsia="Arial" w:cs="Arial"/>
          <w:sz w:val="21"/>
          <w:szCs w:val="21"/>
        </w:rPr>
        <w:sectPr>
          <w:footerReference r:id="rId125" w:type="default"/>
          <w:pgSz w:w="11906" w:h="16839"/>
          <w:pgMar w:top="400" w:right="1429" w:bottom="1127" w:left="1428" w:header="0" w:footer="965" w:gutter="0"/>
          <w:cols w:space="720" w:num="1"/>
        </w:sectPr>
      </w:pPr>
    </w:p>
    <w:p w14:paraId="1D5222C1">
      <w:pPr>
        <w:spacing w:line="250" w:lineRule="auto"/>
        <w:rPr>
          <w:rFonts w:ascii="Arial"/>
          <w:sz w:val="21"/>
        </w:rPr>
      </w:pPr>
    </w:p>
    <w:p w14:paraId="725E9764">
      <w:pPr>
        <w:spacing w:line="250" w:lineRule="auto"/>
        <w:rPr>
          <w:rFonts w:ascii="Arial"/>
          <w:sz w:val="21"/>
        </w:rPr>
      </w:pPr>
    </w:p>
    <w:p w14:paraId="76EAC9D0">
      <w:pPr>
        <w:spacing w:line="250" w:lineRule="auto"/>
        <w:rPr>
          <w:rFonts w:ascii="Arial"/>
          <w:sz w:val="21"/>
        </w:rPr>
      </w:pPr>
    </w:p>
    <w:p w14:paraId="59683024">
      <w:pPr>
        <w:spacing w:line="250" w:lineRule="auto"/>
        <w:rPr>
          <w:rFonts w:ascii="Arial"/>
          <w:sz w:val="21"/>
        </w:rPr>
      </w:pPr>
    </w:p>
    <w:p w14:paraId="2C0FBEF1">
      <w:pPr>
        <w:spacing w:line="250" w:lineRule="auto"/>
        <w:rPr>
          <w:rFonts w:ascii="Arial"/>
          <w:sz w:val="21"/>
        </w:rPr>
      </w:pPr>
    </w:p>
    <w:p w14:paraId="43218B49">
      <w:pPr>
        <w:spacing w:before="78" w:line="218" w:lineRule="auto"/>
        <w:ind w:left="3"/>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评价等级</w:t>
      </w:r>
    </w:p>
    <w:p w14:paraId="7943F179">
      <w:pPr>
        <w:spacing w:before="180" w:line="360" w:lineRule="auto"/>
        <w:ind w:left="7" w:right="61" w:firstLine="480"/>
        <w:jc w:val="both"/>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pacing w:val="-1"/>
          <w:sz w:val="24"/>
          <w:szCs w:val="24"/>
        </w:rPr>
        <w:t>HJ619-2018</w:t>
      </w:r>
      <w:r>
        <w:rPr>
          <w:rFonts w:ascii="宋体" w:hAnsi="宋体" w:eastAsia="宋体" w:cs="宋体"/>
          <w:spacing w:val="1"/>
          <w:sz w:val="24"/>
          <w:szCs w:val="24"/>
        </w:rPr>
        <w:t>），</w:t>
      </w:r>
      <w:r>
        <w:rPr>
          <w:rFonts w:ascii="宋体" w:hAnsi="宋体" w:eastAsia="宋体" w:cs="宋体"/>
          <w:spacing w:val="-1"/>
          <w:sz w:val="24"/>
          <w:szCs w:val="24"/>
        </w:rPr>
        <w:t>根据建设项目涉及的</w:t>
      </w:r>
      <w:r>
        <w:rPr>
          <w:rFonts w:ascii="宋体" w:hAnsi="宋体" w:eastAsia="宋体" w:cs="宋体"/>
          <w:sz w:val="24"/>
          <w:szCs w:val="24"/>
        </w:rPr>
        <w:t xml:space="preserve"> </w:t>
      </w:r>
      <w:r>
        <w:rPr>
          <w:rFonts w:ascii="宋体" w:hAnsi="宋体" w:eastAsia="宋体" w:cs="宋体"/>
          <w:spacing w:val="-1"/>
          <w:sz w:val="24"/>
          <w:szCs w:val="24"/>
        </w:rPr>
        <w:t>物质及工艺系统危险性和所在地的环境敏感性确定环境风险潜</w:t>
      </w:r>
      <w:r>
        <w:rPr>
          <w:rFonts w:ascii="宋体" w:hAnsi="宋体" w:eastAsia="宋体" w:cs="宋体"/>
          <w:spacing w:val="-2"/>
          <w:sz w:val="24"/>
          <w:szCs w:val="24"/>
        </w:rPr>
        <w:t>势，按照下表确定评价</w:t>
      </w:r>
      <w:r>
        <w:rPr>
          <w:rFonts w:ascii="宋体" w:hAnsi="宋体" w:eastAsia="宋体" w:cs="宋体"/>
          <w:sz w:val="24"/>
          <w:szCs w:val="24"/>
        </w:rPr>
        <w:t xml:space="preserve"> </w:t>
      </w:r>
      <w:r>
        <w:rPr>
          <w:rFonts w:ascii="宋体" w:hAnsi="宋体" w:eastAsia="宋体" w:cs="宋体"/>
          <w:spacing w:val="-4"/>
          <w:sz w:val="24"/>
          <w:szCs w:val="24"/>
        </w:rPr>
        <w:t>工作等级。风险潜势为</w:t>
      </w:r>
      <w:r>
        <w:rPr>
          <w:rFonts w:ascii="Times New Roman" w:hAnsi="Times New Roman" w:eastAsia="Times New Roman" w:cs="Times New Roman"/>
          <w:spacing w:val="-4"/>
          <w:sz w:val="24"/>
          <w:szCs w:val="24"/>
        </w:rPr>
        <w:t>Ⅳ</w:t>
      </w:r>
      <w:r>
        <w:rPr>
          <w:rFonts w:ascii="宋体" w:hAnsi="宋体" w:eastAsia="宋体" w:cs="宋体"/>
          <w:spacing w:val="-4"/>
          <w:sz w:val="24"/>
          <w:szCs w:val="24"/>
        </w:rPr>
        <w:t>及以上，进行一级评价；风险潜势为</w:t>
      </w:r>
      <w:r>
        <w:rPr>
          <w:rFonts w:ascii="Times New Roman" w:hAnsi="Times New Roman" w:eastAsia="Times New Roman" w:cs="Times New Roman"/>
          <w:spacing w:val="-4"/>
          <w:sz w:val="24"/>
          <w:szCs w:val="24"/>
        </w:rPr>
        <w:t>Ⅲ</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w:t>
      </w:r>
      <w:r>
        <w:rPr>
          <w:rFonts w:ascii="宋体" w:hAnsi="宋体" w:eastAsia="宋体" w:cs="宋体"/>
          <w:spacing w:val="54"/>
          <w:sz w:val="24"/>
          <w:szCs w:val="24"/>
        </w:rPr>
        <w:t xml:space="preserve"> </w:t>
      </w:r>
      <w:r>
        <w:rPr>
          <w:rFonts w:ascii="宋体" w:hAnsi="宋体" w:eastAsia="宋体" w:cs="宋体"/>
          <w:spacing w:val="-4"/>
          <w:sz w:val="24"/>
          <w:szCs w:val="24"/>
        </w:rPr>
        <w:t>进行二级评价；风</w:t>
      </w:r>
      <w:r>
        <w:rPr>
          <w:rFonts w:ascii="宋体" w:hAnsi="宋体" w:eastAsia="宋体" w:cs="宋体"/>
          <w:sz w:val="24"/>
          <w:szCs w:val="24"/>
        </w:rPr>
        <w:t xml:space="preserve"> </w:t>
      </w:r>
      <w:r>
        <w:rPr>
          <w:rFonts w:ascii="宋体" w:hAnsi="宋体" w:eastAsia="宋体" w:cs="宋体"/>
          <w:spacing w:val="-7"/>
          <w:sz w:val="24"/>
          <w:szCs w:val="24"/>
        </w:rPr>
        <w:t>险潜势为</w:t>
      </w:r>
      <w:r>
        <w:rPr>
          <w:rFonts w:ascii="Times New Roman" w:hAnsi="Times New Roman" w:eastAsia="Times New Roman" w:cs="Times New Roman"/>
          <w:spacing w:val="-7"/>
          <w:sz w:val="24"/>
          <w:szCs w:val="24"/>
        </w:rPr>
        <w:t>Ⅱ</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w:t>
      </w:r>
      <w:r>
        <w:rPr>
          <w:rFonts w:ascii="宋体" w:hAnsi="宋体" w:eastAsia="宋体" w:cs="宋体"/>
          <w:spacing w:val="61"/>
          <w:sz w:val="24"/>
          <w:szCs w:val="24"/>
        </w:rPr>
        <w:t xml:space="preserve"> </w:t>
      </w:r>
      <w:r>
        <w:rPr>
          <w:rFonts w:ascii="宋体" w:hAnsi="宋体" w:eastAsia="宋体" w:cs="宋体"/>
          <w:spacing w:val="-7"/>
          <w:sz w:val="24"/>
          <w:szCs w:val="24"/>
        </w:rPr>
        <w:t>进行三级评价；风险潜势为</w:t>
      </w:r>
      <w:r>
        <w:rPr>
          <w:rFonts w:ascii="Times New Roman" w:hAnsi="Times New Roman" w:eastAsia="Times New Roman" w:cs="Times New Roman"/>
          <w:spacing w:val="-7"/>
          <w:sz w:val="24"/>
          <w:szCs w:val="24"/>
        </w:rPr>
        <w:t>Ⅰ</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w:t>
      </w:r>
      <w:r>
        <w:rPr>
          <w:rFonts w:ascii="宋体" w:hAnsi="宋体" w:eastAsia="宋体" w:cs="宋体"/>
          <w:spacing w:val="65"/>
          <w:sz w:val="24"/>
          <w:szCs w:val="24"/>
        </w:rPr>
        <w:t xml:space="preserve"> </w:t>
      </w:r>
      <w:r>
        <w:rPr>
          <w:rFonts w:ascii="宋体" w:hAnsi="宋体" w:eastAsia="宋体" w:cs="宋体"/>
          <w:spacing w:val="-7"/>
          <w:sz w:val="24"/>
          <w:szCs w:val="24"/>
        </w:rPr>
        <w:t>可开展简单分析。</w:t>
      </w:r>
    </w:p>
    <w:p w14:paraId="0B08D579">
      <w:pPr>
        <w:spacing w:before="118" w:line="218" w:lineRule="auto"/>
        <w:ind w:left="2591"/>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b/>
          <w:bCs/>
          <w:spacing w:val="-3"/>
          <w:sz w:val="24"/>
          <w:szCs w:val="24"/>
        </w:rPr>
        <w:t xml:space="preserve">14    </w:t>
      </w:r>
      <w:r>
        <w:rPr>
          <w:rFonts w:ascii="宋体" w:hAnsi="宋体" w:eastAsia="宋体" w:cs="宋体"/>
          <w:b/>
          <w:bCs/>
          <w:spacing w:val="-3"/>
          <w:sz w:val="24"/>
          <w:szCs w:val="24"/>
        </w:rPr>
        <w:t>环境风险评价工作等级划分</w:t>
      </w:r>
    </w:p>
    <w:p w14:paraId="39CC401F">
      <w:pPr>
        <w:spacing w:line="147" w:lineRule="exact"/>
      </w:pPr>
    </w:p>
    <w:tbl>
      <w:tblPr>
        <w:tblStyle w:val="5"/>
        <w:tblW w:w="88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7"/>
        <w:gridCol w:w="1768"/>
        <w:gridCol w:w="1768"/>
        <w:gridCol w:w="1768"/>
        <w:gridCol w:w="1767"/>
      </w:tblGrid>
      <w:tr w14:paraId="329EE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767" w:type="dxa"/>
            <w:tcBorders>
              <w:top w:val="single" w:color="000000" w:sz="10" w:space="0"/>
              <w:left w:val="nil"/>
            </w:tcBorders>
            <w:vAlign w:val="top"/>
          </w:tcPr>
          <w:p w14:paraId="61560D60">
            <w:pPr>
              <w:pStyle w:val="6"/>
              <w:spacing w:before="110" w:line="228" w:lineRule="auto"/>
              <w:ind w:left="260"/>
              <w:rPr>
                <w:sz w:val="20"/>
                <w:szCs w:val="20"/>
              </w:rPr>
            </w:pPr>
            <w:r>
              <w:rPr>
                <w:spacing w:val="8"/>
                <w:sz w:val="20"/>
                <w:szCs w:val="20"/>
              </w:rPr>
              <w:t>环境风险潜势</w:t>
            </w:r>
          </w:p>
        </w:tc>
        <w:tc>
          <w:tcPr>
            <w:tcW w:w="1768" w:type="dxa"/>
            <w:tcBorders>
              <w:top w:val="single" w:color="000000" w:sz="10" w:space="0"/>
            </w:tcBorders>
            <w:vAlign w:val="top"/>
          </w:tcPr>
          <w:p w14:paraId="328F9B8F">
            <w:pPr>
              <w:pStyle w:val="6"/>
              <w:spacing w:before="140" w:line="192"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Ⅳ</w:t>
            </w:r>
            <w:r>
              <w:rPr>
                <w:rFonts w:ascii="Times New Roman" w:hAnsi="Times New Roman" w:eastAsia="Times New Roman" w:cs="Times New Roman"/>
                <w:spacing w:val="-27"/>
                <w:sz w:val="20"/>
                <w:szCs w:val="20"/>
              </w:rPr>
              <w:t xml:space="preserve"> </w:t>
            </w:r>
            <w:r>
              <w:rPr>
                <w:spacing w:val="1"/>
                <w:sz w:val="20"/>
                <w:szCs w:val="20"/>
              </w:rPr>
              <w:t>、</w:t>
            </w:r>
            <w:r>
              <w:rPr>
                <w:rFonts w:ascii="Times New Roman" w:hAnsi="Times New Roman" w:eastAsia="Times New Roman" w:cs="Times New Roman"/>
                <w:spacing w:val="1"/>
                <w:sz w:val="20"/>
                <w:szCs w:val="20"/>
              </w:rPr>
              <w:t>Ⅳ</w:t>
            </w:r>
            <w:r>
              <w:rPr>
                <w:rFonts w:ascii="Times New Roman" w:hAnsi="Times New Roman" w:eastAsia="Times New Roman" w:cs="Times New Roman"/>
                <w:spacing w:val="1"/>
                <w:position w:val="5"/>
                <w:sz w:val="13"/>
                <w:szCs w:val="13"/>
              </w:rPr>
              <w:t>+</w:t>
            </w:r>
          </w:p>
        </w:tc>
        <w:tc>
          <w:tcPr>
            <w:tcW w:w="1768" w:type="dxa"/>
            <w:tcBorders>
              <w:top w:val="single" w:color="000000" w:sz="10" w:space="0"/>
            </w:tcBorders>
            <w:vAlign w:val="top"/>
          </w:tcPr>
          <w:p w14:paraId="0418B335">
            <w:pPr>
              <w:spacing w:before="150" w:line="192" w:lineRule="auto"/>
              <w:ind w:left="7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768" w:type="dxa"/>
            <w:tcBorders>
              <w:top w:val="single" w:color="000000" w:sz="10" w:space="0"/>
            </w:tcBorders>
            <w:vAlign w:val="top"/>
          </w:tcPr>
          <w:p w14:paraId="651E61A1">
            <w:pPr>
              <w:spacing w:before="150" w:line="192" w:lineRule="auto"/>
              <w:ind w:left="817"/>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767" w:type="dxa"/>
            <w:tcBorders>
              <w:top w:val="single" w:color="000000" w:sz="10" w:space="0"/>
              <w:right w:val="nil"/>
            </w:tcBorders>
            <w:vAlign w:val="top"/>
          </w:tcPr>
          <w:p w14:paraId="152B7A0B">
            <w:pPr>
              <w:spacing w:before="150" w:line="192" w:lineRule="auto"/>
              <w:ind w:left="852"/>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27233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67" w:type="dxa"/>
            <w:tcBorders>
              <w:left w:val="nil"/>
            </w:tcBorders>
            <w:vAlign w:val="top"/>
          </w:tcPr>
          <w:p w14:paraId="34AFE59B">
            <w:pPr>
              <w:pStyle w:val="6"/>
              <w:spacing w:before="94" w:line="226" w:lineRule="auto"/>
              <w:ind w:left="259"/>
              <w:rPr>
                <w:sz w:val="20"/>
                <w:szCs w:val="20"/>
              </w:rPr>
            </w:pPr>
            <w:r>
              <w:rPr>
                <w:spacing w:val="8"/>
                <w:sz w:val="20"/>
                <w:szCs w:val="20"/>
              </w:rPr>
              <w:t>评价工作等级</w:t>
            </w:r>
          </w:p>
        </w:tc>
        <w:tc>
          <w:tcPr>
            <w:tcW w:w="1768" w:type="dxa"/>
            <w:vAlign w:val="top"/>
          </w:tcPr>
          <w:p w14:paraId="4FABFEB7">
            <w:pPr>
              <w:pStyle w:val="6"/>
              <w:spacing w:before="172" w:line="156" w:lineRule="exact"/>
              <w:ind w:left="788"/>
              <w:rPr>
                <w:sz w:val="20"/>
                <w:szCs w:val="20"/>
              </w:rPr>
            </w:pPr>
            <w:r>
              <w:rPr>
                <w:position w:val="-4"/>
                <w:sz w:val="20"/>
                <w:szCs w:val="20"/>
              </w:rPr>
              <w:t>一</w:t>
            </w:r>
          </w:p>
        </w:tc>
        <w:tc>
          <w:tcPr>
            <w:tcW w:w="1768" w:type="dxa"/>
            <w:vAlign w:val="top"/>
          </w:tcPr>
          <w:p w14:paraId="1F45D2D5">
            <w:pPr>
              <w:pStyle w:val="6"/>
              <w:spacing w:before="133" w:line="183" w:lineRule="auto"/>
              <w:ind w:left="787"/>
              <w:rPr>
                <w:sz w:val="20"/>
                <w:szCs w:val="20"/>
              </w:rPr>
            </w:pPr>
            <w:r>
              <w:rPr>
                <w:sz w:val="20"/>
                <w:szCs w:val="20"/>
              </w:rPr>
              <w:t>二</w:t>
            </w:r>
          </w:p>
        </w:tc>
        <w:tc>
          <w:tcPr>
            <w:tcW w:w="1768" w:type="dxa"/>
            <w:vAlign w:val="top"/>
          </w:tcPr>
          <w:p w14:paraId="66E221E9">
            <w:pPr>
              <w:pStyle w:val="6"/>
              <w:spacing w:before="94" w:line="265" w:lineRule="exact"/>
              <w:ind w:left="784"/>
              <w:rPr>
                <w:sz w:val="20"/>
                <w:szCs w:val="20"/>
              </w:rPr>
            </w:pPr>
            <w:r>
              <w:rPr>
                <w:position w:val="1"/>
                <w:sz w:val="20"/>
                <w:szCs w:val="20"/>
              </w:rPr>
              <w:t>三</w:t>
            </w:r>
          </w:p>
        </w:tc>
        <w:tc>
          <w:tcPr>
            <w:tcW w:w="1767" w:type="dxa"/>
            <w:tcBorders>
              <w:right w:val="nil"/>
            </w:tcBorders>
            <w:vAlign w:val="top"/>
          </w:tcPr>
          <w:p w14:paraId="137A7E52">
            <w:pPr>
              <w:pStyle w:val="6"/>
              <w:spacing w:before="94" w:line="227" w:lineRule="auto"/>
              <w:ind w:left="417"/>
              <w:rPr>
                <w:rFonts w:ascii="Times New Roman" w:hAnsi="Times New Roman" w:eastAsia="Times New Roman" w:cs="Times New Roman"/>
                <w:sz w:val="13"/>
                <w:szCs w:val="13"/>
              </w:rPr>
            </w:pPr>
            <w:r>
              <w:rPr>
                <w:spacing w:val="5"/>
                <w:sz w:val="20"/>
                <w:szCs w:val="20"/>
              </w:rPr>
              <w:t>简单分析</w:t>
            </w:r>
            <w:r>
              <w:rPr>
                <w:spacing w:val="-43"/>
                <w:sz w:val="20"/>
                <w:szCs w:val="20"/>
              </w:rPr>
              <w:t xml:space="preserve"> </w:t>
            </w:r>
            <w:r>
              <w:rPr>
                <w:rFonts w:ascii="Times New Roman" w:hAnsi="Times New Roman" w:eastAsia="Times New Roman" w:cs="Times New Roman"/>
                <w:spacing w:val="5"/>
                <w:position w:val="6"/>
                <w:sz w:val="13"/>
                <w:szCs w:val="13"/>
              </w:rPr>
              <w:t>a</w:t>
            </w:r>
          </w:p>
        </w:tc>
      </w:tr>
    </w:tbl>
    <w:p w14:paraId="77D22997">
      <w:pPr>
        <w:spacing w:before="131" w:line="252" w:lineRule="auto"/>
        <w:ind w:left="121" w:right="174" w:hanging="5"/>
        <w:rPr>
          <w:rFonts w:ascii="宋体" w:hAnsi="宋体" w:eastAsia="宋体" w:cs="宋体"/>
          <w:sz w:val="20"/>
          <w:szCs w:val="20"/>
        </w:rPr>
      </w:pPr>
      <w:r>
        <w:rPr>
          <w:rFonts w:ascii="Times New Roman" w:hAnsi="Times New Roman" w:eastAsia="Times New Roman" w:cs="Times New Roman"/>
          <w:spacing w:val="11"/>
          <w:sz w:val="20"/>
          <w:szCs w:val="20"/>
        </w:rPr>
        <w:t xml:space="preserve">a </w:t>
      </w:r>
      <w:r>
        <w:rPr>
          <w:rFonts w:ascii="宋体" w:hAnsi="宋体" w:eastAsia="宋体" w:cs="宋体"/>
          <w:spacing w:val="11"/>
          <w:sz w:val="20"/>
          <w:szCs w:val="20"/>
        </w:rPr>
        <w:t xml:space="preserve">是相对于详细评价工作内容而言，在描述危险物质、环境影响途径、环境危害后果、风险防 </w:t>
      </w:r>
      <w:r>
        <w:rPr>
          <w:rFonts w:ascii="宋体" w:hAnsi="宋体" w:eastAsia="宋体" w:cs="宋体"/>
          <w:spacing w:val="8"/>
          <w:sz w:val="20"/>
          <w:szCs w:val="20"/>
        </w:rPr>
        <w:t>范措施等方面给出定性的说明。</w:t>
      </w:r>
    </w:p>
    <w:p w14:paraId="2A6CA041">
      <w:pPr>
        <w:spacing w:before="66" w:line="29" w:lineRule="exact"/>
      </w:pPr>
      <w:r>
        <w:pict>
          <v:shape id="_x0000_s1048" o:spid="_x0000_s1048" style="height:1.45pt;width:441.95pt;" filled="f" stroked="t" coordsize="8839,29" path="m0,14l8838,14e">
            <v:fill on="f" focussize="0,0"/>
            <v:stroke weight="1.44pt" color="#000000" miterlimit="2" joinstyle="bevel"/>
            <v:imagedata o:title=""/>
            <o:lock v:ext="edit"/>
            <w10:wrap type="none"/>
            <w10:anchorlock/>
          </v:shape>
        </w:pict>
      </w:r>
    </w:p>
    <w:p w14:paraId="18464CD9">
      <w:pPr>
        <w:spacing w:before="276" w:line="360" w:lineRule="auto"/>
        <w:ind w:left="12" w:right="115" w:firstLine="476"/>
        <w:rPr>
          <w:rFonts w:ascii="宋体" w:hAnsi="宋体" w:eastAsia="宋体" w:cs="宋体"/>
          <w:sz w:val="24"/>
          <w:szCs w:val="24"/>
        </w:rPr>
      </w:pPr>
      <w:r>
        <w:rPr>
          <w:rFonts w:ascii="宋体" w:hAnsi="宋体" w:eastAsia="宋体" w:cs="宋体"/>
          <w:spacing w:val="-5"/>
          <w:sz w:val="24"/>
          <w:szCs w:val="24"/>
        </w:rPr>
        <w:t>本项目大气环境风险潜势为</w:t>
      </w:r>
      <w:r>
        <w:rPr>
          <w:rFonts w:ascii="Times New Roman" w:hAnsi="Times New Roman" w:eastAsia="Times New Roman" w:cs="Times New Roman"/>
          <w:spacing w:val="-5"/>
          <w:sz w:val="20"/>
          <w:szCs w:val="20"/>
        </w:rPr>
        <w:t>Ⅲ</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w:t>
      </w:r>
      <w:r>
        <w:rPr>
          <w:rFonts w:ascii="宋体" w:hAnsi="宋体" w:eastAsia="宋体" w:cs="宋体"/>
          <w:spacing w:val="60"/>
          <w:sz w:val="20"/>
          <w:szCs w:val="20"/>
        </w:rPr>
        <w:t xml:space="preserve"> </w:t>
      </w:r>
      <w:r>
        <w:rPr>
          <w:rFonts w:ascii="宋体" w:hAnsi="宋体" w:eastAsia="宋体" w:cs="宋体"/>
          <w:spacing w:val="-5"/>
          <w:sz w:val="24"/>
          <w:szCs w:val="24"/>
        </w:rPr>
        <w:t>评价工作等级为二级；地表水环境风险潜势为</w:t>
      </w:r>
      <w:r>
        <w:rPr>
          <w:rFonts w:ascii="Times New Roman" w:hAnsi="Times New Roman" w:eastAsia="Times New Roman" w:cs="Times New Roman"/>
          <w:spacing w:val="-5"/>
          <w:sz w:val="24"/>
          <w:szCs w:val="24"/>
        </w:rPr>
        <w:t>Ⅱ</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则评价工作等级为三级；地下水环境风险潜势为</w:t>
      </w:r>
      <w:r>
        <w:rPr>
          <w:rFonts w:ascii="Times New Roman" w:hAnsi="Times New Roman" w:eastAsia="Times New Roman" w:cs="Times New Roman"/>
          <w:spacing w:val="-3"/>
          <w:sz w:val="24"/>
          <w:szCs w:val="24"/>
        </w:rPr>
        <w:t>Ⅰ</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w:t>
      </w:r>
      <w:r>
        <w:rPr>
          <w:rFonts w:ascii="宋体" w:hAnsi="宋体" w:eastAsia="宋体" w:cs="宋体"/>
          <w:spacing w:val="68"/>
          <w:sz w:val="24"/>
          <w:szCs w:val="24"/>
        </w:rPr>
        <w:t xml:space="preserve"> </w:t>
      </w:r>
      <w:r>
        <w:rPr>
          <w:rFonts w:ascii="宋体" w:hAnsi="宋体" w:eastAsia="宋体" w:cs="宋体"/>
          <w:spacing w:val="-3"/>
          <w:sz w:val="24"/>
          <w:szCs w:val="24"/>
        </w:rPr>
        <w:t>则评价工作等级为简</w:t>
      </w:r>
      <w:r>
        <w:rPr>
          <w:rFonts w:ascii="宋体" w:hAnsi="宋体" w:eastAsia="宋体" w:cs="宋体"/>
          <w:spacing w:val="-4"/>
          <w:sz w:val="24"/>
          <w:szCs w:val="24"/>
        </w:rPr>
        <w:t>单分析。</w:t>
      </w:r>
    </w:p>
    <w:p w14:paraId="25EE3189">
      <w:pPr>
        <w:spacing w:before="1" w:line="217" w:lineRule="auto"/>
        <w:ind w:left="3"/>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评价范围的确定</w:t>
      </w:r>
    </w:p>
    <w:p w14:paraId="77EC40B6">
      <w:pPr>
        <w:spacing w:before="183" w:line="220" w:lineRule="auto"/>
        <w:ind w:left="49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）大气环境</w:t>
      </w:r>
    </w:p>
    <w:p w14:paraId="76E3F34E">
      <w:pPr>
        <w:spacing w:before="181" w:line="359" w:lineRule="auto"/>
        <w:ind w:left="11" w:right="61" w:firstLine="476"/>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pacing w:val="-1"/>
          <w:sz w:val="24"/>
          <w:szCs w:val="24"/>
        </w:rPr>
        <w:t>HJ619-2018</w:t>
      </w:r>
      <w:r>
        <w:rPr>
          <w:rFonts w:ascii="宋体" w:hAnsi="宋体" w:eastAsia="宋体" w:cs="宋体"/>
          <w:spacing w:val="1"/>
          <w:sz w:val="24"/>
          <w:szCs w:val="24"/>
        </w:rPr>
        <w:t>），</w:t>
      </w:r>
      <w:r>
        <w:rPr>
          <w:rFonts w:ascii="宋体" w:hAnsi="宋体" w:eastAsia="宋体" w:cs="宋体"/>
          <w:spacing w:val="-1"/>
          <w:sz w:val="24"/>
          <w:szCs w:val="24"/>
        </w:rPr>
        <w:t>大气环境风险评价范</w:t>
      </w:r>
      <w:r>
        <w:rPr>
          <w:rFonts w:ascii="宋体" w:hAnsi="宋体" w:eastAsia="宋体" w:cs="宋体"/>
          <w:sz w:val="24"/>
          <w:szCs w:val="24"/>
        </w:rPr>
        <w:t xml:space="preserve"> </w:t>
      </w:r>
      <w:r>
        <w:rPr>
          <w:rFonts w:ascii="宋体" w:hAnsi="宋体" w:eastAsia="宋体" w:cs="宋体"/>
          <w:spacing w:val="-2"/>
          <w:sz w:val="24"/>
          <w:szCs w:val="24"/>
        </w:rPr>
        <w:t>围：一级、二级评价距建设项目边界一般不低于</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5km</w:t>
      </w:r>
      <w:r>
        <w:rPr>
          <w:rFonts w:ascii="宋体" w:hAnsi="宋体" w:eastAsia="宋体" w:cs="宋体"/>
          <w:spacing w:val="-2"/>
          <w:sz w:val="24"/>
          <w:szCs w:val="24"/>
        </w:rPr>
        <w:t>；三级评价距建设项目边界一般</w:t>
      </w:r>
      <w:r>
        <w:rPr>
          <w:rFonts w:ascii="宋体" w:hAnsi="宋体" w:eastAsia="宋体" w:cs="宋体"/>
          <w:sz w:val="24"/>
          <w:szCs w:val="24"/>
        </w:rPr>
        <w:t xml:space="preserve"> 不低于</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3km</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，本项目风险评价工作等级为二级评价，设置</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5km</w:t>
      </w:r>
      <w:r>
        <w:rPr>
          <w:rFonts w:ascii="宋体" w:hAnsi="宋体" w:eastAsia="宋体" w:cs="宋体"/>
          <w:sz w:val="24"/>
          <w:szCs w:val="24"/>
        </w:rPr>
        <w:t>风险</w:t>
      </w:r>
      <w:r>
        <w:rPr>
          <w:rFonts w:ascii="宋体" w:hAnsi="宋体" w:eastAsia="宋体" w:cs="宋体"/>
          <w:spacing w:val="-1"/>
          <w:sz w:val="24"/>
          <w:szCs w:val="24"/>
        </w:rPr>
        <w:t>评价范围。</w:t>
      </w:r>
    </w:p>
    <w:p w14:paraId="679F816B">
      <w:pPr>
        <w:spacing w:line="219" w:lineRule="auto"/>
        <w:ind w:left="49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）地表水环境</w:t>
      </w:r>
    </w:p>
    <w:p w14:paraId="0749BA06">
      <w:pPr>
        <w:spacing w:before="182" w:line="359" w:lineRule="auto"/>
        <w:ind w:left="7" w:firstLine="482"/>
        <w:rPr>
          <w:rFonts w:ascii="宋体" w:hAnsi="宋体" w:eastAsia="宋体" w:cs="宋体"/>
          <w:sz w:val="24"/>
          <w:szCs w:val="24"/>
        </w:rPr>
      </w:pPr>
      <w:r>
        <w:rPr>
          <w:rFonts w:ascii="宋体" w:hAnsi="宋体" w:eastAsia="宋体" w:cs="宋体"/>
          <w:spacing w:val="-6"/>
          <w:sz w:val="24"/>
          <w:szCs w:val="24"/>
        </w:rPr>
        <w:t>水环境等评价范围：项目废水排入自建废水站，经处理</w:t>
      </w:r>
      <w:r>
        <w:rPr>
          <w:rFonts w:ascii="宋体" w:hAnsi="宋体" w:eastAsia="宋体" w:cs="宋体"/>
          <w:spacing w:val="-7"/>
          <w:sz w:val="24"/>
          <w:szCs w:val="24"/>
        </w:rPr>
        <w:t>达标后排入市政污水管网，</w:t>
      </w:r>
      <w:r>
        <w:rPr>
          <w:rFonts w:ascii="宋体" w:hAnsi="宋体" w:eastAsia="宋体" w:cs="宋体"/>
          <w:sz w:val="24"/>
          <w:szCs w:val="24"/>
        </w:rPr>
        <w:t xml:space="preserve"> </w:t>
      </w:r>
      <w:r>
        <w:rPr>
          <w:rFonts w:ascii="宋体" w:hAnsi="宋体" w:eastAsia="宋体" w:cs="宋体"/>
          <w:spacing w:val="-1"/>
          <w:sz w:val="24"/>
          <w:szCs w:val="24"/>
        </w:rPr>
        <w:t>汇入可塘镇污水处理厂，尾水最终排入东溪。根据</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HJ2.3</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中对评价</w:t>
      </w:r>
      <w:r>
        <w:rPr>
          <w:rFonts w:ascii="宋体" w:hAnsi="宋体" w:eastAsia="宋体" w:cs="宋体"/>
          <w:spacing w:val="-2"/>
          <w:sz w:val="24"/>
          <w:szCs w:val="24"/>
        </w:rPr>
        <w:t>范围的确定，需分</w:t>
      </w:r>
      <w:r>
        <w:rPr>
          <w:rFonts w:ascii="宋体" w:hAnsi="宋体" w:eastAsia="宋体" w:cs="宋体"/>
          <w:sz w:val="24"/>
          <w:szCs w:val="24"/>
        </w:rPr>
        <w:t xml:space="preserve"> </w:t>
      </w:r>
      <w:r>
        <w:rPr>
          <w:rFonts w:ascii="宋体" w:hAnsi="宋体" w:eastAsia="宋体" w:cs="宋体"/>
          <w:spacing w:val="-1"/>
          <w:sz w:val="24"/>
          <w:szCs w:val="24"/>
        </w:rPr>
        <w:t>析满足其依托污水处理设施环境可行性的要求。</w:t>
      </w:r>
    </w:p>
    <w:p w14:paraId="70CE4B70">
      <w:pPr>
        <w:spacing w:before="1" w:line="219" w:lineRule="auto"/>
        <w:ind w:left="49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）地下水环境</w:t>
      </w:r>
    </w:p>
    <w:p w14:paraId="4FACC69B">
      <w:pPr>
        <w:spacing w:before="182" w:line="359" w:lineRule="auto"/>
        <w:ind w:left="11" w:right="61" w:firstLine="476"/>
        <w:rPr>
          <w:rFonts w:ascii="宋体" w:hAnsi="宋体" w:eastAsia="宋体" w:cs="宋体"/>
          <w:sz w:val="24"/>
          <w:szCs w:val="24"/>
        </w:rPr>
      </w:pPr>
      <w:r>
        <w:rPr>
          <w:rFonts w:ascii="宋体" w:hAnsi="宋体" w:eastAsia="宋体" w:cs="宋体"/>
          <w:spacing w:val="-1"/>
          <w:sz w:val="24"/>
          <w:szCs w:val="24"/>
        </w:rPr>
        <w:t>地下水环境评价范围以项目用地红线为中心，</w:t>
      </w:r>
      <w:r>
        <w:rPr>
          <w:rFonts w:ascii="宋体" w:hAnsi="宋体" w:eastAsia="宋体" w:cs="宋体"/>
          <w:spacing w:val="-2"/>
          <w:sz w:val="24"/>
          <w:szCs w:val="24"/>
        </w:rPr>
        <w:t>向南和北分别延伸</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1.5km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，向西和</w:t>
      </w:r>
      <w:r>
        <w:rPr>
          <w:rFonts w:ascii="宋体" w:hAnsi="宋体" w:eastAsia="宋体" w:cs="宋体"/>
          <w:sz w:val="24"/>
          <w:szCs w:val="24"/>
        </w:rPr>
        <w:t xml:space="preserve"> </w:t>
      </w:r>
      <w:r>
        <w:rPr>
          <w:rFonts w:ascii="宋体" w:hAnsi="宋体" w:eastAsia="宋体" w:cs="宋体"/>
          <w:spacing w:val="-3"/>
          <w:sz w:val="24"/>
          <w:szCs w:val="24"/>
        </w:rPr>
        <w:t>东方向分别延伸</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1km</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，形成包括补给、径流和排泄区的调查区域，调查评价范围面积</w:t>
      </w:r>
      <w:r>
        <w:rPr>
          <w:rFonts w:ascii="宋体" w:hAnsi="宋体" w:eastAsia="宋体" w:cs="宋体"/>
          <w:sz w:val="24"/>
          <w:szCs w:val="24"/>
        </w:rPr>
        <w:t xml:space="preserve"> </w:t>
      </w:r>
      <w:r>
        <w:rPr>
          <w:rFonts w:ascii="宋体" w:hAnsi="宋体" w:eastAsia="宋体" w:cs="宋体"/>
          <w:spacing w:val="-2"/>
          <w:sz w:val="24"/>
          <w:szCs w:val="24"/>
        </w:rPr>
        <w:t>不小于</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6k</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㎡范围，满足三级预测范围的要求。</w:t>
      </w:r>
    </w:p>
    <w:p w14:paraId="6A91D315">
      <w:pPr>
        <w:spacing w:before="1" w:line="217" w:lineRule="auto"/>
        <w:ind w:left="491"/>
        <w:rPr>
          <w:rFonts w:ascii="宋体" w:hAnsi="宋体" w:eastAsia="宋体" w:cs="宋体"/>
          <w:sz w:val="24"/>
          <w:szCs w:val="24"/>
        </w:rPr>
      </w:pPr>
      <w:r>
        <w:rPr>
          <w:rFonts w:ascii="宋体" w:hAnsi="宋体" w:eastAsia="宋体" w:cs="宋体"/>
          <w:spacing w:val="-1"/>
          <w:sz w:val="24"/>
          <w:szCs w:val="24"/>
        </w:rPr>
        <w:t>项目风险评价范围详见附图十四：项目环境风险评价范围及保护目标示意图</w:t>
      </w:r>
    </w:p>
    <w:p w14:paraId="315A8EE6">
      <w:pPr>
        <w:spacing w:before="185" w:line="220" w:lineRule="auto"/>
        <w:ind w:left="2"/>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3  </w:t>
      </w:r>
      <w:r>
        <w:rPr>
          <w:rFonts w:ascii="宋体" w:hAnsi="宋体" w:eastAsia="宋体" w:cs="宋体"/>
          <w:b/>
          <w:bCs/>
          <w:spacing w:val="-2"/>
          <w:sz w:val="24"/>
          <w:szCs w:val="24"/>
        </w:rPr>
        <w:t>环境风险识别</w:t>
      </w:r>
    </w:p>
    <w:p w14:paraId="0720D0BC">
      <w:pPr>
        <w:spacing w:before="180" w:line="219" w:lineRule="auto"/>
        <w:ind w:left="2"/>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项目所在功能区环境风险因素</w:t>
      </w:r>
    </w:p>
    <w:p w14:paraId="32A715C4">
      <w:pPr>
        <w:spacing w:line="219" w:lineRule="auto"/>
        <w:rPr>
          <w:rFonts w:ascii="宋体" w:hAnsi="宋体" w:eastAsia="宋体" w:cs="宋体"/>
          <w:sz w:val="24"/>
          <w:szCs w:val="24"/>
        </w:rPr>
        <w:sectPr>
          <w:footerReference r:id="rId126" w:type="default"/>
          <w:pgSz w:w="11906" w:h="16839"/>
          <w:pgMar w:top="400" w:right="1469" w:bottom="1127" w:left="1533" w:header="0" w:footer="965" w:gutter="0"/>
          <w:cols w:space="720" w:num="1"/>
        </w:sectPr>
      </w:pPr>
    </w:p>
    <w:p w14:paraId="67451A3A">
      <w:pPr>
        <w:spacing w:line="249" w:lineRule="auto"/>
        <w:rPr>
          <w:rFonts w:ascii="Arial"/>
          <w:sz w:val="21"/>
        </w:rPr>
      </w:pPr>
    </w:p>
    <w:p w14:paraId="1C79874B">
      <w:pPr>
        <w:spacing w:line="250" w:lineRule="auto"/>
        <w:rPr>
          <w:rFonts w:ascii="Arial"/>
          <w:sz w:val="21"/>
        </w:rPr>
      </w:pPr>
    </w:p>
    <w:p w14:paraId="12F83B0E">
      <w:pPr>
        <w:spacing w:line="250" w:lineRule="auto"/>
        <w:rPr>
          <w:rFonts w:ascii="Arial"/>
          <w:sz w:val="21"/>
        </w:rPr>
      </w:pPr>
    </w:p>
    <w:p w14:paraId="4A63D91F">
      <w:pPr>
        <w:spacing w:line="250" w:lineRule="auto"/>
        <w:rPr>
          <w:rFonts w:ascii="Arial"/>
          <w:sz w:val="21"/>
        </w:rPr>
      </w:pPr>
    </w:p>
    <w:p w14:paraId="7007FAB9">
      <w:pPr>
        <w:spacing w:line="250" w:lineRule="auto"/>
        <w:rPr>
          <w:rFonts w:ascii="Arial"/>
          <w:sz w:val="21"/>
        </w:rPr>
      </w:pPr>
    </w:p>
    <w:p w14:paraId="7D86E05B">
      <w:pPr>
        <w:spacing w:before="78" w:line="359" w:lineRule="auto"/>
        <w:ind w:left="133" w:right="121" w:firstLine="481"/>
        <w:jc w:val="both"/>
        <w:rPr>
          <w:rFonts w:ascii="宋体" w:hAnsi="宋体" w:eastAsia="宋体" w:cs="宋体"/>
          <w:sz w:val="24"/>
          <w:szCs w:val="24"/>
        </w:rPr>
      </w:pPr>
      <w:r>
        <w:rPr>
          <w:rFonts w:ascii="宋体" w:hAnsi="宋体" w:eastAsia="宋体" w:cs="宋体"/>
          <w:spacing w:val="-1"/>
          <w:sz w:val="24"/>
          <w:szCs w:val="24"/>
        </w:rPr>
        <w:t>项目位于海丰县可塘镇圆山岭开发区，项目</w:t>
      </w:r>
      <w:r>
        <w:rPr>
          <w:rFonts w:ascii="宋体" w:hAnsi="宋体" w:eastAsia="宋体" w:cs="宋体"/>
          <w:spacing w:val="-2"/>
          <w:sz w:val="24"/>
          <w:szCs w:val="24"/>
        </w:rPr>
        <w:t>主要从事宝石加工，配套建设生产废</w:t>
      </w:r>
      <w:r>
        <w:rPr>
          <w:rFonts w:ascii="宋体" w:hAnsi="宋体" w:eastAsia="宋体" w:cs="宋体"/>
          <w:sz w:val="24"/>
          <w:szCs w:val="24"/>
        </w:rPr>
        <w:t xml:space="preserve"> </w:t>
      </w:r>
      <w:r>
        <w:rPr>
          <w:rFonts w:ascii="宋体" w:hAnsi="宋体" w:eastAsia="宋体" w:cs="宋体"/>
          <w:spacing w:val="-1"/>
          <w:sz w:val="24"/>
          <w:szCs w:val="24"/>
        </w:rPr>
        <w:t>水治理设施，不仅有利于政策管理，控制污染物排放标准</w:t>
      </w:r>
      <w:r>
        <w:rPr>
          <w:rFonts w:ascii="宋体" w:hAnsi="宋体" w:eastAsia="宋体" w:cs="宋体"/>
          <w:spacing w:val="-2"/>
          <w:sz w:val="24"/>
          <w:szCs w:val="24"/>
        </w:rPr>
        <w:t>，还有利于推动产业结构的</w:t>
      </w:r>
      <w:r>
        <w:rPr>
          <w:rFonts w:ascii="宋体" w:hAnsi="宋体" w:eastAsia="宋体" w:cs="宋体"/>
          <w:sz w:val="24"/>
          <w:szCs w:val="24"/>
        </w:rPr>
        <w:t xml:space="preserve"> </w:t>
      </w:r>
      <w:r>
        <w:rPr>
          <w:rFonts w:ascii="宋体" w:hAnsi="宋体" w:eastAsia="宋体" w:cs="宋体"/>
          <w:spacing w:val="-1"/>
          <w:sz w:val="24"/>
          <w:szCs w:val="24"/>
        </w:rPr>
        <w:t>调整、促进当地经济持续发展。</w:t>
      </w:r>
    </w:p>
    <w:p w14:paraId="00D6F429">
      <w:pPr>
        <w:spacing w:before="1" w:line="359" w:lineRule="auto"/>
        <w:ind w:left="149" w:right="60" w:firstLine="463"/>
        <w:jc w:val="both"/>
        <w:rPr>
          <w:rFonts w:ascii="宋体" w:hAnsi="宋体" w:eastAsia="宋体" w:cs="宋体"/>
          <w:sz w:val="24"/>
          <w:szCs w:val="24"/>
        </w:rPr>
      </w:pPr>
      <w:r>
        <w:rPr>
          <w:rFonts w:ascii="宋体" w:hAnsi="宋体" w:eastAsia="宋体" w:cs="宋体"/>
          <w:spacing w:val="-6"/>
          <w:sz w:val="24"/>
          <w:szCs w:val="24"/>
        </w:rPr>
        <w:t>风险因素分析：可能引发的环境风险事故有：项目使用的化</w:t>
      </w:r>
      <w:r>
        <w:rPr>
          <w:rFonts w:ascii="宋体" w:hAnsi="宋体" w:eastAsia="宋体" w:cs="宋体"/>
          <w:spacing w:val="-7"/>
          <w:sz w:val="24"/>
          <w:szCs w:val="24"/>
        </w:rPr>
        <w:t>学品发生泄漏和火灾，</w:t>
      </w:r>
      <w:r>
        <w:rPr>
          <w:rFonts w:ascii="宋体" w:hAnsi="宋体" w:eastAsia="宋体" w:cs="宋体"/>
          <w:sz w:val="24"/>
          <w:szCs w:val="24"/>
        </w:rPr>
        <w:t xml:space="preserve"> 引发的土壤、地下水和大气环境污染，以及雨水冲刷后进入附近水体的地表水</w:t>
      </w:r>
      <w:r>
        <w:rPr>
          <w:rFonts w:ascii="宋体" w:hAnsi="宋体" w:eastAsia="宋体" w:cs="宋体"/>
          <w:spacing w:val="-1"/>
          <w:sz w:val="24"/>
          <w:szCs w:val="24"/>
        </w:rPr>
        <w:t>污染。</w:t>
      </w:r>
      <w:r>
        <w:rPr>
          <w:rFonts w:ascii="宋体" w:hAnsi="宋体" w:eastAsia="宋体" w:cs="宋体"/>
          <w:sz w:val="24"/>
          <w:szCs w:val="24"/>
        </w:rPr>
        <w:t xml:space="preserve"> </w:t>
      </w:r>
      <w:r>
        <w:rPr>
          <w:rFonts w:ascii="宋体" w:hAnsi="宋体" w:eastAsia="宋体" w:cs="宋体"/>
          <w:spacing w:val="-2"/>
          <w:sz w:val="24"/>
          <w:szCs w:val="24"/>
        </w:rPr>
        <w:t>因此，产生的风险的可能性较大。</w:t>
      </w:r>
    </w:p>
    <w:p w14:paraId="4851BD25">
      <w:pPr>
        <w:spacing w:line="219" w:lineRule="auto"/>
        <w:ind w:left="125"/>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项目工程环境风险因素</w:t>
      </w:r>
    </w:p>
    <w:p w14:paraId="52CCF641">
      <w:pPr>
        <w:spacing w:before="181" w:line="359" w:lineRule="auto"/>
        <w:ind w:left="133" w:right="121" w:firstLine="481"/>
        <w:jc w:val="both"/>
        <w:rPr>
          <w:rFonts w:ascii="宋体" w:hAnsi="宋体" w:eastAsia="宋体" w:cs="宋体"/>
          <w:sz w:val="24"/>
          <w:szCs w:val="24"/>
        </w:rPr>
      </w:pPr>
      <w:r>
        <w:rPr>
          <w:rFonts w:ascii="宋体" w:hAnsi="宋体" w:eastAsia="宋体" w:cs="宋体"/>
          <w:spacing w:val="-1"/>
          <w:sz w:val="24"/>
          <w:szCs w:val="24"/>
        </w:rPr>
        <w:t>项目位于可塘镇，排水系统采用雨、污水分</w:t>
      </w:r>
      <w:r>
        <w:rPr>
          <w:rFonts w:ascii="宋体" w:hAnsi="宋体" w:eastAsia="宋体" w:cs="宋体"/>
          <w:spacing w:val="-2"/>
          <w:sz w:val="24"/>
          <w:szCs w:val="24"/>
        </w:rPr>
        <w:t>流制系统，雨水就近排入水体，项目</w:t>
      </w:r>
      <w:r>
        <w:rPr>
          <w:rFonts w:ascii="宋体" w:hAnsi="宋体" w:eastAsia="宋体" w:cs="宋体"/>
          <w:sz w:val="24"/>
          <w:szCs w:val="24"/>
        </w:rPr>
        <w:t xml:space="preserve"> </w:t>
      </w:r>
      <w:r>
        <w:rPr>
          <w:rFonts w:ascii="宋体" w:hAnsi="宋体" w:eastAsia="宋体" w:cs="宋体"/>
          <w:spacing w:val="-1"/>
          <w:sz w:val="24"/>
          <w:szCs w:val="24"/>
        </w:rPr>
        <w:t>生产废水、生活污水经处理达标后排入污水管网，最后汇</w:t>
      </w:r>
      <w:r>
        <w:rPr>
          <w:rFonts w:ascii="宋体" w:hAnsi="宋体" w:eastAsia="宋体" w:cs="宋体"/>
          <w:spacing w:val="-2"/>
          <w:sz w:val="24"/>
          <w:szCs w:val="24"/>
        </w:rPr>
        <w:t>入可塘镇污水处理厂。片区</w:t>
      </w:r>
      <w:r>
        <w:rPr>
          <w:rFonts w:ascii="宋体" w:hAnsi="宋体" w:eastAsia="宋体" w:cs="宋体"/>
          <w:sz w:val="24"/>
          <w:szCs w:val="24"/>
        </w:rPr>
        <w:t xml:space="preserve"> </w:t>
      </w:r>
      <w:r>
        <w:rPr>
          <w:rFonts w:ascii="宋体" w:hAnsi="宋体" w:eastAsia="宋体" w:cs="宋体"/>
          <w:spacing w:val="-1"/>
          <w:sz w:val="24"/>
          <w:szCs w:val="24"/>
        </w:rPr>
        <w:t>可能造成水环境污染的环节主要是：</w:t>
      </w:r>
    </w:p>
    <w:p w14:paraId="2561D700">
      <w:pPr>
        <w:spacing w:line="217" w:lineRule="auto"/>
        <w:ind w:left="610"/>
        <w:rPr>
          <w:rFonts w:ascii="宋体" w:hAnsi="宋体" w:eastAsia="宋体" w:cs="宋体"/>
          <w:sz w:val="24"/>
          <w:szCs w:val="24"/>
        </w:rPr>
      </w:pPr>
      <w:r>
        <w:rPr>
          <w:rFonts w:ascii="宋体" w:hAnsi="宋体" w:eastAsia="宋体" w:cs="宋体"/>
          <w:sz w:val="24"/>
          <w:szCs w:val="24"/>
        </w:rPr>
        <w:t>①项目废水治理措施故障，导致部分废水外</w:t>
      </w:r>
      <w:r>
        <w:rPr>
          <w:rFonts w:ascii="宋体" w:hAnsi="宋体" w:eastAsia="宋体" w:cs="宋体"/>
          <w:spacing w:val="-1"/>
          <w:sz w:val="24"/>
          <w:szCs w:val="24"/>
        </w:rPr>
        <w:t>溢，污染附近水环境。</w:t>
      </w:r>
    </w:p>
    <w:p w14:paraId="7917F4A2">
      <w:pPr>
        <w:spacing w:before="186" w:line="217" w:lineRule="auto"/>
        <w:ind w:left="609"/>
        <w:rPr>
          <w:rFonts w:ascii="宋体" w:hAnsi="宋体" w:eastAsia="宋体" w:cs="宋体"/>
          <w:sz w:val="24"/>
          <w:szCs w:val="24"/>
        </w:rPr>
      </w:pPr>
      <w:r>
        <w:rPr>
          <w:rFonts w:ascii="宋体" w:hAnsi="宋体" w:eastAsia="宋体" w:cs="宋体"/>
          <w:sz w:val="24"/>
          <w:szCs w:val="24"/>
        </w:rPr>
        <w:t>②易燃物质泄漏或引起燃烧，在消防救援时消防水排入下水</w:t>
      </w:r>
      <w:r>
        <w:rPr>
          <w:rFonts w:ascii="宋体" w:hAnsi="宋体" w:eastAsia="宋体" w:cs="宋体"/>
          <w:spacing w:val="-1"/>
          <w:sz w:val="24"/>
          <w:szCs w:val="24"/>
        </w:rPr>
        <w:t>道，造成局部污染。</w:t>
      </w:r>
    </w:p>
    <w:p w14:paraId="7EAB2AFC">
      <w:pPr>
        <w:spacing w:before="184" w:line="220" w:lineRule="auto"/>
        <w:ind w:left="125"/>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物质危险性识别</w:t>
      </w:r>
    </w:p>
    <w:p w14:paraId="1C4E54E1">
      <w:pPr>
        <w:spacing w:before="182" w:line="360" w:lineRule="auto"/>
        <w:ind w:left="132" w:right="121" w:firstLine="478"/>
        <w:rPr>
          <w:rFonts w:ascii="宋体" w:hAnsi="宋体" w:eastAsia="宋体" w:cs="宋体"/>
          <w:sz w:val="24"/>
          <w:szCs w:val="24"/>
        </w:rPr>
      </w:pPr>
      <w:r>
        <w:rPr>
          <w:rFonts w:ascii="宋体" w:hAnsi="宋体" w:eastAsia="宋体" w:cs="宋体"/>
          <w:spacing w:val="-1"/>
          <w:sz w:val="24"/>
          <w:szCs w:val="24"/>
        </w:rPr>
        <w:t>对废水处理过程中产生的主要物料进行识别：主要危险</w:t>
      </w:r>
      <w:r>
        <w:rPr>
          <w:rFonts w:ascii="宋体" w:hAnsi="宋体" w:eastAsia="宋体" w:cs="宋体"/>
          <w:spacing w:val="-2"/>
          <w:sz w:val="24"/>
          <w:szCs w:val="24"/>
        </w:rPr>
        <w:t>化学品为盐酸、草酸、氢</w:t>
      </w:r>
      <w:r>
        <w:rPr>
          <w:rFonts w:ascii="宋体" w:hAnsi="宋体" w:eastAsia="宋体" w:cs="宋体"/>
          <w:sz w:val="24"/>
          <w:szCs w:val="24"/>
        </w:rPr>
        <w:t xml:space="preserve"> </w:t>
      </w:r>
      <w:r>
        <w:rPr>
          <w:rFonts w:ascii="宋体" w:hAnsi="宋体" w:eastAsia="宋体" w:cs="宋体"/>
          <w:spacing w:val="-1"/>
          <w:sz w:val="24"/>
          <w:szCs w:val="24"/>
        </w:rPr>
        <w:t>氟酸等。《物质危险性标准》见下表。</w:t>
      </w:r>
    </w:p>
    <w:p w14:paraId="5478C9D6">
      <w:pPr>
        <w:spacing w:before="117" w:line="220" w:lineRule="auto"/>
        <w:ind w:left="3317"/>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3"/>
          <w:sz w:val="24"/>
          <w:szCs w:val="24"/>
        </w:rPr>
        <w:t xml:space="preserve">15    </w:t>
      </w:r>
      <w:r>
        <w:rPr>
          <w:rFonts w:ascii="宋体" w:hAnsi="宋体" w:eastAsia="宋体" w:cs="宋体"/>
          <w:b/>
          <w:bCs/>
          <w:spacing w:val="-3"/>
          <w:sz w:val="24"/>
          <w:szCs w:val="24"/>
        </w:rPr>
        <w:t>物质危险性标准</w:t>
      </w:r>
    </w:p>
    <w:p w14:paraId="7B7C2C54">
      <w:pPr>
        <w:spacing w:line="146" w:lineRule="exact"/>
      </w:pPr>
    </w:p>
    <w:tbl>
      <w:tblPr>
        <w:tblStyle w:val="5"/>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2"/>
        <w:gridCol w:w="650"/>
        <w:gridCol w:w="2471"/>
        <w:gridCol w:w="2718"/>
        <w:gridCol w:w="2401"/>
      </w:tblGrid>
      <w:tr w14:paraId="17B2B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492" w:type="dxa"/>
            <w:gridSpan w:val="2"/>
            <w:vAlign w:val="top"/>
          </w:tcPr>
          <w:p w14:paraId="0BA95494">
            <w:pPr>
              <w:pStyle w:val="6"/>
              <w:spacing w:before="281" w:line="228" w:lineRule="auto"/>
              <w:ind w:left="125"/>
              <w:rPr>
                <w:sz w:val="20"/>
                <w:szCs w:val="20"/>
              </w:rPr>
            </w:pPr>
            <w:r>
              <w:rPr>
                <w:spacing w:val="7"/>
                <w:sz w:val="20"/>
                <w:szCs w:val="20"/>
              </w:rPr>
              <w:t>危险物质分类</w:t>
            </w:r>
          </w:p>
        </w:tc>
        <w:tc>
          <w:tcPr>
            <w:tcW w:w="2471" w:type="dxa"/>
            <w:vAlign w:val="top"/>
          </w:tcPr>
          <w:p w14:paraId="24038096">
            <w:pPr>
              <w:pStyle w:val="6"/>
              <w:spacing w:before="281" w:line="221"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10"/>
                <w:position w:val="-1"/>
                <w:sz w:val="13"/>
                <w:szCs w:val="13"/>
              </w:rPr>
              <w:t>50</w:t>
            </w:r>
            <w:r>
              <w:rPr>
                <w:spacing w:val="10"/>
                <w:sz w:val="20"/>
                <w:szCs w:val="20"/>
              </w:rPr>
              <w:t>（大鼠经口）</w:t>
            </w:r>
            <w:r>
              <w:rPr>
                <w:rFonts w:ascii="Times New Roman" w:hAnsi="Times New Roman" w:eastAsia="Times New Roman" w:cs="Times New Roman"/>
                <w:sz w:val="20"/>
                <w:szCs w:val="20"/>
              </w:rPr>
              <w:t>mg</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kg</w:t>
            </w:r>
          </w:p>
        </w:tc>
        <w:tc>
          <w:tcPr>
            <w:tcW w:w="2718" w:type="dxa"/>
            <w:vAlign w:val="top"/>
          </w:tcPr>
          <w:p w14:paraId="0B017624">
            <w:pPr>
              <w:pStyle w:val="6"/>
              <w:spacing w:before="281" w:line="221"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10"/>
                <w:position w:val="-1"/>
                <w:sz w:val="13"/>
                <w:szCs w:val="13"/>
              </w:rPr>
              <w:t>50</w:t>
            </w:r>
            <w:r>
              <w:rPr>
                <w:spacing w:val="10"/>
                <w:sz w:val="20"/>
                <w:szCs w:val="20"/>
              </w:rPr>
              <w:t>（大鼠经皮）</w:t>
            </w:r>
            <w:r>
              <w:rPr>
                <w:rFonts w:ascii="Times New Roman" w:hAnsi="Times New Roman" w:eastAsia="Times New Roman" w:cs="Times New Roman"/>
                <w:sz w:val="20"/>
                <w:szCs w:val="20"/>
              </w:rPr>
              <w:t>mg</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kg</w:t>
            </w:r>
          </w:p>
        </w:tc>
        <w:tc>
          <w:tcPr>
            <w:tcW w:w="2401" w:type="dxa"/>
            <w:vAlign w:val="top"/>
          </w:tcPr>
          <w:p w14:paraId="290EFB5A">
            <w:pPr>
              <w:pStyle w:val="6"/>
              <w:spacing w:before="122" w:line="276" w:lineRule="auto"/>
              <w:ind w:left="668" w:right="107" w:hanging="559"/>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8"/>
                <w:position w:val="-1"/>
                <w:sz w:val="13"/>
                <w:szCs w:val="13"/>
              </w:rPr>
              <w:t>50</w:t>
            </w:r>
            <w:r>
              <w:rPr>
                <w:spacing w:val="8"/>
                <w:sz w:val="20"/>
                <w:szCs w:val="20"/>
              </w:rPr>
              <w:t>（小鼠吸入尘雾，</w:t>
            </w:r>
            <w:r>
              <w:rPr>
                <w:rFonts w:ascii="Times New Roman" w:hAnsi="Times New Roman" w:eastAsia="Times New Roman" w:cs="Times New Roman"/>
                <w:spacing w:val="8"/>
                <w:sz w:val="20"/>
                <w:szCs w:val="20"/>
              </w:rPr>
              <w:t>4</w:t>
            </w:r>
            <w:r>
              <w:rPr>
                <w:rFonts w:ascii="Times New Roman" w:hAnsi="Times New Roman" w:eastAsia="Times New Roman" w:cs="Times New Roman"/>
                <w:spacing w:val="4"/>
                <w:sz w:val="20"/>
                <w:szCs w:val="20"/>
              </w:rPr>
              <w:t xml:space="preserve"> </w:t>
            </w:r>
            <w:r>
              <w:rPr>
                <w:spacing w:val="7"/>
                <w:sz w:val="20"/>
                <w:szCs w:val="20"/>
              </w:rPr>
              <w:t>小时）</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/L</w:t>
            </w:r>
          </w:p>
        </w:tc>
      </w:tr>
      <w:tr w14:paraId="73662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842" w:type="dxa"/>
            <w:vMerge w:val="restart"/>
            <w:tcBorders>
              <w:bottom w:val="nil"/>
            </w:tcBorders>
            <w:vAlign w:val="top"/>
          </w:tcPr>
          <w:p w14:paraId="439FF40E">
            <w:pPr>
              <w:spacing w:line="339" w:lineRule="auto"/>
              <w:rPr>
                <w:rFonts w:ascii="Arial"/>
                <w:sz w:val="21"/>
              </w:rPr>
            </w:pPr>
          </w:p>
          <w:p w14:paraId="7FAD89BD">
            <w:pPr>
              <w:pStyle w:val="6"/>
              <w:spacing w:before="65" w:line="228" w:lineRule="auto"/>
              <w:ind w:left="217"/>
              <w:rPr>
                <w:sz w:val="20"/>
                <w:szCs w:val="20"/>
              </w:rPr>
            </w:pPr>
            <w:r>
              <w:rPr>
                <w:spacing w:val="4"/>
                <w:sz w:val="20"/>
                <w:szCs w:val="20"/>
              </w:rPr>
              <w:t>有毒</w:t>
            </w:r>
          </w:p>
          <w:p w14:paraId="480B91C6">
            <w:pPr>
              <w:pStyle w:val="6"/>
              <w:spacing w:before="72" w:line="228" w:lineRule="auto"/>
              <w:ind w:left="216"/>
              <w:rPr>
                <w:sz w:val="20"/>
                <w:szCs w:val="20"/>
              </w:rPr>
            </w:pPr>
            <w:r>
              <w:rPr>
                <w:spacing w:val="4"/>
                <w:sz w:val="20"/>
                <w:szCs w:val="20"/>
              </w:rPr>
              <w:t>物质</w:t>
            </w:r>
          </w:p>
        </w:tc>
        <w:tc>
          <w:tcPr>
            <w:tcW w:w="650" w:type="dxa"/>
            <w:vAlign w:val="top"/>
          </w:tcPr>
          <w:p w14:paraId="09C60A47">
            <w:pPr>
              <w:spacing w:before="16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1" w:type="dxa"/>
            <w:vAlign w:val="top"/>
          </w:tcPr>
          <w:p w14:paraId="5D1F1093">
            <w:pPr>
              <w:pStyle w:val="6"/>
              <w:spacing w:before="131" w:line="264" w:lineRule="exact"/>
              <w:ind w:left="1096"/>
              <w:rPr>
                <w:rFonts w:ascii="Times New Roman" w:hAnsi="Times New Roman" w:eastAsia="Times New Roman" w:cs="Times New Roman"/>
                <w:sz w:val="20"/>
                <w:szCs w:val="20"/>
              </w:rPr>
            </w:pPr>
            <w:r>
              <w:rPr>
                <w:spacing w:val="22"/>
                <w:w w:val="124"/>
                <w:position w:val="1"/>
                <w:sz w:val="20"/>
                <w:szCs w:val="20"/>
              </w:rPr>
              <w:t>&lt;</w:t>
            </w:r>
            <w:r>
              <w:rPr>
                <w:rFonts w:ascii="Times New Roman" w:hAnsi="Times New Roman" w:eastAsia="Times New Roman" w:cs="Times New Roman"/>
                <w:spacing w:val="22"/>
                <w:w w:val="124"/>
                <w:position w:val="1"/>
                <w:sz w:val="20"/>
                <w:szCs w:val="20"/>
              </w:rPr>
              <w:t>5</w:t>
            </w:r>
          </w:p>
        </w:tc>
        <w:tc>
          <w:tcPr>
            <w:tcW w:w="2718" w:type="dxa"/>
            <w:vAlign w:val="top"/>
          </w:tcPr>
          <w:p w14:paraId="2EC09FD8">
            <w:pPr>
              <w:pStyle w:val="6"/>
              <w:spacing w:before="131" w:line="264" w:lineRule="exact"/>
              <w:ind w:left="1169"/>
              <w:rPr>
                <w:rFonts w:ascii="Times New Roman" w:hAnsi="Times New Roman" w:eastAsia="Times New Roman" w:cs="Times New Roman"/>
                <w:sz w:val="20"/>
                <w:szCs w:val="20"/>
              </w:rPr>
            </w:pPr>
            <w:r>
              <w:rPr>
                <w:spacing w:val="19"/>
                <w:w w:val="113"/>
                <w:position w:val="1"/>
                <w:sz w:val="20"/>
                <w:szCs w:val="20"/>
              </w:rPr>
              <w:t>&lt;</w:t>
            </w:r>
            <w:r>
              <w:rPr>
                <w:rFonts w:ascii="Times New Roman" w:hAnsi="Times New Roman" w:eastAsia="Times New Roman" w:cs="Times New Roman"/>
                <w:spacing w:val="19"/>
                <w:w w:val="113"/>
                <w:position w:val="1"/>
                <w:sz w:val="20"/>
                <w:szCs w:val="20"/>
              </w:rPr>
              <w:t>50</w:t>
            </w:r>
          </w:p>
        </w:tc>
        <w:tc>
          <w:tcPr>
            <w:tcW w:w="2401" w:type="dxa"/>
            <w:vAlign w:val="top"/>
          </w:tcPr>
          <w:p w14:paraId="3A9E05E4">
            <w:pPr>
              <w:pStyle w:val="6"/>
              <w:spacing w:before="131" w:line="264" w:lineRule="exact"/>
              <w:ind w:left="933"/>
              <w:rPr>
                <w:rFonts w:ascii="Times New Roman" w:hAnsi="Times New Roman" w:eastAsia="Times New Roman" w:cs="Times New Roman"/>
                <w:sz w:val="20"/>
                <w:szCs w:val="20"/>
              </w:rPr>
            </w:pPr>
            <w:r>
              <w:rPr>
                <w:spacing w:val="20"/>
                <w:position w:val="1"/>
                <w:sz w:val="20"/>
                <w:szCs w:val="20"/>
              </w:rPr>
              <w:t>&lt;</w:t>
            </w:r>
            <w:r>
              <w:rPr>
                <w:rFonts w:ascii="Times New Roman" w:hAnsi="Times New Roman" w:eastAsia="Times New Roman" w:cs="Times New Roman"/>
                <w:spacing w:val="20"/>
                <w:position w:val="1"/>
                <w:sz w:val="20"/>
                <w:szCs w:val="20"/>
              </w:rPr>
              <w:t>0.05</w:t>
            </w:r>
          </w:p>
        </w:tc>
      </w:tr>
      <w:tr w14:paraId="1709B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842" w:type="dxa"/>
            <w:vMerge w:val="continue"/>
            <w:tcBorders>
              <w:top w:val="nil"/>
              <w:bottom w:val="nil"/>
            </w:tcBorders>
            <w:vAlign w:val="top"/>
          </w:tcPr>
          <w:p w14:paraId="7E0FD33E">
            <w:pPr>
              <w:rPr>
                <w:rFonts w:ascii="Arial"/>
                <w:sz w:val="21"/>
              </w:rPr>
            </w:pPr>
          </w:p>
        </w:tc>
        <w:tc>
          <w:tcPr>
            <w:tcW w:w="650" w:type="dxa"/>
            <w:vAlign w:val="top"/>
          </w:tcPr>
          <w:p w14:paraId="171EBB29">
            <w:pPr>
              <w:spacing w:before="16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1" w:type="dxa"/>
            <w:vAlign w:val="top"/>
          </w:tcPr>
          <w:p w14:paraId="4008E19E">
            <w:pPr>
              <w:pStyle w:val="6"/>
              <w:spacing w:before="129" w:line="236"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w:t>
            </w:r>
            <w:r>
              <w:rPr>
                <w:spacing w:val="6"/>
                <w:sz w:val="20"/>
                <w:szCs w:val="20"/>
              </w:rPr>
              <w:t>＜</w:t>
            </w:r>
            <w:r>
              <w:rPr>
                <w:rFonts w:ascii="Times New Roman" w:hAnsi="Times New Roman" w:eastAsia="Times New Roman" w:cs="Times New Roman"/>
                <w:sz w:val="20"/>
                <w:szCs w:val="20"/>
              </w:rPr>
              <w:t>LD</w:t>
            </w:r>
            <w:r>
              <w:rPr>
                <w:rFonts w:ascii="Times New Roman" w:hAnsi="Times New Roman" w:eastAsia="Times New Roman" w:cs="Times New Roman"/>
                <w:spacing w:val="6"/>
                <w:position w:val="-1"/>
                <w:sz w:val="13"/>
                <w:szCs w:val="13"/>
              </w:rPr>
              <w:t>50</w:t>
            </w:r>
            <w:r>
              <w:rPr>
                <w:spacing w:val="6"/>
                <w:sz w:val="20"/>
                <w:szCs w:val="20"/>
              </w:rPr>
              <w:t>＜</w:t>
            </w:r>
            <w:r>
              <w:rPr>
                <w:rFonts w:ascii="Times New Roman" w:hAnsi="Times New Roman" w:eastAsia="Times New Roman" w:cs="Times New Roman"/>
                <w:spacing w:val="6"/>
                <w:sz w:val="20"/>
                <w:szCs w:val="20"/>
              </w:rPr>
              <w:t>25</w:t>
            </w:r>
          </w:p>
        </w:tc>
        <w:tc>
          <w:tcPr>
            <w:tcW w:w="2718" w:type="dxa"/>
            <w:vAlign w:val="top"/>
          </w:tcPr>
          <w:p w14:paraId="3DB16119">
            <w:pPr>
              <w:pStyle w:val="6"/>
              <w:spacing w:before="129" w:line="236"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50</w:t>
            </w:r>
            <w:r>
              <w:rPr>
                <w:spacing w:val="5"/>
                <w:sz w:val="20"/>
                <w:szCs w:val="20"/>
              </w:rPr>
              <w:t>＜</w:t>
            </w:r>
            <w:r>
              <w:rPr>
                <w:rFonts w:ascii="Times New Roman" w:hAnsi="Times New Roman" w:eastAsia="Times New Roman" w:cs="Times New Roman"/>
                <w:sz w:val="20"/>
                <w:szCs w:val="20"/>
              </w:rPr>
              <w:t>LD</w:t>
            </w:r>
            <w:r>
              <w:rPr>
                <w:rFonts w:ascii="Times New Roman" w:hAnsi="Times New Roman" w:eastAsia="Times New Roman" w:cs="Times New Roman"/>
                <w:spacing w:val="5"/>
                <w:position w:val="-1"/>
                <w:sz w:val="13"/>
                <w:szCs w:val="13"/>
              </w:rPr>
              <w:t>50</w:t>
            </w:r>
            <w:r>
              <w:rPr>
                <w:spacing w:val="5"/>
                <w:sz w:val="20"/>
                <w:szCs w:val="20"/>
              </w:rPr>
              <w:t>＜</w:t>
            </w:r>
            <w:r>
              <w:rPr>
                <w:rFonts w:ascii="Times New Roman" w:hAnsi="Times New Roman" w:eastAsia="Times New Roman" w:cs="Times New Roman"/>
                <w:spacing w:val="5"/>
                <w:sz w:val="20"/>
                <w:szCs w:val="20"/>
              </w:rPr>
              <w:t>100</w:t>
            </w:r>
          </w:p>
        </w:tc>
        <w:tc>
          <w:tcPr>
            <w:tcW w:w="2401" w:type="dxa"/>
            <w:vAlign w:val="top"/>
          </w:tcPr>
          <w:p w14:paraId="1F4B184B">
            <w:pPr>
              <w:pStyle w:val="6"/>
              <w:spacing w:before="129" w:line="236"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0.05</w:t>
            </w:r>
            <w:r>
              <w:rPr>
                <w:spacing w:val="5"/>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5"/>
                <w:position w:val="-1"/>
                <w:sz w:val="13"/>
                <w:szCs w:val="13"/>
              </w:rPr>
              <w:t>50</w:t>
            </w:r>
            <w:r>
              <w:rPr>
                <w:spacing w:val="5"/>
                <w:sz w:val="20"/>
                <w:szCs w:val="20"/>
              </w:rPr>
              <w:t>＜</w:t>
            </w:r>
            <w:r>
              <w:rPr>
                <w:rFonts w:ascii="Times New Roman" w:hAnsi="Times New Roman" w:eastAsia="Times New Roman" w:cs="Times New Roman"/>
                <w:spacing w:val="5"/>
                <w:sz w:val="20"/>
                <w:szCs w:val="20"/>
              </w:rPr>
              <w:t>0.5</w:t>
            </w:r>
          </w:p>
        </w:tc>
      </w:tr>
      <w:tr w14:paraId="44803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42" w:type="dxa"/>
            <w:vMerge w:val="continue"/>
            <w:tcBorders>
              <w:top w:val="nil"/>
            </w:tcBorders>
            <w:vAlign w:val="top"/>
          </w:tcPr>
          <w:p w14:paraId="4CA42C55">
            <w:pPr>
              <w:rPr>
                <w:rFonts w:ascii="Arial"/>
                <w:sz w:val="21"/>
              </w:rPr>
            </w:pPr>
          </w:p>
        </w:tc>
        <w:tc>
          <w:tcPr>
            <w:tcW w:w="650" w:type="dxa"/>
            <w:vAlign w:val="top"/>
          </w:tcPr>
          <w:p w14:paraId="6D8F41EF">
            <w:pPr>
              <w:spacing w:before="166"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71" w:type="dxa"/>
            <w:vAlign w:val="top"/>
          </w:tcPr>
          <w:p w14:paraId="63D428B0">
            <w:pPr>
              <w:pStyle w:val="6"/>
              <w:spacing w:before="129" w:line="236"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25</w:t>
            </w:r>
            <w:r>
              <w:rPr>
                <w:spacing w:val="6"/>
                <w:sz w:val="20"/>
                <w:szCs w:val="20"/>
              </w:rPr>
              <w:t>＜</w:t>
            </w:r>
            <w:r>
              <w:rPr>
                <w:rFonts w:ascii="Times New Roman" w:hAnsi="Times New Roman" w:eastAsia="Times New Roman" w:cs="Times New Roman"/>
                <w:sz w:val="20"/>
                <w:szCs w:val="20"/>
              </w:rPr>
              <w:t>LD</w:t>
            </w:r>
            <w:r>
              <w:rPr>
                <w:rFonts w:ascii="Times New Roman" w:hAnsi="Times New Roman" w:eastAsia="Times New Roman" w:cs="Times New Roman"/>
                <w:spacing w:val="6"/>
                <w:position w:val="-1"/>
                <w:sz w:val="13"/>
                <w:szCs w:val="13"/>
              </w:rPr>
              <w:t>50</w:t>
            </w:r>
            <w:r>
              <w:rPr>
                <w:spacing w:val="6"/>
                <w:sz w:val="20"/>
                <w:szCs w:val="20"/>
              </w:rPr>
              <w:t>＜</w:t>
            </w:r>
            <w:r>
              <w:rPr>
                <w:rFonts w:ascii="Times New Roman" w:hAnsi="Times New Roman" w:eastAsia="Times New Roman" w:cs="Times New Roman"/>
                <w:spacing w:val="6"/>
                <w:sz w:val="20"/>
                <w:szCs w:val="20"/>
              </w:rPr>
              <w:t>200</w:t>
            </w:r>
          </w:p>
        </w:tc>
        <w:tc>
          <w:tcPr>
            <w:tcW w:w="2718" w:type="dxa"/>
            <w:vAlign w:val="top"/>
          </w:tcPr>
          <w:p w14:paraId="095F0016">
            <w:pPr>
              <w:pStyle w:val="6"/>
              <w:spacing w:before="129" w:line="236" w:lineRule="auto"/>
              <w:ind w:left="6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r>
              <w:rPr>
                <w:spacing w:val="4"/>
                <w:sz w:val="20"/>
                <w:szCs w:val="20"/>
              </w:rPr>
              <w:t>＜</w:t>
            </w:r>
            <w:r>
              <w:rPr>
                <w:rFonts w:ascii="Times New Roman" w:hAnsi="Times New Roman" w:eastAsia="Times New Roman" w:cs="Times New Roman"/>
                <w:sz w:val="20"/>
                <w:szCs w:val="20"/>
              </w:rPr>
              <w:t>LD</w:t>
            </w:r>
            <w:r>
              <w:rPr>
                <w:rFonts w:ascii="Times New Roman" w:hAnsi="Times New Roman" w:eastAsia="Times New Roman" w:cs="Times New Roman"/>
                <w:spacing w:val="4"/>
                <w:position w:val="-1"/>
                <w:sz w:val="13"/>
                <w:szCs w:val="13"/>
              </w:rPr>
              <w:t>50</w:t>
            </w:r>
            <w:r>
              <w:rPr>
                <w:spacing w:val="4"/>
                <w:sz w:val="20"/>
                <w:szCs w:val="20"/>
              </w:rPr>
              <w:t>＜</w:t>
            </w:r>
            <w:r>
              <w:rPr>
                <w:rFonts w:ascii="Times New Roman" w:hAnsi="Times New Roman" w:eastAsia="Times New Roman" w:cs="Times New Roman"/>
                <w:spacing w:val="4"/>
                <w:sz w:val="20"/>
                <w:szCs w:val="20"/>
              </w:rPr>
              <w:t>400</w:t>
            </w:r>
          </w:p>
        </w:tc>
        <w:tc>
          <w:tcPr>
            <w:tcW w:w="2401" w:type="dxa"/>
            <w:vAlign w:val="top"/>
          </w:tcPr>
          <w:p w14:paraId="2C0E7052">
            <w:pPr>
              <w:pStyle w:val="6"/>
              <w:spacing w:before="129" w:line="236"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50</w:t>
            </w:r>
            <w:r>
              <w:rPr>
                <w:spacing w:val="5"/>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5"/>
                <w:position w:val="-1"/>
                <w:sz w:val="13"/>
                <w:szCs w:val="13"/>
              </w:rPr>
              <w:t>50</w:t>
            </w:r>
            <w:r>
              <w:rPr>
                <w:spacing w:val="5"/>
                <w:sz w:val="20"/>
                <w:szCs w:val="20"/>
              </w:rPr>
              <w:t>＜</w:t>
            </w:r>
            <w:r>
              <w:rPr>
                <w:rFonts w:ascii="Times New Roman" w:hAnsi="Times New Roman" w:eastAsia="Times New Roman" w:cs="Times New Roman"/>
                <w:spacing w:val="5"/>
                <w:sz w:val="20"/>
                <w:szCs w:val="20"/>
              </w:rPr>
              <w:t>2</w:t>
            </w:r>
          </w:p>
        </w:tc>
      </w:tr>
      <w:tr w14:paraId="1E0E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42" w:type="dxa"/>
            <w:vMerge w:val="restart"/>
            <w:tcBorders>
              <w:bottom w:val="nil"/>
            </w:tcBorders>
            <w:vAlign w:val="top"/>
          </w:tcPr>
          <w:p w14:paraId="5EE250EE">
            <w:pPr>
              <w:spacing w:line="317" w:lineRule="auto"/>
              <w:rPr>
                <w:rFonts w:ascii="Arial"/>
                <w:sz w:val="21"/>
              </w:rPr>
            </w:pPr>
          </w:p>
          <w:p w14:paraId="20E60A76">
            <w:pPr>
              <w:spacing w:line="317" w:lineRule="auto"/>
              <w:rPr>
                <w:rFonts w:ascii="Arial"/>
                <w:sz w:val="21"/>
              </w:rPr>
            </w:pPr>
          </w:p>
          <w:p w14:paraId="6D224035">
            <w:pPr>
              <w:pStyle w:val="6"/>
              <w:spacing w:before="65" w:line="229" w:lineRule="auto"/>
              <w:ind w:left="230"/>
              <w:rPr>
                <w:sz w:val="20"/>
                <w:szCs w:val="20"/>
              </w:rPr>
            </w:pPr>
            <w:r>
              <w:rPr>
                <w:spacing w:val="-3"/>
                <w:sz w:val="20"/>
                <w:szCs w:val="20"/>
              </w:rPr>
              <w:t>易燃</w:t>
            </w:r>
          </w:p>
          <w:p w14:paraId="68098701">
            <w:pPr>
              <w:pStyle w:val="6"/>
              <w:spacing w:before="71" w:line="228" w:lineRule="auto"/>
              <w:ind w:left="216"/>
              <w:rPr>
                <w:sz w:val="20"/>
                <w:szCs w:val="20"/>
              </w:rPr>
            </w:pPr>
            <w:r>
              <w:rPr>
                <w:spacing w:val="4"/>
                <w:sz w:val="20"/>
                <w:szCs w:val="20"/>
              </w:rPr>
              <w:t>物质</w:t>
            </w:r>
          </w:p>
        </w:tc>
        <w:tc>
          <w:tcPr>
            <w:tcW w:w="650" w:type="dxa"/>
            <w:vAlign w:val="top"/>
          </w:tcPr>
          <w:p w14:paraId="1FF494A7">
            <w:pPr>
              <w:spacing w:line="255" w:lineRule="auto"/>
              <w:rPr>
                <w:rFonts w:ascii="Arial"/>
                <w:sz w:val="21"/>
              </w:rPr>
            </w:pPr>
          </w:p>
          <w:p w14:paraId="1886CE34">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90" w:type="dxa"/>
            <w:gridSpan w:val="3"/>
            <w:vAlign w:val="top"/>
          </w:tcPr>
          <w:p w14:paraId="3B062108">
            <w:pPr>
              <w:pStyle w:val="6"/>
              <w:spacing w:before="120" w:line="275" w:lineRule="auto"/>
              <w:ind w:left="117" w:right="111" w:hanging="4"/>
              <w:rPr>
                <w:sz w:val="20"/>
                <w:szCs w:val="20"/>
              </w:rPr>
            </w:pPr>
            <w:r>
              <w:rPr>
                <w:spacing w:val="10"/>
                <w:sz w:val="20"/>
                <w:szCs w:val="20"/>
              </w:rPr>
              <w:t>可燃气体</w:t>
            </w:r>
            <w:r>
              <w:rPr>
                <w:rFonts w:ascii="Times New Roman" w:hAnsi="Times New Roman" w:eastAsia="Times New Roman" w:cs="Times New Roman"/>
                <w:spacing w:val="10"/>
                <w:sz w:val="20"/>
                <w:szCs w:val="20"/>
              </w:rPr>
              <w:t>――</w:t>
            </w:r>
            <w:r>
              <w:rPr>
                <w:spacing w:val="10"/>
                <w:sz w:val="20"/>
                <w:szCs w:val="20"/>
              </w:rPr>
              <w:t>在常温下以气态存在并与空气混合形成可燃混合物；其沸点（常压</w:t>
            </w:r>
            <w:r>
              <w:rPr>
                <w:spacing w:val="9"/>
                <w:sz w:val="20"/>
                <w:szCs w:val="20"/>
              </w:rPr>
              <w:t xml:space="preserve"> </w:t>
            </w:r>
            <w:r>
              <w:rPr>
                <w:spacing w:val="5"/>
                <w:sz w:val="20"/>
                <w:szCs w:val="20"/>
              </w:rPr>
              <w:t>下是</w:t>
            </w:r>
            <w:r>
              <w:rPr>
                <w:spacing w:val="-29"/>
                <w:sz w:val="20"/>
                <w:szCs w:val="20"/>
              </w:rPr>
              <w:t xml:space="preserve"> </w:t>
            </w:r>
            <w:r>
              <w:rPr>
                <w:rFonts w:ascii="Times New Roman" w:hAnsi="Times New Roman" w:eastAsia="Times New Roman" w:cs="Times New Roman"/>
                <w:spacing w:val="5"/>
                <w:sz w:val="20"/>
                <w:szCs w:val="20"/>
              </w:rPr>
              <w:t>20℃</w:t>
            </w:r>
            <w:r>
              <w:rPr>
                <w:spacing w:val="5"/>
                <w:sz w:val="20"/>
                <w:szCs w:val="20"/>
              </w:rPr>
              <w:t>或</w:t>
            </w:r>
            <w:r>
              <w:rPr>
                <w:spacing w:val="-43"/>
                <w:sz w:val="20"/>
                <w:szCs w:val="20"/>
              </w:rPr>
              <w:t xml:space="preserve"> </w:t>
            </w:r>
            <w:r>
              <w:rPr>
                <w:rFonts w:ascii="Times New Roman" w:hAnsi="Times New Roman" w:eastAsia="Times New Roman" w:cs="Times New Roman"/>
                <w:spacing w:val="5"/>
                <w:sz w:val="20"/>
                <w:szCs w:val="20"/>
              </w:rPr>
              <w:t>20℃</w:t>
            </w:r>
            <w:r>
              <w:rPr>
                <w:spacing w:val="5"/>
                <w:sz w:val="20"/>
                <w:szCs w:val="20"/>
              </w:rPr>
              <w:t>以下物质）</w:t>
            </w:r>
          </w:p>
        </w:tc>
      </w:tr>
      <w:tr w14:paraId="2D667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42" w:type="dxa"/>
            <w:vMerge w:val="continue"/>
            <w:tcBorders>
              <w:top w:val="nil"/>
              <w:bottom w:val="nil"/>
            </w:tcBorders>
            <w:vAlign w:val="top"/>
          </w:tcPr>
          <w:p w14:paraId="41F244A8">
            <w:pPr>
              <w:rPr>
                <w:rFonts w:ascii="Arial"/>
                <w:sz w:val="21"/>
              </w:rPr>
            </w:pPr>
          </w:p>
        </w:tc>
        <w:tc>
          <w:tcPr>
            <w:tcW w:w="650" w:type="dxa"/>
            <w:vAlign w:val="top"/>
          </w:tcPr>
          <w:p w14:paraId="4FA09F7F">
            <w:pPr>
              <w:spacing w:before="16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590" w:type="dxa"/>
            <w:gridSpan w:val="3"/>
            <w:vAlign w:val="top"/>
          </w:tcPr>
          <w:p w14:paraId="158EA2A3">
            <w:pPr>
              <w:pStyle w:val="6"/>
              <w:spacing w:before="132" w:line="225" w:lineRule="auto"/>
              <w:ind w:left="125"/>
              <w:rPr>
                <w:sz w:val="20"/>
                <w:szCs w:val="20"/>
              </w:rPr>
            </w:pPr>
            <w:r>
              <w:rPr>
                <w:spacing w:val="4"/>
                <w:sz w:val="20"/>
                <w:szCs w:val="20"/>
              </w:rPr>
              <w:t>易燃液体</w:t>
            </w:r>
            <w:r>
              <w:rPr>
                <w:rFonts w:ascii="Times New Roman" w:hAnsi="Times New Roman" w:eastAsia="Times New Roman" w:cs="Times New Roman"/>
                <w:spacing w:val="4"/>
                <w:sz w:val="20"/>
                <w:szCs w:val="20"/>
              </w:rPr>
              <w:t>――</w:t>
            </w:r>
            <w:r>
              <w:rPr>
                <w:spacing w:val="4"/>
                <w:sz w:val="20"/>
                <w:szCs w:val="20"/>
              </w:rPr>
              <w:t>闪点低于</w:t>
            </w:r>
            <w:r>
              <w:rPr>
                <w:spacing w:val="-38"/>
                <w:sz w:val="20"/>
                <w:szCs w:val="20"/>
              </w:rPr>
              <w:t xml:space="preserve"> </w:t>
            </w:r>
            <w:r>
              <w:rPr>
                <w:rFonts w:ascii="Times New Roman" w:hAnsi="Times New Roman" w:eastAsia="Times New Roman" w:cs="Times New Roman"/>
                <w:spacing w:val="4"/>
                <w:sz w:val="20"/>
                <w:szCs w:val="20"/>
              </w:rPr>
              <w:t>21℃</w:t>
            </w:r>
            <w:r>
              <w:rPr>
                <w:rFonts w:ascii="Times New Roman" w:hAnsi="Times New Roman" w:eastAsia="Times New Roman" w:cs="Times New Roman"/>
                <w:spacing w:val="-23"/>
                <w:sz w:val="20"/>
                <w:szCs w:val="20"/>
              </w:rPr>
              <w:t xml:space="preserve"> </w:t>
            </w:r>
            <w:r>
              <w:rPr>
                <w:spacing w:val="4"/>
                <w:sz w:val="20"/>
                <w:szCs w:val="20"/>
              </w:rPr>
              <w:t>,</w:t>
            </w:r>
            <w:r>
              <w:rPr>
                <w:spacing w:val="60"/>
                <w:sz w:val="20"/>
                <w:szCs w:val="20"/>
              </w:rPr>
              <w:t xml:space="preserve"> </w:t>
            </w:r>
            <w:r>
              <w:rPr>
                <w:spacing w:val="4"/>
                <w:sz w:val="20"/>
                <w:szCs w:val="20"/>
              </w:rPr>
              <w:t>沸点高于</w:t>
            </w:r>
            <w:r>
              <w:rPr>
                <w:spacing w:val="-43"/>
                <w:sz w:val="20"/>
                <w:szCs w:val="20"/>
              </w:rPr>
              <w:t xml:space="preserve"> </w:t>
            </w:r>
            <w:r>
              <w:rPr>
                <w:rFonts w:ascii="Times New Roman" w:hAnsi="Times New Roman" w:eastAsia="Times New Roman" w:cs="Times New Roman"/>
                <w:spacing w:val="4"/>
                <w:sz w:val="20"/>
                <w:szCs w:val="20"/>
              </w:rPr>
              <w:t>20℃</w:t>
            </w:r>
            <w:r>
              <w:rPr>
                <w:spacing w:val="4"/>
                <w:sz w:val="20"/>
                <w:szCs w:val="20"/>
              </w:rPr>
              <w:t>的物质</w:t>
            </w:r>
          </w:p>
        </w:tc>
      </w:tr>
      <w:tr w14:paraId="75237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42" w:type="dxa"/>
            <w:vMerge w:val="continue"/>
            <w:tcBorders>
              <w:top w:val="nil"/>
            </w:tcBorders>
            <w:vAlign w:val="top"/>
          </w:tcPr>
          <w:p w14:paraId="472AC061">
            <w:pPr>
              <w:rPr>
                <w:rFonts w:ascii="Arial"/>
                <w:sz w:val="21"/>
              </w:rPr>
            </w:pPr>
          </w:p>
        </w:tc>
        <w:tc>
          <w:tcPr>
            <w:tcW w:w="650" w:type="dxa"/>
            <w:vAlign w:val="top"/>
          </w:tcPr>
          <w:p w14:paraId="567CC33A">
            <w:pPr>
              <w:spacing w:line="258" w:lineRule="auto"/>
              <w:rPr>
                <w:rFonts w:ascii="Arial"/>
                <w:sz w:val="21"/>
              </w:rPr>
            </w:pPr>
          </w:p>
          <w:p w14:paraId="3231174B">
            <w:pPr>
              <w:spacing w:before="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590" w:type="dxa"/>
            <w:gridSpan w:val="3"/>
            <w:vAlign w:val="top"/>
          </w:tcPr>
          <w:p w14:paraId="3EBEA740">
            <w:pPr>
              <w:pStyle w:val="6"/>
              <w:spacing w:before="120" w:line="275" w:lineRule="auto"/>
              <w:ind w:left="113" w:right="21"/>
              <w:rPr>
                <w:sz w:val="20"/>
                <w:szCs w:val="20"/>
              </w:rPr>
            </w:pPr>
            <w:r>
              <w:rPr>
                <w:spacing w:val="4"/>
                <w:sz w:val="20"/>
                <w:szCs w:val="20"/>
              </w:rPr>
              <w:t>可燃液体</w:t>
            </w:r>
            <w:r>
              <w:rPr>
                <w:rFonts w:ascii="Times New Roman" w:hAnsi="Times New Roman" w:eastAsia="Times New Roman" w:cs="Times New Roman"/>
                <w:spacing w:val="4"/>
                <w:sz w:val="20"/>
                <w:szCs w:val="20"/>
              </w:rPr>
              <w:t>――</w:t>
            </w:r>
            <w:r>
              <w:rPr>
                <w:spacing w:val="4"/>
                <w:sz w:val="20"/>
                <w:szCs w:val="20"/>
              </w:rPr>
              <w:t>闪点低于</w:t>
            </w:r>
            <w:r>
              <w:rPr>
                <w:spacing w:val="-35"/>
                <w:sz w:val="20"/>
                <w:szCs w:val="20"/>
              </w:rPr>
              <w:t xml:space="preserve"> </w:t>
            </w:r>
            <w:r>
              <w:rPr>
                <w:rFonts w:ascii="Times New Roman" w:hAnsi="Times New Roman" w:eastAsia="Times New Roman" w:cs="Times New Roman"/>
                <w:spacing w:val="4"/>
                <w:sz w:val="20"/>
                <w:szCs w:val="20"/>
              </w:rPr>
              <w:t>55℃</w:t>
            </w:r>
            <w:r>
              <w:rPr>
                <w:rFonts w:ascii="Times New Roman" w:hAnsi="Times New Roman" w:eastAsia="Times New Roman" w:cs="Times New Roman"/>
                <w:spacing w:val="-23"/>
                <w:sz w:val="20"/>
                <w:szCs w:val="20"/>
              </w:rPr>
              <w:t xml:space="preserve"> </w:t>
            </w:r>
            <w:r>
              <w:rPr>
                <w:spacing w:val="4"/>
                <w:sz w:val="20"/>
                <w:szCs w:val="20"/>
              </w:rPr>
              <w:t>, 压力下保持液态，在实际操作条件下（如高温高压）</w:t>
            </w:r>
            <w:r>
              <w:rPr>
                <w:sz w:val="20"/>
                <w:szCs w:val="20"/>
              </w:rPr>
              <w:t xml:space="preserve"> </w:t>
            </w:r>
            <w:r>
              <w:rPr>
                <w:spacing w:val="9"/>
                <w:sz w:val="20"/>
                <w:szCs w:val="20"/>
              </w:rPr>
              <w:t>可以引起重大事故的物质</w:t>
            </w:r>
          </w:p>
        </w:tc>
      </w:tr>
      <w:tr w14:paraId="1F938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492" w:type="dxa"/>
            <w:gridSpan w:val="2"/>
            <w:vAlign w:val="top"/>
          </w:tcPr>
          <w:p w14:paraId="14EDB3DF">
            <w:pPr>
              <w:pStyle w:val="6"/>
              <w:spacing w:before="138" w:line="226" w:lineRule="auto"/>
              <w:ind w:left="225"/>
              <w:rPr>
                <w:sz w:val="20"/>
                <w:szCs w:val="20"/>
              </w:rPr>
            </w:pPr>
            <w:r>
              <w:rPr>
                <w:spacing w:val="8"/>
                <w:sz w:val="20"/>
                <w:szCs w:val="20"/>
              </w:rPr>
              <w:t>爆炸性物质</w:t>
            </w:r>
          </w:p>
        </w:tc>
        <w:tc>
          <w:tcPr>
            <w:tcW w:w="7590" w:type="dxa"/>
            <w:gridSpan w:val="3"/>
            <w:vAlign w:val="top"/>
          </w:tcPr>
          <w:p w14:paraId="6185C4CE">
            <w:pPr>
              <w:pStyle w:val="6"/>
              <w:spacing w:before="138" w:line="226" w:lineRule="auto"/>
              <w:ind w:left="110"/>
              <w:rPr>
                <w:sz w:val="20"/>
                <w:szCs w:val="20"/>
              </w:rPr>
            </w:pPr>
            <w:r>
              <w:rPr>
                <w:spacing w:val="10"/>
                <w:sz w:val="20"/>
                <w:szCs w:val="20"/>
              </w:rPr>
              <w:t>在火焰影响下可以爆炸，或者对冲击、摩擦</w:t>
            </w:r>
            <w:r>
              <w:rPr>
                <w:spacing w:val="9"/>
                <w:sz w:val="20"/>
                <w:szCs w:val="20"/>
              </w:rPr>
              <w:t>比硝基苯更为敏感的物质</w:t>
            </w:r>
          </w:p>
        </w:tc>
      </w:tr>
    </w:tbl>
    <w:p w14:paraId="7E5E8CF9">
      <w:pPr>
        <w:spacing w:before="276" w:line="360" w:lineRule="auto"/>
        <w:ind w:left="133" w:right="123" w:firstLine="478"/>
        <w:rPr>
          <w:rFonts w:ascii="宋体" w:hAnsi="宋体" w:eastAsia="宋体" w:cs="宋体"/>
          <w:sz w:val="24"/>
          <w:szCs w:val="24"/>
        </w:rPr>
      </w:pPr>
      <w:r>
        <w:rPr>
          <w:rFonts w:ascii="宋体" w:hAnsi="宋体" w:eastAsia="宋体" w:cs="宋体"/>
          <w:spacing w:val="-3"/>
          <w:sz w:val="24"/>
          <w:szCs w:val="24"/>
        </w:rPr>
        <w:t>根据《危险化学品名录》（2015</w:t>
      </w:r>
      <w:r>
        <w:rPr>
          <w:rFonts w:ascii="宋体" w:hAnsi="宋体" w:eastAsia="宋体" w:cs="宋体"/>
          <w:spacing w:val="-49"/>
          <w:sz w:val="24"/>
          <w:szCs w:val="24"/>
        </w:rPr>
        <w:t xml:space="preserve"> </w:t>
      </w:r>
      <w:r>
        <w:rPr>
          <w:rFonts w:ascii="宋体" w:hAnsi="宋体" w:eastAsia="宋体" w:cs="宋体"/>
          <w:spacing w:val="-3"/>
          <w:sz w:val="24"/>
          <w:szCs w:val="24"/>
        </w:rPr>
        <w:t>版）规定，本项目涉及使用</w:t>
      </w:r>
      <w:r>
        <w:rPr>
          <w:rFonts w:ascii="宋体" w:hAnsi="宋体" w:eastAsia="宋体" w:cs="宋体"/>
          <w:spacing w:val="-4"/>
          <w:sz w:val="24"/>
          <w:szCs w:val="24"/>
        </w:rPr>
        <w:t>的原辅材料及产品中</w:t>
      </w:r>
      <w:r>
        <w:rPr>
          <w:rFonts w:ascii="宋体" w:hAnsi="宋体" w:eastAsia="宋体" w:cs="宋体"/>
          <w:sz w:val="24"/>
          <w:szCs w:val="24"/>
        </w:rPr>
        <w:t xml:space="preserve"> </w:t>
      </w:r>
      <w:r>
        <w:rPr>
          <w:rFonts w:ascii="宋体" w:hAnsi="宋体" w:eastAsia="宋体" w:cs="宋体"/>
          <w:spacing w:val="-1"/>
          <w:sz w:val="24"/>
          <w:szCs w:val="24"/>
        </w:rPr>
        <w:t>属于危险化学品的物质见下表。</w:t>
      </w:r>
    </w:p>
    <w:p w14:paraId="5A638FB6">
      <w:pPr>
        <w:spacing w:line="360" w:lineRule="auto"/>
        <w:rPr>
          <w:rFonts w:ascii="宋体" w:hAnsi="宋体" w:eastAsia="宋体" w:cs="宋体"/>
          <w:sz w:val="24"/>
          <w:szCs w:val="24"/>
        </w:rPr>
        <w:sectPr>
          <w:footerReference r:id="rId127" w:type="default"/>
          <w:pgSz w:w="11906" w:h="16839"/>
          <w:pgMar w:top="400" w:right="1409" w:bottom="1127" w:left="1409" w:header="0" w:footer="965" w:gutter="0"/>
          <w:cols w:space="720" w:num="1"/>
        </w:sectPr>
      </w:pPr>
    </w:p>
    <w:p w14:paraId="01077BCB">
      <w:pPr>
        <w:spacing w:line="250" w:lineRule="auto"/>
        <w:rPr>
          <w:rFonts w:ascii="Arial"/>
          <w:sz w:val="21"/>
        </w:rPr>
      </w:pPr>
    </w:p>
    <w:p w14:paraId="02A84383">
      <w:pPr>
        <w:spacing w:line="250" w:lineRule="auto"/>
        <w:rPr>
          <w:rFonts w:ascii="Arial"/>
          <w:sz w:val="21"/>
        </w:rPr>
      </w:pPr>
    </w:p>
    <w:p w14:paraId="5E3A185D">
      <w:pPr>
        <w:spacing w:line="250" w:lineRule="auto"/>
        <w:rPr>
          <w:rFonts w:ascii="Arial"/>
          <w:sz w:val="21"/>
        </w:rPr>
      </w:pPr>
    </w:p>
    <w:p w14:paraId="34A6B1E1">
      <w:pPr>
        <w:spacing w:line="250" w:lineRule="auto"/>
        <w:rPr>
          <w:rFonts w:ascii="Arial"/>
          <w:sz w:val="21"/>
        </w:rPr>
      </w:pPr>
    </w:p>
    <w:p w14:paraId="5D394740">
      <w:pPr>
        <w:spacing w:line="251" w:lineRule="auto"/>
        <w:rPr>
          <w:rFonts w:ascii="Arial"/>
          <w:sz w:val="21"/>
        </w:rPr>
      </w:pPr>
    </w:p>
    <w:p w14:paraId="04654531">
      <w:pPr>
        <w:spacing w:before="78" w:line="219" w:lineRule="auto"/>
        <w:ind w:left="2886"/>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7"/>
          <w:sz w:val="24"/>
          <w:szCs w:val="24"/>
        </w:rPr>
        <w:t xml:space="preserve"> </w:t>
      </w:r>
      <w:r>
        <w:rPr>
          <w:rFonts w:ascii="Times New Roman" w:hAnsi="Times New Roman" w:eastAsia="Times New Roman" w:cs="Times New Roman"/>
          <w:b/>
          <w:bCs/>
          <w:spacing w:val="-3"/>
          <w:sz w:val="24"/>
          <w:szCs w:val="24"/>
        </w:rPr>
        <w:t xml:space="preserve">16    </w:t>
      </w:r>
      <w:r>
        <w:rPr>
          <w:rFonts w:ascii="宋体" w:hAnsi="宋体" w:eastAsia="宋体" w:cs="宋体"/>
          <w:b/>
          <w:bCs/>
          <w:spacing w:val="-3"/>
          <w:sz w:val="24"/>
          <w:szCs w:val="24"/>
        </w:rPr>
        <w:t>危险化学品名称及分类</w:t>
      </w:r>
    </w:p>
    <w:p w14:paraId="64271957">
      <w:pPr>
        <w:spacing w:line="146" w:lineRule="exact"/>
      </w:pPr>
    </w:p>
    <w:tbl>
      <w:tblPr>
        <w:tblStyle w:val="5"/>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668"/>
        <w:gridCol w:w="1359"/>
        <w:gridCol w:w="1602"/>
        <w:gridCol w:w="1005"/>
        <w:gridCol w:w="2593"/>
      </w:tblGrid>
      <w:tr w14:paraId="62C00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13" w:type="dxa"/>
            <w:vAlign w:val="top"/>
          </w:tcPr>
          <w:p w14:paraId="616FA6E3">
            <w:pPr>
              <w:pStyle w:val="6"/>
              <w:spacing w:before="96" w:line="229" w:lineRule="auto"/>
              <w:ind w:left="151"/>
              <w:rPr>
                <w:sz w:val="20"/>
                <w:szCs w:val="20"/>
              </w:rPr>
            </w:pPr>
            <w:r>
              <w:rPr>
                <w:spacing w:val="5"/>
                <w:sz w:val="20"/>
                <w:szCs w:val="20"/>
              </w:rPr>
              <w:t>序号</w:t>
            </w:r>
          </w:p>
        </w:tc>
        <w:tc>
          <w:tcPr>
            <w:tcW w:w="1668" w:type="dxa"/>
            <w:vAlign w:val="top"/>
          </w:tcPr>
          <w:p w14:paraId="624E67E8">
            <w:pPr>
              <w:pStyle w:val="6"/>
              <w:spacing w:before="96" w:line="228" w:lineRule="auto"/>
              <w:ind w:left="315"/>
              <w:rPr>
                <w:sz w:val="20"/>
                <w:szCs w:val="20"/>
              </w:rPr>
            </w:pPr>
            <w:r>
              <w:rPr>
                <w:spacing w:val="7"/>
                <w:sz w:val="20"/>
                <w:szCs w:val="20"/>
              </w:rPr>
              <w:t>危化品名称</w:t>
            </w:r>
          </w:p>
        </w:tc>
        <w:tc>
          <w:tcPr>
            <w:tcW w:w="1359" w:type="dxa"/>
            <w:vAlign w:val="top"/>
          </w:tcPr>
          <w:p w14:paraId="089F50C7">
            <w:pPr>
              <w:spacing w:before="132"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CAS</w:t>
            </w:r>
          </w:p>
        </w:tc>
        <w:tc>
          <w:tcPr>
            <w:tcW w:w="1602" w:type="dxa"/>
            <w:vAlign w:val="top"/>
          </w:tcPr>
          <w:p w14:paraId="65DE5CF1">
            <w:pPr>
              <w:pStyle w:val="6"/>
              <w:spacing w:before="96" w:line="227" w:lineRule="auto"/>
              <w:ind w:left="178"/>
              <w:rPr>
                <w:sz w:val="20"/>
                <w:szCs w:val="20"/>
              </w:rPr>
            </w:pPr>
            <w:r>
              <w:rPr>
                <w:spacing w:val="7"/>
                <w:sz w:val="20"/>
                <w:szCs w:val="20"/>
              </w:rPr>
              <w:t>危险货物编号</w:t>
            </w:r>
          </w:p>
        </w:tc>
        <w:tc>
          <w:tcPr>
            <w:tcW w:w="1005" w:type="dxa"/>
            <w:vAlign w:val="top"/>
          </w:tcPr>
          <w:p w14:paraId="436EC6BF">
            <w:pPr>
              <w:pStyle w:val="6"/>
              <w:spacing w:before="96" w:line="229" w:lineRule="auto"/>
              <w:ind w:left="217"/>
              <w:rPr>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16"/>
                <w:sz w:val="20"/>
                <w:szCs w:val="20"/>
              </w:rPr>
              <w:t xml:space="preserve"> </w:t>
            </w:r>
            <w:r>
              <w:rPr>
                <w:spacing w:val="12"/>
                <w:sz w:val="20"/>
                <w:szCs w:val="20"/>
              </w:rPr>
              <w:t>号</w:t>
            </w:r>
          </w:p>
        </w:tc>
        <w:tc>
          <w:tcPr>
            <w:tcW w:w="2593" w:type="dxa"/>
            <w:vAlign w:val="top"/>
          </w:tcPr>
          <w:p w14:paraId="039ADD02">
            <w:pPr>
              <w:pStyle w:val="6"/>
              <w:spacing w:before="96" w:line="228" w:lineRule="auto"/>
              <w:ind w:left="780"/>
              <w:rPr>
                <w:sz w:val="20"/>
                <w:szCs w:val="20"/>
              </w:rPr>
            </w:pPr>
            <w:r>
              <w:rPr>
                <w:spacing w:val="7"/>
                <w:sz w:val="20"/>
                <w:szCs w:val="20"/>
              </w:rPr>
              <w:t>危险性类别</w:t>
            </w:r>
          </w:p>
        </w:tc>
      </w:tr>
      <w:tr w14:paraId="264E6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3" w:type="dxa"/>
            <w:vAlign w:val="top"/>
          </w:tcPr>
          <w:p w14:paraId="50712644">
            <w:pPr>
              <w:spacing w:before="12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68" w:type="dxa"/>
            <w:vAlign w:val="top"/>
          </w:tcPr>
          <w:p w14:paraId="6A95FB6F">
            <w:pPr>
              <w:pStyle w:val="6"/>
              <w:spacing w:before="93" w:line="229" w:lineRule="auto"/>
              <w:ind w:left="629"/>
              <w:rPr>
                <w:sz w:val="20"/>
                <w:szCs w:val="20"/>
              </w:rPr>
            </w:pPr>
            <w:r>
              <w:rPr>
                <w:spacing w:val="3"/>
                <w:sz w:val="20"/>
                <w:szCs w:val="20"/>
              </w:rPr>
              <w:t>盐酸</w:t>
            </w:r>
          </w:p>
        </w:tc>
        <w:tc>
          <w:tcPr>
            <w:tcW w:w="1359" w:type="dxa"/>
            <w:vAlign w:val="top"/>
          </w:tcPr>
          <w:p w14:paraId="7ACBE853">
            <w:pPr>
              <w:spacing w:before="129"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7647-01-0</w:t>
            </w:r>
          </w:p>
        </w:tc>
        <w:tc>
          <w:tcPr>
            <w:tcW w:w="1602" w:type="dxa"/>
            <w:vAlign w:val="top"/>
          </w:tcPr>
          <w:p w14:paraId="063387BC">
            <w:pPr>
              <w:spacing w:before="129"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81013</w:t>
            </w:r>
          </w:p>
        </w:tc>
        <w:tc>
          <w:tcPr>
            <w:tcW w:w="1005" w:type="dxa"/>
            <w:vAlign w:val="top"/>
          </w:tcPr>
          <w:p w14:paraId="0C253A8A">
            <w:pPr>
              <w:spacing w:before="12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1789</w:t>
            </w:r>
          </w:p>
        </w:tc>
        <w:tc>
          <w:tcPr>
            <w:tcW w:w="2593" w:type="dxa"/>
            <w:vAlign w:val="top"/>
          </w:tcPr>
          <w:p w14:paraId="749239BF">
            <w:pPr>
              <w:pStyle w:val="6"/>
              <w:spacing w:before="93" w:line="228" w:lineRule="auto"/>
              <w:ind w:left="328"/>
              <w:rPr>
                <w:sz w:val="20"/>
                <w:szCs w:val="20"/>
              </w:rPr>
            </w:pPr>
            <w:r>
              <w:rPr>
                <w:spacing w:val="2"/>
                <w:sz w:val="20"/>
                <w:szCs w:val="20"/>
              </w:rPr>
              <w:t>第</w:t>
            </w:r>
            <w:r>
              <w:rPr>
                <w:spacing w:val="-29"/>
                <w:sz w:val="20"/>
                <w:szCs w:val="20"/>
              </w:rPr>
              <w:t xml:space="preserve"> </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类</w:t>
            </w:r>
            <w:r>
              <w:rPr>
                <w:spacing w:val="14"/>
                <w:sz w:val="20"/>
                <w:szCs w:val="20"/>
              </w:rPr>
              <w:t xml:space="preserve"> </w:t>
            </w:r>
            <w:r>
              <w:rPr>
                <w:spacing w:val="2"/>
                <w:sz w:val="20"/>
                <w:szCs w:val="20"/>
              </w:rPr>
              <w:t>酸性腐蚀品</w:t>
            </w:r>
          </w:p>
        </w:tc>
      </w:tr>
      <w:tr w14:paraId="26B5C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3" w:type="dxa"/>
            <w:vAlign w:val="top"/>
          </w:tcPr>
          <w:p w14:paraId="040C8498">
            <w:pPr>
              <w:spacing w:before="131"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68" w:type="dxa"/>
            <w:vAlign w:val="top"/>
          </w:tcPr>
          <w:p w14:paraId="460D8EB1">
            <w:pPr>
              <w:pStyle w:val="6"/>
              <w:spacing w:before="95" w:line="228" w:lineRule="auto"/>
              <w:ind w:left="521"/>
              <w:rPr>
                <w:sz w:val="20"/>
                <w:szCs w:val="20"/>
              </w:rPr>
            </w:pPr>
            <w:r>
              <w:rPr>
                <w:spacing w:val="6"/>
                <w:sz w:val="20"/>
                <w:szCs w:val="20"/>
              </w:rPr>
              <w:t>氢氟酸</w:t>
            </w:r>
          </w:p>
        </w:tc>
        <w:tc>
          <w:tcPr>
            <w:tcW w:w="1359" w:type="dxa"/>
            <w:vAlign w:val="top"/>
          </w:tcPr>
          <w:p w14:paraId="25DEBC10">
            <w:pPr>
              <w:spacing w:before="13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7664-39-3</w:t>
            </w:r>
          </w:p>
        </w:tc>
        <w:tc>
          <w:tcPr>
            <w:tcW w:w="1602" w:type="dxa"/>
            <w:vAlign w:val="top"/>
          </w:tcPr>
          <w:p w14:paraId="5852F48F">
            <w:pPr>
              <w:spacing w:before="131"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81016</w:t>
            </w:r>
          </w:p>
        </w:tc>
        <w:tc>
          <w:tcPr>
            <w:tcW w:w="1005" w:type="dxa"/>
            <w:vAlign w:val="top"/>
          </w:tcPr>
          <w:p w14:paraId="45B5ADFC">
            <w:pPr>
              <w:spacing w:before="13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1790</w:t>
            </w:r>
          </w:p>
        </w:tc>
        <w:tc>
          <w:tcPr>
            <w:tcW w:w="2593" w:type="dxa"/>
            <w:vAlign w:val="top"/>
          </w:tcPr>
          <w:p w14:paraId="1C87C191">
            <w:pPr>
              <w:pStyle w:val="6"/>
              <w:spacing w:before="95" w:line="228" w:lineRule="auto"/>
              <w:ind w:left="328"/>
              <w:rPr>
                <w:sz w:val="20"/>
                <w:szCs w:val="20"/>
              </w:rPr>
            </w:pPr>
            <w:r>
              <w:rPr>
                <w:spacing w:val="2"/>
                <w:sz w:val="20"/>
                <w:szCs w:val="20"/>
              </w:rPr>
              <w:t>第</w:t>
            </w:r>
            <w:r>
              <w:rPr>
                <w:spacing w:val="-29"/>
                <w:sz w:val="20"/>
                <w:szCs w:val="20"/>
              </w:rPr>
              <w:t xml:space="preserve"> </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类</w:t>
            </w:r>
            <w:r>
              <w:rPr>
                <w:spacing w:val="14"/>
                <w:sz w:val="20"/>
                <w:szCs w:val="20"/>
              </w:rPr>
              <w:t xml:space="preserve"> </w:t>
            </w:r>
            <w:r>
              <w:rPr>
                <w:spacing w:val="2"/>
                <w:sz w:val="20"/>
                <w:szCs w:val="20"/>
              </w:rPr>
              <w:t>酸性腐蚀品</w:t>
            </w:r>
          </w:p>
        </w:tc>
      </w:tr>
      <w:tr w14:paraId="79DE7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3" w:type="dxa"/>
            <w:vAlign w:val="top"/>
          </w:tcPr>
          <w:p w14:paraId="68DF7126">
            <w:pPr>
              <w:spacing w:before="12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68" w:type="dxa"/>
            <w:vAlign w:val="top"/>
          </w:tcPr>
          <w:p w14:paraId="70CC7FDB">
            <w:pPr>
              <w:pStyle w:val="6"/>
              <w:spacing w:before="94" w:line="229" w:lineRule="auto"/>
              <w:ind w:left="626"/>
              <w:rPr>
                <w:sz w:val="20"/>
                <w:szCs w:val="20"/>
              </w:rPr>
            </w:pPr>
            <w:r>
              <w:rPr>
                <w:spacing w:val="5"/>
                <w:sz w:val="20"/>
                <w:szCs w:val="20"/>
              </w:rPr>
              <w:t>硫酸</w:t>
            </w:r>
          </w:p>
        </w:tc>
        <w:tc>
          <w:tcPr>
            <w:tcW w:w="1359" w:type="dxa"/>
            <w:vAlign w:val="top"/>
          </w:tcPr>
          <w:p w14:paraId="17E8E81B">
            <w:pPr>
              <w:spacing w:before="129"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7664-93-9</w:t>
            </w:r>
          </w:p>
        </w:tc>
        <w:tc>
          <w:tcPr>
            <w:tcW w:w="1602" w:type="dxa"/>
            <w:vAlign w:val="top"/>
          </w:tcPr>
          <w:p w14:paraId="176872AE">
            <w:pPr>
              <w:spacing w:before="129"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81007</w:t>
            </w:r>
          </w:p>
        </w:tc>
        <w:tc>
          <w:tcPr>
            <w:tcW w:w="1005" w:type="dxa"/>
            <w:vAlign w:val="top"/>
          </w:tcPr>
          <w:p w14:paraId="168DF1FE">
            <w:pPr>
              <w:spacing w:before="12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1830</w:t>
            </w:r>
          </w:p>
        </w:tc>
        <w:tc>
          <w:tcPr>
            <w:tcW w:w="2593" w:type="dxa"/>
            <w:vAlign w:val="top"/>
          </w:tcPr>
          <w:p w14:paraId="0FE1CE91">
            <w:pPr>
              <w:pStyle w:val="6"/>
              <w:spacing w:before="93" w:line="228" w:lineRule="auto"/>
              <w:ind w:left="357"/>
              <w:rPr>
                <w:sz w:val="20"/>
                <w:szCs w:val="20"/>
              </w:rPr>
            </w:pPr>
            <w:r>
              <w:rPr>
                <w:spacing w:val="3"/>
                <w:sz w:val="20"/>
                <w:szCs w:val="20"/>
              </w:rPr>
              <w:t>第</w:t>
            </w:r>
            <w:r>
              <w:rPr>
                <w:spacing w:val="-34"/>
                <w:sz w:val="20"/>
                <w:szCs w:val="20"/>
              </w:rPr>
              <w:t xml:space="preserve"> </w:t>
            </w:r>
            <w:r>
              <w:rPr>
                <w:rFonts w:ascii="Times New Roman" w:hAnsi="Times New Roman" w:eastAsia="Times New Roman" w:cs="Times New Roman"/>
                <w:spacing w:val="3"/>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类酸性腐蚀品</w:t>
            </w:r>
          </w:p>
        </w:tc>
      </w:tr>
      <w:tr w14:paraId="3FBFD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3" w:type="dxa"/>
            <w:vAlign w:val="top"/>
          </w:tcPr>
          <w:p w14:paraId="45C33BFB">
            <w:pPr>
              <w:spacing w:before="13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68" w:type="dxa"/>
            <w:vAlign w:val="top"/>
          </w:tcPr>
          <w:p w14:paraId="659E448D">
            <w:pPr>
              <w:pStyle w:val="6"/>
              <w:spacing w:before="95" w:line="229" w:lineRule="auto"/>
              <w:ind w:left="629"/>
              <w:rPr>
                <w:sz w:val="20"/>
                <w:szCs w:val="20"/>
              </w:rPr>
            </w:pPr>
            <w:r>
              <w:rPr>
                <w:spacing w:val="3"/>
                <w:sz w:val="20"/>
                <w:szCs w:val="20"/>
              </w:rPr>
              <w:t>硝酸</w:t>
            </w:r>
          </w:p>
        </w:tc>
        <w:tc>
          <w:tcPr>
            <w:tcW w:w="1359" w:type="dxa"/>
            <w:vAlign w:val="top"/>
          </w:tcPr>
          <w:p w14:paraId="788F6FAF">
            <w:pPr>
              <w:spacing w:before="130"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7697-37-2</w:t>
            </w:r>
          </w:p>
        </w:tc>
        <w:tc>
          <w:tcPr>
            <w:tcW w:w="1602" w:type="dxa"/>
            <w:vAlign w:val="top"/>
          </w:tcPr>
          <w:p w14:paraId="32CB0CA3">
            <w:pPr>
              <w:spacing w:before="130"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81002</w:t>
            </w:r>
          </w:p>
        </w:tc>
        <w:tc>
          <w:tcPr>
            <w:tcW w:w="1005" w:type="dxa"/>
            <w:vAlign w:val="top"/>
          </w:tcPr>
          <w:p w14:paraId="720AD2BD">
            <w:pPr>
              <w:spacing w:before="13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2031</w:t>
            </w:r>
          </w:p>
        </w:tc>
        <w:tc>
          <w:tcPr>
            <w:tcW w:w="2593" w:type="dxa"/>
            <w:vAlign w:val="top"/>
          </w:tcPr>
          <w:p w14:paraId="68268920">
            <w:pPr>
              <w:pStyle w:val="6"/>
              <w:spacing w:before="94" w:line="228" w:lineRule="auto"/>
              <w:ind w:left="328"/>
              <w:rPr>
                <w:sz w:val="20"/>
                <w:szCs w:val="20"/>
              </w:rPr>
            </w:pPr>
            <w:r>
              <w:rPr>
                <w:spacing w:val="2"/>
                <w:sz w:val="20"/>
                <w:szCs w:val="20"/>
              </w:rPr>
              <w:t>第</w:t>
            </w:r>
            <w:r>
              <w:rPr>
                <w:spacing w:val="-29"/>
                <w:sz w:val="20"/>
                <w:szCs w:val="20"/>
              </w:rPr>
              <w:t xml:space="preserve"> </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类</w:t>
            </w:r>
            <w:r>
              <w:rPr>
                <w:spacing w:val="14"/>
                <w:sz w:val="20"/>
                <w:szCs w:val="20"/>
              </w:rPr>
              <w:t xml:space="preserve"> </w:t>
            </w:r>
            <w:r>
              <w:rPr>
                <w:spacing w:val="2"/>
                <w:sz w:val="20"/>
                <w:szCs w:val="20"/>
              </w:rPr>
              <w:t>酸性腐蚀品</w:t>
            </w:r>
          </w:p>
        </w:tc>
      </w:tr>
      <w:tr w14:paraId="5C7C2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3" w:type="dxa"/>
            <w:vAlign w:val="top"/>
          </w:tcPr>
          <w:p w14:paraId="5D7D8782">
            <w:pPr>
              <w:spacing w:before="133" w:line="192"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68" w:type="dxa"/>
            <w:vAlign w:val="top"/>
          </w:tcPr>
          <w:p w14:paraId="68481D88">
            <w:pPr>
              <w:pStyle w:val="6"/>
              <w:spacing w:before="94" w:line="227" w:lineRule="auto"/>
              <w:jc w:val="right"/>
              <w:rPr>
                <w:sz w:val="20"/>
                <w:szCs w:val="20"/>
              </w:rPr>
            </w:pPr>
            <w:r>
              <w:rPr>
                <w:spacing w:val="6"/>
                <w:sz w:val="20"/>
                <w:szCs w:val="20"/>
              </w:rPr>
              <w:t>片碱（氢氧化钠）</w:t>
            </w:r>
          </w:p>
        </w:tc>
        <w:tc>
          <w:tcPr>
            <w:tcW w:w="1359" w:type="dxa"/>
            <w:vAlign w:val="top"/>
          </w:tcPr>
          <w:p w14:paraId="6B095EE4">
            <w:pPr>
              <w:spacing w:before="13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1310-73-2</w:t>
            </w:r>
          </w:p>
        </w:tc>
        <w:tc>
          <w:tcPr>
            <w:tcW w:w="1602" w:type="dxa"/>
            <w:vAlign w:val="top"/>
          </w:tcPr>
          <w:p w14:paraId="53EFFDF7">
            <w:pPr>
              <w:spacing w:before="130"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82001</w:t>
            </w:r>
          </w:p>
        </w:tc>
        <w:tc>
          <w:tcPr>
            <w:tcW w:w="1005" w:type="dxa"/>
            <w:vAlign w:val="top"/>
          </w:tcPr>
          <w:p w14:paraId="2B485B75">
            <w:pPr>
              <w:spacing w:before="13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1823</w:t>
            </w:r>
          </w:p>
        </w:tc>
        <w:tc>
          <w:tcPr>
            <w:tcW w:w="2593" w:type="dxa"/>
            <w:vAlign w:val="top"/>
          </w:tcPr>
          <w:p w14:paraId="3D38C974">
            <w:pPr>
              <w:pStyle w:val="6"/>
              <w:spacing w:before="94" w:line="228" w:lineRule="auto"/>
              <w:ind w:left="328"/>
              <w:rPr>
                <w:sz w:val="20"/>
                <w:szCs w:val="20"/>
              </w:rPr>
            </w:pPr>
            <w:r>
              <w:rPr>
                <w:spacing w:val="4"/>
                <w:sz w:val="20"/>
                <w:szCs w:val="20"/>
              </w:rPr>
              <w:t>第</w:t>
            </w:r>
            <w:r>
              <w:rPr>
                <w:spacing w:val="-24"/>
                <w:sz w:val="20"/>
                <w:szCs w:val="20"/>
              </w:rPr>
              <w:t xml:space="preserve"> </w:t>
            </w:r>
            <w:r>
              <w:rPr>
                <w:rFonts w:ascii="Times New Roman" w:hAnsi="Times New Roman" w:eastAsia="Times New Roman" w:cs="Times New Roman"/>
                <w:spacing w:val="4"/>
                <w:sz w:val="20"/>
                <w:szCs w:val="20"/>
              </w:rPr>
              <w:t xml:space="preserve">8.2 </w:t>
            </w:r>
            <w:r>
              <w:rPr>
                <w:spacing w:val="4"/>
                <w:sz w:val="20"/>
                <w:szCs w:val="20"/>
              </w:rPr>
              <w:t>类</w:t>
            </w:r>
            <w:r>
              <w:rPr>
                <w:spacing w:val="12"/>
                <w:sz w:val="20"/>
                <w:szCs w:val="20"/>
              </w:rPr>
              <w:t xml:space="preserve"> </w:t>
            </w:r>
            <w:r>
              <w:rPr>
                <w:spacing w:val="4"/>
                <w:sz w:val="20"/>
                <w:szCs w:val="20"/>
              </w:rPr>
              <w:t>碱性腐蚀品</w:t>
            </w:r>
          </w:p>
        </w:tc>
      </w:tr>
      <w:tr w14:paraId="16FD4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3" w:type="dxa"/>
            <w:vAlign w:val="top"/>
          </w:tcPr>
          <w:p w14:paraId="0A331B45">
            <w:pPr>
              <w:spacing w:before="13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68" w:type="dxa"/>
            <w:vAlign w:val="top"/>
          </w:tcPr>
          <w:p w14:paraId="721FF36F">
            <w:pPr>
              <w:pStyle w:val="6"/>
              <w:spacing w:before="97" w:line="228" w:lineRule="auto"/>
              <w:ind w:left="648"/>
              <w:rPr>
                <w:sz w:val="20"/>
                <w:szCs w:val="20"/>
              </w:rPr>
            </w:pPr>
            <w:r>
              <w:rPr>
                <w:spacing w:val="-6"/>
                <w:sz w:val="20"/>
                <w:szCs w:val="20"/>
              </w:rPr>
              <w:t>乙醇</w:t>
            </w:r>
          </w:p>
        </w:tc>
        <w:tc>
          <w:tcPr>
            <w:tcW w:w="1359" w:type="dxa"/>
            <w:vAlign w:val="top"/>
          </w:tcPr>
          <w:p w14:paraId="1BD3FA9D">
            <w:pPr>
              <w:spacing w:before="132" w:line="195" w:lineRule="auto"/>
              <w:ind w:left="352"/>
              <w:rPr>
                <w:rFonts w:ascii="Times New Roman" w:hAnsi="Times New Roman" w:eastAsia="Times New Roman" w:cs="Times New Roman"/>
                <w:sz w:val="20"/>
                <w:szCs w:val="20"/>
              </w:rPr>
            </w:pPr>
            <w:r>
              <w:fldChar w:fldCharType="begin"/>
            </w:r>
            <w:r>
              <w:instrText xml:space="preserve"> HYPERLINK "http://www.ichemistry.cn/chemistry/64-17-5.htm" </w:instrText>
            </w:r>
            <w:r>
              <w:fldChar w:fldCharType="separate"/>
            </w:r>
            <w:r>
              <w:rPr>
                <w:rFonts w:ascii="Times New Roman" w:hAnsi="Times New Roman" w:eastAsia="Times New Roman" w:cs="Times New Roman"/>
                <w:spacing w:val="3"/>
                <w:sz w:val="20"/>
                <w:szCs w:val="20"/>
              </w:rPr>
              <w:t>64-17-5</w:t>
            </w:r>
            <w:r>
              <w:rPr>
                <w:rFonts w:ascii="Times New Roman" w:hAnsi="Times New Roman" w:eastAsia="Times New Roman" w:cs="Times New Roman"/>
                <w:spacing w:val="3"/>
                <w:sz w:val="20"/>
                <w:szCs w:val="20"/>
              </w:rPr>
              <w:fldChar w:fldCharType="end"/>
            </w:r>
          </w:p>
        </w:tc>
        <w:tc>
          <w:tcPr>
            <w:tcW w:w="1602" w:type="dxa"/>
            <w:vAlign w:val="top"/>
          </w:tcPr>
          <w:p w14:paraId="24D2AFC2">
            <w:pPr>
              <w:spacing w:before="13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32061</w:t>
            </w:r>
          </w:p>
        </w:tc>
        <w:tc>
          <w:tcPr>
            <w:tcW w:w="1005" w:type="dxa"/>
            <w:vAlign w:val="top"/>
          </w:tcPr>
          <w:p w14:paraId="78ED37E9">
            <w:pPr>
              <w:spacing w:before="13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1170</w:t>
            </w:r>
          </w:p>
        </w:tc>
        <w:tc>
          <w:tcPr>
            <w:tcW w:w="2593" w:type="dxa"/>
            <w:vAlign w:val="top"/>
          </w:tcPr>
          <w:p w14:paraId="76F23306">
            <w:pPr>
              <w:pStyle w:val="6"/>
              <w:spacing w:before="96" w:line="228" w:lineRule="auto"/>
              <w:ind w:left="119"/>
              <w:rPr>
                <w:sz w:val="20"/>
                <w:szCs w:val="20"/>
              </w:rPr>
            </w:pPr>
            <w:r>
              <w:rPr>
                <w:spacing w:val="4"/>
                <w:sz w:val="20"/>
                <w:szCs w:val="20"/>
              </w:rPr>
              <w:t>第</w:t>
            </w:r>
            <w:r>
              <w:rPr>
                <w:spacing w:val="-35"/>
                <w:sz w:val="20"/>
                <w:szCs w:val="20"/>
              </w:rPr>
              <w:t xml:space="preserve"> </w:t>
            </w:r>
            <w:r>
              <w:rPr>
                <w:rFonts w:ascii="Times New Roman" w:hAnsi="Times New Roman" w:eastAsia="Times New Roman" w:cs="Times New Roman"/>
                <w:spacing w:val="4"/>
                <w:sz w:val="20"/>
                <w:szCs w:val="20"/>
              </w:rPr>
              <w:t xml:space="preserve">3.2 </w:t>
            </w:r>
            <w:r>
              <w:rPr>
                <w:spacing w:val="4"/>
                <w:sz w:val="20"/>
                <w:szCs w:val="20"/>
              </w:rPr>
              <w:t>类</w:t>
            </w:r>
            <w:r>
              <w:rPr>
                <w:spacing w:val="35"/>
                <w:sz w:val="20"/>
                <w:szCs w:val="20"/>
              </w:rPr>
              <w:t xml:space="preserve"> </w:t>
            </w:r>
            <w:r>
              <w:rPr>
                <w:spacing w:val="4"/>
                <w:sz w:val="20"/>
                <w:szCs w:val="20"/>
              </w:rPr>
              <w:t>中闪点易燃液体</w:t>
            </w:r>
          </w:p>
        </w:tc>
      </w:tr>
      <w:tr w14:paraId="7C8B4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3" w:type="dxa"/>
            <w:vAlign w:val="top"/>
          </w:tcPr>
          <w:p w14:paraId="6CE72570">
            <w:pPr>
              <w:spacing w:before="135" w:line="192"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68" w:type="dxa"/>
            <w:vAlign w:val="top"/>
          </w:tcPr>
          <w:p w14:paraId="39205029">
            <w:pPr>
              <w:pStyle w:val="6"/>
              <w:spacing w:before="96" w:line="228" w:lineRule="auto"/>
              <w:ind w:left="631"/>
              <w:rPr>
                <w:sz w:val="20"/>
                <w:szCs w:val="20"/>
              </w:rPr>
            </w:pPr>
            <w:r>
              <w:rPr>
                <w:spacing w:val="2"/>
                <w:sz w:val="20"/>
                <w:szCs w:val="20"/>
              </w:rPr>
              <w:t>丙酮</w:t>
            </w:r>
          </w:p>
        </w:tc>
        <w:tc>
          <w:tcPr>
            <w:tcW w:w="1359" w:type="dxa"/>
            <w:vAlign w:val="top"/>
          </w:tcPr>
          <w:p w14:paraId="76B7E7AC">
            <w:pPr>
              <w:spacing w:before="13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67-64-1</w:t>
            </w:r>
          </w:p>
        </w:tc>
        <w:tc>
          <w:tcPr>
            <w:tcW w:w="1602" w:type="dxa"/>
            <w:vAlign w:val="top"/>
          </w:tcPr>
          <w:p w14:paraId="0BE28087">
            <w:pPr>
              <w:spacing w:before="13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31025</w:t>
            </w:r>
          </w:p>
        </w:tc>
        <w:tc>
          <w:tcPr>
            <w:tcW w:w="1005" w:type="dxa"/>
            <w:vAlign w:val="top"/>
          </w:tcPr>
          <w:p w14:paraId="5C91915C">
            <w:pPr>
              <w:spacing w:before="13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1090</w:t>
            </w:r>
          </w:p>
        </w:tc>
        <w:tc>
          <w:tcPr>
            <w:tcW w:w="2593" w:type="dxa"/>
            <w:vAlign w:val="top"/>
          </w:tcPr>
          <w:p w14:paraId="3220F887">
            <w:pPr>
              <w:pStyle w:val="6"/>
              <w:spacing w:before="95" w:line="228" w:lineRule="auto"/>
              <w:ind w:left="119"/>
              <w:rPr>
                <w:sz w:val="20"/>
                <w:szCs w:val="20"/>
              </w:rPr>
            </w:pPr>
            <w:r>
              <w:rPr>
                <w:spacing w:val="4"/>
                <w:sz w:val="20"/>
                <w:szCs w:val="20"/>
              </w:rPr>
              <w:t>第</w:t>
            </w:r>
            <w:r>
              <w:rPr>
                <w:spacing w:val="-39"/>
                <w:sz w:val="20"/>
                <w:szCs w:val="20"/>
              </w:rPr>
              <w:t xml:space="preserve">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类</w:t>
            </w:r>
            <w:r>
              <w:rPr>
                <w:spacing w:val="15"/>
                <w:sz w:val="20"/>
                <w:szCs w:val="20"/>
              </w:rPr>
              <w:t xml:space="preserve"> </w:t>
            </w:r>
            <w:r>
              <w:rPr>
                <w:spacing w:val="4"/>
                <w:sz w:val="20"/>
                <w:szCs w:val="20"/>
              </w:rPr>
              <w:t>低闪点易燃液体</w:t>
            </w:r>
          </w:p>
        </w:tc>
      </w:tr>
      <w:tr w14:paraId="2F374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3" w:type="dxa"/>
            <w:vAlign w:val="top"/>
          </w:tcPr>
          <w:p w14:paraId="230A3FB7">
            <w:pPr>
              <w:spacing w:before="133"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68" w:type="dxa"/>
            <w:vAlign w:val="top"/>
          </w:tcPr>
          <w:p w14:paraId="515E4D5C">
            <w:pPr>
              <w:pStyle w:val="6"/>
              <w:spacing w:before="97" w:line="228" w:lineRule="auto"/>
              <w:ind w:left="418"/>
              <w:rPr>
                <w:sz w:val="20"/>
                <w:szCs w:val="20"/>
              </w:rPr>
            </w:pPr>
            <w:r>
              <w:rPr>
                <w:spacing w:val="7"/>
                <w:sz w:val="20"/>
                <w:szCs w:val="20"/>
              </w:rPr>
              <w:t>三乙醇胺</w:t>
            </w:r>
          </w:p>
        </w:tc>
        <w:tc>
          <w:tcPr>
            <w:tcW w:w="1359" w:type="dxa"/>
            <w:vAlign w:val="top"/>
          </w:tcPr>
          <w:p w14:paraId="51E2DF05">
            <w:pPr>
              <w:spacing w:before="133"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102-71-6</w:t>
            </w:r>
          </w:p>
        </w:tc>
        <w:tc>
          <w:tcPr>
            <w:tcW w:w="1602" w:type="dxa"/>
            <w:vAlign w:val="top"/>
          </w:tcPr>
          <w:p w14:paraId="679A349F">
            <w:pPr>
              <w:pStyle w:val="6"/>
              <w:spacing w:before="97" w:line="228" w:lineRule="auto"/>
              <w:ind w:left="494"/>
              <w:rPr>
                <w:sz w:val="20"/>
                <w:szCs w:val="20"/>
              </w:rPr>
            </w:pPr>
            <w:r>
              <w:rPr>
                <w:spacing w:val="6"/>
                <w:sz w:val="20"/>
                <w:szCs w:val="20"/>
              </w:rPr>
              <w:t>无资料</w:t>
            </w:r>
          </w:p>
        </w:tc>
        <w:tc>
          <w:tcPr>
            <w:tcW w:w="1005" w:type="dxa"/>
            <w:vAlign w:val="top"/>
          </w:tcPr>
          <w:p w14:paraId="5B156CC2">
            <w:pPr>
              <w:pStyle w:val="6"/>
              <w:spacing w:before="97" w:line="228" w:lineRule="auto"/>
              <w:ind w:left="195"/>
              <w:rPr>
                <w:sz w:val="20"/>
                <w:szCs w:val="20"/>
              </w:rPr>
            </w:pPr>
            <w:r>
              <w:rPr>
                <w:spacing w:val="6"/>
                <w:sz w:val="20"/>
                <w:szCs w:val="20"/>
              </w:rPr>
              <w:t>无资料</w:t>
            </w:r>
          </w:p>
        </w:tc>
        <w:tc>
          <w:tcPr>
            <w:tcW w:w="2593" w:type="dxa"/>
            <w:vAlign w:val="top"/>
          </w:tcPr>
          <w:p w14:paraId="25625EB1">
            <w:pPr>
              <w:pStyle w:val="6"/>
              <w:spacing w:before="97" w:line="228" w:lineRule="auto"/>
              <w:ind w:left="988"/>
              <w:rPr>
                <w:sz w:val="20"/>
                <w:szCs w:val="20"/>
              </w:rPr>
            </w:pPr>
            <w:r>
              <w:rPr>
                <w:spacing w:val="6"/>
                <w:sz w:val="20"/>
                <w:szCs w:val="20"/>
              </w:rPr>
              <w:t>无资料</w:t>
            </w:r>
          </w:p>
        </w:tc>
      </w:tr>
      <w:tr w14:paraId="23DF7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13" w:type="dxa"/>
            <w:vAlign w:val="top"/>
          </w:tcPr>
          <w:p w14:paraId="5EC406D2">
            <w:pPr>
              <w:spacing w:before="13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68" w:type="dxa"/>
            <w:vAlign w:val="top"/>
          </w:tcPr>
          <w:p w14:paraId="458E2135">
            <w:pPr>
              <w:pStyle w:val="6"/>
              <w:spacing w:before="98" w:line="228" w:lineRule="auto"/>
              <w:ind w:left="521"/>
              <w:rPr>
                <w:sz w:val="20"/>
                <w:szCs w:val="20"/>
              </w:rPr>
            </w:pPr>
            <w:r>
              <w:rPr>
                <w:spacing w:val="7"/>
                <w:sz w:val="20"/>
                <w:szCs w:val="20"/>
              </w:rPr>
              <w:t>废酸液</w:t>
            </w:r>
          </w:p>
        </w:tc>
        <w:tc>
          <w:tcPr>
            <w:tcW w:w="1359" w:type="dxa"/>
            <w:vAlign w:val="top"/>
          </w:tcPr>
          <w:p w14:paraId="1858D479">
            <w:pPr>
              <w:pStyle w:val="6"/>
              <w:spacing w:before="98" w:line="228" w:lineRule="auto"/>
              <w:ind w:left="372"/>
              <w:rPr>
                <w:sz w:val="20"/>
                <w:szCs w:val="20"/>
              </w:rPr>
            </w:pPr>
            <w:r>
              <w:rPr>
                <w:spacing w:val="6"/>
                <w:sz w:val="20"/>
                <w:szCs w:val="20"/>
              </w:rPr>
              <w:t>无资料</w:t>
            </w:r>
          </w:p>
        </w:tc>
        <w:tc>
          <w:tcPr>
            <w:tcW w:w="1602" w:type="dxa"/>
            <w:vAlign w:val="top"/>
          </w:tcPr>
          <w:p w14:paraId="7A9EE604">
            <w:pPr>
              <w:pStyle w:val="6"/>
              <w:spacing w:before="98" w:line="228" w:lineRule="auto"/>
              <w:ind w:left="494"/>
              <w:rPr>
                <w:sz w:val="20"/>
                <w:szCs w:val="20"/>
              </w:rPr>
            </w:pPr>
            <w:r>
              <w:rPr>
                <w:spacing w:val="6"/>
                <w:sz w:val="20"/>
                <w:szCs w:val="20"/>
              </w:rPr>
              <w:t>无资料</w:t>
            </w:r>
          </w:p>
        </w:tc>
        <w:tc>
          <w:tcPr>
            <w:tcW w:w="1005" w:type="dxa"/>
            <w:vAlign w:val="top"/>
          </w:tcPr>
          <w:p w14:paraId="5F532592">
            <w:pPr>
              <w:pStyle w:val="6"/>
              <w:spacing w:before="98" w:line="228" w:lineRule="auto"/>
              <w:ind w:left="195"/>
              <w:rPr>
                <w:sz w:val="20"/>
                <w:szCs w:val="20"/>
              </w:rPr>
            </w:pPr>
            <w:r>
              <w:rPr>
                <w:spacing w:val="6"/>
                <w:sz w:val="20"/>
                <w:szCs w:val="20"/>
              </w:rPr>
              <w:t>无资料</w:t>
            </w:r>
          </w:p>
        </w:tc>
        <w:tc>
          <w:tcPr>
            <w:tcW w:w="2593" w:type="dxa"/>
            <w:vAlign w:val="top"/>
          </w:tcPr>
          <w:p w14:paraId="0A45E78E">
            <w:pPr>
              <w:pStyle w:val="6"/>
              <w:spacing w:before="98" w:line="228" w:lineRule="auto"/>
              <w:ind w:left="988"/>
              <w:rPr>
                <w:sz w:val="20"/>
                <w:szCs w:val="20"/>
              </w:rPr>
            </w:pPr>
            <w:r>
              <w:rPr>
                <w:spacing w:val="6"/>
                <w:sz w:val="20"/>
                <w:szCs w:val="20"/>
              </w:rPr>
              <w:t>无资料</w:t>
            </w:r>
          </w:p>
        </w:tc>
      </w:tr>
    </w:tbl>
    <w:p w14:paraId="2523715A">
      <w:pPr>
        <w:spacing w:before="178" w:line="219" w:lineRule="auto"/>
        <w:ind w:left="543"/>
        <w:rPr>
          <w:rFonts w:ascii="宋体" w:hAnsi="宋体" w:eastAsia="宋体" w:cs="宋体"/>
          <w:sz w:val="24"/>
          <w:szCs w:val="24"/>
        </w:rPr>
      </w:pPr>
      <w:r>
        <w:rPr>
          <w:rFonts w:ascii="宋体" w:hAnsi="宋体" w:eastAsia="宋体" w:cs="宋体"/>
          <w:spacing w:val="-1"/>
          <w:sz w:val="24"/>
          <w:szCs w:val="24"/>
        </w:rPr>
        <w:t>各危险化学品的理化性质指标见下表。</w:t>
      </w:r>
    </w:p>
    <w:p w14:paraId="734ED041">
      <w:pPr>
        <w:spacing w:before="290" w:line="220" w:lineRule="auto"/>
        <w:ind w:left="240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b/>
          <w:bCs/>
          <w:spacing w:val="-3"/>
          <w:sz w:val="24"/>
          <w:szCs w:val="24"/>
        </w:rPr>
        <w:t xml:space="preserve">17    </w:t>
      </w:r>
      <w:r>
        <w:rPr>
          <w:rFonts w:ascii="宋体" w:hAnsi="宋体" w:eastAsia="宋体" w:cs="宋体"/>
          <w:b/>
          <w:bCs/>
          <w:spacing w:val="-3"/>
          <w:sz w:val="24"/>
          <w:szCs w:val="24"/>
        </w:rPr>
        <w:t>涉及危险化学品理化性能指标表</w:t>
      </w:r>
    </w:p>
    <w:p w14:paraId="0D401AAE">
      <w:pPr>
        <w:spacing w:line="147" w:lineRule="exact"/>
      </w:pPr>
    </w:p>
    <w:tbl>
      <w:tblPr>
        <w:tblStyle w:val="5"/>
        <w:tblW w:w="8924"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1"/>
        <w:gridCol w:w="976"/>
        <w:gridCol w:w="751"/>
        <w:gridCol w:w="1360"/>
        <w:gridCol w:w="1073"/>
        <w:gridCol w:w="1004"/>
        <w:gridCol w:w="1064"/>
        <w:gridCol w:w="1094"/>
        <w:gridCol w:w="1221"/>
      </w:tblGrid>
      <w:tr w14:paraId="3EDAF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381" w:type="dxa"/>
            <w:vAlign w:val="top"/>
          </w:tcPr>
          <w:p w14:paraId="74ED5AAE">
            <w:pPr>
              <w:pStyle w:val="6"/>
              <w:spacing w:before="58" w:line="222" w:lineRule="auto"/>
              <w:ind w:left="112"/>
              <w:rPr>
                <w:sz w:val="20"/>
                <w:szCs w:val="20"/>
              </w:rPr>
            </w:pPr>
            <w:r>
              <w:rPr>
                <w:spacing w:val="1"/>
                <w:sz w:val="20"/>
                <w:szCs w:val="20"/>
              </w:rPr>
              <w:t>序</w:t>
            </w:r>
          </w:p>
          <w:p w14:paraId="33B7F7FC">
            <w:pPr>
              <w:pStyle w:val="6"/>
              <w:spacing w:line="229" w:lineRule="auto"/>
              <w:ind w:left="118"/>
              <w:rPr>
                <w:sz w:val="20"/>
                <w:szCs w:val="20"/>
              </w:rPr>
            </w:pPr>
            <w:r>
              <w:rPr>
                <w:sz w:val="20"/>
                <w:szCs w:val="20"/>
              </w:rPr>
              <w:t>号</w:t>
            </w:r>
          </w:p>
        </w:tc>
        <w:tc>
          <w:tcPr>
            <w:tcW w:w="976" w:type="dxa"/>
            <w:vAlign w:val="top"/>
          </w:tcPr>
          <w:p w14:paraId="4151249F">
            <w:pPr>
              <w:pStyle w:val="6"/>
              <w:spacing w:before="58" w:line="222" w:lineRule="auto"/>
              <w:ind w:left="109"/>
              <w:rPr>
                <w:sz w:val="20"/>
                <w:szCs w:val="20"/>
              </w:rPr>
            </w:pPr>
            <w:r>
              <w:rPr>
                <w:spacing w:val="-6"/>
                <w:sz w:val="20"/>
                <w:szCs w:val="20"/>
              </w:rPr>
              <w:t>危险化学</w:t>
            </w:r>
          </w:p>
          <w:p w14:paraId="384BBB2A">
            <w:pPr>
              <w:pStyle w:val="6"/>
              <w:spacing w:line="229" w:lineRule="auto"/>
              <w:ind w:left="219"/>
              <w:rPr>
                <w:sz w:val="20"/>
                <w:szCs w:val="20"/>
              </w:rPr>
            </w:pPr>
            <w:r>
              <w:rPr>
                <w:spacing w:val="-9"/>
                <w:sz w:val="20"/>
                <w:szCs w:val="20"/>
              </w:rPr>
              <w:t>品名称</w:t>
            </w:r>
          </w:p>
        </w:tc>
        <w:tc>
          <w:tcPr>
            <w:tcW w:w="751" w:type="dxa"/>
            <w:vAlign w:val="top"/>
          </w:tcPr>
          <w:p w14:paraId="77AFA711">
            <w:pPr>
              <w:pStyle w:val="6"/>
              <w:spacing w:before="59" w:line="227" w:lineRule="auto"/>
              <w:ind w:left="280" w:right="164" w:hanging="91"/>
              <w:rPr>
                <w:sz w:val="20"/>
                <w:szCs w:val="20"/>
              </w:rPr>
            </w:pPr>
            <w:r>
              <w:rPr>
                <w:spacing w:val="-7"/>
                <w:sz w:val="20"/>
                <w:szCs w:val="20"/>
              </w:rPr>
              <w:t>分子</w:t>
            </w:r>
            <w:r>
              <w:rPr>
                <w:sz w:val="20"/>
                <w:szCs w:val="20"/>
              </w:rPr>
              <w:t xml:space="preserve"> 量</w:t>
            </w:r>
          </w:p>
        </w:tc>
        <w:tc>
          <w:tcPr>
            <w:tcW w:w="1360" w:type="dxa"/>
            <w:vAlign w:val="top"/>
          </w:tcPr>
          <w:p w14:paraId="423ECF1B">
            <w:pPr>
              <w:pStyle w:val="6"/>
              <w:spacing w:before="178" w:line="228" w:lineRule="auto"/>
              <w:ind w:left="212"/>
              <w:rPr>
                <w:sz w:val="20"/>
                <w:szCs w:val="20"/>
              </w:rPr>
            </w:pPr>
            <w:r>
              <w:rPr>
                <w:spacing w:val="-7"/>
                <w:sz w:val="20"/>
                <w:szCs w:val="20"/>
              </w:rPr>
              <w:t>外观与形状</w:t>
            </w:r>
          </w:p>
        </w:tc>
        <w:tc>
          <w:tcPr>
            <w:tcW w:w="1073" w:type="dxa"/>
            <w:vAlign w:val="top"/>
          </w:tcPr>
          <w:p w14:paraId="21A3B4C1">
            <w:pPr>
              <w:pStyle w:val="6"/>
              <w:spacing w:before="58" w:line="190" w:lineRule="auto"/>
              <w:ind w:left="161"/>
              <w:rPr>
                <w:sz w:val="20"/>
                <w:szCs w:val="20"/>
              </w:rPr>
            </w:pPr>
            <w:r>
              <w:rPr>
                <w:spacing w:val="-5"/>
                <w:sz w:val="20"/>
                <w:szCs w:val="20"/>
              </w:rPr>
              <w:t>相对密度</w:t>
            </w:r>
          </w:p>
          <w:p w14:paraId="2E511463">
            <w:pPr>
              <w:pStyle w:val="6"/>
              <w:spacing w:line="277" w:lineRule="exact"/>
              <w:ind w:left="164"/>
              <w:rPr>
                <w:sz w:val="20"/>
                <w:szCs w:val="20"/>
              </w:rPr>
            </w:pPr>
            <w:r>
              <w:rPr>
                <w:spacing w:val="-7"/>
                <w:position w:val="1"/>
                <w:sz w:val="20"/>
                <w:szCs w:val="20"/>
              </w:rPr>
              <w:t>（水</w:t>
            </w:r>
            <w:r>
              <w:rPr>
                <w:rFonts w:ascii="Times New Roman" w:hAnsi="Times New Roman" w:eastAsia="Times New Roman" w:cs="Times New Roman"/>
                <w:spacing w:val="-7"/>
                <w:position w:val="1"/>
                <w:sz w:val="20"/>
                <w:szCs w:val="20"/>
              </w:rPr>
              <w:t>=1</w:t>
            </w:r>
            <w:r>
              <w:rPr>
                <w:spacing w:val="-7"/>
                <w:position w:val="1"/>
                <w:sz w:val="20"/>
                <w:szCs w:val="20"/>
              </w:rPr>
              <w:t>）</w:t>
            </w:r>
          </w:p>
        </w:tc>
        <w:tc>
          <w:tcPr>
            <w:tcW w:w="1004" w:type="dxa"/>
            <w:vAlign w:val="top"/>
          </w:tcPr>
          <w:p w14:paraId="2BE4C301">
            <w:pPr>
              <w:pStyle w:val="6"/>
              <w:spacing w:before="179" w:line="228" w:lineRule="auto"/>
              <w:ind w:left="113"/>
              <w:rPr>
                <w:sz w:val="20"/>
                <w:szCs w:val="20"/>
              </w:rPr>
            </w:pPr>
            <w:r>
              <w:rPr>
                <w:spacing w:val="-3"/>
                <w:sz w:val="20"/>
                <w:szCs w:val="20"/>
              </w:rPr>
              <w:t>熔点(</w:t>
            </w:r>
            <w:r>
              <w:rPr>
                <w:rFonts w:ascii="Times New Roman" w:hAnsi="Times New Roman" w:eastAsia="Times New Roman" w:cs="Times New Roman"/>
                <w:spacing w:val="-3"/>
                <w:sz w:val="20"/>
                <w:szCs w:val="20"/>
              </w:rPr>
              <w:t>℃</w:t>
            </w:r>
            <w:r>
              <w:rPr>
                <w:spacing w:val="-3"/>
                <w:sz w:val="20"/>
                <w:szCs w:val="20"/>
              </w:rPr>
              <w:t>)</w:t>
            </w:r>
          </w:p>
        </w:tc>
        <w:tc>
          <w:tcPr>
            <w:tcW w:w="1064" w:type="dxa"/>
            <w:vAlign w:val="top"/>
          </w:tcPr>
          <w:p w14:paraId="149D28AF">
            <w:pPr>
              <w:pStyle w:val="6"/>
              <w:spacing w:before="178" w:line="229" w:lineRule="auto"/>
              <w:ind w:left="112"/>
              <w:rPr>
                <w:sz w:val="20"/>
                <w:szCs w:val="20"/>
              </w:rPr>
            </w:pPr>
            <w:r>
              <w:rPr>
                <w:spacing w:val="-7"/>
                <w:sz w:val="20"/>
                <w:szCs w:val="20"/>
              </w:rPr>
              <w:t>沸点</w:t>
            </w:r>
            <w:r>
              <w:rPr>
                <w:spacing w:val="-17"/>
                <w:sz w:val="20"/>
                <w:szCs w:val="20"/>
              </w:rPr>
              <w:t xml:space="preserve"> </w:t>
            </w:r>
            <w:r>
              <w:rPr>
                <w:spacing w:val="-7"/>
                <w:sz w:val="20"/>
                <w:szCs w:val="20"/>
              </w:rPr>
              <w:t>(</w:t>
            </w:r>
            <w:r>
              <w:rPr>
                <w:rFonts w:ascii="Times New Roman" w:hAnsi="Times New Roman" w:eastAsia="Times New Roman" w:cs="Times New Roman"/>
                <w:spacing w:val="-7"/>
                <w:sz w:val="20"/>
                <w:szCs w:val="20"/>
              </w:rPr>
              <w:t>℃</w:t>
            </w:r>
            <w:r>
              <w:rPr>
                <w:spacing w:val="-7"/>
                <w:sz w:val="20"/>
                <w:szCs w:val="20"/>
              </w:rPr>
              <w:t>)</w:t>
            </w:r>
          </w:p>
        </w:tc>
        <w:tc>
          <w:tcPr>
            <w:tcW w:w="1094" w:type="dxa"/>
            <w:vAlign w:val="top"/>
          </w:tcPr>
          <w:p w14:paraId="03BA8F57">
            <w:pPr>
              <w:pStyle w:val="6"/>
              <w:spacing w:before="59" w:line="226" w:lineRule="auto"/>
              <w:ind w:left="126" w:right="110" w:firstLine="46"/>
              <w:rPr>
                <w:sz w:val="20"/>
                <w:szCs w:val="20"/>
              </w:rPr>
            </w:pPr>
            <w:r>
              <w:rPr>
                <w:spacing w:val="-8"/>
                <w:sz w:val="20"/>
                <w:szCs w:val="20"/>
              </w:rPr>
              <w:t>饱和蒸气</w:t>
            </w:r>
            <w:r>
              <w:rPr>
                <w:spacing w:val="1"/>
                <w:sz w:val="20"/>
                <w:szCs w:val="20"/>
              </w:rPr>
              <w:t xml:space="preserve"> </w:t>
            </w:r>
            <w:r>
              <w:rPr>
                <w:spacing w:val="-9"/>
                <w:sz w:val="20"/>
                <w:szCs w:val="20"/>
              </w:rPr>
              <w:t>压（</w:t>
            </w:r>
            <w:r>
              <w:rPr>
                <w:rFonts w:ascii="Times New Roman" w:hAnsi="Times New Roman" w:eastAsia="Times New Roman" w:cs="Times New Roman"/>
                <w:spacing w:val="-9"/>
                <w:sz w:val="20"/>
                <w:szCs w:val="20"/>
              </w:rPr>
              <w:t>kPa</w:t>
            </w:r>
            <w:r>
              <w:rPr>
                <w:spacing w:val="-9"/>
                <w:sz w:val="20"/>
                <w:szCs w:val="20"/>
              </w:rPr>
              <w:t>）</w:t>
            </w:r>
          </w:p>
        </w:tc>
        <w:tc>
          <w:tcPr>
            <w:tcW w:w="1221" w:type="dxa"/>
            <w:vAlign w:val="top"/>
          </w:tcPr>
          <w:p w14:paraId="526841E2">
            <w:pPr>
              <w:pStyle w:val="6"/>
              <w:spacing w:before="179" w:line="228" w:lineRule="auto"/>
              <w:ind w:left="332"/>
              <w:rPr>
                <w:sz w:val="20"/>
                <w:szCs w:val="20"/>
              </w:rPr>
            </w:pPr>
            <w:r>
              <w:rPr>
                <w:spacing w:val="-5"/>
                <w:sz w:val="20"/>
                <w:szCs w:val="20"/>
              </w:rPr>
              <w:t>溶解性</w:t>
            </w:r>
          </w:p>
        </w:tc>
      </w:tr>
      <w:tr w14:paraId="5DD67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381" w:type="dxa"/>
            <w:vAlign w:val="top"/>
          </w:tcPr>
          <w:p w14:paraId="05414669">
            <w:pPr>
              <w:spacing w:line="349" w:lineRule="auto"/>
              <w:rPr>
                <w:rFonts w:ascii="Arial"/>
                <w:sz w:val="21"/>
              </w:rPr>
            </w:pPr>
          </w:p>
          <w:p w14:paraId="75D8378F">
            <w:pPr>
              <w:spacing w:before="5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76" w:type="dxa"/>
            <w:vAlign w:val="top"/>
          </w:tcPr>
          <w:p w14:paraId="610A6002">
            <w:pPr>
              <w:pStyle w:val="6"/>
              <w:spacing w:before="236" w:line="229" w:lineRule="auto"/>
              <w:ind w:left="278"/>
              <w:rPr>
                <w:sz w:val="20"/>
                <w:szCs w:val="20"/>
              </w:rPr>
            </w:pPr>
            <w:r>
              <w:rPr>
                <w:spacing w:val="3"/>
                <w:sz w:val="20"/>
                <w:szCs w:val="20"/>
              </w:rPr>
              <w:t>盐酸</w:t>
            </w:r>
          </w:p>
          <w:p w14:paraId="6D9F19E2">
            <w:pPr>
              <w:pStyle w:val="6"/>
              <w:spacing w:before="22"/>
              <w:ind w:left="116"/>
              <w:rPr>
                <w:sz w:val="20"/>
                <w:szCs w:val="20"/>
              </w:rPr>
            </w:pPr>
            <w:r>
              <w:rPr>
                <w:spacing w:val="2"/>
                <w:sz w:val="20"/>
                <w:szCs w:val="20"/>
              </w:rPr>
              <w:t>（</w:t>
            </w:r>
            <w:r>
              <w:rPr>
                <w:rFonts w:ascii="Times New Roman" w:hAnsi="Times New Roman" w:eastAsia="Times New Roman" w:cs="Times New Roman"/>
                <w:spacing w:val="2"/>
                <w:sz w:val="20"/>
                <w:szCs w:val="20"/>
              </w:rPr>
              <w:t>31%</w:t>
            </w:r>
            <w:r>
              <w:rPr>
                <w:spacing w:val="2"/>
                <w:sz w:val="20"/>
                <w:szCs w:val="20"/>
              </w:rPr>
              <w:t>）</w:t>
            </w:r>
          </w:p>
        </w:tc>
        <w:tc>
          <w:tcPr>
            <w:tcW w:w="751" w:type="dxa"/>
            <w:vAlign w:val="top"/>
          </w:tcPr>
          <w:p w14:paraId="159953D7">
            <w:pPr>
              <w:spacing w:line="347" w:lineRule="auto"/>
              <w:rPr>
                <w:rFonts w:ascii="Arial"/>
                <w:sz w:val="21"/>
              </w:rPr>
            </w:pPr>
          </w:p>
          <w:p w14:paraId="01133558">
            <w:pPr>
              <w:spacing w:before="5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36.46</w:t>
            </w:r>
          </w:p>
        </w:tc>
        <w:tc>
          <w:tcPr>
            <w:tcW w:w="1360" w:type="dxa"/>
            <w:vAlign w:val="top"/>
          </w:tcPr>
          <w:p w14:paraId="1F84DB8F">
            <w:pPr>
              <w:pStyle w:val="6"/>
              <w:spacing w:before="10" w:line="222" w:lineRule="auto"/>
              <w:ind w:left="159"/>
              <w:rPr>
                <w:sz w:val="20"/>
                <w:szCs w:val="20"/>
              </w:rPr>
            </w:pPr>
            <w:r>
              <w:rPr>
                <w:spacing w:val="7"/>
                <w:sz w:val="20"/>
                <w:szCs w:val="20"/>
              </w:rPr>
              <w:t>无色或微黄</w:t>
            </w:r>
          </w:p>
          <w:p w14:paraId="5080A281">
            <w:pPr>
              <w:pStyle w:val="6"/>
              <w:spacing w:line="221" w:lineRule="auto"/>
              <w:ind w:left="263"/>
              <w:rPr>
                <w:sz w:val="20"/>
                <w:szCs w:val="20"/>
              </w:rPr>
            </w:pPr>
            <w:r>
              <w:rPr>
                <w:spacing w:val="6"/>
                <w:sz w:val="20"/>
                <w:szCs w:val="20"/>
              </w:rPr>
              <w:t>色发烟液</w:t>
            </w:r>
          </w:p>
          <w:p w14:paraId="60F093E5">
            <w:pPr>
              <w:pStyle w:val="6"/>
              <w:spacing w:line="221" w:lineRule="auto"/>
              <w:ind w:left="157"/>
              <w:rPr>
                <w:sz w:val="20"/>
                <w:szCs w:val="20"/>
              </w:rPr>
            </w:pPr>
            <w:r>
              <w:rPr>
                <w:spacing w:val="8"/>
                <w:sz w:val="20"/>
                <w:szCs w:val="20"/>
              </w:rPr>
              <w:t>体，有刺鼻</w:t>
            </w:r>
          </w:p>
          <w:p w14:paraId="2F2A7BC3">
            <w:pPr>
              <w:pStyle w:val="6"/>
              <w:spacing w:before="1" w:line="205" w:lineRule="auto"/>
              <w:ind w:left="383"/>
              <w:rPr>
                <w:sz w:val="20"/>
                <w:szCs w:val="20"/>
              </w:rPr>
            </w:pPr>
            <w:r>
              <w:rPr>
                <w:spacing w:val="1"/>
                <w:sz w:val="20"/>
                <w:szCs w:val="20"/>
              </w:rPr>
              <w:t>的酸味</w:t>
            </w:r>
          </w:p>
        </w:tc>
        <w:tc>
          <w:tcPr>
            <w:tcW w:w="1073" w:type="dxa"/>
            <w:vAlign w:val="top"/>
          </w:tcPr>
          <w:p w14:paraId="05E4E7DE">
            <w:pPr>
              <w:spacing w:line="347" w:lineRule="auto"/>
              <w:rPr>
                <w:rFonts w:ascii="Arial"/>
                <w:sz w:val="21"/>
              </w:rPr>
            </w:pPr>
          </w:p>
          <w:p w14:paraId="52E497DA">
            <w:pPr>
              <w:spacing w:before="5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1.19</w:t>
            </w:r>
          </w:p>
        </w:tc>
        <w:tc>
          <w:tcPr>
            <w:tcW w:w="1004" w:type="dxa"/>
            <w:vAlign w:val="top"/>
          </w:tcPr>
          <w:p w14:paraId="13FFB651">
            <w:pPr>
              <w:spacing w:before="28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-114.8℃</w:t>
            </w:r>
          </w:p>
          <w:p w14:paraId="70AB2647">
            <w:pPr>
              <w:pStyle w:val="6"/>
              <w:spacing w:before="17" w:line="236" w:lineRule="auto"/>
              <w:ind w:left="364"/>
              <w:rPr>
                <w:sz w:val="20"/>
                <w:szCs w:val="20"/>
              </w:rPr>
            </w:pPr>
            <w:r>
              <w:rPr>
                <w:rFonts w:ascii="Times New Roman" w:hAnsi="Times New Roman" w:eastAsia="Times New Roman" w:cs="Times New Roman"/>
                <w:spacing w:val="5"/>
                <w:sz w:val="20"/>
                <w:szCs w:val="20"/>
              </w:rPr>
              <w:t>/</w:t>
            </w:r>
            <w:r>
              <w:rPr>
                <w:spacing w:val="5"/>
                <w:sz w:val="20"/>
                <w:szCs w:val="20"/>
              </w:rPr>
              <w:t>纯</w:t>
            </w:r>
          </w:p>
        </w:tc>
        <w:tc>
          <w:tcPr>
            <w:tcW w:w="1064" w:type="dxa"/>
            <w:vAlign w:val="top"/>
          </w:tcPr>
          <w:p w14:paraId="6BECBF87">
            <w:pPr>
              <w:spacing w:before="282" w:line="199"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108.6℃/</w:t>
            </w:r>
          </w:p>
          <w:p w14:paraId="4EB2811F">
            <w:pPr>
              <w:spacing w:before="5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w:t>
            </w:r>
          </w:p>
        </w:tc>
        <w:tc>
          <w:tcPr>
            <w:tcW w:w="1094" w:type="dxa"/>
            <w:vAlign w:val="top"/>
          </w:tcPr>
          <w:p w14:paraId="33F3A221">
            <w:pPr>
              <w:spacing w:before="282" w:line="199"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17kPa</w:t>
            </w:r>
          </w:p>
          <w:p w14:paraId="465414D6">
            <w:pPr>
              <w:spacing w:before="49" w:line="201" w:lineRule="auto"/>
              <w:ind w:left="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(25℃/31%)</w:t>
            </w:r>
          </w:p>
        </w:tc>
        <w:tc>
          <w:tcPr>
            <w:tcW w:w="1221" w:type="dxa"/>
            <w:vAlign w:val="top"/>
          </w:tcPr>
          <w:p w14:paraId="3FCCBC61">
            <w:pPr>
              <w:spacing w:line="303" w:lineRule="auto"/>
              <w:rPr>
                <w:rFonts w:ascii="Arial"/>
                <w:sz w:val="21"/>
              </w:rPr>
            </w:pPr>
          </w:p>
          <w:p w14:paraId="38275C6F">
            <w:pPr>
              <w:pStyle w:val="6"/>
              <w:spacing w:before="65" w:line="228" w:lineRule="auto"/>
              <w:ind w:left="238"/>
              <w:rPr>
                <w:sz w:val="20"/>
                <w:szCs w:val="20"/>
              </w:rPr>
            </w:pPr>
            <w:r>
              <w:rPr>
                <w:spacing w:val="-7"/>
                <w:sz w:val="20"/>
                <w:szCs w:val="20"/>
              </w:rPr>
              <w:t>与水相溶</w:t>
            </w:r>
          </w:p>
        </w:tc>
      </w:tr>
      <w:tr w14:paraId="65C7B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381" w:type="dxa"/>
            <w:vAlign w:val="top"/>
          </w:tcPr>
          <w:p w14:paraId="2A131FBE">
            <w:pPr>
              <w:spacing w:before="289"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76" w:type="dxa"/>
            <w:vAlign w:val="top"/>
          </w:tcPr>
          <w:p w14:paraId="6C577979">
            <w:pPr>
              <w:pStyle w:val="6"/>
              <w:spacing w:before="116" w:line="228" w:lineRule="auto"/>
              <w:ind w:left="171"/>
              <w:rPr>
                <w:sz w:val="20"/>
                <w:szCs w:val="20"/>
              </w:rPr>
            </w:pPr>
            <w:r>
              <w:rPr>
                <w:spacing w:val="6"/>
                <w:sz w:val="20"/>
                <w:szCs w:val="20"/>
              </w:rPr>
              <w:t>氢氟酸</w:t>
            </w:r>
          </w:p>
          <w:p w14:paraId="26FC5377">
            <w:pPr>
              <w:pStyle w:val="6"/>
              <w:spacing w:before="26"/>
              <w:ind w:left="116"/>
              <w:rPr>
                <w:sz w:val="20"/>
                <w:szCs w:val="20"/>
              </w:rPr>
            </w:pPr>
            <w:r>
              <w:rPr>
                <w:spacing w:val="2"/>
                <w:sz w:val="20"/>
                <w:szCs w:val="20"/>
              </w:rPr>
              <w:t>（</w:t>
            </w:r>
            <w:r>
              <w:rPr>
                <w:rFonts w:ascii="Times New Roman" w:hAnsi="Times New Roman" w:eastAsia="Times New Roman" w:cs="Times New Roman"/>
                <w:spacing w:val="2"/>
                <w:sz w:val="20"/>
                <w:szCs w:val="20"/>
              </w:rPr>
              <w:t>30%</w:t>
            </w:r>
            <w:r>
              <w:rPr>
                <w:spacing w:val="2"/>
                <w:sz w:val="20"/>
                <w:szCs w:val="20"/>
              </w:rPr>
              <w:t>）</w:t>
            </w:r>
          </w:p>
        </w:tc>
        <w:tc>
          <w:tcPr>
            <w:tcW w:w="751" w:type="dxa"/>
            <w:vAlign w:val="top"/>
          </w:tcPr>
          <w:p w14:paraId="3C9A6687">
            <w:pPr>
              <w:spacing w:before="28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20.01</w:t>
            </w:r>
          </w:p>
        </w:tc>
        <w:tc>
          <w:tcPr>
            <w:tcW w:w="1360" w:type="dxa"/>
            <w:vAlign w:val="top"/>
          </w:tcPr>
          <w:p w14:paraId="48FF45B5">
            <w:pPr>
              <w:pStyle w:val="6"/>
              <w:spacing w:before="10" w:line="222" w:lineRule="auto"/>
              <w:ind w:left="159"/>
              <w:rPr>
                <w:sz w:val="20"/>
                <w:szCs w:val="20"/>
              </w:rPr>
            </w:pPr>
            <w:r>
              <w:rPr>
                <w:spacing w:val="7"/>
                <w:sz w:val="20"/>
                <w:szCs w:val="20"/>
              </w:rPr>
              <w:t>无色透明有</w:t>
            </w:r>
          </w:p>
          <w:p w14:paraId="3C59AC43">
            <w:pPr>
              <w:pStyle w:val="6"/>
              <w:spacing w:line="221" w:lineRule="auto"/>
              <w:ind w:left="157"/>
              <w:rPr>
                <w:sz w:val="20"/>
                <w:szCs w:val="20"/>
              </w:rPr>
            </w:pPr>
            <w:r>
              <w:rPr>
                <w:spacing w:val="8"/>
                <w:sz w:val="20"/>
                <w:szCs w:val="20"/>
              </w:rPr>
              <w:t>刺激性臭味</w:t>
            </w:r>
          </w:p>
          <w:p w14:paraId="14EFAA24">
            <w:pPr>
              <w:pStyle w:val="6"/>
              <w:spacing w:line="205" w:lineRule="auto"/>
              <w:ind w:left="474"/>
              <w:rPr>
                <w:sz w:val="20"/>
                <w:szCs w:val="20"/>
              </w:rPr>
            </w:pPr>
            <w:r>
              <w:rPr>
                <w:spacing w:val="3"/>
                <w:sz w:val="20"/>
                <w:szCs w:val="20"/>
              </w:rPr>
              <w:t>液体</w:t>
            </w:r>
          </w:p>
        </w:tc>
        <w:tc>
          <w:tcPr>
            <w:tcW w:w="1073" w:type="dxa"/>
            <w:vAlign w:val="top"/>
          </w:tcPr>
          <w:p w14:paraId="07B65237">
            <w:pPr>
              <w:spacing w:before="28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1.26</w:t>
            </w:r>
          </w:p>
        </w:tc>
        <w:tc>
          <w:tcPr>
            <w:tcW w:w="1004" w:type="dxa"/>
            <w:vAlign w:val="top"/>
          </w:tcPr>
          <w:p w14:paraId="09AAB3AF">
            <w:pPr>
              <w:spacing w:before="163" w:line="199"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-83.3℃/</w:t>
            </w:r>
          </w:p>
          <w:p w14:paraId="3E647B95">
            <w:pPr>
              <w:pStyle w:val="6"/>
              <w:spacing w:before="17" w:line="236" w:lineRule="auto"/>
              <w:ind w:left="403"/>
              <w:rPr>
                <w:sz w:val="20"/>
                <w:szCs w:val="20"/>
              </w:rPr>
            </w:pPr>
            <w:r>
              <w:rPr>
                <w:sz w:val="20"/>
                <w:szCs w:val="20"/>
              </w:rPr>
              <w:t>纯</w:t>
            </w:r>
          </w:p>
        </w:tc>
        <w:tc>
          <w:tcPr>
            <w:tcW w:w="1064" w:type="dxa"/>
            <w:vAlign w:val="top"/>
          </w:tcPr>
          <w:p w14:paraId="3BF2E513">
            <w:pPr>
              <w:pStyle w:val="6"/>
              <w:spacing w:before="10" w:line="222" w:lineRule="auto"/>
              <w:ind w:left="291"/>
              <w:rPr>
                <w:sz w:val="20"/>
                <w:szCs w:val="20"/>
              </w:rPr>
            </w:pPr>
            <w:r>
              <w:rPr>
                <w:rFonts w:ascii="Times New Roman" w:hAnsi="Times New Roman" w:eastAsia="Times New Roman" w:cs="Times New Roman"/>
                <w:spacing w:val="-1"/>
                <w:sz w:val="20"/>
                <w:szCs w:val="20"/>
              </w:rPr>
              <w:t>120</w:t>
            </w:r>
            <w:r>
              <w:rPr>
                <w:spacing w:val="-1"/>
                <w:sz w:val="20"/>
                <w:szCs w:val="20"/>
              </w:rPr>
              <w:t>℃</w:t>
            </w:r>
          </w:p>
          <w:p w14:paraId="059CD653">
            <w:pPr>
              <w:pStyle w:val="6"/>
              <w:spacing w:line="221" w:lineRule="auto"/>
              <w:ind w:left="170"/>
              <w:rPr>
                <w:rFonts w:ascii="Times New Roman" w:hAnsi="Times New Roman" w:eastAsia="Times New Roman" w:cs="Times New Roman"/>
                <w:sz w:val="20"/>
                <w:szCs w:val="20"/>
              </w:rPr>
            </w:pPr>
            <w:r>
              <w:rPr>
                <w:spacing w:val="3"/>
                <w:sz w:val="20"/>
                <w:szCs w:val="20"/>
              </w:rPr>
              <w:t>（</w:t>
            </w:r>
            <w:r>
              <w:rPr>
                <w:rFonts w:ascii="Times New Roman" w:hAnsi="Times New Roman" w:eastAsia="Times New Roman" w:cs="Times New Roman"/>
                <w:spacing w:val="3"/>
                <w:sz w:val="20"/>
                <w:szCs w:val="20"/>
              </w:rPr>
              <w:t>35.3%</w:t>
            </w:r>
          </w:p>
          <w:p w14:paraId="3C1B6DFF">
            <w:pPr>
              <w:pStyle w:val="6"/>
              <w:spacing w:line="205" w:lineRule="auto"/>
              <w:ind w:left="453"/>
              <w:rPr>
                <w:sz w:val="20"/>
                <w:szCs w:val="20"/>
              </w:rPr>
            </w:pPr>
            <w:r>
              <w:rPr>
                <w:sz w:val="20"/>
                <w:szCs w:val="20"/>
              </w:rPr>
              <w:t>)</w:t>
            </w:r>
          </w:p>
        </w:tc>
        <w:tc>
          <w:tcPr>
            <w:tcW w:w="1094" w:type="dxa"/>
            <w:vAlign w:val="top"/>
          </w:tcPr>
          <w:p w14:paraId="4FA3A121">
            <w:pPr>
              <w:spacing w:before="16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2000</w:t>
            </w:r>
            <w:r>
              <w:rPr>
                <w:rFonts w:ascii="Times New Roman" w:hAnsi="Times New Roman" w:eastAsia="Times New Roman" w:cs="Times New Roman"/>
                <w:sz w:val="20"/>
                <w:szCs w:val="20"/>
              </w:rPr>
              <w:t>Pa</w:t>
            </w:r>
          </w:p>
          <w:p w14:paraId="0487B045">
            <w:pPr>
              <w:spacing w:before="49" w:line="201"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p>
        </w:tc>
        <w:tc>
          <w:tcPr>
            <w:tcW w:w="1221" w:type="dxa"/>
            <w:vAlign w:val="top"/>
          </w:tcPr>
          <w:p w14:paraId="6B681DFF">
            <w:pPr>
              <w:pStyle w:val="6"/>
              <w:spacing w:before="250" w:line="228" w:lineRule="auto"/>
              <w:ind w:left="238"/>
              <w:rPr>
                <w:sz w:val="20"/>
                <w:szCs w:val="20"/>
              </w:rPr>
            </w:pPr>
            <w:r>
              <w:rPr>
                <w:spacing w:val="-7"/>
                <w:sz w:val="20"/>
                <w:szCs w:val="20"/>
              </w:rPr>
              <w:t>与水相溶</w:t>
            </w:r>
          </w:p>
        </w:tc>
      </w:tr>
      <w:tr w14:paraId="765E9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381" w:type="dxa"/>
            <w:vAlign w:val="top"/>
          </w:tcPr>
          <w:p w14:paraId="11020C5D">
            <w:pPr>
              <w:spacing w:before="292"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76" w:type="dxa"/>
            <w:vAlign w:val="top"/>
          </w:tcPr>
          <w:p w14:paraId="0F7AFBE3">
            <w:pPr>
              <w:pStyle w:val="6"/>
              <w:spacing w:before="117" w:line="229" w:lineRule="auto"/>
              <w:ind w:left="276"/>
              <w:rPr>
                <w:sz w:val="20"/>
                <w:szCs w:val="20"/>
              </w:rPr>
            </w:pPr>
            <w:r>
              <w:rPr>
                <w:spacing w:val="5"/>
                <w:sz w:val="20"/>
                <w:szCs w:val="20"/>
              </w:rPr>
              <w:t>硫酸</w:t>
            </w:r>
          </w:p>
          <w:p w14:paraId="28D606E2">
            <w:pPr>
              <w:pStyle w:val="6"/>
              <w:spacing w:before="25"/>
              <w:ind w:left="116"/>
              <w:rPr>
                <w:sz w:val="20"/>
                <w:szCs w:val="20"/>
              </w:rPr>
            </w:pPr>
            <w:r>
              <w:rPr>
                <w:spacing w:val="2"/>
                <w:sz w:val="20"/>
                <w:szCs w:val="20"/>
              </w:rPr>
              <w:t>（</w:t>
            </w:r>
            <w:r>
              <w:rPr>
                <w:rFonts w:ascii="Times New Roman" w:hAnsi="Times New Roman" w:eastAsia="Times New Roman" w:cs="Times New Roman"/>
                <w:spacing w:val="2"/>
                <w:sz w:val="20"/>
                <w:szCs w:val="20"/>
              </w:rPr>
              <w:t>98%</w:t>
            </w:r>
            <w:r>
              <w:rPr>
                <w:spacing w:val="2"/>
                <w:sz w:val="20"/>
                <w:szCs w:val="20"/>
              </w:rPr>
              <w:t>）</w:t>
            </w:r>
          </w:p>
        </w:tc>
        <w:tc>
          <w:tcPr>
            <w:tcW w:w="751" w:type="dxa"/>
            <w:vAlign w:val="top"/>
          </w:tcPr>
          <w:p w14:paraId="12E592FC">
            <w:pPr>
              <w:spacing w:before="28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98.08</w:t>
            </w:r>
          </w:p>
        </w:tc>
        <w:tc>
          <w:tcPr>
            <w:tcW w:w="1360" w:type="dxa"/>
            <w:vAlign w:val="top"/>
          </w:tcPr>
          <w:p w14:paraId="6781D592">
            <w:pPr>
              <w:pStyle w:val="6"/>
              <w:spacing w:before="11" w:line="222" w:lineRule="auto"/>
              <w:ind w:left="160"/>
              <w:rPr>
                <w:sz w:val="20"/>
                <w:szCs w:val="20"/>
              </w:rPr>
            </w:pPr>
            <w:r>
              <w:rPr>
                <w:spacing w:val="7"/>
                <w:sz w:val="20"/>
                <w:szCs w:val="20"/>
              </w:rPr>
              <w:t>纯品为无色</w:t>
            </w:r>
          </w:p>
          <w:p w14:paraId="730D0882">
            <w:pPr>
              <w:pStyle w:val="6"/>
              <w:spacing w:line="221" w:lineRule="auto"/>
              <w:ind w:left="157"/>
              <w:rPr>
                <w:sz w:val="20"/>
                <w:szCs w:val="20"/>
              </w:rPr>
            </w:pPr>
            <w:r>
              <w:rPr>
                <w:spacing w:val="8"/>
                <w:sz w:val="20"/>
                <w:szCs w:val="20"/>
              </w:rPr>
              <w:t>透明油状液</w:t>
            </w:r>
          </w:p>
          <w:p w14:paraId="2ED2C8D0">
            <w:pPr>
              <w:pStyle w:val="6"/>
              <w:spacing w:line="205" w:lineRule="auto"/>
              <w:ind w:left="157"/>
              <w:rPr>
                <w:sz w:val="20"/>
                <w:szCs w:val="20"/>
              </w:rPr>
            </w:pPr>
            <w:r>
              <w:rPr>
                <w:spacing w:val="5"/>
                <w:sz w:val="20"/>
                <w:szCs w:val="20"/>
              </w:rPr>
              <w:t>体，无臭。</w:t>
            </w:r>
          </w:p>
        </w:tc>
        <w:tc>
          <w:tcPr>
            <w:tcW w:w="1073" w:type="dxa"/>
            <w:vAlign w:val="top"/>
          </w:tcPr>
          <w:p w14:paraId="21FDA78B">
            <w:pPr>
              <w:spacing w:before="28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1.83</w:t>
            </w:r>
          </w:p>
        </w:tc>
        <w:tc>
          <w:tcPr>
            <w:tcW w:w="1004" w:type="dxa"/>
            <w:vAlign w:val="top"/>
          </w:tcPr>
          <w:p w14:paraId="4BA3E42F">
            <w:pPr>
              <w:spacing w:before="28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064" w:type="dxa"/>
            <w:vAlign w:val="top"/>
          </w:tcPr>
          <w:p w14:paraId="08AF30FC">
            <w:pPr>
              <w:spacing w:before="287"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338.0℃</w:t>
            </w:r>
          </w:p>
        </w:tc>
        <w:tc>
          <w:tcPr>
            <w:tcW w:w="1094" w:type="dxa"/>
            <w:vAlign w:val="top"/>
          </w:tcPr>
          <w:p w14:paraId="5B8520E8">
            <w:pPr>
              <w:spacing w:before="283" w:line="199"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33</w:t>
            </w:r>
            <w:r>
              <w:rPr>
                <w:rFonts w:ascii="Times New Roman" w:hAnsi="Times New Roman" w:eastAsia="Times New Roman" w:cs="Times New Roman"/>
                <w:sz w:val="20"/>
                <w:szCs w:val="20"/>
              </w:rPr>
              <w:t>Pa</w:t>
            </w:r>
            <w:r>
              <w:rPr>
                <w:rFonts w:ascii="Times New Roman" w:hAnsi="Times New Roman" w:eastAsia="Times New Roman" w:cs="Times New Roman"/>
                <w:spacing w:val="5"/>
                <w:sz w:val="20"/>
                <w:szCs w:val="20"/>
              </w:rPr>
              <w:t>/25℃</w:t>
            </w:r>
          </w:p>
        </w:tc>
        <w:tc>
          <w:tcPr>
            <w:tcW w:w="1221" w:type="dxa"/>
            <w:vAlign w:val="top"/>
          </w:tcPr>
          <w:p w14:paraId="7759513B">
            <w:pPr>
              <w:pStyle w:val="6"/>
              <w:spacing w:before="131" w:line="222" w:lineRule="auto"/>
              <w:ind w:left="408"/>
              <w:rPr>
                <w:sz w:val="20"/>
                <w:szCs w:val="20"/>
              </w:rPr>
            </w:pPr>
            <w:r>
              <w:rPr>
                <w:spacing w:val="2"/>
                <w:sz w:val="20"/>
                <w:szCs w:val="20"/>
              </w:rPr>
              <w:t>与水</w:t>
            </w:r>
          </w:p>
          <w:p w14:paraId="3FB66CC5">
            <w:pPr>
              <w:pStyle w:val="6"/>
              <w:spacing w:line="229" w:lineRule="auto"/>
              <w:ind w:left="407"/>
              <w:rPr>
                <w:sz w:val="20"/>
                <w:szCs w:val="20"/>
              </w:rPr>
            </w:pPr>
            <w:r>
              <w:rPr>
                <w:spacing w:val="3"/>
                <w:sz w:val="20"/>
                <w:szCs w:val="20"/>
              </w:rPr>
              <w:t>混溶</w:t>
            </w:r>
          </w:p>
        </w:tc>
      </w:tr>
      <w:tr w14:paraId="27ED9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381" w:type="dxa"/>
            <w:vAlign w:val="top"/>
          </w:tcPr>
          <w:p w14:paraId="1CC75B3B">
            <w:pPr>
              <w:spacing w:before="29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76" w:type="dxa"/>
            <w:vAlign w:val="top"/>
          </w:tcPr>
          <w:p w14:paraId="7FB3F993">
            <w:pPr>
              <w:pStyle w:val="6"/>
              <w:spacing w:before="120" w:line="229" w:lineRule="auto"/>
              <w:ind w:left="278"/>
              <w:rPr>
                <w:sz w:val="20"/>
                <w:szCs w:val="20"/>
              </w:rPr>
            </w:pPr>
            <w:r>
              <w:rPr>
                <w:spacing w:val="3"/>
                <w:sz w:val="20"/>
                <w:szCs w:val="20"/>
              </w:rPr>
              <w:t>硝酸</w:t>
            </w:r>
          </w:p>
          <w:p w14:paraId="0583B141">
            <w:pPr>
              <w:pStyle w:val="6"/>
              <w:spacing w:before="22"/>
              <w:ind w:left="116"/>
              <w:rPr>
                <w:sz w:val="20"/>
                <w:szCs w:val="20"/>
              </w:rPr>
            </w:pPr>
            <w:r>
              <w:rPr>
                <w:spacing w:val="2"/>
                <w:sz w:val="20"/>
                <w:szCs w:val="20"/>
              </w:rPr>
              <w:t>（</w:t>
            </w:r>
            <w:r>
              <w:rPr>
                <w:rFonts w:ascii="Times New Roman" w:hAnsi="Times New Roman" w:eastAsia="Times New Roman" w:cs="Times New Roman"/>
                <w:spacing w:val="2"/>
                <w:sz w:val="20"/>
                <w:szCs w:val="20"/>
              </w:rPr>
              <w:t>68%</w:t>
            </w:r>
            <w:r>
              <w:rPr>
                <w:spacing w:val="2"/>
                <w:sz w:val="20"/>
                <w:szCs w:val="20"/>
              </w:rPr>
              <w:t>）</w:t>
            </w:r>
          </w:p>
        </w:tc>
        <w:tc>
          <w:tcPr>
            <w:tcW w:w="751" w:type="dxa"/>
            <w:vAlign w:val="top"/>
          </w:tcPr>
          <w:p w14:paraId="6CBE75A1">
            <w:pPr>
              <w:spacing w:before="290"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63.01</w:t>
            </w:r>
          </w:p>
        </w:tc>
        <w:tc>
          <w:tcPr>
            <w:tcW w:w="1360" w:type="dxa"/>
            <w:vAlign w:val="top"/>
          </w:tcPr>
          <w:p w14:paraId="31808D62">
            <w:pPr>
              <w:pStyle w:val="6"/>
              <w:spacing w:before="13" w:line="222" w:lineRule="auto"/>
              <w:ind w:left="160"/>
              <w:rPr>
                <w:sz w:val="20"/>
                <w:szCs w:val="20"/>
              </w:rPr>
            </w:pPr>
            <w:r>
              <w:rPr>
                <w:spacing w:val="7"/>
                <w:sz w:val="20"/>
                <w:szCs w:val="20"/>
              </w:rPr>
              <w:t>纯品为无色</w:t>
            </w:r>
          </w:p>
          <w:p w14:paraId="4B32CF4B">
            <w:pPr>
              <w:pStyle w:val="6"/>
              <w:spacing w:line="221" w:lineRule="auto"/>
              <w:ind w:left="157"/>
              <w:rPr>
                <w:sz w:val="20"/>
                <w:szCs w:val="20"/>
              </w:rPr>
            </w:pPr>
            <w:r>
              <w:rPr>
                <w:spacing w:val="8"/>
                <w:sz w:val="20"/>
                <w:szCs w:val="20"/>
              </w:rPr>
              <w:t>透明发烟液</w:t>
            </w:r>
          </w:p>
          <w:p w14:paraId="241E7464">
            <w:pPr>
              <w:pStyle w:val="6"/>
              <w:spacing w:line="202" w:lineRule="auto"/>
              <w:ind w:left="157"/>
              <w:rPr>
                <w:sz w:val="20"/>
                <w:szCs w:val="20"/>
              </w:rPr>
            </w:pPr>
            <w:r>
              <w:rPr>
                <w:spacing w:val="8"/>
                <w:sz w:val="20"/>
                <w:szCs w:val="20"/>
              </w:rPr>
              <w:t>体，有酸味</w:t>
            </w:r>
          </w:p>
        </w:tc>
        <w:tc>
          <w:tcPr>
            <w:tcW w:w="1073" w:type="dxa"/>
            <w:vAlign w:val="top"/>
          </w:tcPr>
          <w:p w14:paraId="03043B5C">
            <w:pPr>
              <w:spacing w:before="29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1.41</w:t>
            </w:r>
          </w:p>
        </w:tc>
        <w:tc>
          <w:tcPr>
            <w:tcW w:w="1004" w:type="dxa"/>
            <w:vAlign w:val="top"/>
          </w:tcPr>
          <w:p w14:paraId="6BFC4D75">
            <w:pPr>
              <w:spacing w:before="29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-37.68℃</w:t>
            </w:r>
          </w:p>
        </w:tc>
        <w:tc>
          <w:tcPr>
            <w:tcW w:w="1064" w:type="dxa"/>
            <w:vAlign w:val="top"/>
          </w:tcPr>
          <w:p w14:paraId="1A32D09D">
            <w:pPr>
              <w:spacing w:before="292"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120.5℃</w:t>
            </w:r>
          </w:p>
        </w:tc>
        <w:tc>
          <w:tcPr>
            <w:tcW w:w="1094" w:type="dxa"/>
            <w:vAlign w:val="top"/>
          </w:tcPr>
          <w:p w14:paraId="403F318B">
            <w:pPr>
              <w:spacing w:before="166" w:line="199"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8.27</w:t>
            </w:r>
            <w:r>
              <w:rPr>
                <w:rFonts w:ascii="Times New Roman" w:hAnsi="Times New Roman" w:eastAsia="Times New Roman" w:cs="Times New Roman"/>
                <w:sz w:val="20"/>
                <w:szCs w:val="20"/>
              </w:rPr>
              <w:t>kPa</w:t>
            </w:r>
          </w:p>
          <w:p w14:paraId="0E107701">
            <w:pPr>
              <w:spacing w:before="49" w:line="201"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p>
        </w:tc>
        <w:tc>
          <w:tcPr>
            <w:tcW w:w="1221" w:type="dxa"/>
            <w:vAlign w:val="top"/>
          </w:tcPr>
          <w:p w14:paraId="71651E29">
            <w:pPr>
              <w:pStyle w:val="6"/>
              <w:spacing w:before="135" w:line="225" w:lineRule="auto"/>
              <w:ind w:left="236" w:right="162" w:hanging="94"/>
              <w:rPr>
                <w:sz w:val="20"/>
                <w:szCs w:val="20"/>
              </w:rPr>
            </w:pPr>
            <w:r>
              <w:rPr>
                <w:spacing w:val="-19"/>
                <w:sz w:val="20"/>
                <w:szCs w:val="20"/>
              </w:rPr>
              <w:t>与水混溶，</w:t>
            </w:r>
            <w:r>
              <w:rPr>
                <w:sz w:val="20"/>
                <w:szCs w:val="20"/>
              </w:rPr>
              <w:t xml:space="preserve"> </w:t>
            </w:r>
            <w:r>
              <w:rPr>
                <w:spacing w:val="-6"/>
                <w:sz w:val="20"/>
                <w:szCs w:val="20"/>
              </w:rPr>
              <w:t>溶于乙醚</w:t>
            </w:r>
          </w:p>
        </w:tc>
      </w:tr>
      <w:tr w14:paraId="7383A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381" w:type="dxa"/>
            <w:vAlign w:val="top"/>
          </w:tcPr>
          <w:p w14:paraId="6AA18A55">
            <w:pPr>
              <w:spacing w:line="356" w:lineRule="auto"/>
              <w:rPr>
                <w:rFonts w:ascii="Arial"/>
                <w:sz w:val="21"/>
              </w:rPr>
            </w:pPr>
          </w:p>
          <w:p w14:paraId="11BCA36E">
            <w:pPr>
              <w:spacing w:before="57" w:line="192"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76" w:type="dxa"/>
            <w:vAlign w:val="top"/>
          </w:tcPr>
          <w:p w14:paraId="3AEAA4FE">
            <w:pPr>
              <w:pStyle w:val="6"/>
              <w:spacing w:before="240" w:line="228" w:lineRule="auto"/>
              <w:ind w:left="111"/>
              <w:rPr>
                <w:sz w:val="20"/>
                <w:szCs w:val="20"/>
              </w:rPr>
            </w:pPr>
            <w:r>
              <w:rPr>
                <w:spacing w:val="-14"/>
                <w:sz w:val="20"/>
                <w:szCs w:val="20"/>
              </w:rPr>
              <w:t>片碱（氢</w:t>
            </w:r>
          </w:p>
          <w:p w14:paraId="121712B8">
            <w:pPr>
              <w:pStyle w:val="6"/>
              <w:spacing w:before="23" w:line="227" w:lineRule="auto"/>
              <w:ind w:left="107"/>
              <w:rPr>
                <w:sz w:val="20"/>
                <w:szCs w:val="20"/>
              </w:rPr>
            </w:pPr>
            <w:r>
              <w:rPr>
                <w:spacing w:val="4"/>
                <w:sz w:val="20"/>
                <w:szCs w:val="20"/>
              </w:rPr>
              <w:t>氧化钠）</w:t>
            </w:r>
          </w:p>
        </w:tc>
        <w:tc>
          <w:tcPr>
            <w:tcW w:w="751" w:type="dxa"/>
            <w:vAlign w:val="top"/>
          </w:tcPr>
          <w:p w14:paraId="3A72FD9F">
            <w:pPr>
              <w:spacing w:line="351" w:lineRule="auto"/>
              <w:rPr>
                <w:rFonts w:ascii="Arial"/>
                <w:sz w:val="21"/>
              </w:rPr>
            </w:pPr>
          </w:p>
          <w:p w14:paraId="3EE724EB">
            <w:pPr>
              <w:spacing w:before="5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40.01</w:t>
            </w:r>
          </w:p>
        </w:tc>
        <w:tc>
          <w:tcPr>
            <w:tcW w:w="1360" w:type="dxa"/>
            <w:vAlign w:val="top"/>
          </w:tcPr>
          <w:p w14:paraId="5E4A6517">
            <w:pPr>
              <w:pStyle w:val="6"/>
              <w:spacing w:before="134" w:line="222" w:lineRule="auto"/>
              <w:ind w:left="188"/>
              <w:rPr>
                <w:sz w:val="20"/>
                <w:szCs w:val="20"/>
              </w:rPr>
            </w:pPr>
            <w:r>
              <w:rPr>
                <w:spacing w:val="2"/>
                <w:sz w:val="20"/>
                <w:szCs w:val="20"/>
              </w:rPr>
              <w:t>白色不透明</w:t>
            </w:r>
          </w:p>
          <w:p w14:paraId="71F662DC">
            <w:pPr>
              <w:pStyle w:val="6"/>
              <w:spacing w:line="221" w:lineRule="auto"/>
              <w:ind w:left="175"/>
              <w:rPr>
                <w:sz w:val="20"/>
                <w:szCs w:val="20"/>
              </w:rPr>
            </w:pPr>
            <w:r>
              <w:rPr>
                <w:spacing w:val="4"/>
                <w:sz w:val="20"/>
                <w:szCs w:val="20"/>
              </w:rPr>
              <w:t>固体，易潮</w:t>
            </w:r>
          </w:p>
          <w:p w14:paraId="7A6870B1">
            <w:pPr>
              <w:pStyle w:val="6"/>
              <w:spacing w:line="228" w:lineRule="auto"/>
              <w:ind w:left="577"/>
              <w:rPr>
                <w:sz w:val="20"/>
                <w:szCs w:val="20"/>
              </w:rPr>
            </w:pPr>
            <w:r>
              <w:rPr>
                <w:spacing w:val="1"/>
                <w:sz w:val="20"/>
                <w:szCs w:val="20"/>
              </w:rPr>
              <w:t>解</w:t>
            </w:r>
          </w:p>
        </w:tc>
        <w:tc>
          <w:tcPr>
            <w:tcW w:w="1073" w:type="dxa"/>
            <w:vAlign w:val="top"/>
          </w:tcPr>
          <w:p w14:paraId="05206B42">
            <w:pPr>
              <w:spacing w:line="351" w:lineRule="auto"/>
              <w:rPr>
                <w:rFonts w:ascii="Arial"/>
                <w:sz w:val="21"/>
              </w:rPr>
            </w:pPr>
          </w:p>
          <w:p w14:paraId="7763A587">
            <w:pPr>
              <w:spacing w:before="57"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w:t>
            </w:r>
          </w:p>
        </w:tc>
        <w:tc>
          <w:tcPr>
            <w:tcW w:w="1004" w:type="dxa"/>
            <w:vAlign w:val="top"/>
          </w:tcPr>
          <w:p w14:paraId="5DB7A291">
            <w:pPr>
              <w:spacing w:line="351" w:lineRule="auto"/>
              <w:rPr>
                <w:rFonts w:ascii="Arial"/>
                <w:sz w:val="21"/>
              </w:rPr>
            </w:pPr>
          </w:p>
          <w:p w14:paraId="4A24CF14">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318.4℃</w:t>
            </w:r>
          </w:p>
        </w:tc>
        <w:tc>
          <w:tcPr>
            <w:tcW w:w="1064" w:type="dxa"/>
            <w:vAlign w:val="top"/>
          </w:tcPr>
          <w:p w14:paraId="17F7EA66">
            <w:pPr>
              <w:spacing w:line="351" w:lineRule="auto"/>
              <w:rPr>
                <w:rFonts w:ascii="Arial"/>
                <w:sz w:val="21"/>
              </w:rPr>
            </w:pPr>
          </w:p>
          <w:p w14:paraId="73251546">
            <w:pPr>
              <w:spacing w:before="57" w:line="195"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1390℃</w:t>
            </w:r>
          </w:p>
        </w:tc>
        <w:tc>
          <w:tcPr>
            <w:tcW w:w="1094" w:type="dxa"/>
            <w:vAlign w:val="top"/>
          </w:tcPr>
          <w:p w14:paraId="43BBA543">
            <w:pPr>
              <w:spacing w:before="286" w:line="199" w:lineRule="auto"/>
              <w:ind w:left="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13</w:t>
            </w:r>
            <w:r>
              <w:rPr>
                <w:rFonts w:ascii="Times New Roman" w:hAnsi="Times New Roman" w:eastAsia="Times New Roman" w:cs="Times New Roman"/>
                <w:sz w:val="20"/>
                <w:szCs w:val="20"/>
              </w:rPr>
              <w:t>kPa</w:t>
            </w:r>
            <w:r>
              <w:rPr>
                <w:rFonts w:ascii="Times New Roman" w:hAnsi="Times New Roman" w:eastAsia="Times New Roman" w:cs="Times New Roman"/>
                <w:spacing w:val="2"/>
                <w:sz w:val="20"/>
                <w:szCs w:val="20"/>
              </w:rPr>
              <w:t>/739</w:t>
            </w:r>
          </w:p>
          <w:p w14:paraId="189C1A98">
            <w:pPr>
              <w:spacing w:before="53"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221" w:type="dxa"/>
            <w:vAlign w:val="top"/>
          </w:tcPr>
          <w:p w14:paraId="32374B7D">
            <w:pPr>
              <w:pStyle w:val="6"/>
              <w:spacing w:before="13" w:line="222" w:lineRule="auto"/>
              <w:ind w:left="117" w:right="90" w:firstLine="10"/>
              <w:jc w:val="both"/>
              <w:rPr>
                <w:sz w:val="20"/>
                <w:szCs w:val="20"/>
              </w:rPr>
            </w:pPr>
            <w:r>
              <w:rPr>
                <w:spacing w:val="-2"/>
                <w:sz w:val="20"/>
                <w:szCs w:val="20"/>
              </w:rPr>
              <w:t>易溶于水、</w:t>
            </w:r>
            <w:r>
              <w:rPr>
                <w:spacing w:val="1"/>
                <w:sz w:val="20"/>
                <w:szCs w:val="20"/>
              </w:rPr>
              <w:t xml:space="preserve"> </w:t>
            </w:r>
            <w:r>
              <w:rPr>
                <w:spacing w:val="26"/>
                <w:sz w:val="20"/>
                <w:szCs w:val="20"/>
              </w:rPr>
              <w:t>乙醇、甘</w:t>
            </w:r>
            <w:r>
              <w:rPr>
                <w:sz w:val="20"/>
                <w:szCs w:val="20"/>
              </w:rPr>
              <w:t xml:space="preserve">  </w:t>
            </w:r>
            <w:r>
              <w:rPr>
                <w:spacing w:val="-3"/>
                <w:sz w:val="20"/>
                <w:szCs w:val="20"/>
              </w:rPr>
              <w:t>油，不溶于</w:t>
            </w:r>
          </w:p>
          <w:p w14:paraId="5D9B83CE">
            <w:pPr>
              <w:pStyle w:val="6"/>
              <w:spacing w:line="202" w:lineRule="auto"/>
              <w:ind w:left="408"/>
              <w:rPr>
                <w:sz w:val="20"/>
                <w:szCs w:val="20"/>
              </w:rPr>
            </w:pPr>
            <w:r>
              <w:rPr>
                <w:spacing w:val="2"/>
                <w:sz w:val="20"/>
                <w:szCs w:val="20"/>
              </w:rPr>
              <w:t>丙酮</w:t>
            </w:r>
          </w:p>
        </w:tc>
      </w:tr>
      <w:tr w14:paraId="7DBEA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381" w:type="dxa"/>
            <w:vAlign w:val="top"/>
          </w:tcPr>
          <w:p w14:paraId="06333BD7">
            <w:pPr>
              <w:spacing w:line="473" w:lineRule="auto"/>
              <w:rPr>
                <w:rFonts w:ascii="Arial"/>
                <w:sz w:val="21"/>
              </w:rPr>
            </w:pPr>
          </w:p>
          <w:p w14:paraId="093A1F8A">
            <w:pPr>
              <w:spacing w:before="5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76" w:type="dxa"/>
            <w:vAlign w:val="top"/>
          </w:tcPr>
          <w:p w14:paraId="0932AE5F">
            <w:pPr>
              <w:spacing w:line="294" w:lineRule="auto"/>
              <w:rPr>
                <w:rFonts w:ascii="Arial"/>
                <w:sz w:val="21"/>
              </w:rPr>
            </w:pPr>
          </w:p>
          <w:p w14:paraId="00621254">
            <w:pPr>
              <w:pStyle w:val="6"/>
              <w:spacing w:before="65" w:line="228" w:lineRule="auto"/>
              <w:ind w:left="297"/>
              <w:rPr>
                <w:sz w:val="20"/>
                <w:szCs w:val="20"/>
              </w:rPr>
            </w:pPr>
            <w:r>
              <w:rPr>
                <w:spacing w:val="-6"/>
                <w:sz w:val="20"/>
                <w:szCs w:val="20"/>
              </w:rPr>
              <w:t>乙醇</w:t>
            </w:r>
          </w:p>
          <w:p w14:paraId="1F978EE4">
            <w:pPr>
              <w:pStyle w:val="6"/>
              <w:spacing w:before="26"/>
              <w:ind w:left="116"/>
              <w:rPr>
                <w:sz w:val="20"/>
                <w:szCs w:val="20"/>
              </w:rPr>
            </w:pPr>
            <w:r>
              <w:rPr>
                <w:spacing w:val="2"/>
                <w:sz w:val="20"/>
                <w:szCs w:val="20"/>
              </w:rPr>
              <w:t>（</w:t>
            </w:r>
            <w:r>
              <w:rPr>
                <w:rFonts w:ascii="Times New Roman" w:hAnsi="Times New Roman" w:eastAsia="Times New Roman" w:cs="Times New Roman"/>
                <w:spacing w:val="2"/>
                <w:sz w:val="20"/>
                <w:szCs w:val="20"/>
              </w:rPr>
              <w:t>95%</w:t>
            </w:r>
            <w:r>
              <w:rPr>
                <w:spacing w:val="2"/>
                <w:sz w:val="20"/>
                <w:szCs w:val="20"/>
              </w:rPr>
              <w:t>）</w:t>
            </w:r>
          </w:p>
        </w:tc>
        <w:tc>
          <w:tcPr>
            <w:tcW w:w="751" w:type="dxa"/>
            <w:vAlign w:val="top"/>
          </w:tcPr>
          <w:p w14:paraId="2D72C3C2">
            <w:pPr>
              <w:spacing w:line="470" w:lineRule="auto"/>
              <w:rPr>
                <w:rFonts w:ascii="Arial"/>
                <w:sz w:val="21"/>
              </w:rPr>
            </w:pPr>
          </w:p>
          <w:p w14:paraId="276B4353">
            <w:pPr>
              <w:spacing w:before="58"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46.07</w:t>
            </w:r>
          </w:p>
        </w:tc>
        <w:tc>
          <w:tcPr>
            <w:tcW w:w="1360" w:type="dxa"/>
            <w:vAlign w:val="top"/>
          </w:tcPr>
          <w:p w14:paraId="20E68E5F">
            <w:pPr>
              <w:pStyle w:val="6"/>
              <w:spacing w:before="254" w:line="222" w:lineRule="auto"/>
              <w:ind w:left="159"/>
              <w:rPr>
                <w:sz w:val="20"/>
                <w:szCs w:val="20"/>
              </w:rPr>
            </w:pPr>
            <w:r>
              <w:rPr>
                <w:spacing w:val="5"/>
                <w:sz w:val="20"/>
                <w:szCs w:val="20"/>
              </w:rPr>
              <w:t>无色透明；</w:t>
            </w:r>
          </w:p>
          <w:p w14:paraId="6D93D31F">
            <w:pPr>
              <w:pStyle w:val="6"/>
              <w:spacing w:before="2" w:line="224" w:lineRule="auto"/>
              <w:ind w:left="277" w:right="151" w:hanging="106"/>
              <w:rPr>
                <w:sz w:val="20"/>
                <w:szCs w:val="20"/>
              </w:rPr>
            </w:pPr>
            <w:r>
              <w:rPr>
                <w:spacing w:val="5"/>
                <w:sz w:val="20"/>
                <w:szCs w:val="20"/>
              </w:rPr>
              <w:t>易燃易挥发</w:t>
            </w:r>
            <w:r>
              <w:rPr>
                <w:spacing w:val="1"/>
                <w:sz w:val="20"/>
                <w:szCs w:val="20"/>
              </w:rPr>
              <w:t xml:space="preserve"> </w:t>
            </w:r>
            <w:r>
              <w:rPr>
                <w:sz w:val="20"/>
                <w:szCs w:val="20"/>
              </w:rPr>
              <w:t>的液体。</w:t>
            </w:r>
          </w:p>
        </w:tc>
        <w:tc>
          <w:tcPr>
            <w:tcW w:w="1073" w:type="dxa"/>
            <w:vAlign w:val="top"/>
          </w:tcPr>
          <w:p w14:paraId="4888B82C">
            <w:pPr>
              <w:spacing w:line="470" w:lineRule="auto"/>
              <w:rPr>
                <w:rFonts w:ascii="Arial"/>
                <w:sz w:val="21"/>
              </w:rPr>
            </w:pPr>
          </w:p>
          <w:p w14:paraId="2FCA6B90">
            <w:pPr>
              <w:spacing w:before="5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0.816</w:t>
            </w:r>
          </w:p>
        </w:tc>
        <w:tc>
          <w:tcPr>
            <w:tcW w:w="1004" w:type="dxa"/>
            <w:vAlign w:val="top"/>
          </w:tcPr>
          <w:p w14:paraId="24D9DB96">
            <w:pPr>
              <w:spacing w:line="470" w:lineRule="auto"/>
              <w:rPr>
                <w:rFonts w:ascii="Arial"/>
                <w:sz w:val="21"/>
              </w:rPr>
            </w:pPr>
          </w:p>
          <w:p w14:paraId="64983C3C">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-114.3℃</w:t>
            </w:r>
          </w:p>
        </w:tc>
        <w:tc>
          <w:tcPr>
            <w:tcW w:w="1064" w:type="dxa"/>
            <w:vAlign w:val="top"/>
          </w:tcPr>
          <w:p w14:paraId="4D9F1126">
            <w:pPr>
              <w:spacing w:line="470" w:lineRule="auto"/>
              <w:rPr>
                <w:rFonts w:ascii="Arial"/>
                <w:sz w:val="21"/>
              </w:rPr>
            </w:pPr>
          </w:p>
          <w:p w14:paraId="55A34F61">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78.2℃</w:t>
            </w:r>
          </w:p>
        </w:tc>
        <w:tc>
          <w:tcPr>
            <w:tcW w:w="1094" w:type="dxa"/>
            <w:vAlign w:val="top"/>
          </w:tcPr>
          <w:p w14:paraId="3B27340C">
            <w:pPr>
              <w:spacing w:line="347" w:lineRule="auto"/>
              <w:rPr>
                <w:rFonts w:ascii="Arial"/>
                <w:sz w:val="21"/>
              </w:rPr>
            </w:pPr>
          </w:p>
          <w:p w14:paraId="56E0A24F">
            <w:pPr>
              <w:spacing w:before="58" w:line="199"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8.875</w:t>
            </w:r>
            <w:r>
              <w:rPr>
                <w:rFonts w:ascii="Times New Roman" w:hAnsi="Times New Roman" w:eastAsia="Times New Roman" w:cs="Times New Roman"/>
                <w:sz w:val="20"/>
                <w:szCs w:val="20"/>
              </w:rPr>
              <w:t>kPa</w:t>
            </w:r>
          </w:p>
          <w:p w14:paraId="612DA127">
            <w:pPr>
              <w:spacing w:before="49" w:line="201"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p>
        </w:tc>
        <w:tc>
          <w:tcPr>
            <w:tcW w:w="1221" w:type="dxa"/>
            <w:vAlign w:val="top"/>
          </w:tcPr>
          <w:p w14:paraId="6ED01FC4">
            <w:pPr>
              <w:pStyle w:val="6"/>
              <w:spacing w:before="13" w:line="222" w:lineRule="auto"/>
              <w:ind w:left="118" w:right="134" w:firstLine="4"/>
              <w:jc w:val="both"/>
              <w:rPr>
                <w:sz w:val="20"/>
                <w:szCs w:val="20"/>
              </w:rPr>
            </w:pPr>
            <w:r>
              <w:rPr>
                <w:spacing w:val="-10"/>
                <w:sz w:val="20"/>
                <w:szCs w:val="20"/>
              </w:rPr>
              <w:t>与水混溶，</w:t>
            </w:r>
            <w:r>
              <w:rPr>
                <w:spacing w:val="2"/>
                <w:sz w:val="20"/>
                <w:szCs w:val="20"/>
              </w:rPr>
              <w:t xml:space="preserve"> </w:t>
            </w:r>
            <w:r>
              <w:rPr>
                <w:spacing w:val="23"/>
                <w:sz w:val="20"/>
                <w:szCs w:val="20"/>
              </w:rPr>
              <w:t>可混溶于</w:t>
            </w:r>
            <w:r>
              <w:rPr>
                <w:sz w:val="20"/>
                <w:szCs w:val="20"/>
              </w:rPr>
              <w:t xml:space="preserve"> </w:t>
            </w:r>
            <w:r>
              <w:rPr>
                <w:spacing w:val="-9"/>
                <w:sz w:val="20"/>
                <w:szCs w:val="20"/>
              </w:rPr>
              <w:t>醚、氯仿、</w:t>
            </w:r>
          </w:p>
          <w:p w14:paraId="4D119CC3">
            <w:pPr>
              <w:pStyle w:val="6"/>
              <w:spacing w:line="221" w:lineRule="auto"/>
              <w:ind w:left="118"/>
              <w:rPr>
                <w:sz w:val="20"/>
                <w:szCs w:val="20"/>
              </w:rPr>
            </w:pPr>
            <w:r>
              <w:rPr>
                <w:spacing w:val="-2"/>
                <w:sz w:val="20"/>
                <w:szCs w:val="20"/>
              </w:rPr>
              <w:t>甘油等多数</w:t>
            </w:r>
          </w:p>
          <w:p w14:paraId="7CDCE4BA">
            <w:pPr>
              <w:pStyle w:val="6"/>
              <w:spacing w:before="1" w:line="200" w:lineRule="auto"/>
              <w:ind w:left="218"/>
              <w:rPr>
                <w:sz w:val="20"/>
                <w:szCs w:val="20"/>
              </w:rPr>
            </w:pPr>
            <w:r>
              <w:rPr>
                <w:spacing w:val="-2"/>
                <w:sz w:val="20"/>
                <w:szCs w:val="20"/>
              </w:rPr>
              <w:t>有机溶剂</w:t>
            </w:r>
          </w:p>
        </w:tc>
      </w:tr>
      <w:tr w14:paraId="5486F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381" w:type="dxa"/>
            <w:vAlign w:val="top"/>
          </w:tcPr>
          <w:p w14:paraId="0A440B86">
            <w:pPr>
              <w:spacing w:line="359" w:lineRule="auto"/>
              <w:rPr>
                <w:rFonts w:ascii="Arial"/>
                <w:sz w:val="21"/>
              </w:rPr>
            </w:pPr>
          </w:p>
          <w:p w14:paraId="01C1A846">
            <w:pPr>
              <w:spacing w:line="359" w:lineRule="auto"/>
              <w:rPr>
                <w:rFonts w:ascii="Arial"/>
                <w:sz w:val="21"/>
              </w:rPr>
            </w:pPr>
          </w:p>
          <w:p w14:paraId="5781EFDE">
            <w:pPr>
              <w:spacing w:before="57" w:line="192"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76" w:type="dxa"/>
            <w:vAlign w:val="top"/>
          </w:tcPr>
          <w:p w14:paraId="036B48D0">
            <w:pPr>
              <w:spacing w:line="267" w:lineRule="auto"/>
              <w:rPr>
                <w:rFonts w:ascii="Arial"/>
                <w:sz w:val="21"/>
              </w:rPr>
            </w:pPr>
          </w:p>
          <w:p w14:paraId="3EC9BED3">
            <w:pPr>
              <w:spacing w:line="267" w:lineRule="auto"/>
              <w:rPr>
                <w:rFonts w:ascii="Arial"/>
                <w:sz w:val="21"/>
              </w:rPr>
            </w:pPr>
          </w:p>
          <w:p w14:paraId="141E26E6">
            <w:pPr>
              <w:pStyle w:val="6"/>
              <w:spacing w:before="65" w:line="228" w:lineRule="auto"/>
              <w:ind w:left="281"/>
              <w:rPr>
                <w:sz w:val="20"/>
                <w:szCs w:val="20"/>
              </w:rPr>
            </w:pPr>
            <w:r>
              <w:rPr>
                <w:spacing w:val="2"/>
                <w:sz w:val="20"/>
                <w:szCs w:val="20"/>
              </w:rPr>
              <w:t>丙酮</w:t>
            </w:r>
          </w:p>
          <w:p w14:paraId="23A3AEB5">
            <w:pPr>
              <w:pStyle w:val="6"/>
              <w:spacing w:before="26"/>
              <w:ind w:left="116"/>
              <w:rPr>
                <w:sz w:val="20"/>
                <w:szCs w:val="20"/>
              </w:rPr>
            </w:pPr>
            <w:r>
              <w:rPr>
                <w:spacing w:val="2"/>
                <w:sz w:val="20"/>
                <w:szCs w:val="20"/>
              </w:rPr>
              <w:t>（</w:t>
            </w:r>
            <w:r>
              <w:rPr>
                <w:rFonts w:ascii="Times New Roman" w:hAnsi="Times New Roman" w:eastAsia="Times New Roman" w:cs="Times New Roman"/>
                <w:spacing w:val="2"/>
                <w:sz w:val="20"/>
                <w:szCs w:val="20"/>
              </w:rPr>
              <w:t>95%</w:t>
            </w:r>
            <w:r>
              <w:rPr>
                <w:spacing w:val="2"/>
                <w:sz w:val="20"/>
                <w:szCs w:val="20"/>
              </w:rPr>
              <w:t>）</w:t>
            </w:r>
          </w:p>
        </w:tc>
        <w:tc>
          <w:tcPr>
            <w:tcW w:w="751" w:type="dxa"/>
            <w:vAlign w:val="top"/>
          </w:tcPr>
          <w:p w14:paraId="63BEC7FF">
            <w:pPr>
              <w:spacing w:line="355" w:lineRule="auto"/>
              <w:rPr>
                <w:rFonts w:ascii="Arial"/>
                <w:sz w:val="21"/>
              </w:rPr>
            </w:pPr>
          </w:p>
          <w:p w14:paraId="1E5D661F">
            <w:pPr>
              <w:spacing w:line="355" w:lineRule="auto"/>
              <w:rPr>
                <w:rFonts w:ascii="Arial"/>
                <w:sz w:val="21"/>
              </w:rPr>
            </w:pPr>
          </w:p>
          <w:p w14:paraId="3EB8F29C">
            <w:pPr>
              <w:spacing w:before="58"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58.08</w:t>
            </w:r>
          </w:p>
        </w:tc>
        <w:tc>
          <w:tcPr>
            <w:tcW w:w="1360" w:type="dxa"/>
            <w:vAlign w:val="top"/>
          </w:tcPr>
          <w:p w14:paraId="27916501">
            <w:pPr>
              <w:pStyle w:val="6"/>
              <w:spacing w:before="256" w:line="222" w:lineRule="auto"/>
              <w:ind w:left="159"/>
              <w:rPr>
                <w:sz w:val="20"/>
                <w:szCs w:val="20"/>
              </w:rPr>
            </w:pPr>
            <w:r>
              <w:rPr>
                <w:spacing w:val="7"/>
                <w:sz w:val="20"/>
                <w:szCs w:val="20"/>
              </w:rPr>
              <w:t>无色透明易</w:t>
            </w:r>
          </w:p>
          <w:p w14:paraId="1087404A">
            <w:pPr>
              <w:pStyle w:val="6"/>
              <w:spacing w:line="221" w:lineRule="auto"/>
              <w:ind w:left="158"/>
              <w:rPr>
                <w:sz w:val="20"/>
                <w:szCs w:val="20"/>
              </w:rPr>
            </w:pPr>
            <w:r>
              <w:rPr>
                <w:spacing w:val="5"/>
                <w:sz w:val="20"/>
                <w:szCs w:val="20"/>
              </w:rPr>
              <w:t>流动液体，</w:t>
            </w:r>
          </w:p>
          <w:p w14:paraId="019E3423">
            <w:pPr>
              <w:pStyle w:val="6"/>
              <w:spacing w:line="221" w:lineRule="auto"/>
              <w:ind w:left="261"/>
              <w:rPr>
                <w:sz w:val="20"/>
                <w:szCs w:val="20"/>
              </w:rPr>
            </w:pPr>
            <w:r>
              <w:rPr>
                <w:spacing w:val="7"/>
                <w:sz w:val="20"/>
                <w:szCs w:val="20"/>
              </w:rPr>
              <w:t>有芳香气</w:t>
            </w:r>
          </w:p>
          <w:p w14:paraId="23AB549E">
            <w:pPr>
              <w:pStyle w:val="6"/>
              <w:spacing w:line="221" w:lineRule="auto"/>
              <w:ind w:left="166"/>
              <w:rPr>
                <w:sz w:val="20"/>
                <w:szCs w:val="20"/>
              </w:rPr>
            </w:pPr>
            <w:r>
              <w:rPr>
                <w:spacing w:val="6"/>
                <w:sz w:val="20"/>
                <w:szCs w:val="20"/>
              </w:rPr>
              <w:t>味，极易挥</w:t>
            </w:r>
          </w:p>
          <w:p w14:paraId="18D4E38B">
            <w:pPr>
              <w:pStyle w:val="6"/>
              <w:spacing w:line="228" w:lineRule="auto"/>
              <w:ind w:left="475"/>
              <w:rPr>
                <w:sz w:val="20"/>
                <w:szCs w:val="20"/>
              </w:rPr>
            </w:pPr>
            <w:r>
              <w:rPr>
                <w:spacing w:val="-2"/>
                <w:sz w:val="20"/>
                <w:szCs w:val="20"/>
              </w:rPr>
              <w:t>发。</w:t>
            </w:r>
          </w:p>
        </w:tc>
        <w:tc>
          <w:tcPr>
            <w:tcW w:w="1073" w:type="dxa"/>
            <w:vAlign w:val="top"/>
          </w:tcPr>
          <w:p w14:paraId="49390DAE">
            <w:pPr>
              <w:spacing w:line="355" w:lineRule="auto"/>
              <w:rPr>
                <w:rFonts w:ascii="Arial"/>
                <w:sz w:val="21"/>
              </w:rPr>
            </w:pPr>
          </w:p>
          <w:p w14:paraId="697B54FC">
            <w:pPr>
              <w:spacing w:line="355" w:lineRule="auto"/>
              <w:rPr>
                <w:rFonts w:ascii="Arial"/>
                <w:sz w:val="21"/>
              </w:rPr>
            </w:pPr>
          </w:p>
          <w:p w14:paraId="22597090">
            <w:pPr>
              <w:spacing w:before="5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0.7899</w:t>
            </w:r>
          </w:p>
        </w:tc>
        <w:tc>
          <w:tcPr>
            <w:tcW w:w="1004" w:type="dxa"/>
            <w:vAlign w:val="top"/>
          </w:tcPr>
          <w:p w14:paraId="5D7AEBE9">
            <w:pPr>
              <w:spacing w:line="355" w:lineRule="auto"/>
              <w:rPr>
                <w:rFonts w:ascii="Arial"/>
                <w:sz w:val="21"/>
              </w:rPr>
            </w:pPr>
          </w:p>
          <w:p w14:paraId="2312D561">
            <w:pPr>
              <w:spacing w:line="355" w:lineRule="auto"/>
              <w:rPr>
                <w:rFonts w:ascii="Arial"/>
                <w:sz w:val="21"/>
              </w:rPr>
            </w:pPr>
          </w:p>
          <w:p w14:paraId="0E301F58">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-94.9℃</w:t>
            </w:r>
          </w:p>
        </w:tc>
        <w:tc>
          <w:tcPr>
            <w:tcW w:w="1064" w:type="dxa"/>
            <w:vAlign w:val="top"/>
          </w:tcPr>
          <w:p w14:paraId="10A912BC">
            <w:pPr>
              <w:spacing w:line="355" w:lineRule="auto"/>
              <w:rPr>
                <w:rFonts w:ascii="Arial"/>
                <w:sz w:val="21"/>
              </w:rPr>
            </w:pPr>
          </w:p>
          <w:p w14:paraId="1F9D29E0">
            <w:pPr>
              <w:spacing w:line="355" w:lineRule="auto"/>
              <w:rPr>
                <w:rFonts w:ascii="Arial"/>
                <w:sz w:val="21"/>
              </w:rPr>
            </w:pPr>
          </w:p>
          <w:p w14:paraId="3B9945D5">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56.53℃</w:t>
            </w:r>
          </w:p>
        </w:tc>
        <w:tc>
          <w:tcPr>
            <w:tcW w:w="1094" w:type="dxa"/>
            <w:vAlign w:val="top"/>
          </w:tcPr>
          <w:p w14:paraId="1ADF6513">
            <w:pPr>
              <w:spacing w:line="293" w:lineRule="auto"/>
              <w:rPr>
                <w:rFonts w:ascii="Arial"/>
                <w:sz w:val="21"/>
              </w:rPr>
            </w:pPr>
          </w:p>
          <w:p w14:paraId="2E010228">
            <w:pPr>
              <w:spacing w:line="294" w:lineRule="auto"/>
              <w:rPr>
                <w:rFonts w:ascii="Arial"/>
                <w:sz w:val="21"/>
              </w:rPr>
            </w:pPr>
          </w:p>
          <w:p w14:paraId="0EC123FE">
            <w:pPr>
              <w:spacing w:before="58"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32.543</w:t>
            </w:r>
            <w:r>
              <w:rPr>
                <w:rFonts w:ascii="Times New Roman" w:hAnsi="Times New Roman" w:eastAsia="Times New Roman" w:cs="Times New Roman"/>
                <w:sz w:val="20"/>
                <w:szCs w:val="20"/>
              </w:rPr>
              <w:t>kPa</w:t>
            </w:r>
          </w:p>
          <w:p w14:paraId="691D57E4">
            <w:pPr>
              <w:spacing w:before="49" w:line="201"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p>
        </w:tc>
        <w:tc>
          <w:tcPr>
            <w:tcW w:w="1221" w:type="dxa"/>
            <w:vAlign w:val="top"/>
          </w:tcPr>
          <w:p w14:paraId="7400D764">
            <w:pPr>
              <w:pStyle w:val="6"/>
              <w:spacing w:before="15" w:line="222" w:lineRule="auto"/>
              <w:ind w:left="194" w:right="107" w:hanging="76"/>
              <w:rPr>
                <w:sz w:val="20"/>
                <w:szCs w:val="20"/>
              </w:rPr>
            </w:pPr>
            <w:r>
              <w:rPr>
                <w:spacing w:val="-3"/>
                <w:sz w:val="20"/>
                <w:szCs w:val="20"/>
              </w:rPr>
              <w:t>与水混溶，</w:t>
            </w:r>
            <w:r>
              <w:rPr>
                <w:sz w:val="20"/>
                <w:szCs w:val="20"/>
              </w:rPr>
              <w:t xml:space="preserve"> </w:t>
            </w:r>
            <w:r>
              <w:rPr>
                <w:spacing w:val="6"/>
                <w:sz w:val="20"/>
                <w:szCs w:val="20"/>
              </w:rPr>
              <w:t>可混溶于</w:t>
            </w:r>
          </w:p>
          <w:p w14:paraId="2F07DEEF">
            <w:pPr>
              <w:pStyle w:val="6"/>
              <w:spacing w:before="1" w:line="221" w:lineRule="auto"/>
              <w:ind w:left="114" w:right="90" w:firstLine="99"/>
              <w:rPr>
                <w:sz w:val="20"/>
                <w:szCs w:val="20"/>
              </w:rPr>
            </w:pPr>
            <w:r>
              <w:rPr>
                <w:spacing w:val="2"/>
                <w:sz w:val="20"/>
                <w:szCs w:val="20"/>
              </w:rPr>
              <w:t>乙醇、乙</w:t>
            </w:r>
            <w:r>
              <w:rPr>
                <w:sz w:val="20"/>
                <w:szCs w:val="20"/>
              </w:rPr>
              <w:t xml:space="preserve">  </w:t>
            </w:r>
            <w:r>
              <w:rPr>
                <w:spacing w:val="1"/>
                <w:sz w:val="20"/>
                <w:szCs w:val="20"/>
              </w:rPr>
              <w:t>醚、氯仿、</w:t>
            </w:r>
          </w:p>
          <w:p w14:paraId="67256DAD">
            <w:pPr>
              <w:pStyle w:val="6"/>
              <w:spacing w:line="221" w:lineRule="auto"/>
              <w:ind w:left="117"/>
              <w:rPr>
                <w:sz w:val="20"/>
                <w:szCs w:val="20"/>
              </w:rPr>
            </w:pPr>
            <w:r>
              <w:rPr>
                <w:spacing w:val="-3"/>
                <w:sz w:val="20"/>
                <w:szCs w:val="20"/>
              </w:rPr>
              <w:t>油类、烃类</w:t>
            </w:r>
          </w:p>
          <w:p w14:paraId="5C5A6D2C">
            <w:pPr>
              <w:pStyle w:val="6"/>
              <w:spacing w:line="221" w:lineRule="auto"/>
              <w:ind w:left="195"/>
              <w:rPr>
                <w:sz w:val="20"/>
                <w:szCs w:val="20"/>
              </w:rPr>
            </w:pPr>
            <w:r>
              <w:rPr>
                <w:spacing w:val="6"/>
                <w:sz w:val="20"/>
                <w:szCs w:val="20"/>
              </w:rPr>
              <w:t>等多数有</w:t>
            </w:r>
          </w:p>
          <w:p w14:paraId="70C06CF2">
            <w:pPr>
              <w:pStyle w:val="6"/>
              <w:spacing w:line="204" w:lineRule="auto"/>
              <w:ind w:left="298"/>
              <w:rPr>
                <w:sz w:val="20"/>
                <w:szCs w:val="20"/>
              </w:rPr>
            </w:pPr>
            <w:r>
              <w:rPr>
                <w:spacing w:val="7"/>
                <w:sz w:val="20"/>
                <w:szCs w:val="20"/>
              </w:rPr>
              <w:t>机溶剂</w:t>
            </w:r>
          </w:p>
        </w:tc>
      </w:tr>
    </w:tbl>
    <w:p w14:paraId="6186FA15">
      <w:pPr>
        <w:rPr>
          <w:rFonts w:ascii="Arial"/>
          <w:sz w:val="21"/>
        </w:rPr>
      </w:pPr>
    </w:p>
    <w:p w14:paraId="752A8044">
      <w:pPr>
        <w:rPr>
          <w:rFonts w:ascii="Arial" w:hAnsi="Arial" w:eastAsia="Arial" w:cs="Arial"/>
          <w:sz w:val="21"/>
          <w:szCs w:val="21"/>
        </w:rPr>
        <w:sectPr>
          <w:footerReference r:id="rId128" w:type="default"/>
          <w:pgSz w:w="11906" w:h="16839"/>
          <w:pgMar w:top="400" w:right="1480" w:bottom="1127" w:left="1480" w:header="0" w:footer="965" w:gutter="0"/>
          <w:cols w:space="720" w:num="1"/>
        </w:sectPr>
      </w:pPr>
    </w:p>
    <w:p w14:paraId="3E417F40">
      <w:pPr>
        <w:spacing w:before="19"/>
      </w:pPr>
    </w:p>
    <w:p w14:paraId="37D275E8">
      <w:pPr>
        <w:spacing w:before="19"/>
      </w:pPr>
    </w:p>
    <w:p w14:paraId="1C5436CA">
      <w:pPr>
        <w:spacing w:before="19"/>
      </w:pPr>
    </w:p>
    <w:p w14:paraId="2B74EEBC">
      <w:pPr>
        <w:spacing w:before="18"/>
      </w:pPr>
    </w:p>
    <w:p w14:paraId="7C97501C">
      <w:pPr>
        <w:spacing w:before="18"/>
      </w:pPr>
    </w:p>
    <w:tbl>
      <w:tblPr>
        <w:tblStyle w:val="5"/>
        <w:tblW w:w="8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1"/>
        <w:gridCol w:w="976"/>
        <w:gridCol w:w="751"/>
        <w:gridCol w:w="1360"/>
        <w:gridCol w:w="1073"/>
        <w:gridCol w:w="1004"/>
        <w:gridCol w:w="1064"/>
        <w:gridCol w:w="1094"/>
        <w:gridCol w:w="1221"/>
      </w:tblGrid>
      <w:tr w14:paraId="0BEA9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381" w:type="dxa"/>
            <w:vAlign w:val="top"/>
          </w:tcPr>
          <w:p w14:paraId="50E0A45C">
            <w:pPr>
              <w:pStyle w:val="6"/>
              <w:spacing w:before="58" w:line="222" w:lineRule="auto"/>
              <w:ind w:left="112"/>
              <w:rPr>
                <w:sz w:val="20"/>
                <w:szCs w:val="20"/>
              </w:rPr>
            </w:pPr>
            <w:r>
              <w:rPr>
                <w:spacing w:val="1"/>
                <w:sz w:val="20"/>
                <w:szCs w:val="20"/>
              </w:rPr>
              <w:t>序</w:t>
            </w:r>
          </w:p>
          <w:p w14:paraId="3235FF9E">
            <w:pPr>
              <w:pStyle w:val="6"/>
              <w:spacing w:line="229" w:lineRule="auto"/>
              <w:ind w:left="118"/>
              <w:rPr>
                <w:sz w:val="20"/>
                <w:szCs w:val="20"/>
              </w:rPr>
            </w:pPr>
            <w:r>
              <w:rPr>
                <w:sz w:val="20"/>
                <w:szCs w:val="20"/>
              </w:rPr>
              <w:t>号</w:t>
            </w:r>
          </w:p>
        </w:tc>
        <w:tc>
          <w:tcPr>
            <w:tcW w:w="976" w:type="dxa"/>
            <w:vAlign w:val="top"/>
          </w:tcPr>
          <w:p w14:paraId="6823FDBB">
            <w:pPr>
              <w:pStyle w:val="6"/>
              <w:spacing w:before="58" w:line="222" w:lineRule="auto"/>
              <w:ind w:left="109"/>
              <w:rPr>
                <w:sz w:val="20"/>
                <w:szCs w:val="20"/>
              </w:rPr>
            </w:pPr>
            <w:r>
              <w:rPr>
                <w:spacing w:val="-6"/>
                <w:sz w:val="20"/>
                <w:szCs w:val="20"/>
              </w:rPr>
              <w:t>危险化学</w:t>
            </w:r>
          </w:p>
          <w:p w14:paraId="4DAFEBAC">
            <w:pPr>
              <w:pStyle w:val="6"/>
              <w:spacing w:line="229" w:lineRule="auto"/>
              <w:ind w:left="219"/>
              <w:rPr>
                <w:sz w:val="20"/>
                <w:szCs w:val="20"/>
              </w:rPr>
            </w:pPr>
            <w:r>
              <w:rPr>
                <w:spacing w:val="-9"/>
                <w:sz w:val="20"/>
                <w:szCs w:val="20"/>
              </w:rPr>
              <w:t>品名称</w:t>
            </w:r>
          </w:p>
        </w:tc>
        <w:tc>
          <w:tcPr>
            <w:tcW w:w="751" w:type="dxa"/>
            <w:vAlign w:val="top"/>
          </w:tcPr>
          <w:p w14:paraId="76588210">
            <w:pPr>
              <w:pStyle w:val="6"/>
              <w:spacing w:before="60" w:line="227" w:lineRule="auto"/>
              <w:ind w:left="280" w:right="164" w:hanging="91"/>
              <w:rPr>
                <w:sz w:val="20"/>
                <w:szCs w:val="20"/>
              </w:rPr>
            </w:pPr>
            <w:r>
              <w:rPr>
                <w:spacing w:val="-7"/>
                <w:sz w:val="20"/>
                <w:szCs w:val="20"/>
              </w:rPr>
              <w:t>分子</w:t>
            </w:r>
            <w:r>
              <w:rPr>
                <w:sz w:val="20"/>
                <w:szCs w:val="20"/>
              </w:rPr>
              <w:t xml:space="preserve"> 量</w:t>
            </w:r>
          </w:p>
        </w:tc>
        <w:tc>
          <w:tcPr>
            <w:tcW w:w="1360" w:type="dxa"/>
            <w:vAlign w:val="top"/>
          </w:tcPr>
          <w:p w14:paraId="4F1D6205">
            <w:pPr>
              <w:pStyle w:val="6"/>
              <w:spacing w:before="178" w:line="228" w:lineRule="auto"/>
              <w:ind w:left="212"/>
              <w:rPr>
                <w:sz w:val="20"/>
                <w:szCs w:val="20"/>
              </w:rPr>
            </w:pPr>
            <w:r>
              <w:rPr>
                <w:spacing w:val="-7"/>
                <w:sz w:val="20"/>
                <w:szCs w:val="20"/>
              </w:rPr>
              <w:t>外观与形状</w:t>
            </w:r>
          </w:p>
        </w:tc>
        <w:tc>
          <w:tcPr>
            <w:tcW w:w="1073" w:type="dxa"/>
            <w:vAlign w:val="top"/>
          </w:tcPr>
          <w:p w14:paraId="35766DB6">
            <w:pPr>
              <w:pStyle w:val="6"/>
              <w:spacing w:before="59" w:line="190" w:lineRule="auto"/>
              <w:ind w:left="161"/>
              <w:rPr>
                <w:sz w:val="20"/>
                <w:szCs w:val="20"/>
              </w:rPr>
            </w:pPr>
            <w:r>
              <w:rPr>
                <w:spacing w:val="-5"/>
                <w:sz w:val="20"/>
                <w:szCs w:val="20"/>
              </w:rPr>
              <w:t>相对密度</w:t>
            </w:r>
          </w:p>
          <w:p w14:paraId="130DD7F6">
            <w:pPr>
              <w:pStyle w:val="6"/>
              <w:spacing w:line="277" w:lineRule="exact"/>
              <w:ind w:left="164"/>
              <w:rPr>
                <w:sz w:val="20"/>
                <w:szCs w:val="20"/>
              </w:rPr>
            </w:pPr>
            <w:r>
              <w:rPr>
                <w:spacing w:val="-7"/>
                <w:position w:val="1"/>
                <w:sz w:val="20"/>
                <w:szCs w:val="20"/>
              </w:rPr>
              <w:t>（水</w:t>
            </w:r>
            <w:r>
              <w:rPr>
                <w:rFonts w:ascii="Times New Roman" w:hAnsi="Times New Roman" w:eastAsia="Times New Roman" w:cs="Times New Roman"/>
                <w:spacing w:val="-7"/>
                <w:position w:val="1"/>
                <w:sz w:val="20"/>
                <w:szCs w:val="20"/>
              </w:rPr>
              <w:t>=1</w:t>
            </w:r>
            <w:r>
              <w:rPr>
                <w:spacing w:val="-7"/>
                <w:position w:val="1"/>
                <w:sz w:val="20"/>
                <w:szCs w:val="20"/>
              </w:rPr>
              <w:t>）</w:t>
            </w:r>
          </w:p>
        </w:tc>
        <w:tc>
          <w:tcPr>
            <w:tcW w:w="1004" w:type="dxa"/>
            <w:vAlign w:val="top"/>
          </w:tcPr>
          <w:p w14:paraId="40C4BFF2">
            <w:pPr>
              <w:pStyle w:val="6"/>
              <w:spacing w:before="179" w:line="228" w:lineRule="auto"/>
              <w:ind w:left="113"/>
              <w:rPr>
                <w:sz w:val="20"/>
                <w:szCs w:val="20"/>
              </w:rPr>
            </w:pPr>
            <w:r>
              <w:rPr>
                <w:spacing w:val="-3"/>
                <w:sz w:val="20"/>
                <w:szCs w:val="20"/>
              </w:rPr>
              <w:t>熔点(</w:t>
            </w:r>
            <w:r>
              <w:rPr>
                <w:rFonts w:ascii="Times New Roman" w:hAnsi="Times New Roman" w:eastAsia="Times New Roman" w:cs="Times New Roman"/>
                <w:spacing w:val="-3"/>
                <w:sz w:val="20"/>
                <w:szCs w:val="20"/>
              </w:rPr>
              <w:t>℃</w:t>
            </w:r>
            <w:r>
              <w:rPr>
                <w:spacing w:val="-3"/>
                <w:sz w:val="20"/>
                <w:szCs w:val="20"/>
              </w:rPr>
              <w:t>)</w:t>
            </w:r>
          </w:p>
        </w:tc>
        <w:tc>
          <w:tcPr>
            <w:tcW w:w="1064" w:type="dxa"/>
            <w:vAlign w:val="top"/>
          </w:tcPr>
          <w:p w14:paraId="0CF13F62">
            <w:pPr>
              <w:pStyle w:val="6"/>
              <w:spacing w:before="179" w:line="229" w:lineRule="auto"/>
              <w:ind w:left="112"/>
              <w:rPr>
                <w:sz w:val="20"/>
                <w:szCs w:val="20"/>
              </w:rPr>
            </w:pPr>
            <w:r>
              <w:rPr>
                <w:spacing w:val="-7"/>
                <w:sz w:val="20"/>
                <w:szCs w:val="20"/>
              </w:rPr>
              <w:t>沸点</w:t>
            </w:r>
            <w:r>
              <w:rPr>
                <w:spacing w:val="-17"/>
                <w:sz w:val="20"/>
                <w:szCs w:val="20"/>
              </w:rPr>
              <w:t xml:space="preserve"> </w:t>
            </w:r>
            <w:r>
              <w:rPr>
                <w:spacing w:val="-7"/>
                <w:sz w:val="20"/>
                <w:szCs w:val="20"/>
              </w:rPr>
              <w:t>(</w:t>
            </w:r>
            <w:r>
              <w:rPr>
                <w:rFonts w:ascii="Times New Roman" w:hAnsi="Times New Roman" w:eastAsia="Times New Roman" w:cs="Times New Roman"/>
                <w:spacing w:val="-7"/>
                <w:sz w:val="20"/>
                <w:szCs w:val="20"/>
              </w:rPr>
              <w:t>℃</w:t>
            </w:r>
            <w:r>
              <w:rPr>
                <w:spacing w:val="-7"/>
                <w:sz w:val="20"/>
                <w:szCs w:val="20"/>
              </w:rPr>
              <w:t>)</w:t>
            </w:r>
          </w:p>
        </w:tc>
        <w:tc>
          <w:tcPr>
            <w:tcW w:w="1094" w:type="dxa"/>
            <w:vAlign w:val="top"/>
          </w:tcPr>
          <w:p w14:paraId="1A8041A2">
            <w:pPr>
              <w:pStyle w:val="6"/>
              <w:spacing w:before="60" w:line="226" w:lineRule="auto"/>
              <w:ind w:left="126" w:right="110" w:firstLine="46"/>
              <w:rPr>
                <w:sz w:val="20"/>
                <w:szCs w:val="20"/>
              </w:rPr>
            </w:pPr>
            <w:r>
              <w:rPr>
                <w:spacing w:val="-8"/>
                <w:sz w:val="20"/>
                <w:szCs w:val="20"/>
              </w:rPr>
              <w:t>饱和蒸气</w:t>
            </w:r>
            <w:r>
              <w:rPr>
                <w:spacing w:val="1"/>
                <w:sz w:val="20"/>
                <w:szCs w:val="20"/>
              </w:rPr>
              <w:t xml:space="preserve"> </w:t>
            </w:r>
            <w:r>
              <w:rPr>
                <w:spacing w:val="-9"/>
                <w:sz w:val="20"/>
                <w:szCs w:val="20"/>
              </w:rPr>
              <w:t>压（</w:t>
            </w:r>
            <w:r>
              <w:rPr>
                <w:rFonts w:ascii="Times New Roman" w:hAnsi="Times New Roman" w:eastAsia="Times New Roman" w:cs="Times New Roman"/>
                <w:spacing w:val="-9"/>
                <w:sz w:val="20"/>
                <w:szCs w:val="20"/>
              </w:rPr>
              <w:t>kPa</w:t>
            </w:r>
            <w:r>
              <w:rPr>
                <w:spacing w:val="-9"/>
                <w:sz w:val="20"/>
                <w:szCs w:val="20"/>
              </w:rPr>
              <w:t>）</w:t>
            </w:r>
          </w:p>
        </w:tc>
        <w:tc>
          <w:tcPr>
            <w:tcW w:w="1221" w:type="dxa"/>
            <w:vAlign w:val="top"/>
          </w:tcPr>
          <w:p w14:paraId="793AF1DA">
            <w:pPr>
              <w:pStyle w:val="6"/>
              <w:spacing w:before="179" w:line="228" w:lineRule="auto"/>
              <w:ind w:left="332"/>
              <w:rPr>
                <w:sz w:val="20"/>
                <w:szCs w:val="20"/>
              </w:rPr>
            </w:pPr>
            <w:r>
              <w:rPr>
                <w:spacing w:val="-5"/>
                <w:sz w:val="20"/>
                <w:szCs w:val="20"/>
              </w:rPr>
              <w:t>溶解性</w:t>
            </w:r>
          </w:p>
        </w:tc>
      </w:tr>
      <w:tr w14:paraId="3B003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381" w:type="dxa"/>
            <w:vAlign w:val="top"/>
          </w:tcPr>
          <w:p w14:paraId="275AD655">
            <w:pPr>
              <w:spacing w:line="351" w:lineRule="auto"/>
              <w:rPr>
                <w:rFonts w:ascii="Arial"/>
                <w:sz w:val="21"/>
              </w:rPr>
            </w:pPr>
          </w:p>
          <w:p w14:paraId="544121DB">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76" w:type="dxa"/>
            <w:vAlign w:val="top"/>
          </w:tcPr>
          <w:p w14:paraId="10E651B9">
            <w:pPr>
              <w:pStyle w:val="6"/>
              <w:spacing w:before="12" w:line="222" w:lineRule="auto"/>
              <w:ind w:left="171"/>
              <w:rPr>
                <w:sz w:val="20"/>
                <w:szCs w:val="20"/>
              </w:rPr>
            </w:pPr>
            <w:r>
              <w:rPr>
                <w:spacing w:val="6"/>
                <w:sz w:val="20"/>
                <w:szCs w:val="20"/>
              </w:rPr>
              <w:t>三乙醇</w:t>
            </w:r>
          </w:p>
          <w:p w14:paraId="19F0DDAB">
            <w:pPr>
              <w:pStyle w:val="6"/>
              <w:spacing w:line="221" w:lineRule="auto"/>
              <w:ind w:left="381"/>
              <w:rPr>
                <w:sz w:val="20"/>
                <w:szCs w:val="20"/>
              </w:rPr>
            </w:pPr>
            <w:r>
              <w:rPr>
                <w:spacing w:val="1"/>
                <w:sz w:val="20"/>
                <w:szCs w:val="20"/>
              </w:rPr>
              <w:t>胺</w:t>
            </w:r>
          </w:p>
          <w:p w14:paraId="46BF6A1D">
            <w:pPr>
              <w:pStyle w:val="6"/>
              <w:spacing w:line="221" w:lineRule="auto"/>
              <w:ind w:left="121"/>
              <w:rPr>
                <w:rFonts w:ascii="Times New Roman" w:hAnsi="Times New Roman" w:eastAsia="Times New Roman" w:cs="Times New Roman"/>
                <w:sz w:val="20"/>
                <w:szCs w:val="20"/>
              </w:rPr>
            </w:pPr>
            <w:r>
              <w:rPr>
                <w:spacing w:val="2"/>
                <w:sz w:val="20"/>
                <w:szCs w:val="20"/>
              </w:rPr>
              <w:t>（</w:t>
            </w:r>
            <w:r>
              <w:rPr>
                <w:rFonts w:ascii="Times New Roman" w:hAnsi="Times New Roman" w:eastAsia="Times New Roman" w:cs="Times New Roman"/>
                <w:spacing w:val="2"/>
                <w:sz w:val="20"/>
                <w:szCs w:val="20"/>
              </w:rPr>
              <w:t>98.5%</w:t>
            </w:r>
          </w:p>
          <w:p w14:paraId="6B11AA40">
            <w:pPr>
              <w:pStyle w:val="6"/>
              <w:spacing w:before="1" w:line="200" w:lineRule="auto"/>
              <w:ind w:left="404"/>
              <w:rPr>
                <w:sz w:val="20"/>
                <w:szCs w:val="20"/>
              </w:rPr>
            </w:pPr>
            <w:r>
              <w:rPr>
                <w:sz w:val="20"/>
                <w:szCs w:val="20"/>
              </w:rPr>
              <w:t>)</w:t>
            </w:r>
          </w:p>
        </w:tc>
        <w:tc>
          <w:tcPr>
            <w:tcW w:w="751" w:type="dxa"/>
            <w:vAlign w:val="top"/>
          </w:tcPr>
          <w:p w14:paraId="019165E0">
            <w:pPr>
              <w:spacing w:before="289"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2"/>
                <w:sz w:val="20"/>
                <w:szCs w:val="20"/>
              </w:rPr>
              <w:t>1</w:t>
            </w:r>
          </w:p>
          <w:p w14:paraId="7ADA1A88">
            <w:pPr>
              <w:spacing w:before="53"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60" w:type="dxa"/>
            <w:vAlign w:val="top"/>
          </w:tcPr>
          <w:p w14:paraId="486C4A36">
            <w:pPr>
              <w:pStyle w:val="6"/>
              <w:spacing w:before="12" w:line="222" w:lineRule="auto"/>
              <w:ind w:left="159"/>
              <w:rPr>
                <w:sz w:val="20"/>
                <w:szCs w:val="20"/>
              </w:rPr>
            </w:pPr>
            <w:r>
              <w:rPr>
                <w:spacing w:val="7"/>
                <w:sz w:val="20"/>
                <w:szCs w:val="20"/>
              </w:rPr>
              <w:t>无色油状液</w:t>
            </w:r>
          </w:p>
          <w:p w14:paraId="324B5E44">
            <w:pPr>
              <w:pStyle w:val="6"/>
              <w:spacing w:line="221" w:lineRule="auto"/>
              <w:ind w:left="157"/>
              <w:rPr>
                <w:sz w:val="20"/>
                <w:szCs w:val="20"/>
              </w:rPr>
            </w:pPr>
            <w:r>
              <w:rPr>
                <w:spacing w:val="8"/>
                <w:sz w:val="20"/>
                <w:szCs w:val="20"/>
              </w:rPr>
              <w:t>体或白色固</w:t>
            </w:r>
          </w:p>
          <w:p w14:paraId="7E9C06CF">
            <w:pPr>
              <w:pStyle w:val="6"/>
              <w:spacing w:line="221" w:lineRule="auto"/>
              <w:ind w:left="157"/>
              <w:rPr>
                <w:sz w:val="20"/>
                <w:szCs w:val="20"/>
              </w:rPr>
            </w:pPr>
            <w:r>
              <w:rPr>
                <w:spacing w:val="8"/>
                <w:sz w:val="20"/>
                <w:szCs w:val="20"/>
              </w:rPr>
              <w:t>体，稍有氨</w:t>
            </w:r>
          </w:p>
          <w:p w14:paraId="55E789D0">
            <w:pPr>
              <w:pStyle w:val="6"/>
              <w:spacing w:before="1" w:line="200" w:lineRule="auto"/>
              <w:ind w:left="383"/>
              <w:rPr>
                <w:sz w:val="20"/>
                <w:szCs w:val="20"/>
              </w:rPr>
            </w:pPr>
            <w:r>
              <w:rPr>
                <w:spacing w:val="1"/>
                <w:sz w:val="20"/>
                <w:szCs w:val="20"/>
              </w:rPr>
              <w:t>的气味</w:t>
            </w:r>
          </w:p>
        </w:tc>
        <w:tc>
          <w:tcPr>
            <w:tcW w:w="1073" w:type="dxa"/>
            <w:vAlign w:val="top"/>
          </w:tcPr>
          <w:p w14:paraId="2326C47B">
            <w:pPr>
              <w:spacing w:line="349" w:lineRule="auto"/>
              <w:rPr>
                <w:rFonts w:ascii="Arial"/>
                <w:sz w:val="21"/>
              </w:rPr>
            </w:pPr>
          </w:p>
          <w:p w14:paraId="52F00DC9">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12</w:t>
            </w:r>
          </w:p>
        </w:tc>
        <w:tc>
          <w:tcPr>
            <w:tcW w:w="1004" w:type="dxa"/>
            <w:vAlign w:val="top"/>
          </w:tcPr>
          <w:p w14:paraId="7331DB74">
            <w:pPr>
              <w:spacing w:line="349" w:lineRule="auto"/>
              <w:rPr>
                <w:rFonts w:ascii="Arial"/>
                <w:sz w:val="21"/>
              </w:rPr>
            </w:pPr>
          </w:p>
          <w:p w14:paraId="7EF3E2E8">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w:t>
            </w:r>
          </w:p>
        </w:tc>
        <w:tc>
          <w:tcPr>
            <w:tcW w:w="1064" w:type="dxa"/>
            <w:vAlign w:val="top"/>
          </w:tcPr>
          <w:p w14:paraId="3B8C934F">
            <w:pPr>
              <w:spacing w:line="349" w:lineRule="auto"/>
              <w:rPr>
                <w:rFonts w:ascii="Arial"/>
                <w:sz w:val="21"/>
              </w:rPr>
            </w:pPr>
          </w:p>
          <w:p w14:paraId="4575B1C1">
            <w:pPr>
              <w:spacing w:before="57"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335.4℃</w:t>
            </w:r>
          </w:p>
        </w:tc>
        <w:tc>
          <w:tcPr>
            <w:tcW w:w="1094" w:type="dxa"/>
            <w:vAlign w:val="top"/>
          </w:tcPr>
          <w:p w14:paraId="147B1708">
            <w:pPr>
              <w:spacing w:line="306" w:lineRule="auto"/>
              <w:rPr>
                <w:rFonts w:ascii="Arial"/>
                <w:sz w:val="21"/>
              </w:rPr>
            </w:pPr>
          </w:p>
          <w:p w14:paraId="63343BE9">
            <w:pPr>
              <w:pStyle w:val="6"/>
              <w:spacing w:before="65" w:line="221"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0.67(190</w:t>
            </w:r>
            <w:r>
              <w:rPr>
                <w:spacing w:val="4"/>
                <w:sz w:val="20"/>
                <w:szCs w:val="20"/>
              </w:rPr>
              <w:t>℃</w:t>
            </w:r>
            <w:r>
              <w:rPr>
                <w:rFonts w:ascii="Times New Roman" w:hAnsi="Times New Roman" w:eastAsia="Times New Roman" w:cs="Times New Roman"/>
                <w:spacing w:val="4"/>
                <w:sz w:val="20"/>
                <w:szCs w:val="20"/>
              </w:rPr>
              <w:t>)</w:t>
            </w:r>
          </w:p>
        </w:tc>
        <w:tc>
          <w:tcPr>
            <w:tcW w:w="1221" w:type="dxa"/>
            <w:vAlign w:val="top"/>
          </w:tcPr>
          <w:p w14:paraId="1553A00C">
            <w:pPr>
              <w:spacing w:line="305" w:lineRule="auto"/>
              <w:rPr>
                <w:rFonts w:ascii="Arial"/>
                <w:sz w:val="21"/>
              </w:rPr>
            </w:pPr>
          </w:p>
          <w:p w14:paraId="7F7A3EDF">
            <w:pPr>
              <w:pStyle w:val="6"/>
              <w:spacing w:before="65" w:line="228" w:lineRule="auto"/>
              <w:ind w:left="207"/>
              <w:rPr>
                <w:sz w:val="20"/>
                <w:szCs w:val="20"/>
              </w:rPr>
            </w:pPr>
            <w:r>
              <w:rPr>
                <w:spacing w:val="3"/>
                <w:sz w:val="20"/>
                <w:szCs w:val="20"/>
              </w:rPr>
              <w:t>易溶于水</w:t>
            </w:r>
          </w:p>
        </w:tc>
      </w:tr>
      <w:tr w14:paraId="643DE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381" w:type="dxa"/>
            <w:vAlign w:val="top"/>
          </w:tcPr>
          <w:p w14:paraId="5B54C92C">
            <w:pPr>
              <w:spacing w:before="21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76" w:type="dxa"/>
            <w:vAlign w:val="top"/>
          </w:tcPr>
          <w:p w14:paraId="50849695">
            <w:pPr>
              <w:pStyle w:val="6"/>
              <w:spacing w:before="180" w:line="228" w:lineRule="auto"/>
              <w:ind w:left="170"/>
              <w:rPr>
                <w:sz w:val="20"/>
                <w:szCs w:val="20"/>
              </w:rPr>
            </w:pPr>
            <w:r>
              <w:rPr>
                <w:spacing w:val="7"/>
                <w:sz w:val="20"/>
                <w:szCs w:val="20"/>
              </w:rPr>
              <w:t>废酸液</w:t>
            </w:r>
          </w:p>
        </w:tc>
        <w:tc>
          <w:tcPr>
            <w:tcW w:w="751" w:type="dxa"/>
            <w:vAlign w:val="top"/>
          </w:tcPr>
          <w:p w14:paraId="13178EAE">
            <w:pPr>
              <w:pStyle w:val="6"/>
              <w:spacing w:before="59" w:line="225" w:lineRule="auto"/>
              <w:ind w:left="270" w:right="164" w:hanging="101"/>
              <w:rPr>
                <w:sz w:val="20"/>
                <w:szCs w:val="20"/>
              </w:rPr>
            </w:pPr>
            <w:r>
              <w:rPr>
                <w:spacing w:val="3"/>
                <w:sz w:val="20"/>
                <w:szCs w:val="20"/>
              </w:rPr>
              <w:t>无资</w:t>
            </w:r>
            <w:r>
              <w:rPr>
                <w:sz w:val="20"/>
                <w:szCs w:val="20"/>
              </w:rPr>
              <w:t xml:space="preserve"> 料</w:t>
            </w:r>
          </w:p>
        </w:tc>
        <w:tc>
          <w:tcPr>
            <w:tcW w:w="1360" w:type="dxa"/>
            <w:vAlign w:val="top"/>
          </w:tcPr>
          <w:p w14:paraId="5986D231">
            <w:pPr>
              <w:pStyle w:val="6"/>
              <w:spacing w:before="180" w:line="228" w:lineRule="auto"/>
              <w:ind w:left="368"/>
              <w:rPr>
                <w:sz w:val="20"/>
                <w:szCs w:val="20"/>
              </w:rPr>
            </w:pPr>
            <w:r>
              <w:rPr>
                <w:spacing w:val="6"/>
                <w:sz w:val="20"/>
                <w:szCs w:val="20"/>
              </w:rPr>
              <w:t>无资料</w:t>
            </w:r>
          </w:p>
        </w:tc>
        <w:tc>
          <w:tcPr>
            <w:tcW w:w="1073" w:type="dxa"/>
            <w:vAlign w:val="top"/>
          </w:tcPr>
          <w:p w14:paraId="6DF4DE58">
            <w:pPr>
              <w:pStyle w:val="6"/>
              <w:spacing w:before="180" w:line="228" w:lineRule="auto"/>
              <w:ind w:left="227"/>
              <w:rPr>
                <w:sz w:val="20"/>
                <w:szCs w:val="20"/>
              </w:rPr>
            </w:pPr>
            <w:r>
              <w:rPr>
                <w:spacing w:val="6"/>
                <w:sz w:val="20"/>
                <w:szCs w:val="20"/>
              </w:rPr>
              <w:t>无资料</w:t>
            </w:r>
          </w:p>
        </w:tc>
        <w:tc>
          <w:tcPr>
            <w:tcW w:w="1004" w:type="dxa"/>
            <w:vAlign w:val="top"/>
          </w:tcPr>
          <w:p w14:paraId="2D57BEAA">
            <w:pPr>
              <w:pStyle w:val="6"/>
              <w:spacing w:before="180" w:line="228" w:lineRule="auto"/>
              <w:ind w:left="193"/>
              <w:rPr>
                <w:sz w:val="20"/>
                <w:szCs w:val="20"/>
              </w:rPr>
            </w:pPr>
            <w:r>
              <w:rPr>
                <w:spacing w:val="6"/>
                <w:sz w:val="20"/>
                <w:szCs w:val="20"/>
              </w:rPr>
              <w:t>无资料</w:t>
            </w:r>
          </w:p>
        </w:tc>
        <w:tc>
          <w:tcPr>
            <w:tcW w:w="1064" w:type="dxa"/>
            <w:vAlign w:val="top"/>
          </w:tcPr>
          <w:p w14:paraId="5B3558F1">
            <w:pPr>
              <w:pStyle w:val="6"/>
              <w:spacing w:before="180" w:line="228" w:lineRule="auto"/>
              <w:ind w:left="224"/>
              <w:rPr>
                <w:sz w:val="20"/>
                <w:szCs w:val="20"/>
              </w:rPr>
            </w:pPr>
            <w:r>
              <w:rPr>
                <w:spacing w:val="6"/>
                <w:sz w:val="20"/>
                <w:szCs w:val="20"/>
              </w:rPr>
              <w:t>无资料</w:t>
            </w:r>
          </w:p>
        </w:tc>
        <w:tc>
          <w:tcPr>
            <w:tcW w:w="1094" w:type="dxa"/>
            <w:vAlign w:val="top"/>
          </w:tcPr>
          <w:p w14:paraId="78591B46">
            <w:pPr>
              <w:pStyle w:val="6"/>
              <w:spacing w:before="180" w:line="228" w:lineRule="auto"/>
              <w:ind w:left="240"/>
              <w:rPr>
                <w:sz w:val="20"/>
                <w:szCs w:val="20"/>
              </w:rPr>
            </w:pPr>
            <w:r>
              <w:rPr>
                <w:spacing w:val="6"/>
                <w:sz w:val="20"/>
                <w:szCs w:val="20"/>
              </w:rPr>
              <w:t>无资料</w:t>
            </w:r>
          </w:p>
        </w:tc>
        <w:tc>
          <w:tcPr>
            <w:tcW w:w="1221" w:type="dxa"/>
            <w:vAlign w:val="top"/>
          </w:tcPr>
          <w:p w14:paraId="32FB5849">
            <w:pPr>
              <w:pStyle w:val="6"/>
              <w:spacing w:before="180" w:line="228" w:lineRule="auto"/>
              <w:ind w:left="300"/>
              <w:rPr>
                <w:sz w:val="20"/>
                <w:szCs w:val="20"/>
              </w:rPr>
            </w:pPr>
            <w:r>
              <w:rPr>
                <w:spacing w:val="6"/>
                <w:sz w:val="20"/>
                <w:szCs w:val="20"/>
              </w:rPr>
              <w:t>无资料</w:t>
            </w:r>
          </w:p>
        </w:tc>
      </w:tr>
    </w:tbl>
    <w:p w14:paraId="67ED5A2D">
      <w:pPr>
        <w:spacing w:before="179" w:line="219" w:lineRule="auto"/>
        <w:ind w:left="537"/>
        <w:rPr>
          <w:rFonts w:ascii="宋体" w:hAnsi="宋体" w:eastAsia="宋体" w:cs="宋体"/>
          <w:sz w:val="24"/>
          <w:szCs w:val="24"/>
        </w:rPr>
      </w:pPr>
      <w:r>
        <w:rPr>
          <w:rFonts w:ascii="宋体" w:hAnsi="宋体" w:eastAsia="宋体" w:cs="宋体"/>
          <w:spacing w:val="-1"/>
          <w:sz w:val="24"/>
          <w:szCs w:val="24"/>
        </w:rPr>
        <w:t>各危险化学品健康危害性见下表。</w:t>
      </w:r>
    </w:p>
    <w:p w14:paraId="444FFA0F">
      <w:pPr>
        <w:spacing w:before="293" w:line="219" w:lineRule="auto"/>
        <w:ind w:left="263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b/>
          <w:bCs/>
          <w:spacing w:val="-3"/>
          <w:sz w:val="24"/>
          <w:szCs w:val="24"/>
        </w:rPr>
        <w:t xml:space="preserve">18    </w:t>
      </w:r>
      <w:r>
        <w:rPr>
          <w:rFonts w:ascii="宋体" w:hAnsi="宋体" w:eastAsia="宋体" w:cs="宋体"/>
          <w:b/>
          <w:bCs/>
          <w:spacing w:val="-3"/>
          <w:sz w:val="24"/>
          <w:szCs w:val="24"/>
        </w:rPr>
        <w:t>危险化学品健康危害性列表</w:t>
      </w:r>
    </w:p>
    <w:p w14:paraId="4D728EDE">
      <w:pPr>
        <w:spacing w:line="145" w:lineRule="exact"/>
      </w:pPr>
    </w:p>
    <w:tbl>
      <w:tblPr>
        <w:tblStyle w:val="5"/>
        <w:tblW w:w="8895"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475"/>
        <w:gridCol w:w="487"/>
        <w:gridCol w:w="3294"/>
        <w:gridCol w:w="4171"/>
      </w:tblGrid>
      <w:tr w14:paraId="09C15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68" w:type="dxa"/>
            <w:vMerge w:val="restart"/>
            <w:tcBorders>
              <w:bottom w:val="nil"/>
            </w:tcBorders>
            <w:vAlign w:val="top"/>
          </w:tcPr>
          <w:p w14:paraId="26D9CD63">
            <w:pPr>
              <w:spacing w:line="335" w:lineRule="auto"/>
              <w:rPr>
                <w:rFonts w:ascii="Arial"/>
                <w:sz w:val="21"/>
              </w:rPr>
            </w:pPr>
          </w:p>
          <w:p w14:paraId="3BB90907">
            <w:pPr>
              <w:pStyle w:val="6"/>
              <w:spacing w:before="65" w:line="229" w:lineRule="auto"/>
              <w:ind w:left="28"/>
              <w:rPr>
                <w:sz w:val="20"/>
                <w:szCs w:val="20"/>
              </w:rPr>
            </w:pPr>
            <w:r>
              <w:rPr>
                <w:spacing w:val="5"/>
                <w:sz w:val="20"/>
                <w:szCs w:val="20"/>
              </w:rPr>
              <w:t>序号</w:t>
            </w:r>
          </w:p>
        </w:tc>
        <w:tc>
          <w:tcPr>
            <w:tcW w:w="475" w:type="dxa"/>
            <w:vMerge w:val="restart"/>
            <w:tcBorders>
              <w:bottom w:val="nil"/>
            </w:tcBorders>
            <w:vAlign w:val="top"/>
          </w:tcPr>
          <w:p w14:paraId="3A57B2AF">
            <w:pPr>
              <w:pStyle w:val="6"/>
              <w:spacing w:before="131" w:line="229" w:lineRule="auto"/>
              <w:ind w:left="30"/>
              <w:rPr>
                <w:sz w:val="20"/>
                <w:szCs w:val="20"/>
              </w:rPr>
            </w:pPr>
            <w:r>
              <w:rPr>
                <w:spacing w:val="4"/>
                <w:sz w:val="20"/>
                <w:szCs w:val="20"/>
              </w:rPr>
              <w:t>化学</w:t>
            </w:r>
          </w:p>
          <w:p w14:paraId="421890F1">
            <w:pPr>
              <w:pStyle w:val="6"/>
              <w:spacing w:before="22" w:line="253" w:lineRule="auto"/>
              <w:ind w:left="133" w:right="30" w:hanging="87"/>
              <w:rPr>
                <w:sz w:val="20"/>
                <w:szCs w:val="20"/>
              </w:rPr>
            </w:pPr>
            <w:r>
              <w:rPr>
                <w:spacing w:val="-4"/>
                <w:sz w:val="20"/>
                <w:szCs w:val="20"/>
              </w:rPr>
              <w:t>品名</w:t>
            </w:r>
            <w:r>
              <w:rPr>
                <w:sz w:val="20"/>
                <w:szCs w:val="20"/>
              </w:rPr>
              <w:t xml:space="preserve"> </w:t>
            </w:r>
            <w:r>
              <w:rPr>
                <w:spacing w:val="1"/>
                <w:sz w:val="20"/>
                <w:szCs w:val="20"/>
              </w:rPr>
              <w:t>称</w:t>
            </w:r>
          </w:p>
        </w:tc>
        <w:tc>
          <w:tcPr>
            <w:tcW w:w="7952" w:type="dxa"/>
            <w:gridSpan w:val="3"/>
            <w:vAlign w:val="top"/>
          </w:tcPr>
          <w:p w14:paraId="019688C7">
            <w:pPr>
              <w:pStyle w:val="6"/>
              <w:spacing w:before="126" w:line="228" w:lineRule="auto"/>
              <w:ind w:left="3560"/>
              <w:rPr>
                <w:sz w:val="20"/>
                <w:szCs w:val="20"/>
              </w:rPr>
            </w:pPr>
            <w:r>
              <w:rPr>
                <w:spacing w:val="7"/>
                <w:sz w:val="20"/>
                <w:szCs w:val="20"/>
              </w:rPr>
              <w:t>环境影响</w:t>
            </w:r>
          </w:p>
        </w:tc>
      </w:tr>
      <w:tr w14:paraId="7E4A6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68" w:type="dxa"/>
            <w:vMerge w:val="continue"/>
            <w:tcBorders>
              <w:top w:val="nil"/>
            </w:tcBorders>
            <w:vAlign w:val="top"/>
          </w:tcPr>
          <w:p w14:paraId="05751ED6">
            <w:pPr>
              <w:rPr>
                <w:rFonts w:ascii="Arial"/>
                <w:sz w:val="21"/>
              </w:rPr>
            </w:pPr>
          </w:p>
        </w:tc>
        <w:tc>
          <w:tcPr>
            <w:tcW w:w="475" w:type="dxa"/>
            <w:vMerge w:val="continue"/>
            <w:tcBorders>
              <w:top w:val="nil"/>
            </w:tcBorders>
            <w:vAlign w:val="top"/>
          </w:tcPr>
          <w:p w14:paraId="515DD11B">
            <w:pPr>
              <w:rPr>
                <w:rFonts w:ascii="Arial"/>
                <w:sz w:val="21"/>
              </w:rPr>
            </w:pPr>
          </w:p>
        </w:tc>
        <w:tc>
          <w:tcPr>
            <w:tcW w:w="487" w:type="dxa"/>
            <w:vAlign w:val="top"/>
          </w:tcPr>
          <w:p w14:paraId="5942857A">
            <w:pPr>
              <w:pStyle w:val="6"/>
              <w:spacing w:before="30" w:line="229" w:lineRule="auto"/>
              <w:ind w:left="38"/>
              <w:rPr>
                <w:sz w:val="20"/>
                <w:szCs w:val="20"/>
              </w:rPr>
            </w:pPr>
            <w:r>
              <w:rPr>
                <w:spacing w:val="3"/>
                <w:sz w:val="20"/>
                <w:szCs w:val="20"/>
              </w:rPr>
              <w:t>侵入</w:t>
            </w:r>
          </w:p>
          <w:p w14:paraId="6B2A823C">
            <w:pPr>
              <w:pStyle w:val="6"/>
              <w:spacing w:before="25" w:line="218" w:lineRule="auto"/>
              <w:ind w:left="37"/>
              <w:rPr>
                <w:sz w:val="20"/>
                <w:szCs w:val="20"/>
              </w:rPr>
            </w:pPr>
            <w:r>
              <w:rPr>
                <w:spacing w:val="4"/>
                <w:sz w:val="20"/>
                <w:szCs w:val="20"/>
              </w:rPr>
              <w:t>途径</w:t>
            </w:r>
          </w:p>
        </w:tc>
        <w:tc>
          <w:tcPr>
            <w:tcW w:w="3294" w:type="dxa"/>
            <w:vAlign w:val="top"/>
          </w:tcPr>
          <w:p w14:paraId="663AD158">
            <w:pPr>
              <w:pStyle w:val="6"/>
              <w:spacing w:before="166" w:line="228" w:lineRule="auto"/>
              <w:ind w:left="1232"/>
              <w:rPr>
                <w:sz w:val="20"/>
                <w:szCs w:val="20"/>
              </w:rPr>
            </w:pPr>
            <w:r>
              <w:rPr>
                <w:spacing w:val="7"/>
                <w:sz w:val="20"/>
                <w:szCs w:val="20"/>
              </w:rPr>
              <w:t>健康危害</w:t>
            </w:r>
          </w:p>
        </w:tc>
        <w:tc>
          <w:tcPr>
            <w:tcW w:w="4171" w:type="dxa"/>
            <w:vAlign w:val="top"/>
          </w:tcPr>
          <w:p w14:paraId="1AD62654">
            <w:pPr>
              <w:pStyle w:val="6"/>
              <w:spacing w:before="166" w:line="228" w:lineRule="auto"/>
              <w:ind w:left="1041"/>
              <w:rPr>
                <w:sz w:val="20"/>
                <w:szCs w:val="20"/>
              </w:rPr>
            </w:pPr>
            <w:r>
              <w:rPr>
                <w:spacing w:val="8"/>
                <w:sz w:val="20"/>
                <w:szCs w:val="20"/>
              </w:rPr>
              <w:t>毒理学资料及环境行为</w:t>
            </w:r>
          </w:p>
        </w:tc>
      </w:tr>
      <w:tr w14:paraId="105B6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68" w:type="dxa"/>
            <w:vAlign w:val="top"/>
          </w:tcPr>
          <w:p w14:paraId="5AF521AF">
            <w:pPr>
              <w:spacing w:line="273" w:lineRule="auto"/>
              <w:rPr>
                <w:rFonts w:ascii="Arial"/>
                <w:sz w:val="21"/>
              </w:rPr>
            </w:pPr>
          </w:p>
          <w:p w14:paraId="1D467B27">
            <w:pPr>
              <w:spacing w:line="274" w:lineRule="auto"/>
              <w:rPr>
                <w:rFonts w:ascii="Arial"/>
                <w:sz w:val="21"/>
              </w:rPr>
            </w:pPr>
          </w:p>
          <w:p w14:paraId="16477F1A">
            <w:pPr>
              <w:spacing w:line="274" w:lineRule="auto"/>
              <w:rPr>
                <w:rFonts w:ascii="Arial"/>
                <w:sz w:val="21"/>
              </w:rPr>
            </w:pPr>
          </w:p>
          <w:p w14:paraId="0EC11E86">
            <w:pPr>
              <w:spacing w:before="58"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75" w:type="dxa"/>
            <w:vAlign w:val="top"/>
          </w:tcPr>
          <w:p w14:paraId="1BC68FD2">
            <w:pPr>
              <w:spacing w:line="259" w:lineRule="auto"/>
              <w:rPr>
                <w:rFonts w:ascii="Arial"/>
                <w:sz w:val="21"/>
              </w:rPr>
            </w:pPr>
          </w:p>
          <w:p w14:paraId="69FB17BC">
            <w:pPr>
              <w:spacing w:line="259" w:lineRule="auto"/>
              <w:rPr>
                <w:rFonts w:ascii="Arial"/>
                <w:sz w:val="21"/>
              </w:rPr>
            </w:pPr>
          </w:p>
          <w:p w14:paraId="72B6EE4D">
            <w:pPr>
              <w:spacing w:line="260" w:lineRule="auto"/>
              <w:rPr>
                <w:rFonts w:ascii="Arial"/>
                <w:sz w:val="21"/>
              </w:rPr>
            </w:pPr>
          </w:p>
          <w:p w14:paraId="54420813">
            <w:pPr>
              <w:pStyle w:val="6"/>
              <w:spacing w:before="65" w:line="229" w:lineRule="auto"/>
              <w:ind w:left="31"/>
              <w:rPr>
                <w:sz w:val="20"/>
                <w:szCs w:val="20"/>
              </w:rPr>
            </w:pPr>
            <w:r>
              <w:rPr>
                <w:spacing w:val="3"/>
                <w:sz w:val="20"/>
                <w:szCs w:val="20"/>
              </w:rPr>
              <w:t>盐酸</w:t>
            </w:r>
          </w:p>
        </w:tc>
        <w:tc>
          <w:tcPr>
            <w:tcW w:w="487" w:type="dxa"/>
            <w:vAlign w:val="top"/>
          </w:tcPr>
          <w:p w14:paraId="6BF718F7">
            <w:pPr>
              <w:spacing w:line="253" w:lineRule="auto"/>
              <w:rPr>
                <w:rFonts w:ascii="Arial"/>
                <w:sz w:val="21"/>
              </w:rPr>
            </w:pPr>
          </w:p>
          <w:p w14:paraId="30E5B9A1">
            <w:pPr>
              <w:spacing w:line="254" w:lineRule="auto"/>
              <w:rPr>
                <w:rFonts w:ascii="Arial"/>
                <w:sz w:val="21"/>
              </w:rPr>
            </w:pPr>
          </w:p>
          <w:p w14:paraId="130E6C01">
            <w:pPr>
              <w:pStyle w:val="6"/>
              <w:spacing w:before="65" w:line="251" w:lineRule="auto"/>
              <w:ind w:left="36" w:right="70" w:firstLine="114"/>
              <w:rPr>
                <w:sz w:val="20"/>
                <w:szCs w:val="20"/>
              </w:rPr>
            </w:pPr>
            <w:r>
              <w:rPr>
                <w:spacing w:val="-8"/>
                <w:sz w:val="20"/>
                <w:szCs w:val="20"/>
              </w:rPr>
              <w:t>吸</w:t>
            </w:r>
            <w:r>
              <w:rPr>
                <w:sz w:val="20"/>
                <w:szCs w:val="20"/>
              </w:rPr>
              <w:t xml:space="preserve"> </w:t>
            </w:r>
            <w:r>
              <w:rPr>
                <w:spacing w:val="-13"/>
                <w:sz w:val="20"/>
                <w:szCs w:val="20"/>
              </w:rPr>
              <w:t>入、</w:t>
            </w:r>
          </w:p>
          <w:p w14:paraId="57A5C4A5">
            <w:pPr>
              <w:pStyle w:val="6"/>
              <w:spacing w:line="228" w:lineRule="auto"/>
              <w:ind w:left="37"/>
              <w:rPr>
                <w:sz w:val="20"/>
                <w:szCs w:val="20"/>
              </w:rPr>
            </w:pPr>
            <w:r>
              <w:rPr>
                <w:spacing w:val="4"/>
                <w:sz w:val="20"/>
                <w:szCs w:val="20"/>
              </w:rPr>
              <w:t>食入</w:t>
            </w:r>
          </w:p>
        </w:tc>
        <w:tc>
          <w:tcPr>
            <w:tcW w:w="3294" w:type="dxa"/>
            <w:vAlign w:val="top"/>
          </w:tcPr>
          <w:p w14:paraId="1C52A589">
            <w:pPr>
              <w:pStyle w:val="6"/>
              <w:spacing w:before="163" w:line="252" w:lineRule="auto"/>
              <w:ind w:left="61" w:right="3" w:hanging="1"/>
              <w:jc w:val="both"/>
              <w:rPr>
                <w:sz w:val="20"/>
                <w:szCs w:val="20"/>
              </w:rPr>
            </w:pPr>
            <w:r>
              <w:rPr>
                <w:spacing w:val="1"/>
                <w:sz w:val="20"/>
                <w:szCs w:val="20"/>
              </w:rPr>
              <w:t>接触其蒸气或烟雾，引起眼结膜炎，</w:t>
            </w:r>
            <w:r>
              <w:rPr>
                <w:spacing w:val="7"/>
                <w:sz w:val="20"/>
                <w:szCs w:val="20"/>
              </w:rPr>
              <w:t xml:space="preserve"> </w:t>
            </w:r>
            <w:r>
              <w:rPr>
                <w:spacing w:val="9"/>
                <w:sz w:val="20"/>
                <w:szCs w:val="20"/>
              </w:rPr>
              <w:t>鼻及口腔粘膜有烧灼感，鼻衄、齿</w:t>
            </w:r>
            <w:r>
              <w:rPr>
                <w:spacing w:val="1"/>
                <w:sz w:val="20"/>
                <w:szCs w:val="20"/>
              </w:rPr>
              <w:t xml:space="preserve">  </w:t>
            </w:r>
            <w:r>
              <w:rPr>
                <w:spacing w:val="9"/>
                <w:sz w:val="20"/>
                <w:szCs w:val="20"/>
              </w:rPr>
              <w:t>龈出血、气管炎；刺激皮肤发生皮</w:t>
            </w:r>
            <w:r>
              <w:rPr>
                <w:spacing w:val="1"/>
                <w:sz w:val="20"/>
                <w:szCs w:val="20"/>
              </w:rPr>
              <w:t xml:space="preserve">  </w:t>
            </w:r>
            <w:r>
              <w:rPr>
                <w:spacing w:val="9"/>
                <w:sz w:val="20"/>
                <w:szCs w:val="20"/>
              </w:rPr>
              <w:t>炎，慢性支气管炎等病变。误服盐</w:t>
            </w:r>
            <w:r>
              <w:rPr>
                <w:spacing w:val="1"/>
                <w:sz w:val="20"/>
                <w:szCs w:val="20"/>
              </w:rPr>
              <w:t xml:space="preserve">  </w:t>
            </w:r>
            <w:r>
              <w:rPr>
                <w:spacing w:val="9"/>
                <w:sz w:val="20"/>
                <w:szCs w:val="20"/>
              </w:rPr>
              <w:t>酸中毒，可引起消化道灼伤、溃疡</w:t>
            </w:r>
            <w:r>
              <w:rPr>
                <w:spacing w:val="1"/>
                <w:sz w:val="20"/>
                <w:szCs w:val="20"/>
              </w:rPr>
              <w:t xml:space="preserve">  </w:t>
            </w:r>
            <w:r>
              <w:rPr>
                <w:spacing w:val="8"/>
                <w:sz w:val="20"/>
                <w:szCs w:val="20"/>
              </w:rPr>
              <w:t>形成，有可能胃穿孔、腹膜炎等。</w:t>
            </w:r>
          </w:p>
        </w:tc>
        <w:tc>
          <w:tcPr>
            <w:tcW w:w="4171" w:type="dxa"/>
            <w:vAlign w:val="top"/>
          </w:tcPr>
          <w:p w14:paraId="607160A7">
            <w:pPr>
              <w:pStyle w:val="6"/>
              <w:spacing w:before="32"/>
              <w:ind w:left="65" w:right="4" w:firstLine="6"/>
              <w:rPr>
                <w:rFonts w:ascii="Times New Roman" w:hAnsi="Times New Roman" w:eastAsia="Times New Roman" w:cs="Times New Roman"/>
                <w:sz w:val="20"/>
                <w:szCs w:val="20"/>
              </w:rPr>
            </w:pPr>
            <w:r>
              <w:rPr>
                <w:spacing w:val="1"/>
                <w:sz w:val="20"/>
                <w:szCs w:val="20"/>
              </w:rPr>
              <w:t>急性毒性：</w:t>
            </w:r>
            <w:r>
              <w:rPr>
                <w:rFonts w:ascii="Times New Roman" w:hAnsi="Times New Roman" w:eastAsia="Times New Roman" w:cs="Times New Roman"/>
                <w:sz w:val="20"/>
                <w:szCs w:val="20"/>
              </w:rPr>
              <w:t>LD</w:t>
            </w:r>
            <w:r>
              <w:rPr>
                <w:rFonts w:ascii="Times New Roman" w:hAnsi="Times New Roman" w:eastAsia="Times New Roman" w:cs="Times New Roman"/>
                <w:spacing w:val="1"/>
                <w:sz w:val="20"/>
                <w:szCs w:val="20"/>
              </w:rPr>
              <w:t>50</w:t>
            </w:r>
            <w:r>
              <w:rPr>
                <w:spacing w:val="1"/>
                <w:sz w:val="20"/>
                <w:szCs w:val="20"/>
              </w:rPr>
              <w:t>：</w:t>
            </w:r>
            <w:r>
              <w:rPr>
                <w:rFonts w:ascii="Times New Roman" w:hAnsi="Times New Roman" w:eastAsia="Times New Roman" w:cs="Times New Roman"/>
                <w:spacing w:val="1"/>
                <w:sz w:val="20"/>
                <w:szCs w:val="20"/>
              </w:rPr>
              <w:t>900</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w:t>
            </w:r>
            <w:r>
              <w:rPr>
                <w:spacing w:val="1"/>
                <w:sz w:val="20"/>
                <w:szCs w:val="20"/>
              </w:rPr>
              <w:t>兔经口</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1"/>
                <w:sz w:val="20"/>
                <w:szCs w:val="20"/>
              </w:rPr>
              <w:t>50</w:t>
            </w:r>
            <w:r>
              <w:rPr>
                <w:spacing w:val="1"/>
                <w:sz w:val="20"/>
                <w:szCs w:val="20"/>
              </w:rPr>
              <w:t xml:space="preserve">： </w:t>
            </w:r>
            <w:r>
              <w:rPr>
                <w:rFonts w:ascii="Times New Roman" w:hAnsi="Times New Roman" w:eastAsia="Times New Roman" w:cs="Times New Roman"/>
                <w:spacing w:val="4"/>
                <w:sz w:val="20"/>
                <w:szCs w:val="20"/>
              </w:rPr>
              <w:t>3124</w:t>
            </w:r>
            <w:r>
              <w:rPr>
                <w:rFonts w:ascii="Times New Roman" w:hAnsi="Times New Roman" w:eastAsia="Times New Roman" w:cs="Times New Roman"/>
                <w:sz w:val="20"/>
                <w:szCs w:val="20"/>
              </w:rPr>
              <w:t>ppm</w:t>
            </w:r>
            <w:r>
              <w:rPr>
                <w:rFonts w:ascii="Times New Roman" w:hAnsi="Times New Roman" w:eastAsia="Times New Roman" w:cs="Times New Roman"/>
                <w:spacing w:val="-14"/>
                <w:sz w:val="20"/>
                <w:szCs w:val="20"/>
              </w:rPr>
              <w:t xml:space="preserve"> </w:t>
            </w:r>
            <w:r>
              <w:rPr>
                <w:spacing w:val="4"/>
                <w:sz w:val="20"/>
                <w:szCs w:val="20"/>
              </w:rPr>
              <w:t>，</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sz w:val="20"/>
                <w:szCs w:val="20"/>
              </w:rPr>
              <w:t xml:space="preserve"> </w:t>
            </w:r>
            <w:r>
              <w:rPr>
                <w:spacing w:val="4"/>
                <w:sz w:val="20"/>
                <w:szCs w:val="20"/>
              </w:rPr>
              <w:t>小时</w:t>
            </w:r>
            <w:r>
              <w:rPr>
                <w:rFonts w:ascii="Times New Roman" w:hAnsi="Times New Roman" w:eastAsia="Times New Roman" w:cs="Times New Roman"/>
                <w:spacing w:val="4"/>
                <w:sz w:val="20"/>
                <w:szCs w:val="20"/>
              </w:rPr>
              <w:t>(</w:t>
            </w:r>
            <w:r>
              <w:rPr>
                <w:spacing w:val="4"/>
                <w:sz w:val="20"/>
                <w:szCs w:val="20"/>
              </w:rPr>
              <w:t>大鼠吸入</w:t>
            </w:r>
            <w:r>
              <w:rPr>
                <w:rFonts w:ascii="Times New Roman" w:hAnsi="Times New Roman" w:eastAsia="Times New Roman" w:cs="Times New Roman"/>
                <w:spacing w:val="4"/>
                <w:sz w:val="20"/>
                <w:szCs w:val="20"/>
              </w:rPr>
              <w:t>)</w:t>
            </w:r>
          </w:p>
          <w:p w14:paraId="31C58029">
            <w:pPr>
              <w:pStyle w:val="6"/>
              <w:spacing w:before="24" w:line="251" w:lineRule="auto"/>
              <w:ind w:left="64" w:right="3" w:firstLine="2"/>
              <w:rPr>
                <w:sz w:val="20"/>
                <w:szCs w:val="20"/>
              </w:rPr>
            </w:pPr>
            <w:r>
              <w:rPr>
                <w:spacing w:val="4"/>
                <w:sz w:val="20"/>
                <w:szCs w:val="20"/>
              </w:rPr>
              <w:t>危险特性：能与一些活性金属粉末发生反应，</w:t>
            </w:r>
            <w:r>
              <w:rPr>
                <w:spacing w:val="14"/>
                <w:sz w:val="20"/>
                <w:szCs w:val="20"/>
              </w:rPr>
              <w:t xml:space="preserve"> </w:t>
            </w:r>
            <w:r>
              <w:rPr>
                <w:spacing w:val="9"/>
                <w:sz w:val="20"/>
                <w:szCs w:val="20"/>
              </w:rPr>
              <w:t>放出氢气。遇氰化物能产生剧毒的氰化氢气</w:t>
            </w:r>
            <w:r>
              <w:rPr>
                <w:spacing w:val="4"/>
                <w:sz w:val="20"/>
                <w:szCs w:val="20"/>
              </w:rPr>
              <w:t xml:space="preserve">  </w:t>
            </w:r>
            <w:r>
              <w:rPr>
                <w:spacing w:val="10"/>
                <w:sz w:val="20"/>
                <w:szCs w:val="20"/>
              </w:rPr>
              <w:t>体。与碱发生中合反应，并放出大量的热。</w:t>
            </w:r>
            <w:r>
              <w:rPr>
                <w:spacing w:val="4"/>
                <w:sz w:val="20"/>
                <w:szCs w:val="20"/>
              </w:rPr>
              <w:t xml:space="preserve">  </w:t>
            </w:r>
            <w:r>
              <w:rPr>
                <w:spacing w:val="7"/>
                <w:sz w:val="20"/>
                <w:szCs w:val="20"/>
              </w:rPr>
              <w:t>具有强腐蚀性。</w:t>
            </w:r>
          </w:p>
          <w:p w14:paraId="64CC2D3D">
            <w:pPr>
              <w:pStyle w:val="6"/>
              <w:spacing w:line="217" w:lineRule="auto"/>
              <w:ind w:left="65"/>
              <w:rPr>
                <w:sz w:val="20"/>
                <w:szCs w:val="20"/>
              </w:rPr>
            </w:pPr>
            <w:r>
              <w:rPr>
                <w:spacing w:val="7"/>
                <w:sz w:val="20"/>
                <w:szCs w:val="20"/>
              </w:rPr>
              <w:t>燃烧</w:t>
            </w:r>
            <w:r>
              <w:rPr>
                <w:rFonts w:ascii="Times New Roman" w:hAnsi="Times New Roman" w:eastAsia="Times New Roman" w:cs="Times New Roman"/>
                <w:spacing w:val="7"/>
                <w:sz w:val="20"/>
                <w:szCs w:val="20"/>
              </w:rPr>
              <w:t>(</w:t>
            </w:r>
            <w:r>
              <w:rPr>
                <w:spacing w:val="7"/>
                <w:sz w:val="20"/>
                <w:szCs w:val="20"/>
              </w:rPr>
              <w:t>分解</w:t>
            </w:r>
            <w:r>
              <w:rPr>
                <w:rFonts w:ascii="Times New Roman" w:hAnsi="Times New Roman" w:eastAsia="Times New Roman" w:cs="Times New Roman"/>
                <w:spacing w:val="7"/>
                <w:sz w:val="20"/>
                <w:szCs w:val="20"/>
              </w:rPr>
              <w:t>)</w:t>
            </w:r>
            <w:r>
              <w:rPr>
                <w:spacing w:val="7"/>
                <w:sz w:val="20"/>
                <w:szCs w:val="20"/>
              </w:rPr>
              <w:t>产物：氯化氢。</w:t>
            </w:r>
          </w:p>
        </w:tc>
      </w:tr>
      <w:tr w14:paraId="4642A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1" w:hRule="atLeast"/>
        </w:trPr>
        <w:tc>
          <w:tcPr>
            <w:tcW w:w="468" w:type="dxa"/>
            <w:vAlign w:val="top"/>
          </w:tcPr>
          <w:p w14:paraId="55B60D0D">
            <w:pPr>
              <w:spacing w:line="247" w:lineRule="auto"/>
              <w:rPr>
                <w:rFonts w:ascii="Arial"/>
                <w:sz w:val="21"/>
              </w:rPr>
            </w:pPr>
          </w:p>
          <w:p w14:paraId="01FB9934">
            <w:pPr>
              <w:spacing w:line="247" w:lineRule="auto"/>
              <w:rPr>
                <w:rFonts w:ascii="Arial"/>
                <w:sz w:val="21"/>
              </w:rPr>
            </w:pPr>
          </w:p>
          <w:p w14:paraId="11BA4602">
            <w:pPr>
              <w:spacing w:line="247" w:lineRule="auto"/>
              <w:rPr>
                <w:rFonts w:ascii="Arial"/>
                <w:sz w:val="21"/>
              </w:rPr>
            </w:pPr>
          </w:p>
          <w:p w14:paraId="37506956">
            <w:pPr>
              <w:spacing w:line="247" w:lineRule="auto"/>
              <w:rPr>
                <w:rFonts w:ascii="Arial"/>
                <w:sz w:val="21"/>
              </w:rPr>
            </w:pPr>
          </w:p>
          <w:p w14:paraId="21E8E461">
            <w:pPr>
              <w:spacing w:line="247" w:lineRule="auto"/>
              <w:rPr>
                <w:rFonts w:ascii="Arial"/>
                <w:sz w:val="21"/>
              </w:rPr>
            </w:pPr>
          </w:p>
          <w:p w14:paraId="5EE26719">
            <w:pPr>
              <w:spacing w:line="247" w:lineRule="auto"/>
              <w:rPr>
                <w:rFonts w:ascii="Arial"/>
                <w:sz w:val="21"/>
              </w:rPr>
            </w:pPr>
          </w:p>
          <w:p w14:paraId="17D8B55D">
            <w:pPr>
              <w:spacing w:line="247" w:lineRule="auto"/>
              <w:rPr>
                <w:rFonts w:ascii="Arial"/>
                <w:sz w:val="21"/>
              </w:rPr>
            </w:pPr>
          </w:p>
          <w:p w14:paraId="4B2E6E73">
            <w:pPr>
              <w:spacing w:line="247" w:lineRule="auto"/>
              <w:rPr>
                <w:rFonts w:ascii="Arial"/>
                <w:sz w:val="21"/>
              </w:rPr>
            </w:pPr>
          </w:p>
          <w:p w14:paraId="4CF8E69F">
            <w:pPr>
              <w:spacing w:line="247" w:lineRule="auto"/>
              <w:rPr>
                <w:rFonts w:ascii="Arial"/>
                <w:sz w:val="21"/>
              </w:rPr>
            </w:pPr>
          </w:p>
          <w:p w14:paraId="2554AD54">
            <w:pPr>
              <w:spacing w:line="247" w:lineRule="auto"/>
              <w:rPr>
                <w:rFonts w:ascii="Arial"/>
                <w:sz w:val="21"/>
              </w:rPr>
            </w:pPr>
          </w:p>
          <w:p w14:paraId="1A78DC52">
            <w:pPr>
              <w:spacing w:line="248" w:lineRule="auto"/>
              <w:rPr>
                <w:rFonts w:ascii="Arial"/>
                <w:sz w:val="21"/>
              </w:rPr>
            </w:pPr>
          </w:p>
          <w:p w14:paraId="16308C9F">
            <w:pPr>
              <w:spacing w:before="5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75" w:type="dxa"/>
            <w:vAlign w:val="top"/>
          </w:tcPr>
          <w:p w14:paraId="0EF5A385">
            <w:pPr>
              <w:spacing w:line="253" w:lineRule="auto"/>
              <w:rPr>
                <w:rFonts w:ascii="Arial"/>
                <w:sz w:val="21"/>
              </w:rPr>
            </w:pPr>
          </w:p>
          <w:p w14:paraId="76E2D0A2">
            <w:pPr>
              <w:spacing w:line="254" w:lineRule="auto"/>
              <w:rPr>
                <w:rFonts w:ascii="Arial"/>
                <w:sz w:val="21"/>
              </w:rPr>
            </w:pPr>
          </w:p>
          <w:p w14:paraId="11ADE987">
            <w:pPr>
              <w:spacing w:line="254" w:lineRule="auto"/>
              <w:rPr>
                <w:rFonts w:ascii="Arial"/>
                <w:sz w:val="21"/>
              </w:rPr>
            </w:pPr>
          </w:p>
          <w:p w14:paraId="3A932972">
            <w:pPr>
              <w:spacing w:line="254" w:lineRule="auto"/>
              <w:rPr>
                <w:rFonts w:ascii="Arial"/>
                <w:sz w:val="21"/>
              </w:rPr>
            </w:pPr>
          </w:p>
          <w:p w14:paraId="1CFA33E4">
            <w:pPr>
              <w:spacing w:line="254" w:lineRule="auto"/>
              <w:rPr>
                <w:rFonts w:ascii="Arial"/>
                <w:sz w:val="21"/>
              </w:rPr>
            </w:pPr>
          </w:p>
          <w:p w14:paraId="27B87C71">
            <w:pPr>
              <w:spacing w:line="254" w:lineRule="auto"/>
              <w:rPr>
                <w:rFonts w:ascii="Arial"/>
                <w:sz w:val="21"/>
              </w:rPr>
            </w:pPr>
          </w:p>
          <w:p w14:paraId="60880008">
            <w:pPr>
              <w:spacing w:line="254" w:lineRule="auto"/>
              <w:rPr>
                <w:rFonts w:ascii="Arial"/>
                <w:sz w:val="21"/>
              </w:rPr>
            </w:pPr>
          </w:p>
          <w:p w14:paraId="264B9127">
            <w:pPr>
              <w:spacing w:line="254" w:lineRule="auto"/>
              <w:rPr>
                <w:rFonts w:ascii="Arial"/>
                <w:sz w:val="21"/>
              </w:rPr>
            </w:pPr>
          </w:p>
          <w:p w14:paraId="4F65768D">
            <w:pPr>
              <w:spacing w:line="254" w:lineRule="auto"/>
              <w:rPr>
                <w:rFonts w:ascii="Arial"/>
                <w:sz w:val="21"/>
              </w:rPr>
            </w:pPr>
          </w:p>
          <w:p w14:paraId="5CFE68E1">
            <w:pPr>
              <w:spacing w:line="254" w:lineRule="auto"/>
              <w:rPr>
                <w:rFonts w:ascii="Arial"/>
                <w:sz w:val="21"/>
              </w:rPr>
            </w:pPr>
          </w:p>
          <w:p w14:paraId="124B05BF">
            <w:pPr>
              <w:pStyle w:val="6"/>
              <w:spacing w:before="65" w:line="252" w:lineRule="auto"/>
              <w:ind w:left="135" w:right="30" w:hanging="106"/>
              <w:rPr>
                <w:sz w:val="20"/>
                <w:szCs w:val="20"/>
              </w:rPr>
            </w:pPr>
            <w:r>
              <w:rPr>
                <w:spacing w:val="4"/>
                <w:sz w:val="20"/>
                <w:szCs w:val="20"/>
              </w:rPr>
              <w:t>氢氟</w:t>
            </w:r>
            <w:r>
              <w:rPr>
                <w:sz w:val="20"/>
                <w:szCs w:val="20"/>
              </w:rPr>
              <w:t xml:space="preserve"> 酸</w:t>
            </w:r>
          </w:p>
        </w:tc>
        <w:tc>
          <w:tcPr>
            <w:tcW w:w="487" w:type="dxa"/>
            <w:vAlign w:val="top"/>
          </w:tcPr>
          <w:p w14:paraId="54EB3C22">
            <w:pPr>
              <w:spacing w:line="249" w:lineRule="auto"/>
              <w:rPr>
                <w:rFonts w:ascii="Arial"/>
                <w:sz w:val="21"/>
              </w:rPr>
            </w:pPr>
          </w:p>
          <w:p w14:paraId="26A5A418">
            <w:pPr>
              <w:spacing w:line="250" w:lineRule="auto"/>
              <w:rPr>
                <w:rFonts w:ascii="Arial"/>
                <w:sz w:val="21"/>
              </w:rPr>
            </w:pPr>
          </w:p>
          <w:p w14:paraId="3D7957FD">
            <w:pPr>
              <w:spacing w:line="250" w:lineRule="auto"/>
              <w:rPr>
                <w:rFonts w:ascii="Arial"/>
                <w:sz w:val="21"/>
              </w:rPr>
            </w:pPr>
          </w:p>
          <w:p w14:paraId="55D551BA">
            <w:pPr>
              <w:spacing w:line="250" w:lineRule="auto"/>
              <w:rPr>
                <w:rFonts w:ascii="Arial"/>
                <w:sz w:val="21"/>
              </w:rPr>
            </w:pPr>
          </w:p>
          <w:p w14:paraId="0F124D23">
            <w:pPr>
              <w:spacing w:line="250" w:lineRule="auto"/>
              <w:rPr>
                <w:rFonts w:ascii="Arial"/>
                <w:sz w:val="21"/>
              </w:rPr>
            </w:pPr>
          </w:p>
          <w:p w14:paraId="15B9463B">
            <w:pPr>
              <w:spacing w:line="250" w:lineRule="auto"/>
              <w:rPr>
                <w:rFonts w:ascii="Arial"/>
                <w:sz w:val="21"/>
              </w:rPr>
            </w:pPr>
          </w:p>
          <w:p w14:paraId="74C402A9">
            <w:pPr>
              <w:spacing w:line="250" w:lineRule="auto"/>
              <w:rPr>
                <w:rFonts w:ascii="Arial"/>
                <w:sz w:val="21"/>
              </w:rPr>
            </w:pPr>
          </w:p>
          <w:p w14:paraId="436759CF">
            <w:pPr>
              <w:spacing w:line="250" w:lineRule="auto"/>
              <w:rPr>
                <w:rFonts w:ascii="Arial"/>
                <w:sz w:val="21"/>
              </w:rPr>
            </w:pPr>
          </w:p>
          <w:p w14:paraId="2D3C160E">
            <w:pPr>
              <w:pStyle w:val="6"/>
              <w:spacing w:before="65" w:line="251" w:lineRule="auto"/>
              <w:ind w:left="36" w:right="70" w:firstLine="114"/>
              <w:jc w:val="right"/>
              <w:rPr>
                <w:sz w:val="20"/>
                <w:szCs w:val="20"/>
              </w:rPr>
            </w:pPr>
            <w:r>
              <w:rPr>
                <w:spacing w:val="-8"/>
                <w:sz w:val="20"/>
                <w:szCs w:val="20"/>
              </w:rPr>
              <w:t>吸</w:t>
            </w:r>
            <w:r>
              <w:rPr>
                <w:sz w:val="20"/>
                <w:szCs w:val="20"/>
              </w:rPr>
              <w:t xml:space="preserve"> </w:t>
            </w:r>
            <w:r>
              <w:rPr>
                <w:spacing w:val="-13"/>
                <w:sz w:val="20"/>
                <w:szCs w:val="20"/>
              </w:rPr>
              <w:t>入、</w:t>
            </w:r>
            <w:r>
              <w:rPr>
                <w:sz w:val="20"/>
                <w:szCs w:val="20"/>
              </w:rPr>
              <w:t xml:space="preserve"> </w:t>
            </w:r>
            <w:r>
              <w:rPr>
                <w:spacing w:val="31"/>
                <w:w w:val="138"/>
                <w:sz w:val="20"/>
                <w:szCs w:val="20"/>
              </w:rPr>
              <w:t>食</w:t>
            </w:r>
            <w:r>
              <w:rPr>
                <w:sz w:val="20"/>
                <w:szCs w:val="20"/>
              </w:rPr>
              <w:t xml:space="preserve"> </w:t>
            </w:r>
            <w:r>
              <w:rPr>
                <w:spacing w:val="-13"/>
                <w:sz w:val="20"/>
                <w:szCs w:val="20"/>
              </w:rPr>
              <w:t>入、</w:t>
            </w:r>
          </w:p>
          <w:p w14:paraId="694D7FCE">
            <w:pPr>
              <w:pStyle w:val="6"/>
              <w:spacing w:line="228" w:lineRule="auto"/>
              <w:ind w:left="38"/>
              <w:rPr>
                <w:sz w:val="20"/>
                <w:szCs w:val="20"/>
              </w:rPr>
            </w:pPr>
            <w:r>
              <w:rPr>
                <w:spacing w:val="3"/>
                <w:sz w:val="20"/>
                <w:szCs w:val="20"/>
              </w:rPr>
              <w:t>经皮</w:t>
            </w:r>
          </w:p>
          <w:p w14:paraId="15F234E1">
            <w:pPr>
              <w:pStyle w:val="6"/>
              <w:spacing w:before="23" w:line="228" w:lineRule="auto"/>
              <w:ind w:left="45"/>
              <w:rPr>
                <w:sz w:val="20"/>
                <w:szCs w:val="20"/>
              </w:rPr>
            </w:pPr>
            <w:r>
              <w:rPr>
                <w:sz w:val="20"/>
                <w:szCs w:val="20"/>
              </w:rPr>
              <w:t>吸收</w:t>
            </w:r>
          </w:p>
        </w:tc>
        <w:tc>
          <w:tcPr>
            <w:tcW w:w="3294" w:type="dxa"/>
            <w:vAlign w:val="top"/>
          </w:tcPr>
          <w:p w14:paraId="3BB0447C">
            <w:pPr>
              <w:pStyle w:val="6"/>
              <w:spacing w:before="23" w:line="250" w:lineRule="auto"/>
              <w:ind w:left="56" w:firstLine="3"/>
              <w:rPr>
                <w:sz w:val="20"/>
                <w:szCs w:val="20"/>
              </w:rPr>
            </w:pPr>
            <w:r>
              <w:rPr>
                <w:spacing w:val="8"/>
                <w:sz w:val="20"/>
                <w:szCs w:val="20"/>
              </w:rPr>
              <w:t>①腐蚀性：会迅速穿透皮肤，导致</w:t>
            </w:r>
            <w:r>
              <w:rPr>
                <w:spacing w:val="4"/>
                <w:sz w:val="20"/>
                <w:szCs w:val="20"/>
              </w:rPr>
              <w:t xml:space="preserve">  </w:t>
            </w:r>
            <w:r>
              <w:rPr>
                <w:spacing w:val="2"/>
                <w:sz w:val="20"/>
                <w:szCs w:val="20"/>
              </w:rPr>
              <w:t>深层组织损伤，可能引发剧烈疼痛、</w:t>
            </w:r>
            <w:r>
              <w:rPr>
                <w:sz w:val="20"/>
                <w:szCs w:val="20"/>
              </w:rPr>
              <w:t xml:space="preserve"> </w:t>
            </w:r>
            <w:r>
              <w:rPr>
                <w:spacing w:val="8"/>
                <w:sz w:val="20"/>
                <w:szCs w:val="20"/>
              </w:rPr>
              <w:t>红肿、水疱和坏死；②全身毒性：</w:t>
            </w:r>
            <w:r>
              <w:rPr>
                <w:sz w:val="20"/>
                <w:szCs w:val="20"/>
              </w:rPr>
              <w:t xml:space="preserve">  </w:t>
            </w:r>
            <w:r>
              <w:rPr>
                <w:spacing w:val="8"/>
                <w:sz w:val="20"/>
                <w:szCs w:val="20"/>
              </w:rPr>
              <w:t>皮肤吸收后，</w:t>
            </w:r>
            <w:r>
              <w:rPr>
                <w:rFonts w:ascii="Times New Roman" w:hAnsi="Times New Roman" w:eastAsia="Times New Roman" w:cs="Times New Roman"/>
                <w:sz w:val="20"/>
                <w:szCs w:val="20"/>
              </w:rPr>
              <w:t>HF</w:t>
            </w:r>
            <w:r>
              <w:rPr>
                <w:rFonts w:ascii="Times New Roman" w:hAnsi="Times New Roman" w:eastAsia="Times New Roman" w:cs="Times New Roman"/>
                <w:spacing w:val="8"/>
                <w:sz w:val="20"/>
                <w:szCs w:val="20"/>
              </w:rPr>
              <w:t xml:space="preserve"> </w:t>
            </w:r>
            <w:r>
              <w:rPr>
                <w:spacing w:val="8"/>
                <w:sz w:val="20"/>
                <w:szCs w:val="20"/>
              </w:rPr>
              <w:t>会与钙、镁结合，</w:t>
            </w:r>
            <w:r>
              <w:rPr>
                <w:spacing w:val="5"/>
                <w:sz w:val="20"/>
                <w:szCs w:val="20"/>
              </w:rPr>
              <w:t xml:space="preserve"> </w:t>
            </w:r>
            <w:r>
              <w:rPr>
                <w:spacing w:val="8"/>
                <w:sz w:val="20"/>
                <w:szCs w:val="20"/>
              </w:rPr>
              <w:t>导致低钙血症和低镁血症，严重时</w:t>
            </w:r>
            <w:r>
              <w:rPr>
                <w:spacing w:val="5"/>
                <w:sz w:val="20"/>
                <w:szCs w:val="20"/>
              </w:rPr>
              <w:t xml:space="preserve">  </w:t>
            </w:r>
            <w:r>
              <w:rPr>
                <w:spacing w:val="2"/>
                <w:sz w:val="20"/>
                <w:szCs w:val="20"/>
              </w:rPr>
              <w:t>可危及生命；③严重刺激：</w:t>
            </w:r>
            <w:r>
              <w:rPr>
                <w:rFonts w:ascii="Times New Roman" w:hAnsi="Times New Roman" w:eastAsia="Times New Roman" w:cs="Times New Roman"/>
                <w:sz w:val="20"/>
                <w:szCs w:val="20"/>
              </w:rPr>
              <w:t>HF</w:t>
            </w:r>
            <w:r>
              <w:rPr>
                <w:rFonts w:ascii="Times New Roman" w:hAnsi="Times New Roman" w:eastAsia="Times New Roman" w:cs="Times New Roman"/>
                <w:spacing w:val="27"/>
                <w:sz w:val="20"/>
                <w:szCs w:val="20"/>
              </w:rPr>
              <w:t xml:space="preserve"> </w:t>
            </w:r>
            <w:r>
              <w:rPr>
                <w:spacing w:val="2"/>
                <w:sz w:val="20"/>
                <w:szCs w:val="20"/>
              </w:rPr>
              <w:t>蒸气</w:t>
            </w:r>
            <w:r>
              <w:rPr>
                <w:sz w:val="20"/>
                <w:szCs w:val="20"/>
              </w:rPr>
              <w:t xml:space="preserve"> </w:t>
            </w:r>
            <w:r>
              <w:rPr>
                <w:spacing w:val="9"/>
                <w:sz w:val="20"/>
                <w:szCs w:val="20"/>
              </w:rPr>
              <w:t>或液体接触眼睛会引起剧烈疼痛、</w:t>
            </w:r>
            <w:r>
              <w:rPr>
                <w:spacing w:val="5"/>
                <w:sz w:val="20"/>
                <w:szCs w:val="20"/>
              </w:rPr>
              <w:t xml:space="preserve">  </w:t>
            </w:r>
            <w:r>
              <w:rPr>
                <w:spacing w:val="8"/>
                <w:sz w:val="20"/>
                <w:szCs w:val="20"/>
              </w:rPr>
              <w:t>流泪、结膜炎、角膜损伤，甚至失</w:t>
            </w:r>
            <w:r>
              <w:rPr>
                <w:spacing w:val="5"/>
                <w:sz w:val="20"/>
                <w:szCs w:val="20"/>
              </w:rPr>
              <w:t xml:space="preserve">  </w:t>
            </w:r>
            <w:r>
              <w:rPr>
                <w:spacing w:val="8"/>
                <w:sz w:val="20"/>
                <w:szCs w:val="20"/>
              </w:rPr>
              <w:t>明；④呼吸道刺激：吸入</w:t>
            </w:r>
            <w:r>
              <w:rPr>
                <w:spacing w:val="-34"/>
                <w:sz w:val="20"/>
                <w:szCs w:val="20"/>
              </w:rPr>
              <w:t xml:space="preserve"> </w:t>
            </w:r>
            <w:r>
              <w:rPr>
                <w:rFonts w:ascii="Times New Roman" w:hAnsi="Times New Roman" w:eastAsia="Times New Roman" w:cs="Times New Roman"/>
                <w:sz w:val="20"/>
                <w:szCs w:val="20"/>
              </w:rPr>
              <w:t>HF</w:t>
            </w:r>
            <w:r>
              <w:rPr>
                <w:rFonts w:ascii="Times New Roman" w:hAnsi="Times New Roman" w:eastAsia="Times New Roman" w:cs="Times New Roman"/>
                <w:spacing w:val="8"/>
                <w:sz w:val="20"/>
                <w:szCs w:val="20"/>
              </w:rPr>
              <w:t xml:space="preserve"> </w:t>
            </w:r>
            <w:r>
              <w:rPr>
                <w:spacing w:val="8"/>
                <w:sz w:val="20"/>
                <w:szCs w:val="20"/>
              </w:rPr>
              <w:t>蒸气</w:t>
            </w:r>
            <w:r>
              <w:rPr>
                <w:sz w:val="20"/>
                <w:szCs w:val="20"/>
              </w:rPr>
              <w:t xml:space="preserve">  </w:t>
            </w:r>
            <w:r>
              <w:rPr>
                <w:spacing w:val="8"/>
                <w:sz w:val="20"/>
                <w:szCs w:val="20"/>
              </w:rPr>
              <w:t>会刺激呼吸道，引发咳嗽、呼吸困</w:t>
            </w:r>
            <w:r>
              <w:rPr>
                <w:spacing w:val="5"/>
                <w:sz w:val="20"/>
                <w:szCs w:val="20"/>
              </w:rPr>
              <w:t xml:space="preserve">  </w:t>
            </w:r>
            <w:r>
              <w:rPr>
                <w:spacing w:val="8"/>
                <w:sz w:val="20"/>
                <w:szCs w:val="20"/>
              </w:rPr>
              <w:t>难、喉咙痛，严重时可导致肺水肿</w:t>
            </w:r>
            <w:r>
              <w:rPr>
                <w:spacing w:val="5"/>
                <w:sz w:val="20"/>
                <w:szCs w:val="20"/>
              </w:rPr>
              <w:t xml:space="preserve">  </w:t>
            </w:r>
            <w:r>
              <w:rPr>
                <w:spacing w:val="8"/>
                <w:sz w:val="20"/>
                <w:szCs w:val="20"/>
              </w:rPr>
              <w:t>和呼吸衰竭；⑤全身毒性：吸入后</w:t>
            </w:r>
            <w:r>
              <w:rPr>
                <w:spacing w:val="6"/>
                <w:sz w:val="20"/>
                <w:szCs w:val="20"/>
              </w:rPr>
              <w:t xml:space="preserve">  </w:t>
            </w:r>
            <w:r>
              <w:rPr>
                <w:rFonts w:ascii="Times New Roman" w:hAnsi="Times New Roman" w:eastAsia="Times New Roman" w:cs="Times New Roman"/>
                <w:sz w:val="20"/>
                <w:szCs w:val="20"/>
              </w:rPr>
              <w:t>HF</w:t>
            </w:r>
            <w:r>
              <w:rPr>
                <w:rFonts w:ascii="Times New Roman" w:hAnsi="Times New Roman" w:eastAsia="Times New Roman" w:cs="Times New Roman"/>
                <w:spacing w:val="3"/>
                <w:sz w:val="20"/>
                <w:szCs w:val="20"/>
              </w:rPr>
              <w:t xml:space="preserve"> </w:t>
            </w:r>
            <w:r>
              <w:rPr>
                <w:spacing w:val="3"/>
                <w:sz w:val="20"/>
                <w:szCs w:val="20"/>
              </w:rPr>
              <w:t>进入血液，可能引发低钙血症和</w:t>
            </w:r>
            <w:r>
              <w:rPr>
                <w:spacing w:val="12"/>
                <w:sz w:val="20"/>
                <w:szCs w:val="20"/>
              </w:rPr>
              <w:t xml:space="preserve"> </w:t>
            </w:r>
            <w:r>
              <w:rPr>
                <w:spacing w:val="3"/>
                <w:sz w:val="20"/>
                <w:szCs w:val="20"/>
              </w:rPr>
              <w:t>心律失常；⑥消化道损伤：误食</w:t>
            </w:r>
            <w:r>
              <w:rPr>
                <w:spacing w:val="-37"/>
                <w:sz w:val="20"/>
                <w:szCs w:val="20"/>
              </w:rPr>
              <w:t xml:space="preserve"> </w:t>
            </w:r>
            <w:r>
              <w:rPr>
                <w:rFonts w:ascii="Times New Roman" w:hAnsi="Times New Roman" w:eastAsia="Times New Roman" w:cs="Times New Roman"/>
                <w:sz w:val="20"/>
                <w:szCs w:val="20"/>
              </w:rPr>
              <w:t xml:space="preserve">HF  </w:t>
            </w:r>
            <w:r>
              <w:rPr>
                <w:spacing w:val="8"/>
                <w:sz w:val="20"/>
                <w:szCs w:val="20"/>
              </w:rPr>
              <w:t>会严重腐蚀消化道，导致口腔、食</w:t>
            </w:r>
            <w:r>
              <w:rPr>
                <w:spacing w:val="5"/>
                <w:sz w:val="20"/>
                <w:szCs w:val="20"/>
              </w:rPr>
              <w:t xml:space="preserve">  </w:t>
            </w:r>
            <w:r>
              <w:rPr>
                <w:spacing w:val="9"/>
                <w:sz w:val="20"/>
                <w:szCs w:val="20"/>
              </w:rPr>
              <w:t>道和胃部剧烈疼痛、恶心、呕吐，</w:t>
            </w:r>
            <w:r>
              <w:rPr>
                <w:spacing w:val="6"/>
                <w:sz w:val="20"/>
                <w:szCs w:val="20"/>
              </w:rPr>
              <w:t xml:space="preserve">  </w:t>
            </w:r>
            <w:r>
              <w:rPr>
                <w:spacing w:val="3"/>
                <w:sz w:val="20"/>
                <w:szCs w:val="20"/>
              </w:rPr>
              <w:t>甚至穿孔；⑦全身毒性：摄入后</w:t>
            </w:r>
            <w:r>
              <w:rPr>
                <w:spacing w:val="-37"/>
                <w:sz w:val="20"/>
                <w:szCs w:val="20"/>
              </w:rPr>
              <w:t xml:space="preserve"> </w:t>
            </w:r>
            <w:r>
              <w:rPr>
                <w:rFonts w:ascii="Times New Roman" w:hAnsi="Times New Roman" w:eastAsia="Times New Roman" w:cs="Times New Roman"/>
                <w:sz w:val="20"/>
                <w:szCs w:val="20"/>
              </w:rPr>
              <w:t xml:space="preserve">HF  </w:t>
            </w:r>
            <w:r>
              <w:rPr>
                <w:spacing w:val="8"/>
                <w:sz w:val="20"/>
                <w:szCs w:val="20"/>
              </w:rPr>
              <w:t>进入血液，可能引发低钙血症和器</w:t>
            </w:r>
            <w:r>
              <w:rPr>
                <w:spacing w:val="5"/>
                <w:sz w:val="20"/>
                <w:szCs w:val="20"/>
              </w:rPr>
              <w:t xml:space="preserve">  </w:t>
            </w:r>
            <w:r>
              <w:rPr>
                <w:spacing w:val="8"/>
                <w:sz w:val="20"/>
                <w:szCs w:val="20"/>
              </w:rPr>
              <w:t>官损伤；⑧慢性影响：长期接触低</w:t>
            </w:r>
            <w:r>
              <w:rPr>
                <w:spacing w:val="5"/>
                <w:sz w:val="20"/>
                <w:szCs w:val="20"/>
              </w:rPr>
              <w:t xml:space="preserve">  浓度</w:t>
            </w:r>
            <w:r>
              <w:rPr>
                <w:spacing w:val="-50"/>
                <w:sz w:val="20"/>
                <w:szCs w:val="20"/>
              </w:rPr>
              <w:t xml:space="preserve"> </w:t>
            </w:r>
            <w:r>
              <w:rPr>
                <w:rFonts w:ascii="Times New Roman" w:hAnsi="Times New Roman" w:eastAsia="Times New Roman" w:cs="Times New Roman"/>
                <w:sz w:val="20"/>
                <w:szCs w:val="20"/>
              </w:rPr>
              <w:t>HF</w:t>
            </w:r>
            <w:r>
              <w:rPr>
                <w:rFonts w:ascii="Times New Roman" w:hAnsi="Times New Roman" w:eastAsia="Times New Roman" w:cs="Times New Roman"/>
                <w:spacing w:val="5"/>
                <w:sz w:val="20"/>
                <w:szCs w:val="20"/>
              </w:rPr>
              <w:t xml:space="preserve"> </w:t>
            </w:r>
            <w:r>
              <w:rPr>
                <w:spacing w:val="5"/>
                <w:sz w:val="20"/>
                <w:szCs w:val="20"/>
              </w:rPr>
              <w:t>可能导致慢性呼吸道疾病、</w:t>
            </w:r>
            <w:r>
              <w:rPr>
                <w:sz w:val="20"/>
                <w:szCs w:val="20"/>
              </w:rPr>
              <w:t xml:space="preserve"> </w:t>
            </w:r>
            <w:r>
              <w:rPr>
                <w:spacing w:val="7"/>
                <w:sz w:val="20"/>
                <w:szCs w:val="20"/>
              </w:rPr>
              <w:t>皮肤问题和骨骼氟中毒。</w:t>
            </w:r>
          </w:p>
        </w:tc>
        <w:tc>
          <w:tcPr>
            <w:tcW w:w="4171" w:type="dxa"/>
            <w:vAlign w:val="top"/>
          </w:tcPr>
          <w:p w14:paraId="47C6E87D">
            <w:pPr>
              <w:pStyle w:val="6"/>
              <w:spacing w:before="32"/>
              <w:ind w:left="64" w:right="91" w:firstLine="7"/>
              <w:rPr>
                <w:rFonts w:ascii="Times New Roman" w:hAnsi="Times New Roman" w:eastAsia="Times New Roman" w:cs="Times New Roman"/>
                <w:sz w:val="20"/>
                <w:szCs w:val="20"/>
              </w:rPr>
            </w:pPr>
            <w:r>
              <w:rPr>
                <w:spacing w:val="6"/>
                <w:sz w:val="20"/>
                <w:szCs w:val="20"/>
              </w:rPr>
              <w:t>急性毒性：</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50</w:t>
            </w:r>
            <w:r>
              <w:rPr>
                <w:spacing w:val="6"/>
                <w:sz w:val="20"/>
                <w:szCs w:val="20"/>
              </w:rPr>
              <w:t>：</w:t>
            </w:r>
            <w:r>
              <w:rPr>
                <w:rFonts w:ascii="Times New Roman" w:hAnsi="Times New Roman" w:eastAsia="Times New Roman" w:cs="Times New Roman"/>
                <w:spacing w:val="6"/>
                <w:sz w:val="20"/>
                <w:szCs w:val="20"/>
              </w:rPr>
              <w:t>1044</w:t>
            </w:r>
            <w:r>
              <w:rPr>
                <w:rFonts w:ascii="Times New Roman" w:hAnsi="Times New Roman" w:eastAsia="Times New Roman" w:cs="Times New Roman"/>
                <w:sz w:val="20"/>
                <w:szCs w:val="20"/>
              </w:rPr>
              <w:t>ppm</w:t>
            </w:r>
            <w:r>
              <w:rPr>
                <w:rFonts w:ascii="Times New Roman" w:hAnsi="Times New Roman" w:eastAsia="Times New Roman" w:cs="Times New Roman"/>
                <w:spacing w:val="-11"/>
                <w:sz w:val="20"/>
                <w:szCs w:val="20"/>
              </w:rPr>
              <w:t xml:space="preserve"> </w:t>
            </w:r>
            <w:r>
              <w:rPr>
                <w:spacing w:val="6"/>
                <w:sz w:val="20"/>
                <w:szCs w:val="20"/>
              </w:rPr>
              <w:t>，</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5"/>
                <w:sz w:val="20"/>
                <w:szCs w:val="20"/>
              </w:rPr>
              <w:t xml:space="preserve"> </w:t>
            </w:r>
            <w:r>
              <w:rPr>
                <w:spacing w:val="6"/>
                <w:sz w:val="20"/>
                <w:szCs w:val="20"/>
              </w:rPr>
              <w:t>小时</w:t>
            </w:r>
            <w:r>
              <w:rPr>
                <w:rFonts w:ascii="Times New Roman" w:hAnsi="Times New Roman" w:eastAsia="Times New Roman" w:cs="Times New Roman"/>
                <w:spacing w:val="6"/>
                <w:sz w:val="20"/>
                <w:szCs w:val="20"/>
              </w:rPr>
              <w:t>(</w:t>
            </w:r>
            <w:r>
              <w:rPr>
                <w:spacing w:val="6"/>
                <w:sz w:val="20"/>
                <w:szCs w:val="20"/>
              </w:rPr>
              <w:t>大鼠吸</w:t>
            </w:r>
            <w:r>
              <w:rPr>
                <w:sz w:val="20"/>
                <w:szCs w:val="20"/>
              </w:rPr>
              <w:t xml:space="preserve"> </w:t>
            </w:r>
            <w:r>
              <w:rPr>
                <w:spacing w:val="2"/>
                <w:sz w:val="20"/>
                <w:szCs w:val="20"/>
              </w:rPr>
              <w:t>入</w:t>
            </w:r>
            <w:r>
              <w:rPr>
                <w:rFonts w:ascii="Times New Roman" w:hAnsi="Times New Roman" w:eastAsia="Times New Roman" w:cs="Times New Roman"/>
                <w:spacing w:val="2"/>
                <w:sz w:val="20"/>
                <w:szCs w:val="20"/>
              </w:rPr>
              <w:t>)</w:t>
            </w:r>
          </w:p>
          <w:p w14:paraId="55EC1920">
            <w:pPr>
              <w:pStyle w:val="6"/>
              <w:spacing w:before="22" w:line="250" w:lineRule="auto"/>
              <w:ind w:left="64" w:firstLine="2"/>
              <w:rPr>
                <w:sz w:val="20"/>
                <w:szCs w:val="20"/>
              </w:rPr>
            </w:pPr>
            <w:r>
              <w:rPr>
                <w:spacing w:val="3"/>
                <w:sz w:val="20"/>
                <w:szCs w:val="20"/>
              </w:rPr>
              <w:t>亚急性与慢性毒性：家兔吸入</w:t>
            </w:r>
            <w:r>
              <w:rPr>
                <w:spacing w:val="-25"/>
                <w:sz w:val="20"/>
                <w:szCs w:val="20"/>
              </w:rPr>
              <w:t xml:space="preserve"> </w:t>
            </w:r>
            <w:r>
              <w:rPr>
                <w:rFonts w:ascii="Times New Roman" w:hAnsi="Times New Roman" w:eastAsia="Times New Roman" w:cs="Times New Roman"/>
                <w:spacing w:val="3"/>
                <w:sz w:val="20"/>
                <w:szCs w:val="20"/>
              </w:rPr>
              <w:t>33~41</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/m³</w:t>
            </w:r>
            <w:r>
              <w:rPr>
                <w:rFonts w:ascii="Times New Roman" w:hAnsi="Times New Roman" w:eastAsia="Times New Roman" w:cs="Times New Roman"/>
                <w:spacing w:val="-23"/>
                <w:sz w:val="20"/>
                <w:szCs w:val="20"/>
              </w:rPr>
              <w:t xml:space="preserve"> </w:t>
            </w:r>
            <w:r>
              <w:rPr>
                <w:spacing w:val="3"/>
                <w:sz w:val="20"/>
                <w:szCs w:val="20"/>
              </w:rPr>
              <w:t>,</w:t>
            </w:r>
            <w:r>
              <w:rPr>
                <w:sz w:val="20"/>
                <w:szCs w:val="20"/>
              </w:rPr>
              <w:t xml:space="preserve">   </w:t>
            </w:r>
            <w:r>
              <w:rPr>
                <w:spacing w:val="3"/>
                <w:sz w:val="20"/>
                <w:szCs w:val="20"/>
              </w:rPr>
              <w:t>平均</w:t>
            </w:r>
            <w:r>
              <w:rPr>
                <w:spacing w:val="-33"/>
                <w:sz w:val="20"/>
                <w:szCs w:val="20"/>
              </w:rPr>
              <w:t xml:space="preserve"> </w:t>
            </w:r>
            <w:r>
              <w:rPr>
                <w:rFonts w:ascii="Times New Roman" w:hAnsi="Times New Roman" w:eastAsia="Times New Roman" w:cs="Times New Roman"/>
                <w:spacing w:val="3"/>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/m³</w:t>
            </w:r>
            <w:r>
              <w:rPr>
                <w:spacing w:val="3"/>
                <w:sz w:val="20"/>
                <w:szCs w:val="20"/>
              </w:rPr>
              <w:t>经过</w:t>
            </w:r>
            <w:r>
              <w:rPr>
                <w:spacing w:val="-20"/>
                <w:sz w:val="20"/>
                <w:szCs w:val="20"/>
              </w:rPr>
              <w:t xml:space="preserve"> </w:t>
            </w:r>
            <w:r>
              <w:rPr>
                <w:rFonts w:ascii="Times New Roman" w:hAnsi="Times New Roman" w:eastAsia="Times New Roman" w:cs="Times New Roman"/>
                <w:spacing w:val="3"/>
                <w:sz w:val="20"/>
                <w:szCs w:val="20"/>
              </w:rPr>
              <w:t xml:space="preserve">1~5 </w:t>
            </w:r>
            <w:r>
              <w:rPr>
                <w:spacing w:val="3"/>
                <w:sz w:val="20"/>
                <w:szCs w:val="20"/>
              </w:rPr>
              <w:t>个月，出现粘膜刺激、</w:t>
            </w:r>
            <w:r>
              <w:rPr>
                <w:sz w:val="20"/>
                <w:szCs w:val="20"/>
              </w:rPr>
              <w:t xml:space="preserve"> </w:t>
            </w:r>
            <w:r>
              <w:rPr>
                <w:spacing w:val="8"/>
                <w:sz w:val="20"/>
                <w:szCs w:val="20"/>
              </w:rPr>
              <w:t>消瘦、呼吸困难、血蛋白减少、网织红细胞</w:t>
            </w:r>
            <w:r>
              <w:rPr>
                <w:spacing w:val="7"/>
                <w:sz w:val="20"/>
                <w:szCs w:val="20"/>
              </w:rPr>
              <w:t xml:space="preserve">  增多，部分动物死亡。</w:t>
            </w:r>
          </w:p>
          <w:p w14:paraId="1EFD7D5F">
            <w:pPr>
              <w:pStyle w:val="6"/>
              <w:spacing w:before="9" w:line="245" w:lineRule="auto"/>
              <w:ind w:left="80" w:right="57" w:hanging="14"/>
              <w:rPr>
                <w:sz w:val="20"/>
                <w:szCs w:val="20"/>
              </w:rPr>
            </w:pPr>
            <w:r>
              <w:rPr>
                <w:spacing w:val="8"/>
                <w:sz w:val="20"/>
                <w:szCs w:val="20"/>
              </w:rPr>
              <w:t>生殖细胞突变性：</w:t>
            </w:r>
            <w:r>
              <w:rPr>
                <w:rFonts w:ascii="Times New Roman" w:hAnsi="Times New Roman" w:eastAsia="Times New Roman" w:cs="Times New Roman"/>
                <w:sz w:val="20"/>
                <w:szCs w:val="20"/>
              </w:rPr>
              <w:t>DNA</w:t>
            </w:r>
            <w:r>
              <w:rPr>
                <w:rFonts w:ascii="Times New Roman" w:hAnsi="Times New Roman" w:eastAsia="Times New Roman" w:cs="Times New Roman"/>
                <w:spacing w:val="8"/>
                <w:sz w:val="20"/>
                <w:szCs w:val="20"/>
              </w:rPr>
              <w:t xml:space="preserve"> </w:t>
            </w:r>
            <w:r>
              <w:rPr>
                <w:spacing w:val="8"/>
                <w:sz w:val="20"/>
                <w:szCs w:val="20"/>
              </w:rPr>
              <w:t>损失：黒胃果蝇吸入</w:t>
            </w:r>
            <w:r>
              <w:rPr>
                <w:spacing w:val="13"/>
                <w:sz w:val="20"/>
                <w:szCs w:val="20"/>
              </w:rPr>
              <w:t xml:space="preserve"> </w:t>
            </w:r>
            <w:r>
              <w:rPr>
                <w:rFonts w:ascii="Times New Roman" w:hAnsi="Times New Roman" w:eastAsia="Times New Roman" w:cs="Times New Roman"/>
                <w:spacing w:val="3"/>
                <w:sz w:val="20"/>
                <w:szCs w:val="20"/>
              </w:rPr>
              <w:t>130</w:t>
            </w:r>
            <w:r>
              <w:rPr>
                <w:rFonts w:ascii="Times New Roman" w:hAnsi="Times New Roman" w:eastAsia="Times New Roman" w:cs="Times New Roman"/>
                <w:sz w:val="20"/>
                <w:szCs w:val="20"/>
              </w:rPr>
              <w:t>ppb</w:t>
            </w:r>
            <w:r>
              <w:rPr>
                <w:spacing w:val="3"/>
                <w:sz w:val="20"/>
                <w:szCs w:val="20"/>
              </w:rPr>
              <w:t>（</w:t>
            </w:r>
            <w:r>
              <w:rPr>
                <w:rFonts w:ascii="Times New Roman" w:hAnsi="Times New Roman" w:eastAsia="Times New Roman" w:cs="Times New Roman"/>
                <w:spacing w:val="3"/>
                <w:sz w:val="20"/>
                <w:szCs w:val="20"/>
              </w:rPr>
              <w:t xml:space="preserve">6 </w:t>
            </w:r>
            <w:r>
              <w:rPr>
                <w:spacing w:val="3"/>
                <w:sz w:val="20"/>
                <w:szCs w:val="20"/>
              </w:rPr>
              <w:t>周）。性染色体确实和不分离；黒</w:t>
            </w:r>
            <w:r>
              <w:rPr>
                <w:spacing w:val="12"/>
                <w:sz w:val="20"/>
                <w:szCs w:val="20"/>
              </w:rPr>
              <w:t xml:space="preserve"> </w:t>
            </w:r>
            <w:r>
              <w:rPr>
                <w:spacing w:val="5"/>
                <w:sz w:val="20"/>
                <w:szCs w:val="20"/>
              </w:rPr>
              <w:t>胃果蝇吸入</w:t>
            </w:r>
            <w:r>
              <w:rPr>
                <w:spacing w:val="-39"/>
                <w:sz w:val="20"/>
                <w:szCs w:val="20"/>
              </w:rPr>
              <w:t xml:space="preserve"> </w:t>
            </w:r>
            <w:r>
              <w:rPr>
                <w:rFonts w:ascii="Times New Roman" w:hAnsi="Times New Roman" w:eastAsia="Times New Roman" w:cs="Times New Roman"/>
                <w:spacing w:val="5"/>
                <w:sz w:val="20"/>
                <w:szCs w:val="20"/>
              </w:rPr>
              <w:t>2900</w:t>
            </w:r>
            <w:r>
              <w:rPr>
                <w:rFonts w:ascii="Times New Roman" w:hAnsi="Times New Roman" w:eastAsia="Times New Roman" w:cs="Times New Roman"/>
                <w:sz w:val="20"/>
                <w:szCs w:val="20"/>
              </w:rPr>
              <w:t>ppb</w:t>
            </w:r>
            <w:r>
              <w:rPr>
                <w:spacing w:val="5"/>
                <w:sz w:val="20"/>
                <w:szCs w:val="20"/>
              </w:rPr>
              <w:t>。</w:t>
            </w:r>
          </w:p>
          <w:p w14:paraId="03D29EC7">
            <w:pPr>
              <w:pStyle w:val="6"/>
              <w:spacing w:before="17" w:line="251" w:lineRule="auto"/>
              <w:ind w:left="60" w:firstLine="6"/>
              <w:rPr>
                <w:sz w:val="20"/>
                <w:szCs w:val="20"/>
              </w:rPr>
            </w:pPr>
            <w:r>
              <w:rPr>
                <w:spacing w:val="5"/>
                <w:sz w:val="20"/>
                <w:szCs w:val="20"/>
              </w:rPr>
              <w:t>生殖毒性：大鼠吸入最低中毒浓度（</w:t>
            </w:r>
            <w:r>
              <w:rPr>
                <w:rFonts w:ascii="Times New Roman" w:hAnsi="Times New Roman" w:eastAsia="Times New Roman" w:cs="Times New Roman"/>
                <w:sz w:val="20"/>
                <w:szCs w:val="20"/>
              </w:rPr>
              <w:t>TCL</w:t>
            </w:r>
            <w:r>
              <w:rPr>
                <w:rFonts w:ascii="Times New Roman" w:hAnsi="Times New Roman" w:eastAsia="Times New Roman" w:cs="Times New Roman"/>
                <w:spacing w:val="5"/>
                <w:sz w:val="20"/>
                <w:szCs w:val="20"/>
              </w:rPr>
              <w:t>0</w:t>
            </w:r>
            <w:r>
              <w:rPr>
                <w:spacing w:val="-33"/>
                <w:sz w:val="20"/>
                <w:szCs w:val="20"/>
              </w:rPr>
              <w:t>）：</w:t>
            </w:r>
            <w:r>
              <w:rPr>
                <w:spacing w:val="1"/>
                <w:sz w:val="20"/>
                <w:szCs w:val="20"/>
              </w:rPr>
              <w:t xml:space="preserve"> </w:t>
            </w:r>
            <w:r>
              <w:rPr>
                <w:rFonts w:ascii="Times New Roman" w:hAnsi="Times New Roman" w:eastAsia="Times New Roman" w:cs="Times New Roman"/>
                <w:spacing w:val="-1"/>
                <w:sz w:val="20"/>
                <w:szCs w:val="20"/>
              </w:rPr>
              <w:t>4980ug/m³</w:t>
            </w:r>
            <w:r>
              <w:rPr>
                <w:spacing w:val="-1"/>
                <w:sz w:val="20"/>
                <w:szCs w:val="20"/>
              </w:rPr>
              <w:t>（</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5"/>
                <w:w w:val="101"/>
                <w:sz w:val="20"/>
                <w:szCs w:val="20"/>
              </w:rPr>
              <w:t xml:space="preserve"> </w:t>
            </w:r>
            <w:r>
              <w:rPr>
                <w:spacing w:val="-1"/>
                <w:sz w:val="20"/>
                <w:szCs w:val="20"/>
              </w:rPr>
              <w:t>小时</w:t>
            </w:r>
            <w:r>
              <w:rPr>
                <w:spacing w:val="-29"/>
                <w:sz w:val="20"/>
                <w:szCs w:val="20"/>
              </w:rPr>
              <w:t>），</w:t>
            </w:r>
            <w:r>
              <w:rPr>
                <w:spacing w:val="-1"/>
                <w:sz w:val="20"/>
                <w:szCs w:val="20"/>
              </w:rPr>
              <w:t>孕</w:t>
            </w:r>
            <w:r>
              <w:rPr>
                <w:spacing w:val="-23"/>
                <w:sz w:val="20"/>
                <w:szCs w:val="20"/>
              </w:rPr>
              <w:t xml:space="preserve"> </w:t>
            </w:r>
            <w:r>
              <w:rPr>
                <w:rFonts w:ascii="Times New Roman" w:hAnsi="Times New Roman" w:eastAsia="Times New Roman" w:cs="Times New Roman"/>
                <w:spacing w:val="-1"/>
                <w:sz w:val="20"/>
                <w:szCs w:val="20"/>
              </w:rPr>
              <w:t>1~22</w:t>
            </w:r>
            <w:r>
              <w:rPr>
                <w:rFonts w:ascii="Times New Roman" w:hAnsi="Times New Roman" w:eastAsia="Times New Roman" w:cs="Times New Roman"/>
                <w:spacing w:val="16"/>
                <w:sz w:val="20"/>
                <w:szCs w:val="20"/>
              </w:rPr>
              <w:t xml:space="preserve"> </w:t>
            </w:r>
            <w:r>
              <w:rPr>
                <w:spacing w:val="-1"/>
                <w:sz w:val="20"/>
                <w:szCs w:val="20"/>
              </w:rPr>
              <w:t>天，引起死胎。</w:t>
            </w:r>
            <w:r>
              <w:rPr>
                <w:sz w:val="20"/>
                <w:szCs w:val="20"/>
              </w:rPr>
              <w:t xml:space="preserve"> </w:t>
            </w:r>
            <w:r>
              <w:rPr>
                <w:spacing w:val="8"/>
                <w:sz w:val="20"/>
                <w:szCs w:val="20"/>
              </w:rPr>
              <w:t>危险特性：腐蚀性极强。遇</w:t>
            </w:r>
            <w:r>
              <w:rPr>
                <w:spacing w:val="-40"/>
                <w:sz w:val="20"/>
                <w:szCs w:val="20"/>
              </w:rPr>
              <w:t xml:space="preserve"> </w:t>
            </w:r>
            <w:r>
              <w:rPr>
                <w:rFonts w:ascii="Times New Roman" w:hAnsi="Times New Roman" w:eastAsia="Times New Roman" w:cs="Times New Roman"/>
                <w:spacing w:val="8"/>
                <w:sz w:val="20"/>
                <w:szCs w:val="20"/>
              </w:rPr>
              <w:t xml:space="preserve">H </w:t>
            </w:r>
            <w:r>
              <w:rPr>
                <w:spacing w:val="8"/>
                <w:sz w:val="20"/>
                <w:szCs w:val="20"/>
              </w:rPr>
              <w:t>发泡剂立即燃</w:t>
            </w:r>
            <w:r>
              <w:rPr>
                <w:sz w:val="20"/>
                <w:szCs w:val="20"/>
              </w:rPr>
              <w:t xml:space="preserve">  </w:t>
            </w:r>
            <w:r>
              <w:rPr>
                <w:spacing w:val="9"/>
                <w:sz w:val="20"/>
                <w:szCs w:val="20"/>
              </w:rPr>
              <w:t>烧。能与普通金属发生反应，放出氢气而与</w:t>
            </w:r>
            <w:r>
              <w:rPr>
                <w:sz w:val="20"/>
                <w:szCs w:val="20"/>
              </w:rPr>
              <w:t xml:space="preserve">  </w:t>
            </w:r>
            <w:r>
              <w:rPr>
                <w:spacing w:val="7"/>
                <w:sz w:val="20"/>
                <w:szCs w:val="20"/>
              </w:rPr>
              <w:t>空气形成爆炸性混合物。</w:t>
            </w:r>
          </w:p>
          <w:p w14:paraId="227FC880">
            <w:pPr>
              <w:pStyle w:val="6"/>
              <w:spacing w:before="2" w:line="228" w:lineRule="auto"/>
              <w:ind w:left="64"/>
              <w:rPr>
                <w:sz w:val="20"/>
                <w:szCs w:val="20"/>
              </w:rPr>
            </w:pPr>
            <w:r>
              <w:rPr>
                <w:spacing w:val="8"/>
                <w:sz w:val="20"/>
                <w:szCs w:val="20"/>
              </w:rPr>
              <w:t>环境危害：对水体和土壤造成污染。</w:t>
            </w:r>
          </w:p>
          <w:p w14:paraId="18DF9824">
            <w:pPr>
              <w:pStyle w:val="6"/>
              <w:spacing w:before="26" w:line="228" w:lineRule="auto"/>
              <w:ind w:left="67"/>
              <w:rPr>
                <w:sz w:val="20"/>
                <w:szCs w:val="20"/>
              </w:rPr>
            </w:pPr>
            <w:r>
              <w:rPr>
                <w:spacing w:val="8"/>
                <w:sz w:val="20"/>
                <w:szCs w:val="20"/>
              </w:rPr>
              <w:t>危险分解产物：氟化氢</w:t>
            </w:r>
          </w:p>
        </w:tc>
      </w:tr>
      <w:tr w14:paraId="1194A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68" w:type="dxa"/>
            <w:vAlign w:val="top"/>
          </w:tcPr>
          <w:p w14:paraId="4DB68C46">
            <w:pPr>
              <w:spacing w:line="277" w:lineRule="auto"/>
              <w:rPr>
                <w:rFonts w:ascii="Arial"/>
                <w:sz w:val="21"/>
              </w:rPr>
            </w:pPr>
          </w:p>
          <w:p w14:paraId="757EAF7B">
            <w:pPr>
              <w:spacing w:line="278" w:lineRule="auto"/>
              <w:rPr>
                <w:rFonts w:ascii="Arial"/>
                <w:sz w:val="21"/>
              </w:rPr>
            </w:pPr>
          </w:p>
          <w:p w14:paraId="04A9D108">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75" w:type="dxa"/>
            <w:vAlign w:val="top"/>
          </w:tcPr>
          <w:p w14:paraId="3F091848">
            <w:pPr>
              <w:spacing w:line="255" w:lineRule="auto"/>
              <w:rPr>
                <w:rFonts w:ascii="Arial"/>
                <w:sz w:val="21"/>
              </w:rPr>
            </w:pPr>
          </w:p>
          <w:p w14:paraId="378A60C3">
            <w:pPr>
              <w:spacing w:line="256" w:lineRule="auto"/>
              <w:rPr>
                <w:rFonts w:ascii="Arial"/>
                <w:sz w:val="21"/>
              </w:rPr>
            </w:pPr>
          </w:p>
          <w:p w14:paraId="4714365A">
            <w:pPr>
              <w:pStyle w:val="6"/>
              <w:spacing w:before="66" w:line="229" w:lineRule="auto"/>
              <w:ind w:left="28"/>
              <w:rPr>
                <w:sz w:val="20"/>
                <w:szCs w:val="20"/>
              </w:rPr>
            </w:pPr>
            <w:r>
              <w:rPr>
                <w:spacing w:val="5"/>
                <w:sz w:val="20"/>
                <w:szCs w:val="20"/>
              </w:rPr>
              <w:t>硫酸</w:t>
            </w:r>
          </w:p>
        </w:tc>
        <w:tc>
          <w:tcPr>
            <w:tcW w:w="487" w:type="dxa"/>
            <w:vAlign w:val="top"/>
          </w:tcPr>
          <w:p w14:paraId="60C34941">
            <w:pPr>
              <w:spacing w:line="376" w:lineRule="auto"/>
              <w:rPr>
                <w:rFonts w:ascii="Arial"/>
                <w:sz w:val="21"/>
              </w:rPr>
            </w:pPr>
          </w:p>
          <w:p w14:paraId="4661ED25">
            <w:pPr>
              <w:pStyle w:val="6"/>
              <w:spacing w:before="65" w:line="228" w:lineRule="auto"/>
              <w:ind w:left="45"/>
              <w:rPr>
                <w:sz w:val="20"/>
                <w:szCs w:val="20"/>
              </w:rPr>
            </w:pPr>
            <w:r>
              <w:rPr>
                <w:sz w:val="20"/>
                <w:szCs w:val="20"/>
              </w:rPr>
              <w:t>吸入</w:t>
            </w:r>
          </w:p>
          <w:p w14:paraId="682CBCEE">
            <w:pPr>
              <w:pStyle w:val="6"/>
              <w:spacing w:before="26" w:line="228" w:lineRule="auto"/>
              <w:ind w:left="37"/>
              <w:rPr>
                <w:sz w:val="20"/>
                <w:szCs w:val="20"/>
              </w:rPr>
            </w:pPr>
            <w:r>
              <w:rPr>
                <w:spacing w:val="4"/>
                <w:sz w:val="20"/>
                <w:szCs w:val="20"/>
              </w:rPr>
              <w:t>食入</w:t>
            </w:r>
          </w:p>
        </w:tc>
        <w:tc>
          <w:tcPr>
            <w:tcW w:w="3294" w:type="dxa"/>
            <w:vAlign w:val="top"/>
          </w:tcPr>
          <w:p w14:paraId="2F079ED6">
            <w:pPr>
              <w:pStyle w:val="6"/>
              <w:spacing w:before="37" w:line="244" w:lineRule="auto"/>
              <w:ind w:left="61" w:right="86" w:hanging="1"/>
              <w:jc w:val="both"/>
              <w:rPr>
                <w:sz w:val="20"/>
                <w:szCs w:val="20"/>
              </w:rPr>
            </w:pPr>
            <w:r>
              <w:rPr>
                <w:spacing w:val="9"/>
                <w:sz w:val="20"/>
                <w:szCs w:val="20"/>
              </w:rPr>
              <w:t>对皮肤、粘膜等组织有强烈的刺激</w:t>
            </w:r>
            <w:r>
              <w:rPr>
                <w:spacing w:val="5"/>
                <w:sz w:val="20"/>
                <w:szCs w:val="20"/>
              </w:rPr>
              <w:t xml:space="preserve"> </w:t>
            </w:r>
            <w:r>
              <w:rPr>
                <w:spacing w:val="9"/>
                <w:sz w:val="20"/>
                <w:szCs w:val="20"/>
              </w:rPr>
              <w:t>和腐蚀作用。蒸气或雾可引起结膜</w:t>
            </w:r>
            <w:r>
              <w:rPr>
                <w:spacing w:val="3"/>
                <w:sz w:val="20"/>
                <w:szCs w:val="20"/>
              </w:rPr>
              <w:t xml:space="preserve"> </w:t>
            </w:r>
            <w:r>
              <w:rPr>
                <w:spacing w:val="6"/>
                <w:sz w:val="20"/>
                <w:szCs w:val="20"/>
              </w:rPr>
              <w:t>炎、结膜水肿、角膜混浊，</w:t>
            </w:r>
            <w:r>
              <w:rPr>
                <w:spacing w:val="-52"/>
                <w:sz w:val="20"/>
                <w:szCs w:val="20"/>
              </w:rPr>
              <w:t xml:space="preserve"> </w:t>
            </w:r>
            <w:r>
              <w:rPr>
                <w:spacing w:val="6"/>
                <w:sz w:val="20"/>
                <w:szCs w:val="20"/>
              </w:rPr>
              <w:t>以致失</w:t>
            </w:r>
            <w:r>
              <w:rPr>
                <w:sz w:val="20"/>
                <w:szCs w:val="20"/>
              </w:rPr>
              <w:t xml:space="preserve"> </w:t>
            </w:r>
            <w:r>
              <w:rPr>
                <w:spacing w:val="9"/>
                <w:sz w:val="20"/>
                <w:szCs w:val="20"/>
              </w:rPr>
              <w:t>明；引起呼吸道刺激，重者发生呼</w:t>
            </w:r>
            <w:r>
              <w:rPr>
                <w:spacing w:val="3"/>
                <w:sz w:val="20"/>
                <w:szCs w:val="20"/>
              </w:rPr>
              <w:t xml:space="preserve"> </w:t>
            </w:r>
            <w:r>
              <w:rPr>
                <w:spacing w:val="9"/>
                <w:sz w:val="20"/>
                <w:szCs w:val="20"/>
              </w:rPr>
              <w:t>吸困难和肺水肿；高浓度引起喉痉</w:t>
            </w:r>
          </w:p>
        </w:tc>
        <w:tc>
          <w:tcPr>
            <w:tcW w:w="4171" w:type="dxa"/>
            <w:vAlign w:val="top"/>
          </w:tcPr>
          <w:p w14:paraId="3AC81718">
            <w:pPr>
              <w:pStyle w:val="6"/>
              <w:spacing w:before="35" w:line="221" w:lineRule="auto"/>
              <w:ind w:left="71"/>
              <w:rPr>
                <w:sz w:val="20"/>
                <w:szCs w:val="20"/>
              </w:rPr>
            </w:pPr>
            <w:r>
              <w:rPr>
                <w:spacing w:val="7"/>
                <w:sz w:val="20"/>
                <w:szCs w:val="20"/>
              </w:rPr>
              <w:t>急性毒性：</w:t>
            </w:r>
            <w:r>
              <w:rPr>
                <w:rFonts w:ascii="Times New Roman" w:hAnsi="Times New Roman" w:eastAsia="Times New Roman" w:cs="Times New Roman"/>
                <w:sz w:val="20"/>
                <w:szCs w:val="20"/>
              </w:rPr>
              <w:t>LD</w:t>
            </w:r>
            <w:r>
              <w:rPr>
                <w:rFonts w:ascii="Times New Roman" w:hAnsi="Times New Roman" w:eastAsia="Times New Roman" w:cs="Times New Roman"/>
                <w:spacing w:val="7"/>
                <w:sz w:val="20"/>
                <w:szCs w:val="20"/>
              </w:rPr>
              <w:t>50</w:t>
            </w:r>
            <w:r>
              <w:rPr>
                <w:spacing w:val="7"/>
                <w:sz w:val="20"/>
                <w:szCs w:val="20"/>
              </w:rPr>
              <w:t>：</w:t>
            </w:r>
            <w:r>
              <w:rPr>
                <w:rFonts w:ascii="Times New Roman" w:hAnsi="Times New Roman" w:eastAsia="Times New Roman" w:cs="Times New Roman"/>
                <w:spacing w:val="7"/>
                <w:sz w:val="20"/>
                <w:szCs w:val="20"/>
              </w:rPr>
              <w:t>2140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大鼠经口</w:t>
            </w:r>
            <w:r>
              <w:rPr>
                <w:rFonts w:ascii="Times New Roman" w:hAnsi="Times New Roman" w:eastAsia="Times New Roman" w:cs="Times New Roman"/>
                <w:spacing w:val="7"/>
                <w:sz w:val="20"/>
                <w:szCs w:val="20"/>
              </w:rPr>
              <w:t>)</w:t>
            </w:r>
            <w:r>
              <w:rPr>
                <w:spacing w:val="7"/>
                <w:sz w:val="20"/>
                <w:szCs w:val="20"/>
              </w:rPr>
              <w:t>，</w:t>
            </w:r>
          </w:p>
          <w:p w14:paraId="0A616B5C">
            <w:pPr>
              <w:pStyle w:val="6"/>
              <w:spacing w:before="34"/>
              <w:ind w:left="60" w:right="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LC50</w:t>
            </w:r>
            <w:r>
              <w:rPr>
                <w:spacing w:val="-3"/>
                <w:sz w:val="20"/>
                <w:szCs w:val="20"/>
              </w:rPr>
              <w:t>：</w:t>
            </w:r>
            <w:r>
              <w:rPr>
                <w:rFonts w:ascii="Times New Roman" w:hAnsi="Times New Roman" w:eastAsia="Times New Roman" w:cs="Times New Roman"/>
                <w:spacing w:val="-3"/>
                <w:sz w:val="20"/>
                <w:szCs w:val="20"/>
              </w:rPr>
              <w:t>510mg/m</w:t>
            </w:r>
            <w:r>
              <w:rPr>
                <w:spacing w:val="-3"/>
                <w:sz w:val="20"/>
                <w:szCs w:val="20"/>
              </w:rPr>
              <w:t>³,</w:t>
            </w:r>
            <w:r>
              <w:rPr>
                <w:spacing w:val="-34"/>
                <w:sz w:val="20"/>
                <w:szCs w:val="20"/>
              </w:rPr>
              <w:t xml:space="preserve"> </w:t>
            </w:r>
            <w:r>
              <w:rPr>
                <w:rFonts w:ascii="Times New Roman" w:hAnsi="Times New Roman" w:eastAsia="Times New Roman" w:cs="Times New Roman"/>
                <w:spacing w:val="-3"/>
                <w:sz w:val="20"/>
                <w:szCs w:val="20"/>
              </w:rPr>
              <w:t xml:space="preserve">2 </w:t>
            </w:r>
            <w:r>
              <w:rPr>
                <w:spacing w:val="-3"/>
                <w:sz w:val="20"/>
                <w:szCs w:val="20"/>
              </w:rPr>
              <w:t>小时</w:t>
            </w:r>
            <w:r>
              <w:rPr>
                <w:rFonts w:ascii="Times New Roman" w:hAnsi="Times New Roman" w:eastAsia="Times New Roman" w:cs="Times New Roman"/>
                <w:spacing w:val="-3"/>
                <w:sz w:val="20"/>
                <w:szCs w:val="20"/>
              </w:rPr>
              <w:t>(</w:t>
            </w:r>
            <w:r>
              <w:rPr>
                <w:spacing w:val="-3"/>
                <w:sz w:val="20"/>
                <w:szCs w:val="20"/>
              </w:rPr>
              <w:t>大鼠吸入</w:t>
            </w:r>
            <w:r>
              <w:rPr>
                <w:rFonts w:ascii="Times New Roman" w:hAnsi="Times New Roman" w:eastAsia="Times New Roman" w:cs="Times New Roman"/>
                <w:spacing w:val="-3"/>
                <w:sz w:val="20"/>
                <w:szCs w:val="20"/>
              </w:rPr>
              <w:t>)</w:t>
            </w:r>
            <w:r>
              <w:rPr>
                <w:spacing w:val="-3"/>
                <w:sz w:val="20"/>
                <w:szCs w:val="20"/>
              </w:rPr>
              <w:t>；</w:t>
            </w:r>
            <w:r>
              <w:rPr>
                <w:rFonts w:ascii="Times New Roman" w:hAnsi="Times New Roman" w:eastAsia="Times New Roman" w:cs="Times New Roman"/>
                <w:spacing w:val="-3"/>
                <w:sz w:val="20"/>
                <w:szCs w:val="20"/>
              </w:rPr>
              <w:t>320mg/m</w:t>
            </w:r>
            <w:r>
              <w:rPr>
                <w:rFonts w:ascii="Times New Roman" w:hAnsi="Times New Roman" w:eastAsia="Times New Roman" w:cs="Times New Roman"/>
                <w:sz w:val="20"/>
                <w:szCs w:val="20"/>
              </w:rPr>
              <w:t xml:space="preserve"> </w:t>
            </w:r>
            <w:r>
              <w:rPr>
                <w:spacing w:val="-2"/>
                <w:sz w:val="20"/>
                <w:szCs w:val="20"/>
              </w:rPr>
              <w:t>³</w:t>
            </w:r>
            <w:r>
              <w:rPr>
                <w:spacing w:val="-71"/>
                <w:sz w:val="20"/>
                <w:szCs w:val="20"/>
              </w:rPr>
              <w:t xml:space="preserve"> </w:t>
            </w:r>
            <w:r>
              <w:rPr>
                <w:spacing w:val="-2"/>
                <w:sz w:val="20"/>
                <w:szCs w:val="20"/>
              </w:rPr>
              <w:t>,</w:t>
            </w:r>
            <w:r>
              <w:rPr>
                <w:spacing w:val="58"/>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5"/>
                <w:w w:val="101"/>
                <w:sz w:val="20"/>
                <w:szCs w:val="20"/>
              </w:rPr>
              <w:t xml:space="preserve"> </w:t>
            </w:r>
            <w:r>
              <w:rPr>
                <w:spacing w:val="-2"/>
                <w:sz w:val="20"/>
                <w:szCs w:val="20"/>
              </w:rPr>
              <w:t>小时</w:t>
            </w:r>
            <w:r>
              <w:rPr>
                <w:rFonts w:ascii="Times New Roman" w:hAnsi="Times New Roman" w:eastAsia="Times New Roman" w:cs="Times New Roman"/>
                <w:spacing w:val="-2"/>
                <w:sz w:val="20"/>
                <w:szCs w:val="20"/>
              </w:rPr>
              <w:t>(</w:t>
            </w:r>
            <w:r>
              <w:rPr>
                <w:spacing w:val="-2"/>
                <w:sz w:val="20"/>
                <w:szCs w:val="20"/>
              </w:rPr>
              <w:t>小鼠吸入</w:t>
            </w:r>
            <w:r>
              <w:rPr>
                <w:rFonts w:ascii="Times New Roman" w:hAnsi="Times New Roman" w:eastAsia="Times New Roman" w:cs="Times New Roman"/>
                <w:spacing w:val="-2"/>
                <w:sz w:val="20"/>
                <w:szCs w:val="20"/>
              </w:rPr>
              <w:t>)</w:t>
            </w:r>
          </w:p>
          <w:p w14:paraId="0C3BE536">
            <w:pPr>
              <w:pStyle w:val="6"/>
              <w:spacing w:before="25" w:line="233" w:lineRule="auto"/>
              <w:ind w:left="78" w:hanging="11"/>
              <w:rPr>
                <w:sz w:val="20"/>
                <w:szCs w:val="20"/>
              </w:rPr>
            </w:pPr>
            <w:r>
              <w:rPr>
                <w:spacing w:val="6"/>
                <w:sz w:val="20"/>
                <w:szCs w:val="20"/>
              </w:rPr>
              <w:t>危险特性：</w:t>
            </w:r>
            <w:r>
              <w:rPr>
                <w:spacing w:val="82"/>
                <w:sz w:val="20"/>
                <w:szCs w:val="20"/>
              </w:rPr>
              <w:t xml:space="preserve"> </w:t>
            </w:r>
            <w:r>
              <w:rPr>
                <w:spacing w:val="6"/>
                <w:sz w:val="20"/>
                <w:szCs w:val="20"/>
              </w:rPr>
              <w:t>遇水大量放热</w:t>
            </w:r>
            <w:r>
              <w:rPr>
                <w:rFonts w:ascii="Times New Roman" w:hAnsi="Times New Roman" w:eastAsia="Times New Roman" w:cs="Times New Roman"/>
                <w:spacing w:val="6"/>
                <w:sz w:val="20"/>
                <w:szCs w:val="20"/>
              </w:rPr>
              <w:t>,</w:t>
            </w:r>
            <w:r>
              <w:rPr>
                <w:spacing w:val="6"/>
                <w:sz w:val="20"/>
                <w:szCs w:val="20"/>
              </w:rPr>
              <w:t>可发生沸溅。与</w:t>
            </w:r>
            <w:r>
              <w:rPr>
                <w:sz w:val="20"/>
                <w:szCs w:val="20"/>
              </w:rPr>
              <w:t xml:space="preserve">  </w:t>
            </w:r>
            <w:r>
              <w:rPr>
                <w:spacing w:val="4"/>
                <w:sz w:val="20"/>
                <w:szCs w:val="20"/>
              </w:rPr>
              <w:t>易燃物（如苯）和可燃物（如糖、纤维素等）</w:t>
            </w:r>
          </w:p>
        </w:tc>
      </w:tr>
    </w:tbl>
    <w:p w14:paraId="1524A991">
      <w:pPr>
        <w:rPr>
          <w:rFonts w:ascii="Arial"/>
          <w:sz w:val="21"/>
        </w:rPr>
      </w:pPr>
    </w:p>
    <w:p w14:paraId="75870499">
      <w:pPr>
        <w:rPr>
          <w:rFonts w:ascii="Arial" w:hAnsi="Arial" w:eastAsia="Arial" w:cs="Arial"/>
          <w:sz w:val="21"/>
          <w:szCs w:val="21"/>
        </w:rPr>
        <w:sectPr>
          <w:footerReference r:id="rId129" w:type="default"/>
          <w:pgSz w:w="11906" w:h="16839"/>
          <w:pgMar w:top="400" w:right="1485" w:bottom="1127" w:left="1485" w:header="0" w:footer="965" w:gutter="0"/>
          <w:cols w:space="720" w:num="1"/>
        </w:sectPr>
      </w:pPr>
    </w:p>
    <w:p w14:paraId="443C761E">
      <w:pPr>
        <w:spacing w:before="19"/>
      </w:pPr>
    </w:p>
    <w:p w14:paraId="5AA2E9DA">
      <w:pPr>
        <w:spacing w:before="19"/>
      </w:pPr>
    </w:p>
    <w:p w14:paraId="3B5D6124">
      <w:pPr>
        <w:spacing w:before="19"/>
      </w:pPr>
    </w:p>
    <w:p w14:paraId="57901F38">
      <w:pPr>
        <w:spacing w:before="18"/>
      </w:pPr>
    </w:p>
    <w:p w14:paraId="78D27763">
      <w:pPr>
        <w:spacing w:before="18"/>
      </w:pPr>
    </w:p>
    <w:tbl>
      <w:tblPr>
        <w:tblStyle w:val="5"/>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475"/>
        <w:gridCol w:w="487"/>
        <w:gridCol w:w="3294"/>
        <w:gridCol w:w="4171"/>
      </w:tblGrid>
      <w:tr w14:paraId="3887C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468" w:type="dxa"/>
            <w:vMerge w:val="restart"/>
            <w:tcBorders>
              <w:bottom w:val="nil"/>
            </w:tcBorders>
            <w:vAlign w:val="top"/>
          </w:tcPr>
          <w:p w14:paraId="3BB9414D">
            <w:pPr>
              <w:spacing w:line="335" w:lineRule="auto"/>
              <w:rPr>
                <w:rFonts w:ascii="Arial"/>
                <w:sz w:val="21"/>
              </w:rPr>
            </w:pPr>
          </w:p>
          <w:p w14:paraId="4D480798">
            <w:pPr>
              <w:pStyle w:val="6"/>
              <w:spacing w:before="65" w:line="229" w:lineRule="auto"/>
              <w:ind w:left="28"/>
              <w:rPr>
                <w:sz w:val="20"/>
                <w:szCs w:val="20"/>
              </w:rPr>
            </w:pPr>
            <w:r>
              <w:rPr>
                <w:spacing w:val="5"/>
                <w:sz w:val="20"/>
                <w:szCs w:val="20"/>
              </w:rPr>
              <w:t>序号</w:t>
            </w:r>
          </w:p>
        </w:tc>
        <w:tc>
          <w:tcPr>
            <w:tcW w:w="475" w:type="dxa"/>
            <w:vMerge w:val="restart"/>
            <w:tcBorders>
              <w:bottom w:val="nil"/>
            </w:tcBorders>
            <w:vAlign w:val="top"/>
          </w:tcPr>
          <w:p w14:paraId="49AE2B03">
            <w:pPr>
              <w:pStyle w:val="6"/>
              <w:spacing w:before="131" w:line="229" w:lineRule="auto"/>
              <w:ind w:left="30"/>
              <w:rPr>
                <w:sz w:val="20"/>
                <w:szCs w:val="20"/>
              </w:rPr>
            </w:pPr>
            <w:r>
              <w:rPr>
                <w:spacing w:val="4"/>
                <w:sz w:val="20"/>
                <w:szCs w:val="20"/>
              </w:rPr>
              <w:t>化学</w:t>
            </w:r>
          </w:p>
          <w:p w14:paraId="1F89655D">
            <w:pPr>
              <w:pStyle w:val="6"/>
              <w:spacing w:before="23" w:line="255" w:lineRule="auto"/>
              <w:ind w:left="133" w:right="30" w:hanging="87"/>
              <w:rPr>
                <w:sz w:val="20"/>
                <w:szCs w:val="20"/>
              </w:rPr>
            </w:pPr>
            <w:r>
              <w:rPr>
                <w:spacing w:val="-4"/>
                <w:sz w:val="20"/>
                <w:szCs w:val="20"/>
              </w:rPr>
              <w:t>品名</w:t>
            </w:r>
            <w:r>
              <w:rPr>
                <w:sz w:val="20"/>
                <w:szCs w:val="20"/>
              </w:rPr>
              <w:t xml:space="preserve"> </w:t>
            </w:r>
            <w:r>
              <w:rPr>
                <w:spacing w:val="1"/>
                <w:sz w:val="20"/>
                <w:szCs w:val="20"/>
              </w:rPr>
              <w:t>称</w:t>
            </w:r>
          </w:p>
        </w:tc>
        <w:tc>
          <w:tcPr>
            <w:tcW w:w="7952" w:type="dxa"/>
            <w:gridSpan w:val="3"/>
            <w:vAlign w:val="top"/>
          </w:tcPr>
          <w:p w14:paraId="10E7401D">
            <w:pPr>
              <w:pStyle w:val="6"/>
              <w:spacing w:before="127" w:line="228" w:lineRule="auto"/>
              <w:ind w:left="3560"/>
              <w:rPr>
                <w:sz w:val="20"/>
                <w:szCs w:val="20"/>
              </w:rPr>
            </w:pPr>
            <w:r>
              <w:rPr>
                <w:spacing w:val="7"/>
                <w:sz w:val="20"/>
                <w:szCs w:val="20"/>
              </w:rPr>
              <w:t>环境影响</w:t>
            </w:r>
          </w:p>
        </w:tc>
      </w:tr>
      <w:tr w14:paraId="2E52E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68" w:type="dxa"/>
            <w:vMerge w:val="continue"/>
            <w:tcBorders>
              <w:top w:val="nil"/>
            </w:tcBorders>
            <w:vAlign w:val="top"/>
          </w:tcPr>
          <w:p w14:paraId="4C65ED37">
            <w:pPr>
              <w:rPr>
                <w:rFonts w:ascii="Arial"/>
                <w:sz w:val="21"/>
              </w:rPr>
            </w:pPr>
          </w:p>
        </w:tc>
        <w:tc>
          <w:tcPr>
            <w:tcW w:w="475" w:type="dxa"/>
            <w:vMerge w:val="continue"/>
            <w:tcBorders>
              <w:top w:val="nil"/>
            </w:tcBorders>
            <w:vAlign w:val="top"/>
          </w:tcPr>
          <w:p w14:paraId="590ED83F">
            <w:pPr>
              <w:rPr>
                <w:rFonts w:ascii="Arial"/>
                <w:sz w:val="21"/>
              </w:rPr>
            </w:pPr>
          </w:p>
        </w:tc>
        <w:tc>
          <w:tcPr>
            <w:tcW w:w="487" w:type="dxa"/>
            <w:vAlign w:val="top"/>
          </w:tcPr>
          <w:p w14:paraId="0448E434">
            <w:pPr>
              <w:pStyle w:val="6"/>
              <w:spacing w:before="32" w:line="229" w:lineRule="auto"/>
              <w:ind w:left="38"/>
              <w:rPr>
                <w:sz w:val="20"/>
                <w:szCs w:val="20"/>
              </w:rPr>
            </w:pPr>
            <w:r>
              <w:rPr>
                <w:spacing w:val="3"/>
                <w:sz w:val="20"/>
                <w:szCs w:val="20"/>
              </w:rPr>
              <w:t>侵入</w:t>
            </w:r>
          </w:p>
          <w:p w14:paraId="412D54C5">
            <w:pPr>
              <w:pStyle w:val="6"/>
              <w:spacing w:before="22" w:line="219" w:lineRule="auto"/>
              <w:ind w:left="37"/>
              <w:rPr>
                <w:sz w:val="20"/>
                <w:szCs w:val="20"/>
              </w:rPr>
            </w:pPr>
            <w:r>
              <w:rPr>
                <w:spacing w:val="4"/>
                <w:sz w:val="20"/>
                <w:szCs w:val="20"/>
              </w:rPr>
              <w:t>途径</w:t>
            </w:r>
          </w:p>
        </w:tc>
        <w:tc>
          <w:tcPr>
            <w:tcW w:w="3294" w:type="dxa"/>
            <w:vAlign w:val="top"/>
          </w:tcPr>
          <w:p w14:paraId="35C06A14">
            <w:pPr>
              <w:pStyle w:val="6"/>
              <w:spacing w:before="166" w:line="228" w:lineRule="auto"/>
              <w:ind w:left="1232"/>
              <w:rPr>
                <w:sz w:val="20"/>
                <w:szCs w:val="20"/>
              </w:rPr>
            </w:pPr>
            <w:r>
              <w:rPr>
                <w:spacing w:val="7"/>
                <w:sz w:val="20"/>
                <w:szCs w:val="20"/>
              </w:rPr>
              <w:t>健康危害</w:t>
            </w:r>
          </w:p>
        </w:tc>
        <w:tc>
          <w:tcPr>
            <w:tcW w:w="4171" w:type="dxa"/>
            <w:vAlign w:val="top"/>
          </w:tcPr>
          <w:p w14:paraId="3CCC9FDD">
            <w:pPr>
              <w:pStyle w:val="6"/>
              <w:spacing w:before="166" w:line="228" w:lineRule="auto"/>
              <w:ind w:left="1041"/>
              <w:rPr>
                <w:sz w:val="20"/>
                <w:szCs w:val="20"/>
              </w:rPr>
            </w:pPr>
            <w:r>
              <w:rPr>
                <w:spacing w:val="8"/>
                <w:sz w:val="20"/>
                <w:szCs w:val="20"/>
              </w:rPr>
              <w:t>毒理学资料及环境行为</w:t>
            </w:r>
          </w:p>
        </w:tc>
      </w:tr>
      <w:tr w14:paraId="09B4F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468" w:type="dxa"/>
            <w:vAlign w:val="top"/>
          </w:tcPr>
          <w:p w14:paraId="4888EC51">
            <w:pPr>
              <w:rPr>
                <w:rFonts w:ascii="Arial"/>
                <w:sz w:val="21"/>
              </w:rPr>
            </w:pPr>
          </w:p>
        </w:tc>
        <w:tc>
          <w:tcPr>
            <w:tcW w:w="475" w:type="dxa"/>
            <w:vAlign w:val="top"/>
          </w:tcPr>
          <w:p w14:paraId="048A140D">
            <w:pPr>
              <w:rPr>
                <w:rFonts w:ascii="Arial"/>
                <w:sz w:val="21"/>
              </w:rPr>
            </w:pPr>
          </w:p>
        </w:tc>
        <w:tc>
          <w:tcPr>
            <w:tcW w:w="487" w:type="dxa"/>
            <w:vAlign w:val="top"/>
          </w:tcPr>
          <w:p w14:paraId="0075F9FA">
            <w:pPr>
              <w:rPr>
                <w:rFonts w:ascii="Arial"/>
                <w:sz w:val="21"/>
              </w:rPr>
            </w:pPr>
          </w:p>
        </w:tc>
        <w:tc>
          <w:tcPr>
            <w:tcW w:w="3294" w:type="dxa"/>
            <w:vAlign w:val="top"/>
          </w:tcPr>
          <w:p w14:paraId="15E65E49">
            <w:pPr>
              <w:pStyle w:val="6"/>
              <w:spacing w:before="27" w:line="248" w:lineRule="auto"/>
              <w:ind w:left="61" w:right="86" w:firstLine="1"/>
              <w:rPr>
                <w:sz w:val="20"/>
                <w:szCs w:val="20"/>
              </w:rPr>
            </w:pPr>
            <w:r>
              <w:rPr>
                <w:spacing w:val="6"/>
                <w:sz w:val="20"/>
                <w:szCs w:val="20"/>
              </w:rPr>
              <w:t>挛或声门水肿而窒息死亡。</w:t>
            </w:r>
            <w:r>
              <w:rPr>
                <w:spacing w:val="-52"/>
                <w:sz w:val="20"/>
                <w:szCs w:val="20"/>
              </w:rPr>
              <w:t xml:space="preserve"> </w:t>
            </w:r>
            <w:r>
              <w:rPr>
                <w:spacing w:val="6"/>
                <w:sz w:val="20"/>
                <w:szCs w:val="20"/>
              </w:rPr>
              <w:t>口服后</w:t>
            </w:r>
            <w:r>
              <w:rPr>
                <w:sz w:val="20"/>
                <w:szCs w:val="20"/>
              </w:rPr>
              <w:t xml:space="preserve"> </w:t>
            </w:r>
            <w:r>
              <w:rPr>
                <w:spacing w:val="9"/>
                <w:sz w:val="20"/>
                <w:szCs w:val="20"/>
              </w:rPr>
              <w:t>引起消化道烧伤以致溃疡形成；严</w:t>
            </w:r>
            <w:r>
              <w:rPr>
                <w:spacing w:val="4"/>
                <w:sz w:val="20"/>
                <w:szCs w:val="20"/>
              </w:rPr>
              <w:t xml:space="preserve"> </w:t>
            </w:r>
            <w:r>
              <w:rPr>
                <w:spacing w:val="9"/>
                <w:sz w:val="20"/>
                <w:szCs w:val="20"/>
              </w:rPr>
              <w:t>重者可能有胃穿孔、腹膜炎、肾损</w:t>
            </w:r>
            <w:r>
              <w:rPr>
                <w:spacing w:val="4"/>
                <w:sz w:val="20"/>
                <w:szCs w:val="20"/>
              </w:rPr>
              <w:t xml:space="preserve"> </w:t>
            </w:r>
            <w:r>
              <w:rPr>
                <w:spacing w:val="9"/>
                <w:sz w:val="20"/>
                <w:szCs w:val="20"/>
              </w:rPr>
              <w:t>害、休克等。皮肤灼伤轻者出现红</w:t>
            </w:r>
            <w:r>
              <w:rPr>
                <w:spacing w:val="4"/>
                <w:sz w:val="20"/>
                <w:szCs w:val="20"/>
              </w:rPr>
              <w:t xml:space="preserve"> </w:t>
            </w:r>
            <w:r>
              <w:rPr>
                <w:spacing w:val="9"/>
                <w:sz w:val="20"/>
                <w:szCs w:val="20"/>
              </w:rPr>
              <w:t>斑、重者形成溃疡，愈后癍痕收缩</w:t>
            </w:r>
            <w:r>
              <w:rPr>
                <w:spacing w:val="4"/>
                <w:sz w:val="20"/>
                <w:szCs w:val="20"/>
              </w:rPr>
              <w:t xml:space="preserve"> </w:t>
            </w:r>
            <w:r>
              <w:rPr>
                <w:spacing w:val="9"/>
                <w:sz w:val="20"/>
                <w:szCs w:val="20"/>
              </w:rPr>
              <w:t>影响功能。溅入眼内可造成灼伤，</w:t>
            </w:r>
            <w:r>
              <w:rPr>
                <w:spacing w:val="4"/>
                <w:sz w:val="20"/>
                <w:szCs w:val="20"/>
              </w:rPr>
              <w:t xml:space="preserve"> </w:t>
            </w:r>
            <w:r>
              <w:rPr>
                <w:spacing w:val="9"/>
                <w:sz w:val="20"/>
                <w:szCs w:val="20"/>
              </w:rPr>
              <w:t>甚至角膜穿孔、全眼炎以至失明。</w:t>
            </w:r>
            <w:r>
              <w:rPr>
                <w:spacing w:val="4"/>
                <w:sz w:val="20"/>
                <w:szCs w:val="20"/>
              </w:rPr>
              <w:t xml:space="preserve"> </w:t>
            </w:r>
            <w:r>
              <w:rPr>
                <w:spacing w:val="9"/>
                <w:sz w:val="20"/>
                <w:szCs w:val="20"/>
              </w:rPr>
              <w:t>慢性影响：牙齿酸蚀症、慢性支气</w:t>
            </w:r>
            <w:r>
              <w:rPr>
                <w:spacing w:val="4"/>
                <w:sz w:val="20"/>
                <w:szCs w:val="20"/>
              </w:rPr>
              <w:t xml:space="preserve"> </w:t>
            </w:r>
            <w:r>
              <w:rPr>
                <w:spacing w:val="8"/>
                <w:sz w:val="20"/>
                <w:szCs w:val="20"/>
              </w:rPr>
              <w:t>管炎、肺气肿和肺硬化。</w:t>
            </w:r>
          </w:p>
        </w:tc>
        <w:tc>
          <w:tcPr>
            <w:tcW w:w="4171" w:type="dxa"/>
            <w:vAlign w:val="top"/>
          </w:tcPr>
          <w:p w14:paraId="15B2A459">
            <w:pPr>
              <w:pStyle w:val="6"/>
              <w:spacing w:before="30" w:line="251" w:lineRule="auto"/>
              <w:ind w:left="65" w:hanging="1"/>
              <w:jc w:val="both"/>
              <w:rPr>
                <w:sz w:val="20"/>
                <w:szCs w:val="20"/>
              </w:rPr>
            </w:pPr>
            <w:r>
              <w:rPr>
                <w:spacing w:val="8"/>
                <w:sz w:val="20"/>
                <w:szCs w:val="20"/>
              </w:rPr>
              <w:t>接触会发生剧烈反应，甚至引起燃烧。遇电</w:t>
            </w:r>
            <w:r>
              <w:rPr>
                <w:spacing w:val="7"/>
                <w:sz w:val="20"/>
                <w:szCs w:val="20"/>
              </w:rPr>
              <w:t xml:space="preserve">  </w:t>
            </w:r>
            <w:r>
              <w:rPr>
                <w:spacing w:val="5"/>
                <w:sz w:val="20"/>
                <w:szCs w:val="20"/>
              </w:rPr>
              <w:t>石、高氯酸盐、雷酸盐、硝酸盐、苦味酸盐、</w:t>
            </w:r>
            <w:r>
              <w:rPr>
                <w:sz w:val="20"/>
                <w:szCs w:val="20"/>
              </w:rPr>
              <w:t xml:space="preserve"> </w:t>
            </w:r>
            <w:r>
              <w:rPr>
                <w:spacing w:val="8"/>
                <w:sz w:val="20"/>
                <w:szCs w:val="20"/>
              </w:rPr>
              <w:t>金属粉末等猛烈反应，发生爆炸或燃烧。有</w:t>
            </w:r>
            <w:r>
              <w:rPr>
                <w:spacing w:val="7"/>
                <w:sz w:val="20"/>
                <w:szCs w:val="20"/>
              </w:rPr>
              <w:t xml:space="preserve">  强烈的腐蚀性和吸水性。</w:t>
            </w:r>
          </w:p>
          <w:p w14:paraId="1DB85B4B">
            <w:pPr>
              <w:pStyle w:val="6"/>
              <w:spacing w:line="226" w:lineRule="auto"/>
              <w:ind w:left="65"/>
              <w:rPr>
                <w:sz w:val="20"/>
                <w:szCs w:val="20"/>
              </w:rPr>
            </w:pPr>
            <w:r>
              <w:rPr>
                <w:spacing w:val="8"/>
                <w:sz w:val="20"/>
                <w:szCs w:val="20"/>
              </w:rPr>
              <w:t>有害燃烧产物：氧化硫</w:t>
            </w:r>
          </w:p>
        </w:tc>
      </w:tr>
      <w:tr w14:paraId="3B593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3" w:hRule="atLeast"/>
        </w:trPr>
        <w:tc>
          <w:tcPr>
            <w:tcW w:w="468" w:type="dxa"/>
            <w:vAlign w:val="top"/>
          </w:tcPr>
          <w:p w14:paraId="54B2B7C4">
            <w:pPr>
              <w:spacing w:line="241" w:lineRule="auto"/>
              <w:rPr>
                <w:rFonts w:ascii="Arial"/>
                <w:sz w:val="21"/>
              </w:rPr>
            </w:pPr>
          </w:p>
          <w:p w14:paraId="77E790D1">
            <w:pPr>
              <w:spacing w:line="241" w:lineRule="auto"/>
              <w:rPr>
                <w:rFonts w:ascii="Arial"/>
                <w:sz w:val="21"/>
              </w:rPr>
            </w:pPr>
          </w:p>
          <w:p w14:paraId="29833579">
            <w:pPr>
              <w:spacing w:line="241" w:lineRule="auto"/>
              <w:rPr>
                <w:rFonts w:ascii="Arial"/>
                <w:sz w:val="21"/>
              </w:rPr>
            </w:pPr>
          </w:p>
          <w:p w14:paraId="7467A6D9">
            <w:pPr>
              <w:spacing w:line="241" w:lineRule="auto"/>
              <w:rPr>
                <w:rFonts w:ascii="Arial"/>
                <w:sz w:val="21"/>
              </w:rPr>
            </w:pPr>
          </w:p>
          <w:p w14:paraId="51A5CE08">
            <w:pPr>
              <w:spacing w:line="241" w:lineRule="auto"/>
              <w:rPr>
                <w:rFonts w:ascii="Arial"/>
                <w:sz w:val="21"/>
              </w:rPr>
            </w:pPr>
          </w:p>
          <w:p w14:paraId="39486D2F">
            <w:pPr>
              <w:spacing w:line="242" w:lineRule="auto"/>
              <w:rPr>
                <w:rFonts w:ascii="Arial"/>
                <w:sz w:val="21"/>
              </w:rPr>
            </w:pPr>
          </w:p>
          <w:p w14:paraId="4E71D527">
            <w:pPr>
              <w:spacing w:line="242" w:lineRule="auto"/>
              <w:rPr>
                <w:rFonts w:ascii="Arial"/>
                <w:sz w:val="21"/>
              </w:rPr>
            </w:pPr>
          </w:p>
          <w:p w14:paraId="3ED9DC4F">
            <w:pPr>
              <w:spacing w:line="242" w:lineRule="auto"/>
              <w:rPr>
                <w:rFonts w:ascii="Arial"/>
                <w:sz w:val="21"/>
              </w:rPr>
            </w:pPr>
          </w:p>
          <w:p w14:paraId="5CDF26C7">
            <w:pPr>
              <w:spacing w:line="242" w:lineRule="auto"/>
              <w:rPr>
                <w:rFonts w:ascii="Arial"/>
                <w:sz w:val="21"/>
              </w:rPr>
            </w:pPr>
          </w:p>
          <w:p w14:paraId="50F71F20">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75" w:type="dxa"/>
            <w:vAlign w:val="top"/>
          </w:tcPr>
          <w:p w14:paraId="2AF14734">
            <w:pPr>
              <w:spacing w:line="266" w:lineRule="auto"/>
              <w:rPr>
                <w:rFonts w:ascii="Arial"/>
                <w:sz w:val="21"/>
              </w:rPr>
            </w:pPr>
          </w:p>
          <w:p w14:paraId="41CDDAE4">
            <w:pPr>
              <w:spacing w:line="266" w:lineRule="auto"/>
              <w:rPr>
                <w:rFonts w:ascii="Arial"/>
                <w:sz w:val="21"/>
              </w:rPr>
            </w:pPr>
          </w:p>
          <w:p w14:paraId="0430BB65">
            <w:pPr>
              <w:spacing w:line="266" w:lineRule="auto"/>
              <w:rPr>
                <w:rFonts w:ascii="Arial"/>
                <w:sz w:val="21"/>
              </w:rPr>
            </w:pPr>
          </w:p>
          <w:p w14:paraId="79D9600B">
            <w:pPr>
              <w:spacing w:line="266" w:lineRule="auto"/>
              <w:rPr>
                <w:rFonts w:ascii="Arial"/>
                <w:sz w:val="21"/>
              </w:rPr>
            </w:pPr>
          </w:p>
          <w:p w14:paraId="4DFDF53F">
            <w:pPr>
              <w:spacing w:line="266" w:lineRule="auto"/>
              <w:rPr>
                <w:rFonts w:ascii="Arial"/>
                <w:sz w:val="21"/>
              </w:rPr>
            </w:pPr>
          </w:p>
          <w:p w14:paraId="4250EF1B">
            <w:pPr>
              <w:spacing w:line="266" w:lineRule="auto"/>
              <w:rPr>
                <w:rFonts w:ascii="Arial"/>
                <w:sz w:val="21"/>
              </w:rPr>
            </w:pPr>
          </w:p>
          <w:p w14:paraId="367CA45A">
            <w:pPr>
              <w:spacing w:line="267" w:lineRule="auto"/>
              <w:rPr>
                <w:rFonts w:ascii="Arial"/>
                <w:sz w:val="21"/>
              </w:rPr>
            </w:pPr>
          </w:p>
          <w:p w14:paraId="2DD3307B">
            <w:pPr>
              <w:spacing w:line="267" w:lineRule="auto"/>
              <w:rPr>
                <w:rFonts w:ascii="Arial"/>
                <w:sz w:val="21"/>
              </w:rPr>
            </w:pPr>
          </w:p>
          <w:p w14:paraId="00F4B0A6">
            <w:pPr>
              <w:pStyle w:val="6"/>
              <w:spacing w:before="65" w:line="229" w:lineRule="auto"/>
              <w:ind w:left="31"/>
              <w:rPr>
                <w:sz w:val="20"/>
                <w:szCs w:val="20"/>
              </w:rPr>
            </w:pPr>
            <w:r>
              <w:rPr>
                <w:spacing w:val="3"/>
                <w:sz w:val="20"/>
                <w:szCs w:val="20"/>
              </w:rPr>
              <w:t>硝酸</w:t>
            </w:r>
          </w:p>
        </w:tc>
        <w:tc>
          <w:tcPr>
            <w:tcW w:w="487" w:type="dxa"/>
            <w:vAlign w:val="top"/>
          </w:tcPr>
          <w:p w14:paraId="1091F5DA">
            <w:pPr>
              <w:spacing w:line="265" w:lineRule="auto"/>
              <w:rPr>
                <w:rFonts w:ascii="Arial"/>
                <w:sz w:val="21"/>
              </w:rPr>
            </w:pPr>
          </w:p>
          <w:p w14:paraId="06F9C3F0">
            <w:pPr>
              <w:spacing w:line="266" w:lineRule="auto"/>
              <w:rPr>
                <w:rFonts w:ascii="Arial"/>
                <w:sz w:val="21"/>
              </w:rPr>
            </w:pPr>
          </w:p>
          <w:p w14:paraId="29473CED">
            <w:pPr>
              <w:spacing w:line="266" w:lineRule="auto"/>
              <w:rPr>
                <w:rFonts w:ascii="Arial"/>
                <w:sz w:val="21"/>
              </w:rPr>
            </w:pPr>
          </w:p>
          <w:p w14:paraId="2F22C19B">
            <w:pPr>
              <w:spacing w:line="266" w:lineRule="auto"/>
              <w:rPr>
                <w:rFonts w:ascii="Arial"/>
                <w:sz w:val="21"/>
              </w:rPr>
            </w:pPr>
          </w:p>
          <w:p w14:paraId="146B6D40">
            <w:pPr>
              <w:spacing w:line="266" w:lineRule="auto"/>
              <w:rPr>
                <w:rFonts w:ascii="Arial"/>
                <w:sz w:val="21"/>
              </w:rPr>
            </w:pPr>
          </w:p>
          <w:p w14:paraId="31258A89">
            <w:pPr>
              <w:spacing w:line="266" w:lineRule="auto"/>
              <w:rPr>
                <w:rFonts w:ascii="Arial"/>
                <w:sz w:val="21"/>
              </w:rPr>
            </w:pPr>
          </w:p>
          <w:p w14:paraId="7A9D0F8C">
            <w:pPr>
              <w:spacing w:line="266" w:lineRule="auto"/>
              <w:rPr>
                <w:rFonts w:ascii="Arial"/>
                <w:sz w:val="21"/>
              </w:rPr>
            </w:pPr>
          </w:p>
          <w:p w14:paraId="314DCB86">
            <w:pPr>
              <w:pStyle w:val="6"/>
              <w:spacing w:before="65" w:line="250" w:lineRule="auto"/>
              <w:ind w:left="36" w:right="70" w:firstLine="114"/>
              <w:rPr>
                <w:sz w:val="20"/>
                <w:szCs w:val="20"/>
              </w:rPr>
            </w:pPr>
            <w:r>
              <w:rPr>
                <w:spacing w:val="-8"/>
                <w:sz w:val="20"/>
                <w:szCs w:val="20"/>
              </w:rPr>
              <w:t>吸</w:t>
            </w:r>
            <w:r>
              <w:rPr>
                <w:sz w:val="20"/>
                <w:szCs w:val="20"/>
              </w:rPr>
              <w:t xml:space="preserve"> </w:t>
            </w:r>
            <w:r>
              <w:rPr>
                <w:spacing w:val="-13"/>
                <w:sz w:val="20"/>
                <w:szCs w:val="20"/>
              </w:rPr>
              <w:t>入、</w:t>
            </w:r>
          </w:p>
          <w:p w14:paraId="38AD05CB">
            <w:pPr>
              <w:pStyle w:val="6"/>
              <w:spacing w:line="228" w:lineRule="auto"/>
              <w:ind w:left="37"/>
              <w:rPr>
                <w:sz w:val="20"/>
                <w:szCs w:val="20"/>
              </w:rPr>
            </w:pPr>
            <w:r>
              <w:rPr>
                <w:spacing w:val="4"/>
                <w:sz w:val="20"/>
                <w:szCs w:val="20"/>
              </w:rPr>
              <w:t>食入</w:t>
            </w:r>
          </w:p>
        </w:tc>
        <w:tc>
          <w:tcPr>
            <w:tcW w:w="3294" w:type="dxa"/>
            <w:vAlign w:val="top"/>
          </w:tcPr>
          <w:p w14:paraId="6A794D1A">
            <w:pPr>
              <w:spacing w:line="262" w:lineRule="auto"/>
              <w:rPr>
                <w:rFonts w:ascii="Arial"/>
                <w:sz w:val="21"/>
              </w:rPr>
            </w:pPr>
          </w:p>
          <w:p w14:paraId="7C09C5F5">
            <w:pPr>
              <w:spacing w:line="262" w:lineRule="auto"/>
              <w:rPr>
                <w:rFonts w:ascii="Arial"/>
                <w:sz w:val="21"/>
              </w:rPr>
            </w:pPr>
          </w:p>
          <w:p w14:paraId="423EF61F">
            <w:pPr>
              <w:spacing w:line="262" w:lineRule="auto"/>
              <w:rPr>
                <w:rFonts w:ascii="Arial"/>
                <w:sz w:val="21"/>
              </w:rPr>
            </w:pPr>
          </w:p>
          <w:p w14:paraId="49056D11">
            <w:pPr>
              <w:spacing w:line="262" w:lineRule="auto"/>
              <w:rPr>
                <w:rFonts w:ascii="Arial"/>
                <w:sz w:val="21"/>
              </w:rPr>
            </w:pPr>
          </w:p>
          <w:p w14:paraId="3BBB06AB">
            <w:pPr>
              <w:pStyle w:val="6"/>
              <w:spacing w:before="65" w:line="251" w:lineRule="auto"/>
              <w:ind w:left="60" w:firstLine="1"/>
              <w:jc w:val="both"/>
              <w:rPr>
                <w:sz w:val="20"/>
                <w:szCs w:val="20"/>
              </w:rPr>
            </w:pPr>
            <w:r>
              <w:rPr>
                <w:spacing w:val="8"/>
                <w:sz w:val="20"/>
                <w:szCs w:val="20"/>
              </w:rPr>
              <w:t>其蒸气有刺激作用，引起粘膜和上</w:t>
            </w:r>
            <w:r>
              <w:rPr>
                <w:spacing w:val="3"/>
                <w:sz w:val="20"/>
                <w:szCs w:val="20"/>
              </w:rPr>
              <w:t xml:space="preserve">  </w:t>
            </w:r>
            <w:r>
              <w:rPr>
                <w:spacing w:val="8"/>
                <w:sz w:val="20"/>
                <w:szCs w:val="20"/>
              </w:rPr>
              <w:t>呼吸道的刺激症状。如流泪、咽喉</w:t>
            </w:r>
            <w:r>
              <w:rPr>
                <w:spacing w:val="4"/>
                <w:sz w:val="20"/>
                <w:szCs w:val="20"/>
              </w:rPr>
              <w:t xml:space="preserve">  </w:t>
            </w:r>
            <w:r>
              <w:rPr>
                <w:spacing w:val="1"/>
                <w:sz w:val="20"/>
                <w:szCs w:val="20"/>
              </w:rPr>
              <w:t>刺激感、呛咳、并伴有头痛、头晕、</w:t>
            </w:r>
            <w:r>
              <w:rPr>
                <w:spacing w:val="11"/>
                <w:sz w:val="20"/>
                <w:szCs w:val="20"/>
              </w:rPr>
              <w:t xml:space="preserve"> </w:t>
            </w:r>
            <w:r>
              <w:rPr>
                <w:spacing w:val="8"/>
                <w:sz w:val="20"/>
                <w:szCs w:val="20"/>
              </w:rPr>
              <w:t>胸闷等。长期接触可引起牙齿酸蚀</w:t>
            </w:r>
            <w:r>
              <w:rPr>
                <w:spacing w:val="4"/>
                <w:sz w:val="20"/>
                <w:szCs w:val="20"/>
              </w:rPr>
              <w:t xml:space="preserve">  </w:t>
            </w:r>
            <w:r>
              <w:rPr>
                <w:spacing w:val="7"/>
                <w:sz w:val="20"/>
                <w:szCs w:val="20"/>
              </w:rPr>
              <w:t>症，皮肤接触引起灼伤。</w:t>
            </w:r>
          </w:p>
          <w:p w14:paraId="14E6F429">
            <w:pPr>
              <w:pStyle w:val="6"/>
              <w:spacing w:before="2" w:line="252" w:lineRule="auto"/>
              <w:ind w:left="59" w:firstLine="33"/>
              <w:jc w:val="both"/>
              <w:rPr>
                <w:sz w:val="20"/>
                <w:szCs w:val="20"/>
              </w:rPr>
            </w:pPr>
            <w:r>
              <w:rPr>
                <w:spacing w:val="6"/>
                <w:sz w:val="20"/>
                <w:szCs w:val="20"/>
              </w:rPr>
              <w:t>口服硝酸，引起上消化道剧痛、烧</w:t>
            </w:r>
            <w:r>
              <w:rPr>
                <w:spacing w:val="2"/>
                <w:sz w:val="20"/>
                <w:szCs w:val="20"/>
              </w:rPr>
              <w:t xml:space="preserve">  </w:t>
            </w:r>
            <w:r>
              <w:rPr>
                <w:spacing w:val="8"/>
                <w:sz w:val="20"/>
                <w:szCs w:val="20"/>
              </w:rPr>
              <w:t>灼伤以至形成溃疡；严重者可能有</w:t>
            </w:r>
            <w:r>
              <w:rPr>
                <w:spacing w:val="4"/>
                <w:sz w:val="20"/>
                <w:szCs w:val="20"/>
              </w:rPr>
              <w:t xml:space="preserve">  </w:t>
            </w:r>
            <w:r>
              <w:rPr>
                <w:spacing w:val="1"/>
                <w:sz w:val="20"/>
                <w:szCs w:val="20"/>
              </w:rPr>
              <w:t>胃穿孔、腹膜炎、喉痉挛、肾损害、</w:t>
            </w:r>
            <w:r>
              <w:rPr>
                <w:spacing w:val="12"/>
                <w:sz w:val="20"/>
                <w:szCs w:val="20"/>
              </w:rPr>
              <w:t xml:space="preserve"> </w:t>
            </w:r>
            <w:r>
              <w:rPr>
                <w:spacing w:val="7"/>
                <w:sz w:val="20"/>
                <w:szCs w:val="20"/>
              </w:rPr>
              <w:t>休克以至窒息等。</w:t>
            </w:r>
          </w:p>
        </w:tc>
        <w:tc>
          <w:tcPr>
            <w:tcW w:w="4171" w:type="dxa"/>
            <w:vAlign w:val="top"/>
          </w:tcPr>
          <w:p w14:paraId="1DF6161F">
            <w:pPr>
              <w:pStyle w:val="6"/>
              <w:spacing w:before="31" w:line="228" w:lineRule="auto"/>
              <w:ind w:left="66"/>
              <w:rPr>
                <w:sz w:val="20"/>
                <w:szCs w:val="20"/>
              </w:rPr>
            </w:pPr>
            <w:r>
              <w:rPr>
                <w:spacing w:val="7"/>
                <w:sz w:val="20"/>
                <w:szCs w:val="20"/>
              </w:rPr>
              <w:t>毒性：属高毒类。</w:t>
            </w:r>
          </w:p>
          <w:p w14:paraId="53D28C2E">
            <w:pPr>
              <w:pStyle w:val="6"/>
              <w:spacing w:before="29" w:line="251" w:lineRule="auto"/>
              <w:ind w:left="64" w:firstLine="1"/>
              <w:rPr>
                <w:sz w:val="20"/>
                <w:szCs w:val="20"/>
              </w:rPr>
            </w:pPr>
            <w:r>
              <w:rPr>
                <w:spacing w:val="4"/>
                <w:sz w:val="20"/>
                <w:szCs w:val="20"/>
              </w:rPr>
              <w:t>硝酸盐的工业污染来自肥料生产、有机合成、</w:t>
            </w:r>
            <w:r>
              <w:rPr>
                <w:spacing w:val="18"/>
                <w:sz w:val="20"/>
                <w:szCs w:val="20"/>
              </w:rPr>
              <w:t xml:space="preserve"> </w:t>
            </w:r>
            <w:r>
              <w:rPr>
                <w:spacing w:val="4"/>
                <w:sz w:val="20"/>
                <w:szCs w:val="20"/>
              </w:rPr>
              <w:t>炸药等工业污水。水体中氮的浓度为</w:t>
            </w:r>
            <w:r>
              <w:rPr>
                <w:spacing w:val="-38"/>
                <w:sz w:val="20"/>
                <w:szCs w:val="20"/>
              </w:rPr>
              <w:t xml:space="preserve"> </w:t>
            </w:r>
            <w:r>
              <w:rPr>
                <w:rFonts w:ascii="Times New Roman" w:hAnsi="Times New Roman" w:eastAsia="Times New Roman" w:cs="Times New Roman"/>
                <w:spacing w:val="4"/>
                <w:sz w:val="20"/>
                <w:szCs w:val="20"/>
              </w:rPr>
              <w:t>0.3</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r>
              <w:rPr>
                <w:rFonts w:ascii="Times New Roman" w:hAnsi="Times New Roman" w:eastAsia="Times New Roman" w:cs="Times New Roman"/>
                <w:sz w:val="20"/>
                <w:szCs w:val="20"/>
              </w:rPr>
              <w:t xml:space="preserve">  </w:t>
            </w:r>
            <w:r>
              <w:rPr>
                <w:spacing w:val="8"/>
                <w:sz w:val="20"/>
                <w:szCs w:val="20"/>
              </w:rPr>
              <w:t>时会明显促进和加速浮游植物</w:t>
            </w:r>
            <w:r>
              <w:rPr>
                <w:rFonts w:ascii="Times New Roman" w:hAnsi="Times New Roman" w:eastAsia="Times New Roman" w:cs="Times New Roman"/>
                <w:spacing w:val="8"/>
                <w:sz w:val="20"/>
                <w:szCs w:val="20"/>
              </w:rPr>
              <w:t>(</w:t>
            </w:r>
            <w:r>
              <w:rPr>
                <w:spacing w:val="8"/>
                <w:sz w:val="20"/>
                <w:szCs w:val="20"/>
              </w:rPr>
              <w:t>主要是藻类</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 xml:space="preserve">     </w:t>
            </w:r>
            <w:r>
              <w:rPr>
                <w:spacing w:val="5"/>
                <w:sz w:val="20"/>
                <w:szCs w:val="20"/>
              </w:rPr>
              <w:t>的增殖生长。它一方面消耗水中大量溶解氧，</w:t>
            </w:r>
            <w:r>
              <w:rPr>
                <w:sz w:val="20"/>
                <w:szCs w:val="20"/>
              </w:rPr>
              <w:t xml:space="preserve"> </w:t>
            </w:r>
            <w:r>
              <w:rPr>
                <w:spacing w:val="8"/>
                <w:sz w:val="20"/>
                <w:szCs w:val="20"/>
              </w:rPr>
              <w:t>使水生生物呼吸困难，造成鱼类和其他水生</w:t>
            </w:r>
            <w:r>
              <w:rPr>
                <w:spacing w:val="7"/>
                <w:sz w:val="20"/>
                <w:szCs w:val="20"/>
              </w:rPr>
              <w:t xml:space="preserve">  </w:t>
            </w:r>
            <w:r>
              <w:rPr>
                <w:spacing w:val="8"/>
                <w:sz w:val="20"/>
                <w:szCs w:val="20"/>
              </w:rPr>
              <w:t>生物因缺氧而死亡，水质变得黑臭；另一方</w:t>
            </w:r>
            <w:r>
              <w:rPr>
                <w:spacing w:val="7"/>
                <w:sz w:val="20"/>
                <w:szCs w:val="20"/>
              </w:rPr>
              <w:t xml:space="preserve">  </w:t>
            </w:r>
            <w:r>
              <w:rPr>
                <w:spacing w:val="8"/>
                <w:sz w:val="20"/>
                <w:szCs w:val="20"/>
              </w:rPr>
              <w:t>面，浮游植物毒素积蓄到临界浓度，也会对</w:t>
            </w:r>
            <w:r>
              <w:rPr>
                <w:spacing w:val="7"/>
                <w:sz w:val="20"/>
                <w:szCs w:val="20"/>
              </w:rPr>
              <w:t xml:space="preserve">  </w:t>
            </w:r>
            <w:r>
              <w:rPr>
                <w:spacing w:val="8"/>
                <w:sz w:val="20"/>
                <w:szCs w:val="20"/>
              </w:rPr>
              <w:t>人体产生危害。在硅、磷及微量元素的联合</w:t>
            </w:r>
            <w:r>
              <w:rPr>
                <w:spacing w:val="7"/>
                <w:sz w:val="20"/>
                <w:szCs w:val="20"/>
              </w:rPr>
              <w:t xml:space="preserve">  </w:t>
            </w:r>
            <w:r>
              <w:rPr>
                <w:spacing w:val="8"/>
                <w:sz w:val="20"/>
                <w:szCs w:val="20"/>
              </w:rPr>
              <w:t>作用下，水体的</w:t>
            </w:r>
            <w:r>
              <w:rPr>
                <w:rFonts w:ascii="Times New Roman" w:hAnsi="Times New Roman" w:eastAsia="Times New Roman" w:cs="Times New Roman"/>
                <w:spacing w:val="8"/>
                <w:sz w:val="20"/>
                <w:szCs w:val="20"/>
              </w:rPr>
              <w:t>“</w:t>
            </w:r>
            <w:r>
              <w:rPr>
                <w:spacing w:val="8"/>
                <w:sz w:val="20"/>
                <w:szCs w:val="20"/>
              </w:rPr>
              <w:t>富营养化</w:t>
            </w:r>
            <w:r>
              <w:rPr>
                <w:rFonts w:ascii="Times New Roman" w:hAnsi="Times New Roman" w:eastAsia="Times New Roman" w:cs="Times New Roman"/>
                <w:spacing w:val="8"/>
                <w:sz w:val="20"/>
                <w:szCs w:val="20"/>
              </w:rPr>
              <w:t>”</w:t>
            </w:r>
            <w:r>
              <w:rPr>
                <w:spacing w:val="8"/>
                <w:sz w:val="20"/>
                <w:szCs w:val="20"/>
              </w:rPr>
              <w:t>现象更甚，可发</w:t>
            </w:r>
            <w:r>
              <w:rPr>
                <w:spacing w:val="2"/>
                <w:sz w:val="20"/>
                <w:szCs w:val="20"/>
              </w:rPr>
              <w:t xml:space="preserve">  </w:t>
            </w:r>
            <w:r>
              <w:rPr>
                <w:spacing w:val="3"/>
                <w:sz w:val="20"/>
                <w:szCs w:val="20"/>
              </w:rPr>
              <w:t>生</w:t>
            </w:r>
            <w:r>
              <w:rPr>
                <w:rFonts w:ascii="Times New Roman" w:hAnsi="Times New Roman" w:eastAsia="Times New Roman" w:cs="Times New Roman"/>
                <w:spacing w:val="3"/>
                <w:sz w:val="20"/>
                <w:szCs w:val="20"/>
              </w:rPr>
              <w:t>“</w:t>
            </w:r>
            <w:r>
              <w:rPr>
                <w:spacing w:val="3"/>
                <w:sz w:val="20"/>
                <w:szCs w:val="20"/>
              </w:rPr>
              <w:t>水华</w:t>
            </w:r>
            <w:r>
              <w:rPr>
                <w:rFonts w:ascii="Times New Roman" w:hAnsi="Times New Roman" w:eastAsia="Times New Roman" w:cs="Times New Roman"/>
                <w:spacing w:val="3"/>
                <w:sz w:val="20"/>
                <w:szCs w:val="20"/>
              </w:rPr>
              <w:t>”</w:t>
            </w:r>
            <w:r>
              <w:rPr>
                <w:spacing w:val="3"/>
                <w:sz w:val="20"/>
                <w:szCs w:val="20"/>
              </w:rPr>
              <w:t>或</w:t>
            </w:r>
            <w:r>
              <w:rPr>
                <w:rFonts w:ascii="Times New Roman" w:hAnsi="Times New Roman" w:eastAsia="Times New Roman" w:cs="Times New Roman"/>
                <w:spacing w:val="3"/>
                <w:sz w:val="20"/>
                <w:szCs w:val="20"/>
              </w:rPr>
              <w:t>“</w:t>
            </w:r>
            <w:r>
              <w:rPr>
                <w:spacing w:val="3"/>
                <w:sz w:val="20"/>
                <w:szCs w:val="20"/>
              </w:rPr>
              <w:t>赤潮</w:t>
            </w:r>
            <w:r>
              <w:rPr>
                <w:rFonts w:ascii="Times New Roman" w:hAnsi="Times New Roman" w:eastAsia="Times New Roman" w:cs="Times New Roman"/>
                <w:spacing w:val="3"/>
                <w:sz w:val="20"/>
                <w:szCs w:val="20"/>
              </w:rPr>
              <w:t>”</w:t>
            </w:r>
            <w:r>
              <w:rPr>
                <w:spacing w:val="3"/>
                <w:sz w:val="20"/>
                <w:szCs w:val="20"/>
              </w:rPr>
              <w:t>现象。对人、畜饮水、水产</w:t>
            </w:r>
            <w:r>
              <w:rPr>
                <w:spacing w:val="5"/>
                <w:sz w:val="20"/>
                <w:szCs w:val="20"/>
              </w:rPr>
              <w:t xml:space="preserve"> 养殖、食品生产等方面元气会带来严重问题。</w:t>
            </w:r>
            <w:r>
              <w:rPr>
                <w:sz w:val="20"/>
                <w:szCs w:val="20"/>
              </w:rPr>
              <w:t xml:space="preserve"> </w:t>
            </w:r>
            <w:r>
              <w:rPr>
                <w:spacing w:val="8"/>
                <w:sz w:val="20"/>
                <w:szCs w:val="20"/>
              </w:rPr>
              <w:t>危险特性：具有强氧化性。与易燃物</w:t>
            </w:r>
            <w:r>
              <w:rPr>
                <w:rFonts w:ascii="Times New Roman" w:hAnsi="Times New Roman" w:eastAsia="Times New Roman" w:cs="Times New Roman"/>
                <w:spacing w:val="8"/>
                <w:sz w:val="20"/>
                <w:szCs w:val="20"/>
              </w:rPr>
              <w:t>(</w:t>
            </w:r>
            <w:r>
              <w:rPr>
                <w:spacing w:val="8"/>
                <w:sz w:val="20"/>
                <w:szCs w:val="20"/>
              </w:rPr>
              <w:t>如苯</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 xml:space="preserve">     </w:t>
            </w:r>
            <w:r>
              <w:rPr>
                <w:spacing w:val="4"/>
                <w:sz w:val="20"/>
                <w:szCs w:val="20"/>
              </w:rPr>
              <w:t>和有机物</w:t>
            </w:r>
            <w:r>
              <w:rPr>
                <w:rFonts w:ascii="Times New Roman" w:hAnsi="Times New Roman" w:eastAsia="Times New Roman" w:cs="Times New Roman"/>
                <w:spacing w:val="4"/>
                <w:sz w:val="20"/>
                <w:szCs w:val="20"/>
              </w:rPr>
              <w:t>(</w:t>
            </w:r>
            <w:r>
              <w:rPr>
                <w:spacing w:val="4"/>
                <w:sz w:val="20"/>
                <w:szCs w:val="20"/>
              </w:rPr>
              <w:t>如糖、纤维素等</w:t>
            </w:r>
            <w:r>
              <w:rPr>
                <w:rFonts w:ascii="Times New Roman" w:hAnsi="Times New Roman" w:eastAsia="Times New Roman" w:cs="Times New Roman"/>
                <w:spacing w:val="4"/>
                <w:sz w:val="20"/>
                <w:szCs w:val="20"/>
              </w:rPr>
              <w:t>)</w:t>
            </w:r>
            <w:r>
              <w:rPr>
                <w:spacing w:val="4"/>
                <w:sz w:val="20"/>
                <w:szCs w:val="20"/>
              </w:rPr>
              <w:t>接触会发生剧烈反</w:t>
            </w:r>
            <w:r>
              <w:rPr>
                <w:spacing w:val="9"/>
                <w:sz w:val="20"/>
                <w:szCs w:val="20"/>
              </w:rPr>
              <w:t xml:space="preserve"> </w:t>
            </w:r>
            <w:r>
              <w:rPr>
                <w:spacing w:val="8"/>
                <w:sz w:val="20"/>
                <w:szCs w:val="20"/>
              </w:rPr>
              <w:t>应，甚至引起燃烧。与碱金属能发生剧烈反</w:t>
            </w:r>
            <w:r>
              <w:rPr>
                <w:spacing w:val="7"/>
                <w:sz w:val="20"/>
                <w:szCs w:val="20"/>
              </w:rPr>
              <w:t xml:space="preserve">  应。具有强腐蚀性。</w:t>
            </w:r>
          </w:p>
          <w:p w14:paraId="65FC6F45">
            <w:pPr>
              <w:pStyle w:val="6"/>
              <w:spacing w:before="1" w:line="217" w:lineRule="auto"/>
              <w:ind w:left="65"/>
              <w:rPr>
                <w:sz w:val="20"/>
                <w:szCs w:val="20"/>
              </w:rPr>
            </w:pPr>
            <w:r>
              <w:rPr>
                <w:spacing w:val="7"/>
                <w:sz w:val="20"/>
                <w:szCs w:val="20"/>
              </w:rPr>
              <w:t>燃烧</w:t>
            </w:r>
            <w:r>
              <w:rPr>
                <w:rFonts w:ascii="Times New Roman" w:hAnsi="Times New Roman" w:eastAsia="Times New Roman" w:cs="Times New Roman"/>
                <w:spacing w:val="7"/>
                <w:sz w:val="20"/>
                <w:szCs w:val="20"/>
              </w:rPr>
              <w:t>(</w:t>
            </w:r>
            <w:r>
              <w:rPr>
                <w:spacing w:val="7"/>
                <w:sz w:val="20"/>
                <w:szCs w:val="20"/>
              </w:rPr>
              <w:t>分解</w:t>
            </w:r>
            <w:r>
              <w:rPr>
                <w:rFonts w:ascii="Times New Roman" w:hAnsi="Times New Roman" w:eastAsia="Times New Roman" w:cs="Times New Roman"/>
                <w:spacing w:val="7"/>
                <w:sz w:val="20"/>
                <w:szCs w:val="20"/>
              </w:rPr>
              <w:t>)</w:t>
            </w:r>
            <w:r>
              <w:rPr>
                <w:spacing w:val="7"/>
                <w:sz w:val="20"/>
                <w:szCs w:val="20"/>
              </w:rPr>
              <w:t>产物：氧化氮。</w:t>
            </w:r>
          </w:p>
        </w:tc>
      </w:tr>
      <w:tr w14:paraId="255BF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68" w:type="dxa"/>
            <w:vAlign w:val="top"/>
          </w:tcPr>
          <w:p w14:paraId="65D70F8C">
            <w:pPr>
              <w:spacing w:line="277" w:lineRule="auto"/>
              <w:rPr>
                <w:rFonts w:ascii="Arial"/>
                <w:sz w:val="21"/>
              </w:rPr>
            </w:pPr>
          </w:p>
          <w:p w14:paraId="5D413F5E">
            <w:pPr>
              <w:spacing w:line="278" w:lineRule="auto"/>
              <w:rPr>
                <w:rFonts w:ascii="Arial"/>
                <w:sz w:val="21"/>
              </w:rPr>
            </w:pPr>
          </w:p>
          <w:p w14:paraId="19502A12">
            <w:pPr>
              <w:spacing w:before="57" w:line="192"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5" w:type="dxa"/>
            <w:vAlign w:val="top"/>
          </w:tcPr>
          <w:p w14:paraId="6D30C9E0">
            <w:pPr>
              <w:spacing w:line="373" w:lineRule="auto"/>
              <w:rPr>
                <w:rFonts w:ascii="Arial"/>
                <w:sz w:val="21"/>
              </w:rPr>
            </w:pPr>
          </w:p>
          <w:p w14:paraId="5E22B81A">
            <w:pPr>
              <w:pStyle w:val="6"/>
              <w:spacing w:before="65" w:line="227" w:lineRule="auto"/>
              <w:ind w:left="29"/>
              <w:rPr>
                <w:sz w:val="20"/>
                <w:szCs w:val="20"/>
              </w:rPr>
            </w:pPr>
            <w:r>
              <w:rPr>
                <w:spacing w:val="4"/>
                <w:sz w:val="20"/>
                <w:szCs w:val="20"/>
              </w:rPr>
              <w:t>氢氧</w:t>
            </w:r>
          </w:p>
          <w:p w14:paraId="1D0EABC6">
            <w:pPr>
              <w:pStyle w:val="6"/>
              <w:spacing w:before="27" w:line="229" w:lineRule="auto"/>
              <w:ind w:left="30"/>
              <w:rPr>
                <w:sz w:val="20"/>
                <w:szCs w:val="20"/>
              </w:rPr>
            </w:pPr>
            <w:r>
              <w:rPr>
                <w:spacing w:val="4"/>
                <w:sz w:val="20"/>
                <w:szCs w:val="20"/>
              </w:rPr>
              <w:t>化钠</w:t>
            </w:r>
          </w:p>
        </w:tc>
        <w:tc>
          <w:tcPr>
            <w:tcW w:w="487" w:type="dxa"/>
            <w:vAlign w:val="top"/>
          </w:tcPr>
          <w:p w14:paraId="132BECD5">
            <w:pPr>
              <w:pStyle w:val="6"/>
              <w:spacing w:before="304" w:line="251" w:lineRule="auto"/>
              <w:ind w:left="36" w:right="70" w:firstLine="114"/>
              <w:rPr>
                <w:sz w:val="20"/>
                <w:szCs w:val="20"/>
              </w:rPr>
            </w:pPr>
            <w:r>
              <w:rPr>
                <w:spacing w:val="-8"/>
                <w:sz w:val="20"/>
                <w:szCs w:val="20"/>
              </w:rPr>
              <w:t>吸</w:t>
            </w:r>
            <w:r>
              <w:rPr>
                <w:sz w:val="20"/>
                <w:szCs w:val="20"/>
              </w:rPr>
              <w:t xml:space="preserve"> </w:t>
            </w:r>
            <w:r>
              <w:rPr>
                <w:spacing w:val="-13"/>
                <w:sz w:val="20"/>
                <w:szCs w:val="20"/>
              </w:rPr>
              <w:t>入、</w:t>
            </w:r>
          </w:p>
          <w:p w14:paraId="6822F085">
            <w:pPr>
              <w:pStyle w:val="6"/>
              <w:spacing w:line="228" w:lineRule="auto"/>
              <w:ind w:left="37"/>
              <w:rPr>
                <w:sz w:val="20"/>
                <w:szCs w:val="20"/>
              </w:rPr>
            </w:pPr>
            <w:r>
              <w:rPr>
                <w:spacing w:val="4"/>
                <w:sz w:val="20"/>
                <w:szCs w:val="20"/>
              </w:rPr>
              <w:t>食入</w:t>
            </w:r>
          </w:p>
        </w:tc>
        <w:tc>
          <w:tcPr>
            <w:tcW w:w="3294" w:type="dxa"/>
            <w:vAlign w:val="top"/>
          </w:tcPr>
          <w:p w14:paraId="089B3439">
            <w:pPr>
              <w:pStyle w:val="6"/>
              <w:spacing w:before="33" w:line="244" w:lineRule="auto"/>
              <w:ind w:left="61" w:right="5"/>
              <w:rPr>
                <w:sz w:val="20"/>
                <w:szCs w:val="20"/>
              </w:rPr>
            </w:pPr>
            <w:r>
              <w:rPr>
                <w:spacing w:val="9"/>
                <w:sz w:val="20"/>
                <w:szCs w:val="20"/>
              </w:rPr>
              <w:t>本品有强烈刺激和腐蚀性。粉尘或</w:t>
            </w:r>
            <w:r>
              <w:rPr>
                <w:spacing w:val="1"/>
                <w:sz w:val="20"/>
                <w:szCs w:val="20"/>
              </w:rPr>
              <w:t xml:space="preserve">  烟雾刺激眼和呼吸道，腐蚀鼻中隔；</w:t>
            </w:r>
            <w:r>
              <w:rPr>
                <w:spacing w:val="4"/>
                <w:sz w:val="20"/>
                <w:szCs w:val="20"/>
              </w:rPr>
              <w:t xml:space="preserve"> </w:t>
            </w:r>
            <w:r>
              <w:rPr>
                <w:spacing w:val="9"/>
                <w:sz w:val="20"/>
                <w:szCs w:val="20"/>
              </w:rPr>
              <w:t>皮肤和眼直接接触可引起灼伤；误</w:t>
            </w:r>
            <w:r>
              <w:rPr>
                <w:spacing w:val="2"/>
                <w:sz w:val="20"/>
                <w:szCs w:val="20"/>
              </w:rPr>
              <w:t xml:space="preserve">  </w:t>
            </w:r>
            <w:r>
              <w:rPr>
                <w:spacing w:val="10"/>
                <w:sz w:val="20"/>
                <w:szCs w:val="20"/>
              </w:rPr>
              <w:t>服可造成消化道灼伤，粘膜糜烂、</w:t>
            </w:r>
            <w:r>
              <w:rPr>
                <w:spacing w:val="3"/>
                <w:sz w:val="20"/>
                <w:szCs w:val="20"/>
              </w:rPr>
              <w:t xml:space="preserve"> </w:t>
            </w:r>
            <w:r>
              <w:rPr>
                <w:spacing w:val="6"/>
                <w:sz w:val="20"/>
                <w:szCs w:val="20"/>
              </w:rPr>
              <w:t>出血和休克。</w:t>
            </w:r>
          </w:p>
        </w:tc>
        <w:tc>
          <w:tcPr>
            <w:tcW w:w="4171" w:type="dxa"/>
            <w:vAlign w:val="top"/>
          </w:tcPr>
          <w:p w14:paraId="369588D0">
            <w:pPr>
              <w:pStyle w:val="6"/>
              <w:spacing w:before="169" w:line="251" w:lineRule="auto"/>
              <w:ind w:left="64" w:right="120" w:firstLine="2"/>
              <w:rPr>
                <w:sz w:val="20"/>
                <w:szCs w:val="20"/>
              </w:rPr>
            </w:pPr>
            <w:r>
              <w:rPr>
                <w:spacing w:val="9"/>
                <w:sz w:val="20"/>
                <w:szCs w:val="20"/>
              </w:rPr>
              <w:t>危险特性：本品不会燃烧，遇水和水蒸气大</w:t>
            </w:r>
            <w:r>
              <w:rPr>
                <w:spacing w:val="6"/>
                <w:sz w:val="20"/>
                <w:szCs w:val="20"/>
              </w:rPr>
              <w:t xml:space="preserve"> </w:t>
            </w:r>
            <w:r>
              <w:rPr>
                <w:spacing w:val="9"/>
                <w:sz w:val="20"/>
                <w:szCs w:val="20"/>
              </w:rPr>
              <w:t>量放热，形成腐蚀性溶液。与酸发生中和反</w:t>
            </w:r>
            <w:r>
              <w:rPr>
                <w:spacing w:val="8"/>
                <w:sz w:val="20"/>
                <w:szCs w:val="20"/>
              </w:rPr>
              <w:t xml:space="preserve"> 应并放热。具有强腐蚀性。</w:t>
            </w:r>
          </w:p>
          <w:p w14:paraId="16F23172">
            <w:pPr>
              <w:pStyle w:val="6"/>
              <w:spacing w:line="226" w:lineRule="auto"/>
              <w:ind w:left="65"/>
              <w:rPr>
                <w:sz w:val="20"/>
                <w:szCs w:val="20"/>
              </w:rPr>
            </w:pPr>
            <w:r>
              <w:rPr>
                <w:spacing w:val="8"/>
                <w:sz w:val="20"/>
                <w:szCs w:val="20"/>
              </w:rPr>
              <w:t>有害燃烧产物：可能产生有害的毒性烟雾。</w:t>
            </w:r>
          </w:p>
        </w:tc>
      </w:tr>
      <w:tr w14:paraId="359B3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9" w:hRule="atLeast"/>
        </w:trPr>
        <w:tc>
          <w:tcPr>
            <w:tcW w:w="468" w:type="dxa"/>
            <w:vAlign w:val="top"/>
          </w:tcPr>
          <w:p w14:paraId="105CCBD9">
            <w:pPr>
              <w:spacing w:line="253" w:lineRule="auto"/>
              <w:rPr>
                <w:rFonts w:ascii="Arial"/>
                <w:sz w:val="21"/>
              </w:rPr>
            </w:pPr>
          </w:p>
          <w:p w14:paraId="3B6F30F3">
            <w:pPr>
              <w:spacing w:line="253" w:lineRule="auto"/>
              <w:rPr>
                <w:rFonts w:ascii="Arial"/>
                <w:sz w:val="21"/>
              </w:rPr>
            </w:pPr>
          </w:p>
          <w:p w14:paraId="3337AF8B">
            <w:pPr>
              <w:spacing w:line="253" w:lineRule="auto"/>
              <w:rPr>
                <w:rFonts w:ascii="Arial"/>
                <w:sz w:val="21"/>
              </w:rPr>
            </w:pPr>
          </w:p>
          <w:p w14:paraId="6B6571C7">
            <w:pPr>
              <w:spacing w:line="253" w:lineRule="auto"/>
              <w:rPr>
                <w:rFonts w:ascii="Arial"/>
                <w:sz w:val="21"/>
              </w:rPr>
            </w:pPr>
          </w:p>
          <w:p w14:paraId="6811EE4B">
            <w:pPr>
              <w:spacing w:line="253" w:lineRule="auto"/>
              <w:rPr>
                <w:rFonts w:ascii="Arial"/>
                <w:sz w:val="21"/>
              </w:rPr>
            </w:pPr>
          </w:p>
          <w:p w14:paraId="4D393134">
            <w:pPr>
              <w:spacing w:line="253" w:lineRule="auto"/>
              <w:rPr>
                <w:rFonts w:ascii="Arial"/>
                <w:sz w:val="21"/>
              </w:rPr>
            </w:pPr>
          </w:p>
          <w:p w14:paraId="3EB8D359">
            <w:pPr>
              <w:spacing w:line="253" w:lineRule="auto"/>
              <w:rPr>
                <w:rFonts w:ascii="Arial"/>
                <w:sz w:val="21"/>
              </w:rPr>
            </w:pPr>
          </w:p>
          <w:p w14:paraId="03B5EE81">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75" w:type="dxa"/>
            <w:vAlign w:val="top"/>
          </w:tcPr>
          <w:p w14:paraId="554EFD56">
            <w:pPr>
              <w:spacing w:line="246" w:lineRule="auto"/>
              <w:rPr>
                <w:rFonts w:ascii="Arial"/>
                <w:sz w:val="21"/>
              </w:rPr>
            </w:pPr>
          </w:p>
          <w:p w14:paraId="35677917">
            <w:pPr>
              <w:spacing w:line="247" w:lineRule="auto"/>
              <w:rPr>
                <w:rFonts w:ascii="Arial"/>
                <w:sz w:val="21"/>
              </w:rPr>
            </w:pPr>
          </w:p>
          <w:p w14:paraId="337D6BFC">
            <w:pPr>
              <w:spacing w:line="247" w:lineRule="auto"/>
              <w:rPr>
                <w:rFonts w:ascii="Arial"/>
                <w:sz w:val="21"/>
              </w:rPr>
            </w:pPr>
          </w:p>
          <w:p w14:paraId="76005FCE">
            <w:pPr>
              <w:spacing w:line="247" w:lineRule="auto"/>
              <w:rPr>
                <w:rFonts w:ascii="Arial"/>
                <w:sz w:val="21"/>
              </w:rPr>
            </w:pPr>
          </w:p>
          <w:p w14:paraId="34E22D4C">
            <w:pPr>
              <w:spacing w:line="247" w:lineRule="auto"/>
              <w:rPr>
                <w:rFonts w:ascii="Arial"/>
                <w:sz w:val="21"/>
              </w:rPr>
            </w:pPr>
          </w:p>
          <w:p w14:paraId="136BF4AA">
            <w:pPr>
              <w:spacing w:line="247" w:lineRule="auto"/>
              <w:rPr>
                <w:rFonts w:ascii="Arial"/>
                <w:sz w:val="21"/>
              </w:rPr>
            </w:pPr>
          </w:p>
          <w:p w14:paraId="52DB7A5A">
            <w:pPr>
              <w:spacing w:line="247" w:lineRule="auto"/>
              <w:rPr>
                <w:rFonts w:ascii="Arial"/>
                <w:sz w:val="21"/>
              </w:rPr>
            </w:pPr>
          </w:p>
          <w:p w14:paraId="64D1224C">
            <w:pPr>
              <w:pStyle w:val="6"/>
              <w:spacing w:before="66" w:line="228" w:lineRule="auto"/>
              <w:ind w:left="50"/>
              <w:rPr>
                <w:sz w:val="20"/>
                <w:szCs w:val="20"/>
              </w:rPr>
            </w:pPr>
            <w:r>
              <w:rPr>
                <w:spacing w:val="-6"/>
                <w:sz w:val="20"/>
                <w:szCs w:val="20"/>
              </w:rPr>
              <w:t>乙醇</w:t>
            </w:r>
          </w:p>
        </w:tc>
        <w:tc>
          <w:tcPr>
            <w:tcW w:w="487" w:type="dxa"/>
            <w:vAlign w:val="top"/>
          </w:tcPr>
          <w:p w14:paraId="6557ECE7">
            <w:pPr>
              <w:spacing w:line="264" w:lineRule="auto"/>
              <w:rPr>
                <w:rFonts w:ascii="Arial"/>
                <w:sz w:val="21"/>
              </w:rPr>
            </w:pPr>
          </w:p>
          <w:p w14:paraId="4F4628F9">
            <w:pPr>
              <w:spacing w:line="264" w:lineRule="auto"/>
              <w:rPr>
                <w:rFonts w:ascii="Arial"/>
                <w:sz w:val="21"/>
              </w:rPr>
            </w:pPr>
          </w:p>
          <w:p w14:paraId="755DAE10">
            <w:pPr>
              <w:spacing w:line="265" w:lineRule="auto"/>
              <w:rPr>
                <w:rFonts w:ascii="Arial"/>
                <w:sz w:val="21"/>
              </w:rPr>
            </w:pPr>
          </w:p>
          <w:p w14:paraId="3C985750">
            <w:pPr>
              <w:spacing w:line="265" w:lineRule="auto"/>
              <w:rPr>
                <w:rFonts w:ascii="Arial"/>
                <w:sz w:val="21"/>
              </w:rPr>
            </w:pPr>
          </w:p>
          <w:p w14:paraId="1A4D752F">
            <w:pPr>
              <w:spacing w:line="265" w:lineRule="auto"/>
              <w:rPr>
                <w:rFonts w:ascii="Arial"/>
                <w:sz w:val="21"/>
              </w:rPr>
            </w:pPr>
          </w:p>
          <w:p w14:paraId="6BF03688">
            <w:pPr>
              <w:pStyle w:val="6"/>
              <w:spacing w:before="65" w:line="228" w:lineRule="auto"/>
              <w:ind w:left="45"/>
              <w:rPr>
                <w:sz w:val="20"/>
                <w:szCs w:val="20"/>
              </w:rPr>
            </w:pPr>
            <w:r>
              <w:rPr>
                <w:sz w:val="20"/>
                <w:szCs w:val="20"/>
              </w:rPr>
              <w:t>吸入</w:t>
            </w:r>
          </w:p>
          <w:p w14:paraId="44428D33">
            <w:pPr>
              <w:pStyle w:val="6"/>
              <w:spacing w:before="24" w:line="228" w:lineRule="auto"/>
              <w:ind w:left="37"/>
              <w:rPr>
                <w:sz w:val="20"/>
                <w:szCs w:val="20"/>
              </w:rPr>
            </w:pPr>
            <w:r>
              <w:rPr>
                <w:spacing w:val="4"/>
                <w:sz w:val="20"/>
                <w:szCs w:val="20"/>
              </w:rPr>
              <w:t>食入</w:t>
            </w:r>
          </w:p>
          <w:p w14:paraId="1031938C">
            <w:pPr>
              <w:pStyle w:val="6"/>
              <w:spacing w:before="26" w:line="228" w:lineRule="auto"/>
              <w:ind w:left="38"/>
              <w:rPr>
                <w:sz w:val="20"/>
                <w:szCs w:val="20"/>
              </w:rPr>
            </w:pPr>
            <w:r>
              <w:rPr>
                <w:spacing w:val="3"/>
                <w:sz w:val="20"/>
                <w:szCs w:val="20"/>
              </w:rPr>
              <w:t>经皮</w:t>
            </w:r>
          </w:p>
          <w:p w14:paraId="6DDB94B5">
            <w:pPr>
              <w:pStyle w:val="6"/>
              <w:spacing w:before="23" w:line="228" w:lineRule="auto"/>
              <w:ind w:left="45"/>
              <w:rPr>
                <w:sz w:val="20"/>
                <w:szCs w:val="20"/>
              </w:rPr>
            </w:pPr>
            <w:r>
              <w:rPr>
                <w:sz w:val="20"/>
                <w:szCs w:val="20"/>
              </w:rPr>
              <w:t>吸收</w:t>
            </w:r>
          </w:p>
        </w:tc>
        <w:tc>
          <w:tcPr>
            <w:tcW w:w="3294" w:type="dxa"/>
            <w:vAlign w:val="top"/>
          </w:tcPr>
          <w:p w14:paraId="0F07AAA0">
            <w:pPr>
              <w:pStyle w:val="6"/>
              <w:spacing w:before="32" w:line="249" w:lineRule="auto"/>
              <w:ind w:left="59" w:firstLine="2"/>
              <w:rPr>
                <w:sz w:val="20"/>
                <w:szCs w:val="20"/>
              </w:rPr>
            </w:pPr>
            <w:r>
              <w:rPr>
                <w:spacing w:val="8"/>
                <w:sz w:val="20"/>
                <w:szCs w:val="20"/>
              </w:rPr>
              <w:t>本品为中枢神经系统抑制剂。首先</w:t>
            </w:r>
            <w:r>
              <w:rPr>
                <w:spacing w:val="3"/>
                <w:sz w:val="20"/>
                <w:szCs w:val="20"/>
              </w:rPr>
              <w:t xml:space="preserve">  </w:t>
            </w:r>
            <w:r>
              <w:rPr>
                <w:spacing w:val="7"/>
                <w:sz w:val="20"/>
                <w:szCs w:val="20"/>
              </w:rPr>
              <w:t>引起兴奋，随后抑制。急性中毒：</w:t>
            </w:r>
            <w:r>
              <w:rPr>
                <w:spacing w:val="6"/>
                <w:sz w:val="20"/>
                <w:szCs w:val="20"/>
              </w:rPr>
              <w:t xml:space="preserve">  </w:t>
            </w:r>
            <w:r>
              <w:rPr>
                <w:spacing w:val="8"/>
                <w:sz w:val="20"/>
                <w:szCs w:val="20"/>
              </w:rPr>
              <w:t>急性中毒多发生于口服。一般可分</w:t>
            </w:r>
            <w:r>
              <w:rPr>
                <w:spacing w:val="4"/>
                <w:sz w:val="20"/>
                <w:szCs w:val="20"/>
              </w:rPr>
              <w:t xml:space="preserve">  </w:t>
            </w:r>
            <w:r>
              <w:rPr>
                <w:spacing w:val="1"/>
                <w:sz w:val="20"/>
                <w:szCs w:val="20"/>
              </w:rPr>
              <w:t>为兴奋、催眠、麻醉、窒息四阶段。</w:t>
            </w:r>
            <w:r>
              <w:rPr>
                <w:spacing w:val="12"/>
                <w:sz w:val="20"/>
                <w:szCs w:val="20"/>
              </w:rPr>
              <w:t xml:space="preserve"> </w:t>
            </w:r>
            <w:r>
              <w:rPr>
                <w:spacing w:val="8"/>
                <w:sz w:val="20"/>
                <w:szCs w:val="20"/>
              </w:rPr>
              <w:t>患者进入第三或第四阶段，出现意</w:t>
            </w:r>
            <w:r>
              <w:rPr>
                <w:spacing w:val="4"/>
                <w:sz w:val="20"/>
                <w:szCs w:val="20"/>
              </w:rPr>
              <w:t xml:space="preserve">  </w:t>
            </w:r>
            <w:r>
              <w:rPr>
                <w:spacing w:val="9"/>
                <w:sz w:val="20"/>
                <w:szCs w:val="20"/>
              </w:rPr>
              <w:t>识丧失、瞳孔扩大、呼吸不规律、</w:t>
            </w:r>
            <w:r>
              <w:rPr>
                <w:spacing w:val="4"/>
                <w:sz w:val="20"/>
                <w:szCs w:val="20"/>
              </w:rPr>
              <w:t xml:space="preserve">  </w:t>
            </w:r>
            <w:r>
              <w:rPr>
                <w:spacing w:val="10"/>
                <w:sz w:val="20"/>
                <w:szCs w:val="20"/>
              </w:rPr>
              <w:t>休克、心力循环衰竭及呼吸停止。</w:t>
            </w:r>
            <w:r>
              <w:rPr>
                <w:sz w:val="20"/>
                <w:szCs w:val="20"/>
              </w:rPr>
              <w:t xml:space="preserve"> </w:t>
            </w:r>
            <w:r>
              <w:rPr>
                <w:spacing w:val="8"/>
                <w:sz w:val="20"/>
                <w:szCs w:val="20"/>
              </w:rPr>
              <w:t>慢性影响：在生产中长期接触高浓</w:t>
            </w:r>
            <w:r>
              <w:rPr>
                <w:spacing w:val="4"/>
                <w:sz w:val="20"/>
                <w:szCs w:val="20"/>
              </w:rPr>
              <w:t xml:space="preserve">  </w:t>
            </w:r>
            <w:r>
              <w:rPr>
                <w:spacing w:val="8"/>
                <w:sz w:val="20"/>
                <w:szCs w:val="20"/>
              </w:rPr>
              <w:t>度本品可引起鼻、眼、粘膜刺激症</w:t>
            </w:r>
            <w:r>
              <w:rPr>
                <w:spacing w:val="4"/>
                <w:sz w:val="20"/>
                <w:szCs w:val="20"/>
              </w:rPr>
              <w:t xml:space="preserve">  </w:t>
            </w:r>
            <w:r>
              <w:rPr>
                <w:spacing w:val="8"/>
                <w:sz w:val="20"/>
                <w:szCs w:val="20"/>
              </w:rPr>
              <w:t>状，以及头痛、头晕、疲乏、易激</w:t>
            </w:r>
            <w:r>
              <w:rPr>
                <w:spacing w:val="4"/>
                <w:sz w:val="20"/>
                <w:szCs w:val="20"/>
              </w:rPr>
              <w:t xml:space="preserve">  </w:t>
            </w:r>
            <w:r>
              <w:rPr>
                <w:spacing w:val="8"/>
                <w:sz w:val="20"/>
                <w:szCs w:val="20"/>
              </w:rPr>
              <w:t>动、震颤、恶心等。长期酗洒可引</w:t>
            </w:r>
            <w:r>
              <w:rPr>
                <w:spacing w:val="4"/>
                <w:sz w:val="20"/>
                <w:szCs w:val="20"/>
              </w:rPr>
              <w:t xml:space="preserve">  </w:t>
            </w:r>
            <w:r>
              <w:rPr>
                <w:spacing w:val="8"/>
                <w:sz w:val="20"/>
                <w:szCs w:val="20"/>
              </w:rPr>
              <w:t>起多发性神经病、慢性胃炎、脂肪</w:t>
            </w:r>
            <w:r>
              <w:rPr>
                <w:spacing w:val="4"/>
                <w:sz w:val="20"/>
                <w:szCs w:val="20"/>
              </w:rPr>
              <w:t xml:space="preserve">  </w:t>
            </w:r>
            <w:r>
              <w:rPr>
                <w:spacing w:val="8"/>
                <w:sz w:val="20"/>
                <w:szCs w:val="20"/>
              </w:rPr>
              <w:t>肝、肝硬化、心肌损害及器质性精</w:t>
            </w:r>
            <w:r>
              <w:rPr>
                <w:spacing w:val="4"/>
                <w:sz w:val="20"/>
                <w:szCs w:val="20"/>
              </w:rPr>
              <w:t xml:space="preserve">  </w:t>
            </w:r>
            <w:r>
              <w:rPr>
                <w:spacing w:val="1"/>
                <w:sz w:val="20"/>
                <w:szCs w:val="20"/>
              </w:rPr>
              <w:t>神病等。皮肤长期接触可引起干燥、</w:t>
            </w:r>
          </w:p>
        </w:tc>
        <w:tc>
          <w:tcPr>
            <w:tcW w:w="4171" w:type="dxa"/>
            <w:vAlign w:val="top"/>
          </w:tcPr>
          <w:p w14:paraId="67490696">
            <w:pPr>
              <w:spacing w:line="243" w:lineRule="auto"/>
              <w:rPr>
                <w:rFonts w:ascii="Arial"/>
                <w:sz w:val="21"/>
              </w:rPr>
            </w:pPr>
          </w:p>
          <w:p w14:paraId="0B84A260">
            <w:pPr>
              <w:spacing w:line="243" w:lineRule="auto"/>
              <w:rPr>
                <w:rFonts w:ascii="Arial"/>
                <w:sz w:val="21"/>
              </w:rPr>
            </w:pPr>
          </w:p>
          <w:p w14:paraId="2675E5F1">
            <w:pPr>
              <w:spacing w:line="243" w:lineRule="auto"/>
              <w:rPr>
                <w:rFonts w:ascii="Arial"/>
                <w:sz w:val="21"/>
              </w:rPr>
            </w:pPr>
          </w:p>
          <w:p w14:paraId="099BCB7E">
            <w:pPr>
              <w:spacing w:line="243" w:lineRule="auto"/>
              <w:rPr>
                <w:rFonts w:ascii="Arial"/>
                <w:sz w:val="21"/>
              </w:rPr>
            </w:pPr>
          </w:p>
          <w:p w14:paraId="5760E3AC">
            <w:pPr>
              <w:spacing w:line="243" w:lineRule="auto"/>
              <w:rPr>
                <w:rFonts w:ascii="Arial"/>
                <w:sz w:val="21"/>
              </w:rPr>
            </w:pPr>
          </w:p>
          <w:p w14:paraId="62A37E5B">
            <w:pPr>
              <w:spacing w:line="244" w:lineRule="auto"/>
              <w:rPr>
                <w:rFonts w:ascii="Arial"/>
                <w:sz w:val="21"/>
              </w:rPr>
            </w:pPr>
          </w:p>
          <w:p w14:paraId="29A2E9F3">
            <w:pPr>
              <w:pStyle w:val="6"/>
              <w:spacing w:before="65"/>
              <w:ind w:left="67" w:right="60" w:hanging="7"/>
              <w:rPr>
                <w:rFonts w:ascii="Times New Roman" w:hAnsi="Times New Roman" w:eastAsia="Times New Roman" w:cs="Times New Roman"/>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7"/>
                <w:sz w:val="20"/>
                <w:szCs w:val="20"/>
              </w:rPr>
              <w:t>50</w:t>
            </w:r>
            <w:r>
              <w:rPr>
                <w:spacing w:val="7"/>
                <w:sz w:val="20"/>
                <w:szCs w:val="20"/>
              </w:rPr>
              <w:t>：</w:t>
            </w:r>
            <w:r>
              <w:rPr>
                <w:rFonts w:ascii="Times New Roman" w:hAnsi="Times New Roman" w:eastAsia="Times New Roman" w:cs="Times New Roman"/>
                <w:spacing w:val="7"/>
                <w:sz w:val="20"/>
                <w:szCs w:val="20"/>
              </w:rPr>
              <w:t>7060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兔经口</w:t>
            </w:r>
            <w:r>
              <w:rPr>
                <w:rFonts w:ascii="Times New Roman" w:hAnsi="Times New Roman" w:eastAsia="Times New Roman" w:cs="Times New Roman"/>
                <w:spacing w:val="7"/>
                <w:sz w:val="20"/>
                <w:szCs w:val="20"/>
              </w:rPr>
              <w:t>)</w:t>
            </w:r>
            <w:r>
              <w:rPr>
                <w:spacing w:val="7"/>
                <w:sz w:val="20"/>
                <w:szCs w:val="20"/>
              </w:rPr>
              <w:t>；</w:t>
            </w:r>
            <w:r>
              <w:rPr>
                <w:rFonts w:ascii="Times New Roman" w:hAnsi="Times New Roman" w:eastAsia="Times New Roman" w:cs="Times New Roman"/>
                <w:spacing w:val="7"/>
                <w:sz w:val="20"/>
                <w:szCs w:val="20"/>
              </w:rPr>
              <w:t>7430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兔经</w:t>
            </w:r>
            <w:r>
              <w:rPr>
                <w:spacing w:val="1"/>
                <w:sz w:val="20"/>
                <w:szCs w:val="20"/>
              </w:rPr>
              <w:t xml:space="preserve"> </w:t>
            </w:r>
            <w:r>
              <w:rPr>
                <w:sz w:val="20"/>
                <w:szCs w:val="20"/>
              </w:rPr>
              <w:t>皮</w:t>
            </w:r>
            <w:r>
              <w:rPr>
                <w:rFonts w:ascii="Times New Roman" w:hAnsi="Times New Roman" w:eastAsia="Times New Roman" w:cs="Times New Roman"/>
                <w:sz w:val="20"/>
                <w:szCs w:val="20"/>
              </w:rPr>
              <w:t>)</w:t>
            </w:r>
          </w:p>
          <w:p w14:paraId="78C80811">
            <w:pPr>
              <w:pStyle w:val="6"/>
              <w:spacing w:before="22" w:line="221" w:lineRule="auto"/>
              <w:ind w:left="60"/>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2"/>
                <w:sz w:val="20"/>
                <w:szCs w:val="20"/>
              </w:rPr>
              <w:t>50</w:t>
            </w:r>
            <w:r>
              <w:rPr>
                <w:spacing w:val="2"/>
                <w:sz w:val="20"/>
                <w:szCs w:val="20"/>
              </w:rPr>
              <w:t>：</w:t>
            </w:r>
            <w:r>
              <w:rPr>
                <w:rFonts w:ascii="Times New Roman" w:hAnsi="Times New Roman" w:eastAsia="Times New Roman" w:cs="Times New Roman"/>
                <w:spacing w:val="2"/>
                <w:sz w:val="20"/>
                <w:szCs w:val="20"/>
              </w:rPr>
              <w:t>37620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spacing w:val="2"/>
                <w:sz w:val="20"/>
                <w:szCs w:val="20"/>
              </w:rPr>
              <w:t>³</w:t>
            </w:r>
            <w:r>
              <w:rPr>
                <w:spacing w:val="-69"/>
                <w:sz w:val="20"/>
                <w:szCs w:val="20"/>
              </w:rPr>
              <w:t xml:space="preserve"> </w:t>
            </w:r>
            <w:r>
              <w:rPr>
                <w:spacing w:val="2"/>
                <w:sz w:val="20"/>
                <w:szCs w:val="20"/>
              </w:rPr>
              <w:t>,</w:t>
            </w:r>
            <w:r>
              <w:rPr>
                <w:spacing w:val="75"/>
                <w:sz w:val="20"/>
                <w:szCs w:val="20"/>
              </w:rPr>
              <w:t xml:space="preserve"> </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18"/>
                <w:w w:val="101"/>
                <w:sz w:val="20"/>
                <w:szCs w:val="20"/>
              </w:rPr>
              <w:t xml:space="preserve"> </w:t>
            </w:r>
            <w:r>
              <w:rPr>
                <w:spacing w:val="2"/>
                <w:sz w:val="20"/>
                <w:szCs w:val="20"/>
              </w:rPr>
              <w:t>小时</w:t>
            </w:r>
            <w:r>
              <w:rPr>
                <w:rFonts w:ascii="Times New Roman" w:hAnsi="Times New Roman" w:eastAsia="Times New Roman" w:cs="Times New Roman"/>
                <w:spacing w:val="2"/>
                <w:sz w:val="20"/>
                <w:szCs w:val="20"/>
              </w:rPr>
              <w:t>(</w:t>
            </w:r>
            <w:r>
              <w:rPr>
                <w:spacing w:val="2"/>
                <w:sz w:val="20"/>
                <w:szCs w:val="20"/>
              </w:rPr>
              <w:t>大鼠吸入</w:t>
            </w:r>
            <w:r>
              <w:rPr>
                <w:rFonts w:ascii="Times New Roman" w:hAnsi="Times New Roman" w:eastAsia="Times New Roman" w:cs="Times New Roman"/>
                <w:spacing w:val="2"/>
                <w:sz w:val="20"/>
                <w:szCs w:val="20"/>
              </w:rPr>
              <w:t>)</w:t>
            </w:r>
          </w:p>
        </w:tc>
      </w:tr>
    </w:tbl>
    <w:p w14:paraId="3F51D237">
      <w:pPr>
        <w:rPr>
          <w:rFonts w:ascii="Arial"/>
          <w:sz w:val="21"/>
        </w:rPr>
      </w:pPr>
    </w:p>
    <w:p w14:paraId="0B156551">
      <w:pPr>
        <w:rPr>
          <w:rFonts w:ascii="Arial" w:hAnsi="Arial" w:eastAsia="Arial" w:cs="Arial"/>
          <w:sz w:val="21"/>
          <w:szCs w:val="21"/>
        </w:rPr>
        <w:sectPr>
          <w:footerReference r:id="rId130" w:type="default"/>
          <w:pgSz w:w="11906" w:h="16839"/>
          <w:pgMar w:top="400" w:right="1503" w:bottom="1127" w:left="1502" w:header="0" w:footer="965" w:gutter="0"/>
          <w:cols w:space="720" w:num="1"/>
        </w:sectPr>
      </w:pPr>
    </w:p>
    <w:p w14:paraId="22BA4C2F">
      <w:pPr>
        <w:spacing w:before="19"/>
      </w:pPr>
    </w:p>
    <w:p w14:paraId="47D7AA4B">
      <w:pPr>
        <w:spacing w:before="19"/>
      </w:pPr>
    </w:p>
    <w:p w14:paraId="65EE4293">
      <w:pPr>
        <w:spacing w:before="19"/>
      </w:pPr>
    </w:p>
    <w:p w14:paraId="59F11191">
      <w:pPr>
        <w:spacing w:before="18"/>
      </w:pPr>
    </w:p>
    <w:p w14:paraId="42713F64">
      <w:pPr>
        <w:spacing w:before="18"/>
      </w:pPr>
    </w:p>
    <w:tbl>
      <w:tblPr>
        <w:tblStyle w:val="5"/>
        <w:tblW w:w="8895"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475"/>
        <w:gridCol w:w="487"/>
        <w:gridCol w:w="3294"/>
        <w:gridCol w:w="4171"/>
      </w:tblGrid>
      <w:tr w14:paraId="2E5DD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68" w:type="dxa"/>
            <w:vMerge w:val="restart"/>
            <w:tcBorders>
              <w:bottom w:val="nil"/>
            </w:tcBorders>
            <w:vAlign w:val="top"/>
          </w:tcPr>
          <w:p w14:paraId="2B78A90F">
            <w:pPr>
              <w:spacing w:line="335" w:lineRule="auto"/>
              <w:rPr>
                <w:rFonts w:ascii="Arial"/>
                <w:sz w:val="21"/>
              </w:rPr>
            </w:pPr>
          </w:p>
          <w:p w14:paraId="1DB3609F">
            <w:pPr>
              <w:pStyle w:val="6"/>
              <w:spacing w:before="65" w:line="229" w:lineRule="auto"/>
              <w:ind w:left="28"/>
              <w:rPr>
                <w:sz w:val="20"/>
                <w:szCs w:val="20"/>
              </w:rPr>
            </w:pPr>
            <w:r>
              <w:rPr>
                <w:spacing w:val="5"/>
                <w:sz w:val="20"/>
                <w:szCs w:val="20"/>
              </w:rPr>
              <w:t>序号</w:t>
            </w:r>
          </w:p>
        </w:tc>
        <w:tc>
          <w:tcPr>
            <w:tcW w:w="475" w:type="dxa"/>
            <w:vMerge w:val="restart"/>
            <w:tcBorders>
              <w:bottom w:val="nil"/>
            </w:tcBorders>
            <w:vAlign w:val="top"/>
          </w:tcPr>
          <w:p w14:paraId="7B74C1E6">
            <w:pPr>
              <w:pStyle w:val="6"/>
              <w:spacing w:before="131" w:line="229" w:lineRule="auto"/>
              <w:ind w:left="30"/>
              <w:rPr>
                <w:sz w:val="20"/>
                <w:szCs w:val="20"/>
              </w:rPr>
            </w:pPr>
            <w:r>
              <w:rPr>
                <w:spacing w:val="4"/>
                <w:sz w:val="20"/>
                <w:szCs w:val="20"/>
              </w:rPr>
              <w:t>化学</w:t>
            </w:r>
          </w:p>
          <w:p w14:paraId="069FAC93">
            <w:pPr>
              <w:pStyle w:val="6"/>
              <w:spacing w:before="23" w:line="255" w:lineRule="auto"/>
              <w:ind w:left="133" w:right="30" w:hanging="87"/>
              <w:rPr>
                <w:sz w:val="20"/>
                <w:szCs w:val="20"/>
              </w:rPr>
            </w:pPr>
            <w:r>
              <w:rPr>
                <w:spacing w:val="-4"/>
                <w:sz w:val="20"/>
                <w:szCs w:val="20"/>
              </w:rPr>
              <w:t>品名</w:t>
            </w:r>
            <w:r>
              <w:rPr>
                <w:sz w:val="20"/>
                <w:szCs w:val="20"/>
              </w:rPr>
              <w:t xml:space="preserve"> </w:t>
            </w:r>
            <w:r>
              <w:rPr>
                <w:spacing w:val="1"/>
                <w:sz w:val="20"/>
                <w:szCs w:val="20"/>
              </w:rPr>
              <w:t>称</w:t>
            </w:r>
          </w:p>
        </w:tc>
        <w:tc>
          <w:tcPr>
            <w:tcW w:w="7952" w:type="dxa"/>
            <w:gridSpan w:val="3"/>
            <w:vAlign w:val="top"/>
          </w:tcPr>
          <w:p w14:paraId="2E52B397">
            <w:pPr>
              <w:pStyle w:val="6"/>
              <w:spacing w:before="127" w:line="228" w:lineRule="auto"/>
              <w:ind w:left="3560"/>
              <w:rPr>
                <w:sz w:val="20"/>
                <w:szCs w:val="20"/>
              </w:rPr>
            </w:pPr>
            <w:r>
              <w:rPr>
                <w:spacing w:val="7"/>
                <w:sz w:val="20"/>
                <w:szCs w:val="20"/>
              </w:rPr>
              <w:t>环境影响</w:t>
            </w:r>
          </w:p>
        </w:tc>
      </w:tr>
      <w:tr w14:paraId="2FAC2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8" w:type="dxa"/>
            <w:vMerge w:val="continue"/>
            <w:tcBorders>
              <w:top w:val="nil"/>
            </w:tcBorders>
            <w:vAlign w:val="top"/>
          </w:tcPr>
          <w:p w14:paraId="10012433">
            <w:pPr>
              <w:rPr>
                <w:rFonts w:ascii="Arial"/>
                <w:sz w:val="21"/>
              </w:rPr>
            </w:pPr>
          </w:p>
        </w:tc>
        <w:tc>
          <w:tcPr>
            <w:tcW w:w="475" w:type="dxa"/>
            <w:vMerge w:val="continue"/>
            <w:tcBorders>
              <w:top w:val="nil"/>
            </w:tcBorders>
            <w:vAlign w:val="top"/>
          </w:tcPr>
          <w:p w14:paraId="09599F9F">
            <w:pPr>
              <w:rPr>
                <w:rFonts w:ascii="Arial"/>
                <w:sz w:val="21"/>
              </w:rPr>
            </w:pPr>
          </w:p>
        </w:tc>
        <w:tc>
          <w:tcPr>
            <w:tcW w:w="487" w:type="dxa"/>
            <w:vAlign w:val="top"/>
          </w:tcPr>
          <w:p w14:paraId="1C353CEE">
            <w:pPr>
              <w:pStyle w:val="6"/>
              <w:spacing w:before="33" w:line="229" w:lineRule="auto"/>
              <w:ind w:left="38"/>
              <w:rPr>
                <w:sz w:val="20"/>
                <w:szCs w:val="20"/>
              </w:rPr>
            </w:pPr>
            <w:r>
              <w:rPr>
                <w:spacing w:val="3"/>
                <w:sz w:val="20"/>
                <w:szCs w:val="20"/>
              </w:rPr>
              <w:t>侵入</w:t>
            </w:r>
          </w:p>
          <w:p w14:paraId="79928E0E">
            <w:pPr>
              <w:pStyle w:val="6"/>
              <w:spacing w:before="22" w:line="217" w:lineRule="auto"/>
              <w:ind w:left="37"/>
              <w:rPr>
                <w:sz w:val="20"/>
                <w:szCs w:val="20"/>
              </w:rPr>
            </w:pPr>
            <w:r>
              <w:rPr>
                <w:spacing w:val="4"/>
                <w:sz w:val="20"/>
                <w:szCs w:val="20"/>
              </w:rPr>
              <w:t>途径</w:t>
            </w:r>
          </w:p>
        </w:tc>
        <w:tc>
          <w:tcPr>
            <w:tcW w:w="3294" w:type="dxa"/>
            <w:vAlign w:val="top"/>
          </w:tcPr>
          <w:p w14:paraId="5CEFBAB6">
            <w:pPr>
              <w:pStyle w:val="6"/>
              <w:spacing w:before="167" w:line="228" w:lineRule="auto"/>
              <w:ind w:left="1232"/>
              <w:rPr>
                <w:sz w:val="20"/>
                <w:szCs w:val="20"/>
              </w:rPr>
            </w:pPr>
            <w:r>
              <w:rPr>
                <w:spacing w:val="7"/>
                <w:sz w:val="20"/>
                <w:szCs w:val="20"/>
              </w:rPr>
              <w:t>健康危害</w:t>
            </w:r>
          </w:p>
        </w:tc>
        <w:tc>
          <w:tcPr>
            <w:tcW w:w="4171" w:type="dxa"/>
            <w:vAlign w:val="top"/>
          </w:tcPr>
          <w:p w14:paraId="4E80E888">
            <w:pPr>
              <w:pStyle w:val="6"/>
              <w:spacing w:before="167" w:line="228" w:lineRule="auto"/>
              <w:ind w:left="1041"/>
              <w:rPr>
                <w:sz w:val="20"/>
                <w:szCs w:val="20"/>
              </w:rPr>
            </w:pPr>
            <w:r>
              <w:rPr>
                <w:spacing w:val="8"/>
                <w:sz w:val="20"/>
                <w:szCs w:val="20"/>
              </w:rPr>
              <w:t>毒理学资料及环境行为</w:t>
            </w:r>
          </w:p>
        </w:tc>
      </w:tr>
      <w:tr w14:paraId="7B8A4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68" w:type="dxa"/>
            <w:vAlign w:val="top"/>
          </w:tcPr>
          <w:p w14:paraId="0E333EAF">
            <w:pPr>
              <w:rPr>
                <w:rFonts w:ascii="Arial"/>
                <w:sz w:val="21"/>
              </w:rPr>
            </w:pPr>
          </w:p>
        </w:tc>
        <w:tc>
          <w:tcPr>
            <w:tcW w:w="475" w:type="dxa"/>
            <w:vAlign w:val="top"/>
          </w:tcPr>
          <w:p w14:paraId="0443E2A4">
            <w:pPr>
              <w:rPr>
                <w:rFonts w:ascii="Arial"/>
                <w:sz w:val="21"/>
              </w:rPr>
            </w:pPr>
          </w:p>
        </w:tc>
        <w:tc>
          <w:tcPr>
            <w:tcW w:w="487" w:type="dxa"/>
            <w:vAlign w:val="top"/>
          </w:tcPr>
          <w:p w14:paraId="3EEA6A62">
            <w:pPr>
              <w:rPr>
                <w:rFonts w:ascii="Arial"/>
                <w:sz w:val="21"/>
              </w:rPr>
            </w:pPr>
          </w:p>
        </w:tc>
        <w:tc>
          <w:tcPr>
            <w:tcW w:w="3294" w:type="dxa"/>
            <w:vAlign w:val="top"/>
          </w:tcPr>
          <w:p w14:paraId="4B0E527F">
            <w:pPr>
              <w:pStyle w:val="6"/>
              <w:spacing w:before="33" w:line="228" w:lineRule="auto"/>
              <w:ind w:left="62"/>
              <w:rPr>
                <w:sz w:val="20"/>
                <w:szCs w:val="20"/>
              </w:rPr>
            </w:pPr>
            <w:r>
              <w:rPr>
                <w:spacing w:val="7"/>
                <w:sz w:val="20"/>
                <w:szCs w:val="20"/>
              </w:rPr>
              <w:t>脱屑、皲裂和皮炎。</w:t>
            </w:r>
          </w:p>
        </w:tc>
        <w:tc>
          <w:tcPr>
            <w:tcW w:w="4171" w:type="dxa"/>
            <w:vAlign w:val="top"/>
          </w:tcPr>
          <w:p w14:paraId="4E554BC1">
            <w:pPr>
              <w:rPr>
                <w:rFonts w:ascii="Arial"/>
                <w:sz w:val="21"/>
              </w:rPr>
            </w:pPr>
          </w:p>
        </w:tc>
      </w:tr>
      <w:tr w14:paraId="5BE40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468" w:type="dxa"/>
            <w:vAlign w:val="top"/>
          </w:tcPr>
          <w:p w14:paraId="172E415D">
            <w:pPr>
              <w:spacing w:line="246" w:lineRule="auto"/>
              <w:rPr>
                <w:rFonts w:ascii="Arial"/>
                <w:sz w:val="21"/>
              </w:rPr>
            </w:pPr>
          </w:p>
          <w:p w14:paraId="6CCD8A19">
            <w:pPr>
              <w:spacing w:line="246" w:lineRule="auto"/>
              <w:rPr>
                <w:rFonts w:ascii="Arial"/>
                <w:sz w:val="21"/>
              </w:rPr>
            </w:pPr>
          </w:p>
          <w:p w14:paraId="36B442AD">
            <w:pPr>
              <w:spacing w:line="246" w:lineRule="auto"/>
              <w:rPr>
                <w:rFonts w:ascii="Arial"/>
                <w:sz w:val="21"/>
              </w:rPr>
            </w:pPr>
          </w:p>
          <w:p w14:paraId="214501B0">
            <w:pPr>
              <w:spacing w:line="246" w:lineRule="auto"/>
              <w:rPr>
                <w:rFonts w:ascii="Arial"/>
                <w:sz w:val="21"/>
              </w:rPr>
            </w:pPr>
          </w:p>
          <w:p w14:paraId="538E7CE5">
            <w:pPr>
              <w:spacing w:line="246" w:lineRule="auto"/>
              <w:rPr>
                <w:rFonts w:ascii="Arial"/>
                <w:sz w:val="21"/>
              </w:rPr>
            </w:pPr>
          </w:p>
          <w:p w14:paraId="0F381ED5">
            <w:pPr>
              <w:spacing w:before="57" w:line="192"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75" w:type="dxa"/>
            <w:vAlign w:val="top"/>
          </w:tcPr>
          <w:p w14:paraId="6BF7A427">
            <w:pPr>
              <w:spacing w:line="296" w:lineRule="auto"/>
              <w:rPr>
                <w:rFonts w:ascii="Arial"/>
                <w:sz w:val="21"/>
              </w:rPr>
            </w:pPr>
          </w:p>
          <w:p w14:paraId="26E4E074">
            <w:pPr>
              <w:spacing w:line="296" w:lineRule="auto"/>
              <w:rPr>
                <w:rFonts w:ascii="Arial"/>
                <w:sz w:val="21"/>
              </w:rPr>
            </w:pPr>
          </w:p>
          <w:p w14:paraId="5CADB3F8">
            <w:pPr>
              <w:spacing w:line="296" w:lineRule="auto"/>
              <w:rPr>
                <w:rFonts w:ascii="Arial"/>
                <w:sz w:val="21"/>
              </w:rPr>
            </w:pPr>
          </w:p>
          <w:p w14:paraId="0FA63847">
            <w:pPr>
              <w:spacing w:line="296" w:lineRule="auto"/>
              <w:rPr>
                <w:rFonts w:ascii="Arial"/>
                <w:sz w:val="21"/>
              </w:rPr>
            </w:pPr>
          </w:p>
          <w:p w14:paraId="5027935A">
            <w:pPr>
              <w:pStyle w:val="6"/>
              <w:spacing w:before="65" w:line="228" w:lineRule="auto"/>
              <w:ind w:left="33"/>
              <w:rPr>
                <w:sz w:val="20"/>
                <w:szCs w:val="20"/>
              </w:rPr>
            </w:pPr>
            <w:r>
              <w:rPr>
                <w:spacing w:val="2"/>
                <w:sz w:val="20"/>
                <w:szCs w:val="20"/>
              </w:rPr>
              <w:t>丙酮</w:t>
            </w:r>
          </w:p>
        </w:tc>
        <w:tc>
          <w:tcPr>
            <w:tcW w:w="487" w:type="dxa"/>
            <w:vAlign w:val="top"/>
          </w:tcPr>
          <w:p w14:paraId="58C637BF">
            <w:pPr>
              <w:spacing w:line="259" w:lineRule="auto"/>
              <w:rPr>
                <w:rFonts w:ascii="Arial"/>
                <w:sz w:val="21"/>
              </w:rPr>
            </w:pPr>
          </w:p>
          <w:p w14:paraId="5AAD5D3A">
            <w:pPr>
              <w:spacing w:line="260" w:lineRule="auto"/>
              <w:rPr>
                <w:rFonts w:ascii="Arial"/>
                <w:sz w:val="21"/>
              </w:rPr>
            </w:pPr>
          </w:p>
          <w:p w14:paraId="10DA2DB1">
            <w:pPr>
              <w:spacing w:line="260" w:lineRule="auto"/>
              <w:rPr>
                <w:rFonts w:ascii="Arial"/>
                <w:sz w:val="21"/>
              </w:rPr>
            </w:pPr>
          </w:p>
          <w:p w14:paraId="3C3F2F8A">
            <w:pPr>
              <w:pStyle w:val="6"/>
              <w:spacing w:before="65" w:line="228" w:lineRule="auto"/>
              <w:ind w:left="45"/>
              <w:rPr>
                <w:sz w:val="20"/>
                <w:szCs w:val="20"/>
              </w:rPr>
            </w:pPr>
            <w:r>
              <w:rPr>
                <w:sz w:val="20"/>
                <w:szCs w:val="20"/>
              </w:rPr>
              <w:t>吸入</w:t>
            </w:r>
          </w:p>
          <w:p w14:paraId="40666DDE">
            <w:pPr>
              <w:pStyle w:val="6"/>
              <w:spacing w:before="24" w:line="228" w:lineRule="auto"/>
              <w:ind w:left="37"/>
              <w:rPr>
                <w:sz w:val="20"/>
                <w:szCs w:val="20"/>
              </w:rPr>
            </w:pPr>
            <w:r>
              <w:rPr>
                <w:spacing w:val="4"/>
                <w:sz w:val="20"/>
                <w:szCs w:val="20"/>
              </w:rPr>
              <w:t>食入</w:t>
            </w:r>
          </w:p>
          <w:p w14:paraId="0B69F777">
            <w:pPr>
              <w:pStyle w:val="6"/>
              <w:spacing w:before="26" w:line="228" w:lineRule="auto"/>
              <w:ind w:left="38"/>
              <w:rPr>
                <w:sz w:val="20"/>
                <w:szCs w:val="20"/>
              </w:rPr>
            </w:pPr>
            <w:r>
              <w:rPr>
                <w:spacing w:val="3"/>
                <w:sz w:val="20"/>
                <w:szCs w:val="20"/>
              </w:rPr>
              <w:t>经皮</w:t>
            </w:r>
          </w:p>
          <w:p w14:paraId="1EF76CC6">
            <w:pPr>
              <w:pStyle w:val="6"/>
              <w:spacing w:before="23" w:line="228" w:lineRule="auto"/>
              <w:ind w:left="45"/>
              <w:rPr>
                <w:sz w:val="20"/>
                <w:szCs w:val="20"/>
              </w:rPr>
            </w:pPr>
            <w:r>
              <w:rPr>
                <w:sz w:val="20"/>
                <w:szCs w:val="20"/>
              </w:rPr>
              <w:t>吸收</w:t>
            </w:r>
          </w:p>
        </w:tc>
        <w:tc>
          <w:tcPr>
            <w:tcW w:w="3294" w:type="dxa"/>
            <w:vAlign w:val="top"/>
          </w:tcPr>
          <w:p w14:paraId="25C5AEFB">
            <w:pPr>
              <w:pStyle w:val="6"/>
              <w:spacing w:before="29" w:line="248" w:lineRule="auto"/>
              <w:ind w:left="60" w:firstLine="7"/>
              <w:jc w:val="both"/>
              <w:rPr>
                <w:sz w:val="20"/>
                <w:szCs w:val="20"/>
              </w:rPr>
            </w:pPr>
            <w:r>
              <w:rPr>
                <w:spacing w:val="-4"/>
                <w:sz w:val="20"/>
                <w:szCs w:val="20"/>
              </w:rPr>
              <w:t>急性中毒主要表现为对中枢神经系统</w:t>
            </w:r>
            <w:r>
              <w:rPr>
                <w:spacing w:val="6"/>
                <w:sz w:val="20"/>
                <w:szCs w:val="20"/>
              </w:rPr>
              <w:t xml:space="preserve"> </w:t>
            </w:r>
            <w:r>
              <w:rPr>
                <w:spacing w:val="-11"/>
                <w:sz w:val="20"/>
                <w:szCs w:val="20"/>
              </w:rPr>
              <w:t>的麻醉作用，出现乏力、恶心、头痛、</w:t>
            </w:r>
            <w:r>
              <w:rPr>
                <w:spacing w:val="14"/>
                <w:sz w:val="20"/>
                <w:szCs w:val="20"/>
              </w:rPr>
              <w:t xml:space="preserve"> </w:t>
            </w:r>
            <w:r>
              <w:rPr>
                <w:spacing w:val="-11"/>
                <w:sz w:val="20"/>
                <w:szCs w:val="20"/>
              </w:rPr>
              <w:t>头晕、易激动。重者发生呕吐、气急、</w:t>
            </w:r>
            <w:r>
              <w:rPr>
                <w:spacing w:val="14"/>
                <w:sz w:val="20"/>
                <w:szCs w:val="20"/>
              </w:rPr>
              <w:t xml:space="preserve"> </w:t>
            </w:r>
            <w:r>
              <w:rPr>
                <w:spacing w:val="-4"/>
                <w:sz w:val="20"/>
                <w:szCs w:val="20"/>
              </w:rPr>
              <w:t>痉挛，甚至昏迷。对眼、鼻、喉有刺</w:t>
            </w:r>
            <w:r>
              <w:rPr>
                <w:spacing w:val="13"/>
                <w:sz w:val="20"/>
                <w:szCs w:val="20"/>
              </w:rPr>
              <w:t xml:space="preserve"> </w:t>
            </w:r>
            <w:r>
              <w:rPr>
                <w:spacing w:val="-4"/>
                <w:sz w:val="20"/>
                <w:szCs w:val="20"/>
              </w:rPr>
              <w:t>激性。口服后，先有口唇、咽喉有烧</w:t>
            </w:r>
            <w:r>
              <w:rPr>
                <w:spacing w:val="13"/>
                <w:sz w:val="20"/>
                <w:szCs w:val="20"/>
              </w:rPr>
              <w:t xml:space="preserve"> </w:t>
            </w:r>
            <w:r>
              <w:rPr>
                <w:spacing w:val="-4"/>
                <w:sz w:val="20"/>
                <w:szCs w:val="20"/>
              </w:rPr>
              <w:t>灼感，后出现口干、呕吐、昏迷、酸</w:t>
            </w:r>
            <w:r>
              <w:rPr>
                <w:spacing w:val="13"/>
                <w:sz w:val="20"/>
                <w:szCs w:val="20"/>
              </w:rPr>
              <w:t xml:space="preserve"> </w:t>
            </w:r>
            <w:r>
              <w:rPr>
                <w:spacing w:val="-4"/>
                <w:sz w:val="20"/>
                <w:szCs w:val="20"/>
              </w:rPr>
              <w:t>中毒和酮症。慢性影响：长期接触该</w:t>
            </w:r>
            <w:r>
              <w:rPr>
                <w:spacing w:val="13"/>
                <w:sz w:val="20"/>
                <w:szCs w:val="20"/>
              </w:rPr>
              <w:t xml:space="preserve"> </w:t>
            </w:r>
            <w:r>
              <w:rPr>
                <w:spacing w:val="-4"/>
                <w:sz w:val="20"/>
                <w:szCs w:val="20"/>
              </w:rPr>
              <w:t>品出现眩晕、灼烧感、咽炎、支气管</w:t>
            </w:r>
            <w:r>
              <w:rPr>
                <w:spacing w:val="13"/>
                <w:sz w:val="20"/>
                <w:szCs w:val="20"/>
              </w:rPr>
              <w:t xml:space="preserve"> </w:t>
            </w:r>
            <w:r>
              <w:rPr>
                <w:spacing w:val="-4"/>
                <w:sz w:val="20"/>
                <w:szCs w:val="20"/>
              </w:rPr>
              <w:t>炎、乏力、易激动等。皮肤长期反复</w:t>
            </w:r>
            <w:r>
              <w:rPr>
                <w:spacing w:val="13"/>
                <w:sz w:val="20"/>
                <w:szCs w:val="20"/>
              </w:rPr>
              <w:t xml:space="preserve"> </w:t>
            </w:r>
            <w:r>
              <w:rPr>
                <w:spacing w:val="-3"/>
                <w:sz w:val="20"/>
                <w:szCs w:val="20"/>
              </w:rPr>
              <w:t>接触可致皮炎。</w:t>
            </w:r>
          </w:p>
        </w:tc>
        <w:tc>
          <w:tcPr>
            <w:tcW w:w="4171" w:type="dxa"/>
            <w:vAlign w:val="top"/>
          </w:tcPr>
          <w:p w14:paraId="6631109A">
            <w:pPr>
              <w:spacing w:line="262" w:lineRule="auto"/>
              <w:rPr>
                <w:rFonts w:ascii="Arial"/>
                <w:sz w:val="21"/>
              </w:rPr>
            </w:pPr>
          </w:p>
          <w:p w14:paraId="6FE639DF">
            <w:pPr>
              <w:spacing w:line="262" w:lineRule="auto"/>
              <w:rPr>
                <w:rFonts w:ascii="Arial"/>
                <w:sz w:val="21"/>
              </w:rPr>
            </w:pPr>
          </w:p>
          <w:p w14:paraId="0B65158D">
            <w:pPr>
              <w:spacing w:line="263" w:lineRule="auto"/>
              <w:rPr>
                <w:rFonts w:ascii="Arial"/>
                <w:sz w:val="21"/>
              </w:rPr>
            </w:pPr>
          </w:p>
          <w:p w14:paraId="38327D74">
            <w:pPr>
              <w:spacing w:line="263" w:lineRule="auto"/>
              <w:rPr>
                <w:rFonts w:ascii="Arial"/>
                <w:sz w:val="21"/>
              </w:rPr>
            </w:pPr>
          </w:p>
          <w:p w14:paraId="37BC4EEC">
            <w:pPr>
              <w:pStyle w:val="6"/>
              <w:spacing w:before="65"/>
              <w:ind w:left="61" w:right="5" w:firstLine="370"/>
              <w:rPr>
                <w:sz w:val="20"/>
                <w:szCs w:val="20"/>
              </w:rPr>
            </w:pPr>
            <w:r>
              <w:rPr>
                <w:sz w:val="20"/>
                <w:szCs w:val="20"/>
              </w:rPr>
              <w:t>属微毒类</w:t>
            </w:r>
            <w:r>
              <w:rPr>
                <w:spacing w:val="-28"/>
                <w:sz w:val="20"/>
                <w:szCs w:val="20"/>
              </w:rPr>
              <w:t xml:space="preserve"> </w:t>
            </w:r>
            <w:r>
              <w:rPr>
                <w:rFonts w:ascii="Times New Roman" w:hAnsi="Times New Roman" w:eastAsia="Times New Roman" w:cs="Times New Roman"/>
                <w:sz w:val="20"/>
                <w:szCs w:val="20"/>
              </w:rPr>
              <w:t>LD50</w:t>
            </w:r>
            <w:r>
              <w:rPr>
                <w:sz w:val="20"/>
                <w:szCs w:val="20"/>
              </w:rPr>
              <w:t>：</w:t>
            </w:r>
            <w:r>
              <w:rPr>
                <w:rFonts w:ascii="Times New Roman" w:hAnsi="Times New Roman" w:eastAsia="Times New Roman" w:cs="Times New Roman"/>
                <w:sz w:val="20"/>
                <w:szCs w:val="20"/>
              </w:rPr>
              <w:t>5800mg</w:t>
            </w:r>
            <w:r>
              <w:rPr>
                <w:sz w:val="20"/>
                <w:szCs w:val="20"/>
              </w:rPr>
              <w:t>／</w:t>
            </w:r>
            <w:r>
              <w:rPr>
                <w:rFonts w:ascii="Times New Roman" w:hAnsi="Times New Roman" w:eastAsia="Times New Roman" w:cs="Times New Roman"/>
                <w:sz w:val="20"/>
                <w:szCs w:val="20"/>
              </w:rPr>
              <w:t>kg(</w:t>
            </w:r>
            <w:r>
              <w:rPr>
                <w:sz w:val="20"/>
                <w:szCs w:val="20"/>
              </w:rPr>
              <w:t>大鼠经口</w:t>
            </w:r>
            <w:r>
              <w:rPr>
                <w:rFonts w:ascii="Times New Roman" w:hAnsi="Times New Roman" w:eastAsia="Times New Roman" w:cs="Times New Roman"/>
                <w:sz w:val="20"/>
                <w:szCs w:val="20"/>
              </w:rPr>
              <w:t>)</w:t>
            </w:r>
            <w:r>
              <w:rPr>
                <w:sz w:val="20"/>
                <w:szCs w:val="20"/>
              </w:rPr>
              <w:t xml:space="preserve">； </w:t>
            </w:r>
            <w:r>
              <w:rPr>
                <w:rFonts w:ascii="Times New Roman" w:hAnsi="Times New Roman" w:eastAsia="Times New Roman" w:cs="Times New Roman"/>
                <w:spacing w:val="7"/>
                <w:sz w:val="20"/>
                <w:szCs w:val="20"/>
              </w:rPr>
              <w:t>20000</w:t>
            </w:r>
            <w:r>
              <w:rPr>
                <w:rFonts w:ascii="Times New Roman" w:hAnsi="Times New Roman" w:eastAsia="Times New Roman" w:cs="Times New Roman"/>
                <w:sz w:val="20"/>
                <w:szCs w:val="20"/>
              </w:rPr>
              <w:t>mg</w:t>
            </w:r>
            <w:r>
              <w:rPr>
                <w:spacing w:val="7"/>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兔经皮</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7"/>
                <w:sz w:val="20"/>
                <w:szCs w:val="20"/>
              </w:rPr>
              <w:t>50</w:t>
            </w:r>
            <w:r>
              <w:rPr>
                <w:spacing w:val="7"/>
                <w:sz w:val="20"/>
                <w:szCs w:val="20"/>
              </w:rPr>
              <w:t>：</w:t>
            </w:r>
          </w:p>
        </w:tc>
      </w:tr>
      <w:tr w14:paraId="6F8DC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dxa"/>
            <w:vAlign w:val="top"/>
          </w:tcPr>
          <w:p w14:paraId="7F021EC9">
            <w:pPr>
              <w:spacing w:line="419" w:lineRule="auto"/>
              <w:rPr>
                <w:rFonts w:ascii="Arial"/>
                <w:sz w:val="21"/>
              </w:rPr>
            </w:pPr>
          </w:p>
          <w:p w14:paraId="64327681">
            <w:pPr>
              <w:spacing w:before="57"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75" w:type="dxa"/>
            <w:vAlign w:val="top"/>
          </w:tcPr>
          <w:p w14:paraId="01B47F9E">
            <w:pPr>
              <w:pStyle w:val="6"/>
              <w:spacing w:before="306" w:line="263" w:lineRule="exact"/>
              <w:ind w:left="29"/>
              <w:rPr>
                <w:sz w:val="20"/>
                <w:szCs w:val="20"/>
              </w:rPr>
            </w:pPr>
            <w:r>
              <w:rPr>
                <w:spacing w:val="4"/>
                <w:position w:val="1"/>
                <w:sz w:val="20"/>
                <w:szCs w:val="20"/>
              </w:rPr>
              <w:t>三乙</w:t>
            </w:r>
          </w:p>
          <w:p w14:paraId="05085D39">
            <w:pPr>
              <w:pStyle w:val="6"/>
              <w:spacing w:before="10" w:line="228" w:lineRule="auto"/>
              <w:ind w:left="32"/>
              <w:rPr>
                <w:sz w:val="20"/>
                <w:szCs w:val="20"/>
              </w:rPr>
            </w:pPr>
            <w:r>
              <w:rPr>
                <w:spacing w:val="3"/>
                <w:sz w:val="20"/>
                <w:szCs w:val="20"/>
              </w:rPr>
              <w:t>醇胺</w:t>
            </w:r>
          </w:p>
        </w:tc>
        <w:tc>
          <w:tcPr>
            <w:tcW w:w="487" w:type="dxa"/>
            <w:vAlign w:val="top"/>
          </w:tcPr>
          <w:p w14:paraId="37236273">
            <w:pPr>
              <w:pStyle w:val="6"/>
              <w:spacing w:before="35" w:line="228" w:lineRule="auto"/>
              <w:ind w:left="45"/>
              <w:rPr>
                <w:sz w:val="20"/>
                <w:szCs w:val="20"/>
              </w:rPr>
            </w:pPr>
            <w:r>
              <w:rPr>
                <w:sz w:val="20"/>
                <w:szCs w:val="20"/>
              </w:rPr>
              <w:t>吸入</w:t>
            </w:r>
          </w:p>
          <w:p w14:paraId="45650D09">
            <w:pPr>
              <w:pStyle w:val="6"/>
              <w:spacing w:before="24" w:line="228" w:lineRule="auto"/>
              <w:ind w:left="37"/>
              <w:rPr>
                <w:sz w:val="20"/>
                <w:szCs w:val="20"/>
              </w:rPr>
            </w:pPr>
            <w:r>
              <w:rPr>
                <w:spacing w:val="4"/>
                <w:sz w:val="20"/>
                <w:szCs w:val="20"/>
              </w:rPr>
              <w:t>食入</w:t>
            </w:r>
          </w:p>
          <w:p w14:paraId="70E19B14">
            <w:pPr>
              <w:pStyle w:val="6"/>
              <w:spacing w:before="26" w:line="228" w:lineRule="auto"/>
              <w:ind w:left="38"/>
              <w:rPr>
                <w:sz w:val="20"/>
                <w:szCs w:val="20"/>
              </w:rPr>
            </w:pPr>
            <w:r>
              <w:rPr>
                <w:spacing w:val="3"/>
                <w:sz w:val="20"/>
                <w:szCs w:val="20"/>
              </w:rPr>
              <w:t>经皮</w:t>
            </w:r>
          </w:p>
          <w:p w14:paraId="3E8E3EEC">
            <w:pPr>
              <w:pStyle w:val="6"/>
              <w:spacing w:before="23" w:line="215" w:lineRule="auto"/>
              <w:ind w:left="45"/>
              <w:rPr>
                <w:sz w:val="20"/>
                <w:szCs w:val="20"/>
              </w:rPr>
            </w:pPr>
            <w:r>
              <w:rPr>
                <w:sz w:val="20"/>
                <w:szCs w:val="20"/>
              </w:rPr>
              <w:t>吸收</w:t>
            </w:r>
          </w:p>
        </w:tc>
        <w:tc>
          <w:tcPr>
            <w:tcW w:w="3294" w:type="dxa"/>
            <w:vAlign w:val="top"/>
          </w:tcPr>
          <w:p w14:paraId="34A853B9">
            <w:pPr>
              <w:pStyle w:val="6"/>
              <w:spacing w:before="35" w:line="242" w:lineRule="auto"/>
              <w:ind w:left="61" w:right="86" w:hanging="1"/>
              <w:rPr>
                <w:sz w:val="20"/>
                <w:szCs w:val="20"/>
              </w:rPr>
            </w:pPr>
            <w:r>
              <w:rPr>
                <w:spacing w:val="9"/>
                <w:sz w:val="20"/>
                <w:szCs w:val="20"/>
              </w:rPr>
              <w:t>康危害：本品对局部有刺激作用。</w:t>
            </w:r>
            <w:r>
              <w:rPr>
                <w:spacing w:val="5"/>
                <w:sz w:val="20"/>
                <w:szCs w:val="20"/>
              </w:rPr>
              <w:t xml:space="preserve"> </w:t>
            </w:r>
            <w:r>
              <w:rPr>
                <w:spacing w:val="9"/>
                <w:sz w:val="20"/>
                <w:szCs w:val="20"/>
              </w:rPr>
              <w:t>皮肤接触可致皮炎和湿疹，与过敏</w:t>
            </w:r>
            <w:r>
              <w:rPr>
                <w:spacing w:val="3"/>
                <w:sz w:val="20"/>
                <w:szCs w:val="20"/>
              </w:rPr>
              <w:t xml:space="preserve"> </w:t>
            </w:r>
            <w:r>
              <w:rPr>
                <w:spacing w:val="9"/>
                <w:sz w:val="20"/>
                <w:szCs w:val="20"/>
              </w:rPr>
              <w:t>有关。本品蒸气压低，工业接触中</w:t>
            </w:r>
            <w:r>
              <w:rPr>
                <w:spacing w:val="3"/>
                <w:sz w:val="20"/>
                <w:szCs w:val="20"/>
              </w:rPr>
              <w:t xml:space="preserve"> </w:t>
            </w:r>
            <w:r>
              <w:rPr>
                <w:spacing w:val="8"/>
                <w:sz w:val="20"/>
                <w:szCs w:val="20"/>
              </w:rPr>
              <w:t>吸入中毒的可能性不大。</w:t>
            </w:r>
          </w:p>
        </w:tc>
        <w:tc>
          <w:tcPr>
            <w:tcW w:w="4171" w:type="dxa"/>
            <w:vAlign w:val="top"/>
          </w:tcPr>
          <w:p w14:paraId="746DFFD1">
            <w:pPr>
              <w:spacing w:line="375" w:lineRule="auto"/>
              <w:rPr>
                <w:rFonts w:ascii="Arial"/>
                <w:sz w:val="21"/>
              </w:rPr>
            </w:pPr>
          </w:p>
          <w:p w14:paraId="5587CD87">
            <w:pPr>
              <w:pStyle w:val="6"/>
              <w:spacing w:before="65" w:line="221" w:lineRule="auto"/>
              <w:ind w:left="60"/>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7"/>
                <w:sz w:val="20"/>
                <w:szCs w:val="20"/>
              </w:rPr>
              <w:t>50</w:t>
            </w:r>
            <w:r>
              <w:rPr>
                <w:spacing w:val="7"/>
                <w:sz w:val="20"/>
                <w:szCs w:val="20"/>
              </w:rPr>
              <w:t>：</w:t>
            </w:r>
            <w:r>
              <w:rPr>
                <w:rFonts w:ascii="Times New Roman" w:hAnsi="Times New Roman" w:eastAsia="Times New Roman" w:cs="Times New Roman"/>
                <w:spacing w:val="7"/>
                <w:sz w:val="20"/>
                <w:szCs w:val="20"/>
              </w:rPr>
              <w:t>5000-9000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spacing w:val="7"/>
                <w:sz w:val="20"/>
                <w:szCs w:val="20"/>
              </w:rPr>
              <w:t>（大鼠经口）</w:t>
            </w:r>
          </w:p>
        </w:tc>
      </w:tr>
      <w:tr w14:paraId="1850F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68" w:type="dxa"/>
            <w:vAlign w:val="top"/>
          </w:tcPr>
          <w:p w14:paraId="0AD8E29A">
            <w:pPr>
              <w:spacing w:before="20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75" w:type="dxa"/>
            <w:vAlign w:val="top"/>
          </w:tcPr>
          <w:p w14:paraId="1DDC2239">
            <w:pPr>
              <w:pStyle w:val="6"/>
              <w:spacing w:before="35" w:line="234" w:lineRule="auto"/>
              <w:ind w:left="136" w:right="30" w:hanging="108"/>
              <w:rPr>
                <w:sz w:val="20"/>
                <w:szCs w:val="20"/>
              </w:rPr>
            </w:pPr>
            <w:r>
              <w:rPr>
                <w:spacing w:val="5"/>
                <w:sz w:val="20"/>
                <w:szCs w:val="20"/>
              </w:rPr>
              <w:t>废酸</w:t>
            </w:r>
            <w:r>
              <w:rPr>
                <w:sz w:val="20"/>
                <w:szCs w:val="20"/>
              </w:rPr>
              <w:t xml:space="preserve"> 液</w:t>
            </w:r>
          </w:p>
        </w:tc>
        <w:tc>
          <w:tcPr>
            <w:tcW w:w="487" w:type="dxa"/>
            <w:vAlign w:val="top"/>
          </w:tcPr>
          <w:p w14:paraId="2728C3BA">
            <w:pPr>
              <w:pStyle w:val="6"/>
              <w:spacing w:before="35" w:line="234" w:lineRule="auto"/>
              <w:ind w:left="141" w:right="35" w:hanging="103"/>
              <w:rPr>
                <w:sz w:val="20"/>
                <w:szCs w:val="20"/>
              </w:rPr>
            </w:pPr>
            <w:r>
              <w:rPr>
                <w:spacing w:val="3"/>
                <w:sz w:val="20"/>
                <w:szCs w:val="20"/>
              </w:rPr>
              <w:t>无资</w:t>
            </w:r>
            <w:r>
              <w:rPr>
                <w:sz w:val="20"/>
                <w:szCs w:val="20"/>
              </w:rPr>
              <w:t xml:space="preserve"> 料</w:t>
            </w:r>
          </w:p>
        </w:tc>
        <w:tc>
          <w:tcPr>
            <w:tcW w:w="3294" w:type="dxa"/>
            <w:vAlign w:val="top"/>
          </w:tcPr>
          <w:p w14:paraId="52AE5075">
            <w:pPr>
              <w:pStyle w:val="6"/>
              <w:spacing w:before="170" w:line="228" w:lineRule="auto"/>
              <w:ind w:left="63"/>
              <w:rPr>
                <w:sz w:val="20"/>
                <w:szCs w:val="20"/>
              </w:rPr>
            </w:pPr>
            <w:r>
              <w:rPr>
                <w:spacing w:val="6"/>
                <w:sz w:val="20"/>
                <w:szCs w:val="20"/>
              </w:rPr>
              <w:t>无资料</w:t>
            </w:r>
          </w:p>
        </w:tc>
        <w:tc>
          <w:tcPr>
            <w:tcW w:w="4171" w:type="dxa"/>
            <w:vAlign w:val="top"/>
          </w:tcPr>
          <w:p w14:paraId="5742836B">
            <w:pPr>
              <w:pStyle w:val="6"/>
              <w:spacing w:before="170" w:line="228" w:lineRule="auto"/>
              <w:ind w:left="66"/>
              <w:rPr>
                <w:sz w:val="20"/>
                <w:szCs w:val="20"/>
              </w:rPr>
            </w:pPr>
            <w:r>
              <w:rPr>
                <w:spacing w:val="6"/>
                <w:sz w:val="20"/>
                <w:szCs w:val="20"/>
              </w:rPr>
              <w:t>无资料</w:t>
            </w:r>
          </w:p>
        </w:tc>
      </w:tr>
    </w:tbl>
    <w:p w14:paraId="73CC257F">
      <w:pPr>
        <w:spacing w:before="276" w:line="217" w:lineRule="auto"/>
        <w:ind w:left="584"/>
        <w:rPr>
          <w:rFonts w:ascii="宋体" w:hAnsi="宋体" w:eastAsia="宋体" w:cs="宋体"/>
          <w:sz w:val="24"/>
          <w:szCs w:val="24"/>
        </w:rPr>
      </w:pPr>
      <w:r>
        <w:rPr>
          <w:rFonts w:ascii="宋体" w:hAnsi="宋体" w:eastAsia="宋体" w:cs="宋体"/>
          <w:spacing w:val="-1"/>
          <w:sz w:val="24"/>
          <w:szCs w:val="24"/>
        </w:rPr>
        <w:t>②剧毒化学品分析辨识</w:t>
      </w:r>
    </w:p>
    <w:p w14:paraId="7373D459">
      <w:pPr>
        <w:spacing w:before="186" w:line="358" w:lineRule="auto"/>
        <w:ind w:left="109" w:right="95" w:firstLine="478"/>
        <w:rPr>
          <w:rFonts w:ascii="宋体" w:hAnsi="宋体" w:eastAsia="宋体" w:cs="宋体"/>
          <w:sz w:val="24"/>
          <w:szCs w:val="24"/>
        </w:rPr>
      </w:pPr>
      <w:r>
        <w:rPr>
          <w:rFonts w:ascii="宋体" w:hAnsi="宋体" w:eastAsia="宋体" w:cs="宋体"/>
          <w:sz w:val="24"/>
          <w:szCs w:val="24"/>
        </w:rPr>
        <w:t>参阅《剧毒化学品目录》（国家安全生产监督管理总局公告</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2015 </w:t>
      </w:r>
      <w:r>
        <w:rPr>
          <w:rFonts w:ascii="宋体" w:hAnsi="宋体" w:eastAsia="宋体" w:cs="宋体"/>
          <w:sz w:val="24"/>
          <w:szCs w:val="24"/>
        </w:rPr>
        <w:t>第</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pacing w:val="20"/>
          <w:w w:val="101"/>
          <w:sz w:val="24"/>
          <w:szCs w:val="24"/>
        </w:rPr>
        <w:t xml:space="preserve"> </w:t>
      </w:r>
      <w:r>
        <w:rPr>
          <w:rFonts w:ascii="宋体" w:hAnsi="宋体" w:eastAsia="宋体" w:cs="宋体"/>
          <w:sz w:val="24"/>
          <w:szCs w:val="24"/>
        </w:rPr>
        <w:t>号</w:t>
      </w:r>
      <w:r>
        <w:rPr>
          <w:rFonts w:ascii="宋体" w:hAnsi="宋体" w:eastAsia="宋体" w:cs="宋体"/>
          <w:spacing w:val="15"/>
          <w:sz w:val="24"/>
          <w:szCs w:val="24"/>
        </w:rPr>
        <w:t>），</w:t>
      </w:r>
      <w:r>
        <w:rPr>
          <w:rFonts w:ascii="宋体" w:hAnsi="宋体" w:eastAsia="宋体" w:cs="宋体"/>
          <w:sz w:val="24"/>
          <w:szCs w:val="24"/>
        </w:rPr>
        <w:t xml:space="preserve">本 </w:t>
      </w:r>
      <w:r>
        <w:rPr>
          <w:rFonts w:ascii="宋体" w:hAnsi="宋体" w:eastAsia="宋体" w:cs="宋体"/>
          <w:spacing w:val="-1"/>
          <w:sz w:val="24"/>
          <w:szCs w:val="24"/>
        </w:rPr>
        <w:t>项目正常运行时不涉及使用剧毒化学品。</w:t>
      </w:r>
    </w:p>
    <w:p w14:paraId="0E2BDF23">
      <w:pPr>
        <w:spacing w:line="217" w:lineRule="auto"/>
        <w:ind w:left="584"/>
        <w:rPr>
          <w:rFonts w:ascii="宋体" w:hAnsi="宋体" w:eastAsia="宋体" w:cs="宋体"/>
          <w:sz w:val="24"/>
          <w:szCs w:val="24"/>
        </w:rPr>
      </w:pPr>
      <w:r>
        <w:rPr>
          <w:rFonts w:ascii="宋体" w:hAnsi="宋体" w:eastAsia="宋体" w:cs="宋体"/>
          <w:spacing w:val="-1"/>
          <w:sz w:val="24"/>
          <w:szCs w:val="24"/>
        </w:rPr>
        <w:t>③物质火灾危险性分类</w:t>
      </w:r>
    </w:p>
    <w:p w14:paraId="63679118">
      <w:pPr>
        <w:spacing w:before="185" w:line="219" w:lineRule="auto"/>
        <w:ind w:left="587"/>
        <w:rPr>
          <w:rFonts w:ascii="宋体" w:hAnsi="宋体" w:eastAsia="宋体" w:cs="宋体"/>
          <w:sz w:val="24"/>
          <w:szCs w:val="24"/>
        </w:rPr>
      </w:pPr>
      <w:r>
        <w:rPr>
          <w:rFonts w:ascii="宋体" w:hAnsi="宋体" w:eastAsia="宋体" w:cs="宋体"/>
          <w:spacing w:val="-1"/>
          <w:sz w:val="24"/>
          <w:szCs w:val="24"/>
        </w:rPr>
        <w:t>本项目生产、储存过程中所涉及的物质的火灾危险性分类见下表。</w:t>
      </w:r>
    </w:p>
    <w:p w14:paraId="5B607E41">
      <w:pPr>
        <w:spacing w:before="306" w:line="226" w:lineRule="auto"/>
        <w:ind w:left="2930"/>
        <w:rPr>
          <w:rFonts w:ascii="宋体" w:hAnsi="宋体" w:eastAsia="宋体" w:cs="宋体"/>
          <w:sz w:val="25"/>
          <w:szCs w:val="25"/>
        </w:rPr>
      </w:pPr>
      <w:r>
        <w:rPr>
          <w:rFonts w:ascii="宋体" w:hAnsi="宋体" w:eastAsia="宋体" w:cs="宋体"/>
          <w:b/>
          <w:bCs/>
          <w:spacing w:val="4"/>
          <w:sz w:val="25"/>
          <w:szCs w:val="25"/>
        </w:rPr>
        <w:t>表</w:t>
      </w:r>
      <w:r>
        <w:rPr>
          <w:rFonts w:ascii="宋体" w:hAnsi="宋体" w:eastAsia="宋体" w:cs="宋体"/>
          <w:spacing w:val="-34"/>
          <w:sz w:val="25"/>
          <w:szCs w:val="25"/>
        </w:rPr>
        <w:t xml:space="preserve"> </w:t>
      </w:r>
      <w:r>
        <w:rPr>
          <w:rFonts w:ascii="Times New Roman" w:hAnsi="Times New Roman" w:eastAsia="Times New Roman" w:cs="Times New Roman"/>
          <w:b/>
          <w:bCs/>
          <w:spacing w:val="4"/>
          <w:sz w:val="25"/>
          <w:szCs w:val="25"/>
        </w:rPr>
        <w:t xml:space="preserve">19    </w:t>
      </w:r>
      <w:r>
        <w:rPr>
          <w:rFonts w:ascii="宋体" w:hAnsi="宋体" w:eastAsia="宋体" w:cs="宋体"/>
          <w:b/>
          <w:bCs/>
          <w:spacing w:val="4"/>
          <w:sz w:val="25"/>
          <w:szCs w:val="25"/>
        </w:rPr>
        <w:t>物质火灾危险性分类</w:t>
      </w:r>
    </w:p>
    <w:p w14:paraId="5E98B465">
      <w:pPr>
        <w:spacing w:line="160" w:lineRule="exact"/>
      </w:pPr>
    </w:p>
    <w:tbl>
      <w:tblPr>
        <w:tblStyle w:val="5"/>
        <w:tblW w:w="90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6"/>
        <w:gridCol w:w="1767"/>
        <w:gridCol w:w="1015"/>
        <w:gridCol w:w="1229"/>
        <w:gridCol w:w="1252"/>
        <w:gridCol w:w="1271"/>
        <w:gridCol w:w="1801"/>
      </w:tblGrid>
      <w:tr w14:paraId="36113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686" w:type="dxa"/>
            <w:vMerge w:val="restart"/>
            <w:tcBorders>
              <w:bottom w:val="nil"/>
            </w:tcBorders>
            <w:vAlign w:val="top"/>
          </w:tcPr>
          <w:p w14:paraId="7C69D65E">
            <w:pPr>
              <w:pStyle w:val="6"/>
              <w:spacing w:before="279" w:line="229" w:lineRule="auto"/>
              <w:ind w:left="129"/>
              <w:rPr>
                <w:sz w:val="20"/>
                <w:szCs w:val="20"/>
              </w:rPr>
            </w:pPr>
            <w:r>
              <w:rPr>
                <w:spacing w:val="5"/>
                <w:sz w:val="20"/>
                <w:szCs w:val="20"/>
              </w:rPr>
              <w:t>序号</w:t>
            </w:r>
          </w:p>
        </w:tc>
        <w:tc>
          <w:tcPr>
            <w:tcW w:w="1767" w:type="dxa"/>
            <w:vMerge w:val="restart"/>
            <w:tcBorders>
              <w:bottom w:val="nil"/>
            </w:tcBorders>
            <w:vAlign w:val="top"/>
          </w:tcPr>
          <w:p w14:paraId="305AEDB5">
            <w:pPr>
              <w:pStyle w:val="6"/>
              <w:spacing w:before="279" w:line="228" w:lineRule="auto"/>
              <w:ind w:left="459"/>
              <w:rPr>
                <w:sz w:val="20"/>
                <w:szCs w:val="20"/>
              </w:rPr>
            </w:pPr>
            <w:r>
              <w:rPr>
                <w:spacing w:val="7"/>
                <w:sz w:val="20"/>
                <w:szCs w:val="20"/>
              </w:rPr>
              <w:t>物料名称</w:t>
            </w:r>
          </w:p>
        </w:tc>
        <w:tc>
          <w:tcPr>
            <w:tcW w:w="1015" w:type="dxa"/>
            <w:vMerge w:val="restart"/>
            <w:tcBorders>
              <w:bottom w:val="nil"/>
            </w:tcBorders>
            <w:vAlign w:val="top"/>
          </w:tcPr>
          <w:p w14:paraId="2C36447C">
            <w:pPr>
              <w:pStyle w:val="6"/>
              <w:spacing w:before="278" w:line="228" w:lineRule="auto"/>
              <w:ind w:left="298"/>
              <w:rPr>
                <w:sz w:val="20"/>
                <w:szCs w:val="20"/>
              </w:rPr>
            </w:pPr>
            <w:r>
              <w:rPr>
                <w:spacing w:val="3"/>
                <w:sz w:val="20"/>
                <w:szCs w:val="20"/>
              </w:rPr>
              <w:t>性状</w:t>
            </w:r>
          </w:p>
        </w:tc>
        <w:tc>
          <w:tcPr>
            <w:tcW w:w="1229" w:type="dxa"/>
            <w:vMerge w:val="restart"/>
            <w:tcBorders>
              <w:bottom w:val="nil"/>
            </w:tcBorders>
            <w:vAlign w:val="top"/>
          </w:tcPr>
          <w:p w14:paraId="374034AD">
            <w:pPr>
              <w:pStyle w:val="6"/>
              <w:spacing w:before="279" w:line="228" w:lineRule="auto"/>
              <w:ind w:left="106"/>
              <w:rPr>
                <w:sz w:val="20"/>
                <w:szCs w:val="20"/>
              </w:rPr>
            </w:pPr>
            <w:r>
              <w:rPr>
                <w:spacing w:val="-2"/>
                <w:sz w:val="20"/>
                <w:szCs w:val="20"/>
              </w:rPr>
              <w:t>闪点</w:t>
            </w:r>
            <w:r>
              <w:rPr>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w:t>
            </w:r>
            <w:r>
              <w:rPr>
                <w:spacing w:val="-2"/>
                <w:sz w:val="20"/>
                <w:szCs w:val="20"/>
              </w:rPr>
              <w:t>)</w:t>
            </w:r>
          </w:p>
        </w:tc>
        <w:tc>
          <w:tcPr>
            <w:tcW w:w="2523" w:type="dxa"/>
            <w:gridSpan w:val="2"/>
            <w:vAlign w:val="top"/>
          </w:tcPr>
          <w:p w14:paraId="7BABE260">
            <w:pPr>
              <w:pStyle w:val="6"/>
              <w:spacing w:before="84" w:line="226" w:lineRule="auto"/>
              <w:ind w:left="413"/>
              <w:rPr>
                <w:sz w:val="20"/>
                <w:szCs w:val="20"/>
              </w:rPr>
            </w:pPr>
            <w:r>
              <w:rPr>
                <w:spacing w:val="5"/>
                <w:sz w:val="20"/>
                <w:szCs w:val="20"/>
              </w:rPr>
              <w:t>爆炸极限（</w:t>
            </w:r>
            <w:r>
              <w:rPr>
                <w:rFonts w:ascii="Times New Roman" w:hAnsi="Times New Roman" w:eastAsia="Times New Roman" w:cs="Times New Roman"/>
                <w:spacing w:val="5"/>
                <w:sz w:val="20"/>
                <w:szCs w:val="20"/>
              </w:rPr>
              <w:t>v/v%</w:t>
            </w:r>
            <w:r>
              <w:rPr>
                <w:spacing w:val="5"/>
                <w:sz w:val="20"/>
                <w:szCs w:val="20"/>
              </w:rPr>
              <w:t>）</w:t>
            </w:r>
          </w:p>
        </w:tc>
        <w:tc>
          <w:tcPr>
            <w:tcW w:w="1801" w:type="dxa"/>
            <w:vMerge w:val="restart"/>
            <w:tcBorders>
              <w:bottom w:val="nil"/>
            </w:tcBorders>
            <w:vAlign w:val="top"/>
          </w:tcPr>
          <w:p w14:paraId="0DD98487">
            <w:pPr>
              <w:pStyle w:val="6"/>
              <w:spacing w:before="278" w:line="228" w:lineRule="auto"/>
              <w:ind w:left="170"/>
              <w:rPr>
                <w:sz w:val="20"/>
                <w:szCs w:val="20"/>
              </w:rPr>
            </w:pPr>
            <w:r>
              <w:rPr>
                <w:spacing w:val="8"/>
                <w:sz w:val="20"/>
                <w:szCs w:val="20"/>
              </w:rPr>
              <w:t>火灾危险性分类</w:t>
            </w:r>
          </w:p>
        </w:tc>
      </w:tr>
      <w:tr w14:paraId="17FAB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686" w:type="dxa"/>
            <w:vMerge w:val="continue"/>
            <w:tcBorders>
              <w:top w:val="nil"/>
            </w:tcBorders>
            <w:vAlign w:val="top"/>
          </w:tcPr>
          <w:p w14:paraId="1E0B7B5F">
            <w:pPr>
              <w:rPr>
                <w:rFonts w:ascii="Arial"/>
                <w:sz w:val="21"/>
              </w:rPr>
            </w:pPr>
          </w:p>
        </w:tc>
        <w:tc>
          <w:tcPr>
            <w:tcW w:w="1767" w:type="dxa"/>
            <w:vMerge w:val="continue"/>
            <w:tcBorders>
              <w:top w:val="nil"/>
            </w:tcBorders>
            <w:vAlign w:val="top"/>
          </w:tcPr>
          <w:p w14:paraId="06632FF7">
            <w:pPr>
              <w:rPr>
                <w:rFonts w:ascii="Arial"/>
                <w:sz w:val="21"/>
              </w:rPr>
            </w:pPr>
          </w:p>
        </w:tc>
        <w:tc>
          <w:tcPr>
            <w:tcW w:w="1015" w:type="dxa"/>
            <w:vMerge w:val="continue"/>
            <w:tcBorders>
              <w:top w:val="nil"/>
            </w:tcBorders>
            <w:vAlign w:val="top"/>
          </w:tcPr>
          <w:p w14:paraId="52365F00">
            <w:pPr>
              <w:rPr>
                <w:rFonts w:ascii="Arial"/>
                <w:sz w:val="21"/>
              </w:rPr>
            </w:pPr>
          </w:p>
        </w:tc>
        <w:tc>
          <w:tcPr>
            <w:tcW w:w="1229" w:type="dxa"/>
            <w:vMerge w:val="continue"/>
            <w:tcBorders>
              <w:top w:val="nil"/>
            </w:tcBorders>
            <w:vAlign w:val="top"/>
          </w:tcPr>
          <w:p w14:paraId="7F3AA350">
            <w:pPr>
              <w:rPr>
                <w:rFonts w:ascii="Arial"/>
                <w:sz w:val="21"/>
              </w:rPr>
            </w:pPr>
          </w:p>
        </w:tc>
        <w:tc>
          <w:tcPr>
            <w:tcW w:w="1252" w:type="dxa"/>
            <w:vAlign w:val="top"/>
          </w:tcPr>
          <w:p w14:paraId="182D3120">
            <w:pPr>
              <w:pStyle w:val="6"/>
              <w:spacing w:before="76" w:line="228" w:lineRule="auto"/>
              <w:ind w:left="425"/>
              <w:rPr>
                <w:sz w:val="20"/>
                <w:szCs w:val="20"/>
              </w:rPr>
            </w:pPr>
            <w:r>
              <w:rPr>
                <w:spacing w:val="1"/>
                <w:sz w:val="20"/>
                <w:szCs w:val="20"/>
              </w:rPr>
              <w:t>下限</w:t>
            </w:r>
          </w:p>
        </w:tc>
        <w:tc>
          <w:tcPr>
            <w:tcW w:w="1271" w:type="dxa"/>
            <w:vAlign w:val="top"/>
          </w:tcPr>
          <w:p w14:paraId="4FB113E1">
            <w:pPr>
              <w:pStyle w:val="6"/>
              <w:spacing w:before="76" w:line="228" w:lineRule="auto"/>
              <w:ind w:left="430"/>
              <w:rPr>
                <w:sz w:val="20"/>
                <w:szCs w:val="20"/>
              </w:rPr>
            </w:pPr>
            <w:r>
              <w:rPr>
                <w:spacing w:val="3"/>
                <w:sz w:val="20"/>
                <w:szCs w:val="20"/>
              </w:rPr>
              <w:t>上限</w:t>
            </w:r>
          </w:p>
        </w:tc>
        <w:tc>
          <w:tcPr>
            <w:tcW w:w="1801" w:type="dxa"/>
            <w:vMerge w:val="continue"/>
            <w:tcBorders>
              <w:top w:val="nil"/>
            </w:tcBorders>
            <w:vAlign w:val="top"/>
          </w:tcPr>
          <w:p w14:paraId="0021A3F0">
            <w:pPr>
              <w:rPr>
                <w:rFonts w:ascii="Arial"/>
                <w:sz w:val="21"/>
              </w:rPr>
            </w:pPr>
          </w:p>
        </w:tc>
      </w:tr>
      <w:tr w14:paraId="27DE3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686" w:type="dxa"/>
            <w:vAlign w:val="top"/>
          </w:tcPr>
          <w:p w14:paraId="66C14302">
            <w:pPr>
              <w:spacing w:before="114"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67" w:type="dxa"/>
            <w:vAlign w:val="top"/>
          </w:tcPr>
          <w:p w14:paraId="073EF128">
            <w:pPr>
              <w:pStyle w:val="6"/>
              <w:spacing w:before="78" w:line="229" w:lineRule="auto"/>
              <w:ind w:left="670"/>
              <w:rPr>
                <w:sz w:val="20"/>
                <w:szCs w:val="20"/>
              </w:rPr>
            </w:pPr>
            <w:r>
              <w:rPr>
                <w:spacing w:val="3"/>
                <w:sz w:val="20"/>
                <w:szCs w:val="20"/>
              </w:rPr>
              <w:t>盐酸</w:t>
            </w:r>
          </w:p>
        </w:tc>
        <w:tc>
          <w:tcPr>
            <w:tcW w:w="1015" w:type="dxa"/>
            <w:vAlign w:val="top"/>
          </w:tcPr>
          <w:p w14:paraId="47FC6A90">
            <w:pPr>
              <w:pStyle w:val="6"/>
              <w:spacing w:before="78" w:line="228" w:lineRule="auto"/>
              <w:ind w:left="297"/>
              <w:rPr>
                <w:sz w:val="20"/>
                <w:szCs w:val="20"/>
              </w:rPr>
            </w:pPr>
            <w:r>
              <w:rPr>
                <w:spacing w:val="3"/>
                <w:sz w:val="20"/>
                <w:szCs w:val="20"/>
              </w:rPr>
              <w:t>液体</w:t>
            </w:r>
          </w:p>
        </w:tc>
        <w:tc>
          <w:tcPr>
            <w:tcW w:w="1229" w:type="dxa"/>
            <w:vAlign w:val="top"/>
          </w:tcPr>
          <w:p w14:paraId="6C62FF66">
            <w:pPr>
              <w:spacing w:before="110"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2" w:type="dxa"/>
            <w:vAlign w:val="top"/>
          </w:tcPr>
          <w:p w14:paraId="4DB9C71D">
            <w:pPr>
              <w:spacing w:before="110"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1" w:type="dxa"/>
            <w:vAlign w:val="top"/>
          </w:tcPr>
          <w:p w14:paraId="0CB7D58D">
            <w:pPr>
              <w:spacing w:before="110" w:line="199"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vAlign w:val="top"/>
          </w:tcPr>
          <w:p w14:paraId="68C313C9">
            <w:pPr>
              <w:pStyle w:val="6"/>
              <w:spacing w:before="78" w:line="229" w:lineRule="auto"/>
              <w:ind w:left="797"/>
              <w:rPr>
                <w:sz w:val="20"/>
                <w:szCs w:val="20"/>
              </w:rPr>
            </w:pPr>
            <w:r>
              <w:rPr>
                <w:sz w:val="20"/>
                <w:szCs w:val="20"/>
              </w:rPr>
              <w:t>戊</w:t>
            </w:r>
          </w:p>
        </w:tc>
      </w:tr>
      <w:tr w14:paraId="525A6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686" w:type="dxa"/>
            <w:vAlign w:val="top"/>
          </w:tcPr>
          <w:p w14:paraId="5B205DEA">
            <w:pPr>
              <w:spacing w:before="11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67" w:type="dxa"/>
            <w:vAlign w:val="top"/>
          </w:tcPr>
          <w:p w14:paraId="3B700090">
            <w:pPr>
              <w:pStyle w:val="6"/>
              <w:spacing w:before="79" w:line="228" w:lineRule="auto"/>
              <w:ind w:left="565"/>
              <w:rPr>
                <w:sz w:val="20"/>
                <w:szCs w:val="20"/>
              </w:rPr>
            </w:pPr>
            <w:r>
              <w:rPr>
                <w:spacing w:val="6"/>
                <w:sz w:val="20"/>
                <w:szCs w:val="20"/>
              </w:rPr>
              <w:t>氢氟酸</w:t>
            </w:r>
          </w:p>
        </w:tc>
        <w:tc>
          <w:tcPr>
            <w:tcW w:w="1015" w:type="dxa"/>
            <w:vAlign w:val="top"/>
          </w:tcPr>
          <w:p w14:paraId="5E5DE246">
            <w:pPr>
              <w:pStyle w:val="6"/>
              <w:spacing w:before="80" w:line="228" w:lineRule="auto"/>
              <w:ind w:left="297"/>
              <w:rPr>
                <w:sz w:val="20"/>
                <w:szCs w:val="20"/>
              </w:rPr>
            </w:pPr>
            <w:r>
              <w:rPr>
                <w:spacing w:val="3"/>
                <w:sz w:val="20"/>
                <w:szCs w:val="20"/>
              </w:rPr>
              <w:t>液体</w:t>
            </w:r>
          </w:p>
        </w:tc>
        <w:tc>
          <w:tcPr>
            <w:tcW w:w="1229" w:type="dxa"/>
            <w:vAlign w:val="top"/>
          </w:tcPr>
          <w:p w14:paraId="71989A5B">
            <w:pPr>
              <w:spacing w:before="112"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2" w:type="dxa"/>
            <w:vAlign w:val="top"/>
          </w:tcPr>
          <w:p w14:paraId="4C1FD2DB">
            <w:pPr>
              <w:spacing w:before="112"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1" w:type="dxa"/>
            <w:vAlign w:val="top"/>
          </w:tcPr>
          <w:p w14:paraId="64F70C5C">
            <w:pPr>
              <w:spacing w:before="112" w:line="199"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vAlign w:val="top"/>
          </w:tcPr>
          <w:p w14:paraId="4AB9996B">
            <w:pPr>
              <w:pStyle w:val="6"/>
              <w:spacing w:before="80" w:line="229" w:lineRule="auto"/>
              <w:ind w:left="797"/>
              <w:rPr>
                <w:sz w:val="20"/>
                <w:szCs w:val="20"/>
              </w:rPr>
            </w:pPr>
            <w:r>
              <w:rPr>
                <w:sz w:val="20"/>
                <w:szCs w:val="20"/>
              </w:rPr>
              <w:t>戊</w:t>
            </w:r>
          </w:p>
        </w:tc>
      </w:tr>
      <w:tr w14:paraId="79615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686" w:type="dxa"/>
            <w:vAlign w:val="top"/>
          </w:tcPr>
          <w:p w14:paraId="5778A995">
            <w:pPr>
              <w:spacing w:before="11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67" w:type="dxa"/>
            <w:vAlign w:val="top"/>
          </w:tcPr>
          <w:p w14:paraId="79C180B2">
            <w:pPr>
              <w:pStyle w:val="6"/>
              <w:spacing w:before="80" w:line="229" w:lineRule="auto"/>
              <w:ind w:left="667"/>
              <w:rPr>
                <w:sz w:val="20"/>
                <w:szCs w:val="20"/>
              </w:rPr>
            </w:pPr>
            <w:r>
              <w:rPr>
                <w:spacing w:val="5"/>
                <w:sz w:val="20"/>
                <w:szCs w:val="20"/>
              </w:rPr>
              <w:t>硫酸</w:t>
            </w:r>
          </w:p>
        </w:tc>
        <w:tc>
          <w:tcPr>
            <w:tcW w:w="1015" w:type="dxa"/>
            <w:vAlign w:val="top"/>
          </w:tcPr>
          <w:p w14:paraId="1B85B1D0">
            <w:pPr>
              <w:pStyle w:val="6"/>
              <w:spacing w:before="81" w:line="228" w:lineRule="auto"/>
              <w:ind w:left="297"/>
              <w:rPr>
                <w:sz w:val="20"/>
                <w:szCs w:val="20"/>
              </w:rPr>
            </w:pPr>
            <w:r>
              <w:rPr>
                <w:spacing w:val="3"/>
                <w:sz w:val="20"/>
                <w:szCs w:val="20"/>
              </w:rPr>
              <w:t>液体</w:t>
            </w:r>
          </w:p>
        </w:tc>
        <w:tc>
          <w:tcPr>
            <w:tcW w:w="1229" w:type="dxa"/>
            <w:vAlign w:val="top"/>
          </w:tcPr>
          <w:p w14:paraId="0AEBD773">
            <w:pPr>
              <w:spacing w:before="112"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2" w:type="dxa"/>
            <w:vAlign w:val="top"/>
          </w:tcPr>
          <w:p w14:paraId="6F08683D">
            <w:pPr>
              <w:spacing w:before="112"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1" w:type="dxa"/>
            <w:vAlign w:val="top"/>
          </w:tcPr>
          <w:p w14:paraId="187517BF">
            <w:pPr>
              <w:spacing w:before="112" w:line="199"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vAlign w:val="top"/>
          </w:tcPr>
          <w:p w14:paraId="0FC3D8AE">
            <w:pPr>
              <w:pStyle w:val="6"/>
              <w:spacing w:before="80" w:line="263" w:lineRule="exact"/>
              <w:ind w:left="817"/>
              <w:rPr>
                <w:sz w:val="20"/>
                <w:szCs w:val="20"/>
              </w:rPr>
            </w:pPr>
            <w:r>
              <w:rPr>
                <w:position w:val="1"/>
                <w:sz w:val="20"/>
                <w:szCs w:val="20"/>
              </w:rPr>
              <w:t>乙</w:t>
            </w:r>
          </w:p>
        </w:tc>
      </w:tr>
      <w:tr w14:paraId="304F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686" w:type="dxa"/>
            <w:vAlign w:val="top"/>
          </w:tcPr>
          <w:p w14:paraId="746A865F">
            <w:pPr>
              <w:spacing w:before="11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67" w:type="dxa"/>
            <w:vAlign w:val="top"/>
          </w:tcPr>
          <w:p w14:paraId="57E09839">
            <w:pPr>
              <w:pStyle w:val="6"/>
              <w:spacing w:before="81" w:line="229" w:lineRule="auto"/>
              <w:ind w:left="670"/>
              <w:rPr>
                <w:sz w:val="20"/>
                <w:szCs w:val="20"/>
              </w:rPr>
            </w:pPr>
            <w:r>
              <w:rPr>
                <w:spacing w:val="3"/>
                <w:sz w:val="20"/>
                <w:szCs w:val="20"/>
              </w:rPr>
              <w:t>硝酸</w:t>
            </w:r>
          </w:p>
        </w:tc>
        <w:tc>
          <w:tcPr>
            <w:tcW w:w="1015" w:type="dxa"/>
            <w:vAlign w:val="top"/>
          </w:tcPr>
          <w:p w14:paraId="6ACE47F2">
            <w:pPr>
              <w:pStyle w:val="6"/>
              <w:spacing w:before="82" w:line="228" w:lineRule="auto"/>
              <w:ind w:left="297"/>
              <w:rPr>
                <w:sz w:val="20"/>
                <w:szCs w:val="20"/>
              </w:rPr>
            </w:pPr>
            <w:r>
              <w:rPr>
                <w:spacing w:val="3"/>
                <w:sz w:val="20"/>
                <w:szCs w:val="20"/>
              </w:rPr>
              <w:t>液体</w:t>
            </w:r>
          </w:p>
        </w:tc>
        <w:tc>
          <w:tcPr>
            <w:tcW w:w="1229" w:type="dxa"/>
            <w:vAlign w:val="top"/>
          </w:tcPr>
          <w:p w14:paraId="26D4CA8D">
            <w:pPr>
              <w:spacing w:before="113"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2" w:type="dxa"/>
            <w:vAlign w:val="top"/>
          </w:tcPr>
          <w:p w14:paraId="7ABF2A46">
            <w:pPr>
              <w:spacing w:before="113"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1" w:type="dxa"/>
            <w:vAlign w:val="top"/>
          </w:tcPr>
          <w:p w14:paraId="2C9B58B3">
            <w:pPr>
              <w:spacing w:before="113" w:line="199"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vAlign w:val="top"/>
          </w:tcPr>
          <w:p w14:paraId="592FCE9B">
            <w:pPr>
              <w:pStyle w:val="6"/>
              <w:spacing w:before="81" w:line="263" w:lineRule="exact"/>
              <w:ind w:left="817"/>
              <w:rPr>
                <w:sz w:val="20"/>
                <w:szCs w:val="20"/>
              </w:rPr>
            </w:pPr>
            <w:r>
              <w:rPr>
                <w:position w:val="1"/>
                <w:sz w:val="20"/>
                <w:szCs w:val="20"/>
              </w:rPr>
              <w:t>乙</w:t>
            </w:r>
          </w:p>
        </w:tc>
      </w:tr>
      <w:tr w14:paraId="50864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686" w:type="dxa"/>
            <w:vAlign w:val="top"/>
          </w:tcPr>
          <w:p w14:paraId="1BC2C3A9">
            <w:pPr>
              <w:spacing w:before="121"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67" w:type="dxa"/>
            <w:vAlign w:val="top"/>
          </w:tcPr>
          <w:p w14:paraId="23F1F28E">
            <w:pPr>
              <w:pStyle w:val="6"/>
              <w:spacing w:before="82" w:line="227" w:lineRule="auto"/>
              <w:ind w:left="44"/>
              <w:rPr>
                <w:sz w:val="20"/>
                <w:szCs w:val="20"/>
              </w:rPr>
            </w:pPr>
            <w:r>
              <w:rPr>
                <w:spacing w:val="6"/>
                <w:sz w:val="20"/>
                <w:szCs w:val="20"/>
              </w:rPr>
              <w:t>片碱（氢氧化钠）</w:t>
            </w:r>
          </w:p>
        </w:tc>
        <w:tc>
          <w:tcPr>
            <w:tcW w:w="1015" w:type="dxa"/>
            <w:vAlign w:val="top"/>
          </w:tcPr>
          <w:p w14:paraId="62FCC913">
            <w:pPr>
              <w:pStyle w:val="6"/>
              <w:spacing w:before="82" w:line="228" w:lineRule="auto"/>
              <w:ind w:left="314"/>
              <w:rPr>
                <w:sz w:val="20"/>
                <w:szCs w:val="20"/>
              </w:rPr>
            </w:pPr>
            <w:r>
              <w:rPr>
                <w:spacing w:val="-5"/>
                <w:sz w:val="20"/>
                <w:szCs w:val="20"/>
              </w:rPr>
              <w:t>固体</w:t>
            </w:r>
          </w:p>
        </w:tc>
        <w:tc>
          <w:tcPr>
            <w:tcW w:w="1229" w:type="dxa"/>
            <w:vAlign w:val="top"/>
          </w:tcPr>
          <w:p w14:paraId="1B4B2CC5">
            <w:pPr>
              <w:spacing w:before="114" w:line="199"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2" w:type="dxa"/>
            <w:vAlign w:val="top"/>
          </w:tcPr>
          <w:p w14:paraId="400B6A6C">
            <w:pPr>
              <w:spacing w:before="114"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1" w:type="dxa"/>
            <w:vAlign w:val="top"/>
          </w:tcPr>
          <w:p w14:paraId="41AD0526">
            <w:pPr>
              <w:spacing w:before="114" w:line="199"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vAlign w:val="top"/>
          </w:tcPr>
          <w:p w14:paraId="6964BBA9">
            <w:pPr>
              <w:pStyle w:val="6"/>
              <w:spacing w:before="82" w:line="229" w:lineRule="auto"/>
              <w:ind w:left="797"/>
              <w:rPr>
                <w:sz w:val="20"/>
                <w:szCs w:val="20"/>
              </w:rPr>
            </w:pPr>
            <w:r>
              <w:rPr>
                <w:sz w:val="20"/>
                <w:szCs w:val="20"/>
              </w:rPr>
              <w:t>戊</w:t>
            </w:r>
          </w:p>
        </w:tc>
      </w:tr>
      <w:tr w14:paraId="28860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686" w:type="dxa"/>
            <w:vAlign w:val="top"/>
          </w:tcPr>
          <w:p w14:paraId="2AB5BDD4">
            <w:pPr>
              <w:spacing w:before="12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67" w:type="dxa"/>
            <w:vAlign w:val="top"/>
          </w:tcPr>
          <w:p w14:paraId="1F2053A6">
            <w:pPr>
              <w:pStyle w:val="6"/>
              <w:spacing w:before="84" w:line="228" w:lineRule="auto"/>
              <w:ind w:left="689"/>
              <w:rPr>
                <w:sz w:val="20"/>
                <w:szCs w:val="20"/>
              </w:rPr>
            </w:pPr>
            <w:r>
              <w:rPr>
                <w:spacing w:val="-6"/>
                <w:sz w:val="20"/>
                <w:szCs w:val="20"/>
              </w:rPr>
              <w:t>乙醇</w:t>
            </w:r>
          </w:p>
        </w:tc>
        <w:tc>
          <w:tcPr>
            <w:tcW w:w="1015" w:type="dxa"/>
            <w:vAlign w:val="top"/>
          </w:tcPr>
          <w:p w14:paraId="6D41138A">
            <w:pPr>
              <w:pStyle w:val="6"/>
              <w:spacing w:before="84" w:line="228" w:lineRule="auto"/>
              <w:ind w:left="297"/>
              <w:rPr>
                <w:sz w:val="20"/>
                <w:szCs w:val="20"/>
              </w:rPr>
            </w:pPr>
            <w:r>
              <w:rPr>
                <w:spacing w:val="3"/>
                <w:sz w:val="20"/>
                <w:szCs w:val="20"/>
              </w:rPr>
              <w:t>液体</w:t>
            </w:r>
          </w:p>
        </w:tc>
        <w:tc>
          <w:tcPr>
            <w:tcW w:w="1229" w:type="dxa"/>
            <w:vAlign w:val="top"/>
          </w:tcPr>
          <w:p w14:paraId="5D8AF32F">
            <w:pPr>
              <w:spacing w:before="120"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52" w:type="dxa"/>
            <w:vAlign w:val="top"/>
          </w:tcPr>
          <w:p w14:paraId="54D3D463">
            <w:pPr>
              <w:spacing w:before="120"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1271" w:type="dxa"/>
            <w:vAlign w:val="top"/>
          </w:tcPr>
          <w:p w14:paraId="67355026">
            <w:pPr>
              <w:spacing w:before="12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19.0</w:t>
            </w:r>
          </w:p>
        </w:tc>
        <w:tc>
          <w:tcPr>
            <w:tcW w:w="1801" w:type="dxa"/>
            <w:vAlign w:val="top"/>
          </w:tcPr>
          <w:p w14:paraId="6CE0F77C">
            <w:pPr>
              <w:pStyle w:val="6"/>
              <w:spacing w:before="83" w:line="231" w:lineRule="auto"/>
              <w:ind w:left="824"/>
              <w:rPr>
                <w:sz w:val="20"/>
                <w:szCs w:val="20"/>
              </w:rPr>
            </w:pPr>
            <w:r>
              <w:rPr>
                <w:sz w:val="20"/>
                <w:szCs w:val="20"/>
              </w:rPr>
              <w:t>甲</w:t>
            </w:r>
          </w:p>
        </w:tc>
      </w:tr>
      <w:tr w14:paraId="48272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686" w:type="dxa"/>
            <w:vAlign w:val="top"/>
          </w:tcPr>
          <w:p w14:paraId="7A43959A">
            <w:pPr>
              <w:spacing w:before="126" w:line="192"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67" w:type="dxa"/>
            <w:vAlign w:val="top"/>
          </w:tcPr>
          <w:p w14:paraId="1EE9E9A2">
            <w:pPr>
              <w:pStyle w:val="6"/>
              <w:spacing w:before="87" w:line="228" w:lineRule="auto"/>
              <w:ind w:left="672"/>
              <w:rPr>
                <w:sz w:val="20"/>
                <w:szCs w:val="20"/>
              </w:rPr>
            </w:pPr>
            <w:r>
              <w:rPr>
                <w:spacing w:val="2"/>
                <w:sz w:val="20"/>
                <w:szCs w:val="20"/>
              </w:rPr>
              <w:t>丙酮</w:t>
            </w:r>
          </w:p>
        </w:tc>
        <w:tc>
          <w:tcPr>
            <w:tcW w:w="1015" w:type="dxa"/>
            <w:vAlign w:val="top"/>
          </w:tcPr>
          <w:p w14:paraId="39D75F33">
            <w:pPr>
              <w:pStyle w:val="6"/>
              <w:spacing w:before="87" w:line="228" w:lineRule="auto"/>
              <w:ind w:left="297"/>
              <w:rPr>
                <w:sz w:val="20"/>
                <w:szCs w:val="20"/>
              </w:rPr>
            </w:pPr>
            <w:r>
              <w:rPr>
                <w:spacing w:val="3"/>
                <w:sz w:val="20"/>
                <w:szCs w:val="20"/>
              </w:rPr>
              <w:t>液体</w:t>
            </w:r>
          </w:p>
        </w:tc>
        <w:tc>
          <w:tcPr>
            <w:tcW w:w="1229" w:type="dxa"/>
            <w:vAlign w:val="top"/>
          </w:tcPr>
          <w:p w14:paraId="5A9AAEE3">
            <w:pPr>
              <w:spacing w:before="123"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1252" w:type="dxa"/>
            <w:vAlign w:val="top"/>
          </w:tcPr>
          <w:p w14:paraId="55136214">
            <w:pPr>
              <w:spacing w:before="123"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71" w:type="dxa"/>
            <w:vAlign w:val="top"/>
          </w:tcPr>
          <w:p w14:paraId="0A8D32BE">
            <w:pPr>
              <w:spacing w:before="123"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w:t>
            </w:r>
          </w:p>
        </w:tc>
        <w:tc>
          <w:tcPr>
            <w:tcW w:w="1801" w:type="dxa"/>
            <w:vAlign w:val="top"/>
          </w:tcPr>
          <w:p w14:paraId="27489CAD">
            <w:pPr>
              <w:pStyle w:val="6"/>
              <w:spacing w:before="86" w:line="231" w:lineRule="auto"/>
              <w:ind w:left="824"/>
              <w:rPr>
                <w:sz w:val="20"/>
                <w:szCs w:val="20"/>
              </w:rPr>
            </w:pPr>
            <w:r>
              <w:rPr>
                <w:sz w:val="20"/>
                <w:szCs w:val="20"/>
              </w:rPr>
              <w:t>甲</w:t>
            </w:r>
          </w:p>
        </w:tc>
      </w:tr>
      <w:tr w14:paraId="4386D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686" w:type="dxa"/>
            <w:vAlign w:val="top"/>
          </w:tcPr>
          <w:p w14:paraId="7F25DC61">
            <w:pPr>
              <w:spacing w:before="124"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67" w:type="dxa"/>
            <w:vAlign w:val="top"/>
          </w:tcPr>
          <w:p w14:paraId="2F483BBD">
            <w:pPr>
              <w:pStyle w:val="6"/>
              <w:spacing w:before="88" w:line="228" w:lineRule="auto"/>
              <w:ind w:left="459"/>
              <w:rPr>
                <w:sz w:val="20"/>
                <w:szCs w:val="20"/>
              </w:rPr>
            </w:pPr>
            <w:r>
              <w:rPr>
                <w:spacing w:val="7"/>
                <w:sz w:val="20"/>
                <w:szCs w:val="20"/>
              </w:rPr>
              <w:t>三乙醇胺</w:t>
            </w:r>
          </w:p>
        </w:tc>
        <w:tc>
          <w:tcPr>
            <w:tcW w:w="1015" w:type="dxa"/>
            <w:vAlign w:val="top"/>
          </w:tcPr>
          <w:p w14:paraId="59456291">
            <w:pPr>
              <w:pStyle w:val="6"/>
              <w:spacing w:before="88" w:line="228" w:lineRule="auto"/>
              <w:ind w:left="297"/>
              <w:rPr>
                <w:sz w:val="20"/>
                <w:szCs w:val="20"/>
              </w:rPr>
            </w:pPr>
            <w:r>
              <w:rPr>
                <w:spacing w:val="3"/>
                <w:sz w:val="20"/>
                <w:szCs w:val="20"/>
              </w:rPr>
              <w:t>液体</w:t>
            </w:r>
          </w:p>
        </w:tc>
        <w:tc>
          <w:tcPr>
            <w:tcW w:w="1229" w:type="dxa"/>
            <w:vAlign w:val="top"/>
          </w:tcPr>
          <w:p w14:paraId="7461016D">
            <w:pPr>
              <w:spacing w:before="124"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w:t>
            </w:r>
          </w:p>
        </w:tc>
        <w:tc>
          <w:tcPr>
            <w:tcW w:w="1252" w:type="dxa"/>
            <w:vAlign w:val="top"/>
          </w:tcPr>
          <w:p w14:paraId="25024975">
            <w:pPr>
              <w:spacing w:before="120"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1" w:type="dxa"/>
            <w:vAlign w:val="top"/>
          </w:tcPr>
          <w:p w14:paraId="27296CE1">
            <w:pPr>
              <w:spacing w:before="120" w:line="199"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01" w:type="dxa"/>
            <w:vAlign w:val="top"/>
          </w:tcPr>
          <w:p w14:paraId="25A6A2B9">
            <w:pPr>
              <w:pStyle w:val="6"/>
              <w:spacing w:before="87" w:line="231" w:lineRule="auto"/>
              <w:ind w:left="824"/>
              <w:rPr>
                <w:sz w:val="20"/>
                <w:szCs w:val="20"/>
              </w:rPr>
            </w:pPr>
            <w:r>
              <w:rPr>
                <w:sz w:val="20"/>
                <w:szCs w:val="20"/>
              </w:rPr>
              <w:t>甲</w:t>
            </w:r>
          </w:p>
        </w:tc>
      </w:tr>
      <w:tr w14:paraId="33ADB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686" w:type="dxa"/>
            <w:vAlign w:val="top"/>
          </w:tcPr>
          <w:p w14:paraId="7F2ABE22">
            <w:pPr>
              <w:spacing w:before="12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67" w:type="dxa"/>
            <w:vAlign w:val="top"/>
          </w:tcPr>
          <w:p w14:paraId="3B514C2F">
            <w:pPr>
              <w:pStyle w:val="6"/>
              <w:spacing w:before="89" w:line="228" w:lineRule="auto"/>
              <w:ind w:left="564"/>
              <w:rPr>
                <w:sz w:val="20"/>
                <w:szCs w:val="20"/>
              </w:rPr>
            </w:pPr>
            <w:r>
              <w:rPr>
                <w:spacing w:val="7"/>
                <w:sz w:val="20"/>
                <w:szCs w:val="20"/>
              </w:rPr>
              <w:t>废酸液</w:t>
            </w:r>
          </w:p>
        </w:tc>
        <w:tc>
          <w:tcPr>
            <w:tcW w:w="1015" w:type="dxa"/>
            <w:vAlign w:val="top"/>
          </w:tcPr>
          <w:p w14:paraId="3F6305FB">
            <w:pPr>
              <w:pStyle w:val="6"/>
              <w:spacing w:before="89" w:line="228" w:lineRule="auto"/>
              <w:ind w:left="297"/>
              <w:rPr>
                <w:sz w:val="20"/>
                <w:szCs w:val="20"/>
              </w:rPr>
            </w:pPr>
            <w:r>
              <w:rPr>
                <w:spacing w:val="3"/>
                <w:sz w:val="20"/>
                <w:szCs w:val="20"/>
              </w:rPr>
              <w:t>液体</w:t>
            </w:r>
          </w:p>
        </w:tc>
        <w:tc>
          <w:tcPr>
            <w:tcW w:w="1229" w:type="dxa"/>
            <w:vAlign w:val="top"/>
          </w:tcPr>
          <w:p w14:paraId="14023782">
            <w:pPr>
              <w:pStyle w:val="6"/>
              <w:spacing w:before="89" w:line="228" w:lineRule="auto"/>
              <w:ind w:left="300"/>
              <w:rPr>
                <w:sz w:val="20"/>
                <w:szCs w:val="20"/>
              </w:rPr>
            </w:pPr>
            <w:r>
              <w:rPr>
                <w:spacing w:val="6"/>
                <w:sz w:val="20"/>
                <w:szCs w:val="20"/>
              </w:rPr>
              <w:t>无资料</w:t>
            </w:r>
          </w:p>
        </w:tc>
        <w:tc>
          <w:tcPr>
            <w:tcW w:w="1252" w:type="dxa"/>
            <w:vAlign w:val="top"/>
          </w:tcPr>
          <w:p w14:paraId="58A06195">
            <w:pPr>
              <w:pStyle w:val="6"/>
              <w:spacing w:before="89" w:line="228" w:lineRule="auto"/>
              <w:ind w:left="314"/>
              <w:rPr>
                <w:sz w:val="20"/>
                <w:szCs w:val="20"/>
              </w:rPr>
            </w:pPr>
            <w:r>
              <w:rPr>
                <w:spacing w:val="6"/>
                <w:sz w:val="20"/>
                <w:szCs w:val="20"/>
              </w:rPr>
              <w:t>无资料</w:t>
            </w:r>
          </w:p>
        </w:tc>
        <w:tc>
          <w:tcPr>
            <w:tcW w:w="1271" w:type="dxa"/>
            <w:vAlign w:val="top"/>
          </w:tcPr>
          <w:p w14:paraId="5CB0D26E">
            <w:pPr>
              <w:pStyle w:val="6"/>
              <w:spacing w:before="89" w:line="228" w:lineRule="auto"/>
              <w:ind w:left="327"/>
              <w:rPr>
                <w:sz w:val="20"/>
                <w:szCs w:val="20"/>
              </w:rPr>
            </w:pPr>
            <w:r>
              <w:rPr>
                <w:spacing w:val="6"/>
                <w:sz w:val="20"/>
                <w:szCs w:val="20"/>
              </w:rPr>
              <w:t>无资料</w:t>
            </w:r>
          </w:p>
        </w:tc>
        <w:tc>
          <w:tcPr>
            <w:tcW w:w="1801" w:type="dxa"/>
            <w:vAlign w:val="top"/>
          </w:tcPr>
          <w:p w14:paraId="2AAF4E8C">
            <w:pPr>
              <w:pStyle w:val="6"/>
              <w:spacing w:before="89" w:line="228" w:lineRule="auto"/>
              <w:ind w:left="590"/>
              <w:rPr>
                <w:sz w:val="20"/>
                <w:szCs w:val="20"/>
              </w:rPr>
            </w:pPr>
            <w:r>
              <w:rPr>
                <w:spacing w:val="6"/>
                <w:sz w:val="20"/>
                <w:szCs w:val="20"/>
              </w:rPr>
              <w:t>无资料</w:t>
            </w:r>
          </w:p>
        </w:tc>
      </w:tr>
    </w:tbl>
    <w:p w14:paraId="4F91D670">
      <w:pPr>
        <w:rPr>
          <w:rFonts w:ascii="Arial"/>
          <w:sz w:val="21"/>
        </w:rPr>
      </w:pPr>
    </w:p>
    <w:p w14:paraId="7F1E5DB9">
      <w:pPr>
        <w:rPr>
          <w:rFonts w:ascii="Arial" w:hAnsi="Arial" w:eastAsia="Arial" w:cs="Arial"/>
          <w:sz w:val="21"/>
          <w:szCs w:val="21"/>
        </w:rPr>
        <w:sectPr>
          <w:footerReference r:id="rId131" w:type="default"/>
          <w:pgSz w:w="11906" w:h="16839"/>
          <w:pgMar w:top="400" w:right="1435" w:bottom="1127" w:left="1434" w:header="0" w:footer="965" w:gutter="0"/>
          <w:cols w:space="720" w:num="1"/>
        </w:sectPr>
      </w:pPr>
    </w:p>
    <w:p w14:paraId="26F8457A">
      <w:pPr>
        <w:spacing w:line="250" w:lineRule="auto"/>
        <w:rPr>
          <w:rFonts w:ascii="Arial"/>
          <w:sz w:val="21"/>
        </w:rPr>
      </w:pPr>
    </w:p>
    <w:p w14:paraId="1CE22E95">
      <w:pPr>
        <w:spacing w:line="250" w:lineRule="auto"/>
        <w:rPr>
          <w:rFonts w:ascii="Arial"/>
          <w:sz w:val="21"/>
        </w:rPr>
      </w:pPr>
    </w:p>
    <w:p w14:paraId="6F901803">
      <w:pPr>
        <w:spacing w:line="250" w:lineRule="auto"/>
        <w:rPr>
          <w:rFonts w:ascii="Arial"/>
          <w:sz w:val="21"/>
        </w:rPr>
      </w:pPr>
    </w:p>
    <w:p w14:paraId="4E9086F9">
      <w:pPr>
        <w:spacing w:line="250" w:lineRule="auto"/>
        <w:rPr>
          <w:rFonts w:ascii="Arial"/>
          <w:sz w:val="21"/>
        </w:rPr>
      </w:pPr>
    </w:p>
    <w:p w14:paraId="3D56707E">
      <w:pPr>
        <w:spacing w:line="251" w:lineRule="auto"/>
        <w:rPr>
          <w:rFonts w:ascii="Arial"/>
          <w:sz w:val="21"/>
        </w:rPr>
      </w:pPr>
    </w:p>
    <w:p w14:paraId="1C34F6D2">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3.4  </w:t>
      </w:r>
      <w:r>
        <w:rPr>
          <w:rFonts w:ascii="宋体" w:hAnsi="宋体" w:eastAsia="宋体" w:cs="宋体"/>
          <w:b/>
          <w:bCs/>
          <w:spacing w:val="-2"/>
          <w:sz w:val="24"/>
          <w:szCs w:val="24"/>
        </w:rPr>
        <w:t>危险过程及类型识别</w:t>
      </w:r>
    </w:p>
    <w:p w14:paraId="22A6915A">
      <w:pPr>
        <w:spacing w:before="180" w:line="220" w:lineRule="auto"/>
        <w:ind w:left="16"/>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）危险单元风险识别</w:t>
      </w:r>
    </w:p>
    <w:p w14:paraId="4280C7EB">
      <w:pPr>
        <w:spacing w:before="182" w:line="360" w:lineRule="auto"/>
        <w:ind w:left="7" w:firstLine="480"/>
        <w:rPr>
          <w:rFonts w:ascii="宋体" w:hAnsi="宋体" w:eastAsia="宋体" w:cs="宋体"/>
          <w:sz w:val="24"/>
          <w:szCs w:val="24"/>
        </w:rPr>
      </w:pPr>
      <w:r>
        <w:rPr>
          <w:rFonts w:ascii="宋体" w:hAnsi="宋体" w:eastAsia="宋体" w:cs="宋体"/>
          <w:spacing w:val="-1"/>
          <w:sz w:val="24"/>
          <w:szCs w:val="24"/>
        </w:rPr>
        <w:t>生产设施风险识别范围包括：生产车间、化学品</w:t>
      </w:r>
      <w:r>
        <w:rPr>
          <w:rFonts w:ascii="宋体" w:hAnsi="宋体" w:eastAsia="宋体" w:cs="宋体"/>
          <w:spacing w:val="-2"/>
          <w:sz w:val="24"/>
          <w:szCs w:val="24"/>
        </w:rPr>
        <w:t>仓库、废水处理站、危废暂存间</w:t>
      </w:r>
      <w:r>
        <w:rPr>
          <w:rFonts w:ascii="宋体" w:hAnsi="宋体" w:eastAsia="宋体" w:cs="宋体"/>
          <w:sz w:val="24"/>
          <w:szCs w:val="24"/>
        </w:rPr>
        <w:t xml:space="preserve"> </w:t>
      </w:r>
      <w:r>
        <w:rPr>
          <w:rFonts w:ascii="宋体" w:hAnsi="宋体" w:eastAsia="宋体" w:cs="宋体"/>
          <w:spacing w:val="-2"/>
          <w:sz w:val="24"/>
          <w:szCs w:val="24"/>
        </w:rPr>
        <w:t>等，环境风险详见下表。</w:t>
      </w:r>
    </w:p>
    <w:p w14:paraId="432D41A2">
      <w:pPr>
        <w:spacing w:before="119" w:line="226" w:lineRule="auto"/>
        <w:ind w:left="2698"/>
        <w:rPr>
          <w:rFonts w:ascii="宋体" w:hAnsi="宋体" w:eastAsia="宋体" w:cs="宋体"/>
          <w:sz w:val="25"/>
          <w:szCs w:val="25"/>
        </w:rPr>
      </w:pPr>
      <w:r>
        <w:rPr>
          <w:rFonts w:ascii="宋体" w:hAnsi="宋体" w:eastAsia="宋体" w:cs="宋体"/>
          <w:b/>
          <w:bCs/>
          <w:spacing w:val="5"/>
          <w:sz w:val="25"/>
          <w:szCs w:val="25"/>
        </w:rPr>
        <w:t>表</w:t>
      </w:r>
      <w:r>
        <w:rPr>
          <w:rFonts w:ascii="宋体" w:hAnsi="宋体" w:eastAsia="宋体" w:cs="宋体"/>
          <w:spacing w:val="-44"/>
          <w:sz w:val="25"/>
          <w:szCs w:val="25"/>
        </w:rPr>
        <w:t xml:space="preserve"> </w:t>
      </w:r>
      <w:r>
        <w:rPr>
          <w:rFonts w:ascii="Times New Roman" w:hAnsi="Times New Roman" w:eastAsia="Times New Roman" w:cs="Times New Roman"/>
          <w:b/>
          <w:bCs/>
          <w:spacing w:val="5"/>
          <w:sz w:val="25"/>
          <w:szCs w:val="25"/>
        </w:rPr>
        <w:t xml:space="preserve">20    </w:t>
      </w:r>
      <w:r>
        <w:rPr>
          <w:rFonts w:ascii="宋体" w:hAnsi="宋体" w:eastAsia="宋体" w:cs="宋体"/>
          <w:b/>
          <w:bCs/>
          <w:spacing w:val="5"/>
          <w:sz w:val="25"/>
          <w:szCs w:val="25"/>
        </w:rPr>
        <w:t>生产设施单元风险识别</w:t>
      </w:r>
    </w:p>
    <w:p w14:paraId="376C3949">
      <w:pPr>
        <w:spacing w:line="161" w:lineRule="exact"/>
      </w:pPr>
    </w:p>
    <w:tbl>
      <w:tblPr>
        <w:tblStyle w:val="5"/>
        <w:tblW w:w="8729"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586"/>
        <w:gridCol w:w="1748"/>
        <w:gridCol w:w="1775"/>
        <w:gridCol w:w="1379"/>
        <w:gridCol w:w="1406"/>
      </w:tblGrid>
      <w:tr w14:paraId="07518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35" w:type="dxa"/>
            <w:vAlign w:val="top"/>
          </w:tcPr>
          <w:p w14:paraId="6D21C1B5">
            <w:pPr>
              <w:pStyle w:val="6"/>
              <w:spacing w:before="199" w:line="229" w:lineRule="auto"/>
              <w:ind w:left="212"/>
              <w:rPr>
                <w:sz w:val="20"/>
                <w:szCs w:val="20"/>
              </w:rPr>
            </w:pPr>
            <w:r>
              <w:rPr>
                <w:spacing w:val="5"/>
                <w:sz w:val="20"/>
                <w:szCs w:val="20"/>
              </w:rPr>
              <w:t>序号</w:t>
            </w:r>
          </w:p>
        </w:tc>
        <w:tc>
          <w:tcPr>
            <w:tcW w:w="1586" w:type="dxa"/>
            <w:vAlign w:val="top"/>
          </w:tcPr>
          <w:p w14:paraId="5A0739B4">
            <w:pPr>
              <w:pStyle w:val="6"/>
              <w:spacing w:before="199" w:line="229" w:lineRule="auto"/>
              <w:ind w:left="378"/>
              <w:rPr>
                <w:sz w:val="20"/>
                <w:szCs w:val="20"/>
              </w:rPr>
            </w:pPr>
            <w:r>
              <w:rPr>
                <w:spacing w:val="6"/>
                <w:sz w:val="20"/>
                <w:szCs w:val="20"/>
              </w:rPr>
              <w:t>主要设施</w:t>
            </w:r>
          </w:p>
        </w:tc>
        <w:tc>
          <w:tcPr>
            <w:tcW w:w="1748" w:type="dxa"/>
            <w:vAlign w:val="top"/>
          </w:tcPr>
          <w:p w14:paraId="52A4B4EB">
            <w:pPr>
              <w:pStyle w:val="6"/>
              <w:spacing w:before="198" w:line="228" w:lineRule="auto"/>
              <w:ind w:left="143"/>
              <w:rPr>
                <w:sz w:val="20"/>
                <w:szCs w:val="20"/>
              </w:rPr>
            </w:pPr>
            <w:r>
              <w:rPr>
                <w:spacing w:val="8"/>
                <w:sz w:val="20"/>
                <w:szCs w:val="20"/>
              </w:rPr>
              <w:t>潜在的危险因素</w:t>
            </w:r>
          </w:p>
        </w:tc>
        <w:tc>
          <w:tcPr>
            <w:tcW w:w="1775" w:type="dxa"/>
            <w:vAlign w:val="top"/>
          </w:tcPr>
          <w:p w14:paraId="0A76809E">
            <w:pPr>
              <w:pStyle w:val="6"/>
              <w:spacing w:before="62" w:line="247" w:lineRule="auto"/>
              <w:ind w:left="473" w:right="360" w:hanging="103"/>
              <w:rPr>
                <w:sz w:val="20"/>
                <w:szCs w:val="20"/>
              </w:rPr>
            </w:pPr>
            <w:r>
              <w:rPr>
                <w:spacing w:val="7"/>
                <w:sz w:val="20"/>
                <w:szCs w:val="20"/>
              </w:rPr>
              <w:t>可能导致的</w:t>
            </w:r>
            <w:r>
              <w:rPr>
                <w:spacing w:val="3"/>
                <w:sz w:val="20"/>
                <w:szCs w:val="20"/>
              </w:rPr>
              <w:t xml:space="preserve"> </w:t>
            </w:r>
            <w:r>
              <w:rPr>
                <w:spacing w:val="7"/>
                <w:sz w:val="20"/>
                <w:szCs w:val="20"/>
              </w:rPr>
              <w:t>环境风险</w:t>
            </w:r>
          </w:p>
        </w:tc>
        <w:tc>
          <w:tcPr>
            <w:tcW w:w="1379" w:type="dxa"/>
            <w:vAlign w:val="top"/>
          </w:tcPr>
          <w:p w14:paraId="2AB1081A">
            <w:pPr>
              <w:pStyle w:val="6"/>
              <w:spacing w:before="199" w:line="228" w:lineRule="auto"/>
              <w:ind w:left="277"/>
              <w:rPr>
                <w:sz w:val="20"/>
                <w:szCs w:val="20"/>
              </w:rPr>
            </w:pPr>
            <w:r>
              <w:rPr>
                <w:spacing w:val="7"/>
                <w:sz w:val="20"/>
                <w:szCs w:val="20"/>
              </w:rPr>
              <w:t>风险物质</w:t>
            </w:r>
          </w:p>
        </w:tc>
        <w:tc>
          <w:tcPr>
            <w:tcW w:w="1406" w:type="dxa"/>
            <w:vAlign w:val="top"/>
          </w:tcPr>
          <w:p w14:paraId="3E1E3D67">
            <w:pPr>
              <w:pStyle w:val="6"/>
              <w:spacing w:before="199" w:line="228" w:lineRule="auto"/>
              <w:ind w:left="289"/>
              <w:rPr>
                <w:sz w:val="20"/>
                <w:szCs w:val="20"/>
              </w:rPr>
            </w:pPr>
            <w:r>
              <w:rPr>
                <w:spacing w:val="7"/>
                <w:sz w:val="20"/>
                <w:szCs w:val="20"/>
              </w:rPr>
              <w:t>影响环境</w:t>
            </w:r>
          </w:p>
        </w:tc>
      </w:tr>
      <w:tr w14:paraId="61E5B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5" w:type="dxa"/>
            <w:vAlign w:val="top"/>
          </w:tcPr>
          <w:p w14:paraId="4952EB4B">
            <w:pPr>
              <w:pStyle w:val="6"/>
              <w:spacing w:before="169" w:line="270" w:lineRule="exact"/>
              <w:ind w:left="387"/>
              <w:rPr>
                <w:sz w:val="20"/>
                <w:szCs w:val="20"/>
              </w:rPr>
            </w:pPr>
            <w:r>
              <w:rPr>
                <w:position w:val="1"/>
                <w:sz w:val="20"/>
                <w:szCs w:val="20"/>
              </w:rPr>
              <w:t>1</w:t>
            </w:r>
          </w:p>
        </w:tc>
        <w:tc>
          <w:tcPr>
            <w:tcW w:w="1586" w:type="dxa"/>
            <w:vAlign w:val="top"/>
          </w:tcPr>
          <w:p w14:paraId="219FD2D9">
            <w:pPr>
              <w:pStyle w:val="6"/>
              <w:spacing w:before="169" w:line="228" w:lineRule="auto"/>
              <w:ind w:left="378"/>
              <w:rPr>
                <w:sz w:val="20"/>
                <w:szCs w:val="20"/>
              </w:rPr>
            </w:pPr>
            <w:r>
              <w:rPr>
                <w:spacing w:val="6"/>
                <w:sz w:val="20"/>
                <w:szCs w:val="20"/>
              </w:rPr>
              <w:t>生产车间</w:t>
            </w:r>
          </w:p>
        </w:tc>
        <w:tc>
          <w:tcPr>
            <w:tcW w:w="1748" w:type="dxa"/>
            <w:vMerge w:val="restart"/>
            <w:tcBorders>
              <w:bottom w:val="nil"/>
            </w:tcBorders>
            <w:vAlign w:val="top"/>
          </w:tcPr>
          <w:p w14:paraId="0CB8674E">
            <w:pPr>
              <w:spacing w:line="326" w:lineRule="auto"/>
              <w:rPr>
                <w:rFonts w:ascii="Arial"/>
                <w:sz w:val="21"/>
              </w:rPr>
            </w:pPr>
          </w:p>
          <w:p w14:paraId="4CC2DE59">
            <w:pPr>
              <w:spacing w:line="326" w:lineRule="auto"/>
              <w:rPr>
                <w:rFonts w:ascii="Arial"/>
                <w:sz w:val="21"/>
              </w:rPr>
            </w:pPr>
          </w:p>
          <w:p w14:paraId="595B16D4">
            <w:pPr>
              <w:pStyle w:val="6"/>
              <w:spacing w:before="65" w:line="228" w:lineRule="auto"/>
              <w:ind w:left="356"/>
              <w:rPr>
                <w:sz w:val="20"/>
                <w:szCs w:val="20"/>
              </w:rPr>
            </w:pPr>
            <w:r>
              <w:rPr>
                <w:spacing w:val="7"/>
                <w:sz w:val="20"/>
                <w:szCs w:val="20"/>
              </w:rPr>
              <w:t>泄漏、火灾</w:t>
            </w:r>
          </w:p>
        </w:tc>
        <w:tc>
          <w:tcPr>
            <w:tcW w:w="1775" w:type="dxa"/>
            <w:vMerge w:val="restart"/>
            <w:tcBorders>
              <w:bottom w:val="nil"/>
            </w:tcBorders>
            <w:vAlign w:val="top"/>
          </w:tcPr>
          <w:p w14:paraId="0126FAD9">
            <w:pPr>
              <w:spacing w:line="259" w:lineRule="auto"/>
              <w:rPr>
                <w:rFonts w:ascii="Arial"/>
                <w:sz w:val="21"/>
              </w:rPr>
            </w:pPr>
          </w:p>
          <w:p w14:paraId="37E7FA93">
            <w:pPr>
              <w:spacing w:line="259" w:lineRule="auto"/>
              <w:rPr>
                <w:rFonts w:ascii="Arial"/>
                <w:sz w:val="21"/>
              </w:rPr>
            </w:pPr>
          </w:p>
          <w:p w14:paraId="3AA6440A">
            <w:pPr>
              <w:pStyle w:val="6"/>
              <w:spacing w:before="65" w:line="228" w:lineRule="auto"/>
              <w:ind w:left="278"/>
              <w:rPr>
                <w:sz w:val="20"/>
                <w:szCs w:val="20"/>
              </w:rPr>
            </w:pPr>
            <w:r>
              <w:rPr>
                <w:spacing w:val="5"/>
                <w:sz w:val="20"/>
                <w:szCs w:val="20"/>
              </w:rPr>
              <w:t>引发地表水污</w:t>
            </w:r>
          </w:p>
          <w:p w14:paraId="7FF1301C">
            <w:pPr>
              <w:pStyle w:val="6"/>
              <w:spacing w:before="24" w:line="228" w:lineRule="auto"/>
              <w:ind w:left="266"/>
              <w:rPr>
                <w:sz w:val="20"/>
                <w:szCs w:val="20"/>
              </w:rPr>
            </w:pPr>
            <w:r>
              <w:rPr>
                <w:spacing w:val="7"/>
                <w:sz w:val="20"/>
                <w:szCs w:val="20"/>
              </w:rPr>
              <w:t>染、大气污染</w:t>
            </w:r>
          </w:p>
        </w:tc>
        <w:tc>
          <w:tcPr>
            <w:tcW w:w="1379" w:type="dxa"/>
            <w:vMerge w:val="restart"/>
            <w:tcBorders>
              <w:bottom w:val="nil"/>
            </w:tcBorders>
            <w:vAlign w:val="top"/>
          </w:tcPr>
          <w:p w14:paraId="1723C11E">
            <w:pPr>
              <w:spacing w:line="259" w:lineRule="auto"/>
              <w:rPr>
                <w:rFonts w:ascii="Arial"/>
                <w:sz w:val="21"/>
              </w:rPr>
            </w:pPr>
          </w:p>
          <w:p w14:paraId="7ED127D3">
            <w:pPr>
              <w:spacing w:line="259" w:lineRule="auto"/>
              <w:rPr>
                <w:rFonts w:ascii="Arial"/>
                <w:sz w:val="21"/>
              </w:rPr>
            </w:pPr>
          </w:p>
          <w:p w14:paraId="0321C553">
            <w:pPr>
              <w:pStyle w:val="6"/>
              <w:spacing w:before="65" w:line="251" w:lineRule="auto"/>
              <w:ind w:left="170" w:right="43" w:hanging="55"/>
              <w:rPr>
                <w:sz w:val="20"/>
                <w:szCs w:val="20"/>
              </w:rPr>
            </w:pPr>
            <w:r>
              <w:rPr>
                <w:spacing w:val="2"/>
                <w:sz w:val="20"/>
                <w:szCs w:val="20"/>
              </w:rPr>
              <w:t>含酸碱废水、</w:t>
            </w:r>
            <w:r>
              <w:rPr>
                <w:spacing w:val="1"/>
                <w:sz w:val="20"/>
                <w:szCs w:val="20"/>
              </w:rPr>
              <w:t xml:space="preserve"> </w:t>
            </w:r>
            <w:r>
              <w:rPr>
                <w:spacing w:val="8"/>
                <w:sz w:val="20"/>
                <w:szCs w:val="20"/>
              </w:rPr>
              <w:t>爆燃分解物</w:t>
            </w:r>
          </w:p>
        </w:tc>
        <w:tc>
          <w:tcPr>
            <w:tcW w:w="1406" w:type="dxa"/>
            <w:vMerge w:val="restart"/>
            <w:tcBorders>
              <w:bottom w:val="nil"/>
            </w:tcBorders>
            <w:vAlign w:val="top"/>
          </w:tcPr>
          <w:p w14:paraId="113A3F43">
            <w:pPr>
              <w:spacing w:line="259" w:lineRule="auto"/>
              <w:rPr>
                <w:rFonts w:ascii="Arial"/>
                <w:sz w:val="21"/>
              </w:rPr>
            </w:pPr>
          </w:p>
          <w:p w14:paraId="2481DDE3">
            <w:pPr>
              <w:spacing w:line="259" w:lineRule="auto"/>
              <w:rPr>
                <w:rFonts w:ascii="Arial"/>
                <w:sz w:val="21"/>
              </w:rPr>
            </w:pPr>
          </w:p>
          <w:p w14:paraId="2DAE4DBD">
            <w:pPr>
              <w:pStyle w:val="6"/>
              <w:spacing w:before="65" w:line="228" w:lineRule="auto"/>
              <w:ind w:left="117"/>
              <w:rPr>
                <w:sz w:val="20"/>
                <w:szCs w:val="20"/>
              </w:rPr>
            </w:pPr>
            <w:r>
              <w:rPr>
                <w:spacing w:val="6"/>
                <w:sz w:val="20"/>
                <w:szCs w:val="20"/>
              </w:rPr>
              <w:t>土壤、水体、</w:t>
            </w:r>
          </w:p>
          <w:p w14:paraId="4CEF36B1">
            <w:pPr>
              <w:pStyle w:val="6"/>
              <w:spacing w:before="24" w:line="228" w:lineRule="auto"/>
              <w:ind w:left="500"/>
              <w:rPr>
                <w:sz w:val="20"/>
                <w:szCs w:val="20"/>
              </w:rPr>
            </w:pPr>
            <w:r>
              <w:rPr>
                <w:spacing w:val="3"/>
                <w:sz w:val="20"/>
                <w:szCs w:val="20"/>
              </w:rPr>
              <w:t>大气</w:t>
            </w:r>
          </w:p>
        </w:tc>
      </w:tr>
      <w:tr w14:paraId="489A7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5" w:type="dxa"/>
            <w:vAlign w:val="top"/>
          </w:tcPr>
          <w:p w14:paraId="6E0ED9AD">
            <w:pPr>
              <w:spacing w:before="206"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86" w:type="dxa"/>
            <w:vAlign w:val="top"/>
          </w:tcPr>
          <w:p w14:paraId="18D0E160">
            <w:pPr>
              <w:pStyle w:val="6"/>
              <w:spacing w:before="168" w:line="228" w:lineRule="auto"/>
              <w:ind w:left="271"/>
              <w:rPr>
                <w:sz w:val="20"/>
                <w:szCs w:val="20"/>
              </w:rPr>
            </w:pPr>
            <w:r>
              <w:rPr>
                <w:spacing w:val="7"/>
                <w:sz w:val="20"/>
                <w:szCs w:val="20"/>
              </w:rPr>
              <w:t>化学品仓库</w:t>
            </w:r>
          </w:p>
        </w:tc>
        <w:tc>
          <w:tcPr>
            <w:tcW w:w="1748" w:type="dxa"/>
            <w:vMerge w:val="continue"/>
            <w:tcBorders>
              <w:top w:val="nil"/>
              <w:bottom w:val="nil"/>
            </w:tcBorders>
            <w:vAlign w:val="top"/>
          </w:tcPr>
          <w:p w14:paraId="0C5EA3CE">
            <w:pPr>
              <w:rPr>
                <w:rFonts w:ascii="Arial"/>
                <w:sz w:val="21"/>
              </w:rPr>
            </w:pPr>
          </w:p>
        </w:tc>
        <w:tc>
          <w:tcPr>
            <w:tcW w:w="1775" w:type="dxa"/>
            <w:vMerge w:val="continue"/>
            <w:tcBorders>
              <w:top w:val="nil"/>
              <w:bottom w:val="nil"/>
            </w:tcBorders>
            <w:vAlign w:val="top"/>
          </w:tcPr>
          <w:p w14:paraId="0444EBF1">
            <w:pPr>
              <w:rPr>
                <w:rFonts w:ascii="Arial"/>
                <w:sz w:val="21"/>
              </w:rPr>
            </w:pPr>
          </w:p>
        </w:tc>
        <w:tc>
          <w:tcPr>
            <w:tcW w:w="1379" w:type="dxa"/>
            <w:vMerge w:val="continue"/>
            <w:tcBorders>
              <w:top w:val="nil"/>
              <w:bottom w:val="nil"/>
            </w:tcBorders>
            <w:vAlign w:val="top"/>
          </w:tcPr>
          <w:p w14:paraId="53F343DC">
            <w:pPr>
              <w:rPr>
                <w:rFonts w:ascii="Arial"/>
                <w:sz w:val="21"/>
              </w:rPr>
            </w:pPr>
          </w:p>
        </w:tc>
        <w:tc>
          <w:tcPr>
            <w:tcW w:w="1406" w:type="dxa"/>
            <w:vMerge w:val="continue"/>
            <w:tcBorders>
              <w:top w:val="nil"/>
              <w:bottom w:val="nil"/>
            </w:tcBorders>
            <w:vAlign w:val="top"/>
          </w:tcPr>
          <w:p w14:paraId="789112D3">
            <w:pPr>
              <w:rPr>
                <w:rFonts w:ascii="Arial"/>
                <w:sz w:val="21"/>
              </w:rPr>
            </w:pPr>
          </w:p>
        </w:tc>
      </w:tr>
      <w:tr w14:paraId="02C22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5" w:type="dxa"/>
            <w:vAlign w:val="top"/>
          </w:tcPr>
          <w:p w14:paraId="313BF213">
            <w:pPr>
              <w:spacing w:before="20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86" w:type="dxa"/>
            <w:vAlign w:val="top"/>
          </w:tcPr>
          <w:p w14:paraId="6AA75B65">
            <w:pPr>
              <w:pStyle w:val="6"/>
              <w:spacing w:before="169" w:line="228" w:lineRule="auto"/>
              <w:ind w:left="273"/>
              <w:rPr>
                <w:sz w:val="20"/>
                <w:szCs w:val="20"/>
              </w:rPr>
            </w:pPr>
            <w:r>
              <w:rPr>
                <w:spacing w:val="7"/>
                <w:sz w:val="20"/>
                <w:szCs w:val="20"/>
              </w:rPr>
              <w:t>危废暂存间</w:t>
            </w:r>
          </w:p>
        </w:tc>
        <w:tc>
          <w:tcPr>
            <w:tcW w:w="1748" w:type="dxa"/>
            <w:vMerge w:val="continue"/>
            <w:tcBorders>
              <w:top w:val="nil"/>
            </w:tcBorders>
            <w:vAlign w:val="top"/>
          </w:tcPr>
          <w:p w14:paraId="3DD35D55">
            <w:pPr>
              <w:rPr>
                <w:rFonts w:ascii="Arial"/>
                <w:sz w:val="21"/>
              </w:rPr>
            </w:pPr>
          </w:p>
        </w:tc>
        <w:tc>
          <w:tcPr>
            <w:tcW w:w="1775" w:type="dxa"/>
            <w:vMerge w:val="continue"/>
            <w:tcBorders>
              <w:top w:val="nil"/>
            </w:tcBorders>
            <w:vAlign w:val="top"/>
          </w:tcPr>
          <w:p w14:paraId="02A99EB7">
            <w:pPr>
              <w:rPr>
                <w:rFonts w:ascii="Arial"/>
                <w:sz w:val="21"/>
              </w:rPr>
            </w:pPr>
          </w:p>
        </w:tc>
        <w:tc>
          <w:tcPr>
            <w:tcW w:w="1379" w:type="dxa"/>
            <w:vMerge w:val="continue"/>
            <w:tcBorders>
              <w:top w:val="nil"/>
            </w:tcBorders>
            <w:vAlign w:val="top"/>
          </w:tcPr>
          <w:p w14:paraId="1FC0085E">
            <w:pPr>
              <w:rPr>
                <w:rFonts w:ascii="Arial"/>
                <w:sz w:val="21"/>
              </w:rPr>
            </w:pPr>
          </w:p>
        </w:tc>
        <w:tc>
          <w:tcPr>
            <w:tcW w:w="1406" w:type="dxa"/>
            <w:vMerge w:val="continue"/>
            <w:tcBorders>
              <w:top w:val="nil"/>
            </w:tcBorders>
            <w:vAlign w:val="top"/>
          </w:tcPr>
          <w:p w14:paraId="65205DC6">
            <w:pPr>
              <w:rPr>
                <w:rFonts w:ascii="Arial"/>
                <w:sz w:val="21"/>
              </w:rPr>
            </w:pPr>
          </w:p>
        </w:tc>
      </w:tr>
      <w:tr w14:paraId="1C5F1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35" w:type="dxa"/>
            <w:vAlign w:val="top"/>
          </w:tcPr>
          <w:p w14:paraId="1F101014">
            <w:pPr>
              <w:spacing w:before="207"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86" w:type="dxa"/>
            <w:vAlign w:val="top"/>
          </w:tcPr>
          <w:p w14:paraId="3FE76374">
            <w:pPr>
              <w:pStyle w:val="6"/>
              <w:spacing w:before="170" w:line="228" w:lineRule="auto"/>
              <w:ind w:left="270"/>
              <w:rPr>
                <w:sz w:val="20"/>
                <w:szCs w:val="20"/>
              </w:rPr>
            </w:pPr>
            <w:r>
              <w:rPr>
                <w:spacing w:val="8"/>
                <w:sz w:val="20"/>
                <w:szCs w:val="20"/>
              </w:rPr>
              <w:t>废水处理站</w:t>
            </w:r>
          </w:p>
        </w:tc>
        <w:tc>
          <w:tcPr>
            <w:tcW w:w="1748" w:type="dxa"/>
            <w:vAlign w:val="top"/>
          </w:tcPr>
          <w:p w14:paraId="06517FD6">
            <w:pPr>
              <w:pStyle w:val="6"/>
              <w:spacing w:before="171" w:line="228" w:lineRule="auto"/>
              <w:ind w:left="147"/>
              <w:rPr>
                <w:sz w:val="20"/>
                <w:szCs w:val="20"/>
              </w:rPr>
            </w:pPr>
            <w:r>
              <w:rPr>
                <w:spacing w:val="8"/>
                <w:sz w:val="20"/>
                <w:szCs w:val="20"/>
              </w:rPr>
              <w:t>泄露、事故排放</w:t>
            </w:r>
          </w:p>
        </w:tc>
        <w:tc>
          <w:tcPr>
            <w:tcW w:w="1775" w:type="dxa"/>
            <w:vAlign w:val="top"/>
          </w:tcPr>
          <w:p w14:paraId="7BC9E1D5">
            <w:pPr>
              <w:pStyle w:val="6"/>
              <w:spacing w:before="170" w:line="228" w:lineRule="auto"/>
              <w:ind w:left="173"/>
              <w:rPr>
                <w:sz w:val="20"/>
                <w:szCs w:val="20"/>
              </w:rPr>
            </w:pPr>
            <w:r>
              <w:rPr>
                <w:spacing w:val="6"/>
                <w:sz w:val="20"/>
                <w:szCs w:val="20"/>
              </w:rPr>
              <w:t>引发地表水污染</w:t>
            </w:r>
          </w:p>
        </w:tc>
        <w:tc>
          <w:tcPr>
            <w:tcW w:w="1379" w:type="dxa"/>
            <w:vAlign w:val="top"/>
          </w:tcPr>
          <w:p w14:paraId="2546214B">
            <w:pPr>
              <w:pStyle w:val="6"/>
              <w:spacing w:before="170" w:line="228" w:lineRule="auto"/>
              <w:ind w:left="170"/>
              <w:rPr>
                <w:sz w:val="20"/>
                <w:szCs w:val="20"/>
              </w:rPr>
            </w:pPr>
            <w:r>
              <w:rPr>
                <w:spacing w:val="8"/>
                <w:sz w:val="20"/>
                <w:szCs w:val="20"/>
              </w:rPr>
              <w:t>含酸碱废水</w:t>
            </w:r>
          </w:p>
        </w:tc>
        <w:tc>
          <w:tcPr>
            <w:tcW w:w="1406" w:type="dxa"/>
            <w:vAlign w:val="top"/>
          </w:tcPr>
          <w:p w14:paraId="008B629E">
            <w:pPr>
              <w:pStyle w:val="6"/>
              <w:spacing w:before="170" w:line="228" w:lineRule="auto"/>
              <w:ind w:left="184"/>
              <w:rPr>
                <w:sz w:val="20"/>
                <w:szCs w:val="20"/>
              </w:rPr>
            </w:pPr>
            <w:r>
              <w:rPr>
                <w:spacing w:val="7"/>
                <w:sz w:val="20"/>
                <w:szCs w:val="20"/>
              </w:rPr>
              <w:t>土壤、水体</w:t>
            </w:r>
          </w:p>
        </w:tc>
      </w:tr>
    </w:tbl>
    <w:p w14:paraId="2B2C2D41">
      <w:pPr>
        <w:spacing w:before="278" w:line="219" w:lineRule="auto"/>
        <w:ind w:left="496"/>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）生产过程危险性识别</w:t>
      </w:r>
    </w:p>
    <w:p w14:paraId="0E822738">
      <w:pPr>
        <w:spacing w:before="179" w:line="359" w:lineRule="auto"/>
        <w:ind w:left="6" w:firstLine="479"/>
        <w:jc w:val="both"/>
        <w:rPr>
          <w:rFonts w:ascii="宋体" w:hAnsi="宋体" w:eastAsia="宋体" w:cs="宋体"/>
          <w:sz w:val="24"/>
          <w:szCs w:val="24"/>
        </w:rPr>
      </w:pPr>
      <w:r>
        <w:rPr>
          <w:rFonts w:ascii="宋体" w:hAnsi="宋体" w:eastAsia="宋体" w:cs="宋体"/>
          <w:spacing w:val="-1"/>
          <w:sz w:val="24"/>
          <w:szCs w:val="24"/>
        </w:rPr>
        <w:t>通过对运行、暂存等物质的性质分析，确定本项目的</w:t>
      </w:r>
      <w:r>
        <w:rPr>
          <w:rFonts w:ascii="宋体" w:hAnsi="宋体" w:eastAsia="宋体" w:cs="宋体"/>
          <w:spacing w:val="-2"/>
          <w:sz w:val="24"/>
          <w:szCs w:val="24"/>
        </w:rPr>
        <w:t>危险性质主要引起的环境风</w:t>
      </w:r>
      <w:r>
        <w:rPr>
          <w:rFonts w:ascii="宋体" w:hAnsi="宋体" w:eastAsia="宋体" w:cs="宋体"/>
          <w:sz w:val="24"/>
          <w:szCs w:val="24"/>
        </w:rPr>
        <w:t xml:space="preserve"> </w:t>
      </w:r>
      <w:r>
        <w:rPr>
          <w:rFonts w:ascii="宋体" w:hAnsi="宋体" w:eastAsia="宋体" w:cs="宋体"/>
          <w:spacing w:val="-1"/>
          <w:sz w:val="24"/>
          <w:szCs w:val="24"/>
        </w:rPr>
        <w:t>险包括①泄漏，②火灾，③爆炸等。对可能发生的各种环境</w:t>
      </w:r>
      <w:r>
        <w:rPr>
          <w:rFonts w:ascii="宋体" w:hAnsi="宋体" w:eastAsia="宋体" w:cs="宋体"/>
          <w:spacing w:val="-2"/>
          <w:sz w:val="24"/>
          <w:szCs w:val="24"/>
        </w:rPr>
        <w:t>风险类型，以下依次加以</w:t>
      </w:r>
      <w:r>
        <w:rPr>
          <w:rFonts w:ascii="宋体" w:hAnsi="宋体" w:eastAsia="宋体" w:cs="宋体"/>
          <w:sz w:val="24"/>
          <w:szCs w:val="24"/>
        </w:rPr>
        <w:t xml:space="preserve"> </w:t>
      </w:r>
      <w:r>
        <w:rPr>
          <w:rFonts w:ascii="宋体" w:hAnsi="宋体" w:eastAsia="宋体" w:cs="宋体"/>
          <w:spacing w:val="-4"/>
          <w:sz w:val="24"/>
          <w:szCs w:val="24"/>
        </w:rPr>
        <w:t>辨识。</w:t>
      </w:r>
    </w:p>
    <w:p w14:paraId="665D5CF5">
      <w:pPr>
        <w:spacing w:before="1" w:line="219" w:lineRule="auto"/>
        <w:ind w:left="504"/>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、生产车间、化学品仓库、危废暂存间</w:t>
      </w:r>
    </w:p>
    <w:p w14:paraId="133D7F9F">
      <w:pPr>
        <w:spacing w:before="183" w:line="219" w:lineRule="auto"/>
        <w:ind w:left="49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）盛装的容器由于腐蚀穿孔或设备缺陷、破损而泄漏；</w:t>
      </w:r>
    </w:p>
    <w:p w14:paraId="5382B03C">
      <w:pPr>
        <w:spacing w:before="183" w:line="219" w:lineRule="auto"/>
        <w:ind w:left="49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）管道、水泵等故障，可能造成物料外泄；</w:t>
      </w:r>
    </w:p>
    <w:p w14:paraId="096AB2A6">
      <w:pPr>
        <w:spacing w:before="181" w:line="219" w:lineRule="auto"/>
        <w:ind w:left="49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）由于失误操作而泄漏；</w:t>
      </w:r>
    </w:p>
    <w:p w14:paraId="3FD11A73">
      <w:pPr>
        <w:spacing w:before="183" w:line="220" w:lineRule="auto"/>
        <w:ind w:left="49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）防渗、防漏措施损坏。</w:t>
      </w:r>
    </w:p>
    <w:p w14:paraId="04F194E3">
      <w:pPr>
        <w:spacing w:before="180" w:line="219" w:lineRule="auto"/>
        <w:ind w:left="481"/>
        <w:rPr>
          <w:rFonts w:ascii="宋体" w:hAnsi="宋体" w:eastAsia="宋体" w:cs="宋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、废水治理设施</w:t>
      </w:r>
    </w:p>
    <w:p w14:paraId="1EB99C7F">
      <w:pPr>
        <w:spacing w:before="183" w:line="359" w:lineRule="auto"/>
        <w:ind w:left="25" w:firstLine="464"/>
        <w:rPr>
          <w:rFonts w:ascii="宋体" w:hAnsi="宋体" w:eastAsia="宋体" w:cs="宋体"/>
          <w:sz w:val="24"/>
          <w:szCs w:val="24"/>
        </w:rPr>
      </w:pPr>
      <w:r>
        <w:rPr>
          <w:rFonts w:ascii="宋体" w:hAnsi="宋体" w:eastAsia="宋体" w:cs="宋体"/>
          <w:spacing w:val="-1"/>
          <w:sz w:val="24"/>
          <w:szCs w:val="24"/>
        </w:rPr>
        <w:t>项目配套建设有废水治理设施，若废水处理</w:t>
      </w:r>
      <w:r>
        <w:rPr>
          <w:rFonts w:ascii="宋体" w:hAnsi="宋体" w:eastAsia="宋体" w:cs="宋体"/>
          <w:spacing w:val="-2"/>
          <w:sz w:val="24"/>
          <w:szCs w:val="24"/>
        </w:rPr>
        <w:t>设施运作异常，则会对环境造成一定</w:t>
      </w:r>
      <w:r>
        <w:rPr>
          <w:rFonts w:ascii="宋体" w:hAnsi="宋体" w:eastAsia="宋体" w:cs="宋体"/>
          <w:sz w:val="24"/>
          <w:szCs w:val="24"/>
        </w:rPr>
        <w:t xml:space="preserve"> </w:t>
      </w:r>
      <w:r>
        <w:rPr>
          <w:rFonts w:ascii="宋体" w:hAnsi="宋体" w:eastAsia="宋体" w:cs="宋体"/>
          <w:spacing w:val="-2"/>
          <w:sz w:val="24"/>
          <w:szCs w:val="24"/>
        </w:rPr>
        <w:t>的影响。失效具体原因可能有以下几个方面：</w:t>
      </w:r>
    </w:p>
    <w:p w14:paraId="2C161C19">
      <w:pPr>
        <w:spacing w:before="1" w:line="219" w:lineRule="auto"/>
        <w:ind w:left="49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）生产设备因故障而泄漏；</w:t>
      </w:r>
    </w:p>
    <w:p w14:paraId="21F720C5">
      <w:pPr>
        <w:spacing w:before="181" w:line="219" w:lineRule="auto"/>
        <w:ind w:left="49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）污水管道断裂而泄露；</w:t>
      </w:r>
    </w:p>
    <w:p w14:paraId="49926069">
      <w:pPr>
        <w:spacing w:before="183" w:line="219" w:lineRule="auto"/>
        <w:ind w:left="49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）人为操作失误；</w:t>
      </w:r>
    </w:p>
    <w:p w14:paraId="63FC4963">
      <w:pPr>
        <w:spacing w:before="180" w:line="220" w:lineRule="auto"/>
        <w:ind w:left="49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）防渗、防漏措施损坏。</w:t>
      </w:r>
    </w:p>
    <w:p w14:paraId="4207E4AB">
      <w:pPr>
        <w:spacing w:before="183" w:line="219" w:lineRule="auto"/>
        <w:ind w:left="485"/>
        <w:rPr>
          <w:rFonts w:ascii="宋体" w:hAnsi="宋体" w:eastAsia="宋体" w:cs="宋体"/>
          <w:sz w:val="24"/>
          <w:szCs w:val="24"/>
        </w:rPr>
      </w:pPr>
      <w:r>
        <w:rPr>
          <w:rFonts w:ascii="Times New Roman" w:hAnsi="Times New Roman" w:eastAsia="Times New Roman" w:cs="Times New Roman"/>
          <w:spacing w:val="-9"/>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9"/>
          <w:sz w:val="24"/>
          <w:szCs w:val="24"/>
        </w:rPr>
        <w:t>、火灾</w:t>
      </w:r>
    </w:p>
    <w:p w14:paraId="6D6C96A7">
      <w:pPr>
        <w:spacing w:line="219" w:lineRule="auto"/>
        <w:rPr>
          <w:rFonts w:ascii="宋体" w:hAnsi="宋体" w:eastAsia="宋体" w:cs="宋体"/>
          <w:sz w:val="24"/>
          <w:szCs w:val="24"/>
        </w:rPr>
        <w:sectPr>
          <w:footerReference r:id="rId132" w:type="default"/>
          <w:pgSz w:w="11906" w:h="16839"/>
          <w:pgMar w:top="400" w:right="1530" w:bottom="1127" w:left="1535" w:header="0" w:footer="965" w:gutter="0"/>
          <w:cols w:space="720" w:num="1"/>
        </w:sectPr>
      </w:pPr>
    </w:p>
    <w:p w14:paraId="0C5B52DA">
      <w:pPr>
        <w:spacing w:line="250" w:lineRule="auto"/>
        <w:rPr>
          <w:rFonts w:ascii="Arial"/>
          <w:sz w:val="21"/>
        </w:rPr>
      </w:pPr>
    </w:p>
    <w:p w14:paraId="03415452">
      <w:pPr>
        <w:spacing w:line="250" w:lineRule="auto"/>
        <w:rPr>
          <w:rFonts w:ascii="Arial"/>
          <w:sz w:val="21"/>
        </w:rPr>
      </w:pPr>
    </w:p>
    <w:p w14:paraId="6F9D832F">
      <w:pPr>
        <w:spacing w:line="250" w:lineRule="auto"/>
        <w:rPr>
          <w:rFonts w:ascii="Arial"/>
          <w:sz w:val="21"/>
        </w:rPr>
      </w:pPr>
    </w:p>
    <w:p w14:paraId="5580983D">
      <w:pPr>
        <w:spacing w:line="250" w:lineRule="auto"/>
        <w:rPr>
          <w:rFonts w:ascii="Arial"/>
          <w:sz w:val="21"/>
        </w:rPr>
      </w:pPr>
    </w:p>
    <w:p w14:paraId="07772100">
      <w:pPr>
        <w:spacing w:line="250" w:lineRule="auto"/>
        <w:rPr>
          <w:rFonts w:ascii="Arial"/>
          <w:sz w:val="21"/>
        </w:rPr>
      </w:pPr>
    </w:p>
    <w:p w14:paraId="28612DDC">
      <w:pPr>
        <w:spacing w:before="78" w:line="359" w:lineRule="auto"/>
        <w:ind w:left="24" w:right="80" w:firstLine="461"/>
        <w:rPr>
          <w:rFonts w:ascii="宋体" w:hAnsi="宋体" w:eastAsia="宋体" w:cs="宋体"/>
          <w:sz w:val="24"/>
          <w:szCs w:val="24"/>
        </w:rPr>
      </w:pPr>
      <w:r>
        <w:rPr>
          <w:rFonts w:ascii="宋体" w:hAnsi="宋体" w:eastAsia="宋体" w:cs="宋体"/>
          <w:spacing w:val="-2"/>
          <w:sz w:val="24"/>
          <w:szCs w:val="24"/>
        </w:rPr>
        <w:t>具备一定数量和浓度的可燃物、助燃物以及一定能量的点火源是火灾发生所必须</w:t>
      </w:r>
      <w:r>
        <w:rPr>
          <w:rFonts w:ascii="宋体" w:hAnsi="宋体" w:eastAsia="宋体" w:cs="宋体"/>
          <w:spacing w:val="18"/>
          <w:sz w:val="24"/>
          <w:szCs w:val="24"/>
        </w:rPr>
        <w:t xml:space="preserve"> </w:t>
      </w:r>
      <w:r>
        <w:rPr>
          <w:rFonts w:ascii="宋体" w:hAnsi="宋体" w:eastAsia="宋体" w:cs="宋体"/>
          <w:spacing w:val="-2"/>
          <w:sz w:val="24"/>
          <w:szCs w:val="24"/>
        </w:rPr>
        <w:t>同时具备的三个条件。以下从这三个方面分别加以阐述。</w:t>
      </w:r>
    </w:p>
    <w:p w14:paraId="50413B60">
      <w:pPr>
        <w:spacing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）可燃物和助燃物</w:t>
      </w:r>
    </w:p>
    <w:p w14:paraId="6D5E98B9">
      <w:pPr>
        <w:spacing w:before="179" w:line="360" w:lineRule="auto"/>
        <w:ind w:left="20" w:firstLine="464"/>
        <w:rPr>
          <w:rFonts w:ascii="宋体" w:hAnsi="宋体" w:eastAsia="宋体" w:cs="宋体"/>
          <w:sz w:val="24"/>
          <w:szCs w:val="24"/>
        </w:rPr>
      </w:pPr>
      <w:r>
        <w:rPr>
          <w:rFonts w:ascii="宋体" w:hAnsi="宋体" w:eastAsia="宋体" w:cs="宋体"/>
          <w:spacing w:val="-1"/>
          <w:sz w:val="24"/>
          <w:szCs w:val="24"/>
        </w:rPr>
        <w:t>项目涉及有易燃化学品等。从物质的危险特</w:t>
      </w:r>
      <w:r>
        <w:rPr>
          <w:rFonts w:ascii="宋体" w:hAnsi="宋体" w:eastAsia="宋体" w:cs="宋体"/>
          <w:spacing w:val="-2"/>
          <w:sz w:val="24"/>
          <w:szCs w:val="24"/>
        </w:rPr>
        <w:t>性分析得知，由于空气中存在着大量</w:t>
      </w:r>
      <w:r>
        <w:rPr>
          <w:rFonts w:ascii="宋体" w:hAnsi="宋体" w:eastAsia="宋体" w:cs="宋体"/>
          <w:sz w:val="24"/>
          <w:szCs w:val="24"/>
        </w:rPr>
        <w:t xml:space="preserve"> </w:t>
      </w:r>
      <w:r>
        <w:rPr>
          <w:rFonts w:ascii="宋体" w:hAnsi="宋体" w:eastAsia="宋体" w:cs="宋体"/>
          <w:spacing w:val="-8"/>
          <w:sz w:val="24"/>
          <w:szCs w:val="24"/>
        </w:rPr>
        <w:t>的助燃物</w:t>
      </w:r>
      <w:r>
        <w:rPr>
          <w:rFonts w:ascii="宋体" w:hAnsi="宋体" w:eastAsia="宋体" w:cs="宋体"/>
          <w:spacing w:val="-43"/>
          <w:sz w:val="24"/>
          <w:szCs w:val="24"/>
        </w:rPr>
        <w:t xml:space="preserve"> </w:t>
      </w:r>
      <w:r>
        <w:rPr>
          <w:rFonts w:ascii="Times New Roman" w:hAnsi="Times New Roman" w:eastAsia="Times New Roman" w:cs="Times New Roman"/>
          <w:spacing w:val="-8"/>
          <w:sz w:val="24"/>
          <w:szCs w:val="24"/>
        </w:rPr>
        <w:t>O</w:t>
      </w:r>
      <w:r>
        <w:rPr>
          <w:rFonts w:ascii="Times New Roman" w:hAnsi="Times New Roman" w:eastAsia="Times New Roman" w:cs="Times New Roman"/>
          <w:spacing w:val="-8"/>
          <w:position w:val="-1"/>
          <w:sz w:val="15"/>
          <w:szCs w:val="15"/>
        </w:rPr>
        <w:t>2</w:t>
      </w:r>
      <w:r>
        <w:rPr>
          <w:rFonts w:ascii="宋体" w:hAnsi="宋体" w:eastAsia="宋体" w:cs="宋体"/>
          <w:spacing w:val="-8"/>
          <w:sz w:val="24"/>
          <w:szCs w:val="24"/>
        </w:rPr>
        <w:t>，只要这些物质发生泄漏，遇足够能量的点火源，则火灾事故就可能发生。</w:t>
      </w:r>
    </w:p>
    <w:p w14:paraId="28B4C4B9">
      <w:pPr>
        <w:spacing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）点火源</w:t>
      </w:r>
    </w:p>
    <w:p w14:paraId="2FC653BC">
      <w:pPr>
        <w:spacing w:before="181" w:line="358" w:lineRule="auto"/>
        <w:ind w:left="5" w:right="82" w:firstLine="487"/>
        <w:rPr>
          <w:rFonts w:ascii="宋体" w:hAnsi="宋体" w:eastAsia="宋体" w:cs="宋体"/>
          <w:sz w:val="24"/>
          <w:szCs w:val="24"/>
        </w:rPr>
      </w:pPr>
      <w:r>
        <w:rPr>
          <w:rFonts w:ascii="宋体" w:hAnsi="宋体" w:eastAsia="宋体" w:cs="宋体"/>
          <w:spacing w:val="-2"/>
          <w:sz w:val="24"/>
          <w:szCs w:val="24"/>
        </w:rPr>
        <w:t>点火源主要有明火、电火花、摩擦或撞击火花、静电火花、雷电火花、化学反应</w:t>
      </w:r>
      <w:r>
        <w:rPr>
          <w:rFonts w:ascii="宋体" w:hAnsi="宋体" w:eastAsia="宋体" w:cs="宋体"/>
          <w:spacing w:val="9"/>
          <w:sz w:val="24"/>
          <w:szCs w:val="24"/>
        </w:rPr>
        <w:t xml:space="preserve"> </w:t>
      </w:r>
      <w:r>
        <w:rPr>
          <w:rFonts w:ascii="宋体" w:hAnsi="宋体" w:eastAsia="宋体" w:cs="宋体"/>
          <w:spacing w:val="-1"/>
          <w:sz w:val="24"/>
          <w:szCs w:val="24"/>
        </w:rPr>
        <w:t>热、高温表面等几种形式</w:t>
      </w:r>
      <w:r>
        <w:rPr>
          <w:rFonts w:ascii="Times New Roman" w:hAnsi="Times New Roman" w:eastAsia="Times New Roman" w:cs="Times New Roman"/>
          <w:spacing w:val="-1"/>
          <w:sz w:val="24"/>
          <w:szCs w:val="24"/>
        </w:rPr>
        <w:t>,</w:t>
      </w:r>
      <w:r>
        <w:rPr>
          <w:rFonts w:ascii="宋体" w:hAnsi="宋体" w:eastAsia="宋体" w:cs="宋体"/>
          <w:spacing w:val="-1"/>
          <w:sz w:val="24"/>
          <w:szCs w:val="24"/>
        </w:rPr>
        <w:t>下面分别加以阐述：</w:t>
      </w:r>
    </w:p>
    <w:p w14:paraId="6E4307A0">
      <w:pPr>
        <w:spacing w:before="2" w:line="217" w:lineRule="auto"/>
        <w:ind w:left="480"/>
        <w:rPr>
          <w:rFonts w:ascii="宋体" w:hAnsi="宋体" w:eastAsia="宋体" w:cs="宋体"/>
          <w:sz w:val="24"/>
          <w:szCs w:val="24"/>
        </w:rPr>
      </w:pPr>
      <w:r>
        <w:rPr>
          <w:rFonts w:ascii="宋体" w:hAnsi="宋体" w:eastAsia="宋体" w:cs="宋体"/>
          <w:spacing w:val="-3"/>
          <w:sz w:val="24"/>
          <w:szCs w:val="24"/>
        </w:rPr>
        <w:t>①明火</w:t>
      </w:r>
    </w:p>
    <w:p w14:paraId="798B5653">
      <w:pPr>
        <w:spacing w:before="186" w:line="359" w:lineRule="auto"/>
        <w:ind w:left="1" w:right="84" w:firstLine="480"/>
        <w:rPr>
          <w:rFonts w:ascii="宋体" w:hAnsi="宋体" w:eastAsia="宋体" w:cs="宋体"/>
          <w:sz w:val="24"/>
          <w:szCs w:val="24"/>
        </w:rPr>
      </w:pPr>
      <w:r>
        <w:rPr>
          <w:rFonts w:ascii="宋体" w:hAnsi="宋体" w:eastAsia="宋体" w:cs="宋体"/>
          <w:spacing w:val="-2"/>
          <w:sz w:val="24"/>
          <w:szCs w:val="24"/>
        </w:rPr>
        <w:t>现场使用火柴、打火机、吸烟、燃烧废物，会产生明火；设备维护、检修时电、</w:t>
      </w:r>
      <w:r>
        <w:rPr>
          <w:rFonts w:ascii="宋体" w:hAnsi="宋体" w:eastAsia="宋体" w:cs="宋体"/>
          <w:spacing w:val="17"/>
          <w:sz w:val="24"/>
          <w:szCs w:val="24"/>
        </w:rPr>
        <w:t xml:space="preserve"> </w:t>
      </w:r>
      <w:r>
        <w:rPr>
          <w:rFonts w:ascii="宋体" w:hAnsi="宋体" w:eastAsia="宋体" w:cs="宋体"/>
          <w:sz w:val="24"/>
          <w:szCs w:val="24"/>
        </w:rPr>
        <w:t>气焊可产生明火；电气线路着火，机动车辆排烟</w:t>
      </w:r>
      <w:r>
        <w:rPr>
          <w:rFonts w:ascii="宋体" w:hAnsi="宋体" w:eastAsia="宋体" w:cs="宋体"/>
          <w:spacing w:val="-1"/>
          <w:sz w:val="24"/>
          <w:szCs w:val="24"/>
        </w:rPr>
        <w:t>尾气火星都是明火的来源。</w:t>
      </w:r>
    </w:p>
    <w:p w14:paraId="4A4EE696">
      <w:pPr>
        <w:spacing w:line="217" w:lineRule="auto"/>
        <w:ind w:left="479"/>
        <w:rPr>
          <w:rFonts w:ascii="宋体" w:hAnsi="宋体" w:eastAsia="宋体" w:cs="宋体"/>
          <w:sz w:val="24"/>
          <w:szCs w:val="24"/>
        </w:rPr>
      </w:pPr>
      <w:r>
        <w:rPr>
          <w:rFonts w:ascii="宋体" w:hAnsi="宋体" w:eastAsia="宋体" w:cs="宋体"/>
          <w:spacing w:val="-2"/>
          <w:sz w:val="24"/>
          <w:szCs w:val="24"/>
        </w:rPr>
        <w:t>②电火花</w:t>
      </w:r>
    </w:p>
    <w:p w14:paraId="03D0B9FF">
      <w:pPr>
        <w:spacing w:before="184" w:line="359" w:lineRule="auto"/>
        <w:ind w:left="2" w:right="80" w:firstLine="478"/>
        <w:rPr>
          <w:rFonts w:ascii="宋体" w:hAnsi="宋体" w:eastAsia="宋体" w:cs="宋体"/>
          <w:sz w:val="24"/>
          <w:szCs w:val="24"/>
        </w:rPr>
      </w:pPr>
      <w:r>
        <w:rPr>
          <w:rFonts w:ascii="宋体" w:hAnsi="宋体" w:eastAsia="宋体" w:cs="宋体"/>
          <w:spacing w:val="-1"/>
          <w:sz w:val="24"/>
          <w:szCs w:val="24"/>
        </w:rPr>
        <w:t>配电箱、电机、照明等若选型不当，防爆等级不符合</w:t>
      </w:r>
      <w:r>
        <w:rPr>
          <w:rFonts w:ascii="宋体" w:hAnsi="宋体" w:eastAsia="宋体" w:cs="宋体"/>
          <w:spacing w:val="-2"/>
          <w:sz w:val="24"/>
          <w:szCs w:val="24"/>
        </w:rPr>
        <w:t>要求，接地措施缺陷，或发</w:t>
      </w:r>
      <w:r>
        <w:rPr>
          <w:rFonts w:ascii="宋体" w:hAnsi="宋体" w:eastAsia="宋体" w:cs="宋体"/>
          <w:sz w:val="24"/>
          <w:szCs w:val="24"/>
        </w:rPr>
        <w:t xml:space="preserve"> </w:t>
      </w:r>
      <w:r>
        <w:rPr>
          <w:rFonts w:ascii="宋体" w:hAnsi="宋体" w:eastAsia="宋体" w:cs="宋体"/>
          <w:spacing w:val="-1"/>
          <w:sz w:val="24"/>
          <w:szCs w:val="24"/>
        </w:rPr>
        <w:t>生故障、误操作、机械碰撞可产生电气火花、电弧。</w:t>
      </w:r>
    </w:p>
    <w:p w14:paraId="4BE78ED3">
      <w:pPr>
        <w:spacing w:line="217" w:lineRule="auto"/>
        <w:ind w:left="479"/>
        <w:rPr>
          <w:rFonts w:ascii="宋体" w:hAnsi="宋体" w:eastAsia="宋体" w:cs="宋体"/>
          <w:sz w:val="24"/>
          <w:szCs w:val="24"/>
        </w:rPr>
      </w:pPr>
      <w:r>
        <w:rPr>
          <w:rFonts w:ascii="宋体" w:hAnsi="宋体" w:eastAsia="宋体" w:cs="宋体"/>
          <w:spacing w:val="-1"/>
          <w:sz w:val="24"/>
          <w:szCs w:val="24"/>
        </w:rPr>
        <w:t>③摩擦或撞击火花</w:t>
      </w:r>
    </w:p>
    <w:p w14:paraId="41D4EFE6">
      <w:pPr>
        <w:spacing w:before="185" w:line="219" w:lineRule="auto"/>
        <w:ind w:left="482"/>
        <w:rPr>
          <w:rFonts w:ascii="宋体" w:hAnsi="宋体" w:eastAsia="宋体" w:cs="宋体"/>
          <w:sz w:val="24"/>
          <w:szCs w:val="24"/>
        </w:rPr>
      </w:pPr>
      <w:r>
        <w:rPr>
          <w:rFonts w:ascii="宋体" w:hAnsi="宋体" w:eastAsia="宋体" w:cs="宋体"/>
          <w:spacing w:val="-1"/>
          <w:sz w:val="24"/>
          <w:szCs w:val="24"/>
        </w:rPr>
        <w:t>生产及维修过程中的机械撞击、构件之间的摩擦等可产生的火花。</w:t>
      </w:r>
    </w:p>
    <w:p w14:paraId="227A97A1">
      <w:pPr>
        <w:spacing w:before="184" w:line="217" w:lineRule="auto"/>
        <w:ind w:left="479"/>
        <w:rPr>
          <w:rFonts w:ascii="宋体" w:hAnsi="宋体" w:eastAsia="宋体" w:cs="宋体"/>
          <w:sz w:val="24"/>
          <w:szCs w:val="24"/>
        </w:rPr>
      </w:pPr>
      <w:r>
        <w:rPr>
          <w:rFonts w:ascii="宋体" w:hAnsi="宋体" w:eastAsia="宋体" w:cs="宋体"/>
          <w:spacing w:val="-2"/>
          <w:sz w:val="24"/>
          <w:szCs w:val="24"/>
        </w:rPr>
        <w:t>④静电火花</w:t>
      </w:r>
    </w:p>
    <w:p w14:paraId="4247F477">
      <w:pPr>
        <w:spacing w:before="185" w:line="359" w:lineRule="auto"/>
        <w:ind w:left="3" w:right="80" w:firstLine="492"/>
        <w:rPr>
          <w:rFonts w:ascii="宋体" w:hAnsi="宋体" w:eastAsia="宋体" w:cs="宋体"/>
          <w:sz w:val="24"/>
          <w:szCs w:val="24"/>
        </w:rPr>
      </w:pPr>
      <w:r>
        <w:rPr>
          <w:rFonts w:ascii="宋体" w:hAnsi="宋体" w:eastAsia="宋体" w:cs="宋体"/>
          <w:spacing w:val="-2"/>
          <w:sz w:val="24"/>
          <w:szCs w:val="24"/>
        </w:rPr>
        <w:t>易燃液体在输送过程中会因摩擦产生静电，如果防静电措施不符合要求，会在设</w:t>
      </w:r>
      <w:r>
        <w:rPr>
          <w:rFonts w:ascii="宋体" w:hAnsi="宋体" w:eastAsia="宋体" w:cs="宋体"/>
          <w:spacing w:val="7"/>
          <w:sz w:val="24"/>
          <w:szCs w:val="24"/>
        </w:rPr>
        <w:t xml:space="preserve"> </w:t>
      </w:r>
      <w:r>
        <w:rPr>
          <w:rFonts w:ascii="宋体" w:hAnsi="宋体" w:eastAsia="宋体" w:cs="宋体"/>
          <w:spacing w:val="-1"/>
          <w:sz w:val="24"/>
          <w:szCs w:val="24"/>
        </w:rPr>
        <w:t>备、管道上积聚静电荷，形成电位差而放电，产生静电</w:t>
      </w:r>
      <w:r>
        <w:rPr>
          <w:rFonts w:ascii="宋体" w:hAnsi="宋体" w:eastAsia="宋体" w:cs="宋体"/>
          <w:spacing w:val="-2"/>
          <w:sz w:val="24"/>
          <w:szCs w:val="24"/>
        </w:rPr>
        <w:t>火花；员工未穿戴防静电服上</w:t>
      </w:r>
      <w:r>
        <w:rPr>
          <w:rFonts w:ascii="宋体" w:hAnsi="宋体" w:eastAsia="宋体" w:cs="宋体"/>
          <w:sz w:val="24"/>
          <w:szCs w:val="24"/>
        </w:rPr>
        <w:t xml:space="preserve"> </w:t>
      </w:r>
      <w:r>
        <w:rPr>
          <w:rFonts w:ascii="宋体" w:hAnsi="宋体" w:eastAsia="宋体" w:cs="宋体"/>
          <w:spacing w:val="-2"/>
          <w:sz w:val="24"/>
          <w:szCs w:val="24"/>
        </w:rPr>
        <w:t>岗操作也可产生静电火花。</w:t>
      </w:r>
    </w:p>
    <w:p w14:paraId="6D77AC5F">
      <w:pPr>
        <w:spacing w:line="217" w:lineRule="auto"/>
        <w:ind w:left="479"/>
        <w:rPr>
          <w:rFonts w:ascii="宋体" w:hAnsi="宋体" w:eastAsia="宋体" w:cs="宋体"/>
          <w:sz w:val="24"/>
          <w:szCs w:val="24"/>
        </w:rPr>
      </w:pPr>
      <w:r>
        <w:rPr>
          <w:rFonts w:ascii="宋体" w:hAnsi="宋体" w:eastAsia="宋体" w:cs="宋体"/>
          <w:spacing w:val="-2"/>
          <w:sz w:val="24"/>
          <w:szCs w:val="24"/>
        </w:rPr>
        <w:t>⑤雷电火花</w:t>
      </w:r>
    </w:p>
    <w:p w14:paraId="6F491D4B">
      <w:pPr>
        <w:spacing w:before="183" w:line="359" w:lineRule="auto"/>
        <w:ind w:left="1" w:right="80" w:firstLine="494"/>
        <w:rPr>
          <w:rFonts w:ascii="宋体" w:hAnsi="宋体" w:eastAsia="宋体" w:cs="宋体"/>
          <w:sz w:val="24"/>
          <w:szCs w:val="24"/>
        </w:rPr>
      </w:pPr>
      <w:r>
        <w:rPr>
          <w:rFonts w:ascii="宋体" w:hAnsi="宋体" w:eastAsia="宋体" w:cs="宋体"/>
          <w:spacing w:val="-2"/>
          <w:sz w:val="24"/>
          <w:szCs w:val="24"/>
        </w:rPr>
        <w:t>防雷设施不健全，接地电阻大，在雷雨天因落雷击中厂房或设备，可产生雷电火</w:t>
      </w:r>
      <w:r>
        <w:rPr>
          <w:rFonts w:ascii="宋体" w:hAnsi="宋体" w:eastAsia="宋体" w:cs="宋体"/>
          <w:spacing w:val="8"/>
          <w:sz w:val="24"/>
          <w:szCs w:val="24"/>
        </w:rPr>
        <w:t xml:space="preserve"> </w:t>
      </w:r>
      <w:r>
        <w:rPr>
          <w:rFonts w:ascii="宋体" w:hAnsi="宋体" w:eastAsia="宋体" w:cs="宋体"/>
          <w:spacing w:val="-6"/>
          <w:sz w:val="24"/>
          <w:szCs w:val="24"/>
        </w:rPr>
        <w:t>花。</w:t>
      </w:r>
    </w:p>
    <w:p w14:paraId="729C8CAB">
      <w:pPr>
        <w:spacing w:before="1" w:line="217" w:lineRule="auto"/>
        <w:ind w:left="479"/>
        <w:rPr>
          <w:rFonts w:ascii="宋体" w:hAnsi="宋体" w:eastAsia="宋体" w:cs="宋体"/>
          <w:sz w:val="24"/>
          <w:szCs w:val="24"/>
        </w:rPr>
      </w:pPr>
      <w:r>
        <w:rPr>
          <w:rFonts w:ascii="宋体" w:hAnsi="宋体" w:eastAsia="宋体" w:cs="宋体"/>
          <w:spacing w:val="-2"/>
          <w:sz w:val="24"/>
          <w:szCs w:val="24"/>
        </w:rPr>
        <w:t>⑥高温表面</w:t>
      </w:r>
    </w:p>
    <w:p w14:paraId="067ADFF6">
      <w:pPr>
        <w:spacing w:before="186" w:line="219" w:lineRule="auto"/>
        <w:ind w:left="484"/>
        <w:rPr>
          <w:rFonts w:ascii="宋体" w:hAnsi="宋体" w:eastAsia="宋体" w:cs="宋体"/>
          <w:sz w:val="24"/>
          <w:szCs w:val="24"/>
        </w:rPr>
      </w:pPr>
      <w:r>
        <w:rPr>
          <w:rFonts w:ascii="宋体" w:hAnsi="宋体" w:eastAsia="宋体" w:cs="宋体"/>
          <w:spacing w:val="-1"/>
          <w:sz w:val="24"/>
          <w:szCs w:val="24"/>
        </w:rPr>
        <w:t>未保温或保温不良的高温设备或管道也是点火源。</w:t>
      </w:r>
    </w:p>
    <w:p w14:paraId="1BD1FF6C">
      <w:pPr>
        <w:spacing w:before="180" w:line="218" w:lineRule="auto"/>
        <w:ind w:left="475"/>
        <w:rPr>
          <w:rFonts w:ascii="宋体" w:hAnsi="宋体" w:eastAsia="宋体" w:cs="宋体"/>
          <w:sz w:val="24"/>
          <w:szCs w:val="24"/>
        </w:rPr>
      </w:pPr>
      <w:r>
        <w:rPr>
          <w:rFonts w:ascii="Times New Roman" w:hAnsi="Times New Roman" w:eastAsia="Times New Roman" w:cs="Times New Roman"/>
          <w:spacing w:val="-8"/>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8"/>
          <w:sz w:val="24"/>
          <w:szCs w:val="24"/>
        </w:rPr>
        <w:t>、爆炸</w:t>
      </w:r>
    </w:p>
    <w:p w14:paraId="5AABDBEC">
      <w:pPr>
        <w:spacing w:before="185" w:line="359" w:lineRule="auto"/>
        <w:ind w:right="8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）爆炸可分为三种类型，即：物理爆炸、化学爆炸、核爆</w:t>
      </w:r>
      <w:r>
        <w:rPr>
          <w:rFonts w:ascii="宋体" w:hAnsi="宋体" w:eastAsia="宋体" w:cs="宋体"/>
          <w:spacing w:val="1"/>
          <w:sz w:val="24"/>
          <w:szCs w:val="24"/>
        </w:rPr>
        <w:t>炸；本项目可能存</w:t>
      </w:r>
      <w:r>
        <w:rPr>
          <w:rFonts w:ascii="宋体" w:hAnsi="宋体" w:eastAsia="宋体" w:cs="宋体"/>
          <w:sz w:val="24"/>
          <w:szCs w:val="24"/>
        </w:rPr>
        <w:t xml:space="preserve"> </w:t>
      </w:r>
      <w:r>
        <w:rPr>
          <w:rFonts w:ascii="宋体" w:hAnsi="宋体" w:eastAsia="宋体" w:cs="宋体"/>
          <w:spacing w:val="-1"/>
          <w:sz w:val="24"/>
          <w:szCs w:val="24"/>
        </w:rPr>
        <w:t>在的爆炸为化学爆炸。</w:t>
      </w:r>
    </w:p>
    <w:p w14:paraId="4FB6409E">
      <w:pPr>
        <w:spacing w:before="1" w:line="217" w:lineRule="auto"/>
        <w:ind w:left="481"/>
        <w:rPr>
          <w:rFonts w:ascii="宋体" w:hAnsi="宋体" w:eastAsia="宋体" w:cs="宋体"/>
          <w:sz w:val="24"/>
          <w:szCs w:val="24"/>
        </w:rPr>
      </w:pPr>
      <w:r>
        <w:rPr>
          <w:rFonts w:ascii="宋体" w:hAnsi="宋体" w:eastAsia="宋体" w:cs="宋体"/>
          <w:spacing w:val="-1"/>
          <w:sz w:val="24"/>
          <w:szCs w:val="24"/>
        </w:rPr>
        <w:t>化学爆炸是由化学变化造成的。在爆炸过程中产生</w:t>
      </w:r>
      <w:r>
        <w:rPr>
          <w:rFonts w:ascii="宋体" w:hAnsi="宋体" w:eastAsia="宋体" w:cs="宋体"/>
          <w:spacing w:val="-2"/>
          <w:sz w:val="24"/>
          <w:szCs w:val="24"/>
        </w:rPr>
        <w:t>激烈的放热反应，产生高温高</w:t>
      </w:r>
    </w:p>
    <w:p w14:paraId="71535265">
      <w:pPr>
        <w:spacing w:line="217" w:lineRule="auto"/>
        <w:rPr>
          <w:rFonts w:ascii="宋体" w:hAnsi="宋体" w:eastAsia="宋体" w:cs="宋体"/>
          <w:sz w:val="24"/>
          <w:szCs w:val="24"/>
        </w:rPr>
        <w:sectPr>
          <w:footerReference r:id="rId133" w:type="default"/>
          <w:pgSz w:w="11906" w:h="16839"/>
          <w:pgMar w:top="400" w:right="1450" w:bottom="1127" w:left="1539" w:header="0" w:footer="965" w:gutter="0"/>
          <w:cols w:space="720" w:num="1"/>
        </w:sectPr>
      </w:pPr>
    </w:p>
    <w:p w14:paraId="73F337EB">
      <w:pPr>
        <w:spacing w:line="250" w:lineRule="auto"/>
        <w:rPr>
          <w:rFonts w:ascii="Arial"/>
          <w:sz w:val="21"/>
        </w:rPr>
      </w:pPr>
    </w:p>
    <w:p w14:paraId="26A35A22">
      <w:pPr>
        <w:spacing w:line="250" w:lineRule="auto"/>
        <w:rPr>
          <w:rFonts w:ascii="Arial"/>
          <w:sz w:val="21"/>
        </w:rPr>
      </w:pPr>
    </w:p>
    <w:p w14:paraId="57FB0250">
      <w:pPr>
        <w:spacing w:line="250" w:lineRule="auto"/>
        <w:rPr>
          <w:rFonts w:ascii="Arial"/>
          <w:sz w:val="21"/>
        </w:rPr>
      </w:pPr>
    </w:p>
    <w:p w14:paraId="60AD0D24">
      <w:pPr>
        <w:spacing w:line="250" w:lineRule="auto"/>
        <w:rPr>
          <w:rFonts w:ascii="Arial"/>
          <w:sz w:val="21"/>
        </w:rPr>
      </w:pPr>
    </w:p>
    <w:p w14:paraId="46A1F1F0">
      <w:pPr>
        <w:spacing w:line="250" w:lineRule="auto"/>
        <w:rPr>
          <w:rFonts w:ascii="Arial"/>
          <w:sz w:val="21"/>
        </w:rPr>
      </w:pPr>
    </w:p>
    <w:p w14:paraId="021457E0">
      <w:pPr>
        <w:spacing w:before="78" w:line="359" w:lineRule="auto"/>
        <w:ind w:left="64" w:right="80"/>
        <w:rPr>
          <w:rFonts w:ascii="宋体" w:hAnsi="宋体" w:eastAsia="宋体" w:cs="宋体"/>
          <w:sz w:val="24"/>
          <w:szCs w:val="24"/>
        </w:rPr>
      </w:pPr>
      <w:r>
        <w:rPr>
          <w:rFonts w:ascii="宋体" w:hAnsi="宋体" w:eastAsia="宋体" w:cs="宋体"/>
          <w:spacing w:val="-1"/>
          <w:sz w:val="24"/>
          <w:szCs w:val="24"/>
        </w:rPr>
        <w:t>压和冲击波，从而引起强烈的破坏作用。如：化学品仓库的</w:t>
      </w:r>
      <w:r>
        <w:rPr>
          <w:rFonts w:ascii="宋体" w:hAnsi="宋体" w:eastAsia="宋体" w:cs="宋体"/>
          <w:spacing w:val="-2"/>
          <w:sz w:val="24"/>
          <w:szCs w:val="24"/>
        </w:rPr>
        <w:t>易燃液体蒸气和空气形成</w:t>
      </w:r>
      <w:r>
        <w:rPr>
          <w:rFonts w:ascii="宋体" w:hAnsi="宋体" w:eastAsia="宋体" w:cs="宋体"/>
          <w:sz w:val="24"/>
          <w:szCs w:val="24"/>
        </w:rPr>
        <w:t xml:space="preserve"> 爆炸性混和气体在爆炸极限范围内遇足够能量</w:t>
      </w:r>
      <w:r>
        <w:rPr>
          <w:rFonts w:ascii="宋体" w:hAnsi="宋体" w:eastAsia="宋体" w:cs="宋体"/>
          <w:spacing w:val="-1"/>
          <w:sz w:val="24"/>
          <w:szCs w:val="24"/>
        </w:rPr>
        <w:t>点火源而发生燃烧爆炸。</w:t>
      </w:r>
    </w:p>
    <w:p w14:paraId="71976D0C">
      <w:pPr>
        <w:spacing w:line="220" w:lineRule="auto"/>
        <w:ind w:left="60"/>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4  </w:t>
      </w:r>
      <w:r>
        <w:rPr>
          <w:rFonts w:ascii="宋体" w:hAnsi="宋体" w:eastAsia="宋体" w:cs="宋体"/>
          <w:b/>
          <w:bCs/>
          <w:spacing w:val="-2"/>
          <w:sz w:val="24"/>
          <w:szCs w:val="24"/>
        </w:rPr>
        <w:t>风险事故情形分析</w:t>
      </w:r>
    </w:p>
    <w:p w14:paraId="5F795D7F">
      <w:pPr>
        <w:spacing w:before="179" w:line="219" w:lineRule="auto"/>
        <w:ind w:left="60"/>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可信事故类型</w:t>
      </w:r>
    </w:p>
    <w:p w14:paraId="10FE2C92">
      <w:pPr>
        <w:spacing w:before="182" w:line="362" w:lineRule="auto"/>
        <w:ind w:left="66" w:firstLine="478"/>
        <w:rPr>
          <w:rFonts w:ascii="宋体" w:hAnsi="宋体" w:eastAsia="宋体" w:cs="宋体"/>
          <w:sz w:val="24"/>
          <w:szCs w:val="24"/>
        </w:rPr>
      </w:pPr>
      <w:r>
        <w:rPr>
          <w:rFonts w:ascii="宋体" w:hAnsi="宋体" w:eastAsia="宋体" w:cs="宋体"/>
          <w:spacing w:val="-1"/>
          <w:sz w:val="24"/>
          <w:szCs w:val="24"/>
        </w:rPr>
        <w:t>针对本项目运期组织方案，统计国内有关的化学品的</w:t>
      </w:r>
      <w:r>
        <w:rPr>
          <w:rFonts w:ascii="宋体" w:hAnsi="宋体" w:eastAsia="宋体" w:cs="宋体"/>
          <w:spacing w:val="-2"/>
          <w:sz w:val="24"/>
          <w:szCs w:val="24"/>
        </w:rPr>
        <w:t>火灾和泄漏事故，近年来发</w:t>
      </w:r>
      <w:r>
        <w:rPr>
          <w:rFonts w:ascii="宋体" w:hAnsi="宋体" w:eastAsia="宋体" w:cs="宋体"/>
          <w:sz w:val="24"/>
          <w:szCs w:val="24"/>
        </w:rPr>
        <w:t xml:space="preserve"> </w:t>
      </w:r>
      <w:r>
        <w:rPr>
          <w:rFonts w:ascii="宋体" w:hAnsi="宋体" w:eastAsia="宋体" w:cs="宋体"/>
          <w:spacing w:val="-5"/>
          <w:sz w:val="24"/>
          <w:szCs w:val="24"/>
        </w:rPr>
        <w:t>生在国内的与本项目相同及相似的风险事故</w:t>
      </w:r>
      <w:r>
        <w:rPr>
          <w:rFonts w:ascii="宋体" w:hAnsi="宋体" w:eastAsia="宋体" w:cs="宋体"/>
          <w:spacing w:val="-6"/>
          <w:sz w:val="24"/>
          <w:szCs w:val="24"/>
        </w:rPr>
        <w:t>，选取其中一些作为典型案例，详见下表。</w:t>
      </w:r>
    </w:p>
    <w:p w14:paraId="0D834136">
      <w:pPr>
        <w:spacing w:before="113" w:line="219" w:lineRule="auto"/>
        <w:ind w:left="2768"/>
        <w:outlineLvl w:val="3"/>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近年来主要案例发生情况</w:t>
      </w:r>
    </w:p>
    <w:p w14:paraId="74FB1BBF">
      <w:pPr>
        <w:spacing w:line="147" w:lineRule="exact"/>
      </w:pPr>
    </w:p>
    <w:tbl>
      <w:tblPr>
        <w:tblStyle w:val="5"/>
        <w:tblW w:w="8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2361"/>
        <w:gridCol w:w="1089"/>
        <w:gridCol w:w="909"/>
        <w:gridCol w:w="1279"/>
        <w:gridCol w:w="2046"/>
      </w:tblGrid>
      <w:tr w14:paraId="07DC7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264" w:type="dxa"/>
            <w:vAlign w:val="top"/>
          </w:tcPr>
          <w:p w14:paraId="0781007B">
            <w:pPr>
              <w:pStyle w:val="6"/>
              <w:spacing w:before="112" w:line="230" w:lineRule="auto"/>
              <w:ind w:left="437"/>
              <w:rPr>
                <w:sz w:val="20"/>
                <w:szCs w:val="20"/>
              </w:rPr>
            </w:pPr>
            <w:r>
              <w:rPr>
                <w:spacing w:val="-1"/>
                <w:sz w:val="20"/>
                <w:szCs w:val="20"/>
              </w:rPr>
              <w:t>时间</w:t>
            </w:r>
          </w:p>
        </w:tc>
        <w:tc>
          <w:tcPr>
            <w:tcW w:w="2361" w:type="dxa"/>
            <w:vAlign w:val="top"/>
          </w:tcPr>
          <w:p w14:paraId="49140DEE">
            <w:pPr>
              <w:pStyle w:val="6"/>
              <w:spacing w:before="113" w:line="232" w:lineRule="auto"/>
              <w:ind w:left="975"/>
              <w:rPr>
                <w:sz w:val="20"/>
                <w:szCs w:val="20"/>
              </w:rPr>
            </w:pPr>
            <w:r>
              <w:rPr>
                <w:spacing w:val="4"/>
                <w:sz w:val="20"/>
                <w:szCs w:val="20"/>
              </w:rPr>
              <w:t>地点</w:t>
            </w:r>
          </w:p>
        </w:tc>
        <w:tc>
          <w:tcPr>
            <w:tcW w:w="1089" w:type="dxa"/>
            <w:vAlign w:val="top"/>
          </w:tcPr>
          <w:p w14:paraId="308D4538">
            <w:pPr>
              <w:pStyle w:val="6"/>
              <w:spacing w:before="113" w:line="228" w:lineRule="auto"/>
              <w:ind w:left="131"/>
              <w:rPr>
                <w:sz w:val="20"/>
                <w:szCs w:val="20"/>
              </w:rPr>
            </w:pPr>
            <w:r>
              <w:rPr>
                <w:spacing w:val="6"/>
                <w:sz w:val="20"/>
                <w:szCs w:val="20"/>
              </w:rPr>
              <w:t>危害物质</w:t>
            </w:r>
          </w:p>
        </w:tc>
        <w:tc>
          <w:tcPr>
            <w:tcW w:w="909" w:type="dxa"/>
            <w:vAlign w:val="top"/>
          </w:tcPr>
          <w:p w14:paraId="563D6C75">
            <w:pPr>
              <w:pStyle w:val="6"/>
              <w:spacing w:before="113" w:line="229" w:lineRule="auto"/>
              <w:ind w:left="149"/>
              <w:rPr>
                <w:sz w:val="20"/>
                <w:szCs w:val="20"/>
              </w:rPr>
            </w:pPr>
            <w:r>
              <w:rPr>
                <w:spacing w:val="5"/>
                <w:sz w:val="20"/>
                <w:szCs w:val="20"/>
              </w:rPr>
              <w:t>泄漏量</w:t>
            </w:r>
          </w:p>
        </w:tc>
        <w:tc>
          <w:tcPr>
            <w:tcW w:w="1279" w:type="dxa"/>
            <w:vAlign w:val="top"/>
          </w:tcPr>
          <w:p w14:paraId="49CA7B2F">
            <w:pPr>
              <w:pStyle w:val="6"/>
              <w:spacing w:before="113" w:line="228" w:lineRule="auto"/>
              <w:ind w:left="226"/>
              <w:rPr>
                <w:sz w:val="20"/>
                <w:szCs w:val="20"/>
              </w:rPr>
            </w:pPr>
            <w:r>
              <w:rPr>
                <w:spacing w:val="7"/>
                <w:sz w:val="20"/>
                <w:szCs w:val="20"/>
              </w:rPr>
              <w:t>事故原因</w:t>
            </w:r>
          </w:p>
        </w:tc>
        <w:tc>
          <w:tcPr>
            <w:tcW w:w="2046" w:type="dxa"/>
            <w:vAlign w:val="top"/>
          </w:tcPr>
          <w:p w14:paraId="2E78A8EA">
            <w:pPr>
              <w:pStyle w:val="6"/>
              <w:spacing w:before="113" w:line="228" w:lineRule="auto"/>
              <w:ind w:left="821"/>
              <w:rPr>
                <w:sz w:val="20"/>
                <w:szCs w:val="20"/>
              </w:rPr>
            </w:pPr>
            <w:r>
              <w:rPr>
                <w:spacing w:val="3"/>
                <w:sz w:val="20"/>
                <w:szCs w:val="20"/>
              </w:rPr>
              <w:t>后果</w:t>
            </w:r>
          </w:p>
        </w:tc>
      </w:tr>
      <w:tr w14:paraId="35098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64" w:type="dxa"/>
            <w:vAlign w:val="top"/>
          </w:tcPr>
          <w:p w14:paraId="4B65CA31">
            <w:pPr>
              <w:spacing w:before="144"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2006-2-14</w:t>
            </w:r>
          </w:p>
        </w:tc>
        <w:tc>
          <w:tcPr>
            <w:tcW w:w="2361" w:type="dxa"/>
            <w:vAlign w:val="top"/>
          </w:tcPr>
          <w:p w14:paraId="1FA998B8">
            <w:pPr>
              <w:pStyle w:val="6"/>
              <w:spacing w:before="108" w:line="228" w:lineRule="auto"/>
              <w:ind w:left="111"/>
              <w:rPr>
                <w:sz w:val="20"/>
                <w:szCs w:val="20"/>
              </w:rPr>
            </w:pPr>
            <w:r>
              <w:rPr>
                <w:spacing w:val="7"/>
                <w:sz w:val="20"/>
                <w:szCs w:val="20"/>
              </w:rPr>
              <w:t>广东顺德</w:t>
            </w:r>
          </w:p>
        </w:tc>
        <w:tc>
          <w:tcPr>
            <w:tcW w:w="1089" w:type="dxa"/>
            <w:vAlign w:val="top"/>
          </w:tcPr>
          <w:p w14:paraId="5E1D31E8">
            <w:pPr>
              <w:pStyle w:val="6"/>
              <w:spacing w:before="108" w:line="229" w:lineRule="auto"/>
              <w:ind w:left="114"/>
              <w:rPr>
                <w:sz w:val="20"/>
                <w:szCs w:val="20"/>
              </w:rPr>
            </w:pPr>
            <w:r>
              <w:rPr>
                <w:spacing w:val="3"/>
                <w:sz w:val="20"/>
                <w:szCs w:val="20"/>
              </w:rPr>
              <w:t>盐酸</w:t>
            </w:r>
          </w:p>
        </w:tc>
        <w:tc>
          <w:tcPr>
            <w:tcW w:w="909" w:type="dxa"/>
            <w:vAlign w:val="top"/>
          </w:tcPr>
          <w:p w14:paraId="5126ACA3">
            <w:pPr>
              <w:pStyle w:val="6"/>
              <w:spacing w:before="108" w:line="237" w:lineRule="auto"/>
              <w:ind w:left="112"/>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21"/>
                <w:w w:val="101"/>
                <w:sz w:val="20"/>
                <w:szCs w:val="20"/>
              </w:rPr>
              <w:t xml:space="preserve"> </w:t>
            </w:r>
            <w:r>
              <w:rPr>
                <w:spacing w:val="-2"/>
                <w:sz w:val="20"/>
                <w:szCs w:val="20"/>
              </w:rPr>
              <w:t>吨</w:t>
            </w:r>
          </w:p>
        </w:tc>
        <w:tc>
          <w:tcPr>
            <w:tcW w:w="1279" w:type="dxa"/>
            <w:vAlign w:val="top"/>
          </w:tcPr>
          <w:p w14:paraId="7F7E24E9">
            <w:pPr>
              <w:pStyle w:val="6"/>
              <w:spacing w:before="108" w:line="228" w:lineRule="auto"/>
              <w:ind w:left="120"/>
              <w:rPr>
                <w:sz w:val="20"/>
                <w:szCs w:val="20"/>
              </w:rPr>
            </w:pPr>
            <w:r>
              <w:rPr>
                <w:spacing w:val="6"/>
                <w:sz w:val="20"/>
                <w:szCs w:val="20"/>
              </w:rPr>
              <w:t>交通事故</w:t>
            </w:r>
          </w:p>
        </w:tc>
        <w:tc>
          <w:tcPr>
            <w:tcW w:w="2046" w:type="dxa"/>
            <w:vAlign w:val="top"/>
          </w:tcPr>
          <w:p w14:paraId="0FE1CE1C">
            <w:pPr>
              <w:pStyle w:val="6"/>
              <w:spacing w:before="108" w:line="228" w:lineRule="auto"/>
              <w:ind w:left="117"/>
              <w:rPr>
                <w:sz w:val="20"/>
                <w:szCs w:val="20"/>
              </w:rPr>
            </w:pPr>
            <w:r>
              <w:rPr>
                <w:spacing w:val="6"/>
                <w:sz w:val="20"/>
                <w:szCs w:val="20"/>
              </w:rPr>
              <w:t>污染河涌</w:t>
            </w:r>
          </w:p>
        </w:tc>
      </w:tr>
      <w:tr w14:paraId="4A019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64" w:type="dxa"/>
            <w:vAlign w:val="top"/>
          </w:tcPr>
          <w:p w14:paraId="5B78C1D2">
            <w:pPr>
              <w:spacing w:before="144"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2006-1-16</w:t>
            </w:r>
          </w:p>
        </w:tc>
        <w:tc>
          <w:tcPr>
            <w:tcW w:w="2361" w:type="dxa"/>
            <w:vAlign w:val="top"/>
          </w:tcPr>
          <w:p w14:paraId="3DFD5378">
            <w:pPr>
              <w:pStyle w:val="6"/>
              <w:spacing w:before="108" w:line="227" w:lineRule="auto"/>
              <w:ind w:left="111"/>
              <w:rPr>
                <w:sz w:val="20"/>
                <w:szCs w:val="20"/>
              </w:rPr>
            </w:pPr>
            <w:r>
              <w:rPr>
                <w:spacing w:val="7"/>
                <w:sz w:val="20"/>
                <w:szCs w:val="20"/>
              </w:rPr>
              <w:t>广州天河</w:t>
            </w:r>
          </w:p>
        </w:tc>
        <w:tc>
          <w:tcPr>
            <w:tcW w:w="1089" w:type="dxa"/>
            <w:vAlign w:val="top"/>
          </w:tcPr>
          <w:p w14:paraId="025FFEBB">
            <w:pPr>
              <w:pStyle w:val="6"/>
              <w:spacing w:before="108" w:line="229" w:lineRule="auto"/>
              <w:ind w:left="114"/>
              <w:rPr>
                <w:sz w:val="20"/>
                <w:szCs w:val="20"/>
              </w:rPr>
            </w:pPr>
            <w:r>
              <w:rPr>
                <w:spacing w:val="3"/>
                <w:sz w:val="20"/>
                <w:szCs w:val="20"/>
              </w:rPr>
              <w:t>盐酸</w:t>
            </w:r>
          </w:p>
        </w:tc>
        <w:tc>
          <w:tcPr>
            <w:tcW w:w="909" w:type="dxa"/>
            <w:vAlign w:val="top"/>
          </w:tcPr>
          <w:p w14:paraId="16DA58EE">
            <w:pPr>
              <w:pStyle w:val="6"/>
              <w:spacing w:before="108" w:line="237" w:lineRule="auto"/>
              <w:ind w:left="108"/>
              <w:rPr>
                <w:sz w:val="20"/>
                <w:szCs w:val="20"/>
              </w:rPr>
            </w:pPr>
            <w:r>
              <w:rPr>
                <w:rFonts w:ascii="Times New Roman" w:hAnsi="Times New Roman" w:eastAsia="Times New Roman" w:cs="Times New Roman"/>
                <w:spacing w:val="2"/>
                <w:sz w:val="20"/>
                <w:szCs w:val="20"/>
              </w:rPr>
              <w:t>4.6</w:t>
            </w:r>
            <w:r>
              <w:rPr>
                <w:rFonts w:ascii="Times New Roman" w:hAnsi="Times New Roman" w:eastAsia="Times New Roman" w:cs="Times New Roman"/>
                <w:spacing w:val="22"/>
                <w:sz w:val="20"/>
                <w:szCs w:val="20"/>
              </w:rPr>
              <w:t xml:space="preserve"> </w:t>
            </w:r>
            <w:r>
              <w:rPr>
                <w:spacing w:val="2"/>
                <w:sz w:val="20"/>
                <w:szCs w:val="20"/>
              </w:rPr>
              <w:t>吨</w:t>
            </w:r>
          </w:p>
        </w:tc>
        <w:tc>
          <w:tcPr>
            <w:tcW w:w="1279" w:type="dxa"/>
            <w:vAlign w:val="top"/>
          </w:tcPr>
          <w:p w14:paraId="0AD32FA6">
            <w:pPr>
              <w:pStyle w:val="6"/>
              <w:spacing w:before="109" w:line="228" w:lineRule="auto"/>
              <w:ind w:left="120"/>
              <w:rPr>
                <w:sz w:val="20"/>
                <w:szCs w:val="20"/>
              </w:rPr>
            </w:pPr>
            <w:r>
              <w:rPr>
                <w:spacing w:val="6"/>
                <w:sz w:val="20"/>
                <w:szCs w:val="20"/>
              </w:rPr>
              <w:t>交通事故</w:t>
            </w:r>
          </w:p>
        </w:tc>
        <w:tc>
          <w:tcPr>
            <w:tcW w:w="2046" w:type="dxa"/>
            <w:vAlign w:val="top"/>
          </w:tcPr>
          <w:p w14:paraId="72F10DF0">
            <w:pPr>
              <w:pStyle w:val="6"/>
              <w:spacing w:before="108" w:line="228" w:lineRule="auto"/>
              <w:ind w:left="116"/>
              <w:rPr>
                <w:sz w:val="20"/>
                <w:szCs w:val="20"/>
              </w:rPr>
            </w:pPr>
            <w:r>
              <w:rPr>
                <w:spacing w:val="1"/>
                <w:sz w:val="20"/>
                <w:szCs w:val="20"/>
              </w:rPr>
              <w:t>疏散人群、堵塞交通</w:t>
            </w:r>
          </w:p>
        </w:tc>
      </w:tr>
      <w:tr w14:paraId="14299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264" w:type="dxa"/>
            <w:vAlign w:val="top"/>
          </w:tcPr>
          <w:p w14:paraId="510EBB82">
            <w:pPr>
              <w:spacing w:before="145"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2005-11-17</w:t>
            </w:r>
          </w:p>
        </w:tc>
        <w:tc>
          <w:tcPr>
            <w:tcW w:w="2361" w:type="dxa"/>
            <w:vAlign w:val="top"/>
          </w:tcPr>
          <w:p w14:paraId="0C6336B5">
            <w:pPr>
              <w:pStyle w:val="6"/>
              <w:spacing w:before="108" w:line="228" w:lineRule="auto"/>
              <w:ind w:left="111"/>
              <w:rPr>
                <w:sz w:val="20"/>
                <w:szCs w:val="20"/>
              </w:rPr>
            </w:pPr>
            <w:r>
              <w:rPr>
                <w:spacing w:val="8"/>
                <w:sz w:val="20"/>
                <w:szCs w:val="20"/>
              </w:rPr>
              <w:t>广东潮安某氯化石蜡厂</w:t>
            </w:r>
          </w:p>
        </w:tc>
        <w:tc>
          <w:tcPr>
            <w:tcW w:w="1089" w:type="dxa"/>
            <w:vAlign w:val="top"/>
          </w:tcPr>
          <w:p w14:paraId="3C0C3024">
            <w:pPr>
              <w:pStyle w:val="6"/>
              <w:spacing w:before="109" w:line="229" w:lineRule="auto"/>
              <w:ind w:left="114"/>
              <w:rPr>
                <w:sz w:val="20"/>
                <w:szCs w:val="20"/>
              </w:rPr>
            </w:pPr>
            <w:r>
              <w:rPr>
                <w:spacing w:val="3"/>
                <w:sz w:val="20"/>
                <w:szCs w:val="20"/>
              </w:rPr>
              <w:t>盐酸</w:t>
            </w:r>
          </w:p>
        </w:tc>
        <w:tc>
          <w:tcPr>
            <w:tcW w:w="909" w:type="dxa"/>
            <w:vAlign w:val="top"/>
          </w:tcPr>
          <w:p w14:paraId="0C36CEAC">
            <w:pPr>
              <w:spacing w:before="234" w:line="96" w:lineRule="exact"/>
              <w:ind w:left="10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1279" w:type="dxa"/>
            <w:vAlign w:val="top"/>
          </w:tcPr>
          <w:p w14:paraId="677DCC55">
            <w:pPr>
              <w:pStyle w:val="6"/>
              <w:spacing w:before="108" w:line="228" w:lineRule="auto"/>
              <w:ind w:left="117"/>
              <w:rPr>
                <w:sz w:val="20"/>
                <w:szCs w:val="20"/>
              </w:rPr>
            </w:pPr>
            <w:r>
              <w:rPr>
                <w:spacing w:val="6"/>
                <w:sz w:val="20"/>
                <w:szCs w:val="20"/>
              </w:rPr>
              <w:t>罐体破裂</w:t>
            </w:r>
          </w:p>
        </w:tc>
        <w:tc>
          <w:tcPr>
            <w:tcW w:w="2046" w:type="dxa"/>
            <w:vAlign w:val="top"/>
          </w:tcPr>
          <w:p w14:paraId="5480E244">
            <w:pPr>
              <w:pStyle w:val="6"/>
              <w:spacing w:before="109" w:line="228" w:lineRule="auto"/>
              <w:ind w:left="112"/>
              <w:rPr>
                <w:sz w:val="20"/>
                <w:szCs w:val="20"/>
              </w:rPr>
            </w:pPr>
            <w:r>
              <w:rPr>
                <w:rFonts w:ascii="Times New Roman" w:hAnsi="Times New Roman" w:eastAsia="Times New Roman" w:cs="Times New Roman"/>
                <w:spacing w:val="4"/>
                <w:sz w:val="20"/>
                <w:szCs w:val="20"/>
              </w:rPr>
              <w:t>20</w:t>
            </w:r>
            <w:r>
              <w:rPr>
                <w:rFonts w:ascii="Times New Roman" w:hAnsi="Times New Roman" w:eastAsia="Times New Roman" w:cs="Times New Roman"/>
                <w:spacing w:val="15"/>
                <w:sz w:val="20"/>
                <w:szCs w:val="20"/>
              </w:rPr>
              <w:t xml:space="preserve"> </w:t>
            </w:r>
            <w:r>
              <w:rPr>
                <w:spacing w:val="4"/>
                <w:sz w:val="20"/>
                <w:szCs w:val="20"/>
              </w:rPr>
              <w:t>人住院</w:t>
            </w:r>
          </w:p>
        </w:tc>
      </w:tr>
      <w:tr w14:paraId="70315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264" w:type="dxa"/>
            <w:vAlign w:val="top"/>
          </w:tcPr>
          <w:p w14:paraId="39879062">
            <w:pPr>
              <w:spacing w:before="146"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2005-12-26</w:t>
            </w:r>
          </w:p>
        </w:tc>
        <w:tc>
          <w:tcPr>
            <w:tcW w:w="2361" w:type="dxa"/>
            <w:vAlign w:val="top"/>
          </w:tcPr>
          <w:p w14:paraId="3EA4C3BC">
            <w:pPr>
              <w:pStyle w:val="6"/>
              <w:spacing w:before="110" w:line="227" w:lineRule="auto"/>
              <w:ind w:left="112"/>
              <w:rPr>
                <w:sz w:val="20"/>
                <w:szCs w:val="20"/>
              </w:rPr>
            </w:pPr>
            <w:r>
              <w:rPr>
                <w:spacing w:val="8"/>
                <w:sz w:val="20"/>
                <w:szCs w:val="20"/>
              </w:rPr>
              <w:t>浙江杭州半山镇某厂</w:t>
            </w:r>
          </w:p>
        </w:tc>
        <w:tc>
          <w:tcPr>
            <w:tcW w:w="1089" w:type="dxa"/>
            <w:vAlign w:val="top"/>
          </w:tcPr>
          <w:p w14:paraId="1FF07B02">
            <w:pPr>
              <w:pStyle w:val="6"/>
              <w:spacing w:before="111" w:line="229" w:lineRule="auto"/>
              <w:ind w:left="114"/>
              <w:rPr>
                <w:sz w:val="20"/>
                <w:szCs w:val="20"/>
              </w:rPr>
            </w:pPr>
            <w:r>
              <w:rPr>
                <w:spacing w:val="3"/>
                <w:sz w:val="20"/>
                <w:szCs w:val="20"/>
              </w:rPr>
              <w:t>盐酸</w:t>
            </w:r>
          </w:p>
        </w:tc>
        <w:tc>
          <w:tcPr>
            <w:tcW w:w="909" w:type="dxa"/>
            <w:vAlign w:val="top"/>
          </w:tcPr>
          <w:p w14:paraId="66423571">
            <w:pPr>
              <w:spacing w:before="146"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13t</w:t>
            </w:r>
          </w:p>
        </w:tc>
        <w:tc>
          <w:tcPr>
            <w:tcW w:w="1279" w:type="dxa"/>
            <w:vAlign w:val="top"/>
          </w:tcPr>
          <w:p w14:paraId="5A2D0B00">
            <w:pPr>
              <w:pStyle w:val="6"/>
              <w:spacing w:before="110" w:line="228" w:lineRule="auto"/>
              <w:ind w:left="117"/>
              <w:rPr>
                <w:sz w:val="20"/>
                <w:szCs w:val="20"/>
              </w:rPr>
            </w:pPr>
            <w:r>
              <w:rPr>
                <w:spacing w:val="6"/>
                <w:sz w:val="20"/>
                <w:szCs w:val="20"/>
              </w:rPr>
              <w:t>罐体破裂</w:t>
            </w:r>
          </w:p>
        </w:tc>
        <w:tc>
          <w:tcPr>
            <w:tcW w:w="2046" w:type="dxa"/>
            <w:vAlign w:val="top"/>
          </w:tcPr>
          <w:p w14:paraId="4DAFC73B">
            <w:pPr>
              <w:pStyle w:val="6"/>
              <w:spacing w:before="110" w:line="228" w:lineRule="auto"/>
              <w:ind w:left="115"/>
              <w:rPr>
                <w:sz w:val="20"/>
                <w:szCs w:val="20"/>
              </w:rPr>
            </w:pPr>
            <w:r>
              <w:rPr>
                <w:spacing w:val="8"/>
                <w:sz w:val="20"/>
                <w:szCs w:val="20"/>
              </w:rPr>
              <w:t>威胁饮用井水</w:t>
            </w:r>
          </w:p>
        </w:tc>
      </w:tr>
      <w:tr w14:paraId="6C12B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264" w:type="dxa"/>
            <w:vAlign w:val="top"/>
          </w:tcPr>
          <w:p w14:paraId="5D60BD7C">
            <w:pPr>
              <w:spacing w:before="146"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2006-3-28</w:t>
            </w:r>
          </w:p>
        </w:tc>
        <w:tc>
          <w:tcPr>
            <w:tcW w:w="2361" w:type="dxa"/>
            <w:vAlign w:val="top"/>
          </w:tcPr>
          <w:p w14:paraId="0DC33E55">
            <w:pPr>
              <w:pStyle w:val="6"/>
              <w:spacing w:before="110" w:line="228" w:lineRule="auto"/>
              <w:ind w:left="112"/>
              <w:rPr>
                <w:sz w:val="20"/>
                <w:szCs w:val="20"/>
              </w:rPr>
            </w:pPr>
            <w:r>
              <w:rPr>
                <w:spacing w:val="7"/>
                <w:sz w:val="20"/>
                <w:szCs w:val="20"/>
              </w:rPr>
              <w:t>新疆吐乌大</w:t>
            </w:r>
          </w:p>
        </w:tc>
        <w:tc>
          <w:tcPr>
            <w:tcW w:w="1089" w:type="dxa"/>
            <w:vAlign w:val="top"/>
          </w:tcPr>
          <w:p w14:paraId="60CFA35A">
            <w:pPr>
              <w:pStyle w:val="6"/>
              <w:spacing w:before="110" w:line="229" w:lineRule="auto"/>
              <w:ind w:left="114"/>
              <w:rPr>
                <w:sz w:val="20"/>
                <w:szCs w:val="20"/>
              </w:rPr>
            </w:pPr>
            <w:r>
              <w:rPr>
                <w:spacing w:val="3"/>
                <w:sz w:val="20"/>
                <w:szCs w:val="20"/>
              </w:rPr>
              <w:t>盐酸</w:t>
            </w:r>
          </w:p>
        </w:tc>
        <w:tc>
          <w:tcPr>
            <w:tcW w:w="909" w:type="dxa"/>
            <w:vAlign w:val="top"/>
          </w:tcPr>
          <w:p w14:paraId="77A0F575">
            <w:pPr>
              <w:spacing w:before="235" w:line="96" w:lineRule="exact"/>
              <w:ind w:left="10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1279" w:type="dxa"/>
            <w:vAlign w:val="top"/>
          </w:tcPr>
          <w:p w14:paraId="3ADC6BE4">
            <w:pPr>
              <w:pStyle w:val="6"/>
              <w:spacing w:before="110" w:line="226" w:lineRule="auto"/>
              <w:ind w:left="115"/>
              <w:rPr>
                <w:sz w:val="20"/>
                <w:szCs w:val="20"/>
              </w:rPr>
            </w:pPr>
            <w:r>
              <w:rPr>
                <w:spacing w:val="7"/>
                <w:sz w:val="20"/>
                <w:szCs w:val="20"/>
              </w:rPr>
              <w:t>槽车爆炸</w:t>
            </w:r>
          </w:p>
        </w:tc>
        <w:tc>
          <w:tcPr>
            <w:tcW w:w="2046" w:type="dxa"/>
            <w:vAlign w:val="top"/>
          </w:tcPr>
          <w:p w14:paraId="39F40225">
            <w:pPr>
              <w:pStyle w:val="6"/>
              <w:spacing w:before="110" w:line="229" w:lineRule="auto"/>
              <w:ind w:left="132"/>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w w:val="101"/>
                <w:sz w:val="20"/>
                <w:szCs w:val="20"/>
              </w:rPr>
              <w:t xml:space="preserve"> </w:t>
            </w:r>
            <w:r>
              <w:rPr>
                <w:spacing w:val="-1"/>
                <w:sz w:val="20"/>
                <w:szCs w:val="20"/>
              </w:rPr>
              <w:t>人死亡</w:t>
            </w:r>
          </w:p>
        </w:tc>
      </w:tr>
      <w:tr w14:paraId="6636D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64" w:type="dxa"/>
            <w:vAlign w:val="top"/>
          </w:tcPr>
          <w:p w14:paraId="4A88F832">
            <w:pPr>
              <w:spacing w:before="205"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2006-2-8</w:t>
            </w:r>
          </w:p>
        </w:tc>
        <w:tc>
          <w:tcPr>
            <w:tcW w:w="2361" w:type="dxa"/>
            <w:vAlign w:val="top"/>
          </w:tcPr>
          <w:p w14:paraId="41909401">
            <w:pPr>
              <w:pStyle w:val="6"/>
              <w:spacing w:before="169" w:line="228" w:lineRule="auto"/>
              <w:ind w:left="111"/>
              <w:rPr>
                <w:sz w:val="20"/>
                <w:szCs w:val="20"/>
              </w:rPr>
            </w:pPr>
            <w:r>
              <w:rPr>
                <w:spacing w:val="8"/>
                <w:sz w:val="20"/>
                <w:szCs w:val="20"/>
              </w:rPr>
              <w:t>广东珠海某电子厂</w:t>
            </w:r>
          </w:p>
        </w:tc>
        <w:tc>
          <w:tcPr>
            <w:tcW w:w="1089" w:type="dxa"/>
            <w:vAlign w:val="top"/>
          </w:tcPr>
          <w:p w14:paraId="54FFD810">
            <w:pPr>
              <w:pStyle w:val="6"/>
              <w:spacing w:before="36" w:line="232" w:lineRule="auto"/>
              <w:ind w:left="113" w:right="350" w:hanging="1"/>
              <w:rPr>
                <w:sz w:val="20"/>
                <w:szCs w:val="20"/>
              </w:rPr>
            </w:pPr>
            <w:r>
              <w:rPr>
                <w:spacing w:val="6"/>
                <w:sz w:val="20"/>
                <w:szCs w:val="20"/>
              </w:rPr>
              <w:t>双氧水</w:t>
            </w:r>
            <w:r>
              <w:rPr>
                <w:spacing w:val="1"/>
                <w:sz w:val="20"/>
                <w:szCs w:val="20"/>
              </w:rPr>
              <w:t xml:space="preserve"> </w:t>
            </w:r>
            <w:r>
              <w:rPr>
                <w:spacing w:val="3"/>
                <w:sz w:val="20"/>
                <w:szCs w:val="20"/>
              </w:rPr>
              <w:t>盐酸</w:t>
            </w:r>
          </w:p>
        </w:tc>
        <w:tc>
          <w:tcPr>
            <w:tcW w:w="909" w:type="dxa"/>
            <w:vAlign w:val="top"/>
          </w:tcPr>
          <w:p w14:paraId="03FACEC0">
            <w:pPr>
              <w:spacing w:before="85"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4t</w:t>
            </w:r>
          </w:p>
          <w:p w14:paraId="685B5F35">
            <w:pPr>
              <w:spacing w:before="53"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4t</w:t>
            </w:r>
          </w:p>
        </w:tc>
        <w:tc>
          <w:tcPr>
            <w:tcW w:w="1279" w:type="dxa"/>
            <w:vAlign w:val="top"/>
          </w:tcPr>
          <w:p w14:paraId="7BFAC26E">
            <w:pPr>
              <w:pStyle w:val="6"/>
              <w:spacing w:before="169" w:line="228" w:lineRule="auto"/>
              <w:ind w:left="115"/>
              <w:rPr>
                <w:sz w:val="20"/>
                <w:szCs w:val="20"/>
              </w:rPr>
            </w:pPr>
            <w:r>
              <w:rPr>
                <w:spacing w:val="7"/>
                <w:sz w:val="20"/>
                <w:szCs w:val="20"/>
              </w:rPr>
              <w:t>储罐破裂</w:t>
            </w:r>
          </w:p>
        </w:tc>
        <w:tc>
          <w:tcPr>
            <w:tcW w:w="2046" w:type="dxa"/>
            <w:vAlign w:val="top"/>
          </w:tcPr>
          <w:p w14:paraId="203037C1">
            <w:pPr>
              <w:pStyle w:val="6"/>
              <w:spacing w:before="36" w:line="232" w:lineRule="auto"/>
              <w:ind w:left="117" w:right="290" w:hanging="1"/>
              <w:rPr>
                <w:sz w:val="20"/>
                <w:szCs w:val="20"/>
              </w:rPr>
            </w:pPr>
            <w:r>
              <w:rPr>
                <w:spacing w:val="4"/>
                <w:sz w:val="20"/>
                <w:szCs w:val="20"/>
              </w:rPr>
              <w:t>双氧水储罐爆炸、</w:t>
            </w:r>
            <w:r>
              <w:rPr>
                <w:spacing w:val="1"/>
                <w:sz w:val="20"/>
                <w:szCs w:val="20"/>
              </w:rPr>
              <w:t xml:space="preserve"> </w:t>
            </w:r>
            <w:r>
              <w:rPr>
                <w:spacing w:val="6"/>
                <w:sz w:val="20"/>
                <w:szCs w:val="20"/>
              </w:rPr>
              <w:t>盐酸泄漏</w:t>
            </w:r>
          </w:p>
        </w:tc>
      </w:tr>
      <w:tr w14:paraId="5A646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64" w:type="dxa"/>
            <w:vAlign w:val="top"/>
          </w:tcPr>
          <w:p w14:paraId="416708D1">
            <w:pPr>
              <w:spacing w:before="206"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2003-7-10</w:t>
            </w:r>
          </w:p>
        </w:tc>
        <w:tc>
          <w:tcPr>
            <w:tcW w:w="2361" w:type="dxa"/>
            <w:vAlign w:val="top"/>
          </w:tcPr>
          <w:p w14:paraId="3A333829">
            <w:pPr>
              <w:pStyle w:val="6"/>
              <w:spacing w:before="170" w:line="229" w:lineRule="auto"/>
              <w:ind w:left="111"/>
              <w:rPr>
                <w:sz w:val="20"/>
                <w:szCs w:val="20"/>
              </w:rPr>
            </w:pPr>
            <w:r>
              <w:rPr>
                <w:spacing w:val="7"/>
                <w:sz w:val="20"/>
                <w:szCs w:val="20"/>
              </w:rPr>
              <w:t>广西三江</w:t>
            </w:r>
          </w:p>
        </w:tc>
        <w:tc>
          <w:tcPr>
            <w:tcW w:w="1089" w:type="dxa"/>
            <w:vAlign w:val="top"/>
          </w:tcPr>
          <w:p w14:paraId="10A25F64">
            <w:pPr>
              <w:pStyle w:val="6"/>
              <w:spacing w:before="170" w:line="229" w:lineRule="auto"/>
              <w:ind w:left="111"/>
              <w:rPr>
                <w:sz w:val="20"/>
                <w:szCs w:val="20"/>
              </w:rPr>
            </w:pPr>
            <w:r>
              <w:rPr>
                <w:spacing w:val="5"/>
                <w:sz w:val="20"/>
                <w:szCs w:val="20"/>
              </w:rPr>
              <w:t>硫酸</w:t>
            </w:r>
          </w:p>
        </w:tc>
        <w:tc>
          <w:tcPr>
            <w:tcW w:w="909" w:type="dxa"/>
            <w:vAlign w:val="top"/>
          </w:tcPr>
          <w:p w14:paraId="480133BA">
            <w:pPr>
              <w:spacing w:before="206"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17t</w:t>
            </w:r>
          </w:p>
        </w:tc>
        <w:tc>
          <w:tcPr>
            <w:tcW w:w="1279" w:type="dxa"/>
            <w:vAlign w:val="top"/>
          </w:tcPr>
          <w:p w14:paraId="6C2F11A7">
            <w:pPr>
              <w:pStyle w:val="6"/>
              <w:spacing w:before="170" w:line="228" w:lineRule="auto"/>
              <w:ind w:left="120"/>
              <w:rPr>
                <w:sz w:val="20"/>
                <w:szCs w:val="20"/>
              </w:rPr>
            </w:pPr>
            <w:r>
              <w:rPr>
                <w:spacing w:val="6"/>
                <w:sz w:val="20"/>
                <w:szCs w:val="20"/>
              </w:rPr>
              <w:t>交通事故</w:t>
            </w:r>
          </w:p>
        </w:tc>
        <w:tc>
          <w:tcPr>
            <w:tcW w:w="2046" w:type="dxa"/>
            <w:vAlign w:val="top"/>
          </w:tcPr>
          <w:p w14:paraId="042927C9">
            <w:pPr>
              <w:pStyle w:val="6"/>
              <w:spacing w:before="34" w:line="233" w:lineRule="auto"/>
              <w:ind w:left="116" w:right="108" w:firstLine="1"/>
              <w:rPr>
                <w:sz w:val="20"/>
                <w:szCs w:val="20"/>
              </w:rPr>
            </w:pPr>
            <w:r>
              <w:rPr>
                <w:rFonts w:ascii="Times New Roman" w:hAnsi="Times New Roman" w:eastAsia="Times New Roman" w:cs="Times New Roman"/>
                <w:spacing w:val="4"/>
                <w:sz w:val="20"/>
                <w:szCs w:val="20"/>
              </w:rPr>
              <w:t xml:space="preserve">50.4 </w:t>
            </w:r>
            <w:r>
              <w:rPr>
                <w:spacing w:val="4"/>
                <w:sz w:val="20"/>
                <w:szCs w:val="20"/>
              </w:rPr>
              <w:t>亩水田、</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15"/>
                <w:sz w:val="20"/>
                <w:szCs w:val="20"/>
              </w:rPr>
              <w:t xml:space="preserve"> </w:t>
            </w:r>
            <w:r>
              <w:rPr>
                <w:spacing w:val="4"/>
                <w:sz w:val="20"/>
                <w:szCs w:val="20"/>
              </w:rPr>
              <w:t>亩鱼</w:t>
            </w:r>
            <w:r>
              <w:rPr>
                <w:sz w:val="20"/>
                <w:szCs w:val="20"/>
              </w:rPr>
              <w:t xml:space="preserve"> </w:t>
            </w:r>
            <w:r>
              <w:rPr>
                <w:spacing w:val="7"/>
                <w:sz w:val="20"/>
                <w:szCs w:val="20"/>
              </w:rPr>
              <w:t>塘受污染</w:t>
            </w:r>
          </w:p>
        </w:tc>
      </w:tr>
      <w:tr w14:paraId="3F895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264" w:type="dxa"/>
            <w:vAlign w:val="top"/>
          </w:tcPr>
          <w:p w14:paraId="407DBCDD">
            <w:pPr>
              <w:spacing w:before="146"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2005-7-26</w:t>
            </w:r>
          </w:p>
        </w:tc>
        <w:tc>
          <w:tcPr>
            <w:tcW w:w="2361" w:type="dxa"/>
            <w:vAlign w:val="top"/>
          </w:tcPr>
          <w:p w14:paraId="65B74A3B">
            <w:pPr>
              <w:pStyle w:val="6"/>
              <w:spacing w:before="110" w:line="227" w:lineRule="auto"/>
              <w:ind w:left="112"/>
              <w:rPr>
                <w:sz w:val="20"/>
                <w:szCs w:val="20"/>
              </w:rPr>
            </w:pPr>
            <w:r>
              <w:rPr>
                <w:spacing w:val="8"/>
                <w:sz w:val="20"/>
                <w:szCs w:val="20"/>
              </w:rPr>
              <w:t>江苏江都某磷肥厂</w:t>
            </w:r>
          </w:p>
        </w:tc>
        <w:tc>
          <w:tcPr>
            <w:tcW w:w="1089" w:type="dxa"/>
            <w:vAlign w:val="top"/>
          </w:tcPr>
          <w:p w14:paraId="35EC1115">
            <w:pPr>
              <w:pStyle w:val="6"/>
              <w:spacing w:before="110" w:line="229" w:lineRule="auto"/>
              <w:ind w:left="111"/>
              <w:rPr>
                <w:sz w:val="20"/>
                <w:szCs w:val="20"/>
              </w:rPr>
            </w:pPr>
            <w:r>
              <w:rPr>
                <w:spacing w:val="5"/>
                <w:sz w:val="20"/>
                <w:szCs w:val="20"/>
              </w:rPr>
              <w:t>硫酸</w:t>
            </w:r>
          </w:p>
        </w:tc>
        <w:tc>
          <w:tcPr>
            <w:tcW w:w="909" w:type="dxa"/>
            <w:vAlign w:val="top"/>
          </w:tcPr>
          <w:p w14:paraId="205ED259">
            <w:pPr>
              <w:spacing w:before="146"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60t</w:t>
            </w:r>
          </w:p>
        </w:tc>
        <w:tc>
          <w:tcPr>
            <w:tcW w:w="1279" w:type="dxa"/>
            <w:vAlign w:val="top"/>
          </w:tcPr>
          <w:p w14:paraId="31B14B07">
            <w:pPr>
              <w:pStyle w:val="6"/>
              <w:spacing w:before="110" w:line="228" w:lineRule="auto"/>
              <w:ind w:left="115"/>
              <w:rPr>
                <w:sz w:val="20"/>
                <w:szCs w:val="20"/>
              </w:rPr>
            </w:pPr>
            <w:r>
              <w:rPr>
                <w:spacing w:val="7"/>
                <w:sz w:val="20"/>
                <w:szCs w:val="20"/>
              </w:rPr>
              <w:t>储罐破裂</w:t>
            </w:r>
          </w:p>
        </w:tc>
        <w:tc>
          <w:tcPr>
            <w:tcW w:w="2046" w:type="dxa"/>
            <w:vAlign w:val="top"/>
          </w:tcPr>
          <w:p w14:paraId="32F30F86">
            <w:pPr>
              <w:pStyle w:val="6"/>
              <w:spacing w:before="110" w:line="228" w:lineRule="auto"/>
              <w:ind w:left="117"/>
              <w:rPr>
                <w:sz w:val="20"/>
                <w:szCs w:val="20"/>
              </w:rPr>
            </w:pPr>
            <w:r>
              <w:rPr>
                <w:spacing w:val="6"/>
                <w:sz w:val="20"/>
                <w:szCs w:val="20"/>
              </w:rPr>
              <w:t>人员疏散</w:t>
            </w:r>
          </w:p>
        </w:tc>
      </w:tr>
      <w:tr w14:paraId="777B3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264" w:type="dxa"/>
            <w:vAlign w:val="top"/>
          </w:tcPr>
          <w:p w14:paraId="6C5BB65B">
            <w:pPr>
              <w:spacing w:before="14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2005-5-26</w:t>
            </w:r>
          </w:p>
        </w:tc>
        <w:tc>
          <w:tcPr>
            <w:tcW w:w="2361" w:type="dxa"/>
            <w:vAlign w:val="top"/>
          </w:tcPr>
          <w:p w14:paraId="7738707D">
            <w:pPr>
              <w:pStyle w:val="6"/>
              <w:spacing w:before="112" w:line="228" w:lineRule="auto"/>
              <w:ind w:left="111"/>
              <w:rPr>
                <w:sz w:val="20"/>
                <w:szCs w:val="20"/>
              </w:rPr>
            </w:pPr>
            <w:r>
              <w:rPr>
                <w:spacing w:val="8"/>
                <w:sz w:val="20"/>
                <w:szCs w:val="20"/>
              </w:rPr>
              <w:t>广东湛江某化工厂</w:t>
            </w:r>
          </w:p>
        </w:tc>
        <w:tc>
          <w:tcPr>
            <w:tcW w:w="1089" w:type="dxa"/>
            <w:vAlign w:val="top"/>
          </w:tcPr>
          <w:p w14:paraId="4D5F7025">
            <w:pPr>
              <w:pStyle w:val="6"/>
              <w:spacing w:before="112" w:line="229" w:lineRule="auto"/>
              <w:ind w:left="111"/>
              <w:rPr>
                <w:sz w:val="20"/>
                <w:szCs w:val="20"/>
              </w:rPr>
            </w:pPr>
            <w:r>
              <w:rPr>
                <w:spacing w:val="5"/>
                <w:sz w:val="20"/>
                <w:szCs w:val="20"/>
              </w:rPr>
              <w:t>硫酸</w:t>
            </w:r>
          </w:p>
        </w:tc>
        <w:tc>
          <w:tcPr>
            <w:tcW w:w="909" w:type="dxa"/>
            <w:vAlign w:val="top"/>
          </w:tcPr>
          <w:p w14:paraId="74A12E67">
            <w:pPr>
              <w:spacing w:before="237" w:line="96" w:lineRule="exact"/>
              <w:ind w:left="10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1279" w:type="dxa"/>
            <w:vAlign w:val="top"/>
          </w:tcPr>
          <w:p w14:paraId="5473DF29">
            <w:pPr>
              <w:pStyle w:val="6"/>
              <w:spacing w:before="112" w:line="228" w:lineRule="auto"/>
              <w:ind w:left="115"/>
              <w:rPr>
                <w:sz w:val="20"/>
                <w:szCs w:val="20"/>
              </w:rPr>
            </w:pPr>
            <w:r>
              <w:rPr>
                <w:spacing w:val="7"/>
                <w:sz w:val="20"/>
                <w:szCs w:val="20"/>
              </w:rPr>
              <w:t>储罐破裂</w:t>
            </w:r>
          </w:p>
        </w:tc>
        <w:tc>
          <w:tcPr>
            <w:tcW w:w="2046" w:type="dxa"/>
            <w:vAlign w:val="top"/>
          </w:tcPr>
          <w:p w14:paraId="2A4A00A6">
            <w:pPr>
              <w:pStyle w:val="6"/>
              <w:spacing w:before="112" w:line="228" w:lineRule="auto"/>
              <w:ind w:left="116"/>
              <w:rPr>
                <w:sz w:val="20"/>
                <w:szCs w:val="20"/>
              </w:rPr>
            </w:pPr>
            <w:r>
              <w:rPr>
                <w:rFonts w:ascii="Times New Roman" w:hAnsi="Times New Roman" w:eastAsia="Times New Roman" w:cs="Times New Roman"/>
                <w:spacing w:val="6"/>
                <w:sz w:val="20"/>
                <w:szCs w:val="20"/>
              </w:rPr>
              <w:t xml:space="preserve">90 </w:t>
            </w:r>
            <w:r>
              <w:rPr>
                <w:spacing w:val="6"/>
                <w:sz w:val="20"/>
                <w:szCs w:val="20"/>
              </w:rPr>
              <w:t>人中毒及灼伤</w:t>
            </w:r>
          </w:p>
        </w:tc>
      </w:tr>
    </w:tbl>
    <w:p w14:paraId="616E7D47">
      <w:pPr>
        <w:spacing w:before="275" w:line="219" w:lineRule="auto"/>
        <w:ind w:left="60"/>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可信事故概率</w:t>
      </w:r>
    </w:p>
    <w:p w14:paraId="0485D977">
      <w:pPr>
        <w:spacing w:before="183" w:line="360" w:lineRule="auto"/>
        <w:ind w:left="84" w:right="80" w:firstLine="463"/>
        <w:rPr>
          <w:rFonts w:ascii="宋体" w:hAnsi="宋体" w:eastAsia="宋体" w:cs="宋体"/>
          <w:sz w:val="24"/>
          <w:szCs w:val="24"/>
        </w:rPr>
      </w:pPr>
      <w:r>
        <w:rPr>
          <w:rFonts w:ascii="宋体" w:hAnsi="宋体" w:eastAsia="宋体" w:cs="宋体"/>
          <w:spacing w:val="-1"/>
          <w:sz w:val="24"/>
          <w:szCs w:val="24"/>
        </w:rPr>
        <w:t>最大可信事故是具有一定发生概率，其后果又</w:t>
      </w:r>
      <w:r>
        <w:rPr>
          <w:rFonts w:ascii="宋体" w:hAnsi="宋体" w:eastAsia="宋体" w:cs="宋体"/>
          <w:spacing w:val="-2"/>
          <w:sz w:val="24"/>
          <w:szCs w:val="24"/>
        </w:rPr>
        <w:t>是灾难性的事故。根据使用危险品</w:t>
      </w:r>
      <w:r>
        <w:rPr>
          <w:rFonts w:ascii="宋体" w:hAnsi="宋体" w:eastAsia="宋体" w:cs="宋体"/>
          <w:sz w:val="24"/>
          <w:szCs w:val="24"/>
        </w:rPr>
        <w:t xml:space="preserve"> </w:t>
      </w:r>
      <w:r>
        <w:rPr>
          <w:rFonts w:ascii="宋体" w:hAnsi="宋体" w:eastAsia="宋体" w:cs="宋体"/>
          <w:spacing w:val="-1"/>
          <w:sz w:val="24"/>
          <w:szCs w:val="24"/>
        </w:rPr>
        <w:t>的相近行业的有关资料对引发风险事故概率的介绍，主要风险事故的概率见下表。</w:t>
      </w:r>
    </w:p>
    <w:p w14:paraId="2E74885C">
      <w:pPr>
        <w:spacing w:before="118" w:line="219" w:lineRule="auto"/>
        <w:ind w:left="1805"/>
        <w:outlineLvl w:val="3"/>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主要风险事故发生的概率与事故发生的频率</w:t>
      </w:r>
    </w:p>
    <w:p w14:paraId="2F0FE4E2">
      <w:pPr>
        <w:spacing w:line="146" w:lineRule="exact"/>
      </w:pPr>
    </w:p>
    <w:tbl>
      <w:tblPr>
        <w:tblStyle w:val="5"/>
        <w:tblW w:w="8646"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4"/>
        <w:gridCol w:w="1312"/>
        <w:gridCol w:w="1312"/>
        <w:gridCol w:w="1618"/>
      </w:tblGrid>
      <w:tr w14:paraId="5609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404" w:type="dxa"/>
            <w:vAlign w:val="top"/>
          </w:tcPr>
          <w:p w14:paraId="77CCB697">
            <w:pPr>
              <w:pStyle w:val="6"/>
              <w:spacing w:before="172" w:line="228" w:lineRule="auto"/>
              <w:ind w:left="1788"/>
              <w:rPr>
                <w:sz w:val="20"/>
                <w:szCs w:val="20"/>
              </w:rPr>
            </w:pPr>
            <w:r>
              <w:rPr>
                <w:spacing w:val="7"/>
                <w:sz w:val="20"/>
                <w:szCs w:val="20"/>
              </w:rPr>
              <w:t>事故名称</w:t>
            </w:r>
          </w:p>
        </w:tc>
        <w:tc>
          <w:tcPr>
            <w:tcW w:w="1312" w:type="dxa"/>
            <w:vAlign w:val="top"/>
          </w:tcPr>
          <w:p w14:paraId="34367F74">
            <w:pPr>
              <w:pStyle w:val="6"/>
              <w:spacing w:before="36" w:line="228" w:lineRule="auto"/>
              <w:ind w:left="244"/>
              <w:rPr>
                <w:sz w:val="20"/>
                <w:szCs w:val="20"/>
              </w:rPr>
            </w:pPr>
            <w:r>
              <w:rPr>
                <w:spacing w:val="6"/>
                <w:sz w:val="20"/>
                <w:szCs w:val="20"/>
              </w:rPr>
              <w:t>发生概率</w:t>
            </w:r>
          </w:p>
          <w:p w14:paraId="4FDD5688">
            <w:pPr>
              <w:pStyle w:val="6"/>
              <w:spacing w:before="25" w:line="217"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r>
              <w:rPr>
                <w:rFonts w:ascii="Times New Roman" w:hAnsi="Times New Roman" w:eastAsia="Times New Roman" w:cs="Times New Roman"/>
                <w:spacing w:val="3"/>
                <w:sz w:val="20"/>
                <w:szCs w:val="20"/>
              </w:rPr>
              <w:t>)</w:t>
            </w:r>
          </w:p>
        </w:tc>
        <w:tc>
          <w:tcPr>
            <w:tcW w:w="1312" w:type="dxa"/>
            <w:vAlign w:val="top"/>
          </w:tcPr>
          <w:p w14:paraId="32B90109">
            <w:pPr>
              <w:pStyle w:val="6"/>
              <w:spacing w:before="171" w:line="228" w:lineRule="auto"/>
              <w:ind w:left="247"/>
              <w:rPr>
                <w:sz w:val="20"/>
                <w:szCs w:val="20"/>
              </w:rPr>
            </w:pPr>
            <w:r>
              <w:rPr>
                <w:spacing w:val="6"/>
                <w:sz w:val="20"/>
                <w:szCs w:val="20"/>
              </w:rPr>
              <w:t>发生频率</w:t>
            </w:r>
          </w:p>
        </w:tc>
        <w:tc>
          <w:tcPr>
            <w:tcW w:w="1618" w:type="dxa"/>
            <w:vAlign w:val="top"/>
          </w:tcPr>
          <w:p w14:paraId="54310C95">
            <w:pPr>
              <w:pStyle w:val="6"/>
              <w:spacing w:before="172" w:line="228" w:lineRule="auto"/>
              <w:ind w:left="395"/>
              <w:rPr>
                <w:sz w:val="20"/>
                <w:szCs w:val="20"/>
              </w:rPr>
            </w:pPr>
            <w:r>
              <w:rPr>
                <w:spacing w:val="7"/>
                <w:sz w:val="20"/>
                <w:szCs w:val="20"/>
              </w:rPr>
              <w:t>对策反应</w:t>
            </w:r>
          </w:p>
        </w:tc>
      </w:tr>
      <w:tr w14:paraId="4905F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404" w:type="dxa"/>
            <w:vAlign w:val="top"/>
          </w:tcPr>
          <w:p w14:paraId="58FA28D1">
            <w:pPr>
              <w:pStyle w:val="6"/>
              <w:spacing w:before="106" w:line="228" w:lineRule="auto"/>
              <w:ind w:left="115"/>
              <w:rPr>
                <w:sz w:val="20"/>
                <w:szCs w:val="20"/>
              </w:rPr>
            </w:pPr>
            <w:r>
              <w:rPr>
                <w:spacing w:val="8"/>
                <w:sz w:val="20"/>
                <w:szCs w:val="20"/>
              </w:rPr>
              <w:t>输送管、输送泵、阀门、槽车等损坏泄漏事故</w:t>
            </w:r>
          </w:p>
        </w:tc>
        <w:tc>
          <w:tcPr>
            <w:tcW w:w="1312" w:type="dxa"/>
            <w:vAlign w:val="top"/>
          </w:tcPr>
          <w:p w14:paraId="2954D85A">
            <w:pPr>
              <w:spacing w:before="122" w:line="216"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5"/>
                <w:sz w:val="13"/>
                <w:szCs w:val="13"/>
              </w:rPr>
              <w:t>-1</w:t>
            </w:r>
          </w:p>
        </w:tc>
        <w:tc>
          <w:tcPr>
            <w:tcW w:w="1312" w:type="dxa"/>
            <w:vAlign w:val="top"/>
          </w:tcPr>
          <w:p w14:paraId="7F6C332E">
            <w:pPr>
              <w:pStyle w:val="6"/>
              <w:spacing w:before="107" w:line="228" w:lineRule="auto"/>
              <w:ind w:left="116"/>
              <w:rPr>
                <w:sz w:val="20"/>
                <w:szCs w:val="20"/>
              </w:rPr>
            </w:pPr>
            <w:r>
              <w:rPr>
                <w:spacing w:val="6"/>
                <w:sz w:val="20"/>
                <w:szCs w:val="20"/>
              </w:rPr>
              <w:t>可能发生</w:t>
            </w:r>
          </w:p>
        </w:tc>
        <w:tc>
          <w:tcPr>
            <w:tcW w:w="1618" w:type="dxa"/>
            <w:vAlign w:val="top"/>
          </w:tcPr>
          <w:p w14:paraId="33E2C377">
            <w:pPr>
              <w:pStyle w:val="6"/>
              <w:spacing w:before="106" w:line="227" w:lineRule="auto"/>
              <w:ind w:left="118"/>
              <w:rPr>
                <w:sz w:val="20"/>
                <w:szCs w:val="20"/>
              </w:rPr>
            </w:pPr>
            <w:r>
              <w:rPr>
                <w:spacing w:val="7"/>
                <w:sz w:val="20"/>
                <w:szCs w:val="20"/>
              </w:rPr>
              <w:t>必须采取措施</w:t>
            </w:r>
          </w:p>
        </w:tc>
      </w:tr>
      <w:tr w14:paraId="6A142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404" w:type="dxa"/>
            <w:vAlign w:val="top"/>
          </w:tcPr>
          <w:p w14:paraId="66585F9B">
            <w:pPr>
              <w:pStyle w:val="6"/>
              <w:spacing w:before="107" w:line="228" w:lineRule="auto"/>
              <w:ind w:left="116"/>
              <w:rPr>
                <w:sz w:val="20"/>
                <w:szCs w:val="20"/>
              </w:rPr>
            </w:pPr>
            <w:r>
              <w:rPr>
                <w:spacing w:val="9"/>
                <w:sz w:val="20"/>
                <w:szCs w:val="20"/>
              </w:rPr>
              <w:t>贮槽、贮罐、反应釜等破裂泄漏事故</w:t>
            </w:r>
          </w:p>
        </w:tc>
        <w:tc>
          <w:tcPr>
            <w:tcW w:w="1312" w:type="dxa"/>
            <w:vAlign w:val="top"/>
          </w:tcPr>
          <w:p w14:paraId="0632679A">
            <w:pPr>
              <w:spacing w:before="126" w:line="213"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5"/>
                <w:sz w:val="13"/>
                <w:szCs w:val="13"/>
              </w:rPr>
              <w:t>-2</w:t>
            </w:r>
          </w:p>
        </w:tc>
        <w:tc>
          <w:tcPr>
            <w:tcW w:w="1312" w:type="dxa"/>
            <w:vAlign w:val="top"/>
          </w:tcPr>
          <w:p w14:paraId="4717CB8C">
            <w:pPr>
              <w:pStyle w:val="6"/>
              <w:spacing w:before="107" w:line="227" w:lineRule="auto"/>
              <w:ind w:left="115"/>
              <w:rPr>
                <w:sz w:val="20"/>
                <w:szCs w:val="20"/>
              </w:rPr>
            </w:pPr>
            <w:r>
              <w:rPr>
                <w:spacing w:val="7"/>
                <w:sz w:val="20"/>
                <w:szCs w:val="20"/>
              </w:rPr>
              <w:t>偶尔发生</w:t>
            </w:r>
          </w:p>
        </w:tc>
        <w:tc>
          <w:tcPr>
            <w:tcW w:w="1618" w:type="dxa"/>
            <w:vAlign w:val="top"/>
          </w:tcPr>
          <w:p w14:paraId="7FB7B74E">
            <w:pPr>
              <w:pStyle w:val="6"/>
              <w:spacing w:before="107" w:line="227" w:lineRule="auto"/>
              <w:ind w:left="126"/>
              <w:rPr>
                <w:sz w:val="20"/>
                <w:szCs w:val="20"/>
              </w:rPr>
            </w:pPr>
            <w:r>
              <w:rPr>
                <w:spacing w:val="6"/>
                <w:sz w:val="20"/>
                <w:szCs w:val="20"/>
              </w:rPr>
              <w:t>需要采取措施</w:t>
            </w:r>
          </w:p>
        </w:tc>
      </w:tr>
      <w:tr w14:paraId="03007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404" w:type="dxa"/>
            <w:vAlign w:val="top"/>
          </w:tcPr>
          <w:p w14:paraId="6C849DE2">
            <w:pPr>
              <w:pStyle w:val="6"/>
              <w:spacing w:before="109" w:line="228" w:lineRule="auto"/>
              <w:ind w:left="115"/>
              <w:rPr>
                <w:sz w:val="20"/>
                <w:szCs w:val="20"/>
              </w:rPr>
            </w:pPr>
            <w:r>
              <w:rPr>
                <w:spacing w:val="8"/>
                <w:sz w:val="20"/>
                <w:szCs w:val="20"/>
              </w:rPr>
              <w:t>废水治理设施失效</w:t>
            </w:r>
          </w:p>
        </w:tc>
        <w:tc>
          <w:tcPr>
            <w:tcW w:w="1312" w:type="dxa"/>
            <w:vAlign w:val="top"/>
          </w:tcPr>
          <w:p w14:paraId="7A2D23ED">
            <w:pPr>
              <w:spacing w:before="126" w:line="216"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5"/>
                <w:sz w:val="13"/>
                <w:szCs w:val="13"/>
              </w:rPr>
              <w:t>-1</w:t>
            </w:r>
          </w:p>
        </w:tc>
        <w:tc>
          <w:tcPr>
            <w:tcW w:w="1312" w:type="dxa"/>
            <w:vAlign w:val="top"/>
          </w:tcPr>
          <w:p w14:paraId="3DB75799">
            <w:pPr>
              <w:pStyle w:val="6"/>
              <w:spacing w:before="110" w:line="228" w:lineRule="auto"/>
              <w:ind w:left="116"/>
              <w:rPr>
                <w:sz w:val="20"/>
                <w:szCs w:val="20"/>
              </w:rPr>
            </w:pPr>
            <w:r>
              <w:rPr>
                <w:spacing w:val="6"/>
                <w:sz w:val="20"/>
                <w:szCs w:val="20"/>
              </w:rPr>
              <w:t>可能发生</w:t>
            </w:r>
          </w:p>
        </w:tc>
        <w:tc>
          <w:tcPr>
            <w:tcW w:w="1618" w:type="dxa"/>
            <w:vAlign w:val="top"/>
          </w:tcPr>
          <w:p w14:paraId="3FF78B07">
            <w:pPr>
              <w:pStyle w:val="6"/>
              <w:spacing w:before="110" w:line="227" w:lineRule="auto"/>
              <w:ind w:left="118"/>
              <w:rPr>
                <w:sz w:val="20"/>
                <w:szCs w:val="20"/>
              </w:rPr>
            </w:pPr>
            <w:r>
              <w:rPr>
                <w:spacing w:val="7"/>
                <w:sz w:val="20"/>
                <w:szCs w:val="20"/>
              </w:rPr>
              <w:t>必须采取措施</w:t>
            </w:r>
          </w:p>
        </w:tc>
      </w:tr>
      <w:tr w14:paraId="315B3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404" w:type="dxa"/>
            <w:vAlign w:val="top"/>
          </w:tcPr>
          <w:p w14:paraId="263F30D4">
            <w:pPr>
              <w:pStyle w:val="6"/>
              <w:spacing w:before="110" w:line="228" w:lineRule="auto"/>
              <w:ind w:left="120"/>
              <w:rPr>
                <w:sz w:val="20"/>
                <w:szCs w:val="20"/>
              </w:rPr>
            </w:pPr>
            <w:r>
              <w:rPr>
                <w:spacing w:val="8"/>
                <w:sz w:val="20"/>
                <w:szCs w:val="20"/>
              </w:rPr>
              <w:t>雷击或火灾引起严重泄漏事故</w:t>
            </w:r>
          </w:p>
        </w:tc>
        <w:tc>
          <w:tcPr>
            <w:tcW w:w="1312" w:type="dxa"/>
            <w:vAlign w:val="top"/>
          </w:tcPr>
          <w:p w14:paraId="1F9CE076">
            <w:pPr>
              <w:spacing w:before="126" w:line="216"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5"/>
                <w:sz w:val="13"/>
                <w:szCs w:val="13"/>
              </w:rPr>
              <w:t>-3</w:t>
            </w:r>
          </w:p>
        </w:tc>
        <w:tc>
          <w:tcPr>
            <w:tcW w:w="1312" w:type="dxa"/>
            <w:vAlign w:val="top"/>
          </w:tcPr>
          <w:p w14:paraId="79175E23">
            <w:pPr>
              <w:pStyle w:val="6"/>
              <w:spacing w:before="110" w:line="227" w:lineRule="auto"/>
              <w:ind w:left="115"/>
              <w:rPr>
                <w:sz w:val="20"/>
                <w:szCs w:val="20"/>
              </w:rPr>
            </w:pPr>
            <w:r>
              <w:rPr>
                <w:spacing w:val="7"/>
                <w:sz w:val="20"/>
                <w:szCs w:val="20"/>
              </w:rPr>
              <w:t>偶尔发生</w:t>
            </w:r>
          </w:p>
        </w:tc>
        <w:tc>
          <w:tcPr>
            <w:tcW w:w="1618" w:type="dxa"/>
            <w:vAlign w:val="top"/>
          </w:tcPr>
          <w:p w14:paraId="5A1AA3CA">
            <w:pPr>
              <w:pStyle w:val="6"/>
              <w:spacing w:before="110" w:line="227" w:lineRule="auto"/>
              <w:ind w:left="114"/>
              <w:rPr>
                <w:sz w:val="20"/>
                <w:szCs w:val="20"/>
              </w:rPr>
            </w:pPr>
            <w:r>
              <w:rPr>
                <w:spacing w:val="7"/>
                <w:sz w:val="20"/>
                <w:szCs w:val="20"/>
              </w:rPr>
              <w:t>采取对策</w:t>
            </w:r>
          </w:p>
        </w:tc>
      </w:tr>
      <w:tr w14:paraId="497F1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404" w:type="dxa"/>
            <w:vAlign w:val="top"/>
          </w:tcPr>
          <w:p w14:paraId="3C5E1061">
            <w:pPr>
              <w:pStyle w:val="6"/>
              <w:spacing w:before="110" w:line="226" w:lineRule="auto"/>
              <w:ind w:left="116"/>
              <w:rPr>
                <w:sz w:val="20"/>
                <w:szCs w:val="20"/>
              </w:rPr>
            </w:pPr>
            <w:r>
              <w:rPr>
                <w:spacing w:val="9"/>
                <w:sz w:val="20"/>
                <w:szCs w:val="20"/>
              </w:rPr>
              <w:t>贮罐等出现重大火灾、爆炸事故</w:t>
            </w:r>
          </w:p>
        </w:tc>
        <w:tc>
          <w:tcPr>
            <w:tcW w:w="1312" w:type="dxa"/>
            <w:vAlign w:val="top"/>
          </w:tcPr>
          <w:p w14:paraId="21667A95">
            <w:pPr>
              <w:spacing w:before="125" w:line="216"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5"/>
                <w:sz w:val="13"/>
                <w:szCs w:val="13"/>
              </w:rPr>
              <w:t>-3</w:t>
            </w: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5"/>
                <w:sz w:val="13"/>
                <w:szCs w:val="13"/>
              </w:rPr>
              <w:t>-4</w:t>
            </w:r>
          </w:p>
        </w:tc>
        <w:tc>
          <w:tcPr>
            <w:tcW w:w="1312" w:type="dxa"/>
            <w:vAlign w:val="top"/>
          </w:tcPr>
          <w:p w14:paraId="36F79B09">
            <w:pPr>
              <w:pStyle w:val="6"/>
              <w:spacing w:before="110" w:line="228" w:lineRule="auto"/>
              <w:ind w:left="116"/>
              <w:rPr>
                <w:sz w:val="20"/>
                <w:szCs w:val="20"/>
              </w:rPr>
            </w:pPr>
            <w:r>
              <w:rPr>
                <w:spacing w:val="6"/>
                <w:sz w:val="20"/>
                <w:szCs w:val="20"/>
              </w:rPr>
              <w:t>极少发生</w:t>
            </w:r>
          </w:p>
        </w:tc>
        <w:tc>
          <w:tcPr>
            <w:tcW w:w="1618" w:type="dxa"/>
            <w:vAlign w:val="top"/>
          </w:tcPr>
          <w:p w14:paraId="08C6F419">
            <w:pPr>
              <w:pStyle w:val="6"/>
              <w:spacing w:before="110" w:line="228" w:lineRule="auto"/>
              <w:ind w:left="118"/>
              <w:rPr>
                <w:sz w:val="20"/>
                <w:szCs w:val="20"/>
              </w:rPr>
            </w:pPr>
            <w:r>
              <w:rPr>
                <w:spacing w:val="7"/>
                <w:sz w:val="20"/>
                <w:szCs w:val="20"/>
              </w:rPr>
              <w:t>关心和防范</w:t>
            </w:r>
          </w:p>
        </w:tc>
      </w:tr>
      <w:tr w14:paraId="50579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404" w:type="dxa"/>
            <w:vAlign w:val="top"/>
          </w:tcPr>
          <w:p w14:paraId="28515372">
            <w:pPr>
              <w:pStyle w:val="6"/>
              <w:spacing w:before="110" w:line="228" w:lineRule="auto"/>
              <w:ind w:left="116"/>
              <w:rPr>
                <w:sz w:val="20"/>
                <w:szCs w:val="20"/>
              </w:rPr>
            </w:pPr>
            <w:r>
              <w:rPr>
                <w:spacing w:val="8"/>
                <w:sz w:val="20"/>
                <w:szCs w:val="20"/>
              </w:rPr>
              <w:t>重大自然灾害引起事故</w:t>
            </w:r>
          </w:p>
        </w:tc>
        <w:tc>
          <w:tcPr>
            <w:tcW w:w="1312" w:type="dxa"/>
            <w:vAlign w:val="top"/>
          </w:tcPr>
          <w:p w14:paraId="6070815F">
            <w:pPr>
              <w:spacing w:before="129" w:line="213"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5"/>
                <w:sz w:val="13"/>
                <w:szCs w:val="13"/>
              </w:rPr>
              <w:t>-5</w:t>
            </w:r>
            <w:r>
              <w:rPr>
                <w:rFonts w:ascii="Times New Roman" w:hAnsi="Times New Roman" w:eastAsia="Times New Roman" w:cs="Times New Roman"/>
                <w:spacing w:val="1"/>
                <w:position w:val="-1"/>
                <w:sz w:val="20"/>
                <w:szCs w:val="20"/>
              </w:rPr>
              <w:t>—10</w:t>
            </w:r>
            <w:r>
              <w:rPr>
                <w:rFonts w:ascii="Times New Roman" w:hAnsi="Times New Roman" w:eastAsia="Times New Roman" w:cs="Times New Roman"/>
                <w:spacing w:val="1"/>
                <w:position w:val="5"/>
                <w:sz w:val="13"/>
                <w:szCs w:val="13"/>
              </w:rPr>
              <w:t>-6</w:t>
            </w:r>
          </w:p>
        </w:tc>
        <w:tc>
          <w:tcPr>
            <w:tcW w:w="1312" w:type="dxa"/>
            <w:vAlign w:val="top"/>
          </w:tcPr>
          <w:p w14:paraId="059F3720">
            <w:pPr>
              <w:pStyle w:val="6"/>
              <w:spacing w:before="110" w:line="228" w:lineRule="auto"/>
              <w:ind w:left="116"/>
              <w:rPr>
                <w:sz w:val="20"/>
                <w:szCs w:val="20"/>
              </w:rPr>
            </w:pPr>
            <w:r>
              <w:rPr>
                <w:spacing w:val="6"/>
                <w:sz w:val="20"/>
                <w:szCs w:val="20"/>
              </w:rPr>
              <w:t>很难发生</w:t>
            </w:r>
          </w:p>
        </w:tc>
        <w:tc>
          <w:tcPr>
            <w:tcW w:w="1618" w:type="dxa"/>
            <w:vAlign w:val="top"/>
          </w:tcPr>
          <w:p w14:paraId="6C730BA4">
            <w:pPr>
              <w:pStyle w:val="6"/>
              <w:spacing w:before="110" w:line="228" w:lineRule="auto"/>
              <w:ind w:left="115"/>
              <w:rPr>
                <w:sz w:val="20"/>
                <w:szCs w:val="20"/>
              </w:rPr>
            </w:pPr>
            <w:r>
              <w:rPr>
                <w:spacing w:val="7"/>
                <w:sz w:val="20"/>
                <w:szCs w:val="20"/>
              </w:rPr>
              <w:t>注意关心</w:t>
            </w:r>
          </w:p>
        </w:tc>
      </w:tr>
    </w:tbl>
    <w:p w14:paraId="18C43BB7">
      <w:pPr>
        <w:rPr>
          <w:rFonts w:ascii="Arial"/>
          <w:sz w:val="21"/>
        </w:rPr>
      </w:pPr>
    </w:p>
    <w:p w14:paraId="5EB1ECC9">
      <w:pPr>
        <w:rPr>
          <w:rFonts w:ascii="Arial" w:hAnsi="Arial" w:eastAsia="Arial" w:cs="Arial"/>
          <w:sz w:val="21"/>
          <w:szCs w:val="21"/>
        </w:rPr>
        <w:sectPr>
          <w:footerReference r:id="rId134" w:type="default"/>
          <w:pgSz w:w="11906" w:h="16839"/>
          <w:pgMar w:top="400" w:right="1450" w:bottom="1127" w:left="1476" w:header="0" w:footer="965" w:gutter="0"/>
          <w:cols w:space="720" w:num="1"/>
        </w:sectPr>
      </w:pPr>
    </w:p>
    <w:p w14:paraId="7DB183BC">
      <w:pPr>
        <w:spacing w:before="19"/>
      </w:pPr>
    </w:p>
    <w:p w14:paraId="2E0EDF00">
      <w:pPr>
        <w:spacing w:before="19"/>
      </w:pPr>
    </w:p>
    <w:p w14:paraId="7587C188">
      <w:pPr>
        <w:spacing w:before="19"/>
      </w:pPr>
    </w:p>
    <w:p w14:paraId="52C191FD">
      <w:pPr>
        <w:spacing w:before="18"/>
      </w:pPr>
    </w:p>
    <w:p w14:paraId="384081A3">
      <w:pPr>
        <w:spacing w:before="18"/>
      </w:pPr>
    </w:p>
    <w:tbl>
      <w:tblPr>
        <w:tblStyle w:val="5"/>
        <w:tblW w:w="8646"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4"/>
        <w:gridCol w:w="2624"/>
        <w:gridCol w:w="1618"/>
      </w:tblGrid>
      <w:tr w14:paraId="2311F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404" w:type="dxa"/>
            <w:vAlign w:val="top"/>
          </w:tcPr>
          <w:p w14:paraId="2373FE3B">
            <w:pPr>
              <w:pStyle w:val="6"/>
              <w:spacing w:before="112" w:line="228" w:lineRule="auto"/>
              <w:ind w:left="114"/>
              <w:rPr>
                <w:sz w:val="20"/>
                <w:szCs w:val="20"/>
              </w:rPr>
            </w:pPr>
            <w:r>
              <w:rPr>
                <w:spacing w:val="9"/>
                <w:sz w:val="20"/>
                <w:szCs w:val="20"/>
              </w:rPr>
              <w:t>钢瓶阀门损坏泄漏事故</w:t>
            </w:r>
          </w:p>
        </w:tc>
        <w:tc>
          <w:tcPr>
            <w:tcW w:w="2624" w:type="dxa"/>
            <w:vAlign w:val="top"/>
          </w:tcPr>
          <w:p w14:paraId="5E544163">
            <w:pPr>
              <w:pStyle w:val="6"/>
              <w:spacing w:before="111" w:line="228" w:lineRule="auto"/>
              <w:ind w:left="108"/>
              <w:rPr>
                <w:sz w:val="20"/>
                <w:szCs w:val="20"/>
              </w:rPr>
            </w:pPr>
            <w:r>
              <w:rPr>
                <w:rFonts w:ascii="Times New Roman" w:hAnsi="Times New Roman" w:eastAsia="Times New Roman" w:cs="Times New Roman"/>
                <w:spacing w:val="3"/>
                <w:sz w:val="20"/>
                <w:szCs w:val="20"/>
              </w:rPr>
              <w:t>4.7×10</w:t>
            </w:r>
            <w:r>
              <w:rPr>
                <w:rFonts w:ascii="Times New Roman" w:hAnsi="Times New Roman" w:eastAsia="Times New Roman" w:cs="Times New Roman"/>
                <w:spacing w:val="3"/>
                <w:position w:val="6"/>
                <w:sz w:val="13"/>
                <w:szCs w:val="13"/>
              </w:rPr>
              <w:t>-4</w:t>
            </w:r>
            <w:r>
              <w:rPr>
                <w:rFonts w:ascii="Times New Roman" w:hAnsi="Times New Roman" w:eastAsia="Times New Roman" w:cs="Times New Roman"/>
                <w:spacing w:val="25"/>
                <w:w w:val="101"/>
                <w:position w:val="6"/>
                <w:sz w:val="13"/>
                <w:szCs w:val="13"/>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r>
              <w:rPr>
                <w:rFonts w:ascii="Times New Roman" w:hAnsi="Times New Roman" w:eastAsia="Times New Roman" w:cs="Times New Roman"/>
                <w:spacing w:val="3"/>
                <w:sz w:val="20"/>
                <w:szCs w:val="20"/>
              </w:rPr>
              <w:t>/</w:t>
            </w:r>
            <w:r>
              <w:rPr>
                <w:spacing w:val="3"/>
                <w:sz w:val="20"/>
                <w:szCs w:val="20"/>
              </w:rPr>
              <w:t>瓶</w:t>
            </w:r>
          </w:p>
        </w:tc>
        <w:tc>
          <w:tcPr>
            <w:tcW w:w="1618" w:type="dxa"/>
            <w:vMerge w:val="restart"/>
            <w:tcBorders>
              <w:bottom w:val="nil"/>
            </w:tcBorders>
            <w:vAlign w:val="top"/>
          </w:tcPr>
          <w:p w14:paraId="01ED40F4">
            <w:pPr>
              <w:spacing w:line="262" w:lineRule="auto"/>
              <w:rPr>
                <w:rFonts w:ascii="Arial"/>
                <w:sz w:val="21"/>
              </w:rPr>
            </w:pPr>
          </w:p>
          <w:p w14:paraId="6802FE90">
            <w:pPr>
              <w:pStyle w:val="6"/>
              <w:spacing w:before="65" w:line="228" w:lineRule="auto"/>
              <w:ind w:left="118"/>
              <w:rPr>
                <w:sz w:val="20"/>
                <w:szCs w:val="20"/>
              </w:rPr>
            </w:pPr>
            <w:r>
              <w:rPr>
                <w:spacing w:val="7"/>
                <w:sz w:val="20"/>
                <w:szCs w:val="20"/>
              </w:rPr>
              <w:t>关心和防范</w:t>
            </w:r>
          </w:p>
        </w:tc>
      </w:tr>
      <w:tr w14:paraId="574E1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404" w:type="dxa"/>
            <w:vAlign w:val="top"/>
          </w:tcPr>
          <w:p w14:paraId="474D67B0">
            <w:pPr>
              <w:pStyle w:val="6"/>
              <w:spacing w:before="109" w:line="228" w:lineRule="auto"/>
              <w:ind w:left="114"/>
              <w:rPr>
                <w:sz w:val="20"/>
                <w:szCs w:val="20"/>
              </w:rPr>
            </w:pPr>
            <w:r>
              <w:rPr>
                <w:spacing w:val="8"/>
                <w:sz w:val="20"/>
                <w:szCs w:val="20"/>
              </w:rPr>
              <w:t>钢瓶大裂纹引起大量泄漏次</w:t>
            </w:r>
            <w:r>
              <w:rPr>
                <w:rFonts w:ascii="Times New Roman" w:hAnsi="Times New Roman" w:eastAsia="Times New Roman" w:cs="Times New Roman"/>
                <w:spacing w:val="8"/>
                <w:sz w:val="20"/>
                <w:szCs w:val="20"/>
              </w:rPr>
              <w:t>/</w:t>
            </w:r>
            <w:r>
              <w:rPr>
                <w:spacing w:val="8"/>
                <w:sz w:val="20"/>
                <w:szCs w:val="20"/>
              </w:rPr>
              <w:t>年</w:t>
            </w:r>
            <w:r>
              <w:rPr>
                <w:rFonts w:ascii="Times New Roman" w:hAnsi="Times New Roman" w:eastAsia="Times New Roman" w:cs="Times New Roman"/>
                <w:spacing w:val="8"/>
                <w:sz w:val="20"/>
                <w:szCs w:val="20"/>
              </w:rPr>
              <w:t>/</w:t>
            </w:r>
            <w:r>
              <w:rPr>
                <w:spacing w:val="8"/>
                <w:sz w:val="20"/>
                <w:szCs w:val="20"/>
              </w:rPr>
              <w:t>瓶</w:t>
            </w:r>
          </w:p>
        </w:tc>
        <w:tc>
          <w:tcPr>
            <w:tcW w:w="2624" w:type="dxa"/>
            <w:vAlign w:val="top"/>
          </w:tcPr>
          <w:p w14:paraId="0776617A">
            <w:pPr>
              <w:pStyle w:val="6"/>
              <w:spacing w:before="109" w:line="228" w:lineRule="auto"/>
              <w:ind w:left="114"/>
              <w:rPr>
                <w:sz w:val="20"/>
                <w:szCs w:val="20"/>
              </w:rPr>
            </w:pPr>
            <w:r>
              <w:rPr>
                <w:rFonts w:ascii="Times New Roman" w:hAnsi="Times New Roman" w:eastAsia="Times New Roman" w:cs="Times New Roman"/>
                <w:spacing w:val="3"/>
                <w:sz w:val="20"/>
                <w:szCs w:val="20"/>
              </w:rPr>
              <w:t>6.9×10</w:t>
            </w:r>
            <w:r>
              <w:rPr>
                <w:rFonts w:ascii="Times New Roman" w:hAnsi="Times New Roman" w:eastAsia="Times New Roman" w:cs="Times New Roman"/>
                <w:spacing w:val="3"/>
                <w:position w:val="6"/>
                <w:sz w:val="13"/>
                <w:szCs w:val="13"/>
              </w:rPr>
              <w:t>-7</w:t>
            </w:r>
            <w:r>
              <w:rPr>
                <w:rFonts w:ascii="Times New Roman" w:hAnsi="Times New Roman" w:eastAsia="Times New Roman" w:cs="Times New Roman"/>
                <w:spacing w:val="19"/>
                <w:w w:val="102"/>
                <w:position w:val="6"/>
                <w:sz w:val="13"/>
                <w:szCs w:val="13"/>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r>
              <w:rPr>
                <w:rFonts w:ascii="Times New Roman" w:hAnsi="Times New Roman" w:eastAsia="Times New Roman" w:cs="Times New Roman"/>
                <w:spacing w:val="3"/>
                <w:sz w:val="20"/>
                <w:szCs w:val="20"/>
              </w:rPr>
              <w:t>/</w:t>
            </w:r>
            <w:r>
              <w:rPr>
                <w:spacing w:val="3"/>
                <w:sz w:val="20"/>
                <w:szCs w:val="20"/>
              </w:rPr>
              <w:t>瓶</w:t>
            </w:r>
          </w:p>
        </w:tc>
        <w:tc>
          <w:tcPr>
            <w:tcW w:w="1618" w:type="dxa"/>
            <w:vMerge w:val="continue"/>
            <w:tcBorders>
              <w:top w:val="nil"/>
            </w:tcBorders>
            <w:vAlign w:val="top"/>
          </w:tcPr>
          <w:p w14:paraId="0C3B1DD4">
            <w:pPr>
              <w:rPr>
                <w:rFonts w:ascii="Arial"/>
                <w:sz w:val="21"/>
              </w:rPr>
            </w:pPr>
          </w:p>
        </w:tc>
      </w:tr>
    </w:tbl>
    <w:p w14:paraId="22324151">
      <w:pPr>
        <w:spacing w:before="276" w:line="359" w:lineRule="auto"/>
        <w:ind w:left="59" w:firstLine="483"/>
        <w:jc w:val="both"/>
        <w:rPr>
          <w:rFonts w:ascii="宋体" w:hAnsi="宋体" w:eastAsia="宋体" w:cs="宋体"/>
          <w:sz w:val="24"/>
          <w:szCs w:val="24"/>
        </w:rPr>
      </w:pPr>
      <w:r>
        <w:rPr>
          <w:rFonts w:ascii="宋体" w:hAnsi="宋体" w:eastAsia="宋体" w:cs="宋体"/>
          <w:spacing w:val="-1"/>
          <w:sz w:val="24"/>
          <w:szCs w:val="24"/>
        </w:rPr>
        <w:t>项目使用的主要化学品均有发生风险事故的</w:t>
      </w:r>
      <w:r>
        <w:rPr>
          <w:rFonts w:ascii="宋体" w:hAnsi="宋体" w:eastAsia="宋体" w:cs="宋体"/>
          <w:spacing w:val="-2"/>
          <w:sz w:val="24"/>
          <w:szCs w:val="24"/>
        </w:rPr>
        <w:t>可能，从上表可见，盛装容器、污水</w:t>
      </w:r>
      <w:r>
        <w:rPr>
          <w:rFonts w:ascii="宋体" w:hAnsi="宋体" w:eastAsia="宋体" w:cs="宋体"/>
          <w:sz w:val="24"/>
          <w:szCs w:val="24"/>
        </w:rPr>
        <w:t xml:space="preserve"> </w:t>
      </w:r>
      <w:r>
        <w:rPr>
          <w:rFonts w:ascii="宋体" w:hAnsi="宋体" w:eastAsia="宋体" w:cs="宋体"/>
          <w:spacing w:val="-3"/>
          <w:sz w:val="24"/>
          <w:szCs w:val="24"/>
        </w:rPr>
        <w:t>管道、损坏泄漏事故以及废水处理设施失效的概率相对较大，发生概率为</w:t>
      </w:r>
      <w:r>
        <w:rPr>
          <w:rFonts w:ascii="宋体" w:hAnsi="宋体" w:eastAsia="宋体" w:cs="宋体"/>
          <w:spacing w:val="-32"/>
          <w:sz w:val="24"/>
          <w:szCs w:val="24"/>
        </w:rPr>
        <w:t xml:space="preserve"> </w:t>
      </w:r>
      <w:r>
        <w:rPr>
          <w:rFonts w:ascii="宋体" w:hAnsi="宋体" w:eastAsia="宋体" w:cs="宋体"/>
          <w:spacing w:val="-3"/>
          <w:sz w:val="24"/>
          <w:szCs w:val="24"/>
        </w:rPr>
        <w:t>10</w:t>
      </w:r>
      <w:r>
        <w:rPr>
          <w:rFonts w:ascii="宋体" w:hAnsi="宋体" w:eastAsia="宋体" w:cs="宋体"/>
          <w:spacing w:val="-3"/>
          <w:position w:val="11"/>
          <w:sz w:val="12"/>
          <w:szCs w:val="12"/>
        </w:rPr>
        <w:t>-1</w:t>
      </w:r>
      <w:r>
        <w:rPr>
          <w:rFonts w:ascii="宋体" w:hAnsi="宋体" w:eastAsia="宋体" w:cs="宋体"/>
          <w:spacing w:val="-13"/>
          <w:position w:val="11"/>
          <w:sz w:val="12"/>
          <w:szCs w:val="12"/>
        </w:rPr>
        <w:t xml:space="preserve"> </w:t>
      </w:r>
      <w:r>
        <w:rPr>
          <w:rFonts w:ascii="宋体" w:hAnsi="宋体" w:eastAsia="宋体" w:cs="宋体"/>
          <w:spacing w:val="-3"/>
          <w:sz w:val="24"/>
          <w:szCs w:val="24"/>
        </w:rPr>
        <w:t>次/年，</w:t>
      </w:r>
      <w:r>
        <w:rPr>
          <w:rFonts w:ascii="宋体" w:hAnsi="宋体" w:eastAsia="宋体" w:cs="宋体"/>
          <w:sz w:val="24"/>
          <w:szCs w:val="24"/>
        </w:rPr>
        <w:t xml:space="preserve"> </w:t>
      </w:r>
      <w:r>
        <w:rPr>
          <w:rFonts w:ascii="宋体" w:hAnsi="宋体" w:eastAsia="宋体" w:cs="宋体"/>
          <w:spacing w:val="-1"/>
          <w:sz w:val="24"/>
          <w:szCs w:val="24"/>
        </w:rPr>
        <w:t>即每</w:t>
      </w:r>
      <w:r>
        <w:rPr>
          <w:rFonts w:ascii="宋体" w:hAnsi="宋体" w:eastAsia="宋体" w:cs="宋体"/>
          <w:spacing w:val="-33"/>
          <w:sz w:val="24"/>
          <w:szCs w:val="24"/>
        </w:rPr>
        <w:t xml:space="preserve"> </w:t>
      </w:r>
      <w:r>
        <w:rPr>
          <w:rFonts w:ascii="宋体" w:hAnsi="宋体" w:eastAsia="宋体" w:cs="宋体"/>
          <w:spacing w:val="-1"/>
          <w:sz w:val="24"/>
          <w:szCs w:val="24"/>
        </w:rPr>
        <w:t>10</w:t>
      </w:r>
      <w:r>
        <w:rPr>
          <w:rFonts w:ascii="宋体" w:hAnsi="宋体" w:eastAsia="宋体" w:cs="宋体"/>
          <w:spacing w:val="-47"/>
          <w:sz w:val="24"/>
          <w:szCs w:val="24"/>
        </w:rPr>
        <w:t xml:space="preserve"> </w:t>
      </w:r>
      <w:r>
        <w:rPr>
          <w:rFonts w:ascii="宋体" w:hAnsi="宋体" w:eastAsia="宋体" w:cs="宋体"/>
          <w:spacing w:val="-1"/>
          <w:sz w:val="24"/>
          <w:szCs w:val="24"/>
        </w:rPr>
        <w:t>年大约发生一次。而贮罐等出现重大火灾、爆炸事故概</w:t>
      </w:r>
      <w:r>
        <w:rPr>
          <w:rFonts w:ascii="宋体" w:hAnsi="宋体" w:eastAsia="宋体" w:cs="宋体"/>
          <w:spacing w:val="-2"/>
          <w:sz w:val="24"/>
          <w:szCs w:val="24"/>
        </w:rPr>
        <w:t>率</w:t>
      </w:r>
      <w:r>
        <w:rPr>
          <w:rFonts w:ascii="宋体" w:hAnsi="宋体" w:eastAsia="宋体" w:cs="宋体"/>
          <w:spacing w:val="-33"/>
          <w:sz w:val="24"/>
          <w:szCs w:val="24"/>
        </w:rPr>
        <w:t xml:space="preserve"> </w:t>
      </w:r>
      <w:r>
        <w:rPr>
          <w:rFonts w:ascii="宋体" w:hAnsi="宋体" w:eastAsia="宋体" w:cs="宋体"/>
          <w:spacing w:val="-2"/>
          <w:sz w:val="24"/>
          <w:szCs w:val="24"/>
        </w:rPr>
        <w:t>10-3—10-4，属于</w:t>
      </w:r>
      <w:r>
        <w:rPr>
          <w:rFonts w:ascii="宋体" w:hAnsi="宋体" w:eastAsia="宋体" w:cs="宋体"/>
          <w:sz w:val="24"/>
          <w:szCs w:val="24"/>
        </w:rPr>
        <w:t xml:space="preserve"> </w:t>
      </w:r>
      <w:r>
        <w:rPr>
          <w:rFonts w:ascii="宋体" w:hAnsi="宋体" w:eastAsia="宋体" w:cs="宋体"/>
          <w:spacing w:val="-1"/>
          <w:sz w:val="24"/>
          <w:szCs w:val="24"/>
        </w:rPr>
        <w:t>极少发生的事故。根据调查分析，这种类型的企业造成事故风</w:t>
      </w:r>
      <w:r>
        <w:rPr>
          <w:rFonts w:ascii="宋体" w:hAnsi="宋体" w:eastAsia="宋体" w:cs="宋体"/>
          <w:spacing w:val="-2"/>
          <w:sz w:val="24"/>
          <w:szCs w:val="24"/>
        </w:rPr>
        <w:t>险类型主要以化学品包</w:t>
      </w:r>
      <w:r>
        <w:rPr>
          <w:rFonts w:ascii="宋体" w:hAnsi="宋体" w:eastAsia="宋体" w:cs="宋体"/>
          <w:sz w:val="24"/>
          <w:szCs w:val="24"/>
        </w:rPr>
        <w:t xml:space="preserve"> </w:t>
      </w:r>
      <w:r>
        <w:rPr>
          <w:rFonts w:ascii="宋体" w:hAnsi="宋体" w:eastAsia="宋体" w:cs="宋体"/>
          <w:spacing w:val="-1"/>
          <w:sz w:val="24"/>
          <w:szCs w:val="24"/>
        </w:rPr>
        <w:t>装破裂导致泄漏事故为主，也可能火灾、爆炸等事故。主要因</w:t>
      </w:r>
      <w:r>
        <w:rPr>
          <w:rFonts w:ascii="宋体" w:hAnsi="宋体" w:eastAsia="宋体" w:cs="宋体"/>
          <w:spacing w:val="-2"/>
          <w:sz w:val="24"/>
          <w:szCs w:val="24"/>
        </w:rPr>
        <w:t>素是人为因素，对危险</w:t>
      </w:r>
      <w:r>
        <w:rPr>
          <w:rFonts w:ascii="宋体" w:hAnsi="宋体" w:eastAsia="宋体" w:cs="宋体"/>
          <w:sz w:val="24"/>
          <w:szCs w:val="24"/>
        </w:rPr>
        <w:t xml:space="preserve"> </w:t>
      </w:r>
      <w:r>
        <w:rPr>
          <w:rFonts w:ascii="宋体" w:hAnsi="宋体" w:eastAsia="宋体" w:cs="宋体"/>
          <w:spacing w:val="-1"/>
          <w:sz w:val="24"/>
          <w:szCs w:val="24"/>
        </w:rPr>
        <w:t>品管理不善，事故防范意识不强，以及操作人员的疏忽大意是</w:t>
      </w:r>
      <w:r>
        <w:rPr>
          <w:rFonts w:ascii="宋体" w:hAnsi="宋体" w:eastAsia="宋体" w:cs="宋体"/>
          <w:spacing w:val="-2"/>
          <w:sz w:val="24"/>
          <w:szCs w:val="24"/>
        </w:rPr>
        <w:t>风险事故出现的主要原</w:t>
      </w:r>
      <w:r>
        <w:rPr>
          <w:rFonts w:ascii="宋体" w:hAnsi="宋体" w:eastAsia="宋体" w:cs="宋体"/>
          <w:sz w:val="24"/>
          <w:szCs w:val="24"/>
        </w:rPr>
        <w:t xml:space="preserve"> 因。因此，对员工安全防火和环保培训教育是本项</w:t>
      </w:r>
      <w:r>
        <w:rPr>
          <w:rFonts w:ascii="宋体" w:hAnsi="宋体" w:eastAsia="宋体" w:cs="宋体"/>
          <w:spacing w:val="-1"/>
          <w:sz w:val="24"/>
          <w:szCs w:val="24"/>
        </w:rPr>
        <w:t>目风险事故预防的重点。</w:t>
      </w:r>
    </w:p>
    <w:p w14:paraId="33C8D5A8">
      <w:pPr>
        <w:spacing w:before="119" w:line="220" w:lineRule="auto"/>
        <w:ind w:left="58"/>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5  </w:t>
      </w:r>
      <w:r>
        <w:rPr>
          <w:rFonts w:ascii="宋体" w:hAnsi="宋体" w:eastAsia="宋体" w:cs="宋体"/>
          <w:b/>
          <w:bCs/>
          <w:spacing w:val="-3"/>
          <w:sz w:val="24"/>
          <w:szCs w:val="24"/>
        </w:rPr>
        <w:t>源项分析</w:t>
      </w:r>
    </w:p>
    <w:p w14:paraId="34284CAD">
      <w:pPr>
        <w:spacing w:line="342" w:lineRule="auto"/>
        <w:rPr>
          <w:rFonts w:ascii="Arial"/>
          <w:sz w:val="21"/>
        </w:rPr>
      </w:pPr>
    </w:p>
    <w:p w14:paraId="46113D0C">
      <w:pPr>
        <w:spacing w:before="78" w:line="219" w:lineRule="auto"/>
        <w:ind w:left="58"/>
        <w:outlineLvl w:val="2"/>
        <w:rPr>
          <w:rFonts w:ascii="宋体" w:hAnsi="宋体" w:eastAsia="宋体" w:cs="宋体"/>
          <w:sz w:val="24"/>
          <w:szCs w:val="24"/>
        </w:rPr>
      </w:pPr>
      <w:r>
        <w:rPr>
          <w:rFonts w:ascii="Times New Roman" w:hAnsi="Times New Roman" w:eastAsia="Times New Roman" w:cs="Times New Roman"/>
          <w:b/>
          <w:bCs/>
          <w:spacing w:val="-5"/>
          <w:sz w:val="24"/>
          <w:szCs w:val="24"/>
        </w:rPr>
        <w:t>5.1</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泄漏频率</w:t>
      </w:r>
    </w:p>
    <w:p w14:paraId="002FB09B">
      <w:pPr>
        <w:spacing w:before="182" w:line="359" w:lineRule="auto"/>
        <w:ind w:left="58" w:right="61" w:firstLine="484"/>
        <w:jc w:val="both"/>
        <w:rPr>
          <w:rFonts w:ascii="宋体" w:hAnsi="宋体" w:eastAsia="宋体" w:cs="宋体"/>
          <w:sz w:val="24"/>
          <w:szCs w:val="24"/>
        </w:rPr>
      </w:pPr>
      <w:r>
        <w:rPr>
          <w:rFonts w:ascii="宋体" w:hAnsi="宋体" w:eastAsia="宋体" w:cs="宋体"/>
          <w:spacing w:val="2"/>
          <w:sz w:val="24"/>
          <w:szCs w:val="24"/>
        </w:rPr>
        <w:t>泄漏事故为包装桶发生破裂，物料泄漏进入围堰，本项目包装</w:t>
      </w:r>
      <w:r>
        <w:rPr>
          <w:rFonts w:ascii="宋体" w:hAnsi="宋体" w:eastAsia="宋体" w:cs="宋体"/>
          <w:spacing w:val="1"/>
          <w:sz w:val="24"/>
          <w:szCs w:val="24"/>
        </w:rPr>
        <w:t>桶均为</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化工</w:t>
      </w:r>
      <w:r>
        <w:rPr>
          <w:rFonts w:ascii="宋体" w:hAnsi="宋体" w:eastAsia="宋体" w:cs="宋体"/>
          <w:sz w:val="24"/>
          <w:szCs w:val="24"/>
        </w:rPr>
        <w:t xml:space="preserve"> </w:t>
      </w:r>
      <w:r>
        <w:rPr>
          <w:rFonts w:ascii="宋体" w:hAnsi="宋体" w:eastAsia="宋体" w:cs="宋体"/>
          <w:spacing w:val="-1"/>
          <w:sz w:val="24"/>
          <w:szCs w:val="24"/>
        </w:rPr>
        <w:t>桶，根据《建设项目风险评价技术导则》（</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）附录</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E.1</w:t>
      </w: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6.6-1</w:t>
      </w:r>
      <w:r>
        <w:rPr>
          <w:rFonts w:ascii="宋体" w:hAnsi="宋体" w:eastAsia="宋体" w:cs="宋体"/>
          <w:spacing w:val="-1"/>
          <w:sz w:val="24"/>
          <w:szCs w:val="24"/>
        </w:rPr>
        <w:t>）可知，</w:t>
      </w:r>
      <w:r>
        <w:rPr>
          <w:rFonts w:ascii="宋体" w:hAnsi="宋体" w:eastAsia="宋体" w:cs="宋体"/>
          <w:sz w:val="24"/>
          <w:szCs w:val="24"/>
        </w:rPr>
        <w:t xml:space="preserve"> </w:t>
      </w:r>
      <w:r>
        <w:rPr>
          <w:rFonts w:ascii="宋体" w:hAnsi="宋体" w:eastAsia="宋体" w:cs="宋体"/>
          <w:spacing w:val="-1"/>
          <w:sz w:val="24"/>
          <w:szCs w:val="24"/>
        </w:rPr>
        <w:t>常压双包容储罐发生泄漏孔径为</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10mm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的泄</w:t>
      </w:r>
      <w:r>
        <w:rPr>
          <w:rFonts w:ascii="宋体" w:hAnsi="宋体" w:eastAsia="宋体" w:cs="宋体"/>
          <w:spacing w:val="-2"/>
          <w:sz w:val="24"/>
          <w:szCs w:val="24"/>
        </w:rPr>
        <w:t>漏事故概况为</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7"/>
          <w:sz w:val="15"/>
          <w:szCs w:val="15"/>
        </w:rPr>
        <w:t>-4</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，可见发生的概率极</w:t>
      </w:r>
      <w:r>
        <w:rPr>
          <w:rFonts w:ascii="宋体" w:hAnsi="宋体" w:eastAsia="宋体" w:cs="宋体"/>
          <w:sz w:val="24"/>
          <w:szCs w:val="24"/>
        </w:rPr>
        <w:t xml:space="preserve"> </w:t>
      </w:r>
      <w:r>
        <w:rPr>
          <w:rFonts w:ascii="宋体" w:hAnsi="宋体" w:eastAsia="宋体" w:cs="宋体"/>
          <w:spacing w:val="-5"/>
          <w:sz w:val="24"/>
          <w:szCs w:val="24"/>
        </w:rPr>
        <w:t>低。</w:t>
      </w:r>
    </w:p>
    <w:p w14:paraId="7A479F05">
      <w:pPr>
        <w:spacing w:before="121" w:line="219" w:lineRule="auto"/>
        <w:ind w:left="2523"/>
        <w:outlineLvl w:val="3"/>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3"/>
          <w:sz w:val="24"/>
          <w:szCs w:val="24"/>
        </w:rPr>
        <w:t xml:space="preserve"> </w:t>
      </w:r>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危险物质储存装置泄漏频率表</w:t>
      </w:r>
    </w:p>
    <w:p w14:paraId="77C83119">
      <w:pPr>
        <w:spacing w:line="145" w:lineRule="exact"/>
      </w:pPr>
    </w:p>
    <w:tbl>
      <w:tblPr>
        <w:tblStyle w:val="5"/>
        <w:tblW w:w="89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0"/>
        <w:gridCol w:w="3014"/>
        <w:gridCol w:w="2943"/>
      </w:tblGrid>
      <w:tr w14:paraId="61C9F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980" w:type="dxa"/>
            <w:vAlign w:val="top"/>
          </w:tcPr>
          <w:p w14:paraId="1762085D">
            <w:pPr>
              <w:pStyle w:val="6"/>
              <w:spacing w:before="97" w:line="228" w:lineRule="auto"/>
              <w:ind w:left="1078"/>
              <w:rPr>
                <w:sz w:val="20"/>
                <w:szCs w:val="20"/>
              </w:rPr>
            </w:pPr>
            <w:r>
              <w:rPr>
                <w:b/>
                <w:bCs/>
                <w:spacing w:val="5"/>
                <w:sz w:val="20"/>
                <w:szCs w:val="20"/>
              </w:rPr>
              <w:t>部件类型</w:t>
            </w:r>
          </w:p>
        </w:tc>
        <w:tc>
          <w:tcPr>
            <w:tcW w:w="3014" w:type="dxa"/>
            <w:vAlign w:val="top"/>
          </w:tcPr>
          <w:p w14:paraId="6C3A269B">
            <w:pPr>
              <w:pStyle w:val="6"/>
              <w:spacing w:before="97" w:line="228" w:lineRule="auto"/>
              <w:ind w:left="1094"/>
              <w:rPr>
                <w:sz w:val="20"/>
                <w:szCs w:val="20"/>
              </w:rPr>
            </w:pPr>
            <w:r>
              <w:rPr>
                <w:b/>
                <w:bCs/>
                <w:spacing w:val="5"/>
                <w:sz w:val="20"/>
                <w:szCs w:val="20"/>
              </w:rPr>
              <w:t>泄漏模式</w:t>
            </w:r>
          </w:p>
        </w:tc>
        <w:tc>
          <w:tcPr>
            <w:tcW w:w="2943" w:type="dxa"/>
            <w:vAlign w:val="top"/>
          </w:tcPr>
          <w:p w14:paraId="66C07DE2">
            <w:pPr>
              <w:pStyle w:val="6"/>
              <w:spacing w:before="97" w:line="228" w:lineRule="auto"/>
              <w:ind w:left="1058"/>
              <w:rPr>
                <w:sz w:val="20"/>
                <w:szCs w:val="20"/>
              </w:rPr>
            </w:pPr>
            <w:r>
              <w:rPr>
                <w:b/>
                <w:bCs/>
                <w:spacing w:val="5"/>
                <w:sz w:val="20"/>
                <w:szCs w:val="20"/>
              </w:rPr>
              <w:t>泄漏频率</w:t>
            </w:r>
          </w:p>
        </w:tc>
      </w:tr>
      <w:tr w14:paraId="76137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980" w:type="dxa"/>
            <w:vAlign w:val="top"/>
          </w:tcPr>
          <w:p w14:paraId="40043650">
            <w:pPr>
              <w:pStyle w:val="6"/>
              <w:spacing w:before="168" w:line="228" w:lineRule="auto"/>
              <w:ind w:left="149"/>
              <w:rPr>
                <w:sz w:val="20"/>
                <w:szCs w:val="20"/>
              </w:rPr>
            </w:pPr>
            <w:r>
              <w:rPr>
                <w:spacing w:val="7"/>
                <w:sz w:val="20"/>
                <w:szCs w:val="20"/>
              </w:rPr>
              <w:t>反应器</w:t>
            </w:r>
            <w:r>
              <w:rPr>
                <w:rFonts w:ascii="Times New Roman" w:hAnsi="Times New Roman" w:eastAsia="Times New Roman" w:cs="Times New Roman"/>
                <w:spacing w:val="7"/>
                <w:sz w:val="20"/>
                <w:szCs w:val="20"/>
              </w:rPr>
              <w:t>/</w:t>
            </w:r>
            <w:r>
              <w:rPr>
                <w:spacing w:val="7"/>
                <w:sz w:val="20"/>
                <w:szCs w:val="20"/>
              </w:rPr>
              <w:t>工艺储罐</w:t>
            </w:r>
            <w:r>
              <w:rPr>
                <w:rFonts w:ascii="Times New Roman" w:hAnsi="Times New Roman" w:eastAsia="Times New Roman" w:cs="Times New Roman"/>
                <w:spacing w:val="7"/>
                <w:sz w:val="20"/>
                <w:szCs w:val="20"/>
              </w:rPr>
              <w:t>/</w:t>
            </w:r>
            <w:r>
              <w:rPr>
                <w:spacing w:val="7"/>
                <w:sz w:val="20"/>
                <w:szCs w:val="20"/>
              </w:rPr>
              <w:t>气体储罐</w:t>
            </w:r>
            <w:r>
              <w:rPr>
                <w:rFonts w:ascii="Times New Roman" w:hAnsi="Times New Roman" w:eastAsia="Times New Roman" w:cs="Times New Roman"/>
                <w:spacing w:val="7"/>
                <w:sz w:val="20"/>
                <w:szCs w:val="20"/>
              </w:rPr>
              <w:t>/</w:t>
            </w:r>
            <w:r>
              <w:rPr>
                <w:spacing w:val="7"/>
                <w:sz w:val="20"/>
                <w:szCs w:val="20"/>
              </w:rPr>
              <w:t>塔</w:t>
            </w:r>
          </w:p>
          <w:p w14:paraId="5E28B512">
            <w:pPr>
              <w:pStyle w:val="6"/>
              <w:spacing w:before="24" w:line="233" w:lineRule="auto"/>
              <w:ind w:left="1389"/>
              <w:rPr>
                <w:sz w:val="20"/>
                <w:szCs w:val="20"/>
              </w:rPr>
            </w:pPr>
            <w:r>
              <w:rPr>
                <w:sz w:val="20"/>
                <w:szCs w:val="20"/>
              </w:rPr>
              <w:t>器</w:t>
            </w:r>
          </w:p>
        </w:tc>
        <w:tc>
          <w:tcPr>
            <w:tcW w:w="3014" w:type="dxa"/>
            <w:vAlign w:val="top"/>
          </w:tcPr>
          <w:p w14:paraId="1007336D">
            <w:pPr>
              <w:pStyle w:val="6"/>
              <w:spacing w:before="32" w:line="228" w:lineRule="auto"/>
              <w:ind w:left="460"/>
              <w:rPr>
                <w:sz w:val="20"/>
                <w:szCs w:val="20"/>
              </w:rPr>
            </w:pPr>
            <w:r>
              <w:rPr>
                <w:spacing w:val="5"/>
                <w:sz w:val="20"/>
                <w:szCs w:val="20"/>
              </w:rPr>
              <w:t>泄漏孔径为</w:t>
            </w:r>
            <w:r>
              <w:rPr>
                <w:spacing w:val="-17"/>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mm</w:t>
            </w:r>
            <w:r>
              <w:rPr>
                <w:rFonts w:ascii="Times New Roman" w:hAnsi="Times New Roman" w:eastAsia="Times New Roman" w:cs="Times New Roman"/>
                <w:spacing w:val="5"/>
                <w:sz w:val="20"/>
                <w:szCs w:val="20"/>
              </w:rPr>
              <w:t xml:space="preserve"> </w:t>
            </w:r>
            <w:r>
              <w:rPr>
                <w:spacing w:val="5"/>
                <w:sz w:val="20"/>
                <w:szCs w:val="20"/>
              </w:rPr>
              <w:t>孔径</w:t>
            </w:r>
          </w:p>
          <w:p w14:paraId="1D068ABA">
            <w:pPr>
              <w:pStyle w:val="6"/>
              <w:spacing w:before="24" w:line="228" w:lineRule="auto"/>
              <w:ind w:left="603"/>
              <w:rPr>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min</w:t>
            </w:r>
            <w:r>
              <w:rPr>
                <w:rFonts w:ascii="Times New Roman" w:hAnsi="Times New Roman" w:eastAsia="Times New Roman" w:cs="Times New Roman"/>
                <w:spacing w:val="45"/>
                <w:w w:val="101"/>
                <w:sz w:val="20"/>
                <w:szCs w:val="20"/>
              </w:rPr>
              <w:t xml:space="preserve"> </w:t>
            </w:r>
            <w:r>
              <w:rPr>
                <w:spacing w:val="2"/>
                <w:sz w:val="20"/>
                <w:szCs w:val="20"/>
              </w:rPr>
              <w:t>内储罐泄漏完</w:t>
            </w:r>
          </w:p>
          <w:p w14:paraId="11176CFF">
            <w:pPr>
              <w:pStyle w:val="6"/>
              <w:spacing w:before="26" w:line="216" w:lineRule="auto"/>
              <w:ind w:left="986"/>
              <w:rPr>
                <w:sz w:val="20"/>
                <w:szCs w:val="20"/>
              </w:rPr>
            </w:pPr>
            <w:r>
              <w:rPr>
                <w:spacing w:val="8"/>
                <w:sz w:val="20"/>
                <w:szCs w:val="20"/>
              </w:rPr>
              <w:t>储罐全破裂</w:t>
            </w:r>
          </w:p>
        </w:tc>
        <w:tc>
          <w:tcPr>
            <w:tcW w:w="2943" w:type="dxa"/>
            <w:vAlign w:val="top"/>
          </w:tcPr>
          <w:p w14:paraId="160E6920">
            <w:pPr>
              <w:spacing w:before="79" w:line="216"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sz w:val="20"/>
                <w:szCs w:val="20"/>
              </w:rPr>
              <w:t>/a</w:t>
            </w:r>
          </w:p>
          <w:p w14:paraId="758C46F6">
            <w:pPr>
              <w:spacing w:before="35" w:line="213"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5.00×10</w:t>
            </w:r>
            <w:r>
              <w:rPr>
                <w:rFonts w:ascii="Times New Roman" w:hAnsi="Times New Roman" w:eastAsia="Times New Roman" w:cs="Times New Roman"/>
                <w:spacing w:val="3"/>
                <w:position w:val="6"/>
                <w:sz w:val="13"/>
                <w:szCs w:val="13"/>
              </w:rPr>
              <w:t>-6</w:t>
            </w:r>
            <w:r>
              <w:rPr>
                <w:rFonts w:ascii="Times New Roman" w:hAnsi="Times New Roman" w:eastAsia="Times New Roman" w:cs="Times New Roman"/>
                <w:spacing w:val="3"/>
                <w:sz w:val="20"/>
                <w:szCs w:val="20"/>
              </w:rPr>
              <w:t>/a</w:t>
            </w:r>
          </w:p>
          <w:p w14:paraId="71CA25F1">
            <w:pPr>
              <w:spacing w:before="35" w:line="216"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5.00×10</w:t>
            </w:r>
            <w:r>
              <w:rPr>
                <w:rFonts w:ascii="Times New Roman" w:hAnsi="Times New Roman" w:eastAsia="Times New Roman" w:cs="Times New Roman"/>
                <w:spacing w:val="3"/>
                <w:position w:val="6"/>
                <w:sz w:val="13"/>
                <w:szCs w:val="13"/>
              </w:rPr>
              <w:t>-6</w:t>
            </w:r>
            <w:r>
              <w:rPr>
                <w:rFonts w:ascii="Times New Roman" w:hAnsi="Times New Roman" w:eastAsia="Times New Roman" w:cs="Times New Roman"/>
                <w:spacing w:val="3"/>
                <w:sz w:val="20"/>
                <w:szCs w:val="20"/>
              </w:rPr>
              <w:t>/a</w:t>
            </w:r>
          </w:p>
        </w:tc>
      </w:tr>
      <w:tr w14:paraId="46AE5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980" w:type="dxa"/>
            <w:vAlign w:val="top"/>
          </w:tcPr>
          <w:p w14:paraId="7DD88F69">
            <w:pPr>
              <w:pStyle w:val="6"/>
              <w:spacing w:before="305" w:line="228" w:lineRule="auto"/>
              <w:ind w:left="766"/>
              <w:rPr>
                <w:sz w:val="20"/>
                <w:szCs w:val="20"/>
              </w:rPr>
            </w:pPr>
            <w:r>
              <w:rPr>
                <w:spacing w:val="7"/>
                <w:sz w:val="20"/>
                <w:szCs w:val="20"/>
              </w:rPr>
              <w:t>常用单包容储罐</w:t>
            </w:r>
          </w:p>
        </w:tc>
        <w:tc>
          <w:tcPr>
            <w:tcW w:w="3014" w:type="dxa"/>
            <w:vAlign w:val="top"/>
          </w:tcPr>
          <w:p w14:paraId="156F53BC">
            <w:pPr>
              <w:pStyle w:val="6"/>
              <w:spacing w:before="34" w:line="228" w:lineRule="auto"/>
              <w:ind w:left="460"/>
              <w:rPr>
                <w:sz w:val="20"/>
                <w:szCs w:val="20"/>
              </w:rPr>
            </w:pPr>
            <w:r>
              <w:rPr>
                <w:spacing w:val="5"/>
                <w:sz w:val="20"/>
                <w:szCs w:val="20"/>
              </w:rPr>
              <w:t>泄漏孔径为</w:t>
            </w:r>
            <w:r>
              <w:rPr>
                <w:spacing w:val="-17"/>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mm</w:t>
            </w:r>
            <w:r>
              <w:rPr>
                <w:rFonts w:ascii="Times New Roman" w:hAnsi="Times New Roman" w:eastAsia="Times New Roman" w:cs="Times New Roman"/>
                <w:spacing w:val="5"/>
                <w:sz w:val="20"/>
                <w:szCs w:val="20"/>
              </w:rPr>
              <w:t xml:space="preserve"> </w:t>
            </w:r>
            <w:r>
              <w:rPr>
                <w:spacing w:val="5"/>
                <w:sz w:val="20"/>
                <w:szCs w:val="20"/>
              </w:rPr>
              <w:t>孔径</w:t>
            </w:r>
          </w:p>
          <w:p w14:paraId="398E127F">
            <w:pPr>
              <w:pStyle w:val="6"/>
              <w:spacing w:before="24" w:line="228" w:lineRule="auto"/>
              <w:ind w:left="603"/>
              <w:rPr>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min</w:t>
            </w:r>
            <w:r>
              <w:rPr>
                <w:rFonts w:ascii="Times New Roman" w:hAnsi="Times New Roman" w:eastAsia="Times New Roman" w:cs="Times New Roman"/>
                <w:spacing w:val="45"/>
                <w:w w:val="101"/>
                <w:sz w:val="20"/>
                <w:szCs w:val="20"/>
              </w:rPr>
              <w:t xml:space="preserve"> </w:t>
            </w:r>
            <w:r>
              <w:rPr>
                <w:spacing w:val="2"/>
                <w:sz w:val="20"/>
                <w:szCs w:val="20"/>
              </w:rPr>
              <w:t>内储罐泄漏完</w:t>
            </w:r>
          </w:p>
          <w:p w14:paraId="341DD115">
            <w:pPr>
              <w:pStyle w:val="6"/>
              <w:spacing w:before="24" w:line="216" w:lineRule="auto"/>
              <w:ind w:left="986"/>
              <w:rPr>
                <w:sz w:val="20"/>
                <w:szCs w:val="20"/>
              </w:rPr>
            </w:pPr>
            <w:r>
              <w:rPr>
                <w:spacing w:val="8"/>
                <w:sz w:val="20"/>
                <w:szCs w:val="20"/>
              </w:rPr>
              <w:t>储罐全破裂</w:t>
            </w:r>
          </w:p>
        </w:tc>
        <w:tc>
          <w:tcPr>
            <w:tcW w:w="2943" w:type="dxa"/>
            <w:vAlign w:val="top"/>
          </w:tcPr>
          <w:p w14:paraId="4122781E">
            <w:pPr>
              <w:spacing w:before="81" w:line="213"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sz w:val="20"/>
                <w:szCs w:val="20"/>
              </w:rPr>
              <w:t>/a</w:t>
            </w:r>
          </w:p>
          <w:p w14:paraId="624F27BF">
            <w:pPr>
              <w:spacing w:before="35" w:line="216"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5.00×10</w:t>
            </w:r>
            <w:r>
              <w:rPr>
                <w:rFonts w:ascii="Times New Roman" w:hAnsi="Times New Roman" w:eastAsia="Times New Roman" w:cs="Times New Roman"/>
                <w:spacing w:val="3"/>
                <w:position w:val="6"/>
                <w:sz w:val="13"/>
                <w:szCs w:val="13"/>
              </w:rPr>
              <w:t>-6</w:t>
            </w:r>
            <w:r>
              <w:rPr>
                <w:rFonts w:ascii="Times New Roman" w:hAnsi="Times New Roman" w:eastAsia="Times New Roman" w:cs="Times New Roman"/>
                <w:spacing w:val="3"/>
                <w:sz w:val="20"/>
                <w:szCs w:val="20"/>
              </w:rPr>
              <w:t>/a</w:t>
            </w:r>
          </w:p>
          <w:p w14:paraId="56B2DCEB">
            <w:pPr>
              <w:spacing w:before="35" w:line="213"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5.00×10</w:t>
            </w:r>
            <w:r>
              <w:rPr>
                <w:rFonts w:ascii="Times New Roman" w:hAnsi="Times New Roman" w:eastAsia="Times New Roman" w:cs="Times New Roman"/>
                <w:spacing w:val="3"/>
                <w:position w:val="6"/>
                <w:sz w:val="13"/>
                <w:szCs w:val="13"/>
              </w:rPr>
              <w:t>-6</w:t>
            </w:r>
            <w:r>
              <w:rPr>
                <w:rFonts w:ascii="Times New Roman" w:hAnsi="Times New Roman" w:eastAsia="Times New Roman" w:cs="Times New Roman"/>
                <w:spacing w:val="3"/>
                <w:sz w:val="20"/>
                <w:szCs w:val="20"/>
              </w:rPr>
              <w:t>/a</w:t>
            </w:r>
          </w:p>
        </w:tc>
      </w:tr>
      <w:tr w14:paraId="6D4E3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980" w:type="dxa"/>
            <w:vAlign w:val="top"/>
          </w:tcPr>
          <w:p w14:paraId="347647D3">
            <w:pPr>
              <w:pStyle w:val="6"/>
              <w:spacing w:before="304" w:line="228" w:lineRule="auto"/>
              <w:ind w:left="766"/>
              <w:rPr>
                <w:sz w:val="20"/>
                <w:szCs w:val="20"/>
              </w:rPr>
            </w:pPr>
            <w:r>
              <w:rPr>
                <w:spacing w:val="7"/>
                <w:sz w:val="20"/>
                <w:szCs w:val="20"/>
              </w:rPr>
              <w:t>常压双包容储罐</w:t>
            </w:r>
          </w:p>
        </w:tc>
        <w:tc>
          <w:tcPr>
            <w:tcW w:w="3014" w:type="dxa"/>
            <w:vAlign w:val="top"/>
          </w:tcPr>
          <w:p w14:paraId="15CA7B16">
            <w:pPr>
              <w:pStyle w:val="6"/>
              <w:spacing w:before="33" w:line="228" w:lineRule="auto"/>
              <w:ind w:left="460"/>
              <w:rPr>
                <w:sz w:val="20"/>
                <w:szCs w:val="20"/>
              </w:rPr>
            </w:pPr>
            <w:r>
              <w:rPr>
                <w:spacing w:val="5"/>
                <w:sz w:val="20"/>
                <w:szCs w:val="20"/>
              </w:rPr>
              <w:t>泄漏孔径为</w:t>
            </w:r>
            <w:r>
              <w:rPr>
                <w:spacing w:val="-17"/>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mm</w:t>
            </w:r>
            <w:r>
              <w:rPr>
                <w:rFonts w:ascii="Times New Roman" w:hAnsi="Times New Roman" w:eastAsia="Times New Roman" w:cs="Times New Roman"/>
                <w:spacing w:val="5"/>
                <w:sz w:val="20"/>
                <w:szCs w:val="20"/>
              </w:rPr>
              <w:t xml:space="preserve"> </w:t>
            </w:r>
            <w:r>
              <w:rPr>
                <w:spacing w:val="5"/>
                <w:sz w:val="20"/>
                <w:szCs w:val="20"/>
              </w:rPr>
              <w:t>孔径</w:t>
            </w:r>
          </w:p>
          <w:p w14:paraId="6E246CEB">
            <w:pPr>
              <w:pStyle w:val="6"/>
              <w:spacing w:before="24" w:line="228" w:lineRule="auto"/>
              <w:ind w:left="603"/>
              <w:rPr>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min</w:t>
            </w:r>
            <w:r>
              <w:rPr>
                <w:rFonts w:ascii="Times New Roman" w:hAnsi="Times New Roman" w:eastAsia="Times New Roman" w:cs="Times New Roman"/>
                <w:spacing w:val="45"/>
                <w:w w:val="101"/>
                <w:sz w:val="20"/>
                <w:szCs w:val="20"/>
              </w:rPr>
              <w:t xml:space="preserve"> </w:t>
            </w:r>
            <w:r>
              <w:rPr>
                <w:spacing w:val="2"/>
                <w:sz w:val="20"/>
                <w:szCs w:val="20"/>
              </w:rPr>
              <w:t>内储罐泄漏完</w:t>
            </w:r>
          </w:p>
          <w:p w14:paraId="325E9F78">
            <w:pPr>
              <w:pStyle w:val="6"/>
              <w:spacing w:before="27" w:line="214" w:lineRule="auto"/>
              <w:ind w:left="986"/>
              <w:rPr>
                <w:sz w:val="20"/>
                <w:szCs w:val="20"/>
              </w:rPr>
            </w:pPr>
            <w:r>
              <w:rPr>
                <w:spacing w:val="8"/>
                <w:sz w:val="20"/>
                <w:szCs w:val="20"/>
              </w:rPr>
              <w:t>储罐全破裂</w:t>
            </w:r>
          </w:p>
        </w:tc>
        <w:tc>
          <w:tcPr>
            <w:tcW w:w="2943" w:type="dxa"/>
            <w:vAlign w:val="top"/>
          </w:tcPr>
          <w:p w14:paraId="5491D359">
            <w:pPr>
              <w:spacing w:before="81" w:line="216"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sz w:val="20"/>
                <w:szCs w:val="20"/>
              </w:rPr>
              <w:t>/a</w:t>
            </w:r>
          </w:p>
          <w:p w14:paraId="4BA64BD5">
            <w:pPr>
              <w:spacing w:before="35" w:line="213"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1.25×10</w:t>
            </w:r>
            <w:r>
              <w:rPr>
                <w:rFonts w:ascii="Times New Roman" w:hAnsi="Times New Roman" w:eastAsia="Times New Roman" w:cs="Times New Roman"/>
                <w:spacing w:val="1"/>
                <w:position w:val="6"/>
                <w:sz w:val="13"/>
                <w:szCs w:val="13"/>
              </w:rPr>
              <w:t>-8</w:t>
            </w:r>
            <w:r>
              <w:rPr>
                <w:rFonts w:ascii="Times New Roman" w:hAnsi="Times New Roman" w:eastAsia="Times New Roman" w:cs="Times New Roman"/>
                <w:spacing w:val="1"/>
                <w:sz w:val="20"/>
                <w:szCs w:val="20"/>
              </w:rPr>
              <w:t>/a</w:t>
            </w:r>
          </w:p>
          <w:p w14:paraId="7B14270A">
            <w:pPr>
              <w:spacing w:before="35" w:line="216"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1.25×10</w:t>
            </w:r>
            <w:r>
              <w:rPr>
                <w:rFonts w:ascii="Times New Roman" w:hAnsi="Times New Roman" w:eastAsia="Times New Roman" w:cs="Times New Roman"/>
                <w:spacing w:val="1"/>
                <w:position w:val="6"/>
                <w:sz w:val="13"/>
                <w:szCs w:val="13"/>
              </w:rPr>
              <w:t>-8</w:t>
            </w:r>
            <w:r>
              <w:rPr>
                <w:rFonts w:ascii="Times New Roman" w:hAnsi="Times New Roman" w:eastAsia="Times New Roman" w:cs="Times New Roman"/>
                <w:spacing w:val="1"/>
                <w:sz w:val="20"/>
                <w:szCs w:val="20"/>
              </w:rPr>
              <w:t>/a</w:t>
            </w:r>
          </w:p>
        </w:tc>
      </w:tr>
      <w:tr w14:paraId="65F91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980" w:type="dxa"/>
            <w:vAlign w:val="top"/>
          </w:tcPr>
          <w:p w14:paraId="1F81E78F">
            <w:pPr>
              <w:pStyle w:val="6"/>
              <w:spacing w:before="98" w:line="228" w:lineRule="auto"/>
              <w:ind w:left="766"/>
              <w:rPr>
                <w:sz w:val="20"/>
                <w:szCs w:val="20"/>
              </w:rPr>
            </w:pPr>
            <w:r>
              <w:rPr>
                <w:spacing w:val="7"/>
                <w:sz w:val="20"/>
                <w:szCs w:val="20"/>
              </w:rPr>
              <w:t>常压全包容储罐</w:t>
            </w:r>
          </w:p>
        </w:tc>
        <w:tc>
          <w:tcPr>
            <w:tcW w:w="3014" w:type="dxa"/>
            <w:vAlign w:val="top"/>
          </w:tcPr>
          <w:p w14:paraId="5999C529">
            <w:pPr>
              <w:pStyle w:val="6"/>
              <w:spacing w:before="98" w:line="228" w:lineRule="auto"/>
              <w:ind w:left="986"/>
              <w:rPr>
                <w:sz w:val="20"/>
                <w:szCs w:val="20"/>
              </w:rPr>
            </w:pPr>
            <w:r>
              <w:rPr>
                <w:spacing w:val="8"/>
                <w:sz w:val="20"/>
                <w:szCs w:val="20"/>
              </w:rPr>
              <w:t>储罐全破裂</w:t>
            </w:r>
          </w:p>
        </w:tc>
        <w:tc>
          <w:tcPr>
            <w:tcW w:w="2943" w:type="dxa"/>
            <w:vAlign w:val="top"/>
          </w:tcPr>
          <w:p w14:paraId="3EA57A26">
            <w:pPr>
              <w:spacing w:before="114" w:line="216"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1.00×10</w:t>
            </w:r>
            <w:r>
              <w:rPr>
                <w:rFonts w:ascii="Times New Roman" w:hAnsi="Times New Roman" w:eastAsia="Times New Roman" w:cs="Times New Roman"/>
                <w:spacing w:val="1"/>
                <w:position w:val="6"/>
                <w:sz w:val="13"/>
                <w:szCs w:val="13"/>
              </w:rPr>
              <w:t>-8</w:t>
            </w:r>
            <w:r>
              <w:rPr>
                <w:rFonts w:ascii="Times New Roman" w:hAnsi="Times New Roman" w:eastAsia="Times New Roman" w:cs="Times New Roman"/>
                <w:spacing w:val="1"/>
                <w:sz w:val="20"/>
                <w:szCs w:val="20"/>
              </w:rPr>
              <w:t>/a</w:t>
            </w:r>
          </w:p>
        </w:tc>
      </w:tr>
      <w:tr w14:paraId="66A0C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937" w:type="dxa"/>
            <w:gridSpan w:val="3"/>
            <w:vAlign w:val="top"/>
          </w:tcPr>
          <w:p w14:paraId="096C7B64">
            <w:pPr>
              <w:pStyle w:val="6"/>
              <w:spacing w:before="35" w:line="221" w:lineRule="auto"/>
              <w:ind w:left="144"/>
              <w:rPr>
                <w:rFonts w:ascii="Times New Roman" w:hAnsi="Times New Roman" w:eastAsia="Times New Roman" w:cs="Times New Roman"/>
                <w:sz w:val="20"/>
                <w:szCs w:val="20"/>
              </w:rPr>
            </w:pPr>
            <w:r>
              <w:rPr>
                <w:spacing w:val="12"/>
                <w:sz w:val="20"/>
                <w:szCs w:val="20"/>
              </w:rPr>
              <w:t>注：</w:t>
            </w:r>
            <w:r>
              <w:rPr>
                <w:spacing w:val="-43"/>
                <w:sz w:val="20"/>
                <w:szCs w:val="20"/>
              </w:rPr>
              <w:t xml:space="preserve"> </w:t>
            </w:r>
            <w:r>
              <w:rPr>
                <w:spacing w:val="12"/>
                <w:sz w:val="20"/>
                <w:szCs w:val="20"/>
              </w:rPr>
              <w:t>以上数据来源于荷兰</w:t>
            </w:r>
            <w:r>
              <w:rPr>
                <w:spacing w:val="-41"/>
                <w:sz w:val="20"/>
                <w:szCs w:val="20"/>
              </w:rPr>
              <w:t xml:space="preserve"> </w:t>
            </w:r>
            <w:r>
              <w:rPr>
                <w:rFonts w:ascii="Times New Roman" w:hAnsi="Times New Roman" w:eastAsia="Times New Roman" w:cs="Times New Roman"/>
                <w:sz w:val="20"/>
                <w:szCs w:val="20"/>
              </w:rPr>
              <w:t>TNO</w:t>
            </w:r>
            <w:r>
              <w:rPr>
                <w:rFonts w:ascii="Times New Roman" w:hAnsi="Times New Roman" w:eastAsia="Times New Roman" w:cs="Times New Roman"/>
                <w:spacing w:val="19"/>
                <w:sz w:val="20"/>
                <w:szCs w:val="20"/>
              </w:rPr>
              <w:t xml:space="preserve"> </w:t>
            </w:r>
            <w:r>
              <w:rPr>
                <w:spacing w:val="12"/>
                <w:sz w:val="20"/>
                <w:szCs w:val="20"/>
              </w:rPr>
              <w:t>紫皮书（</w:t>
            </w:r>
            <w:r>
              <w:rPr>
                <w:rFonts w:ascii="Times New Roman" w:hAnsi="Times New Roman" w:eastAsia="Times New Roman" w:cs="Times New Roman"/>
                <w:sz w:val="20"/>
                <w:szCs w:val="20"/>
              </w:rPr>
              <w:t>Guidelines</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Quantitative</w:t>
            </w:r>
            <w:r>
              <w:rPr>
                <w:spacing w:val="12"/>
                <w:sz w:val="20"/>
                <w:szCs w:val="20"/>
              </w:rPr>
              <w:t>）</w:t>
            </w:r>
            <w:r>
              <w:rPr>
                <w:spacing w:val="-56"/>
                <w:sz w:val="20"/>
                <w:szCs w:val="20"/>
              </w:rPr>
              <w:t xml:space="preserve"> </w:t>
            </w:r>
            <w:r>
              <w:rPr>
                <w:spacing w:val="12"/>
                <w:sz w:val="20"/>
                <w:szCs w:val="20"/>
              </w:rPr>
              <w:t>以及</w:t>
            </w:r>
            <w:r>
              <w:rPr>
                <w:spacing w:val="-44"/>
                <w:sz w:val="20"/>
                <w:szCs w:val="20"/>
              </w:rPr>
              <w:t xml:space="preserve"> </w:t>
            </w:r>
            <w:r>
              <w:rPr>
                <w:rFonts w:ascii="Times New Roman" w:hAnsi="Times New Roman" w:eastAsia="Times New Roman" w:cs="Times New Roman"/>
                <w:sz w:val="20"/>
                <w:szCs w:val="20"/>
              </w:rPr>
              <w:t>Reference</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Manual</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Bevi</w:t>
            </w:r>
          </w:p>
          <w:p w14:paraId="558AE9FA">
            <w:pPr>
              <w:pStyle w:val="6"/>
              <w:spacing w:before="34" w:line="217" w:lineRule="auto"/>
              <w:ind w:left="3634"/>
              <w:rPr>
                <w:sz w:val="20"/>
                <w:szCs w:val="20"/>
              </w:rPr>
            </w:pPr>
            <w:r>
              <w:rPr>
                <w:rFonts w:ascii="Times New Roman" w:hAnsi="Times New Roman" w:eastAsia="Times New Roman" w:cs="Times New Roman"/>
                <w:spacing w:val="3"/>
                <w:sz w:val="20"/>
                <w:szCs w:val="20"/>
              </w:rPr>
              <w:t>RiskAssessments</w:t>
            </w:r>
            <w:r>
              <w:rPr>
                <w:spacing w:val="3"/>
                <w:sz w:val="20"/>
                <w:szCs w:val="20"/>
              </w:rPr>
              <w:t>；</w:t>
            </w:r>
          </w:p>
        </w:tc>
      </w:tr>
    </w:tbl>
    <w:p w14:paraId="7CDE8AA2">
      <w:pPr>
        <w:spacing w:before="156" w:line="362" w:lineRule="auto"/>
        <w:ind w:left="65" w:right="61" w:firstLine="474"/>
        <w:rPr>
          <w:rFonts w:ascii="宋体" w:hAnsi="宋体" w:eastAsia="宋体" w:cs="宋体"/>
          <w:sz w:val="24"/>
          <w:szCs w:val="24"/>
        </w:rPr>
      </w:pPr>
      <w:r>
        <w:rPr>
          <w:rFonts w:ascii="宋体" w:hAnsi="宋体" w:eastAsia="宋体" w:cs="宋体"/>
          <w:spacing w:val="-4"/>
          <w:sz w:val="24"/>
          <w:szCs w:val="24"/>
        </w:rPr>
        <w:t>根据上表，本评价泄漏模式取泄漏频率最高的</w:t>
      </w:r>
      <w:r>
        <w:rPr>
          <w:rFonts w:ascii="宋体" w:hAnsi="宋体" w:eastAsia="宋体" w:cs="宋体"/>
          <w:spacing w:val="-16"/>
          <w:sz w:val="24"/>
          <w:szCs w:val="24"/>
        </w:rPr>
        <w:t xml:space="preserve"> </w:t>
      </w:r>
      <w:r>
        <w:rPr>
          <w:rFonts w:ascii="Times New Roman" w:hAnsi="Times New Roman" w:eastAsia="Times New Roman" w:cs="Times New Roman"/>
          <w:spacing w:val="-4"/>
          <w:sz w:val="24"/>
          <w:szCs w:val="24"/>
        </w:rPr>
        <w:t>1.0×10</w:t>
      </w:r>
      <w:r>
        <w:rPr>
          <w:rFonts w:ascii="Times New Roman" w:hAnsi="Times New Roman" w:eastAsia="Times New Roman" w:cs="Times New Roman"/>
          <w:spacing w:val="-4"/>
          <w:position w:val="7"/>
          <w:sz w:val="15"/>
          <w:szCs w:val="15"/>
        </w:rPr>
        <w:t>-4</w:t>
      </w:r>
      <w:r>
        <w:rPr>
          <w:rFonts w:ascii="Times New Roman" w:hAnsi="Times New Roman" w:eastAsia="Times New Roman" w:cs="Times New Roman"/>
          <w:spacing w:val="-4"/>
          <w:sz w:val="24"/>
          <w:szCs w:val="24"/>
        </w:rPr>
        <w:t>/a</w:t>
      </w:r>
      <w:r>
        <w:rPr>
          <w:rFonts w:ascii="宋体" w:hAnsi="宋体" w:eastAsia="宋体" w:cs="宋体"/>
          <w:spacing w:val="-4"/>
          <w:sz w:val="24"/>
          <w:szCs w:val="24"/>
        </w:rPr>
        <w:t>，泄漏模式为：包装桶泄</w:t>
      </w:r>
      <w:r>
        <w:rPr>
          <w:rFonts w:ascii="宋体" w:hAnsi="宋体" w:eastAsia="宋体" w:cs="宋体"/>
          <w:sz w:val="24"/>
          <w:szCs w:val="24"/>
        </w:rPr>
        <w:t xml:space="preserve"> </w:t>
      </w:r>
      <w:r>
        <w:rPr>
          <w:rFonts w:ascii="宋体" w:hAnsi="宋体" w:eastAsia="宋体" w:cs="宋体"/>
          <w:spacing w:val="-2"/>
          <w:sz w:val="24"/>
          <w:szCs w:val="24"/>
        </w:rPr>
        <w:t>露，泄漏孔径为</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 xml:space="preserve">10mm </w:t>
      </w:r>
      <w:r>
        <w:rPr>
          <w:rFonts w:ascii="宋体" w:hAnsi="宋体" w:eastAsia="宋体" w:cs="宋体"/>
          <w:spacing w:val="-2"/>
          <w:sz w:val="24"/>
          <w:szCs w:val="24"/>
        </w:rPr>
        <w:t>孔径，裂口面积为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0.785cm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14:paraId="643F0FE6">
      <w:pPr>
        <w:spacing w:line="362" w:lineRule="auto"/>
        <w:rPr>
          <w:rFonts w:ascii="宋体" w:hAnsi="宋体" w:eastAsia="宋体" w:cs="宋体"/>
          <w:sz w:val="24"/>
          <w:szCs w:val="24"/>
        </w:rPr>
        <w:sectPr>
          <w:footerReference r:id="rId135" w:type="default"/>
          <w:pgSz w:w="11906" w:h="16839"/>
          <w:pgMar w:top="400" w:right="1469" w:bottom="1127" w:left="1481" w:header="0" w:footer="965" w:gutter="0"/>
          <w:cols w:space="720" w:num="1"/>
        </w:sectPr>
      </w:pPr>
    </w:p>
    <w:p w14:paraId="6AC74BF7">
      <w:pPr>
        <w:spacing w:line="250" w:lineRule="auto"/>
        <w:rPr>
          <w:rFonts w:ascii="Arial"/>
          <w:sz w:val="21"/>
        </w:rPr>
      </w:pPr>
    </w:p>
    <w:p w14:paraId="61912A47">
      <w:pPr>
        <w:spacing w:line="250" w:lineRule="auto"/>
        <w:rPr>
          <w:rFonts w:ascii="Arial"/>
          <w:sz w:val="21"/>
        </w:rPr>
      </w:pPr>
    </w:p>
    <w:p w14:paraId="788197BA">
      <w:pPr>
        <w:spacing w:line="250" w:lineRule="auto"/>
        <w:rPr>
          <w:rFonts w:ascii="Arial"/>
          <w:sz w:val="21"/>
        </w:rPr>
      </w:pPr>
    </w:p>
    <w:p w14:paraId="0F2A1AB4">
      <w:pPr>
        <w:spacing w:line="250" w:lineRule="auto"/>
        <w:rPr>
          <w:rFonts w:ascii="Arial"/>
          <w:sz w:val="21"/>
        </w:rPr>
      </w:pPr>
    </w:p>
    <w:p w14:paraId="102924C3">
      <w:pPr>
        <w:spacing w:line="251" w:lineRule="auto"/>
        <w:rPr>
          <w:rFonts w:ascii="Arial"/>
          <w:sz w:val="21"/>
        </w:rPr>
      </w:pPr>
    </w:p>
    <w:p w14:paraId="35D4459E">
      <w:pPr>
        <w:spacing w:before="78" w:line="219" w:lineRule="auto"/>
        <w:outlineLvl w:val="3"/>
        <w:rPr>
          <w:rFonts w:ascii="宋体" w:hAnsi="宋体" w:eastAsia="宋体" w:cs="宋体"/>
          <w:sz w:val="24"/>
          <w:szCs w:val="24"/>
        </w:rPr>
      </w:pPr>
      <w:r>
        <w:rPr>
          <w:rFonts w:ascii="Times New Roman" w:hAnsi="Times New Roman" w:eastAsia="Times New Roman" w:cs="Times New Roman"/>
          <w:b/>
          <w:bCs/>
          <w:spacing w:val="-4"/>
          <w:sz w:val="24"/>
          <w:szCs w:val="24"/>
        </w:rPr>
        <w:t>5.2</w:t>
      </w:r>
      <w:r>
        <w:rPr>
          <w:rFonts w:ascii="Times New Roman" w:hAnsi="Times New Roman" w:eastAsia="Times New Roman" w:cs="Times New Roman"/>
          <w:b/>
          <w:bCs/>
          <w:spacing w:val="17"/>
          <w:w w:val="101"/>
          <w:sz w:val="24"/>
          <w:szCs w:val="24"/>
        </w:rPr>
        <w:t xml:space="preserve"> </w:t>
      </w:r>
      <w:r>
        <w:rPr>
          <w:rFonts w:ascii="宋体" w:hAnsi="宋体" w:eastAsia="宋体" w:cs="宋体"/>
          <w:b/>
          <w:bCs/>
          <w:spacing w:val="-4"/>
          <w:sz w:val="24"/>
          <w:szCs w:val="24"/>
        </w:rPr>
        <w:t>原辅料储罐泄漏</w:t>
      </w:r>
    </w:p>
    <w:p w14:paraId="4F25BB93">
      <w:pPr>
        <w:spacing w:before="180"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）液体泄漏量计算</w:t>
      </w:r>
    </w:p>
    <w:p w14:paraId="3D57106C">
      <w:pPr>
        <w:spacing w:before="184" w:line="359" w:lineRule="auto"/>
        <w:ind w:right="99" w:firstLine="484"/>
        <w:rPr>
          <w:rFonts w:ascii="宋体" w:hAnsi="宋体" w:eastAsia="宋体" w:cs="宋体"/>
          <w:sz w:val="24"/>
          <w:szCs w:val="24"/>
        </w:rPr>
      </w:pPr>
      <w:r>
        <w:rPr>
          <w:rFonts w:ascii="宋体" w:hAnsi="宋体" w:eastAsia="宋体" w:cs="宋体"/>
          <w:spacing w:val="-1"/>
          <w:sz w:val="24"/>
          <w:szCs w:val="24"/>
        </w:rPr>
        <w:t>项目营运期间，项目车间暂存物料全部包装</w:t>
      </w:r>
      <w:r>
        <w:rPr>
          <w:rFonts w:ascii="宋体" w:hAnsi="宋体" w:eastAsia="宋体" w:cs="宋体"/>
          <w:spacing w:val="-2"/>
          <w:sz w:val="24"/>
          <w:szCs w:val="24"/>
        </w:rPr>
        <w:t>桶全部泄漏的情况几乎为零，评价仅</w:t>
      </w:r>
      <w:r>
        <w:rPr>
          <w:rFonts w:ascii="宋体" w:hAnsi="宋体" w:eastAsia="宋体" w:cs="宋体"/>
          <w:sz w:val="24"/>
          <w:szCs w:val="24"/>
        </w:rPr>
        <w:t xml:space="preserve"> </w:t>
      </w:r>
      <w:r>
        <w:rPr>
          <w:rFonts w:ascii="宋体" w:hAnsi="宋体" w:eastAsia="宋体" w:cs="宋体"/>
          <w:spacing w:val="-1"/>
          <w:sz w:val="24"/>
          <w:szCs w:val="24"/>
        </w:rPr>
        <w:t>考虑单个包装桶时最大的泄漏量，各个危险化学品包装桶最大容</w:t>
      </w:r>
      <w:r>
        <w:rPr>
          <w:rFonts w:ascii="宋体" w:hAnsi="宋体" w:eastAsia="宋体" w:cs="宋体"/>
          <w:spacing w:val="-2"/>
          <w:sz w:val="24"/>
          <w:szCs w:val="24"/>
        </w:rPr>
        <w:t>积及最大泄漏量如下</w:t>
      </w:r>
      <w:r>
        <w:rPr>
          <w:rFonts w:ascii="宋体" w:hAnsi="宋体" w:eastAsia="宋体" w:cs="宋体"/>
          <w:sz w:val="24"/>
          <w:szCs w:val="24"/>
        </w:rPr>
        <w:t xml:space="preserve"> </w:t>
      </w:r>
      <w:r>
        <w:rPr>
          <w:rFonts w:ascii="宋体" w:hAnsi="宋体" w:eastAsia="宋体" w:cs="宋体"/>
          <w:spacing w:val="-5"/>
          <w:sz w:val="24"/>
          <w:szCs w:val="24"/>
        </w:rPr>
        <w:t>表。</w:t>
      </w:r>
    </w:p>
    <w:p w14:paraId="60B4E831">
      <w:pPr>
        <w:spacing w:line="359" w:lineRule="auto"/>
        <w:ind w:left="19" w:firstLine="465"/>
        <w:rPr>
          <w:rFonts w:ascii="宋体" w:hAnsi="宋体" w:eastAsia="宋体" w:cs="宋体"/>
          <w:sz w:val="24"/>
          <w:szCs w:val="24"/>
        </w:rPr>
      </w:pPr>
      <w:r>
        <w:rPr>
          <w:rFonts w:ascii="宋体" w:hAnsi="宋体" w:eastAsia="宋体" w:cs="宋体"/>
          <w:spacing w:val="-9"/>
          <w:sz w:val="24"/>
          <w:szCs w:val="24"/>
        </w:rPr>
        <w:t>发生泄漏事故时，泄漏量采用《建设项目环境风险评价技术导则》（</w:t>
      </w:r>
      <w:r>
        <w:rPr>
          <w:rFonts w:ascii="Times New Roman" w:hAnsi="Times New Roman" w:eastAsia="Times New Roman" w:cs="Times New Roman"/>
          <w:spacing w:val="-9"/>
          <w:sz w:val="24"/>
          <w:szCs w:val="24"/>
        </w:rPr>
        <w:t>HJ/T169-2</w:t>
      </w:r>
      <w:r>
        <w:rPr>
          <w:rFonts w:ascii="Times New Roman" w:hAnsi="Times New Roman" w:eastAsia="Times New Roman" w:cs="Times New Roman"/>
          <w:spacing w:val="-10"/>
          <w:sz w:val="24"/>
          <w:szCs w:val="24"/>
        </w:rPr>
        <w:t>018</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2"/>
          <w:sz w:val="24"/>
          <w:szCs w:val="24"/>
        </w:rPr>
        <w:t>附录</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F </w:t>
      </w:r>
      <w:r>
        <w:rPr>
          <w:rFonts w:ascii="宋体" w:hAnsi="宋体" w:eastAsia="宋体" w:cs="宋体"/>
          <w:spacing w:val="-2"/>
          <w:sz w:val="24"/>
          <w:szCs w:val="24"/>
        </w:rPr>
        <w:t>推荐的方法进行计算，具体如下。</w:t>
      </w:r>
    </w:p>
    <w:p w14:paraId="6DB825C3">
      <w:pPr>
        <w:spacing w:line="210" w:lineRule="auto"/>
        <w:jc w:val="right"/>
        <w:rPr>
          <w:rFonts w:ascii="宋体" w:hAnsi="宋体" w:eastAsia="宋体" w:cs="宋体"/>
          <w:sz w:val="24"/>
          <w:szCs w:val="24"/>
        </w:rPr>
      </w:pPr>
      <w:r>
        <w:rPr>
          <w:rFonts w:ascii="宋体" w:hAnsi="宋体" w:eastAsia="宋体" w:cs="宋体"/>
          <w:spacing w:val="-3"/>
          <w:sz w:val="24"/>
          <w:szCs w:val="24"/>
        </w:rPr>
        <w:t>液体泄漏速率</w:t>
      </w:r>
      <w:r>
        <w:rPr>
          <w:rFonts w:ascii="Times New Roman" w:hAnsi="Times New Roman" w:eastAsia="Times New Roman" w:cs="Times New Roman"/>
          <w:spacing w:val="-3"/>
          <w:sz w:val="24"/>
          <w:szCs w:val="24"/>
        </w:rPr>
        <w:t>Q</w:t>
      </w:r>
      <w:r>
        <w:rPr>
          <w:rFonts w:ascii="Times New Roman" w:hAnsi="Times New Roman" w:eastAsia="Times New Roman" w:cs="Times New Roman"/>
          <w:spacing w:val="-3"/>
          <w:position w:val="-1"/>
          <w:sz w:val="15"/>
          <w:szCs w:val="15"/>
        </w:rPr>
        <w:t xml:space="preserve">L </w:t>
      </w:r>
      <w:r>
        <w:rPr>
          <w:rFonts w:ascii="宋体" w:hAnsi="宋体" w:eastAsia="宋体" w:cs="宋体"/>
          <w:spacing w:val="-3"/>
          <w:sz w:val="24"/>
          <w:szCs w:val="24"/>
        </w:rPr>
        <w:t>用伯努利方程计算（限制条件为液体在喷口内不应有急</w:t>
      </w:r>
      <w:r>
        <w:rPr>
          <w:rFonts w:ascii="宋体" w:hAnsi="宋体" w:eastAsia="宋体" w:cs="宋体"/>
          <w:spacing w:val="-4"/>
          <w:sz w:val="24"/>
          <w:szCs w:val="24"/>
        </w:rPr>
        <w:t>骤蒸发</w:t>
      </w:r>
      <w:r>
        <w:rPr>
          <w:rFonts w:ascii="宋体" w:hAnsi="宋体" w:eastAsia="宋体" w:cs="宋体"/>
          <w:spacing w:val="-54"/>
          <w:w w:val="85"/>
          <w:sz w:val="24"/>
          <w:szCs w:val="24"/>
        </w:rPr>
        <w:t>）：</w:t>
      </w:r>
    </w:p>
    <w:p w14:paraId="27B40843">
      <w:pPr>
        <w:spacing w:before="157" w:line="965" w:lineRule="exact"/>
        <w:ind w:firstLine="2607"/>
      </w:pPr>
      <w:r>
        <w:rPr>
          <w:position w:val="-19"/>
        </w:rPr>
        <w:drawing>
          <wp:inline distT="0" distB="0" distL="0" distR="0">
            <wp:extent cx="2291715" cy="6121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10"/>
                    <a:stretch>
                      <a:fillRect/>
                    </a:stretch>
                  </pic:blipFill>
                  <pic:spPr>
                    <a:xfrm>
                      <a:off x="0" y="0"/>
                      <a:ext cx="2292095" cy="612647"/>
                    </a:xfrm>
                    <a:prstGeom prst="rect">
                      <a:avLst/>
                    </a:prstGeom>
                  </pic:spPr>
                </pic:pic>
              </a:graphicData>
            </a:graphic>
          </wp:inline>
        </w:drawing>
      </w:r>
    </w:p>
    <w:p w14:paraId="3C568263">
      <w:pPr>
        <w:spacing w:before="157" w:line="210" w:lineRule="auto"/>
        <w:ind w:left="486"/>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1"/>
          <w:sz w:val="15"/>
          <w:szCs w:val="15"/>
        </w:rPr>
        <w:t>L</w:t>
      </w:r>
      <w:r>
        <w:rPr>
          <w:rFonts w:ascii="Times New Roman" w:hAnsi="Times New Roman" w:eastAsia="Times New Roman" w:cs="Times New Roman"/>
          <w:spacing w:val="-1"/>
          <w:sz w:val="24"/>
          <w:szCs w:val="24"/>
        </w:rPr>
        <w:t>——</w:t>
      </w:r>
      <w:r>
        <w:rPr>
          <w:rFonts w:ascii="宋体" w:hAnsi="宋体" w:eastAsia="宋体" w:cs="宋体"/>
          <w:spacing w:val="-1"/>
          <w:sz w:val="24"/>
          <w:szCs w:val="24"/>
        </w:rPr>
        <w:t>液体泄漏速率，</w:t>
      </w:r>
      <w:r>
        <w:rPr>
          <w:rFonts w:ascii="Times New Roman" w:hAnsi="Times New Roman" w:eastAsia="Times New Roman" w:cs="Times New Roman"/>
          <w:spacing w:val="-1"/>
          <w:sz w:val="24"/>
          <w:szCs w:val="24"/>
        </w:rPr>
        <w:t>kg/s</w:t>
      </w:r>
      <w:r>
        <w:rPr>
          <w:rFonts w:ascii="宋体" w:hAnsi="宋体" w:eastAsia="宋体" w:cs="宋体"/>
          <w:spacing w:val="-1"/>
          <w:sz w:val="24"/>
          <w:szCs w:val="24"/>
        </w:rPr>
        <w:t>；</w:t>
      </w:r>
    </w:p>
    <w:p w14:paraId="4DD137AB">
      <w:pPr>
        <w:spacing w:before="192" w:line="219" w:lineRule="auto"/>
        <w:ind w:left="1195"/>
        <w:rPr>
          <w:rFonts w:ascii="宋体" w:hAnsi="宋体" w:eastAsia="宋体" w:cs="宋体"/>
          <w:sz w:val="24"/>
          <w:szCs w:val="24"/>
        </w:rPr>
      </w:pPr>
      <w:r>
        <w:rPr>
          <w:rFonts w:ascii="Times New Roman" w:hAnsi="Times New Roman" w:eastAsia="Times New Roman" w:cs="Times New Roman"/>
          <w:spacing w:val="-1"/>
          <w:sz w:val="24"/>
          <w:szCs w:val="24"/>
        </w:rPr>
        <w:t>P——</w:t>
      </w:r>
      <w:r>
        <w:rPr>
          <w:rFonts w:ascii="宋体" w:hAnsi="宋体" w:eastAsia="宋体" w:cs="宋体"/>
          <w:spacing w:val="-1"/>
          <w:sz w:val="24"/>
          <w:szCs w:val="24"/>
        </w:rPr>
        <w:t>容器内介质压力，</w:t>
      </w:r>
      <w:r>
        <w:rPr>
          <w:rFonts w:ascii="Times New Roman" w:hAnsi="Times New Roman" w:eastAsia="Times New Roman" w:cs="Times New Roman"/>
          <w:spacing w:val="-1"/>
          <w:sz w:val="24"/>
          <w:szCs w:val="24"/>
        </w:rPr>
        <w:t>Pa</w:t>
      </w:r>
      <w:r>
        <w:rPr>
          <w:rFonts w:ascii="宋体" w:hAnsi="宋体" w:eastAsia="宋体" w:cs="宋体"/>
          <w:spacing w:val="-1"/>
          <w:sz w:val="24"/>
          <w:szCs w:val="24"/>
        </w:rPr>
        <w:t>；</w:t>
      </w:r>
    </w:p>
    <w:p w14:paraId="3239EEA6">
      <w:pPr>
        <w:spacing w:before="184" w:line="219" w:lineRule="auto"/>
        <w:ind w:left="1195"/>
        <w:rPr>
          <w:rFonts w:ascii="宋体" w:hAnsi="宋体" w:eastAsia="宋体" w:cs="宋体"/>
          <w:sz w:val="24"/>
          <w:szCs w:val="24"/>
        </w:rPr>
      </w:pPr>
      <w:r>
        <w:rPr>
          <w:rFonts w:ascii="Times New Roman" w:hAnsi="Times New Roman" w:eastAsia="Times New Roman" w:cs="Times New Roman"/>
          <w:spacing w:val="-1"/>
          <w:sz w:val="24"/>
          <w:szCs w:val="24"/>
        </w:rPr>
        <w:t>P0——</w:t>
      </w:r>
      <w:r>
        <w:rPr>
          <w:rFonts w:ascii="宋体" w:hAnsi="宋体" w:eastAsia="宋体" w:cs="宋体"/>
          <w:spacing w:val="-1"/>
          <w:sz w:val="24"/>
          <w:szCs w:val="24"/>
        </w:rPr>
        <w:t>环境压力，</w:t>
      </w:r>
      <w:r>
        <w:rPr>
          <w:rFonts w:ascii="Times New Roman" w:hAnsi="Times New Roman" w:eastAsia="Times New Roman" w:cs="Times New Roman"/>
          <w:spacing w:val="-1"/>
          <w:sz w:val="24"/>
          <w:szCs w:val="24"/>
        </w:rPr>
        <w:t>Pa</w:t>
      </w:r>
      <w:r>
        <w:rPr>
          <w:rFonts w:ascii="宋体" w:hAnsi="宋体" w:eastAsia="宋体" w:cs="宋体"/>
          <w:spacing w:val="-1"/>
          <w:sz w:val="24"/>
          <w:szCs w:val="24"/>
        </w:rPr>
        <w:t>；</w:t>
      </w:r>
    </w:p>
    <w:p w14:paraId="0827ADFD">
      <w:pPr>
        <w:spacing w:before="183" w:line="210" w:lineRule="auto"/>
        <w:ind w:left="1202"/>
        <w:rPr>
          <w:rFonts w:ascii="宋体" w:hAnsi="宋体" w:eastAsia="宋体" w:cs="宋体"/>
          <w:sz w:val="24"/>
          <w:szCs w:val="24"/>
        </w:rPr>
      </w:pPr>
      <w:r>
        <w:rPr>
          <w:rFonts w:ascii="Times New Roman" w:hAnsi="Times New Roman" w:eastAsia="Times New Roman" w:cs="Times New Roman"/>
          <w:spacing w:val="-1"/>
          <w:sz w:val="24"/>
          <w:szCs w:val="24"/>
        </w:rPr>
        <w:t>ρ——</w:t>
      </w:r>
      <w:r>
        <w:rPr>
          <w:rFonts w:ascii="宋体" w:hAnsi="宋体" w:eastAsia="宋体" w:cs="宋体"/>
          <w:spacing w:val="-1"/>
          <w:sz w:val="24"/>
          <w:szCs w:val="24"/>
        </w:rPr>
        <w:t>泄漏液体密度，</w:t>
      </w:r>
      <w:r>
        <w:rPr>
          <w:rFonts w:ascii="Times New Roman" w:hAnsi="Times New Roman" w:eastAsia="Times New Roman" w:cs="Times New Roman"/>
          <w:spacing w:val="-1"/>
          <w:sz w:val="24"/>
          <w:szCs w:val="24"/>
        </w:rPr>
        <w:t>kg/m</w:t>
      </w:r>
      <w:r>
        <w:rPr>
          <w:rFonts w:ascii="Times New Roman" w:hAnsi="Times New Roman" w:eastAsia="Times New Roman" w:cs="Times New Roman"/>
          <w:spacing w:val="-1"/>
          <w:position w:val="7"/>
          <w:sz w:val="15"/>
          <w:szCs w:val="15"/>
        </w:rPr>
        <w:t>3</w:t>
      </w:r>
      <w:r>
        <w:rPr>
          <w:rFonts w:ascii="宋体" w:hAnsi="宋体" w:eastAsia="宋体" w:cs="宋体"/>
          <w:spacing w:val="-1"/>
          <w:sz w:val="24"/>
          <w:szCs w:val="24"/>
        </w:rPr>
        <w:t>；</w:t>
      </w:r>
    </w:p>
    <w:p w14:paraId="336CF9D1">
      <w:pPr>
        <w:spacing w:before="193" w:line="212" w:lineRule="auto"/>
        <w:ind w:left="1199"/>
        <w:rPr>
          <w:rFonts w:ascii="宋体" w:hAnsi="宋体" w:eastAsia="宋体" w:cs="宋体"/>
          <w:sz w:val="24"/>
          <w:szCs w:val="24"/>
        </w:rPr>
      </w:pPr>
      <w:r>
        <w:rPr>
          <w:rFonts w:ascii="Times New Roman" w:hAnsi="Times New Roman" w:eastAsia="Times New Roman" w:cs="Times New Roman"/>
          <w:spacing w:val="-1"/>
          <w:sz w:val="24"/>
          <w:szCs w:val="24"/>
        </w:rPr>
        <w:t>g——</w:t>
      </w:r>
      <w:r>
        <w:rPr>
          <w:rFonts w:ascii="宋体" w:hAnsi="宋体" w:eastAsia="宋体" w:cs="宋体"/>
          <w:spacing w:val="-1"/>
          <w:sz w:val="24"/>
          <w:szCs w:val="24"/>
        </w:rPr>
        <w:t>重力加速度，</w:t>
      </w:r>
      <w:r>
        <w:rPr>
          <w:rFonts w:ascii="Times New Roman" w:hAnsi="Times New Roman" w:eastAsia="Times New Roman" w:cs="Times New Roman"/>
          <w:spacing w:val="-1"/>
          <w:sz w:val="24"/>
          <w:szCs w:val="24"/>
        </w:rPr>
        <w:t>9.81m/s</w:t>
      </w:r>
      <w:r>
        <w:rPr>
          <w:rFonts w:ascii="Times New Roman" w:hAnsi="Times New Roman" w:eastAsia="Times New Roman" w:cs="Times New Roman"/>
          <w:spacing w:val="-1"/>
          <w:position w:val="7"/>
          <w:sz w:val="15"/>
          <w:szCs w:val="15"/>
        </w:rPr>
        <w:t>2</w:t>
      </w:r>
      <w:r>
        <w:rPr>
          <w:rFonts w:ascii="宋体" w:hAnsi="宋体" w:eastAsia="宋体" w:cs="宋体"/>
          <w:spacing w:val="-1"/>
          <w:sz w:val="24"/>
          <w:szCs w:val="24"/>
        </w:rPr>
        <w:t>；</w:t>
      </w:r>
    </w:p>
    <w:p w14:paraId="146FC9D9">
      <w:pPr>
        <w:spacing w:before="193" w:line="219" w:lineRule="auto"/>
        <w:ind w:left="1193"/>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裂口之上液位高度，</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18447589">
      <w:pPr>
        <w:spacing w:before="181" w:line="362" w:lineRule="auto"/>
        <w:ind w:left="1193" w:right="1830" w:firstLine="6"/>
        <w:rPr>
          <w:rFonts w:ascii="宋体" w:hAnsi="宋体" w:eastAsia="宋体" w:cs="宋体"/>
          <w:sz w:val="24"/>
          <w:szCs w:val="24"/>
        </w:rPr>
      </w:pPr>
      <w:r>
        <w:rPr>
          <w:rFonts w:ascii="Times New Roman" w:hAnsi="Times New Roman" w:eastAsia="Times New Roman" w:cs="Times New Roman"/>
          <w:spacing w:val="-4"/>
          <w:sz w:val="24"/>
          <w:szCs w:val="24"/>
        </w:rPr>
        <w:t>Cd——</w:t>
      </w:r>
      <w:r>
        <w:rPr>
          <w:rFonts w:ascii="宋体" w:hAnsi="宋体" w:eastAsia="宋体" w:cs="宋体"/>
          <w:spacing w:val="-4"/>
          <w:sz w:val="24"/>
          <w:szCs w:val="24"/>
        </w:rPr>
        <w:t>液体泄漏系数，按表</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 xml:space="preserve">F.1 </w:t>
      </w:r>
      <w:r>
        <w:rPr>
          <w:rFonts w:ascii="宋体" w:hAnsi="宋体" w:eastAsia="宋体" w:cs="宋体"/>
          <w:spacing w:val="-4"/>
          <w:sz w:val="24"/>
          <w:szCs w:val="24"/>
        </w:rPr>
        <w:t>选取，本项目取值</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0.65</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A——</w:t>
      </w:r>
      <w:r>
        <w:rPr>
          <w:rFonts w:ascii="宋体" w:hAnsi="宋体" w:eastAsia="宋体" w:cs="宋体"/>
          <w:sz w:val="24"/>
          <w:szCs w:val="24"/>
        </w:rPr>
        <w:t>裂口面积，</w:t>
      </w:r>
      <w:r>
        <w:rPr>
          <w:rFonts w:ascii="Times New Roman" w:hAnsi="Times New Roman" w:eastAsia="Times New Roman" w:cs="Times New Roman"/>
          <w:sz w:val="24"/>
          <w:szCs w:val="24"/>
        </w:rPr>
        <w:t>m</w:t>
      </w:r>
      <w:r>
        <w:rPr>
          <w:rFonts w:ascii="Times New Roman" w:hAnsi="Times New Roman" w:eastAsia="Times New Roman" w:cs="Times New Roman"/>
          <w:position w:val="7"/>
          <w:sz w:val="15"/>
          <w:szCs w:val="15"/>
        </w:rPr>
        <w:t>2</w:t>
      </w:r>
      <w:r>
        <w:rPr>
          <w:rFonts w:ascii="宋体" w:hAnsi="宋体" w:eastAsia="宋体" w:cs="宋体"/>
          <w:sz w:val="24"/>
          <w:szCs w:val="24"/>
        </w:rPr>
        <w:t>。</w:t>
      </w:r>
    </w:p>
    <w:p w14:paraId="3958BEE2">
      <w:pPr>
        <w:spacing w:before="112" w:line="219" w:lineRule="auto"/>
        <w:ind w:left="2947"/>
        <w:outlineLvl w:val="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3"/>
          <w:sz w:val="24"/>
          <w:szCs w:val="24"/>
        </w:rPr>
        <w:t xml:space="preserve">24    </w:t>
      </w:r>
      <w:r>
        <w:rPr>
          <w:rFonts w:ascii="宋体" w:hAnsi="宋体" w:eastAsia="宋体" w:cs="宋体"/>
          <w:b/>
          <w:bCs/>
          <w:spacing w:val="-3"/>
          <w:sz w:val="24"/>
          <w:szCs w:val="24"/>
        </w:rPr>
        <w:t>液体泄漏量计算参数</w:t>
      </w:r>
    </w:p>
    <w:p w14:paraId="473CF98B">
      <w:pPr>
        <w:spacing w:line="147" w:lineRule="exact"/>
      </w:pPr>
    </w:p>
    <w:tbl>
      <w:tblPr>
        <w:tblStyle w:val="5"/>
        <w:tblW w:w="879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1832"/>
        <w:gridCol w:w="838"/>
        <w:gridCol w:w="1110"/>
        <w:gridCol w:w="1094"/>
        <w:gridCol w:w="1081"/>
        <w:gridCol w:w="1094"/>
        <w:gridCol w:w="1018"/>
      </w:tblGrid>
      <w:tr w14:paraId="24B26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31" w:type="dxa"/>
            <w:vAlign w:val="top"/>
          </w:tcPr>
          <w:p w14:paraId="23790B3A">
            <w:pPr>
              <w:pStyle w:val="6"/>
              <w:spacing w:before="111" w:line="228" w:lineRule="auto"/>
              <w:ind w:left="162"/>
              <w:rPr>
                <w:sz w:val="20"/>
                <w:szCs w:val="20"/>
              </w:rPr>
            </w:pPr>
            <w:r>
              <w:rPr>
                <w:b/>
                <w:bCs/>
                <w:spacing w:val="3"/>
                <w:sz w:val="20"/>
                <w:szCs w:val="20"/>
              </w:rPr>
              <w:t>符号</w:t>
            </w:r>
          </w:p>
        </w:tc>
        <w:tc>
          <w:tcPr>
            <w:tcW w:w="1832" w:type="dxa"/>
            <w:vAlign w:val="top"/>
          </w:tcPr>
          <w:p w14:paraId="7725D4FE">
            <w:pPr>
              <w:pStyle w:val="6"/>
              <w:spacing w:before="111" w:line="228" w:lineRule="auto"/>
              <w:ind w:left="708"/>
              <w:rPr>
                <w:sz w:val="20"/>
                <w:szCs w:val="20"/>
              </w:rPr>
            </w:pPr>
            <w:r>
              <w:rPr>
                <w:b/>
                <w:bCs/>
                <w:spacing w:val="3"/>
                <w:sz w:val="20"/>
                <w:szCs w:val="20"/>
              </w:rPr>
              <w:t>含义</w:t>
            </w:r>
          </w:p>
        </w:tc>
        <w:tc>
          <w:tcPr>
            <w:tcW w:w="838" w:type="dxa"/>
            <w:vAlign w:val="top"/>
          </w:tcPr>
          <w:p w14:paraId="52642EFA">
            <w:pPr>
              <w:pStyle w:val="6"/>
              <w:spacing w:before="112" w:line="228" w:lineRule="auto"/>
              <w:ind w:left="215"/>
              <w:rPr>
                <w:sz w:val="20"/>
                <w:szCs w:val="20"/>
              </w:rPr>
            </w:pPr>
            <w:r>
              <w:rPr>
                <w:b/>
                <w:bCs/>
                <w:spacing w:val="3"/>
                <w:sz w:val="20"/>
                <w:szCs w:val="20"/>
              </w:rPr>
              <w:t>单位</w:t>
            </w:r>
          </w:p>
        </w:tc>
        <w:tc>
          <w:tcPr>
            <w:tcW w:w="1110" w:type="dxa"/>
            <w:vAlign w:val="top"/>
          </w:tcPr>
          <w:p w14:paraId="1C8B357C">
            <w:pPr>
              <w:pStyle w:val="6"/>
              <w:spacing w:before="111" w:line="228" w:lineRule="auto"/>
              <w:ind w:left="246"/>
              <w:rPr>
                <w:sz w:val="20"/>
                <w:szCs w:val="20"/>
              </w:rPr>
            </w:pPr>
            <w:r>
              <w:rPr>
                <w:b/>
                <w:bCs/>
                <w:spacing w:val="5"/>
                <w:sz w:val="20"/>
                <w:szCs w:val="20"/>
              </w:rPr>
              <w:t>盐酸桶</w:t>
            </w:r>
          </w:p>
        </w:tc>
        <w:tc>
          <w:tcPr>
            <w:tcW w:w="1094" w:type="dxa"/>
            <w:vAlign w:val="top"/>
          </w:tcPr>
          <w:p w14:paraId="1AF30D6F">
            <w:pPr>
              <w:pStyle w:val="6"/>
              <w:spacing w:before="111" w:line="228" w:lineRule="auto"/>
              <w:ind w:left="132"/>
              <w:rPr>
                <w:sz w:val="20"/>
                <w:szCs w:val="20"/>
              </w:rPr>
            </w:pPr>
            <w:r>
              <w:rPr>
                <w:b/>
                <w:bCs/>
                <w:spacing w:val="6"/>
                <w:sz w:val="20"/>
                <w:szCs w:val="20"/>
              </w:rPr>
              <w:t>氢氟酸桶</w:t>
            </w:r>
          </w:p>
        </w:tc>
        <w:tc>
          <w:tcPr>
            <w:tcW w:w="1081" w:type="dxa"/>
            <w:vAlign w:val="top"/>
          </w:tcPr>
          <w:p w14:paraId="2300BE80">
            <w:pPr>
              <w:pStyle w:val="6"/>
              <w:spacing w:before="111" w:line="228" w:lineRule="auto"/>
              <w:ind w:left="230"/>
              <w:rPr>
                <w:sz w:val="20"/>
                <w:szCs w:val="20"/>
              </w:rPr>
            </w:pPr>
            <w:r>
              <w:rPr>
                <w:b/>
                <w:bCs/>
                <w:spacing w:val="5"/>
                <w:sz w:val="20"/>
                <w:szCs w:val="20"/>
              </w:rPr>
              <w:t>硫酸桶</w:t>
            </w:r>
          </w:p>
        </w:tc>
        <w:tc>
          <w:tcPr>
            <w:tcW w:w="1094" w:type="dxa"/>
            <w:vAlign w:val="top"/>
          </w:tcPr>
          <w:p w14:paraId="34DC4E73">
            <w:pPr>
              <w:pStyle w:val="6"/>
              <w:spacing w:before="111" w:line="228" w:lineRule="auto"/>
              <w:ind w:left="239"/>
              <w:rPr>
                <w:sz w:val="20"/>
                <w:szCs w:val="20"/>
              </w:rPr>
            </w:pPr>
            <w:r>
              <w:rPr>
                <w:b/>
                <w:bCs/>
                <w:spacing w:val="5"/>
                <w:sz w:val="20"/>
                <w:szCs w:val="20"/>
              </w:rPr>
              <w:t>硝酸桶</w:t>
            </w:r>
          </w:p>
        </w:tc>
        <w:tc>
          <w:tcPr>
            <w:tcW w:w="1018" w:type="dxa"/>
            <w:vAlign w:val="top"/>
          </w:tcPr>
          <w:p w14:paraId="14398EC4">
            <w:pPr>
              <w:pStyle w:val="6"/>
              <w:spacing w:before="111" w:line="228" w:lineRule="auto"/>
              <w:ind w:left="204"/>
              <w:rPr>
                <w:sz w:val="20"/>
                <w:szCs w:val="20"/>
              </w:rPr>
            </w:pPr>
            <w:r>
              <w:rPr>
                <w:spacing w:val="5"/>
                <w:sz w:val="20"/>
                <w:szCs w:val="20"/>
              </w:rPr>
              <w:t>丙酮桶</w:t>
            </w:r>
          </w:p>
        </w:tc>
      </w:tr>
      <w:tr w14:paraId="2641B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31" w:type="dxa"/>
            <w:vAlign w:val="top"/>
          </w:tcPr>
          <w:p w14:paraId="23D4067D">
            <w:pPr>
              <w:spacing w:before="139" w:line="199"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Cd</w:t>
            </w:r>
          </w:p>
        </w:tc>
        <w:tc>
          <w:tcPr>
            <w:tcW w:w="1832" w:type="dxa"/>
            <w:vAlign w:val="top"/>
          </w:tcPr>
          <w:p w14:paraId="247C57FA">
            <w:pPr>
              <w:pStyle w:val="6"/>
              <w:spacing w:before="107" w:line="228" w:lineRule="auto"/>
              <w:ind w:left="290"/>
              <w:rPr>
                <w:sz w:val="20"/>
                <w:szCs w:val="20"/>
              </w:rPr>
            </w:pPr>
            <w:r>
              <w:rPr>
                <w:spacing w:val="7"/>
                <w:sz w:val="20"/>
                <w:szCs w:val="20"/>
              </w:rPr>
              <w:t>液体泄漏系数</w:t>
            </w:r>
          </w:p>
        </w:tc>
        <w:tc>
          <w:tcPr>
            <w:tcW w:w="838" w:type="dxa"/>
            <w:vAlign w:val="top"/>
          </w:tcPr>
          <w:p w14:paraId="004D8491">
            <w:pPr>
              <w:spacing w:before="231" w:line="97"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10" w:type="dxa"/>
            <w:vAlign w:val="top"/>
          </w:tcPr>
          <w:p w14:paraId="7F886400">
            <w:pPr>
              <w:spacing w:before="143"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094" w:type="dxa"/>
            <w:vAlign w:val="top"/>
          </w:tcPr>
          <w:p w14:paraId="65DF60B9">
            <w:pPr>
              <w:spacing w:before="143"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081" w:type="dxa"/>
            <w:vAlign w:val="top"/>
          </w:tcPr>
          <w:p w14:paraId="6E3C6464">
            <w:pPr>
              <w:spacing w:before="14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094" w:type="dxa"/>
            <w:vAlign w:val="top"/>
          </w:tcPr>
          <w:p w14:paraId="422A9A9F">
            <w:pPr>
              <w:spacing w:before="143"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018" w:type="dxa"/>
            <w:vAlign w:val="top"/>
          </w:tcPr>
          <w:p w14:paraId="34E736A2">
            <w:pPr>
              <w:spacing w:before="143"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r>
      <w:tr w14:paraId="41D14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31" w:type="dxa"/>
            <w:vAlign w:val="top"/>
          </w:tcPr>
          <w:p w14:paraId="319BE5CA">
            <w:pPr>
              <w:spacing w:before="143"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c>
          <w:tcPr>
            <w:tcW w:w="1832" w:type="dxa"/>
            <w:vAlign w:val="top"/>
          </w:tcPr>
          <w:p w14:paraId="0A2FFA6D">
            <w:pPr>
              <w:pStyle w:val="6"/>
              <w:spacing w:before="107" w:line="228" w:lineRule="auto"/>
              <w:ind w:left="500"/>
              <w:rPr>
                <w:sz w:val="20"/>
                <w:szCs w:val="20"/>
              </w:rPr>
            </w:pPr>
            <w:r>
              <w:rPr>
                <w:spacing w:val="7"/>
                <w:sz w:val="20"/>
                <w:szCs w:val="20"/>
              </w:rPr>
              <w:t>裂口面积</w:t>
            </w:r>
          </w:p>
        </w:tc>
        <w:tc>
          <w:tcPr>
            <w:tcW w:w="838" w:type="dxa"/>
            <w:vAlign w:val="top"/>
          </w:tcPr>
          <w:p w14:paraId="3E851ED7">
            <w:pPr>
              <w:spacing w:before="122" w:line="216" w:lineRule="auto"/>
              <w:ind w:left="30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110" w:type="dxa"/>
            <w:vAlign w:val="top"/>
          </w:tcPr>
          <w:p w14:paraId="69F0505A">
            <w:pPr>
              <w:spacing w:before="142"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7.85E-05</w:t>
            </w:r>
          </w:p>
        </w:tc>
        <w:tc>
          <w:tcPr>
            <w:tcW w:w="1094" w:type="dxa"/>
            <w:vAlign w:val="top"/>
          </w:tcPr>
          <w:p w14:paraId="295967F3">
            <w:pPr>
              <w:spacing w:before="14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7.85E-05</w:t>
            </w:r>
          </w:p>
        </w:tc>
        <w:tc>
          <w:tcPr>
            <w:tcW w:w="1081" w:type="dxa"/>
            <w:vAlign w:val="top"/>
          </w:tcPr>
          <w:p w14:paraId="51F71294">
            <w:pPr>
              <w:spacing w:before="142"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7.85E-05</w:t>
            </w:r>
          </w:p>
        </w:tc>
        <w:tc>
          <w:tcPr>
            <w:tcW w:w="1094" w:type="dxa"/>
            <w:vAlign w:val="top"/>
          </w:tcPr>
          <w:p w14:paraId="494A17C7">
            <w:pPr>
              <w:spacing w:before="14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7.85E-05</w:t>
            </w:r>
          </w:p>
        </w:tc>
        <w:tc>
          <w:tcPr>
            <w:tcW w:w="1018" w:type="dxa"/>
            <w:vAlign w:val="top"/>
          </w:tcPr>
          <w:p w14:paraId="6BD0C2EE">
            <w:pPr>
              <w:spacing w:before="14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7.85E-05</w:t>
            </w:r>
          </w:p>
        </w:tc>
      </w:tr>
      <w:tr w14:paraId="186F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31" w:type="dxa"/>
            <w:vAlign w:val="top"/>
          </w:tcPr>
          <w:p w14:paraId="1745B2BF">
            <w:pPr>
              <w:spacing w:before="189" w:line="143" w:lineRule="exact"/>
              <w:ind w:left="31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ρ</w:t>
            </w:r>
          </w:p>
        </w:tc>
        <w:tc>
          <w:tcPr>
            <w:tcW w:w="1832" w:type="dxa"/>
            <w:vAlign w:val="top"/>
          </w:tcPr>
          <w:p w14:paraId="2164CB44">
            <w:pPr>
              <w:pStyle w:val="6"/>
              <w:spacing w:before="107" w:line="228" w:lineRule="auto"/>
              <w:ind w:left="292"/>
              <w:rPr>
                <w:sz w:val="20"/>
                <w:szCs w:val="20"/>
              </w:rPr>
            </w:pPr>
            <w:r>
              <w:rPr>
                <w:spacing w:val="7"/>
                <w:sz w:val="20"/>
                <w:szCs w:val="20"/>
              </w:rPr>
              <w:t>泄漏液体密度</w:t>
            </w:r>
          </w:p>
        </w:tc>
        <w:tc>
          <w:tcPr>
            <w:tcW w:w="838" w:type="dxa"/>
            <w:vAlign w:val="top"/>
          </w:tcPr>
          <w:p w14:paraId="0240C4CF">
            <w:pPr>
              <w:spacing w:before="126" w:line="215" w:lineRule="auto"/>
              <w:ind w:left="166"/>
              <w:rPr>
                <w:rFonts w:ascii="Times New Roman" w:hAnsi="Times New Roman" w:eastAsia="Times New Roman" w:cs="Times New Roman"/>
                <w:sz w:val="13"/>
                <w:szCs w:val="13"/>
              </w:rPr>
            </w:pP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5"/>
                <w:sz w:val="13"/>
                <w:szCs w:val="13"/>
              </w:rPr>
              <w:t>3</w:t>
            </w:r>
          </w:p>
        </w:tc>
        <w:tc>
          <w:tcPr>
            <w:tcW w:w="1110" w:type="dxa"/>
            <w:vAlign w:val="top"/>
          </w:tcPr>
          <w:p w14:paraId="37832482">
            <w:pPr>
              <w:spacing w:before="14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1190</w:t>
            </w:r>
          </w:p>
        </w:tc>
        <w:tc>
          <w:tcPr>
            <w:tcW w:w="1094" w:type="dxa"/>
            <w:vAlign w:val="top"/>
          </w:tcPr>
          <w:p w14:paraId="5EDED176">
            <w:pPr>
              <w:spacing w:before="143"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1260</w:t>
            </w:r>
          </w:p>
        </w:tc>
        <w:tc>
          <w:tcPr>
            <w:tcW w:w="1081" w:type="dxa"/>
            <w:vAlign w:val="top"/>
          </w:tcPr>
          <w:p w14:paraId="4EC7AA8A">
            <w:pPr>
              <w:spacing w:before="14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1830</w:t>
            </w:r>
          </w:p>
        </w:tc>
        <w:tc>
          <w:tcPr>
            <w:tcW w:w="1094" w:type="dxa"/>
            <w:vAlign w:val="top"/>
          </w:tcPr>
          <w:p w14:paraId="1802B6E8">
            <w:pPr>
              <w:spacing w:before="143"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1410</w:t>
            </w:r>
          </w:p>
        </w:tc>
        <w:tc>
          <w:tcPr>
            <w:tcW w:w="1018" w:type="dxa"/>
            <w:vAlign w:val="top"/>
          </w:tcPr>
          <w:p w14:paraId="26ECAC4C">
            <w:pPr>
              <w:spacing w:before="143"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789.9</w:t>
            </w:r>
          </w:p>
        </w:tc>
      </w:tr>
      <w:tr w14:paraId="671C2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31" w:type="dxa"/>
            <w:vAlign w:val="top"/>
          </w:tcPr>
          <w:p w14:paraId="07B5CEB6">
            <w:pPr>
              <w:spacing w:before="148" w:line="192"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P</w:t>
            </w:r>
          </w:p>
        </w:tc>
        <w:tc>
          <w:tcPr>
            <w:tcW w:w="1832" w:type="dxa"/>
            <w:vAlign w:val="top"/>
          </w:tcPr>
          <w:p w14:paraId="03EB0AB4">
            <w:pPr>
              <w:pStyle w:val="6"/>
              <w:spacing w:before="109" w:line="227" w:lineRule="auto"/>
              <w:ind w:left="188"/>
              <w:rPr>
                <w:sz w:val="20"/>
                <w:szCs w:val="20"/>
              </w:rPr>
            </w:pPr>
            <w:r>
              <w:rPr>
                <w:spacing w:val="8"/>
                <w:sz w:val="20"/>
                <w:szCs w:val="20"/>
              </w:rPr>
              <w:t>容器内介质压力</w:t>
            </w:r>
          </w:p>
        </w:tc>
        <w:tc>
          <w:tcPr>
            <w:tcW w:w="838" w:type="dxa"/>
            <w:vAlign w:val="top"/>
          </w:tcPr>
          <w:p w14:paraId="000332F6">
            <w:pPr>
              <w:spacing w:before="141" w:line="199"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kPa</w:t>
            </w:r>
          </w:p>
        </w:tc>
        <w:tc>
          <w:tcPr>
            <w:tcW w:w="1110" w:type="dxa"/>
            <w:vAlign w:val="top"/>
          </w:tcPr>
          <w:p w14:paraId="6A2398B1">
            <w:pPr>
              <w:spacing w:before="145"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94" w:type="dxa"/>
            <w:vAlign w:val="top"/>
          </w:tcPr>
          <w:p w14:paraId="7A57D6FC">
            <w:pPr>
              <w:spacing w:before="145"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81" w:type="dxa"/>
            <w:vAlign w:val="top"/>
          </w:tcPr>
          <w:p w14:paraId="2276FC19">
            <w:pPr>
              <w:spacing w:before="14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94" w:type="dxa"/>
            <w:vAlign w:val="top"/>
          </w:tcPr>
          <w:p w14:paraId="1803C38F">
            <w:pPr>
              <w:spacing w:before="145"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18" w:type="dxa"/>
            <w:vAlign w:val="top"/>
          </w:tcPr>
          <w:p w14:paraId="2000263A">
            <w:pPr>
              <w:spacing w:before="145"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r>
      <w:tr w14:paraId="6E9A5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31" w:type="dxa"/>
            <w:vAlign w:val="top"/>
          </w:tcPr>
          <w:p w14:paraId="2A7B5D2E">
            <w:pPr>
              <w:spacing w:before="145"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P0</w:t>
            </w:r>
          </w:p>
        </w:tc>
        <w:tc>
          <w:tcPr>
            <w:tcW w:w="1832" w:type="dxa"/>
            <w:vAlign w:val="top"/>
          </w:tcPr>
          <w:p w14:paraId="60ECD344">
            <w:pPr>
              <w:pStyle w:val="6"/>
              <w:spacing w:before="109" w:line="228" w:lineRule="auto"/>
              <w:ind w:left="500"/>
              <w:rPr>
                <w:sz w:val="20"/>
                <w:szCs w:val="20"/>
              </w:rPr>
            </w:pPr>
            <w:r>
              <w:rPr>
                <w:spacing w:val="7"/>
                <w:sz w:val="20"/>
                <w:szCs w:val="20"/>
              </w:rPr>
              <w:t>环境压力</w:t>
            </w:r>
          </w:p>
        </w:tc>
        <w:tc>
          <w:tcPr>
            <w:tcW w:w="838" w:type="dxa"/>
            <w:vAlign w:val="top"/>
          </w:tcPr>
          <w:p w14:paraId="7083F0E4">
            <w:pPr>
              <w:spacing w:before="141" w:line="199"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kPa</w:t>
            </w:r>
          </w:p>
        </w:tc>
        <w:tc>
          <w:tcPr>
            <w:tcW w:w="1110" w:type="dxa"/>
            <w:vAlign w:val="top"/>
          </w:tcPr>
          <w:p w14:paraId="3ACE0197">
            <w:pPr>
              <w:spacing w:before="145"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94" w:type="dxa"/>
            <w:vAlign w:val="top"/>
          </w:tcPr>
          <w:p w14:paraId="0A65E016">
            <w:pPr>
              <w:spacing w:before="145"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81" w:type="dxa"/>
            <w:vAlign w:val="top"/>
          </w:tcPr>
          <w:p w14:paraId="4ABBD888">
            <w:pPr>
              <w:spacing w:before="14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94" w:type="dxa"/>
            <w:vAlign w:val="top"/>
          </w:tcPr>
          <w:p w14:paraId="0FA9815A">
            <w:pPr>
              <w:spacing w:before="145"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c>
          <w:tcPr>
            <w:tcW w:w="1018" w:type="dxa"/>
            <w:vAlign w:val="top"/>
          </w:tcPr>
          <w:p w14:paraId="62C83D02">
            <w:pPr>
              <w:spacing w:before="145"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101.325</w:t>
            </w:r>
          </w:p>
        </w:tc>
      </w:tr>
      <w:tr w14:paraId="3930C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31" w:type="dxa"/>
            <w:vAlign w:val="top"/>
          </w:tcPr>
          <w:p w14:paraId="4F40EC1A">
            <w:pPr>
              <w:spacing w:before="190" w:line="143" w:lineRule="exact"/>
              <w:ind w:left="3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w:t>
            </w:r>
          </w:p>
        </w:tc>
        <w:tc>
          <w:tcPr>
            <w:tcW w:w="1832" w:type="dxa"/>
            <w:vAlign w:val="top"/>
          </w:tcPr>
          <w:p w14:paraId="4976A626">
            <w:pPr>
              <w:pStyle w:val="6"/>
              <w:spacing w:before="108" w:line="228" w:lineRule="auto"/>
              <w:ind w:left="395"/>
              <w:rPr>
                <w:sz w:val="20"/>
                <w:szCs w:val="20"/>
              </w:rPr>
            </w:pPr>
            <w:r>
              <w:rPr>
                <w:spacing w:val="7"/>
                <w:sz w:val="20"/>
                <w:szCs w:val="20"/>
              </w:rPr>
              <w:t>重力加速度</w:t>
            </w:r>
          </w:p>
        </w:tc>
        <w:tc>
          <w:tcPr>
            <w:tcW w:w="838" w:type="dxa"/>
            <w:vAlign w:val="top"/>
          </w:tcPr>
          <w:p w14:paraId="2818C96B">
            <w:pPr>
              <w:spacing w:before="124" w:line="216" w:lineRule="auto"/>
              <w:ind w:left="23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m/s</w:t>
            </w:r>
            <w:r>
              <w:rPr>
                <w:rFonts w:ascii="Times New Roman" w:hAnsi="Times New Roman" w:eastAsia="Times New Roman" w:cs="Times New Roman"/>
                <w:spacing w:val="3"/>
                <w:position w:val="5"/>
                <w:sz w:val="13"/>
                <w:szCs w:val="13"/>
              </w:rPr>
              <w:t>2</w:t>
            </w:r>
          </w:p>
        </w:tc>
        <w:tc>
          <w:tcPr>
            <w:tcW w:w="1110" w:type="dxa"/>
            <w:vAlign w:val="top"/>
          </w:tcPr>
          <w:p w14:paraId="0DA396D1">
            <w:pPr>
              <w:spacing w:before="144"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1094" w:type="dxa"/>
            <w:vAlign w:val="top"/>
          </w:tcPr>
          <w:p w14:paraId="12492590">
            <w:pPr>
              <w:spacing w:before="144"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1081" w:type="dxa"/>
            <w:vAlign w:val="top"/>
          </w:tcPr>
          <w:p w14:paraId="689FC01B">
            <w:pPr>
              <w:spacing w:before="144"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1094" w:type="dxa"/>
            <w:vAlign w:val="top"/>
          </w:tcPr>
          <w:p w14:paraId="7C95977B">
            <w:pPr>
              <w:spacing w:before="144"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1018" w:type="dxa"/>
            <w:vAlign w:val="top"/>
          </w:tcPr>
          <w:p w14:paraId="6C055C81">
            <w:pPr>
              <w:spacing w:before="144"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9.81</w:t>
            </w:r>
          </w:p>
        </w:tc>
      </w:tr>
      <w:tr w14:paraId="7059A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31" w:type="dxa"/>
            <w:vAlign w:val="top"/>
          </w:tcPr>
          <w:p w14:paraId="77D908A3">
            <w:pPr>
              <w:spacing w:before="201" w:line="199"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p>
        </w:tc>
        <w:tc>
          <w:tcPr>
            <w:tcW w:w="1832" w:type="dxa"/>
            <w:vAlign w:val="top"/>
          </w:tcPr>
          <w:p w14:paraId="58A6F5B6">
            <w:pPr>
              <w:pStyle w:val="6"/>
              <w:spacing w:before="35" w:line="232" w:lineRule="auto"/>
              <w:ind w:left="812" w:right="180" w:hanging="627"/>
              <w:rPr>
                <w:sz w:val="20"/>
                <w:szCs w:val="20"/>
              </w:rPr>
            </w:pPr>
            <w:r>
              <w:rPr>
                <w:spacing w:val="8"/>
                <w:sz w:val="20"/>
                <w:szCs w:val="20"/>
              </w:rPr>
              <w:t>裂口之上液位高</w:t>
            </w:r>
            <w:r>
              <w:rPr>
                <w:spacing w:val="3"/>
                <w:sz w:val="20"/>
                <w:szCs w:val="20"/>
              </w:rPr>
              <w:t xml:space="preserve"> </w:t>
            </w:r>
            <w:r>
              <w:rPr>
                <w:spacing w:val="1"/>
                <w:sz w:val="20"/>
                <w:szCs w:val="20"/>
              </w:rPr>
              <w:t>度</w:t>
            </w:r>
          </w:p>
        </w:tc>
        <w:tc>
          <w:tcPr>
            <w:tcW w:w="838" w:type="dxa"/>
            <w:vAlign w:val="top"/>
          </w:tcPr>
          <w:p w14:paraId="6A8C20F2">
            <w:pPr>
              <w:spacing w:before="251" w:line="141"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110" w:type="dxa"/>
            <w:vAlign w:val="top"/>
          </w:tcPr>
          <w:p w14:paraId="250833A0">
            <w:pPr>
              <w:spacing w:before="205"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94" w:type="dxa"/>
            <w:vAlign w:val="top"/>
          </w:tcPr>
          <w:p w14:paraId="5770FAFB">
            <w:pPr>
              <w:spacing w:before="205"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81" w:type="dxa"/>
            <w:vAlign w:val="top"/>
          </w:tcPr>
          <w:p w14:paraId="719A2388">
            <w:pPr>
              <w:spacing w:before="205"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94" w:type="dxa"/>
            <w:vAlign w:val="top"/>
          </w:tcPr>
          <w:p w14:paraId="42E729E4">
            <w:pPr>
              <w:spacing w:before="205"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18" w:type="dxa"/>
            <w:vAlign w:val="top"/>
          </w:tcPr>
          <w:p w14:paraId="2AF896A2">
            <w:pPr>
              <w:spacing w:before="205"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11E44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1" w:type="dxa"/>
            <w:vAlign w:val="top"/>
          </w:tcPr>
          <w:p w14:paraId="49A52646">
            <w:pPr>
              <w:spacing w:before="148" w:line="197"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Q</w:t>
            </w:r>
          </w:p>
        </w:tc>
        <w:tc>
          <w:tcPr>
            <w:tcW w:w="1832" w:type="dxa"/>
            <w:vAlign w:val="top"/>
          </w:tcPr>
          <w:p w14:paraId="02AD60E8">
            <w:pPr>
              <w:pStyle w:val="6"/>
              <w:spacing w:before="113" w:line="228" w:lineRule="auto"/>
              <w:ind w:left="290"/>
              <w:rPr>
                <w:sz w:val="20"/>
                <w:szCs w:val="20"/>
              </w:rPr>
            </w:pPr>
            <w:r>
              <w:rPr>
                <w:spacing w:val="7"/>
                <w:sz w:val="20"/>
                <w:szCs w:val="20"/>
              </w:rPr>
              <w:t>液体泄漏速度</w:t>
            </w:r>
          </w:p>
        </w:tc>
        <w:tc>
          <w:tcPr>
            <w:tcW w:w="838" w:type="dxa"/>
            <w:vAlign w:val="top"/>
          </w:tcPr>
          <w:p w14:paraId="0498F9FA">
            <w:pPr>
              <w:spacing w:before="145" w:line="201"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/s</w:t>
            </w:r>
          </w:p>
        </w:tc>
        <w:tc>
          <w:tcPr>
            <w:tcW w:w="1110" w:type="dxa"/>
            <w:vAlign w:val="top"/>
          </w:tcPr>
          <w:p w14:paraId="14E8D966">
            <w:pPr>
              <w:spacing w:before="149"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0.190</w:t>
            </w:r>
          </w:p>
        </w:tc>
        <w:tc>
          <w:tcPr>
            <w:tcW w:w="1094" w:type="dxa"/>
            <w:vAlign w:val="top"/>
          </w:tcPr>
          <w:p w14:paraId="31B6C178">
            <w:pPr>
              <w:spacing w:before="14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0.201</w:t>
            </w:r>
          </w:p>
        </w:tc>
        <w:tc>
          <w:tcPr>
            <w:tcW w:w="1081" w:type="dxa"/>
            <w:vAlign w:val="top"/>
          </w:tcPr>
          <w:p w14:paraId="127AE555">
            <w:pPr>
              <w:spacing w:before="14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0.292</w:t>
            </w:r>
          </w:p>
        </w:tc>
        <w:tc>
          <w:tcPr>
            <w:tcW w:w="1094" w:type="dxa"/>
            <w:vAlign w:val="top"/>
          </w:tcPr>
          <w:p w14:paraId="226B7FDB">
            <w:pPr>
              <w:spacing w:before="149"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0.225</w:t>
            </w:r>
          </w:p>
        </w:tc>
        <w:tc>
          <w:tcPr>
            <w:tcW w:w="1018" w:type="dxa"/>
            <w:vAlign w:val="top"/>
          </w:tcPr>
          <w:p w14:paraId="4C683858">
            <w:pPr>
              <w:spacing w:before="149"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0.126</w:t>
            </w:r>
          </w:p>
        </w:tc>
      </w:tr>
    </w:tbl>
    <w:p w14:paraId="508C6C44">
      <w:pPr>
        <w:rPr>
          <w:rFonts w:ascii="Arial"/>
          <w:sz w:val="21"/>
        </w:rPr>
      </w:pPr>
    </w:p>
    <w:p w14:paraId="7D1DF09E">
      <w:pPr>
        <w:rPr>
          <w:rFonts w:ascii="Arial" w:hAnsi="Arial" w:eastAsia="Arial" w:cs="Arial"/>
          <w:sz w:val="21"/>
          <w:szCs w:val="21"/>
        </w:rPr>
        <w:sectPr>
          <w:footerReference r:id="rId136" w:type="default"/>
          <w:pgSz w:w="11906" w:h="16839"/>
          <w:pgMar w:top="400" w:right="1431" w:bottom="1127" w:left="1539" w:header="0" w:footer="965" w:gutter="0"/>
          <w:cols w:space="720" w:num="1"/>
        </w:sectPr>
      </w:pPr>
    </w:p>
    <w:p w14:paraId="44DE425B">
      <w:pPr>
        <w:spacing w:before="19"/>
      </w:pPr>
    </w:p>
    <w:p w14:paraId="124B5361">
      <w:pPr>
        <w:spacing w:before="19"/>
      </w:pPr>
    </w:p>
    <w:p w14:paraId="6394EE0D">
      <w:pPr>
        <w:spacing w:before="19"/>
      </w:pPr>
    </w:p>
    <w:p w14:paraId="1CFCC3B1">
      <w:pPr>
        <w:spacing w:before="18"/>
      </w:pPr>
    </w:p>
    <w:p w14:paraId="6DB4CD15">
      <w:pPr>
        <w:spacing w:before="18"/>
      </w:pPr>
    </w:p>
    <w:tbl>
      <w:tblPr>
        <w:tblStyle w:val="5"/>
        <w:tblW w:w="8798"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1832"/>
        <w:gridCol w:w="838"/>
        <w:gridCol w:w="1110"/>
        <w:gridCol w:w="1094"/>
        <w:gridCol w:w="1081"/>
        <w:gridCol w:w="1094"/>
        <w:gridCol w:w="1018"/>
      </w:tblGrid>
      <w:tr w14:paraId="02774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31" w:type="dxa"/>
            <w:vAlign w:val="top"/>
          </w:tcPr>
          <w:p w14:paraId="08B6D594">
            <w:pPr>
              <w:spacing w:before="151" w:line="192"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832" w:type="dxa"/>
            <w:vAlign w:val="top"/>
          </w:tcPr>
          <w:p w14:paraId="7D1F26BE">
            <w:pPr>
              <w:pStyle w:val="6"/>
              <w:spacing w:before="112" w:line="229" w:lineRule="auto"/>
              <w:ind w:left="503"/>
              <w:rPr>
                <w:sz w:val="20"/>
                <w:szCs w:val="20"/>
              </w:rPr>
            </w:pPr>
            <w:r>
              <w:rPr>
                <w:spacing w:val="6"/>
                <w:sz w:val="20"/>
                <w:szCs w:val="20"/>
              </w:rPr>
              <w:t>泄漏时间</w:t>
            </w:r>
          </w:p>
        </w:tc>
        <w:tc>
          <w:tcPr>
            <w:tcW w:w="838" w:type="dxa"/>
            <w:vAlign w:val="top"/>
          </w:tcPr>
          <w:p w14:paraId="39804FB8">
            <w:pPr>
              <w:spacing w:before="144" w:line="199"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min</w:t>
            </w:r>
          </w:p>
        </w:tc>
        <w:tc>
          <w:tcPr>
            <w:tcW w:w="1110" w:type="dxa"/>
            <w:vAlign w:val="top"/>
          </w:tcPr>
          <w:p w14:paraId="207B69F2">
            <w:pPr>
              <w:spacing w:before="148" w:line="195" w:lineRule="auto"/>
              <w:ind w:left="45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94" w:type="dxa"/>
            <w:vAlign w:val="top"/>
          </w:tcPr>
          <w:p w14:paraId="0BFA4FE1">
            <w:pPr>
              <w:spacing w:before="148" w:line="195"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81" w:type="dxa"/>
            <w:vAlign w:val="top"/>
          </w:tcPr>
          <w:p w14:paraId="2673FE9F">
            <w:pPr>
              <w:spacing w:before="148" w:line="195"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94" w:type="dxa"/>
            <w:vAlign w:val="top"/>
          </w:tcPr>
          <w:p w14:paraId="21D681A3">
            <w:pPr>
              <w:spacing w:before="14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18" w:type="dxa"/>
            <w:vAlign w:val="top"/>
          </w:tcPr>
          <w:p w14:paraId="1814B160">
            <w:pPr>
              <w:spacing w:before="14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6D366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31" w:type="dxa"/>
            <w:vMerge w:val="restart"/>
            <w:tcBorders>
              <w:bottom w:val="nil"/>
            </w:tcBorders>
            <w:vAlign w:val="top"/>
          </w:tcPr>
          <w:p w14:paraId="2625B8F5">
            <w:pPr>
              <w:spacing w:line="261" w:lineRule="auto"/>
              <w:rPr>
                <w:rFonts w:ascii="Arial"/>
                <w:sz w:val="21"/>
              </w:rPr>
            </w:pPr>
          </w:p>
          <w:p w14:paraId="10D9B4D0">
            <w:pPr>
              <w:spacing w:line="262" w:lineRule="auto"/>
              <w:rPr>
                <w:rFonts w:ascii="Arial"/>
                <w:sz w:val="21"/>
              </w:rPr>
            </w:pPr>
          </w:p>
          <w:p w14:paraId="17F6CC87">
            <w:pPr>
              <w:spacing w:before="58" w:line="192"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832" w:type="dxa"/>
            <w:vAlign w:val="top"/>
          </w:tcPr>
          <w:p w14:paraId="528890D4">
            <w:pPr>
              <w:pStyle w:val="6"/>
              <w:spacing w:before="108" w:line="229" w:lineRule="auto"/>
              <w:ind w:left="609"/>
              <w:rPr>
                <w:sz w:val="20"/>
                <w:szCs w:val="20"/>
              </w:rPr>
            </w:pPr>
            <w:r>
              <w:rPr>
                <w:spacing w:val="5"/>
                <w:sz w:val="20"/>
                <w:szCs w:val="20"/>
              </w:rPr>
              <w:t>泄漏量</w:t>
            </w:r>
          </w:p>
        </w:tc>
        <w:tc>
          <w:tcPr>
            <w:tcW w:w="838" w:type="dxa"/>
            <w:vAlign w:val="top"/>
          </w:tcPr>
          <w:p w14:paraId="239DD1A3">
            <w:pPr>
              <w:spacing w:before="140" w:line="201"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kg</w:t>
            </w:r>
          </w:p>
        </w:tc>
        <w:tc>
          <w:tcPr>
            <w:tcW w:w="1110" w:type="dxa"/>
            <w:vAlign w:val="top"/>
          </w:tcPr>
          <w:p w14:paraId="68A48DD0">
            <w:pPr>
              <w:spacing w:before="14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342.324</w:t>
            </w:r>
          </w:p>
        </w:tc>
        <w:tc>
          <w:tcPr>
            <w:tcW w:w="1094" w:type="dxa"/>
            <w:vAlign w:val="top"/>
          </w:tcPr>
          <w:p w14:paraId="172566DA">
            <w:pPr>
              <w:spacing w:before="144"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362.460</w:t>
            </w:r>
          </w:p>
        </w:tc>
        <w:tc>
          <w:tcPr>
            <w:tcW w:w="1081" w:type="dxa"/>
            <w:vAlign w:val="top"/>
          </w:tcPr>
          <w:p w14:paraId="767DD268">
            <w:pPr>
              <w:spacing w:before="144"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526.431</w:t>
            </w:r>
          </w:p>
        </w:tc>
        <w:tc>
          <w:tcPr>
            <w:tcW w:w="1094" w:type="dxa"/>
            <w:vAlign w:val="top"/>
          </w:tcPr>
          <w:p w14:paraId="2DA5DB37">
            <w:pPr>
              <w:spacing w:before="14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405.610</w:t>
            </w:r>
          </w:p>
        </w:tc>
        <w:tc>
          <w:tcPr>
            <w:tcW w:w="1018" w:type="dxa"/>
            <w:vAlign w:val="top"/>
          </w:tcPr>
          <w:p w14:paraId="4D0CF4C4">
            <w:pPr>
              <w:spacing w:before="144"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227.228</w:t>
            </w:r>
          </w:p>
        </w:tc>
      </w:tr>
      <w:tr w14:paraId="06A62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31" w:type="dxa"/>
            <w:vMerge w:val="continue"/>
            <w:tcBorders>
              <w:top w:val="nil"/>
              <w:bottom w:val="nil"/>
            </w:tcBorders>
            <w:vAlign w:val="top"/>
          </w:tcPr>
          <w:p w14:paraId="721CAA3F">
            <w:pPr>
              <w:rPr>
                <w:rFonts w:ascii="Arial"/>
                <w:sz w:val="21"/>
              </w:rPr>
            </w:pPr>
          </w:p>
        </w:tc>
        <w:tc>
          <w:tcPr>
            <w:tcW w:w="1832" w:type="dxa"/>
            <w:vAlign w:val="top"/>
          </w:tcPr>
          <w:p w14:paraId="31C5E1A6">
            <w:pPr>
              <w:pStyle w:val="6"/>
              <w:spacing w:before="111" w:line="228" w:lineRule="auto"/>
              <w:ind w:left="187"/>
              <w:rPr>
                <w:sz w:val="20"/>
                <w:szCs w:val="20"/>
              </w:rPr>
            </w:pPr>
            <w:r>
              <w:rPr>
                <w:spacing w:val="8"/>
                <w:sz w:val="20"/>
                <w:szCs w:val="20"/>
              </w:rPr>
              <w:t>单包装最大容量</w:t>
            </w:r>
          </w:p>
        </w:tc>
        <w:tc>
          <w:tcPr>
            <w:tcW w:w="838" w:type="dxa"/>
            <w:vAlign w:val="top"/>
          </w:tcPr>
          <w:p w14:paraId="46ECC450">
            <w:pPr>
              <w:spacing w:before="143" w:line="201"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kg</w:t>
            </w:r>
          </w:p>
        </w:tc>
        <w:tc>
          <w:tcPr>
            <w:tcW w:w="1110" w:type="dxa"/>
            <w:vAlign w:val="top"/>
          </w:tcPr>
          <w:p w14:paraId="56E9A641">
            <w:pPr>
              <w:spacing w:before="147"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94" w:type="dxa"/>
            <w:vAlign w:val="top"/>
          </w:tcPr>
          <w:p w14:paraId="5E602733">
            <w:pPr>
              <w:spacing w:before="147"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1" w:type="dxa"/>
            <w:vAlign w:val="top"/>
          </w:tcPr>
          <w:p w14:paraId="39531C5B">
            <w:pPr>
              <w:spacing w:before="147"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94" w:type="dxa"/>
            <w:vAlign w:val="top"/>
          </w:tcPr>
          <w:p w14:paraId="74040C7D">
            <w:pPr>
              <w:spacing w:before="147"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18" w:type="dxa"/>
            <w:vAlign w:val="top"/>
          </w:tcPr>
          <w:p w14:paraId="3EAE2F6C">
            <w:pPr>
              <w:spacing w:before="14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34D1C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31" w:type="dxa"/>
            <w:vMerge w:val="continue"/>
            <w:tcBorders>
              <w:top w:val="nil"/>
            </w:tcBorders>
            <w:vAlign w:val="top"/>
          </w:tcPr>
          <w:p w14:paraId="2544C30A">
            <w:pPr>
              <w:rPr>
                <w:rFonts w:ascii="Arial"/>
                <w:sz w:val="21"/>
              </w:rPr>
            </w:pPr>
          </w:p>
        </w:tc>
        <w:tc>
          <w:tcPr>
            <w:tcW w:w="1832" w:type="dxa"/>
            <w:vAlign w:val="top"/>
          </w:tcPr>
          <w:p w14:paraId="4069F3DA">
            <w:pPr>
              <w:pStyle w:val="6"/>
              <w:spacing w:before="111" w:line="228" w:lineRule="auto"/>
              <w:ind w:left="190"/>
              <w:rPr>
                <w:sz w:val="20"/>
                <w:szCs w:val="20"/>
              </w:rPr>
            </w:pPr>
            <w:r>
              <w:rPr>
                <w:spacing w:val="7"/>
                <w:sz w:val="20"/>
                <w:szCs w:val="20"/>
              </w:rPr>
              <w:t>实际最大泄露量</w:t>
            </w:r>
          </w:p>
        </w:tc>
        <w:tc>
          <w:tcPr>
            <w:tcW w:w="838" w:type="dxa"/>
            <w:vAlign w:val="top"/>
          </w:tcPr>
          <w:p w14:paraId="1A4261C9">
            <w:pPr>
              <w:spacing w:before="143" w:line="201"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kg</w:t>
            </w:r>
          </w:p>
        </w:tc>
        <w:tc>
          <w:tcPr>
            <w:tcW w:w="1110" w:type="dxa"/>
            <w:vAlign w:val="top"/>
          </w:tcPr>
          <w:p w14:paraId="1E861242">
            <w:pPr>
              <w:spacing w:before="147"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94" w:type="dxa"/>
            <w:vAlign w:val="top"/>
          </w:tcPr>
          <w:p w14:paraId="5AB4E971">
            <w:pPr>
              <w:spacing w:before="147"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81" w:type="dxa"/>
            <w:vAlign w:val="top"/>
          </w:tcPr>
          <w:p w14:paraId="50CF4DE6">
            <w:pPr>
              <w:spacing w:before="147"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94" w:type="dxa"/>
            <w:vAlign w:val="top"/>
          </w:tcPr>
          <w:p w14:paraId="6BC49645">
            <w:pPr>
              <w:spacing w:before="147"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18" w:type="dxa"/>
            <w:vAlign w:val="top"/>
          </w:tcPr>
          <w:p w14:paraId="112D79EB">
            <w:pPr>
              <w:spacing w:before="14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bl>
    <w:p w14:paraId="634B4882">
      <w:pPr>
        <w:spacing w:before="31" w:line="250" w:lineRule="auto"/>
        <w:ind w:left="7" w:right="156" w:firstLine="426"/>
        <w:rPr>
          <w:rFonts w:ascii="楷体" w:hAnsi="楷体" w:eastAsia="楷体" w:cs="楷体"/>
          <w:sz w:val="20"/>
          <w:szCs w:val="20"/>
        </w:rPr>
      </w:pPr>
      <w:r>
        <w:rPr>
          <w:rFonts w:ascii="楷体" w:hAnsi="楷体" w:eastAsia="楷体" w:cs="楷体"/>
          <w:spacing w:val="8"/>
          <w:sz w:val="20"/>
          <w:szCs w:val="20"/>
        </w:rPr>
        <w:t>注：M</w:t>
      </w:r>
      <w:r>
        <w:rPr>
          <w:rFonts w:ascii="楷体" w:hAnsi="楷体" w:eastAsia="楷体" w:cs="楷体"/>
          <w:spacing w:val="-34"/>
          <w:sz w:val="20"/>
          <w:szCs w:val="20"/>
        </w:rPr>
        <w:t xml:space="preserve"> </w:t>
      </w:r>
      <w:r>
        <w:rPr>
          <w:rFonts w:ascii="楷体" w:hAnsi="楷体" w:eastAsia="楷体" w:cs="楷体"/>
          <w:spacing w:val="8"/>
          <w:sz w:val="20"/>
          <w:szCs w:val="20"/>
        </w:rPr>
        <w:t>值取值考虑到了单个包装出现破损的事故情形，</w:t>
      </w:r>
      <w:r>
        <w:rPr>
          <w:rFonts w:ascii="楷体" w:hAnsi="楷体" w:eastAsia="楷体" w:cs="楷体"/>
          <w:spacing w:val="-58"/>
          <w:sz w:val="20"/>
          <w:szCs w:val="20"/>
        </w:rPr>
        <w:t xml:space="preserve"> </w:t>
      </w:r>
      <w:r>
        <w:rPr>
          <w:rFonts w:ascii="楷体" w:hAnsi="楷体" w:eastAsia="楷体" w:cs="楷体"/>
          <w:spacing w:val="8"/>
          <w:sz w:val="20"/>
          <w:szCs w:val="20"/>
        </w:rPr>
        <w:t>因此事故时间内，最大泄露量不超过</w:t>
      </w:r>
      <w:r>
        <w:rPr>
          <w:rFonts w:ascii="楷体" w:hAnsi="楷体" w:eastAsia="楷体" w:cs="楷体"/>
          <w:sz w:val="20"/>
          <w:szCs w:val="20"/>
        </w:rPr>
        <w:t xml:space="preserve"> </w:t>
      </w:r>
      <w:r>
        <w:rPr>
          <w:rFonts w:ascii="楷体" w:hAnsi="楷体" w:eastAsia="楷体" w:cs="楷体"/>
          <w:spacing w:val="7"/>
          <w:sz w:val="20"/>
          <w:szCs w:val="20"/>
        </w:rPr>
        <w:t>单个包装的最大容量。</w:t>
      </w:r>
    </w:p>
    <w:p w14:paraId="60AAFA71">
      <w:pPr>
        <w:spacing w:before="247" w:line="356" w:lineRule="auto"/>
        <w:ind w:firstLine="487"/>
        <w:jc w:val="both"/>
        <w:rPr>
          <w:rFonts w:ascii="宋体" w:hAnsi="宋体" w:eastAsia="宋体" w:cs="宋体"/>
          <w:sz w:val="24"/>
          <w:szCs w:val="24"/>
        </w:rPr>
      </w:pPr>
      <w:r>
        <w:rPr>
          <w:rFonts w:ascii="宋体" w:hAnsi="宋体" w:eastAsia="宋体" w:cs="宋体"/>
          <w:sz w:val="24"/>
          <w:szCs w:val="24"/>
        </w:rPr>
        <w:t>从上表可知，裂口出现后，物质泄漏时间为</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30min</w:t>
      </w:r>
      <w:r>
        <w:rPr>
          <w:rFonts w:ascii="宋体" w:hAnsi="宋体" w:eastAsia="宋体" w:cs="宋体"/>
          <w:sz w:val="24"/>
          <w:szCs w:val="24"/>
        </w:rPr>
        <w:t>（本</w:t>
      </w:r>
      <w:r>
        <w:rPr>
          <w:rFonts w:ascii="宋体" w:hAnsi="宋体" w:eastAsia="宋体" w:cs="宋体"/>
          <w:spacing w:val="-1"/>
          <w:sz w:val="24"/>
          <w:szCs w:val="24"/>
        </w:rPr>
        <w:t>项目以最保守情况下泄漏</w:t>
      </w:r>
      <w:r>
        <w:rPr>
          <w:rFonts w:ascii="宋体" w:hAnsi="宋体" w:eastAsia="宋体" w:cs="宋体"/>
          <w:sz w:val="24"/>
          <w:szCs w:val="24"/>
        </w:rPr>
        <w:t xml:space="preserve"> </w:t>
      </w:r>
      <w:r>
        <w:rPr>
          <w:rFonts w:ascii="宋体" w:hAnsi="宋体" w:eastAsia="宋体" w:cs="宋体"/>
          <w:spacing w:val="-8"/>
          <w:sz w:val="24"/>
          <w:szCs w:val="24"/>
        </w:rPr>
        <w:t>时间为</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30min</w:t>
      </w:r>
      <w:r>
        <w:rPr>
          <w:rFonts w:ascii="宋体" w:hAnsi="宋体" w:eastAsia="宋体" w:cs="宋体"/>
          <w:spacing w:val="-31"/>
          <w:sz w:val="24"/>
          <w:szCs w:val="24"/>
        </w:rPr>
        <w:t>），</w:t>
      </w:r>
      <w:r>
        <w:rPr>
          <w:rFonts w:ascii="宋体" w:hAnsi="宋体" w:eastAsia="宋体" w:cs="宋体"/>
          <w:spacing w:val="-8"/>
          <w:sz w:val="24"/>
          <w:szCs w:val="24"/>
        </w:rPr>
        <w:t>则盐酸、氢氟酸、硫酸、硝酸、丙酮最大泄漏量分别为：</w:t>
      </w:r>
      <w:r>
        <w:rPr>
          <w:rFonts w:ascii="Times New Roman" w:hAnsi="Times New Roman" w:eastAsia="Times New Roman" w:cs="Times New Roman"/>
          <w:spacing w:val="-8"/>
          <w:sz w:val="24"/>
          <w:szCs w:val="24"/>
        </w:rPr>
        <w:t>25kg</w:t>
      </w:r>
      <w:r>
        <w:rPr>
          <w:rFonts w:ascii="宋体" w:hAnsi="宋体" w:eastAsia="宋体" w:cs="宋体"/>
          <w:spacing w:val="-8"/>
          <w:sz w:val="24"/>
          <w:szCs w:val="24"/>
        </w:rPr>
        <w:t>、</w:t>
      </w:r>
      <w:r>
        <w:rPr>
          <w:rFonts w:ascii="Times New Roman" w:hAnsi="Times New Roman" w:eastAsia="Times New Roman" w:cs="Times New Roman"/>
          <w:spacing w:val="-8"/>
          <w:sz w:val="24"/>
          <w:szCs w:val="24"/>
        </w:rPr>
        <w:t>25kg</w:t>
      </w:r>
      <w:r>
        <w:rPr>
          <w:rFonts w:ascii="宋体" w:hAnsi="宋体" w:eastAsia="宋体" w:cs="宋体"/>
          <w:spacing w:val="-8"/>
          <w:sz w:val="24"/>
          <w:szCs w:val="24"/>
        </w:rPr>
        <w:t>、</w:t>
      </w:r>
      <w:r>
        <w:rPr>
          <w:rFonts w:ascii="宋体" w:hAnsi="宋体" w:eastAsia="宋体" w:cs="宋体"/>
          <w:sz w:val="24"/>
          <w:szCs w:val="24"/>
        </w:rPr>
        <w:t xml:space="preserve"> </w:t>
      </w:r>
      <w:r>
        <w:rPr>
          <w:rFonts w:ascii="Times New Roman" w:hAnsi="Times New Roman" w:eastAsia="Times New Roman" w:cs="Times New Roman"/>
          <w:spacing w:val="-4"/>
          <w:sz w:val="24"/>
          <w:szCs w:val="24"/>
        </w:rPr>
        <w:t>25kg</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25kg</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25kg</w:t>
      </w:r>
      <w:r>
        <w:rPr>
          <w:rFonts w:ascii="宋体" w:hAnsi="宋体" w:eastAsia="宋体" w:cs="宋体"/>
          <w:spacing w:val="-4"/>
          <w:sz w:val="24"/>
          <w:szCs w:val="24"/>
        </w:rPr>
        <w:t>。</w:t>
      </w:r>
    </w:p>
    <w:p w14:paraId="32B71D47">
      <w:pPr>
        <w:spacing w:before="13" w:line="219" w:lineRule="auto"/>
        <w:ind w:left="49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）蒸发量计算</w:t>
      </w:r>
    </w:p>
    <w:p w14:paraId="21596C37">
      <w:pPr>
        <w:spacing w:before="182" w:line="359" w:lineRule="auto"/>
        <w:ind w:left="3" w:right="2" w:firstLine="484"/>
        <w:rPr>
          <w:rFonts w:ascii="宋体" w:hAnsi="宋体" w:eastAsia="宋体" w:cs="宋体"/>
          <w:sz w:val="24"/>
          <w:szCs w:val="24"/>
        </w:rPr>
      </w:pPr>
      <w:r>
        <w:rPr>
          <w:rFonts w:ascii="宋体" w:hAnsi="宋体" w:eastAsia="宋体" w:cs="宋体"/>
          <w:spacing w:val="-1"/>
          <w:sz w:val="24"/>
          <w:szCs w:val="24"/>
        </w:rPr>
        <w:t>泄漏液体的蒸发分为闪蒸蒸发、热量蒸发和</w:t>
      </w:r>
      <w:r>
        <w:rPr>
          <w:rFonts w:ascii="宋体" w:hAnsi="宋体" w:eastAsia="宋体" w:cs="宋体"/>
          <w:spacing w:val="-2"/>
          <w:sz w:val="24"/>
          <w:szCs w:val="24"/>
        </w:rPr>
        <w:t>质量蒸发三种，其蒸发总量为这三种</w:t>
      </w:r>
      <w:r>
        <w:rPr>
          <w:rFonts w:ascii="宋体" w:hAnsi="宋体" w:eastAsia="宋体" w:cs="宋体"/>
          <w:sz w:val="24"/>
          <w:szCs w:val="24"/>
        </w:rPr>
        <w:t xml:space="preserve"> </w:t>
      </w:r>
      <w:r>
        <w:rPr>
          <w:rFonts w:ascii="宋体" w:hAnsi="宋体" w:eastAsia="宋体" w:cs="宋体"/>
          <w:spacing w:val="-1"/>
          <w:sz w:val="24"/>
          <w:szCs w:val="24"/>
        </w:rPr>
        <w:t>蒸发之和。闪蒸蒸发是指饱和液体在压力降低后，沸点降至周围</w:t>
      </w:r>
      <w:r>
        <w:rPr>
          <w:rFonts w:ascii="宋体" w:hAnsi="宋体" w:eastAsia="宋体" w:cs="宋体"/>
          <w:spacing w:val="-2"/>
          <w:sz w:val="24"/>
          <w:szCs w:val="24"/>
        </w:rPr>
        <w:t>温度以下，导致部分</w:t>
      </w:r>
      <w:r>
        <w:rPr>
          <w:rFonts w:ascii="宋体" w:hAnsi="宋体" w:eastAsia="宋体" w:cs="宋体"/>
          <w:sz w:val="24"/>
          <w:szCs w:val="24"/>
        </w:rPr>
        <w:t xml:space="preserve"> </w:t>
      </w:r>
      <w:r>
        <w:rPr>
          <w:rFonts w:ascii="宋体" w:hAnsi="宋体" w:eastAsia="宋体" w:cs="宋体"/>
          <w:spacing w:val="-1"/>
          <w:sz w:val="24"/>
          <w:szCs w:val="24"/>
        </w:rPr>
        <w:t>液体迅速蒸发的现象。当液体闪蒸不完全，有一部分液体在地面</w:t>
      </w:r>
      <w:r>
        <w:rPr>
          <w:rFonts w:ascii="宋体" w:hAnsi="宋体" w:eastAsia="宋体" w:cs="宋体"/>
          <w:spacing w:val="-2"/>
          <w:sz w:val="24"/>
          <w:szCs w:val="24"/>
        </w:rPr>
        <w:t>形成液池，并吸收地</w:t>
      </w:r>
      <w:r>
        <w:rPr>
          <w:rFonts w:ascii="宋体" w:hAnsi="宋体" w:eastAsia="宋体" w:cs="宋体"/>
          <w:sz w:val="24"/>
          <w:szCs w:val="24"/>
        </w:rPr>
        <w:t xml:space="preserve"> </w:t>
      </w:r>
      <w:r>
        <w:rPr>
          <w:rFonts w:ascii="宋体" w:hAnsi="宋体" w:eastAsia="宋体" w:cs="宋体"/>
          <w:spacing w:val="1"/>
          <w:sz w:val="24"/>
          <w:szCs w:val="24"/>
        </w:rPr>
        <w:t>面热量而汽化称为热量蒸发。当热量蒸发结</w:t>
      </w:r>
      <w:r>
        <w:rPr>
          <w:rFonts w:ascii="宋体" w:hAnsi="宋体" w:eastAsia="宋体" w:cs="宋体"/>
          <w:sz w:val="24"/>
          <w:szCs w:val="24"/>
        </w:rPr>
        <w:t xml:space="preserve">束，转由液池表面气流运动使液体蒸发， </w:t>
      </w:r>
      <w:r>
        <w:rPr>
          <w:rFonts w:ascii="宋体" w:hAnsi="宋体" w:eastAsia="宋体" w:cs="宋体"/>
          <w:spacing w:val="-5"/>
          <w:sz w:val="24"/>
          <w:szCs w:val="24"/>
        </w:rPr>
        <w:t>称之为质量蒸发。项目风险物质的暂存环境为常压、室温（一般为</w:t>
      </w:r>
      <w:r>
        <w:rPr>
          <w:rFonts w:ascii="Times New Roman" w:hAnsi="Times New Roman" w:eastAsia="Times New Roman" w:cs="Times New Roman"/>
          <w:spacing w:val="-5"/>
          <w:sz w:val="24"/>
          <w:szCs w:val="24"/>
        </w:rPr>
        <w:t>25℃</w:t>
      </w:r>
      <w:r>
        <w:rPr>
          <w:rFonts w:ascii="宋体" w:hAnsi="宋体" w:eastAsia="宋体" w:cs="宋体"/>
          <w:spacing w:val="-6"/>
          <w:sz w:val="24"/>
          <w:szCs w:val="24"/>
        </w:rPr>
        <w:t>) , 对照盐酸、</w:t>
      </w:r>
      <w:r>
        <w:rPr>
          <w:rFonts w:ascii="宋体" w:hAnsi="宋体" w:eastAsia="宋体" w:cs="宋体"/>
          <w:sz w:val="24"/>
          <w:szCs w:val="24"/>
        </w:rPr>
        <w:t xml:space="preserve"> </w:t>
      </w:r>
      <w:r>
        <w:rPr>
          <w:rFonts w:ascii="宋体" w:hAnsi="宋体" w:eastAsia="宋体" w:cs="宋体"/>
          <w:spacing w:val="-1"/>
          <w:sz w:val="24"/>
          <w:szCs w:val="24"/>
        </w:rPr>
        <w:t>氢氟酸、硫酸、硝酸、丙酮的沸点，远高于室温，因此本项目泄</w:t>
      </w:r>
      <w:r>
        <w:rPr>
          <w:rFonts w:ascii="宋体" w:hAnsi="宋体" w:eastAsia="宋体" w:cs="宋体"/>
          <w:spacing w:val="-2"/>
          <w:sz w:val="24"/>
          <w:szCs w:val="24"/>
        </w:rPr>
        <w:t>漏液体的蒸发只考虑</w:t>
      </w:r>
      <w:r>
        <w:rPr>
          <w:rFonts w:ascii="宋体" w:hAnsi="宋体" w:eastAsia="宋体" w:cs="宋体"/>
          <w:sz w:val="24"/>
          <w:szCs w:val="24"/>
        </w:rPr>
        <w:t xml:space="preserve"> </w:t>
      </w:r>
      <w:r>
        <w:rPr>
          <w:rFonts w:ascii="宋体" w:hAnsi="宋体" w:eastAsia="宋体" w:cs="宋体"/>
          <w:spacing w:val="-2"/>
          <w:sz w:val="24"/>
          <w:szCs w:val="24"/>
        </w:rPr>
        <w:t>质量蒸发。</w:t>
      </w:r>
    </w:p>
    <w:p w14:paraId="2AA68B37">
      <w:pPr>
        <w:spacing w:line="219" w:lineRule="auto"/>
        <w:ind w:left="485"/>
        <w:rPr>
          <w:rFonts w:ascii="宋体" w:hAnsi="宋体" w:eastAsia="宋体" w:cs="宋体"/>
          <w:sz w:val="24"/>
          <w:szCs w:val="24"/>
        </w:rPr>
      </w:pPr>
      <w:r>
        <w:rPr>
          <w:rFonts w:ascii="宋体" w:hAnsi="宋体" w:eastAsia="宋体" w:cs="宋体"/>
          <w:spacing w:val="-1"/>
          <w:sz w:val="24"/>
          <w:szCs w:val="24"/>
        </w:rPr>
        <w:t>质量蒸发的计算公式如下：</w:t>
      </w:r>
    </w:p>
    <w:p w14:paraId="5C220176">
      <w:pPr>
        <w:spacing w:before="146" w:line="686" w:lineRule="exact"/>
        <w:ind w:firstLine="3294"/>
      </w:pPr>
      <w:r>
        <w:rPr>
          <w:position w:val="-13"/>
        </w:rPr>
        <w:drawing>
          <wp:inline distT="0" distB="0" distL="0" distR="0">
            <wp:extent cx="1727835" cy="43561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11"/>
                    <a:stretch>
                      <a:fillRect/>
                    </a:stretch>
                  </pic:blipFill>
                  <pic:spPr>
                    <a:xfrm>
                      <a:off x="0" y="0"/>
                      <a:ext cx="1728216" cy="435864"/>
                    </a:xfrm>
                    <a:prstGeom prst="rect">
                      <a:avLst/>
                    </a:prstGeom>
                  </pic:spPr>
                </pic:pic>
              </a:graphicData>
            </a:graphic>
          </wp:inline>
        </w:drawing>
      </w:r>
    </w:p>
    <w:p w14:paraId="67365D74">
      <w:pPr>
        <w:spacing w:before="174" w:line="350" w:lineRule="auto"/>
        <w:ind w:left="474" w:right="4734" w:firstLine="10"/>
        <w:rPr>
          <w:rFonts w:ascii="宋体" w:hAnsi="宋体" w:eastAsia="宋体" w:cs="宋体"/>
          <w:sz w:val="24"/>
          <w:szCs w:val="24"/>
        </w:rPr>
      </w:pPr>
      <w:r>
        <w:rPr>
          <w:rFonts w:ascii="宋体" w:hAnsi="宋体" w:eastAsia="宋体" w:cs="宋体"/>
          <w:spacing w:val="-4"/>
          <w:sz w:val="24"/>
          <w:szCs w:val="24"/>
        </w:rPr>
        <w:t>其中：</w:t>
      </w:r>
      <w:r>
        <w:rPr>
          <w:rFonts w:ascii="Times New Roman" w:hAnsi="Times New Roman" w:eastAsia="Times New Roman" w:cs="Times New Roman"/>
          <w:spacing w:val="-4"/>
          <w:sz w:val="24"/>
          <w:szCs w:val="24"/>
        </w:rPr>
        <w:t>Q</w:t>
      </w:r>
      <w:r>
        <w:rPr>
          <w:rFonts w:ascii="Times New Roman" w:hAnsi="Times New Roman" w:eastAsia="Times New Roman" w:cs="Times New Roman"/>
          <w:spacing w:val="-4"/>
          <w:position w:val="-1"/>
          <w:sz w:val="15"/>
          <w:szCs w:val="15"/>
        </w:rPr>
        <w:t>3</w:t>
      </w:r>
      <w:r>
        <w:rPr>
          <w:rFonts w:ascii="宋体" w:hAnsi="宋体" w:eastAsia="宋体" w:cs="宋体"/>
          <w:spacing w:val="-4"/>
          <w:sz w:val="24"/>
          <w:szCs w:val="24"/>
        </w:rPr>
        <w:t>——质量蒸发速率，</w:t>
      </w:r>
      <w:r>
        <w:rPr>
          <w:rFonts w:ascii="Times New Roman" w:hAnsi="Times New Roman" w:eastAsia="Times New Roman" w:cs="Times New Roman"/>
          <w:spacing w:val="-4"/>
          <w:sz w:val="24"/>
          <w:szCs w:val="24"/>
        </w:rPr>
        <w:t>kg/s</w:t>
      </w:r>
      <w:r>
        <w:rPr>
          <w:rFonts w:ascii="宋体" w:hAnsi="宋体" w:eastAsia="宋体" w:cs="宋体"/>
          <w:spacing w:val="-4"/>
          <w:sz w:val="24"/>
          <w:szCs w:val="24"/>
        </w:rPr>
        <w:t>；</w:t>
      </w:r>
      <w:r>
        <w:rPr>
          <w:rFonts w:ascii="宋体" w:hAnsi="宋体" w:eastAsia="宋体" w:cs="宋体"/>
          <w:spacing w:val="5"/>
          <w:sz w:val="24"/>
          <w:szCs w:val="24"/>
        </w:rPr>
        <w:t xml:space="preserve"> </w:t>
      </w:r>
      <w:r>
        <w:rPr>
          <w:rFonts w:ascii="Times New Roman" w:hAnsi="Times New Roman" w:eastAsia="Times New Roman" w:cs="Times New Roman"/>
          <w:sz w:val="24"/>
          <w:szCs w:val="24"/>
        </w:rPr>
        <w:t>p</w:t>
      </w:r>
      <w:r>
        <w:rPr>
          <w:rFonts w:ascii="宋体" w:hAnsi="宋体" w:eastAsia="宋体" w:cs="宋体"/>
          <w:sz w:val="24"/>
          <w:szCs w:val="24"/>
        </w:rPr>
        <w:t>—液体表面蒸气压，</w:t>
      </w:r>
      <w:r>
        <w:rPr>
          <w:rFonts w:ascii="Times New Roman" w:hAnsi="Times New Roman" w:eastAsia="Times New Roman" w:cs="Times New Roman"/>
          <w:sz w:val="24"/>
          <w:szCs w:val="24"/>
        </w:rPr>
        <w:t>Pa</w:t>
      </w:r>
      <w:r>
        <w:rPr>
          <w:rFonts w:ascii="宋体" w:hAnsi="宋体" w:eastAsia="宋体" w:cs="宋体"/>
          <w:sz w:val="24"/>
          <w:szCs w:val="24"/>
        </w:rPr>
        <w:t>；</w:t>
      </w:r>
    </w:p>
    <w:p w14:paraId="6B7F67B5">
      <w:pPr>
        <w:spacing w:before="24" w:line="359" w:lineRule="auto"/>
        <w:ind w:left="482" w:right="4158" w:hanging="3"/>
        <w:rPr>
          <w:rFonts w:ascii="宋体" w:hAnsi="宋体" w:eastAsia="宋体" w:cs="宋体"/>
          <w:sz w:val="24"/>
          <w:szCs w:val="24"/>
        </w:rPr>
      </w:pPr>
      <w:r>
        <w:rPr>
          <w:rFonts w:ascii="Times New Roman" w:hAnsi="Times New Roman" w:eastAsia="Times New Roman" w:cs="Times New Roman"/>
          <w:spacing w:val="-9"/>
          <w:sz w:val="24"/>
          <w:szCs w:val="24"/>
        </w:rPr>
        <w:t>R</w:t>
      </w:r>
      <w:r>
        <w:rPr>
          <w:rFonts w:ascii="宋体" w:hAnsi="宋体" w:eastAsia="宋体" w:cs="宋体"/>
          <w:spacing w:val="-9"/>
          <w:sz w:val="24"/>
          <w:szCs w:val="24"/>
        </w:rPr>
        <w:t>—气体常数，</w:t>
      </w:r>
      <w:r>
        <w:rPr>
          <w:rFonts w:ascii="Times New Roman" w:hAnsi="Times New Roman" w:eastAsia="Times New Roman" w:cs="Times New Roman"/>
          <w:spacing w:val="-9"/>
          <w:sz w:val="24"/>
          <w:szCs w:val="24"/>
        </w:rPr>
        <w:t>J/</w:t>
      </w:r>
      <w:r>
        <w:rPr>
          <w:rFonts w:ascii="宋体" w:hAnsi="宋体" w:eastAsia="宋体" w:cs="宋体"/>
          <w:spacing w:val="-9"/>
          <w:sz w:val="24"/>
          <w:szCs w:val="24"/>
        </w:rPr>
        <w:t>（</w:t>
      </w:r>
      <w:r>
        <w:rPr>
          <w:rFonts w:ascii="Times New Roman" w:hAnsi="Times New Roman" w:eastAsia="Times New Roman" w:cs="Times New Roman"/>
          <w:spacing w:val="-9"/>
          <w:sz w:val="24"/>
          <w:szCs w:val="24"/>
        </w:rPr>
        <w:t>mol</w:t>
      </w:r>
      <w:r>
        <w:rPr>
          <w:rFonts w:ascii="Times New Roman" w:hAnsi="Times New Roman" w:eastAsia="Times New Roman" w:cs="Times New Roman"/>
          <w:spacing w:val="32"/>
          <w:w w:val="101"/>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K</w:t>
      </w:r>
      <w:r>
        <w:rPr>
          <w:rFonts w:ascii="宋体" w:hAnsi="宋体" w:eastAsia="宋体" w:cs="宋体"/>
          <w:spacing w:val="12"/>
          <w:sz w:val="24"/>
          <w:szCs w:val="24"/>
        </w:rPr>
        <w:t>），</w:t>
      </w:r>
      <w:r>
        <w:rPr>
          <w:rFonts w:ascii="宋体" w:hAnsi="宋体" w:eastAsia="宋体" w:cs="宋体"/>
          <w:spacing w:val="-9"/>
          <w:sz w:val="24"/>
          <w:szCs w:val="24"/>
        </w:rPr>
        <w:t>取</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8.314</w:t>
      </w:r>
      <w:r>
        <w:rPr>
          <w:rFonts w:ascii="宋体" w:hAnsi="宋体" w:eastAsia="宋体" w:cs="宋体"/>
          <w:spacing w:val="-9"/>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1"/>
          <w:position w:val="-1"/>
          <w:sz w:val="15"/>
          <w:szCs w:val="15"/>
        </w:rPr>
        <w:t>0</w:t>
      </w:r>
      <w:r>
        <w:rPr>
          <w:rFonts w:ascii="宋体" w:hAnsi="宋体" w:eastAsia="宋体" w:cs="宋体"/>
          <w:spacing w:val="-1"/>
          <w:sz w:val="24"/>
          <w:szCs w:val="24"/>
        </w:rPr>
        <w:t>—环境温度，</w:t>
      </w:r>
      <w:r>
        <w:rPr>
          <w:rFonts w:ascii="Times New Roman" w:hAnsi="Times New Roman" w:eastAsia="Times New Roman" w:cs="Times New Roman"/>
          <w:spacing w:val="-1"/>
          <w:sz w:val="24"/>
          <w:szCs w:val="24"/>
        </w:rPr>
        <w:t>K</w:t>
      </w:r>
      <w:r>
        <w:rPr>
          <w:rFonts w:ascii="宋体" w:hAnsi="宋体" w:eastAsia="宋体" w:cs="宋体"/>
          <w:spacing w:val="-1"/>
          <w:sz w:val="24"/>
          <w:szCs w:val="24"/>
        </w:rPr>
        <w:t>；</w:t>
      </w:r>
    </w:p>
    <w:p w14:paraId="6CB84A42">
      <w:pPr>
        <w:spacing w:line="210" w:lineRule="auto"/>
        <w:ind w:left="479"/>
        <w:rPr>
          <w:rFonts w:ascii="宋体" w:hAnsi="宋体" w:eastAsia="宋体" w:cs="宋体"/>
          <w:sz w:val="24"/>
          <w:szCs w:val="24"/>
        </w:rPr>
      </w:pPr>
      <w:r>
        <w:rPr>
          <w:rFonts w:ascii="Times New Roman" w:hAnsi="Times New Roman" w:eastAsia="Times New Roman" w:cs="Times New Roman"/>
          <w:spacing w:val="-1"/>
          <w:sz w:val="24"/>
          <w:szCs w:val="24"/>
        </w:rPr>
        <w:t>M</w:t>
      </w:r>
      <w:r>
        <w:rPr>
          <w:rFonts w:ascii="宋体" w:hAnsi="宋体" w:eastAsia="宋体" w:cs="宋体"/>
          <w:spacing w:val="-1"/>
          <w:sz w:val="24"/>
          <w:szCs w:val="24"/>
        </w:rPr>
        <w:t>—物质的摩尔质量，</w:t>
      </w:r>
      <w:r>
        <w:rPr>
          <w:rFonts w:ascii="Times New Roman" w:hAnsi="Times New Roman" w:eastAsia="Times New Roman" w:cs="Times New Roman"/>
          <w:spacing w:val="-1"/>
          <w:sz w:val="24"/>
          <w:szCs w:val="24"/>
        </w:rPr>
        <w:t>kg/mol</w:t>
      </w:r>
      <w:r>
        <w:rPr>
          <w:rFonts w:ascii="宋体" w:hAnsi="宋体" w:eastAsia="宋体" w:cs="宋体"/>
          <w:spacing w:val="-1"/>
          <w:sz w:val="24"/>
          <w:szCs w:val="24"/>
        </w:rPr>
        <w:t>；</w:t>
      </w:r>
    </w:p>
    <w:p w14:paraId="43B45046">
      <w:pPr>
        <w:spacing w:before="193" w:line="220" w:lineRule="auto"/>
        <w:ind w:left="475"/>
        <w:rPr>
          <w:rFonts w:ascii="宋体" w:hAnsi="宋体" w:eastAsia="宋体" w:cs="宋体"/>
          <w:sz w:val="24"/>
          <w:szCs w:val="24"/>
        </w:rPr>
      </w:pPr>
      <w:r>
        <w:rPr>
          <w:rFonts w:ascii="Times New Roman" w:hAnsi="Times New Roman" w:eastAsia="Times New Roman" w:cs="Times New Roman"/>
          <w:sz w:val="24"/>
          <w:szCs w:val="24"/>
        </w:rPr>
        <w:t>u</w:t>
      </w:r>
      <w:r>
        <w:rPr>
          <w:rFonts w:ascii="宋体" w:hAnsi="宋体" w:eastAsia="宋体" w:cs="宋体"/>
          <w:sz w:val="24"/>
          <w:szCs w:val="24"/>
        </w:rPr>
        <w:t>—风速，</w:t>
      </w:r>
      <w:r>
        <w:rPr>
          <w:rFonts w:ascii="Times New Roman" w:hAnsi="Times New Roman" w:eastAsia="Times New Roman" w:cs="Times New Roman"/>
          <w:sz w:val="24"/>
          <w:szCs w:val="24"/>
        </w:rPr>
        <w:t>m/s</w:t>
      </w:r>
      <w:r>
        <w:rPr>
          <w:rFonts w:ascii="宋体" w:hAnsi="宋体" w:eastAsia="宋体" w:cs="宋体"/>
          <w:sz w:val="24"/>
          <w:szCs w:val="24"/>
        </w:rPr>
        <w:t>；</w:t>
      </w:r>
    </w:p>
    <w:p w14:paraId="5EB74ED6">
      <w:pPr>
        <w:spacing w:before="182" w:line="219" w:lineRule="auto"/>
        <w:ind w:left="476"/>
        <w:rPr>
          <w:rFonts w:ascii="宋体" w:hAnsi="宋体" w:eastAsia="宋体" w:cs="宋体"/>
          <w:sz w:val="24"/>
          <w:szCs w:val="24"/>
        </w:rPr>
      </w:pPr>
      <w:r>
        <w:rPr>
          <w:rFonts w:ascii="Times New Roman" w:hAnsi="Times New Roman" w:eastAsia="Times New Roman" w:cs="Times New Roman"/>
          <w:spacing w:val="-1"/>
          <w:sz w:val="24"/>
          <w:szCs w:val="24"/>
        </w:rPr>
        <w:t>r</w:t>
      </w:r>
      <w:r>
        <w:rPr>
          <w:rFonts w:ascii="宋体" w:hAnsi="宋体" w:eastAsia="宋体" w:cs="宋体"/>
          <w:spacing w:val="-1"/>
          <w:sz w:val="24"/>
          <w:szCs w:val="24"/>
        </w:rPr>
        <w:t>—液池半径，</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0331C551">
      <w:pPr>
        <w:spacing w:before="183" w:line="216" w:lineRule="auto"/>
        <w:ind w:left="537"/>
        <w:rPr>
          <w:rFonts w:ascii="宋体" w:hAnsi="宋体" w:eastAsia="宋体" w:cs="宋体"/>
          <w:sz w:val="24"/>
          <w:szCs w:val="24"/>
        </w:rPr>
      </w:pPr>
      <w:r>
        <w:rPr>
          <w:rFonts w:ascii="宋体" w:hAnsi="宋体" w:eastAsia="宋体" w:cs="宋体"/>
          <w:spacing w:val="-9"/>
          <w:sz w:val="24"/>
          <w:szCs w:val="24"/>
        </w:rPr>
        <w:t>α</w:t>
      </w:r>
      <w:r>
        <w:rPr>
          <w:rFonts w:ascii="宋体" w:hAnsi="宋体" w:eastAsia="宋体" w:cs="宋体"/>
          <w:spacing w:val="-81"/>
          <w:sz w:val="24"/>
          <w:szCs w:val="24"/>
        </w:rPr>
        <w:t xml:space="preserve"> </w:t>
      </w:r>
      <w:r>
        <w:rPr>
          <w:rFonts w:ascii="宋体" w:hAnsi="宋体" w:eastAsia="宋体" w:cs="宋体"/>
          <w:spacing w:val="-9"/>
          <w:sz w:val="24"/>
          <w:szCs w:val="24"/>
        </w:rPr>
        <w:t>,</w:t>
      </w:r>
      <w:r>
        <w:rPr>
          <w:rFonts w:ascii="宋体" w:hAnsi="宋体" w:eastAsia="宋体" w:cs="宋体"/>
          <w:spacing w:val="54"/>
          <w:sz w:val="24"/>
          <w:szCs w:val="24"/>
        </w:rPr>
        <w:t xml:space="preserve"> </w:t>
      </w:r>
      <w:r>
        <w:rPr>
          <w:rFonts w:ascii="Times New Roman" w:hAnsi="Times New Roman" w:eastAsia="Times New Roman" w:cs="Times New Roman"/>
          <w:spacing w:val="-9"/>
          <w:sz w:val="24"/>
          <w:szCs w:val="24"/>
        </w:rPr>
        <w:t>n</w:t>
      </w:r>
      <w:r>
        <w:rPr>
          <w:rFonts w:ascii="宋体" w:hAnsi="宋体" w:eastAsia="宋体" w:cs="宋体"/>
          <w:spacing w:val="-9"/>
          <w:sz w:val="24"/>
          <w:szCs w:val="24"/>
        </w:rPr>
        <w:t>—大气稳定度系数，取值见表</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F.3</w:t>
      </w:r>
      <w:r>
        <w:rPr>
          <w:rFonts w:ascii="宋体" w:hAnsi="宋体" w:eastAsia="宋体" w:cs="宋体"/>
          <w:spacing w:val="-9"/>
          <w:sz w:val="24"/>
          <w:szCs w:val="24"/>
        </w:rPr>
        <w:t>。</w:t>
      </w:r>
    </w:p>
    <w:p w14:paraId="444A42EF">
      <w:pPr>
        <w:spacing w:line="216" w:lineRule="auto"/>
        <w:rPr>
          <w:rFonts w:ascii="宋体" w:hAnsi="宋体" w:eastAsia="宋体" w:cs="宋体"/>
          <w:sz w:val="24"/>
          <w:szCs w:val="24"/>
        </w:rPr>
        <w:sectPr>
          <w:footerReference r:id="rId137" w:type="default"/>
          <w:pgSz w:w="11906" w:h="16839"/>
          <w:pgMar w:top="400" w:right="1450" w:bottom="1127" w:left="1536" w:header="0" w:footer="965" w:gutter="0"/>
          <w:cols w:space="720" w:num="1"/>
        </w:sectPr>
      </w:pPr>
    </w:p>
    <w:p w14:paraId="6FCC679E">
      <w:pPr>
        <w:spacing w:line="250" w:lineRule="auto"/>
        <w:rPr>
          <w:rFonts w:ascii="Arial"/>
          <w:sz w:val="21"/>
        </w:rPr>
      </w:pPr>
    </w:p>
    <w:p w14:paraId="5FF83B4F">
      <w:pPr>
        <w:spacing w:line="250" w:lineRule="auto"/>
        <w:rPr>
          <w:rFonts w:ascii="Arial"/>
          <w:sz w:val="21"/>
        </w:rPr>
      </w:pPr>
    </w:p>
    <w:p w14:paraId="73C156A5">
      <w:pPr>
        <w:spacing w:line="250" w:lineRule="auto"/>
        <w:rPr>
          <w:rFonts w:ascii="Arial"/>
          <w:sz w:val="21"/>
        </w:rPr>
      </w:pPr>
    </w:p>
    <w:p w14:paraId="7AB89F4B">
      <w:pPr>
        <w:spacing w:line="250" w:lineRule="auto"/>
        <w:rPr>
          <w:rFonts w:ascii="Arial"/>
          <w:sz w:val="21"/>
        </w:rPr>
      </w:pPr>
    </w:p>
    <w:p w14:paraId="6E852C64">
      <w:pPr>
        <w:spacing w:line="251" w:lineRule="auto"/>
        <w:rPr>
          <w:rFonts w:ascii="Arial"/>
          <w:sz w:val="21"/>
        </w:rPr>
      </w:pPr>
    </w:p>
    <w:p w14:paraId="30D1964B">
      <w:pPr>
        <w:spacing w:before="78" w:line="219" w:lineRule="auto"/>
        <w:ind w:left="3023"/>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4"/>
          <w:sz w:val="24"/>
          <w:szCs w:val="24"/>
        </w:rPr>
        <w:t xml:space="preserve"> </w:t>
      </w:r>
      <w:r>
        <w:rPr>
          <w:rFonts w:ascii="Times New Roman" w:hAnsi="Times New Roman" w:eastAsia="Times New Roman" w:cs="Times New Roman"/>
          <w:b/>
          <w:bCs/>
          <w:spacing w:val="-2"/>
          <w:sz w:val="24"/>
          <w:szCs w:val="24"/>
        </w:rPr>
        <w:t xml:space="preserve">F.3    </w:t>
      </w:r>
      <w:r>
        <w:rPr>
          <w:rFonts w:ascii="宋体" w:hAnsi="宋体" w:eastAsia="宋体" w:cs="宋体"/>
          <w:b/>
          <w:bCs/>
          <w:spacing w:val="-2"/>
          <w:sz w:val="24"/>
          <w:szCs w:val="24"/>
        </w:rPr>
        <w:t>液池蒸发模式参数</w:t>
      </w:r>
    </w:p>
    <w:p w14:paraId="6AAA3BB2">
      <w:pPr>
        <w:spacing w:line="146" w:lineRule="exact"/>
      </w:pPr>
    </w:p>
    <w:tbl>
      <w:tblPr>
        <w:tblStyle w:val="5"/>
        <w:tblW w:w="8603"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69"/>
        <w:gridCol w:w="2666"/>
        <w:gridCol w:w="3068"/>
      </w:tblGrid>
      <w:tr w14:paraId="4EF43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869" w:type="dxa"/>
            <w:vAlign w:val="top"/>
          </w:tcPr>
          <w:p w14:paraId="47E8E6F3">
            <w:pPr>
              <w:pStyle w:val="6"/>
              <w:spacing w:before="103" w:line="228" w:lineRule="auto"/>
              <w:ind w:left="918"/>
              <w:rPr>
                <w:sz w:val="20"/>
                <w:szCs w:val="20"/>
              </w:rPr>
            </w:pPr>
            <w:r>
              <w:rPr>
                <w:spacing w:val="7"/>
                <w:sz w:val="20"/>
                <w:szCs w:val="20"/>
              </w:rPr>
              <w:t>大气稳定度</w:t>
            </w:r>
          </w:p>
        </w:tc>
        <w:tc>
          <w:tcPr>
            <w:tcW w:w="2666" w:type="dxa"/>
            <w:vAlign w:val="top"/>
          </w:tcPr>
          <w:p w14:paraId="175238F0">
            <w:pPr>
              <w:spacing w:before="185" w:line="141" w:lineRule="exact"/>
              <w:ind w:left="1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n</w:t>
            </w:r>
          </w:p>
        </w:tc>
        <w:tc>
          <w:tcPr>
            <w:tcW w:w="3068" w:type="dxa"/>
            <w:vAlign w:val="top"/>
          </w:tcPr>
          <w:p w14:paraId="013D0DEF">
            <w:pPr>
              <w:pStyle w:val="6"/>
              <w:spacing w:before="103" w:line="288" w:lineRule="exact"/>
              <w:ind w:left="1480"/>
              <w:rPr>
                <w:sz w:val="20"/>
                <w:szCs w:val="20"/>
              </w:rPr>
            </w:pPr>
            <w:r>
              <w:rPr>
                <w:position w:val="2"/>
                <w:sz w:val="20"/>
                <w:szCs w:val="20"/>
              </w:rPr>
              <w:t>α</w:t>
            </w:r>
          </w:p>
        </w:tc>
      </w:tr>
      <w:tr w14:paraId="48AA5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869" w:type="dxa"/>
            <w:vAlign w:val="top"/>
          </w:tcPr>
          <w:p w14:paraId="5FA577EC">
            <w:pPr>
              <w:pStyle w:val="6"/>
              <w:spacing w:before="98" w:line="228" w:lineRule="auto"/>
              <w:ind w:left="667"/>
              <w:rPr>
                <w:sz w:val="20"/>
                <w:szCs w:val="20"/>
              </w:rPr>
            </w:pPr>
            <w:r>
              <w:rPr>
                <w:spacing w:val="3"/>
                <w:sz w:val="20"/>
                <w:szCs w:val="20"/>
              </w:rPr>
              <w:t>不稳定（</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3"/>
                <w:sz w:val="20"/>
                <w:szCs w:val="20"/>
              </w:rPr>
              <w:t xml:space="preserve"> </w:t>
            </w:r>
            <w:r>
              <w:rPr>
                <w:spacing w:val="3"/>
                <w:sz w:val="20"/>
                <w:szCs w:val="20"/>
              </w:rPr>
              <w:t>，</w:t>
            </w:r>
            <w:r>
              <w:rPr>
                <w:rFonts w:ascii="Times New Roman" w:hAnsi="Times New Roman" w:eastAsia="Times New Roman" w:cs="Times New Roman"/>
                <w:spacing w:val="3"/>
                <w:sz w:val="20"/>
                <w:szCs w:val="20"/>
              </w:rPr>
              <w:t>B</w:t>
            </w:r>
            <w:r>
              <w:rPr>
                <w:spacing w:val="3"/>
                <w:sz w:val="20"/>
                <w:szCs w:val="20"/>
              </w:rPr>
              <w:t>）</w:t>
            </w:r>
          </w:p>
        </w:tc>
        <w:tc>
          <w:tcPr>
            <w:tcW w:w="2666" w:type="dxa"/>
            <w:vAlign w:val="top"/>
          </w:tcPr>
          <w:p w14:paraId="46E9C101">
            <w:pPr>
              <w:spacing w:before="135" w:line="195" w:lineRule="auto"/>
              <w:ind w:left="1206"/>
              <w:rPr>
                <w:rFonts w:ascii="Times New Roman" w:hAnsi="Times New Roman" w:eastAsia="Times New Roman" w:cs="Times New Roman"/>
                <w:sz w:val="20"/>
                <w:szCs w:val="20"/>
              </w:rPr>
            </w:pPr>
            <w:r>
              <w:rPr>
                <w:rFonts w:ascii="Times New Roman" w:hAnsi="Times New Roman" w:eastAsia="Times New Roman" w:cs="Times New Roman"/>
                <w:sz w:val="20"/>
                <w:szCs w:val="20"/>
              </w:rPr>
              <w:t>0.2</w:t>
            </w:r>
          </w:p>
        </w:tc>
        <w:tc>
          <w:tcPr>
            <w:tcW w:w="3068" w:type="dxa"/>
            <w:vAlign w:val="top"/>
          </w:tcPr>
          <w:p w14:paraId="3FF4797D">
            <w:pPr>
              <w:spacing w:before="117" w:line="213" w:lineRule="auto"/>
              <w:ind w:left="108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3.846×10</w:t>
            </w:r>
            <w:r>
              <w:rPr>
                <w:rFonts w:ascii="Times New Roman" w:hAnsi="Times New Roman" w:eastAsia="Times New Roman" w:cs="Times New Roman"/>
                <w:spacing w:val="3"/>
                <w:position w:val="6"/>
                <w:sz w:val="13"/>
                <w:szCs w:val="13"/>
              </w:rPr>
              <w:t>-3</w:t>
            </w:r>
          </w:p>
        </w:tc>
      </w:tr>
      <w:tr w14:paraId="516ED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869" w:type="dxa"/>
            <w:vAlign w:val="top"/>
          </w:tcPr>
          <w:p w14:paraId="4FF6C006">
            <w:pPr>
              <w:pStyle w:val="6"/>
              <w:spacing w:before="101" w:line="228" w:lineRule="auto"/>
              <w:ind w:left="964"/>
              <w:rPr>
                <w:sz w:val="20"/>
                <w:szCs w:val="20"/>
              </w:rPr>
            </w:pPr>
            <w:r>
              <w:rPr>
                <w:spacing w:val="1"/>
                <w:sz w:val="20"/>
                <w:szCs w:val="20"/>
              </w:rPr>
              <w:t>中性（</w:t>
            </w:r>
            <w:r>
              <w:rPr>
                <w:rFonts w:ascii="Times New Roman" w:hAnsi="Times New Roman" w:eastAsia="Times New Roman" w:cs="Times New Roman"/>
                <w:spacing w:val="1"/>
                <w:sz w:val="20"/>
                <w:szCs w:val="20"/>
              </w:rPr>
              <w:t>D</w:t>
            </w:r>
            <w:r>
              <w:rPr>
                <w:spacing w:val="1"/>
                <w:sz w:val="20"/>
                <w:szCs w:val="20"/>
              </w:rPr>
              <w:t>）</w:t>
            </w:r>
          </w:p>
        </w:tc>
        <w:tc>
          <w:tcPr>
            <w:tcW w:w="2666" w:type="dxa"/>
            <w:vAlign w:val="top"/>
          </w:tcPr>
          <w:p w14:paraId="2719224F">
            <w:pPr>
              <w:spacing w:before="137" w:line="195" w:lineRule="auto"/>
              <w:ind w:left="1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3068" w:type="dxa"/>
            <w:vAlign w:val="top"/>
          </w:tcPr>
          <w:p w14:paraId="2139B748">
            <w:pPr>
              <w:spacing w:before="117" w:line="216" w:lineRule="auto"/>
              <w:ind w:left="107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4.685×10</w:t>
            </w:r>
            <w:r>
              <w:rPr>
                <w:rFonts w:ascii="Times New Roman" w:hAnsi="Times New Roman" w:eastAsia="Times New Roman" w:cs="Times New Roman"/>
                <w:spacing w:val="3"/>
                <w:position w:val="6"/>
                <w:sz w:val="13"/>
                <w:szCs w:val="13"/>
              </w:rPr>
              <w:t>-3</w:t>
            </w:r>
          </w:p>
        </w:tc>
      </w:tr>
      <w:tr w14:paraId="7399B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2869" w:type="dxa"/>
            <w:vAlign w:val="top"/>
          </w:tcPr>
          <w:p w14:paraId="7504B947">
            <w:pPr>
              <w:pStyle w:val="6"/>
              <w:spacing w:before="138" w:line="228" w:lineRule="auto"/>
              <w:ind w:left="794"/>
              <w:rPr>
                <w:sz w:val="20"/>
                <w:szCs w:val="20"/>
              </w:rPr>
            </w:pPr>
            <w:r>
              <w:rPr>
                <w:spacing w:val="1"/>
                <w:sz w:val="20"/>
                <w:szCs w:val="20"/>
              </w:rPr>
              <w:t>稳定（</w:t>
            </w:r>
            <w:r>
              <w:rPr>
                <w:rFonts w:ascii="Times New Roman" w:hAnsi="Times New Roman" w:eastAsia="Times New Roman" w:cs="Times New Roman"/>
                <w:spacing w:val="1"/>
                <w:sz w:val="20"/>
                <w:szCs w:val="20"/>
              </w:rPr>
              <w:t>E</w:t>
            </w:r>
            <w:r>
              <w:rPr>
                <w:rFonts w:ascii="Times New Roman" w:hAnsi="Times New Roman" w:eastAsia="Times New Roman" w:cs="Times New Roman"/>
                <w:spacing w:val="-17"/>
                <w:sz w:val="20"/>
                <w:szCs w:val="20"/>
              </w:rPr>
              <w:t xml:space="preserve"> </w:t>
            </w:r>
            <w:r>
              <w:rPr>
                <w:spacing w:val="1"/>
                <w:sz w:val="20"/>
                <w:szCs w:val="20"/>
              </w:rPr>
              <w:t>，</w:t>
            </w:r>
            <w:r>
              <w:rPr>
                <w:rFonts w:ascii="Times New Roman" w:hAnsi="Times New Roman" w:eastAsia="Times New Roman" w:cs="Times New Roman"/>
                <w:spacing w:val="1"/>
                <w:sz w:val="20"/>
                <w:szCs w:val="20"/>
              </w:rPr>
              <w:t>F</w:t>
            </w:r>
            <w:r>
              <w:rPr>
                <w:spacing w:val="1"/>
                <w:sz w:val="20"/>
                <w:szCs w:val="20"/>
              </w:rPr>
              <w:t>）</w:t>
            </w:r>
          </w:p>
        </w:tc>
        <w:tc>
          <w:tcPr>
            <w:tcW w:w="2666" w:type="dxa"/>
            <w:vAlign w:val="top"/>
          </w:tcPr>
          <w:p w14:paraId="4DDE0680">
            <w:pPr>
              <w:spacing w:before="175" w:line="195" w:lineRule="auto"/>
              <w:ind w:left="1206"/>
              <w:rPr>
                <w:rFonts w:ascii="Times New Roman" w:hAnsi="Times New Roman" w:eastAsia="Times New Roman" w:cs="Times New Roman"/>
                <w:sz w:val="20"/>
                <w:szCs w:val="20"/>
              </w:rPr>
            </w:pPr>
            <w:r>
              <w:rPr>
                <w:rFonts w:ascii="Times New Roman" w:hAnsi="Times New Roman" w:eastAsia="Times New Roman" w:cs="Times New Roman"/>
                <w:sz w:val="20"/>
                <w:szCs w:val="20"/>
              </w:rPr>
              <w:t>0.3</w:t>
            </w:r>
          </w:p>
        </w:tc>
        <w:tc>
          <w:tcPr>
            <w:tcW w:w="3068" w:type="dxa"/>
            <w:vAlign w:val="top"/>
          </w:tcPr>
          <w:p w14:paraId="6C1D3BE1">
            <w:pPr>
              <w:spacing w:before="155" w:line="216" w:lineRule="auto"/>
              <w:ind w:left="1082"/>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5.285×10</w:t>
            </w:r>
            <w:r>
              <w:rPr>
                <w:rFonts w:ascii="Times New Roman" w:hAnsi="Times New Roman" w:eastAsia="Times New Roman" w:cs="Times New Roman"/>
                <w:spacing w:val="3"/>
                <w:position w:val="6"/>
                <w:sz w:val="13"/>
                <w:szCs w:val="13"/>
              </w:rPr>
              <w:t>-3</w:t>
            </w:r>
          </w:p>
        </w:tc>
      </w:tr>
    </w:tbl>
    <w:p w14:paraId="5109998B">
      <w:pPr>
        <w:spacing w:before="156" w:line="360" w:lineRule="auto"/>
        <w:ind w:left="1" w:firstLine="480"/>
        <w:rPr>
          <w:rFonts w:ascii="宋体" w:hAnsi="宋体" w:eastAsia="宋体" w:cs="宋体"/>
          <w:sz w:val="24"/>
          <w:szCs w:val="24"/>
        </w:rPr>
      </w:pPr>
      <w:r>
        <w:rPr>
          <w:rFonts w:ascii="宋体" w:hAnsi="宋体" w:eastAsia="宋体" w:cs="宋体"/>
          <w:spacing w:val="-2"/>
          <w:sz w:val="24"/>
          <w:szCs w:val="24"/>
        </w:rPr>
        <w:t>按最不利气象条件，大气稳定度为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F </w:t>
      </w:r>
      <w:r>
        <w:rPr>
          <w:rFonts w:ascii="宋体" w:hAnsi="宋体" w:eastAsia="宋体" w:cs="宋体"/>
          <w:spacing w:val="-2"/>
          <w:sz w:val="24"/>
          <w:szCs w:val="24"/>
        </w:rPr>
        <w:t>取值，则根据上述公式计算得出盐酸、氢氟</w:t>
      </w:r>
      <w:r>
        <w:rPr>
          <w:rFonts w:ascii="宋体" w:hAnsi="宋体" w:eastAsia="宋体" w:cs="宋体"/>
          <w:sz w:val="24"/>
          <w:szCs w:val="24"/>
        </w:rPr>
        <w:t xml:space="preserve"> </w:t>
      </w:r>
      <w:r>
        <w:rPr>
          <w:rFonts w:ascii="宋体" w:hAnsi="宋体" w:eastAsia="宋体" w:cs="宋体"/>
          <w:spacing w:val="-1"/>
          <w:sz w:val="24"/>
          <w:szCs w:val="24"/>
        </w:rPr>
        <w:t>酸、硫酸、硝酸的质量蒸发速率，详见下表。</w:t>
      </w:r>
    </w:p>
    <w:p w14:paraId="4FB57C61">
      <w:pPr>
        <w:spacing w:before="117" w:line="219" w:lineRule="auto"/>
        <w:ind w:left="1499"/>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25    </w:t>
      </w:r>
      <w:r>
        <w:rPr>
          <w:rFonts w:ascii="宋体" w:hAnsi="宋体" w:eastAsia="宋体" w:cs="宋体"/>
          <w:b/>
          <w:bCs/>
          <w:spacing w:val="-2"/>
          <w:sz w:val="24"/>
          <w:szCs w:val="24"/>
        </w:rPr>
        <w:t>液体物质泄漏事故时的质量蒸发速率计算一览表</w:t>
      </w:r>
    </w:p>
    <w:p w14:paraId="405679F9">
      <w:pPr>
        <w:spacing w:line="147" w:lineRule="exact"/>
      </w:pPr>
    </w:p>
    <w:tbl>
      <w:tblPr>
        <w:tblStyle w:val="5"/>
        <w:tblW w:w="8584"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308"/>
        <w:gridCol w:w="1185"/>
        <w:gridCol w:w="1096"/>
        <w:gridCol w:w="1096"/>
        <w:gridCol w:w="1096"/>
        <w:gridCol w:w="1097"/>
        <w:gridCol w:w="1101"/>
      </w:tblGrid>
      <w:tr w14:paraId="716E8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05" w:type="dxa"/>
            <w:textDirection w:val="tbRlV"/>
            <w:vAlign w:val="top"/>
          </w:tcPr>
          <w:p w14:paraId="683E720D">
            <w:pPr>
              <w:pStyle w:val="6"/>
              <w:spacing w:before="196" w:line="214" w:lineRule="auto"/>
              <w:ind w:left="35"/>
              <w:rPr>
                <w:sz w:val="20"/>
                <w:szCs w:val="20"/>
              </w:rPr>
            </w:pPr>
            <w:r>
              <w:rPr>
                <w:b/>
                <w:bCs/>
                <w:spacing w:val="6"/>
                <w:sz w:val="20"/>
                <w:szCs w:val="20"/>
              </w:rPr>
              <w:t>符</w:t>
            </w:r>
            <w:r>
              <w:rPr>
                <w:spacing w:val="-38"/>
                <w:sz w:val="20"/>
                <w:szCs w:val="20"/>
              </w:rPr>
              <w:t xml:space="preserve"> </w:t>
            </w:r>
            <w:r>
              <w:rPr>
                <w:b/>
                <w:bCs/>
                <w:spacing w:val="6"/>
                <w:sz w:val="20"/>
                <w:szCs w:val="20"/>
              </w:rPr>
              <w:t>号</w:t>
            </w:r>
          </w:p>
        </w:tc>
        <w:tc>
          <w:tcPr>
            <w:tcW w:w="1308" w:type="dxa"/>
            <w:vAlign w:val="top"/>
          </w:tcPr>
          <w:p w14:paraId="25E91A33">
            <w:pPr>
              <w:pStyle w:val="6"/>
              <w:spacing w:before="169" w:line="228" w:lineRule="auto"/>
              <w:ind w:left="444"/>
              <w:rPr>
                <w:sz w:val="20"/>
                <w:szCs w:val="20"/>
              </w:rPr>
            </w:pPr>
            <w:r>
              <w:rPr>
                <w:b/>
                <w:bCs/>
                <w:spacing w:val="3"/>
                <w:sz w:val="20"/>
                <w:szCs w:val="20"/>
              </w:rPr>
              <w:t>含义</w:t>
            </w:r>
          </w:p>
        </w:tc>
        <w:tc>
          <w:tcPr>
            <w:tcW w:w="1185" w:type="dxa"/>
            <w:vAlign w:val="top"/>
          </w:tcPr>
          <w:p w14:paraId="72C1B1B0">
            <w:pPr>
              <w:pStyle w:val="6"/>
              <w:spacing w:before="170" w:line="228" w:lineRule="auto"/>
              <w:ind w:left="386"/>
              <w:rPr>
                <w:sz w:val="20"/>
                <w:szCs w:val="20"/>
              </w:rPr>
            </w:pPr>
            <w:r>
              <w:rPr>
                <w:b/>
                <w:bCs/>
                <w:spacing w:val="3"/>
                <w:sz w:val="20"/>
                <w:szCs w:val="20"/>
              </w:rPr>
              <w:t>单位</w:t>
            </w:r>
          </w:p>
        </w:tc>
        <w:tc>
          <w:tcPr>
            <w:tcW w:w="1096" w:type="dxa"/>
            <w:vAlign w:val="top"/>
          </w:tcPr>
          <w:p w14:paraId="6809F85E">
            <w:pPr>
              <w:pStyle w:val="6"/>
              <w:spacing w:before="169" w:line="228" w:lineRule="auto"/>
              <w:ind w:left="238"/>
              <w:rPr>
                <w:sz w:val="20"/>
                <w:szCs w:val="20"/>
              </w:rPr>
            </w:pPr>
            <w:r>
              <w:rPr>
                <w:b/>
                <w:bCs/>
                <w:spacing w:val="5"/>
                <w:sz w:val="20"/>
                <w:szCs w:val="20"/>
              </w:rPr>
              <w:t>盐酸桶</w:t>
            </w:r>
          </w:p>
        </w:tc>
        <w:tc>
          <w:tcPr>
            <w:tcW w:w="1096" w:type="dxa"/>
            <w:vAlign w:val="top"/>
          </w:tcPr>
          <w:p w14:paraId="3FE70115">
            <w:pPr>
              <w:pStyle w:val="6"/>
              <w:spacing w:before="169" w:line="228" w:lineRule="auto"/>
              <w:ind w:left="131"/>
              <w:rPr>
                <w:sz w:val="20"/>
                <w:szCs w:val="20"/>
              </w:rPr>
            </w:pPr>
            <w:r>
              <w:rPr>
                <w:b/>
                <w:bCs/>
                <w:spacing w:val="6"/>
                <w:sz w:val="20"/>
                <w:szCs w:val="20"/>
              </w:rPr>
              <w:t>氢氟酸桶</w:t>
            </w:r>
          </w:p>
        </w:tc>
        <w:tc>
          <w:tcPr>
            <w:tcW w:w="1096" w:type="dxa"/>
            <w:vAlign w:val="top"/>
          </w:tcPr>
          <w:p w14:paraId="35581DA2">
            <w:pPr>
              <w:pStyle w:val="6"/>
              <w:spacing w:before="169" w:line="228" w:lineRule="auto"/>
              <w:ind w:left="237"/>
              <w:rPr>
                <w:sz w:val="20"/>
                <w:szCs w:val="20"/>
              </w:rPr>
            </w:pPr>
            <w:r>
              <w:rPr>
                <w:b/>
                <w:bCs/>
                <w:spacing w:val="5"/>
                <w:sz w:val="20"/>
                <w:szCs w:val="20"/>
              </w:rPr>
              <w:t>硫酸桶</w:t>
            </w:r>
          </w:p>
        </w:tc>
        <w:tc>
          <w:tcPr>
            <w:tcW w:w="1097" w:type="dxa"/>
            <w:vAlign w:val="top"/>
          </w:tcPr>
          <w:p w14:paraId="644F606E">
            <w:pPr>
              <w:pStyle w:val="6"/>
              <w:spacing w:before="169" w:line="228" w:lineRule="auto"/>
              <w:ind w:left="240"/>
              <w:rPr>
                <w:sz w:val="20"/>
                <w:szCs w:val="20"/>
              </w:rPr>
            </w:pPr>
            <w:r>
              <w:rPr>
                <w:b/>
                <w:bCs/>
                <w:spacing w:val="5"/>
                <w:sz w:val="20"/>
                <w:szCs w:val="20"/>
              </w:rPr>
              <w:t>硝酸桶</w:t>
            </w:r>
          </w:p>
        </w:tc>
        <w:tc>
          <w:tcPr>
            <w:tcW w:w="1101" w:type="dxa"/>
            <w:vAlign w:val="top"/>
          </w:tcPr>
          <w:p w14:paraId="40C79D04">
            <w:pPr>
              <w:pStyle w:val="6"/>
              <w:spacing w:before="169" w:line="228" w:lineRule="auto"/>
              <w:ind w:left="242"/>
              <w:rPr>
                <w:sz w:val="20"/>
                <w:szCs w:val="20"/>
              </w:rPr>
            </w:pPr>
            <w:r>
              <w:rPr>
                <w:b/>
                <w:bCs/>
                <w:spacing w:val="4"/>
                <w:sz w:val="20"/>
                <w:szCs w:val="20"/>
              </w:rPr>
              <w:t>丙酮桶</w:t>
            </w:r>
          </w:p>
        </w:tc>
      </w:tr>
      <w:tr w14:paraId="09A78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05" w:type="dxa"/>
            <w:vAlign w:val="top"/>
          </w:tcPr>
          <w:p w14:paraId="28BF5135">
            <w:pPr>
              <w:spacing w:before="204" w:line="197"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Q3</w:t>
            </w:r>
          </w:p>
        </w:tc>
        <w:tc>
          <w:tcPr>
            <w:tcW w:w="1308" w:type="dxa"/>
            <w:vAlign w:val="top"/>
          </w:tcPr>
          <w:p w14:paraId="335CB01A">
            <w:pPr>
              <w:pStyle w:val="6"/>
              <w:spacing w:before="32" w:line="228" w:lineRule="auto"/>
              <w:ind w:left="133"/>
              <w:rPr>
                <w:sz w:val="20"/>
                <w:szCs w:val="20"/>
              </w:rPr>
            </w:pPr>
            <w:r>
              <w:rPr>
                <w:spacing w:val="7"/>
                <w:sz w:val="20"/>
                <w:szCs w:val="20"/>
              </w:rPr>
              <w:t>质量蒸发速</w:t>
            </w:r>
          </w:p>
          <w:p w14:paraId="0293238B">
            <w:pPr>
              <w:pStyle w:val="6"/>
              <w:spacing w:before="24" w:line="217" w:lineRule="auto"/>
              <w:ind w:left="554"/>
              <w:rPr>
                <w:sz w:val="20"/>
                <w:szCs w:val="20"/>
              </w:rPr>
            </w:pPr>
            <w:r>
              <w:rPr>
                <w:sz w:val="20"/>
                <w:szCs w:val="20"/>
              </w:rPr>
              <w:t>率</w:t>
            </w:r>
          </w:p>
        </w:tc>
        <w:tc>
          <w:tcPr>
            <w:tcW w:w="1185" w:type="dxa"/>
            <w:vAlign w:val="top"/>
          </w:tcPr>
          <w:p w14:paraId="6BF3AF2B">
            <w:pPr>
              <w:spacing w:before="201" w:line="201"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/s</w:t>
            </w:r>
          </w:p>
        </w:tc>
        <w:tc>
          <w:tcPr>
            <w:tcW w:w="1096" w:type="dxa"/>
            <w:vAlign w:val="top"/>
          </w:tcPr>
          <w:p w14:paraId="365278C6">
            <w:pPr>
              <w:spacing w:before="204"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0.00051</w:t>
            </w:r>
          </w:p>
        </w:tc>
        <w:tc>
          <w:tcPr>
            <w:tcW w:w="1096" w:type="dxa"/>
            <w:vAlign w:val="top"/>
          </w:tcPr>
          <w:p w14:paraId="65661E45">
            <w:pPr>
              <w:spacing w:before="204"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0.00018</w:t>
            </w:r>
          </w:p>
        </w:tc>
        <w:tc>
          <w:tcPr>
            <w:tcW w:w="1096" w:type="dxa"/>
            <w:vAlign w:val="top"/>
          </w:tcPr>
          <w:p w14:paraId="51C6D9F5">
            <w:pPr>
              <w:spacing w:before="204"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w:t>
            </w:r>
          </w:p>
        </w:tc>
        <w:tc>
          <w:tcPr>
            <w:tcW w:w="1097" w:type="dxa"/>
            <w:vAlign w:val="top"/>
          </w:tcPr>
          <w:p w14:paraId="12608C9B">
            <w:pPr>
              <w:spacing w:before="204"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0.00231</w:t>
            </w:r>
          </w:p>
        </w:tc>
        <w:tc>
          <w:tcPr>
            <w:tcW w:w="1101" w:type="dxa"/>
            <w:vAlign w:val="top"/>
          </w:tcPr>
          <w:p w14:paraId="7D440241">
            <w:pPr>
              <w:spacing w:before="204"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0.00837</w:t>
            </w:r>
          </w:p>
        </w:tc>
      </w:tr>
      <w:tr w14:paraId="6095D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05" w:type="dxa"/>
            <w:vAlign w:val="top"/>
          </w:tcPr>
          <w:p w14:paraId="4AF9BE4A">
            <w:pPr>
              <w:spacing w:before="251" w:line="141" w:lineRule="exact"/>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α</w:t>
            </w:r>
          </w:p>
        </w:tc>
        <w:tc>
          <w:tcPr>
            <w:tcW w:w="1308" w:type="dxa"/>
            <w:vAlign w:val="top"/>
          </w:tcPr>
          <w:p w14:paraId="4135C8E4">
            <w:pPr>
              <w:pStyle w:val="6"/>
              <w:spacing w:before="32" w:line="228" w:lineRule="auto"/>
              <w:ind w:left="135"/>
              <w:rPr>
                <w:sz w:val="20"/>
                <w:szCs w:val="20"/>
              </w:rPr>
            </w:pPr>
            <w:r>
              <w:rPr>
                <w:spacing w:val="7"/>
                <w:sz w:val="20"/>
                <w:szCs w:val="20"/>
              </w:rPr>
              <w:t>大气稳定度</w:t>
            </w:r>
          </w:p>
          <w:p w14:paraId="0378E151">
            <w:pPr>
              <w:pStyle w:val="6"/>
              <w:spacing w:before="24" w:line="217" w:lineRule="auto"/>
              <w:ind w:left="451"/>
              <w:rPr>
                <w:sz w:val="20"/>
                <w:szCs w:val="20"/>
              </w:rPr>
            </w:pPr>
            <w:r>
              <w:rPr>
                <w:spacing w:val="2"/>
                <w:sz w:val="20"/>
                <w:szCs w:val="20"/>
              </w:rPr>
              <w:t>系数</w:t>
            </w:r>
          </w:p>
        </w:tc>
        <w:tc>
          <w:tcPr>
            <w:tcW w:w="1185" w:type="dxa"/>
            <w:vAlign w:val="top"/>
          </w:tcPr>
          <w:p w14:paraId="31847B9D">
            <w:pPr>
              <w:spacing w:before="201"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6" w:type="dxa"/>
            <w:vAlign w:val="top"/>
          </w:tcPr>
          <w:p w14:paraId="17F61BB6">
            <w:pPr>
              <w:spacing w:before="205"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5.29E-03</w:t>
            </w:r>
          </w:p>
        </w:tc>
        <w:tc>
          <w:tcPr>
            <w:tcW w:w="1096" w:type="dxa"/>
            <w:vAlign w:val="top"/>
          </w:tcPr>
          <w:p w14:paraId="79C93122">
            <w:pPr>
              <w:spacing w:before="205"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5.29E-03</w:t>
            </w:r>
          </w:p>
        </w:tc>
        <w:tc>
          <w:tcPr>
            <w:tcW w:w="1096" w:type="dxa"/>
            <w:vAlign w:val="top"/>
          </w:tcPr>
          <w:p w14:paraId="5F3162A1">
            <w:pPr>
              <w:spacing w:before="20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5.29E-03</w:t>
            </w:r>
          </w:p>
        </w:tc>
        <w:tc>
          <w:tcPr>
            <w:tcW w:w="1097" w:type="dxa"/>
            <w:vAlign w:val="top"/>
          </w:tcPr>
          <w:p w14:paraId="4B21A42C">
            <w:pPr>
              <w:spacing w:before="20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5.29E-03</w:t>
            </w:r>
          </w:p>
        </w:tc>
        <w:tc>
          <w:tcPr>
            <w:tcW w:w="1101" w:type="dxa"/>
            <w:vAlign w:val="top"/>
          </w:tcPr>
          <w:p w14:paraId="29CB8EB5">
            <w:pPr>
              <w:spacing w:before="20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5.29E-03</w:t>
            </w:r>
          </w:p>
        </w:tc>
      </w:tr>
      <w:tr w14:paraId="347E7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05" w:type="dxa"/>
            <w:vAlign w:val="top"/>
          </w:tcPr>
          <w:p w14:paraId="11E802B3">
            <w:pPr>
              <w:spacing w:before="208" w:line="192"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P</w:t>
            </w:r>
          </w:p>
        </w:tc>
        <w:tc>
          <w:tcPr>
            <w:tcW w:w="1308" w:type="dxa"/>
            <w:vAlign w:val="top"/>
          </w:tcPr>
          <w:p w14:paraId="3DF3707F">
            <w:pPr>
              <w:pStyle w:val="6"/>
              <w:spacing w:before="33" w:line="228" w:lineRule="auto"/>
              <w:ind w:left="134"/>
              <w:rPr>
                <w:sz w:val="20"/>
                <w:szCs w:val="20"/>
              </w:rPr>
            </w:pPr>
            <w:r>
              <w:rPr>
                <w:spacing w:val="7"/>
                <w:sz w:val="20"/>
                <w:szCs w:val="20"/>
              </w:rPr>
              <w:t>液体表面蒸</w:t>
            </w:r>
          </w:p>
          <w:p w14:paraId="0EC9BED5">
            <w:pPr>
              <w:pStyle w:val="6"/>
              <w:spacing w:before="23" w:line="216" w:lineRule="auto"/>
              <w:ind w:left="447"/>
              <w:rPr>
                <w:sz w:val="20"/>
                <w:szCs w:val="20"/>
              </w:rPr>
            </w:pPr>
            <w:r>
              <w:rPr>
                <w:spacing w:val="4"/>
                <w:sz w:val="20"/>
                <w:szCs w:val="20"/>
              </w:rPr>
              <w:t>汽压</w:t>
            </w:r>
          </w:p>
        </w:tc>
        <w:tc>
          <w:tcPr>
            <w:tcW w:w="1185" w:type="dxa"/>
            <w:vAlign w:val="top"/>
          </w:tcPr>
          <w:p w14:paraId="63B432E1">
            <w:pPr>
              <w:spacing w:before="208" w:line="192"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Pa</w:t>
            </w:r>
          </w:p>
        </w:tc>
        <w:tc>
          <w:tcPr>
            <w:tcW w:w="1096" w:type="dxa"/>
            <w:vAlign w:val="top"/>
          </w:tcPr>
          <w:p w14:paraId="76D91DC6">
            <w:pPr>
              <w:spacing w:before="205"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3170</w:t>
            </w:r>
          </w:p>
        </w:tc>
        <w:tc>
          <w:tcPr>
            <w:tcW w:w="1096" w:type="dxa"/>
            <w:vAlign w:val="top"/>
          </w:tcPr>
          <w:p w14:paraId="33AD84E6">
            <w:pPr>
              <w:spacing w:before="205"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096" w:type="dxa"/>
            <w:vAlign w:val="top"/>
          </w:tcPr>
          <w:p w14:paraId="0E105944">
            <w:pPr>
              <w:spacing w:before="205"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097" w:type="dxa"/>
            <w:vAlign w:val="top"/>
          </w:tcPr>
          <w:p w14:paraId="4DFBC0B4">
            <w:pPr>
              <w:spacing w:before="20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8270</w:t>
            </w:r>
          </w:p>
        </w:tc>
        <w:tc>
          <w:tcPr>
            <w:tcW w:w="1101" w:type="dxa"/>
            <w:vAlign w:val="top"/>
          </w:tcPr>
          <w:p w14:paraId="2723BE8C">
            <w:pPr>
              <w:spacing w:before="20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32543</w:t>
            </w:r>
          </w:p>
        </w:tc>
      </w:tr>
      <w:tr w14:paraId="1B7F1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05" w:type="dxa"/>
            <w:vAlign w:val="top"/>
          </w:tcPr>
          <w:p w14:paraId="153D216E">
            <w:pPr>
              <w:spacing w:before="210" w:line="192"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308" w:type="dxa"/>
            <w:vAlign w:val="top"/>
          </w:tcPr>
          <w:p w14:paraId="2E99C548">
            <w:pPr>
              <w:pStyle w:val="6"/>
              <w:spacing w:before="34" w:line="228" w:lineRule="auto"/>
              <w:ind w:left="132"/>
              <w:rPr>
                <w:sz w:val="20"/>
                <w:szCs w:val="20"/>
              </w:rPr>
            </w:pPr>
            <w:r>
              <w:rPr>
                <w:spacing w:val="8"/>
                <w:sz w:val="20"/>
                <w:szCs w:val="20"/>
              </w:rPr>
              <w:t>物质的摩尔</w:t>
            </w:r>
          </w:p>
          <w:p w14:paraId="1F429C80">
            <w:pPr>
              <w:pStyle w:val="6"/>
              <w:spacing w:before="26" w:line="213" w:lineRule="auto"/>
              <w:ind w:left="447"/>
              <w:rPr>
                <w:sz w:val="20"/>
                <w:szCs w:val="20"/>
              </w:rPr>
            </w:pPr>
            <w:r>
              <w:rPr>
                <w:spacing w:val="4"/>
                <w:sz w:val="20"/>
                <w:szCs w:val="20"/>
              </w:rPr>
              <w:t>质量</w:t>
            </w:r>
          </w:p>
        </w:tc>
        <w:tc>
          <w:tcPr>
            <w:tcW w:w="1185" w:type="dxa"/>
            <w:vAlign w:val="top"/>
          </w:tcPr>
          <w:p w14:paraId="30C92515">
            <w:pPr>
              <w:spacing w:before="203" w:line="201"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kg/mol</w:t>
            </w:r>
          </w:p>
        </w:tc>
        <w:tc>
          <w:tcPr>
            <w:tcW w:w="1096" w:type="dxa"/>
            <w:vAlign w:val="top"/>
          </w:tcPr>
          <w:p w14:paraId="25FCDEE4">
            <w:pPr>
              <w:spacing w:before="20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3.65E-02</w:t>
            </w:r>
          </w:p>
        </w:tc>
        <w:tc>
          <w:tcPr>
            <w:tcW w:w="1096" w:type="dxa"/>
            <w:vAlign w:val="top"/>
          </w:tcPr>
          <w:p w14:paraId="2E4A7D65">
            <w:pPr>
              <w:spacing w:before="20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2.00E-02</w:t>
            </w:r>
          </w:p>
        </w:tc>
        <w:tc>
          <w:tcPr>
            <w:tcW w:w="1096" w:type="dxa"/>
            <w:vAlign w:val="top"/>
          </w:tcPr>
          <w:p w14:paraId="5FD5C632">
            <w:pPr>
              <w:spacing w:before="20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9.80E-02</w:t>
            </w:r>
          </w:p>
        </w:tc>
        <w:tc>
          <w:tcPr>
            <w:tcW w:w="1097" w:type="dxa"/>
            <w:vAlign w:val="top"/>
          </w:tcPr>
          <w:p w14:paraId="0ED23F4B">
            <w:pPr>
              <w:spacing w:before="207"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6.30E-02</w:t>
            </w:r>
          </w:p>
        </w:tc>
        <w:tc>
          <w:tcPr>
            <w:tcW w:w="1101" w:type="dxa"/>
            <w:vAlign w:val="top"/>
          </w:tcPr>
          <w:p w14:paraId="03EF757D">
            <w:pPr>
              <w:spacing w:before="20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5.80E-02</w:t>
            </w:r>
          </w:p>
        </w:tc>
      </w:tr>
      <w:tr w14:paraId="208F3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5" w:type="dxa"/>
            <w:vAlign w:val="top"/>
          </w:tcPr>
          <w:p w14:paraId="74E40C64">
            <w:pPr>
              <w:spacing w:before="136" w:line="192"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R</w:t>
            </w:r>
          </w:p>
        </w:tc>
        <w:tc>
          <w:tcPr>
            <w:tcW w:w="1308" w:type="dxa"/>
            <w:vAlign w:val="top"/>
          </w:tcPr>
          <w:p w14:paraId="0F70BBF6">
            <w:pPr>
              <w:pStyle w:val="6"/>
              <w:spacing w:before="96" w:line="228" w:lineRule="auto"/>
              <w:ind w:left="236"/>
              <w:rPr>
                <w:sz w:val="20"/>
                <w:szCs w:val="20"/>
              </w:rPr>
            </w:pPr>
            <w:r>
              <w:rPr>
                <w:spacing w:val="7"/>
                <w:sz w:val="20"/>
                <w:szCs w:val="20"/>
              </w:rPr>
              <w:t>气体常数</w:t>
            </w:r>
          </w:p>
        </w:tc>
        <w:tc>
          <w:tcPr>
            <w:tcW w:w="1185" w:type="dxa"/>
            <w:vAlign w:val="top"/>
          </w:tcPr>
          <w:p w14:paraId="48C94F1F">
            <w:pPr>
              <w:pStyle w:val="6"/>
              <w:spacing w:before="97"/>
              <w:ind w:right="11"/>
              <w:jc w:val="right"/>
              <w:rPr>
                <w:sz w:val="20"/>
                <w:szCs w:val="20"/>
              </w:rPr>
            </w:pPr>
            <w:r>
              <w:rPr>
                <w:rFonts w:ascii="Times New Roman" w:hAnsi="Times New Roman" w:eastAsia="Times New Roman" w:cs="Times New Roman"/>
                <w:sz w:val="20"/>
                <w:szCs w:val="20"/>
              </w:rPr>
              <w:t>J/</w:t>
            </w:r>
            <w:r>
              <w:rPr>
                <w:sz w:val="20"/>
                <w:szCs w:val="20"/>
              </w:rPr>
              <w:t>（</w:t>
            </w:r>
            <w:r>
              <w:rPr>
                <w:rFonts w:ascii="Times New Roman" w:hAnsi="Times New Roman" w:eastAsia="Times New Roman" w:cs="Times New Roman"/>
                <w:sz w:val="20"/>
                <w:szCs w:val="20"/>
              </w:rPr>
              <w:t>mol·K</w:t>
            </w:r>
            <w:r>
              <w:rPr>
                <w:sz w:val="20"/>
                <w:szCs w:val="20"/>
              </w:rPr>
              <w:t>）</w:t>
            </w:r>
          </w:p>
        </w:tc>
        <w:tc>
          <w:tcPr>
            <w:tcW w:w="1096" w:type="dxa"/>
            <w:vAlign w:val="top"/>
          </w:tcPr>
          <w:p w14:paraId="485E7A0A">
            <w:pPr>
              <w:spacing w:before="133"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8.314</w:t>
            </w:r>
          </w:p>
        </w:tc>
        <w:tc>
          <w:tcPr>
            <w:tcW w:w="1096" w:type="dxa"/>
            <w:vAlign w:val="top"/>
          </w:tcPr>
          <w:p w14:paraId="2948A148">
            <w:pPr>
              <w:spacing w:before="133"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8.314</w:t>
            </w:r>
          </w:p>
        </w:tc>
        <w:tc>
          <w:tcPr>
            <w:tcW w:w="1096" w:type="dxa"/>
            <w:vAlign w:val="top"/>
          </w:tcPr>
          <w:p w14:paraId="2C06A8B0">
            <w:pPr>
              <w:spacing w:before="133"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8.314</w:t>
            </w:r>
          </w:p>
        </w:tc>
        <w:tc>
          <w:tcPr>
            <w:tcW w:w="1097" w:type="dxa"/>
            <w:vAlign w:val="top"/>
          </w:tcPr>
          <w:p w14:paraId="2FA51E40">
            <w:pPr>
              <w:spacing w:before="133"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8.314</w:t>
            </w:r>
          </w:p>
        </w:tc>
        <w:tc>
          <w:tcPr>
            <w:tcW w:w="1101" w:type="dxa"/>
            <w:vAlign w:val="top"/>
          </w:tcPr>
          <w:p w14:paraId="5A71CCD1">
            <w:pPr>
              <w:spacing w:before="133"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8.314</w:t>
            </w:r>
          </w:p>
        </w:tc>
      </w:tr>
      <w:tr w14:paraId="1168D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5" w:type="dxa"/>
            <w:vAlign w:val="top"/>
          </w:tcPr>
          <w:p w14:paraId="7C1A5C04">
            <w:pPr>
              <w:spacing w:before="13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T0</w:t>
            </w:r>
          </w:p>
        </w:tc>
        <w:tc>
          <w:tcPr>
            <w:tcW w:w="1308" w:type="dxa"/>
            <w:vAlign w:val="top"/>
          </w:tcPr>
          <w:p w14:paraId="27E2E55A">
            <w:pPr>
              <w:pStyle w:val="6"/>
              <w:spacing w:before="98" w:line="228" w:lineRule="auto"/>
              <w:ind w:left="235"/>
              <w:rPr>
                <w:sz w:val="20"/>
                <w:szCs w:val="20"/>
              </w:rPr>
            </w:pPr>
            <w:r>
              <w:rPr>
                <w:spacing w:val="7"/>
                <w:sz w:val="20"/>
                <w:szCs w:val="20"/>
              </w:rPr>
              <w:t>环境温度</w:t>
            </w:r>
          </w:p>
        </w:tc>
        <w:tc>
          <w:tcPr>
            <w:tcW w:w="1185" w:type="dxa"/>
            <w:vAlign w:val="top"/>
          </w:tcPr>
          <w:p w14:paraId="6FDF1DC6">
            <w:pPr>
              <w:spacing w:before="137" w:line="192"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w:t>
            </w:r>
          </w:p>
        </w:tc>
        <w:tc>
          <w:tcPr>
            <w:tcW w:w="1096" w:type="dxa"/>
            <w:vAlign w:val="top"/>
          </w:tcPr>
          <w:p w14:paraId="15ABAAF6">
            <w:pPr>
              <w:spacing w:before="134"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096" w:type="dxa"/>
            <w:vAlign w:val="top"/>
          </w:tcPr>
          <w:p w14:paraId="6BE8AD80">
            <w:pPr>
              <w:spacing w:before="134"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096" w:type="dxa"/>
            <w:vAlign w:val="top"/>
          </w:tcPr>
          <w:p w14:paraId="7A5C7E11">
            <w:pPr>
              <w:spacing w:before="13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097" w:type="dxa"/>
            <w:vAlign w:val="top"/>
          </w:tcPr>
          <w:p w14:paraId="28A03C99">
            <w:pPr>
              <w:spacing w:before="13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101" w:type="dxa"/>
            <w:vAlign w:val="top"/>
          </w:tcPr>
          <w:p w14:paraId="7451B402">
            <w:pPr>
              <w:spacing w:before="13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r>
      <w:tr w14:paraId="1FE89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5" w:type="dxa"/>
            <w:vAlign w:val="top"/>
          </w:tcPr>
          <w:p w14:paraId="222A6DE4">
            <w:pPr>
              <w:spacing w:before="181" w:line="138"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w:t>
            </w:r>
          </w:p>
        </w:tc>
        <w:tc>
          <w:tcPr>
            <w:tcW w:w="1308" w:type="dxa"/>
            <w:vAlign w:val="top"/>
          </w:tcPr>
          <w:p w14:paraId="3FFF54EB">
            <w:pPr>
              <w:pStyle w:val="6"/>
              <w:spacing w:before="97" w:line="228" w:lineRule="auto"/>
              <w:ind w:left="447"/>
              <w:rPr>
                <w:sz w:val="20"/>
                <w:szCs w:val="20"/>
              </w:rPr>
            </w:pPr>
            <w:r>
              <w:rPr>
                <w:spacing w:val="4"/>
                <w:sz w:val="20"/>
                <w:szCs w:val="20"/>
              </w:rPr>
              <w:t>风速</w:t>
            </w:r>
          </w:p>
        </w:tc>
        <w:tc>
          <w:tcPr>
            <w:tcW w:w="1185" w:type="dxa"/>
            <w:vAlign w:val="top"/>
          </w:tcPr>
          <w:p w14:paraId="101489C8">
            <w:pPr>
              <w:spacing w:before="128" w:line="199"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m/s</w:t>
            </w:r>
          </w:p>
        </w:tc>
        <w:tc>
          <w:tcPr>
            <w:tcW w:w="1096" w:type="dxa"/>
            <w:vAlign w:val="top"/>
          </w:tcPr>
          <w:p w14:paraId="28337BD5">
            <w:pPr>
              <w:spacing w:before="13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096" w:type="dxa"/>
            <w:vAlign w:val="top"/>
          </w:tcPr>
          <w:p w14:paraId="53200D0B">
            <w:pPr>
              <w:spacing w:before="132"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096" w:type="dxa"/>
            <w:vAlign w:val="top"/>
          </w:tcPr>
          <w:p w14:paraId="5334392D">
            <w:pPr>
              <w:spacing w:before="132"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097" w:type="dxa"/>
            <w:vAlign w:val="top"/>
          </w:tcPr>
          <w:p w14:paraId="02651B16">
            <w:pPr>
              <w:spacing w:before="132"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01" w:type="dxa"/>
            <w:vAlign w:val="top"/>
          </w:tcPr>
          <w:p w14:paraId="60CC96C9">
            <w:pPr>
              <w:spacing w:before="13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6DFA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5" w:type="dxa"/>
            <w:vAlign w:val="top"/>
          </w:tcPr>
          <w:p w14:paraId="508DC82F">
            <w:pPr>
              <w:spacing w:before="179" w:line="141"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r</w:t>
            </w:r>
          </w:p>
        </w:tc>
        <w:tc>
          <w:tcPr>
            <w:tcW w:w="1308" w:type="dxa"/>
            <w:vAlign w:val="top"/>
          </w:tcPr>
          <w:p w14:paraId="62DA6439">
            <w:pPr>
              <w:pStyle w:val="6"/>
              <w:spacing w:before="97" w:line="228" w:lineRule="auto"/>
              <w:ind w:left="237"/>
              <w:rPr>
                <w:sz w:val="20"/>
                <w:szCs w:val="20"/>
              </w:rPr>
            </w:pPr>
            <w:r>
              <w:rPr>
                <w:spacing w:val="6"/>
                <w:sz w:val="20"/>
                <w:szCs w:val="20"/>
              </w:rPr>
              <w:t>液池半径</w:t>
            </w:r>
          </w:p>
        </w:tc>
        <w:tc>
          <w:tcPr>
            <w:tcW w:w="1185" w:type="dxa"/>
            <w:vAlign w:val="top"/>
          </w:tcPr>
          <w:p w14:paraId="10831387">
            <w:pPr>
              <w:spacing w:before="179" w:line="141"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096" w:type="dxa"/>
            <w:vAlign w:val="top"/>
          </w:tcPr>
          <w:p w14:paraId="10EF869A">
            <w:pPr>
              <w:spacing w:before="133"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096" w:type="dxa"/>
            <w:vAlign w:val="top"/>
          </w:tcPr>
          <w:p w14:paraId="0F122B9D">
            <w:pPr>
              <w:spacing w:before="133"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096" w:type="dxa"/>
            <w:vAlign w:val="top"/>
          </w:tcPr>
          <w:p w14:paraId="7AB4BBFA">
            <w:pPr>
              <w:spacing w:before="133"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097" w:type="dxa"/>
            <w:vAlign w:val="top"/>
          </w:tcPr>
          <w:p w14:paraId="2F90E509">
            <w:pPr>
              <w:spacing w:before="13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101" w:type="dxa"/>
            <w:vAlign w:val="top"/>
          </w:tcPr>
          <w:p w14:paraId="0EF9D047">
            <w:pPr>
              <w:spacing w:before="13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r>
      <w:tr w14:paraId="0839E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05" w:type="dxa"/>
            <w:vAlign w:val="top"/>
          </w:tcPr>
          <w:p w14:paraId="0A6AC6A1">
            <w:pPr>
              <w:spacing w:before="252" w:line="141"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n</w:t>
            </w:r>
          </w:p>
        </w:tc>
        <w:tc>
          <w:tcPr>
            <w:tcW w:w="1308" w:type="dxa"/>
            <w:vAlign w:val="top"/>
          </w:tcPr>
          <w:p w14:paraId="2D0C642A">
            <w:pPr>
              <w:pStyle w:val="6"/>
              <w:spacing w:before="36" w:line="228" w:lineRule="auto"/>
              <w:ind w:left="135"/>
              <w:rPr>
                <w:sz w:val="20"/>
                <w:szCs w:val="20"/>
              </w:rPr>
            </w:pPr>
            <w:r>
              <w:rPr>
                <w:spacing w:val="7"/>
                <w:sz w:val="20"/>
                <w:szCs w:val="20"/>
              </w:rPr>
              <w:t>大气稳定度</w:t>
            </w:r>
          </w:p>
          <w:p w14:paraId="25BC3F4D">
            <w:pPr>
              <w:pStyle w:val="6"/>
              <w:spacing w:before="24" w:line="218" w:lineRule="auto"/>
              <w:ind w:left="451"/>
              <w:rPr>
                <w:sz w:val="20"/>
                <w:szCs w:val="20"/>
              </w:rPr>
            </w:pPr>
            <w:r>
              <w:rPr>
                <w:spacing w:val="2"/>
                <w:sz w:val="20"/>
                <w:szCs w:val="20"/>
              </w:rPr>
              <w:t>系数</w:t>
            </w:r>
          </w:p>
        </w:tc>
        <w:tc>
          <w:tcPr>
            <w:tcW w:w="1185" w:type="dxa"/>
            <w:vAlign w:val="top"/>
          </w:tcPr>
          <w:p w14:paraId="78F4D3F7">
            <w:pPr>
              <w:spacing w:before="202"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6" w:type="dxa"/>
            <w:vAlign w:val="top"/>
          </w:tcPr>
          <w:p w14:paraId="0424C35D">
            <w:pPr>
              <w:spacing w:before="206"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96" w:type="dxa"/>
            <w:vAlign w:val="top"/>
          </w:tcPr>
          <w:p w14:paraId="37B7A6DF">
            <w:pPr>
              <w:spacing w:before="206"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96" w:type="dxa"/>
            <w:vAlign w:val="top"/>
          </w:tcPr>
          <w:p w14:paraId="61165289">
            <w:pPr>
              <w:spacing w:before="20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97" w:type="dxa"/>
            <w:vAlign w:val="top"/>
          </w:tcPr>
          <w:p w14:paraId="7960EFEA">
            <w:pPr>
              <w:spacing w:before="206"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101" w:type="dxa"/>
            <w:vAlign w:val="top"/>
          </w:tcPr>
          <w:p w14:paraId="6286B035">
            <w:pPr>
              <w:spacing w:before="206"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bl>
    <w:p w14:paraId="3F63D84F">
      <w:pPr>
        <w:spacing w:before="32" w:line="247" w:lineRule="auto"/>
        <w:ind w:left="16" w:right="2" w:firstLine="413"/>
        <w:rPr>
          <w:rFonts w:ascii="楷体" w:hAnsi="楷体" w:eastAsia="楷体" w:cs="楷体"/>
          <w:sz w:val="20"/>
          <w:szCs w:val="20"/>
        </w:rPr>
      </w:pPr>
      <w:r>
        <w:rPr>
          <w:rFonts w:ascii="楷体" w:hAnsi="楷体" w:eastAsia="楷体" w:cs="楷体"/>
          <w:spacing w:val="8"/>
          <w:sz w:val="20"/>
          <w:szCs w:val="20"/>
        </w:rPr>
        <w:t>注：项目仓库有围堰，但仓库面积比较大，主要是拦截消防水。25</w:t>
      </w:r>
      <w:r>
        <w:rPr>
          <w:rFonts w:ascii="楷体" w:hAnsi="楷体" w:eastAsia="楷体" w:cs="楷体"/>
          <w:sz w:val="20"/>
          <w:szCs w:val="20"/>
        </w:rPr>
        <w:t>kg</w:t>
      </w:r>
      <w:r>
        <w:rPr>
          <w:rFonts w:ascii="楷体" w:hAnsi="楷体" w:eastAsia="楷体" w:cs="楷体"/>
          <w:spacing w:val="-19"/>
          <w:sz w:val="20"/>
          <w:szCs w:val="20"/>
        </w:rPr>
        <w:t xml:space="preserve"> </w:t>
      </w:r>
      <w:r>
        <w:rPr>
          <w:rFonts w:ascii="楷体" w:hAnsi="楷体" w:eastAsia="楷体" w:cs="楷体"/>
          <w:spacing w:val="8"/>
          <w:sz w:val="20"/>
          <w:szCs w:val="20"/>
        </w:rPr>
        <w:t>的泄露液，按扩散到最</w:t>
      </w:r>
      <w:r>
        <w:rPr>
          <w:rFonts w:ascii="楷体" w:hAnsi="楷体" w:eastAsia="楷体" w:cs="楷体"/>
          <w:sz w:val="20"/>
          <w:szCs w:val="20"/>
        </w:rPr>
        <w:t xml:space="preserve"> </w:t>
      </w:r>
      <w:r>
        <w:rPr>
          <w:rFonts w:ascii="楷体" w:hAnsi="楷体" w:eastAsia="楷体" w:cs="楷体"/>
          <w:spacing w:val="7"/>
          <w:sz w:val="20"/>
          <w:szCs w:val="20"/>
        </w:rPr>
        <w:t>小厚度</w:t>
      </w:r>
      <w:r>
        <w:rPr>
          <w:rFonts w:ascii="楷体" w:hAnsi="楷体" w:eastAsia="楷体" w:cs="楷体"/>
          <w:spacing w:val="-41"/>
          <w:sz w:val="20"/>
          <w:szCs w:val="20"/>
        </w:rPr>
        <w:t xml:space="preserve"> </w:t>
      </w:r>
      <w:r>
        <w:rPr>
          <w:rFonts w:ascii="楷体" w:hAnsi="楷体" w:eastAsia="楷体" w:cs="楷体"/>
          <w:spacing w:val="7"/>
          <w:sz w:val="20"/>
          <w:szCs w:val="20"/>
        </w:rPr>
        <w:t>0.005m</w:t>
      </w:r>
      <w:r>
        <w:rPr>
          <w:rFonts w:ascii="楷体" w:hAnsi="楷体" w:eastAsia="楷体" w:cs="楷体"/>
          <w:spacing w:val="-25"/>
          <w:sz w:val="20"/>
          <w:szCs w:val="20"/>
        </w:rPr>
        <w:t xml:space="preserve"> </w:t>
      </w:r>
      <w:r>
        <w:rPr>
          <w:rFonts w:ascii="楷体" w:hAnsi="楷体" w:eastAsia="楷体" w:cs="楷体"/>
          <w:spacing w:val="7"/>
          <w:sz w:val="20"/>
          <w:szCs w:val="20"/>
        </w:rPr>
        <w:t>时，推算得液池面积约为5</w:t>
      </w:r>
      <w:r>
        <w:rPr>
          <w:rFonts w:ascii="楷体" w:hAnsi="楷体" w:eastAsia="楷体" w:cs="楷体"/>
          <w:spacing w:val="-30"/>
          <w:sz w:val="20"/>
          <w:szCs w:val="20"/>
        </w:rPr>
        <w:t xml:space="preserve"> </w:t>
      </w:r>
      <w:r>
        <w:rPr>
          <w:rFonts w:ascii="楷体" w:hAnsi="楷体" w:eastAsia="楷体" w:cs="楷体"/>
          <w:spacing w:val="7"/>
          <w:sz w:val="20"/>
          <w:szCs w:val="20"/>
        </w:rPr>
        <w:t>㎡，等效</w:t>
      </w:r>
      <w:r>
        <w:rPr>
          <w:rFonts w:ascii="楷体" w:hAnsi="楷体" w:eastAsia="楷体" w:cs="楷体"/>
          <w:spacing w:val="6"/>
          <w:sz w:val="20"/>
          <w:szCs w:val="20"/>
        </w:rPr>
        <w:t>半径为</w:t>
      </w:r>
      <w:r>
        <w:rPr>
          <w:rFonts w:ascii="楷体" w:hAnsi="楷体" w:eastAsia="楷体" w:cs="楷体"/>
          <w:spacing w:val="-28"/>
          <w:sz w:val="20"/>
          <w:szCs w:val="20"/>
        </w:rPr>
        <w:t xml:space="preserve"> </w:t>
      </w:r>
      <w:r>
        <w:rPr>
          <w:rFonts w:ascii="楷体" w:hAnsi="楷体" w:eastAsia="楷体" w:cs="楷体"/>
          <w:spacing w:val="6"/>
          <w:sz w:val="20"/>
          <w:szCs w:val="20"/>
        </w:rPr>
        <w:t>1.26m。</w:t>
      </w:r>
    </w:p>
    <w:p w14:paraId="5F7FA005">
      <w:pPr>
        <w:spacing w:before="253" w:line="218"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）伴生</w:t>
      </w:r>
      <w:r>
        <w:rPr>
          <w:rFonts w:ascii="Times New Roman" w:hAnsi="Times New Roman" w:eastAsia="Times New Roman" w:cs="Times New Roman"/>
          <w:spacing w:val="-2"/>
          <w:sz w:val="24"/>
          <w:szCs w:val="24"/>
        </w:rPr>
        <w:t>/</w:t>
      </w:r>
      <w:r>
        <w:rPr>
          <w:rFonts w:ascii="宋体" w:hAnsi="宋体" w:eastAsia="宋体" w:cs="宋体"/>
          <w:spacing w:val="-2"/>
          <w:sz w:val="24"/>
          <w:szCs w:val="24"/>
        </w:rPr>
        <w:t>次生污染物产生量估算</w:t>
      </w:r>
    </w:p>
    <w:p w14:paraId="51AFC557">
      <w:pPr>
        <w:spacing w:before="181" w:line="361" w:lineRule="auto"/>
        <w:ind w:left="2" w:firstLine="478"/>
        <w:rPr>
          <w:rFonts w:ascii="宋体" w:hAnsi="宋体" w:eastAsia="宋体" w:cs="宋体"/>
          <w:sz w:val="24"/>
          <w:szCs w:val="24"/>
        </w:rPr>
      </w:pPr>
      <w:r>
        <w:rPr>
          <w:rFonts w:ascii="宋体" w:hAnsi="宋体" w:eastAsia="宋体" w:cs="宋体"/>
          <w:spacing w:val="-4"/>
          <w:sz w:val="24"/>
          <w:szCs w:val="24"/>
        </w:rPr>
        <w:t>根据《建设项目环境风险评价技术导则》（</w:t>
      </w:r>
      <w:r>
        <w:rPr>
          <w:rFonts w:ascii="Times New Roman" w:hAnsi="Times New Roman" w:eastAsia="Times New Roman" w:cs="Times New Roman"/>
          <w:spacing w:val="-4"/>
          <w:sz w:val="24"/>
          <w:szCs w:val="24"/>
        </w:rPr>
        <w:t>HJ</w:t>
      </w:r>
      <w:r>
        <w:rPr>
          <w:rFonts w:ascii="Times New Roman" w:hAnsi="Times New Roman" w:eastAsia="Times New Roman" w:cs="Times New Roman"/>
          <w:spacing w:val="44"/>
          <w:w w:val="101"/>
          <w:sz w:val="24"/>
          <w:szCs w:val="24"/>
        </w:rPr>
        <w:t xml:space="preserve"> </w:t>
      </w:r>
      <w:r>
        <w:rPr>
          <w:rFonts w:ascii="Times New Roman" w:hAnsi="Times New Roman" w:eastAsia="Times New Roman" w:cs="Times New Roman"/>
          <w:spacing w:val="-4"/>
          <w:sz w:val="24"/>
          <w:szCs w:val="24"/>
        </w:rPr>
        <w:t>169-2018</w:t>
      </w:r>
      <w:r>
        <w:rPr>
          <w:rFonts w:ascii="宋体" w:hAnsi="宋体" w:eastAsia="宋体" w:cs="宋体"/>
          <w:spacing w:val="-4"/>
          <w:sz w:val="24"/>
          <w:szCs w:val="24"/>
        </w:rPr>
        <w:t>）附录</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F</w:t>
      </w:r>
      <w:r>
        <w:rPr>
          <w:rFonts w:ascii="宋体" w:hAnsi="宋体" w:eastAsia="宋体" w:cs="宋体"/>
          <w:spacing w:val="-4"/>
          <w:sz w:val="24"/>
          <w:szCs w:val="24"/>
        </w:rPr>
        <w:t>，火灾伴生</w:t>
      </w:r>
      <w:r>
        <w:rPr>
          <w:rFonts w:ascii="Times New Roman" w:hAnsi="Times New Roman" w:eastAsia="Times New Roman" w:cs="Times New Roman"/>
          <w:spacing w:val="-4"/>
          <w:sz w:val="24"/>
          <w:szCs w:val="24"/>
        </w:rPr>
        <w:t>/</w:t>
      </w:r>
      <w:r>
        <w:rPr>
          <w:rFonts w:ascii="宋体" w:hAnsi="宋体" w:eastAsia="宋体" w:cs="宋体"/>
          <w:spacing w:val="-4"/>
          <w:sz w:val="24"/>
          <w:szCs w:val="24"/>
        </w:rPr>
        <w:t>次生</w:t>
      </w:r>
      <w:r>
        <w:rPr>
          <w:rFonts w:ascii="宋体" w:hAnsi="宋体" w:eastAsia="宋体" w:cs="宋体"/>
          <w:sz w:val="24"/>
          <w:szCs w:val="24"/>
        </w:rPr>
        <w:t xml:space="preserve"> </w:t>
      </w:r>
      <w:r>
        <w:rPr>
          <w:rFonts w:ascii="宋体" w:hAnsi="宋体" w:eastAsia="宋体" w:cs="宋体"/>
          <w:spacing w:val="-3"/>
          <w:sz w:val="24"/>
          <w:szCs w:val="24"/>
        </w:rPr>
        <w:t>污染物的估算只需考虑油品。本项目没有使用油品，因此不再估算和预测伴生</w:t>
      </w:r>
      <w:r>
        <w:rPr>
          <w:rFonts w:ascii="Times New Roman" w:hAnsi="Times New Roman" w:eastAsia="Times New Roman" w:cs="Times New Roman"/>
          <w:spacing w:val="-3"/>
          <w:sz w:val="24"/>
          <w:szCs w:val="24"/>
        </w:rPr>
        <w:t>/</w:t>
      </w:r>
      <w:r>
        <w:rPr>
          <w:rFonts w:ascii="宋体" w:hAnsi="宋体" w:eastAsia="宋体" w:cs="宋体"/>
          <w:spacing w:val="-3"/>
          <w:sz w:val="24"/>
          <w:szCs w:val="24"/>
        </w:rPr>
        <w:t>次生污</w:t>
      </w:r>
      <w:r>
        <w:rPr>
          <w:rFonts w:ascii="宋体" w:hAnsi="宋体" w:eastAsia="宋体" w:cs="宋体"/>
          <w:sz w:val="24"/>
          <w:szCs w:val="24"/>
        </w:rPr>
        <w:t xml:space="preserve"> </w:t>
      </w:r>
      <w:r>
        <w:rPr>
          <w:rFonts w:ascii="宋体" w:hAnsi="宋体" w:eastAsia="宋体" w:cs="宋体"/>
          <w:spacing w:val="-4"/>
          <w:sz w:val="24"/>
          <w:szCs w:val="24"/>
        </w:rPr>
        <w:t>染物。</w:t>
      </w:r>
    </w:p>
    <w:p w14:paraId="081C5224">
      <w:pPr>
        <w:spacing w:before="114" w:line="218" w:lineRule="auto"/>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6  </w:t>
      </w:r>
      <w:r>
        <w:rPr>
          <w:rFonts w:ascii="宋体" w:hAnsi="宋体" w:eastAsia="宋体" w:cs="宋体"/>
          <w:b/>
          <w:bCs/>
          <w:spacing w:val="-3"/>
          <w:sz w:val="24"/>
          <w:szCs w:val="24"/>
        </w:rPr>
        <w:t>环境风险预测与评价</w:t>
      </w:r>
    </w:p>
    <w:p w14:paraId="0B06C2CE">
      <w:pPr>
        <w:spacing w:before="182"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6.1 </w:t>
      </w:r>
      <w:r>
        <w:rPr>
          <w:rFonts w:ascii="宋体" w:hAnsi="宋体" w:eastAsia="宋体" w:cs="宋体"/>
          <w:b/>
          <w:bCs/>
          <w:spacing w:val="-2"/>
          <w:sz w:val="24"/>
          <w:szCs w:val="24"/>
        </w:rPr>
        <w:t>大气环境影响风险分析</w:t>
      </w:r>
    </w:p>
    <w:p w14:paraId="350742AB">
      <w:pPr>
        <w:spacing w:before="183" w:line="219" w:lineRule="auto"/>
        <w:outlineLvl w:val="3"/>
        <w:rPr>
          <w:rFonts w:ascii="宋体" w:hAnsi="宋体" w:eastAsia="宋体" w:cs="宋体"/>
          <w:sz w:val="24"/>
          <w:szCs w:val="24"/>
        </w:rPr>
      </w:pPr>
      <w:r>
        <w:rPr>
          <w:rFonts w:ascii="Times New Roman" w:hAnsi="Times New Roman" w:eastAsia="Times New Roman" w:cs="Times New Roman"/>
          <w:b/>
          <w:bCs/>
          <w:spacing w:val="-2"/>
          <w:sz w:val="24"/>
          <w:szCs w:val="24"/>
        </w:rPr>
        <w:t>6.1.1.</w:t>
      </w:r>
      <w:r>
        <w:rPr>
          <w:rFonts w:ascii="宋体" w:hAnsi="宋体" w:eastAsia="宋体" w:cs="宋体"/>
          <w:b/>
          <w:bCs/>
          <w:spacing w:val="-2"/>
          <w:sz w:val="24"/>
          <w:szCs w:val="24"/>
        </w:rPr>
        <w:t>预测模型筛选</w:t>
      </w:r>
    </w:p>
    <w:p w14:paraId="7FADE192">
      <w:pPr>
        <w:spacing w:before="180" w:line="220" w:lineRule="auto"/>
        <w:ind w:left="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）排放形式判定</w:t>
      </w:r>
    </w:p>
    <w:p w14:paraId="1A6541D4">
      <w:pPr>
        <w:spacing w:line="220" w:lineRule="auto"/>
        <w:rPr>
          <w:rFonts w:ascii="宋体" w:hAnsi="宋体" w:eastAsia="宋体" w:cs="宋体"/>
          <w:sz w:val="24"/>
          <w:szCs w:val="24"/>
        </w:rPr>
        <w:sectPr>
          <w:footerReference r:id="rId138" w:type="default"/>
          <w:pgSz w:w="11906" w:h="16839"/>
          <w:pgMar w:top="400" w:right="1530" w:bottom="1127" w:left="1540" w:header="0" w:footer="965" w:gutter="0"/>
          <w:cols w:space="720" w:num="1"/>
        </w:sectPr>
      </w:pPr>
    </w:p>
    <w:p w14:paraId="274E1144">
      <w:pPr>
        <w:spacing w:line="250" w:lineRule="auto"/>
        <w:rPr>
          <w:rFonts w:ascii="Arial"/>
          <w:sz w:val="21"/>
        </w:rPr>
      </w:pPr>
    </w:p>
    <w:p w14:paraId="0EE33F34">
      <w:pPr>
        <w:spacing w:line="250" w:lineRule="auto"/>
        <w:rPr>
          <w:rFonts w:ascii="Arial"/>
          <w:sz w:val="21"/>
        </w:rPr>
      </w:pPr>
    </w:p>
    <w:p w14:paraId="3D15FE34">
      <w:pPr>
        <w:spacing w:line="250" w:lineRule="auto"/>
        <w:rPr>
          <w:rFonts w:ascii="Arial"/>
          <w:sz w:val="21"/>
        </w:rPr>
      </w:pPr>
    </w:p>
    <w:p w14:paraId="3D0D3374">
      <w:pPr>
        <w:spacing w:line="250" w:lineRule="auto"/>
        <w:rPr>
          <w:rFonts w:ascii="Arial"/>
          <w:sz w:val="21"/>
        </w:rPr>
      </w:pPr>
    </w:p>
    <w:p w14:paraId="7843474D">
      <w:pPr>
        <w:spacing w:line="250" w:lineRule="auto"/>
        <w:rPr>
          <w:rFonts w:ascii="Arial"/>
          <w:sz w:val="21"/>
        </w:rPr>
      </w:pPr>
    </w:p>
    <w:p w14:paraId="0572D877">
      <w:pPr>
        <w:spacing w:before="78" w:line="350" w:lineRule="auto"/>
        <w:ind w:right="61" w:firstLine="480"/>
        <w:jc w:val="both"/>
        <w:rPr>
          <w:rFonts w:ascii="宋体" w:hAnsi="宋体" w:eastAsia="宋体" w:cs="宋体"/>
          <w:sz w:val="24"/>
          <w:szCs w:val="24"/>
        </w:rPr>
      </w:pPr>
      <w:r>
        <w:rPr>
          <w:rFonts w:ascii="宋体" w:hAnsi="宋体" w:eastAsia="宋体" w:cs="宋体"/>
          <w:spacing w:val="-3"/>
          <w:sz w:val="24"/>
          <w:szCs w:val="24"/>
        </w:rPr>
        <w:t>根据《建设项目环境风险评价技术导则》（</w:t>
      </w:r>
      <w:r>
        <w:rPr>
          <w:rFonts w:ascii="Times New Roman" w:hAnsi="Times New Roman" w:eastAsia="Times New Roman" w:cs="Times New Roman"/>
          <w:spacing w:val="-3"/>
          <w:sz w:val="24"/>
          <w:szCs w:val="24"/>
        </w:rPr>
        <w:t>HJ</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3"/>
          <w:sz w:val="24"/>
          <w:szCs w:val="24"/>
        </w:rPr>
        <w:t>169-2018</w:t>
      </w:r>
      <w:r>
        <w:rPr>
          <w:rFonts w:ascii="宋体" w:hAnsi="宋体" w:eastAsia="宋体" w:cs="宋体"/>
          <w:spacing w:val="-3"/>
          <w:sz w:val="24"/>
          <w:szCs w:val="24"/>
        </w:rPr>
        <w:t>）附录</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G</w:t>
      </w:r>
      <w:r>
        <w:rPr>
          <w:rFonts w:ascii="宋体" w:hAnsi="宋体" w:eastAsia="宋体" w:cs="宋体"/>
          <w:spacing w:val="-3"/>
          <w:sz w:val="24"/>
          <w:szCs w:val="24"/>
        </w:rPr>
        <w:t>，</w:t>
      </w:r>
      <w:r>
        <w:rPr>
          <w:rFonts w:ascii="宋体" w:hAnsi="宋体" w:eastAsia="宋体" w:cs="宋体"/>
          <w:spacing w:val="-4"/>
          <w:sz w:val="24"/>
          <w:szCs w:val="24"/>
        </w:rPr>
        <w:t>判定连续排放</w:t>
      </w:r>
      <w:r>
        <w:rPr>
          <w:rFonts w:ascii="宋体" w:hAnsi="宋体" w:eastAsia="宋体" w:cs="宋体"/>
          <w:sz w:val="24"/>
          <w:szCs w:val="24"/>
        </w:rPr>
        <w:t xml:space="preserve"> </w:t>
      </w:r>
      <w:r>
        <w:rPr>
          <w:rFonts w:ascii="宋体" w:hAnsi="宋体" w:eastAsia="宋体" w:cs="宋体"/>
          <w:spacing w:val="3"/>
          <w:sz w:val="24"/>
          <w:szCs w:val="24"/>
        </w:rPr>
        <w:t>还是瞬时排放，可以通过对比排放时间</w:t>
      </w:r>
      <w:r>
        <w:rPr>
          <w:rFonts w:ascii="Times New Roman" w:hAnsi="Times New Roman" w:eastAsia="Times New Roman" w:cs="Times New Roman"/>
          <w:sz w:val="24"/>
          <w:szCs w:val="24"/>
        </w:rPr>
        <w:t>Td</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和污染物到达最近的受体点（周边可塘镇</w:t>
      </w:r>
      <w:r>
        <w:rPr>
          <w:rFonts w:ascii="宋体" w:hAnsi="宋体" w:eastAsia="宋体" w:cs="宋体"/>
          <w:sz w:val="24"/>
          <w:szCs w:val="24"/>
        </w:rPr>
        <w:t xml:space="preserve"> </w:t>
      </w:r>
      <w:r>
        <w:rPr>
          <w:rFonts w:ascii="宋体" w:hAnsi="宋体" w:eastAsia="宋体" w:cs="宋体"/>
          <w:spacing w:val="1"/>
          <w:sz w:val="24"/>
          <w:szCs w:val="24"/>
        </w:rPr>
        <w:t>区，距离本项目最近距离</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10~3200m</w:t>
      </w:r>
      <w:r>
        <w:rPr>
          <w:rFonts w:ascii="宋体" w:hAnsi="宋体" w:eastAsia="宋体" w:cs="宋体"/>
          <w:spacing w:val="1"/>
          <w:sz w:val="24"/>
          <w:szCs w:val="24"/>
        </w:rPr>
        <w:t>）的时</w:t>
      </w:r>
      <w:r>
        <w:rPr>
          <w:rFonts w:ascii="宋体" w:hAnsi="宋体" w:eastAsia="宋体" w:cs="宋体"/>
          <w:sz w:val="24"/>
          <w:szCs w:val="24"/>
        </w:rPr>
        <w:t>间</w:t>
      </w:r>
      <w:r>
        <w:rPr>
          <w:rFonts w:ascii="Times New Roman" w:hAnsi="Times New Roman" w:eastAsia="Times New Roman" w:cs="Times New Roman"/>
          <w:sz w:val="24"/>
          <w:szCs w:val="24"/>
        </w:rPr>
        <w:t xml:space="preserve">T </w:t>
      </w:r>
      <w:r>
        <w:rPr>
          <w:rFonts w:ascii="宋体" w:hAnsi="宋体" w:eastAsia="宋体" w:cs="宋体"/>
          <w:sz w:val="24"/>
          <w:szCs w:val="24"/>
        </w:rPr>
        <w:t>确定。</w:t>
      </w:r>
    </w:p>
    <w:p w14:paraId="22AFFDE5">
      <w:pPr>
        <w:spacing w:line="211" w:lineRule="auto"/>
        <w:ind w:left="4105"/>
        <w:rPr>
          <w:rFonts w:ascii="Arial" w:hAnsi="Arial" w:eastAsia="Arial" w:cs="Arial"/>
          <w:sz w:val="28"/>
          <w:szCs w:val="28"/>
        </w:rPr>
      </w:pPr>
      <w:r>
        <w:rPr>
          <w:rFonts w:ascii="Arial" w:hAnsi="Arial" w:eastAsia="Arial" w:cs="Arial"/>
          <w:spacing w:val="19"/>
          <w:sz w:val="28"/>
          <w:szCs w:val="28"/>
        </w:rPr>
        <w:t>T=2X/</w:t>
      </w:r>
      <w:r>
        <w:rPr>
          <w:rFonts w:ascii="Arial" w:hAnsi="Arial" w:eastAsia="Arial" w:cs="Arial"/>
          <w:sz w:val="28"/>
          <w:szCs w:val="28"/>
        </w:rPr>
        <w:t>ur</w:t>
      </w:r>
    </w:p>
    <w:p w14:paraId="7D490BBD">
      <w:pPr>
        <w:spacing w:before="172" w:line="219" w:lineRule="auto"/>
        <w:ind w:left="485"/>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X——</w:t>
      </w:r>
      <w:r>
        <w:rPr>
          <w:rFonts w:ascii="宋体" w:hAnsi="宋体" w:eastAsia="宋体" w:cs="宋体"/>
          <w:spacing w:val="-1"/>
          <w:sz w:val="24"/>
          <w:szCs w:val="24"/>
        </w:rPr>
        <w:t>事故发生地与计算点的距离，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65C5B38E">
      <w:pPr>
        <w:spacing w:before="183" w:line="219" w:lineRule="auto"/>
        <w:ind w:left="1192"/>
        <w:rPr>
          <w:rFonts w:ascii="宋体" w:hAnsi="宋体" w:eastAsia="宋体" w:cs="宋体"/>
          <w:sz w:val="24"/>
          <w:szCs w:val="24"/>
        </w:rPr>
      </w:pPr>
      <w:r>
        <w:rPr>
          <w:rFonts w:ascii="Times New Roman" w:hAnsi="Times New Roman" w:eastAsia="Times New Roman" w:cs="Times New Roman"/>
          <w:spacing w:val="-2"/>
          <w:sz w:val="24"/>
          <w:szCs w:val="24"/>
        </w:rPr>
        <w:t>Ur——10m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高处风速，</w:t>
      </w:r>
      <w:r>
        <w:rPr>
          <w:rFonts w:ascii="Times New Roman" w:hAnsi="Times New Roman" w:eastAsia="Times New Roman" w:cs="Times New Roman"/>
          <w:spacing w:val="-2"/>
          <w:sz w:val="24"/>
          <w:szCs w:val="24"/>
        </w:rPr>
        <w:t>m/s</w:t>
      </w:r>
      <w:r>
        <w:rPr>
          <w:rFonts w:ascii="宋体" w:hAnsi="宋体" w:eastAsia="宋体" w:cs="宋体"/>
          <w:spacing w:val="-2"/>
          <w:sz w:val="24"/>
          <w:szCs w:val="24"/>
        </w:rPr>
        <w:t>。</w:t>
      </w:r>
    </w:p>
    <w:p w14:paraId="5AD53B51">
      <w:pPr>
        <w:spacing w:before="183" w:line="359" w:lineRule="auto"/>
        <w:ind w:right="61" w:firstLine="1200"/>
        <w:rPr>
          <w:rFonts w:ascii="宋体" w:hAnsi="宋体" w:eastAsia="宋体" w:cs="宋体"/>
          <w:sz w:val="24"/>
          <w:szCs w:val="24"/>
        </w:rPr>
      </w:pPr>
      <w:r>
        <w:rPr>
          <w:rFonts w:ascii="宋体" w:hAnsi="宋体" w:eastAsia="宋体" w:cs="宋体"/>
          <w:spacing w:val="-2"/>
          <w:sz w:val="24"/>
          <w:szCs w:val="24"/>
        </w:rPr>
        <w:t>假设风速和风向的</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时间段内保持不变。当</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Td</w:t>
      </w:r>
      <w:r>
        <w:rPr>
          <w:rFonts w:ascii="Times New Roman" w:hAnsi="Times New Roman" w:eastAsia="Times New Roman" w:cs="Times New Roman"/>
          <w:spacing w:val="-3"/>
          <w:sz w:val="24"/>
          <w:szCs w:val="24"/>
        </w:rPr>
        <w:t>&gt;T</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时，可被认为是连续排</w:t>
      </w:r>
      <w:r>
        <w:rPr>
          <w:rFonts w:ascii="宋体" w:hAnsi="宋体" w:eastAsia="宋体" w:cs="宋体"/>
          <w:sz w:val="24"/>
          <w:szCs w:val="24"/>
        </w:rPr>
        <w:t xml:space="preserve"> </w:t>
      </w:r>
      <w:r>
        <w:rPr>
          <w:rFonts w:ascii="宋体" w:hAnsi="宋体" w:eastAsia="宋体" w:cs="宋体"/>
          <w:spacing w:val="-2"/>
          <w:sz w:val="24"/>
          <w:szCs w:val="24"/>
        </w:rPr>
        <w:t>放的；当</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Td≤T</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时，可被认为是瞬时排放。</w:t>
      </w:r>
    </w:p>
    <w:p w14:paraId="1CC18D52">
      <w:pPr>
        <w:spacing w:before="3" w:line="358" w:lineRule="auto"/>
        <w:ind w:left="6" w:firstLine="478"/>
        <w:jc w:val="both"/>
        <w:rPr>
          <w:rFonts w:ascii="宋体" w:hAnsi="宋体" w:eastAsia="宋体" w:cs="宋体"/>
          <w:sz w:val="24"/>
          <w:szCs w:val="24"/>
        </w:rPr>
      </w:pPr>
      <w:r>
        <w:rPr>
          <w:rFonts w:ascii="宋体" w:hAnsi="宋体" w:eastAsia="宋体" w:cs="宋体"/>
          <w:spacing w:val="-4"/>
          <w:sz w:val="24"/>
          <w:szCs w:val="24"/>
        </w:rPr>
        <w:t>项目所在地近</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年平均风速为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1.5m/s</w:t>
      </w:r>
      <w:r>
        <w:rPr>
          <w:rFonts w:ascii="宋体" w:hAnsi="宋体" w:eastAsia="宋体" w:cs="宋体"/>
          <w:spacing w:val="-4"/>
          <w:sz w:val="24"/>
          <w:szCs w:val="24"/>
        </w:rPr>
        <w:t>，化学品仓库距离厂外最近敏感点约</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15m</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因此可计算出</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10s</w:t>
      </w:r>
      <w:r>
        <w:rPr>
          <w:rFonts w:ascii="宋体" w:hAnsi="宋体" w:eastAsia="宋体" w:cs="宋体"/>
          <w:spacing w:val="-2"/>
          <w:sz w:val="24"/>
          <w:szCs w:val="24"/>
        </w:rPr>
        <w:t>，而假设的危险物质泄漏事故发生时长</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Td </w:t>
      </w:r>
      <w:r>
        <w:rPr>
          <w:rFonts w:ascii="宋体" w:hAnsi="宋体" w:eastAsia="宋体" w:cs="宋体"/>
          <w:spacing w:val="-2"/>
          <w:sz w:val="24"/>
          <w:szCs w:val="24"/>
        </w:rPr>
        <w:t>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30min</w:t>
      </w:r>
      <w:r>
        <w:rPr>
          <w:rFonts w:ascii="宋体" w:hAnsi="宋体" w:eastAsia="宋体" w:cs="宋体"/>
          <w:spacing w:val="-3"/>
          <w:sz w:val="24"/>
          <w:szCs w:val="24"/>
        </w:rPr>
        <w:t>，因此设</w:t>
      </w:r>
      <w:r>
        <w:rPr>
          <w:rFonts w:ascii="宋体" w:hAnsi="宋体" w:eastAsia="宋体" w:cs="宋体"/>
          <w:sz w:val="24"/>
          <w:szCs w:val="24"/>
        </w:rPr>
        <w:t xml:space="preserve"> </w:t>
      </w:r>
      <w:r>
        <w:rPr>
          <w:rFonts w:ascii="宋体" w:hAnsi="宋体" w:eastAsia="宋体" w:cs="宋体"/>
          <w:spacing w:val="-1"/>
          <w:sz w:val="24"/>
          <w:szCs w:val="24"/>
        </w:rPr>
        <w:t>定的风险事故情形下，为连续排放。</w:t>
      </w:r>
    </w:p>
    <w:p w14:paraId="501C979A">
      <w:pPr>
        <w:spacing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）气体性质判定</w:t>
      </w:r>
    </w:p>
    <w:p w14:paraId="0782C380">
      <w:pPr>
        <w:spacing w:before="182"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）理查德森数定义及计算公式</w:t>
      </w:r>
    </w:p>
    <w:p w14:paraId="2C5D38F8">
      <w:pPr>
        <w:spacing w:before="182" w:line="352" w:lineRule="auto"/>
        <w:ind w:left="4" w:right="61" w:firstLine="476"/>
        <w:rPr>
          <w:rFonts w:ascii="宋体" w:hAnsi="宋体" w:eastAsia="宋体" w:cs="宋体"/>
          <w:sz w:val="24"/>
          <w:szCs w:val="24"/>
        </w:rPr>
      </w:pPr>
      <w:r>
        <w:rPr>
          <w:rFonts w:ascii="宋体" w:hAnsi="宋体" w:eastAsia="宋体" w:cs="宋体"/>
          <w:spacing w:val="-4"/>
          <w:sz w:val="24"/>
          <w:szCs w:val="24"/>
        </w:rPr>
        <w:t>判定烟团</w:t>
      </w:r>
      <w:r>
        <w:rPr>
          <w:rFonts w:ascii="Times New Roman" w:hAnsi="Times New Roman" w:eastAsia="Times New Roman" w:cs="Times New Roman"/>
          <w:spacing w:val="-4"/>
          <w:sz w:val="24"/>
          <w:szCs w:val="24"/>
        </w:rPr>
        <w:t>/</w:t>
      </w:r>
      <w:r>
        <w:rPr>
          <w:rFonts w:ascii="宋体" w:hAnsi="宋体" w:eastAsia="宋体" w:cs="宋体"/>
          <w:spacing w:val="-4"/>
          <w:sz w:val="24"/>
          <w:szCs w:val="24"/>
        </w:rPr>
        <w:t>烟羽是否为重质气体，取决于它相对空气的“过剩密度</w:t>
      </w:r>
      <w:r>
        <w:rPr>
          <w:rFonts w:ascii="宋体" w:hAnsi="宋体" w:eastAsia="宋体" w:cs="宋体"/>
          <w:spacing w:val="-89"/>
          <w:sz w:val="24"/>
          <w:szCs w:val="24"/>
        </w:rPr>
        <w:t xml:space="preserve"> </w:t>
      </w:r>
      <w:r>
        <w:rPr>
          <w:rFonts w:ascii="宋体" w:hAnsi="宋体" w:eastAsia="宋体" w:cs="宋体"/>
          <w:spacing w:val="-4"/>
          <w:sz w:val="24"/>
          <w:szCs w:val="24"/>
        </w:rPr>
        <w:t>”和环境条件等</w:t>
      </w:r>
      <w:r>
        <w:rPr>
          <w:rFonts w:ascii="宋体" w:hAnsi="宋体" w:eastAsia="宋体" w:cs="宋体"/>
          <w:sz w:val="24"/>
          <w:szCs w:val="24"/>
        </w:rPr>
        <w:t xml:space="preserve"> </w:t>
      </w:r>
      <w:r>
        <w:rPr>
          <w:rFonts w:ascii="宋体" w:hAnsi="宋体" w:eastAsia="宋体" w:cs="宋体"/>
          <w:spacing w:val="-2"/>
          <w:sz w:val="24"/>
          <w:szCs w:val="24"/>
        </w:rPr>
        <w:t>因素。通常采用理查德森数（</w:t>
      </w:r>
      <w:r>
        <w:rPr>
          <w:rFonts w:ascii="Times New Roman" w:hAnsi="Times New Roman" w:eastAsia="Times New Roman" w:cs="Times New Roman"/>
          <w:spacing w:val="-2"/>
          <w:sz w:val="24"/>
          <w:szCs w:val="24"/>
        </w:rPr>
        <w:t>Ri</w:t>
      </w:r>
      <w:r>
        <w:rPr>
          <w:rFonts w:ascii="宋体" w:hAnsi="宋体" w:eastAsia="宋体" w:cs="宋体"/>
          <w:spacing w:val="-2"/>
          <w:sz w:val="24"/>
          <w:szCs w:val="24"/>
        </w:rPr>
        <w:t>）作为标准进行判断。</w:t>
      </w:r>
      <w:r>
        <w:rPr>
          <w:rFonts w:ascii="Times New Roman" w:hAnsi="Times New Roman" w:eastAsia="Times New Roman" w:cs="Times New Roman"/>
          <w:spacing w:val="-2"/>
          <w:sz w:val="24"/>
          <w:szCs w:val="24"/>
        </w:rPr>
        <w:t xml:space="preserve">Ri </w:t>
      </w:r>
      <w:r>
        <w:rPr>
          <w:rFonts w:ascii="宋体" w:hAnsi="宋体" w:eastAsia="宋体" w:cs="宋体"/>
          <w:spacing w:val="-2"/>
          <w:sz w:val="24"/>
          <w:szCs w:val="24"/>
        </w:rPr>
        <w:t>是个流体动</w:t>
      </w:r>
      <w:r>
        <w:rPr>
          <w:rFonts w:ascii="宋体" w:hAnsi="宋体" w:eastAsia="宋体" w:cs="宋体"/>
          <w:spacing w:val="-3"/>
          <w:sz w:val="24"/>
          <w:szCs w:val="24"/>
        </w:rPr>
        <w:t>力学参数。根据</w:t>
      </w:r>
      <w:r>
        <w:rPr>
          <w:rFonts w:ascii="宋体" w:hAnsi="宋体" w:eastAsia="宋体" w:cs="宋体"/>
          <w:sz w:val="24"/>
          <w:szCs w:val="24"/>
        </w:rPr>
        <w:t xml:space="preserve"> </w:t>
      </w:r>
      <w:r>
        <w:rPr>
          <w:rFonts w:ascii="宋体" w:hAnsi="宋体" w:eastAsia="宋体" w:cs="宋体"/>
          <w:spacing w:val="-1"/>
          <w:sz w:val="24"/>
          <w:szCs w:val="24"/>
        </w:rPr>
        <w:t>不同的排放性质，理查德森数的计算公式不同。一般</w:t>
      </w:r>
      <w:r>
        <w:rPr>
          <w:rFonts w:ascii="宋体" w:hAnsi="宋体" w:eastAsia="宋体" w:cs="宋体"/>
          <w:spacing w:val="-2"/>
          <w:sz w:val="24"/>
          <w:szCs w:val="24"/>
        </w:rPr>
        <w:t>地，依据排放类型，理查德森数</w:t>
      </w:r>
      <w:r>
        <w:rPr>
          <w:rFonts w:ascii="宋体" w:hAnsi="宋体" w:eastAsia="宋体" w:cs="宋体"/>
          <w:sz w:val="24"/>
          <w:szCs w:val="24"/>
        </w:rPr>
        <w:t xml:space="preserve"> </w:t>
      </w:r>
      <w:r>
        <w:rPr>
          <w:rFonts w:ascii="宋体" w:hAnsi="宋体" w:eastAsia="宋体" w:cs="宋体"/>
          <w:spacing w:val="-1"/>
          <w:sz w:val="24"/>
          <w:szCs w:val="24"/>
        </w:rPr>
        <w:t>的计算分连续排放、瞬时排放两种形式，在连续排放情况下</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Ri </w:t>
      </w:r>
      <w:r>
        <w:rPr>
          <w:rFonts w:ascii="宋体" w:hAnsi="宋体" w:eastAsia="宋体" w:cs="宋体"/>
          <w:spacing w:val="-1"/>
          <w:sz w:val="24"/>
          <w:szCs w:val="24"/>
        </w:rPr>
        <w:t>计算公式为：</w:t>
      </w:r>
    </w:p>
    <w:p w14:paraId="492A657A">
      <w:pPr>
        <w:spacing w:line="1466" w:lineRule="exact"/>
        <w:ind w:firstLine="2715"/>
      </w:pPr>
      <w:r>
        <w:rPr>
          <w:position w:val="-29"/>
        </w:rPr>
        <w:drawing>
          <wp:inline distT="0" distB="0" distL="0" distR="0">
            <wp:extent cx="2461260" cy="93091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12"/>
                    <a:stretch>
                      <a:fillRect/>
                    </a:stretch>
                  </pic:blipFill>
                  <pic:spPr>
                    <a:xfrm>
                      <a:off x="0" y="0"/>
                      <a:ext cx="2461260" cy="931164"/>
                    </a:xfrm>
                    <a:prstGeom prst="rect">
                      <a:avLst/>
                    </a:prstGeom>
                  </pic:spPr>
                </pic:pic>
              </a:graphicData>
            </a:graphic>
          </wp:inline>
        </w:drawing>
      </w:r>
    </w:p>
    <w:p w14:paraId="7940ECC1">
      <w:pPr>
        <w:spacing w:before="174" w:line="210" w:lineRule="auto"/>
        <w:ind w:left="485"/>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ρrel——</w:t>
      </w:r>
      <w:r>
        <w:rPr>
          <w:rFonts w:ascii="宋体" w:hAnsi="宋体" w:eastAsia="宋体" w:cs="宋体"/>
          <w:spacing w:val="-1"/>
          <w:sz w:val="24"/>
          <w:szCs w:val="24"/>
        </w:rPr>
        <w:t>排放物质进入大气的初始密度，</w:t>
      </w:r>
      <w:r>
        <w:rPr>
          <w:rFonts w:ascii="Times New Roman" w:hAnsi="Times New Roman" w:eastAsia="Times New Roman" w:cs="Times New Roman"/>
          <w:spacing w:val="-1"/>
          <w:sz w:val="24"/>
          <w:szCs w:val="24"/>
        </w:rPr>
        <w:t>kg/m</w:t>
      </w:r>
      <w:r>
        <w:rPr>
          <w:rFonts w:ascii="Times New Roman" w:hAnsi="Times New Roman" w:eastAsia="Times New Roman" w:cs="Times New Roman"/>
          <w:spacing w:val="-1"/>
          <w:position w:val="8"/>
          <w:sz w:val="15"/>
          <w:szCs w:val="15"/>
        </w:rPr>
        <w:t>3</w:t>
      </w:r>
      <w:r>
        <w:rPr>
          <w:rFonts w:ascii="宋体" w:hAnsi="宋体" w:eastAsia="宋体" w:cs="宋体"/>
          <w:spacing w:val="-1"/>
          <w:sz w:val="24"/>
          <w:szCs w:val="24"/>
        </w:rPr>
        <w:t>；</w:t>
      </w:r>
    </w:p>
    <w:p w14:paraId="7CC8F2C7">
      <w:pPr>
        <w:spacing w:before="192" w:line="212" w:lineRule="auto"/>
        <w:ind w:left="1201"/>
        <w:rPr>
          <w:rFonts w:ascii="宋体" w:hAnsi="宋体" w:eastAsia="宋体" w:cs="宋体"/>
          <w:sz w:val="24"/>
          <w:szCs w:val="24"/>
        </w:rPr>
      </w:pPr>
      <w:r>
        <w:rPr>
          <w:rFonts w:ascii="Times New Roman" w:hAnsi="Times New Roman" w:eastAsia="Times New Roman" w:cs="Times New Roman"/>
          <w:spacing w:val="-1"/>
          <w:sz w:val="24"/>
          <w:szCs w:val="24"/>
        </w:rPr>
        <w:t>ρa——</w:t>
      </w:r>
      <w:r>
        <w:rPr>
          <w:rFonts w:ascii="宋体" w:hAnsi="宋体" w:eastAsia="宋体" w:cs="宋体"/>
          <w:spacing w:val="-1"/>
          <w:sz w:val="24"/>
          <w:szCs w:val="24"/>
        </w:rPr>
        <w:t>环境空气密度，</w:t>
      </w:r>
      <w:r>
        <w:rPr>
          <w:rFonts w:ascii="Times New Roman" w:hAnsi="Times New Roman" w:eastAsia="Times New Roman" w:cs="Times New Roman"/>
          <w:spacing w:val="-1"/>
          <w:sz w:val="24"/>
          <w:szCs w:val="24"/>
        </w:rPr>
        <w:t>kg/m</w:t>
      </w:r>
      <w:r>
        <w:rPr>
          <w:rFonts w:ascii="Times New Roman" w:hAnsi="Times New Roman" w:eastAsia="Times New Roman" w:cs="Times New Roman"/>
          <w:spacing w:val="-1"/>
          <w:position w:val="7"/>
          <w:sz w:val="15"/>
          <w:szCs w:val="15"/>
        </w:rPr>
        <w:t>3</w:t>
      </w:r>
      <w:r>
        <w:rPr>
          <w:rFonts w:ascii="宋体" w:hAnsi="宋体" w:eastAsia="宋体" w:cs="宋体"/>
          <w:spacing w:val="-1"/>
          <w:sz w:val="24"/>
          <w:szCs w:val="24"/>
        </w:rPr>
        <w:t>；</w:t>
      </w:r>
    </w:p>
    <w:p w14:paraId="0D1A5750">
      <w:pPr>
        <w:spacing w:before="193" w:line="210" w:lineRule="auto"/>
        <w:ind w:left="1200"/>
        <w:rPr>
          <w:rFonts w:ascii="宋体" w:hAnsi="宋体" w:eastAsia="宋体" w:cs="宋体"/>
          <w:sz w:val="24"/>
          <w:szCs w:val="24"/>
        </w:rPr>
      </w:pPr>
      <w:r>
        <w:rPr>
          <w:rFonts w:ascii="Times New Roman" w:hAnsi="Times New Roman" w:eastAsia="Times New Roman" w:cs="Times New Roman"/>
          <w:spacing w:val="-1"/>
          <w:sz w:val="24"/>
          <w:szCs w:val="24"/>
        </w:rPr>
        <w:t>Q——</w:t>
      </w:r>
      <w:r>
        <w:rPr>
          <w:rFonts w:ascii="宋体" w:hAnsi="宋体" w:eastAsia="宋体" w:cs="宋体"/>
          <w:spacing w:val="-1"/>
          <w:sz w:val="24"/>
          <w:szCs w:val="24"/>
        </w:rPr>
        <w:t>连续排放烟羽的排放速率，</w:t>
      </w:r>
      <w:r>
        <w:rPr>
          <w:rFonts w:ascii="Times New Roman" w:hAnsi="Times New Roman" w:eastAsia="Times New Roman" w:cs="Times New Roman"/>
          <w:spacing w:val="-1"/>
          <w:sz w:val="24"/>
          <w:szCs w:val="24"/>
        </w:rPr>
        <w:t>kg/s</w:t>
      </w:r>
      <w:r>
        <w:rPr>
          <w:rFonts w:ascii="宋体" w:hAnsi="宋体" w:eastAsia="宋体" w:cs="宋体"/>
          <w:spacing w:val="-1"/>
          <w:sz w:val="24"/>
          <w:szCs w:val="24"/>
        </w:rPr>
        <w:t>；</w:t>
      </w:r>
    </w:p>
    <w:p w14:paraId="4CF5231B">
      <w:pPr>
        <w:spacing w:before="192" w:line="219" w:lineRule="auto"/>
        <w:ind w:left="1195"/>
        <w:rPr>
          <w:rFonts w:ascii="宋体" w:hAnsi="宋体" w:eastAsia="宋体" w:cs="宋体"/>
          <w:sz w:val="24"/>
          <w:szCs w:val="24"/>
        </w:rPr>
      </w:pPr>
      <w:r>
        <w:rPr>
          <w:rFonts w:ascii="Times New Roman" w:hAnsi="Times New Roman" w:eastAsia="Times New Roman" w:cs="Times New Roman"/>
          <w:spacing w:val="-1"/>
          <w:sz w:val="24"/>
          <w:szCs w:val="24"/>
        </w:rPr>
        <w:t>Drel——</w:t>
      </w:r>
      <w:r>
        <w:rPr>
          <w:rFonts w:ascii="宋体" w:hAnsi="宋体" w:eastAsia="宋体" w:cs="宋体"/>
          <w:spacing w:val="-1"/>
          <w:sz w:val="24"/>
          <w:szCs w:val="24"/>
        </w:rPr>
        <w:t>初始的烟羽宽度，即源直径，</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4ED8BBAF">
      <w:pPr>
        <w:spacing w:before="184" w:line="219" w:lineRule="auto"/>
        <w:ind w:left="1192"/>
        <w:rPr>
          <w:rFonts w:ascii="宋体" w:hAnsi="宋体" w:eastAsia="宋体" w:cs="宋体"/>
          <w:sz w:val="24"/>
          <w:szCs w:val="24"/>
        </w:rPr>
      </w:pPr>
      <w:r>
        <w:rPr>
          <w:rFonts w:ascii="Times New Roman" w:hAnsi="Times New Roman" w:eastAsia="Times New Roman" w:cs="Times New Roman"/>
          <w:spacing w:val="-2"/>
          <w:sz w:val="24"/>
          <w:szCs w:val="24"/>
        </w:rPr>
        <w:t>Ur——10m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高处的风速，</w:t>
      </w:r>
      <w:r>
        <w:rPr>
          <w:rFonts w:ascii="Times New Roman" w:hAnsi="Times New Roman" w:eastAsia="Times New Roman" w:cs="Times New Roman"/>
          <w:spacing w:val="-2"/>
          <w:sz w:val="24"/>
          <w:szCs w:val="24"/>
        </w:rPr>
        <w:t>m/s</w:t>
      </w:r>
      <w:r>
        <w:rPr>
          <w:rFonts w:ascii="宋体" w:hAnsi="宋体" w:eastAsia="宋体" w:cs="宋体"/>
          <w:spacing w:val="-2"/>
          <w:sz w:val="24"/>
          <w:szCs w:val="24"/>
        </w:rPr>
        <w:t>。</w:t>
      </w:r>
    </w:p>
    <w:p w14:paraId="64DBC437">
      <w:pPr>
        <w:spacing w:before="180" w:line="363" w:lineRule="auto"/>
        <w:ind w:right="61" w:firstLine="480"/>
        <w:rPr>
          <w:rFonts w:ascii="宋体" w:hAnsi="宋体" w:eastAsia="宋体" w:cs="宋体"/>
          <w:sz w:val="24"/>
          <w:szCs w:val="24"/>
        </w:rPr>
      </w:pPr>
      <w:r>
        <w:rPr>
          <w:rFonts w:ascii="宋体" w:hAnsi="宋体" w:eastAsia="宋体" w:cs="宋体"/>
          <w:spacing w:val="6"/>
          <w:sz w:val="24"/>
          <w:szCs w:val="24"/>
        </w:rPr>
        <w:t>在最不利气象条件时，各物质理查德森数计算结果及气</w:t>
      </w:r>
      <w:r>
        <w:rPr>
          <w:rFonts w:ascii="宋体" w:hAnsi="宋体" w:eastAsia="宋体" w:cs="宋体"/>
          <w:spacing w:val="5"/>
          <w:sz w:val="24"/>
          <w:szCs w:val="24"/>
        </w:rPr>
        <w:t>体性质判定结果详见下</w:t>
      </w:r>
      <w:r>
        <w:rPr>
          <w:rFonts w:ascii="宋体" w:hAnsi="宋体" w:eastAsia="宋体" w:cs="宋体"/>
          <w:sz w:val="24"/>
          <w:szCs w:val="24"/>
        </w:rPr>
        <w:t xml:space="preserve"> </w:t>
      </w:r>
      <w:r>
        <w:rPr>
          <w:rFonts w:ascii="宋体" w:hAnsi="宋体" w:eastAsia="宋体" w:cs="宋体"/>
          <w:spacing w:val="-5"/>
          <w:sz w:val="24"/>
          <w:szCs w:val="24"/>
        </w:rPr>
        <w:t>表。</w:t>
      </w:r>
    </w:p>
    <w:p w14:paraId="2EAAC947">
      <w:pPr>
        <w:spacing w:line="363" w:lineRule="auto"/>
        <w:rPr>
          <w:rFonts w:ascii="宋体" w:hAnsi="宋体" w:eastAsia="宋体" w:cs="宋体"/>
          <w:sz w:val="24"/>
          <w:szCs w:val="24"/>
        </w:rPr>
        <w:sectPr>
          <w:footerReference r:id="rId139" w:type="default"/>
          <w:pgSz w:w="11906" w:h="16839"/>
          <w:pgMar w:top="400" w:right="1469" w:bottom="1127" w:left="1539" w:header="0" w:footer="965" w:gutter="0"/>
          <w:cols w:space="720" w:num="1"/>
        </w:sectPr>
      </w:pPr>
    </w:p>
    <w:p w14:paraId="49CE8B54">
      <w:pPr>
        <w:spacing w:line="250" w:lineRule="auto"/>
        <w:rPr>
          <w:rFonts w:ascii="Arial"/>
          <w:sz w:val="21"/>
        </w:rPr>
      </w:pPr>
    </w:p>
    <w:p w14:paraId="5D7F41E0">
      <w:pPr>
        <w:spacing w:line="250" w:lineRule="auto"/>
        <w:rPr>
          <w:rFonts w:ascii="Arial"/>
          <w:sz w:val="21"/>
        </w:rPr>
      </w:pPr>
    </w:p>
    <w:p w14:paraId="19F6E250">
      <w:pPr>
        <w:spacing w:line="250" w:lineRule="auto"/>
        <w:rPr>
          <w:rFonts w:ascii="Arial"/>
          <w:sz w:val="21"/>
        </w:rPr>
      </w:pPr>
    </w:p>
    <w:p w14:paraId="101FFD0D">
      <w:pPr>
        <w:spacing w:line="250" w:lineRule="auto"/>
        <w:rPr>
          <w:rFonts w:ascii="Arial"/>
          <w:sz w:val="21"/>
        </w:rPr>
      </w:pPr>
    </w:p>
    <w:p w14:paraId="393F993F">
      <w:pPr>
        <w:spacing w:line="251" w:lineRule="auto"/>
        <w:rPr>
          <w:rFonts w:ascii="Arial"/>
          <w:sz w:val="21"/>
        </w:rPr>
      </w:pPr>
    </w:p>
    <w:p w14:paraId="398F7701">
      <w:pPr>
        <w:spacing w:before="78" w:line="219" w:lineRule="auto"/>
        <w:ind w:left="3004"/>
        <w:outlineLvl w:val="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3"/>
          <w:sz w:val="24"/>
          <w:szCs w:val="24"/>
        </w:rPr>
        <w:t xml:space="preserve">26    </w:t>
      </w:r>
      <w:r>
        <w:rPr>
          <w:rFonts w:ascii="宋体" w:hAnsi="宋体" w:eastAsia="宋体" w:cs="宋体"/>
          <w:b/>
          <w:bCs/>
          <w:spacing w:val="-3"/>
          <w:sz w:val="24"/>
          <w:szCs w:val="24"/>
        </w:rPr>
        <w:t>理查德森数计算结果</w:t>
      </w:r>
    </w:p>
    <w:p w14:paraId="2B8730E1">
      <w:pPr>
        <w:spacing w:line="146" w:lineRule="exact"/>
      </w:pPr>
    </w:p>
    <w:tbl>
      <w:tblPr>
        <w:tblStyle w:val="5"/>
        <w:tblW w:w="8181" w:type="dxa"/>
        <w:tblInd w:w="3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1829"/>
        <w:gridCol w:w="843"/>
        <w:gridCol w:w="956"/>
        <w:gridCol w:w="969"/>
        <w:gridCol w:w="923"/>
        <w:gridCol w:w="945"/>
        <w:gridCol w:w="973"/>
      </w:tblGrid>
      <w:tr w14:paraId="35FDC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43" w:type="dxa"/>
            <w:vAlign w:val="top"/>
          </w:tcPr>
          <w:p w14:paraId="494D34BF">
            <w:pPr>
              <w:pStyle w:val="6"/>
              <w:spacing w:before="86" w:line="228" w:lineRule="auto"/>
              <w:ind w:left="166"/>
              <w:rPr>
                <w:sz w:val="20"/>
                <w:szCs w:val="20"/>
              </w:rPr>
            </w:pPr>
            <w:r>
              <w:rPr>
                <w:b/>
                <w:bCs/>
                <w:spacing w:val="3"/>
                <w:sz w:val="20"/>
                <w:szCs w:val="20"/>
              </w:rPr>
              <w:t>符号</w:t>
            </w:r>
          </w:p>
        </w:tc>
        <w:tc>
          <w:tcPr>
            <w:tcW w:w="1829" w:type="dxa"/>
            <w:vAlign w:val="top"/>
          </w:tcPr>
          <w:p w14:paraId="4235FF96">
            <w:pPr>
              <w:pStyle w:val="6"/>
              <w:spacing w:before="86" w:line="228" w:lineRule="auto"/>
              <w:ind w:left="708"/>
              <w:rPr>
                <w:sz w:val="20"/>
                <w:szCs w:val="20"/>
              </w:rPr>
            </w:pPr>
            <w:r>
              <w:rPr>
                <w:b/>
                <w:bCs/>
                <w:spacing w:val="3"/>
                <w:sz w:val="20"/>
                <w:szCs w:val="20"/>
              </w:rPr>
              <w:t>含义</w:t>
            </w:r>
          </w:p>
        </w:tc>
        <w:tc>
          <w:tcPr>
            <w:tcW w:w="843" w:type="dxa"/>
            <w:vAlign w:val="top"/>
          </w:tcPr>
          <w:p w14:paraId="6F495097">
            <w:pPr>
              <w:pStyle w:val="6"/>
              <w:spacing w:before="87" w:line="228" w:lineRule="auto"/>
              <w:ind w:left="217"/>
              <w:rPr>
                <w:sz w:val="20"/>
                <w:szCs w:val="20"/>
              </w:rPr>
            </w:pPr>
            <w:r>
              <w:rPr>
                <w:b/>
                <w:bCs/>
                <w:spacing w:val="3"/>
                <w:sz w:val="20"/>
                <w:szCs w:val="20"/>
              </w:rPr>
              <w:t>单位</w:t>
            </w:r>
          </w:p>
        </w:tc>
        <w:tc>
          <w:tcPr>
            <w:tcW w:w="956" w:type="dxa"/>
            <w:vAlign w:val="top"/>
          </w:tcPr>
          <w:p w14:paraId="5992E21A">
            <w:pPr>
              <w:pStyle w:val="6"/>
              <w:spacing w:before="86" w:line="229" w:lineRule="auto"/>
              <w:ind w:left="274"/>
              <w:rPr>
                <w:sz w:val="20"/>
                <w:szCs w:val="20"/>
              </w:rPr>
            </w:pPr>
            <w:r>
              <w:rPr>
                <w:b/>
                <w:bCs/>
                <w:spacing w:val="3"/>
                <w:sz w:val="20"/>
                <w:szCs w:val="20"/>
              </w:rPr>
              <w:t>盐酸</w:t>
            </w:r>
          </w:p>
        </w:tc>
        <w:tc>
          <w:tcPr>
            <w:tcW w:w="969" w:type="dxa"/>
            <w:vAlign w:val="top"/>
          </w:tcPr>
          <w:p w14:paraId="62AFEACB">
            <w:pPr>
              <w:pStyle w:val="6"/>
              <w:spacing w:before="86" w:line="228" w:lineRule="auto"/>
              <w:ind w:left="173"/>
              <w:rPr>
                <w:sz w:val="20"/>
                <w:szCs w:val="20"/>
              </w:rPr>
            </w:pPr>
            <w:r>
              <w:rPr>
                <w:b/>
                <w:bCs/>
                <w:spacing w:val="5"/>
                <w:sz w:val="20"/>
                <w:szCs w:val="20"/>
              </w:rPr>
              <w:t>氢氟酸</w:t>
            </w:r>
          </w:p>
        </w:tc>
        <w:tc>
          <w:tcPr>
            <w:tcW w:w="923" w:type="dxa"/>
            <w:vAlign w:val="top"/>
          </w:tcPr>
          <w:p w14:paraId="455CFDCF">
            <w:pPr>
              <w:pStyle w:val="6"/>
              <w:spacing w:before="86" w:line="229" w:lineRule="auto"/>
              <w:ind w:left="255"/>
              <w:rPr>
                <w:sz w:val="20"/>
                <w:szCs w:val="20"/>
              </w:rPr>
            </w:pPr>
            <w:r>
              <w:rPr>
                <w:b/>
                <w:bCs/>
                <w:spacing w:val="4"/>
                <w:sz w:val="20"/>
                <w:szCs w:val="20"/>
              </w:rPr>
              <w:t>硫酸</w:t>
            </w:r>
          </w:p>
        </w:tc>
        <w:tc>
          <w:tcPr>
            <w:tcW w:w="945" w:type="dxa"/>
            <w:vAlign w:val="top"/>
          </w:tcPr>
          <w:p w14:paraId="11E308DF">
            <w:pPr>
              <w:pStyle w:val="6"/>
              <w:spacing w:before="86" w:line="229" w:lineRule="auto"/>
              <w:ind w:left="270"/>
              <w:rPr>
                <w:sz w:val="20"/>
                <w:szCs w:val="20"/>
              </w:rPr>
            </w:pPr>
            <w:r>
              <w:rPr>
                <w:b/>
                <w:bCs/>
                <w:spacing w:val="3"/>
                <w:sz w:val="20"/>
                <w:szCs w:val="20"/>
              </w:rPr>
              <w:t>硝酸</w:t>
            </w:r>
          </w:p>
        </w:tc>
        <w:tc>
          <w:tcPr>
            <w:tcW w:w="973" w:type="dxa"/>
            <w:vAlign w:val="top"/>
          </w:tcPr>
          <w:p w14:paraId="1C3A79BE">
            <w:pPr>
              <w:pStyle w:val="6"/>
              <w:spacing w:before="87" w:line="228" w:lineRule="auto"/>
              <w:ind w:left="285"/>
              <w:rPr>
                <w:sz w:val="20"/>
                <w:szCs w:val="20"/>
              </w:rPr>
            </w:pPr>
            <w:r>
              <w:rPr>
                <w:b/>
                <w:bCs/>
                <w:spacing w:val="1"/>
                <w:sz w:val="20"/>
                <w:szCs w:val="20"/>
              </w:rPr>
              <w:t>丙酮</w:t>
            </w:r>
          </w:p>
        </w:tc>
      </w:tr>
      <w:tr w14:paraId="02911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43" w:type="dxa"/>
            <w:vAlign w:val="top"/>
          </w:tcPr>
          <w:p w14:paraId="0872EC71">
            <w:pPr>
              <w:spacing w:before="115" w:line="199"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Ri</w:t>
            </w:r>
          </w:p>
        </w:tc>
        <w:tc>
          <w:tcPr>
            <w:tcW w:w="1829" w:type="dxa"/>
            <w:vAlign w:val="top"/>
          </w:tcPr>
          <w:p w14:paraId="3EE009E5">
            <w:pPr>
              <w:pStyle w:val="6"/>
              <w:spacing w:before="82" w:line="228" w:lineRule="auto"/>
              <w:ind w:left="396"/>
              <w:rPr>
                <w:sz w:val="20"/>
                <w:szCs w:val="20"/>
              </w:rPr>
            </w:pPr>
            <w:r>
              <w:rPr>
                <w:spacing w:val="7"/>
                <w:sz w:val="20"/>
                <w:szCs w:val="20"/>
              </w:rPr>
              <w:t>理查德森数</w:t>
            </w:r>
          </w:p>
        </w:tc>
        <w:tc>
          <w:tcPr>
            <w:tcW w:w="843" w:type="dxa"/>
            <w:vAlign w:val="top"/>
          </w:tcPr>
          <w:p w14:paraId="08C57C5E">
            <w:pPr>
              <w:spacing w:before="115"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6" w:type="dxa"/>
            <w:vAlign w:val="top"/>
          </w:tcPr>
          <w:p w14:paraId="59E1F595">
            <w:pPr>
              <w:spacing w:before="119"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w:t>
            </w:r>
          </w:p>
        </w:tc>
        <w:tc>
          <w:tcPr>
            <w:tcW w:w="969" w:type="dxa"/>
            <w:vAlign w:val="top"/>
          </w:tcPr>
          <w:p w14:paraId="114B6E3E">
            <w:pPr>
              <w:spacing w:before="11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-0.045</w:t>
            </w:r>
          </w:p>
        </w:tc>
        <w:tc>
          <w:tcPr>
            <w:tcW w:w="923" w:type="dxa"/>
            <w:vAlign w:val="top"/>
          </w:tcPr>
          <w:p w14:paraId="21E6A716">
            <w:pPr>
              <w:spacing w:before="119"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w:t>
            </w:r>
          </w:p>
        </w:tc>
        <w:tc>
          <w:tcPr>
            <w:tcW w:w="945" w:type="dxa"/>
            <w:vAlign w:val="top"/>
          </w:tcPr>
          <w:p w14:paraId="1357132A">
            <w:pPr>
              <w:spacing w:before="11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w:t>
            </w:r>
          </w:p>
        </w:tc>
        <w:tc>
          <w:tcPr>
            <w:tcW w:w="973" w:type="dxa"/>
            <w:vAlign w:val="top"/>
          </w:tcPr>
          <w:p w14:paraId="4EAB73D2">
            <w:pPr>
              <w:spacing w:before="11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-0.181</w:t>
            </w:r>
          </w:p>
        </w:tc>
      </w:tr>
      <w:tr w14:paraId="23DC5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743" w:type="dxa"/>
            <w:vAlign w:val="top"/>
          </w:tcPr>
          <w:p w14:paraId="6D7D8727">
            <w:pPr>
              <w:spacing w:before="166" w:line="143" w:lineRule="exact"/>
              <w:ind w:left="3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w:t>
            </w:r>
          </w:p>
        </w:tc>
        <w:tc>
          <w:tcPr>
            <w:tcW w:w="1829" w:type="dxa"/>
            <w:vAlign w:val="top"/>
          </w:tcPr>
          <w:p w14:paraId="077FEAF2">
            <w:pPr>
              <w:pStyle w:val="6"/>
              <w:spacing w:before="81" w:line="228" w:lineRule="auto"/>
              <w:ind w:left="394"/>
              <w:rPr>
                <w:sz w:val="20"/>
                <w:szCs w:val="20"/>
              </w:rPr>
            </w:pPr>
            <w:r>
              <w:rPr>
                <w:spacing w:val="7"/>
                <w:sz w:val="20"/>
                <w:szCs w:val="20"/>
              </w:rPr>
              <w:t>重力加速度</w:t>
            </w:r>
          </w:p>
        </w:tc>
        <w:tc>
          <w:tcPr>
            <w:tcW w:w="843" w:type="dxa"/>
            <w:vAlign w:val="top"/>
          </w:tcPr>
          <w:p w14:paraId="0E991FAD">
            <w:pPr>
              <w:spacing w:before="100" w:line="216" w:lineRule="auto"/>
              <w:ind w:left="23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m/s</w:t>
            </w:r>
            <w:r>
              <w:rPr>
                <w:rFonts w:ascii="Times New Roman" w:hAnsi="Times New Roman" w:eastAsia="Times New Roman" w:cs="Times New Roman"/>
                <w:spacing w:val="4"/>
                <w:position w:val="5"/>
                <w:sz w:val="13"/>
                <w:szCs w:val="13"/>
              </w:rPr>
              <w:t>2</w:t>
            </w:r>
          </w:p>
        </w:tc>
        <w:tc>
          <w:tcPr>
            <w:tcW w:w="956" w:type="dxa"/>
            <w:vAlign w:val="top"/>
          </w:tcPr>
          <w:p w14:paraId="206E4442">
            <w:pPr>
              <w:spacing w:before="12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969" w:type="dxa"/>
            <w:vAlign w:val="top"/>
          </w:tcPr>
          <w:p w14:paraId="17830456">
            <w:pPr>
              <w:spacing w:before="1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923" w:type="dxa"/>
            <w:vAlign w:val="top"/>
          </w:tcPr>
          <w:p w14:paraId="4C7296F3">
            <w:pPr>
              <w:spacing w:before="120"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945" w:type="dxa"/>
            <w:vAlign w:val="top"/>
          </w:tcPr>
          <w:p w14:paraId="7F394CDF">
            <w:pPr>
              <w:spacing w:before="12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c>
          <w:tcPr>
            <w:tcW w:w="973" w:type="dxa"/>
            <w:vAlign w:val="top"/>
          </w:tcPr>
          <w:p w14:paraId="05590FF2">
            <w:pPr>
              <w:spacing w:before="12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9.81</w:t>
            </w:r>
          </w:p>
        </w:tc>
      </w:tr>
      <w:tr w14:paraId="0C00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43" w:type="dxa"/>
            <w:vAlign w:val="top"/>
          </w:tcPr>
          <w:p w14:paraId="4FA62C5C">
            <w:pPr>
              <w:spacing w:before="224" w:line="201"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ρ</w:t>
            </w:r>
            <w:r>
              <w:rPr>
                <w:rFonts w:ascii="Times New Roman" w:hAnsi="Times New Roman" w:eastAsia="Times New Roman" w:cs="Times New Roman"/>
                <w:sz w:val="20"/>
                <w:szCs w:val="20"/>
              </w:rPr>
              <w:t>rel</w:t>
            </w:r>
          </w:p>
        </w:tc>
        <w:tc>
          <w:tcPr>
            <w:tcW w:w="1829" w:type="dxa"/>
            <w:vAlign w:val="top"/>
          </w:tcPr>
          <w:p w14:paraId="278C697B">
            <w:pPr>
              <w:pStyle w:val="6"/>
              <w:spacing w:before="56" w:line="246" w:lineRule="auto"/>
              <w:ind w:left="288" w:right="178" w:hanging="104"/>
              <w:rPr>
                <w:sz w:val="20"/>
                <w:szCs w:val="20"/>
              </w:rPr>
            </w:pPr>
            <w:r>
              <w:rPr>
                <w:spacing w:val="8"/>
                <w:sz w:val="20"/>
                <w:szCs w:val="20"/>
              </w:rPr>
              <w:t>排放物质进入大</w:t>
            </w:r>
            <w:r>
              <w:rPr>
                <w:spacing w:val="3"/>
                <w:sz w:val="20"/>
                <w:szCs w:val="20"/>
              </w:rPr>
              <w:t xml:space="preserve"> </w:t>
            </w:r>
            <w:r>
              <w:rPr>
                <w:spacing w:val="8"/>
                <w:sz w:val="20"/>
                <w:szCs w:val="20"/>
              </w:rPr>
              <w:t>气的初始密度</w:t>
            </w:r>
          </w:p>
        </w:tc>
        <w:tc>
          <w:tcPr>
            <w:tcW w:w="843" w:type="dxa"/>
            <w:vAlign w:val="top"/>
          </w:tcPr>
          <w:p w14:paraId="124AA540">
            <w:pPr>
              <w:pStyle w:val="6"/>
              <w:spacing w:before="213" w:line="204" w:lineRule="auto"/>
              <w:ind w:left="151"/>
              <w:rPr>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/m</w:t>
            </w:r>
            <w:r>
              <w:rPr>
                <w:spacing w:val="7"/>
                <w:sz w:val="20"/>
                <w:szCs w:val="20"/>
              </w:rPr>
              <w:t>³</w:t>
            </w:r>
          </w:p>
        </w:tc>
        <w:tc>
          <w:tcPr>
            <w:tcW w:w="956" w:type="dxa"/>
            <w:vAlign w:val="top"/>
          </w:tcPr>
          <w:p w14:paraId="46BA569B">
            <w:pPr>
              <w:spacing w:before="22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1.477</w:t>
            </w:r>
          </w:p>
        </w:tc>
        <w:tc>
          <w:tcPr>
            <w:tcW w:w="969" w:type="dxa"/>
            <w:vAlign w:val="top"/>
          </w:tcPr>
          <w:p w14:paraId="259FFCD7">
            <w:pPr>
              <w:spacing w:before="225" w:line="189" w:lineRule="auto"/>
              <w:ind w:left="24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0.818</w:t>
            </w:r>
          </w:p>
        </w:tc>
        <w:tc>
          <w:tcPr>
            <w:tcW w:w="923" w:type="dxa"/>
            <w:vAlign w:val="top"/>
          </w:tcPr>
          <w:p w14:paraId="064BA4C5">
            <w:pPr>
              <w:spacing w:before="228"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1.831</w:t>
            </w:r>
          </w:p>
        </w:tc>
        <w:tc>
          <w:tcPr>
            <w:tcW w:w="945" w:type="dxa"/>
            <w:vAlign w:val="top"/>
          </w:tcPr>
          <w:p w14:paraId="17F63974">
            <w:pPr>
              <w:spacing w:before="22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1.311</w:t>
            </w:r>
          </w:p>
        </w:tc>
        <w:tc>
          <w:tcPr>
            <w:tcW w:w="973" w:type="dxa"/>
            <w:vAlign w:val="top"/>
          </w:tcPr>
          <w:p w14:paraId="074519A0">
            <w:pPr>
              <w:spacing w:before="228"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0.722</w:t>
            </w:r>
          </w:p>
        </w:tc>
      </w:tr>
      <w:tr w14:paraId="7816D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743" w:type="dxa"/>
            <w:vAlign w:val="top"/>
          </w:tcPr>
          <w:p w14:paraId="1E33A71F">
            <w:pPr>
              <w:spacing w:before="167" w:line="143"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ρa</w:t>
            </w:r>
          </w:p>
        </w:tc>
        <w:tc>
          <w:tcPr>
            <w:tcW w:w="1829" w:type="dxa"/>
            <w:vAlign w:val="top"/>
          </w:tcPr>
          <w:p w14:paraId="01DFBAC3">
            <w:pPr>
              <w:pStyle w:val="6"/>
              <w:spacing w:before="83" w:line="228" w:lineRule="auto"/>
              <w:ind w:left="288"/>
              <w:rPr>
                <w:sz w:val="20"/>
                <w:szCs w:val="20"/>
              </w:rPr>
            </w:pPr>
            <w:r>
              <w:rPr>
                <w:spacing w:val="8"/>
                <w:sz w:val="20"/>
                <w:szCs w:val="20"/>
              </w:rPr>
              <w:t>环境空气密度</w:t>
            </w:r>
          </w:p>
        </w:tc>
        <w:tc>
          <w:tcPr>
            <w:tcW w:w="843" w:type="dxa"/>
            <w:vAlign w:val="top"/>
          </w:tcPr>
          <w:p w14:paraId="74C6C608">
            <w:pPr>
              <w:pStyle w:val="6"/>
              <w:spacing w:before="104" w:line="204" w:lineRule="auto"/>
              <w:ind w:left="151"/>
              <w:rPr>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/m</w:t>
            </w:r>
            <w:r>
              <w:rPr>
                <w:spacing w:val="7"/>
                <w:sz w:val="20"/>
                <w:szCs w:val="20"/>
              </w:rPr>
              <w:t>³</w:t>
            </w:r>
          </w:p>
        </w:tc>
        <w:tc>
          <w:tcPr>
            <w:tcW w:w="956" w:type="dxa"/>
            <w:vAlign w:val="top"/>
          </w:tcPr>
          <w:p w14:paraId="1259CF25">
            <w:pPr>
              <w:spacing w:before="12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w:t>
            </w:r>
          </w:p>
        </w:tc>
        <w:tc>
          <w:tcPr>
            <w:tcW w:w="969" w:type="dxa"/>
            <w:vAlign w:val="top"/>
          </w:tcPr>
          <w:p w14:paraId="4DE89644">
            <w:pPr>
              <w:spacing w:before="12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w:t>
            </w:r>
          </w:p>
        </w:tc>
        <w:tc>
          <w:tcPr>
            <w:tcW w:w="923" w:type="dxa"/>
            <w:vAlign w:val="top"/>
          </w:tcPr>
          <w:p w14:paraId="09169145">
            <w:pPr>
              <w:spacing w:before="121"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w:t>
            </w:r>
          </w:p>
        </w:tc>
        <w:tc>
          <w:tcPr>
            <w:tcW w:w="945" w:type="dxa"/>
            <w:vAlign w:val="top"/>
          </w:tcPr>
          <w:p w14:paraId="0C95D703">
            <w:pPr>
              <w:spacing w:before="12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w:t>
            </w:r>
          </w:p>
        </w:tc>
        <w:tc>
          <w:tcPr>
            <w:tcW w:w="973" w:type="dxa"/>
            <w:vAlign w:val="top"/>
          </w:tcPr>
          <w:p w14:paraId="1197A12B">
            <w:pPr>
              <w:spacing w:before="121"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w:t>
            </w:r>
          </w:p>
        </w:tc>
      </w:tr>
      <w:tr w14:paraId="65810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43" w:type="dxa"/>
            <w:vAlign w:val="top"/>
          </w:tcPr>
          <w:p w14:paraId="5C9560A3">
            <w:pPr>
              <w:spacing w:before="230" w:line="197"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Q</w:t>
            </w:r>
          </w:p>
        </w:tc>
        <w:tc>
          <w:tcPr>
            <w:tcW w:w="1829" w:type="dxa"/>
            <w:vAlign w:val="top"/>
          </w:tcPr>
          <w:p w14:paraId="69E2ED59">
            <w:pPr>
              <w:pStyle w:val="6"/>
              <w:spacing w:before="58" w:line="245" w:lineRule="auto"/>
              <w:ind w:left="498" w:right="178" w:hanging="313"/>
              <w:rPr>
                <w:sz w:val="20"/>
                <w:szCs w:val="20"/>
              </w:rPr>
            </w:pPr>
            <w:r>
              <w:rPr>
                <w:spacing w:val="8"/>
                <w:sz w:val="20"/>
                <w:szCs w:val="20"/>
              </w:rPr>
              <w:t>连续排放烟羽的</w:t>
            </w:r>
            <w:r>
              <w:rPr>
                <w:spacing w:val="2"/>
                <w:sz w:val="20"/>
                <w:szCs w:val="20"/>
              </w:rPr>
              <w:t xml:space="preserve"> </w:t>
            </w:r>
            <w:r>
              <w:rPr>
                <w:spacing w:val="7"/>
                <w:sz w:val="20"/>
                <w:szCs w:val="20"/>
              </w:rPr>
              <w:t>排放速率</w:t>
            </w:r>
          </w:p>
        </w:tc>
        <w:tc>
          <w:tcPr>
            <w:tcW w:w="843" w:type="dxa"/>
            <w:vAlign w:val="top"/>
          </w:tcPr>
          <w:p w14:paraId="44D2015E">
            <w:pPr>
              <w:spacing w:before="227" w:line="201"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/s</w:t>
            </w:r>
          </w:p>
        </w:tc>
        <w:tc>
          <w:tcPr>
            <w:tcW w:w="956" w:type="dxa"/>
            <w:vAlign w:val="top"/>
          </w:tcPr>
          <w:p w14:paraId="75B3BEAA">
            <w:pPr>
              <w:spacing w:before="231"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0.00051</w:t>
            </w:r>
          </w:p>
        </w:tc>
        <w:tc>
          <w:tcPr>
            <w:tcW w:w="969" w:type="dxa"/>
            <w:vAlign w:val="top"/>
          </w:tcPr>
          <w:p w14:paraId="5D1747B2">
            <w:pPr>
              <w:spacing w:before="23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0.00018</w:t>
            </w:r>
          </w:p>
        </w:tc>
        <w:tc>
          <w:tcPr>
            <w:tcW w:w="923" w:type="dxa"/>
            <w:vAlign w:val="top"/>
          </w:tcPr>
          <w:p w14:paraId="26397451">
            <w:pPr>
              <w:spacing w:before="23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w:t>
            </w:r>
          </w:p>
        </w:tc>
        <w:tc>
          <w:tcPr>
            <w:tcW w:w="945" w:type="dxa"/>
            <w:vAlign w:val="top"/>
          </w:tcPr>
          <w:p w14:paraId="4B7F330D">
            <w:pPr>
              <w:spacing w:before="231"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0.00231</w:t>
            </w:r>
          </w:p>
        </w:tc>
        <w:tc>
          <w:tcPr>
            <w:tcW w:w="973" w:type="dxa"/>
            <w:vAlign w:val="top"/>
          </w:tcPr>
          <w:p w14:paraId="0B24464F">
            <w:pPr>
              <w:spacing w:before="231"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0.00837</w:t>
            </w:r>
          </w:p>
        </w:tc>
      </w:tr>
      <w:tr w14:paraId="71922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743" w:type="dxa"/>
            <w:vAlign w:val="top"/>
          </w:tcPr>
          <w:p w14:paraId="38CAB003">
            <w:pPr>
              <w:spacing w:before="120" w:line="199"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Drel</w:t>
            </w:r>
          </w:p>
        </w:tc>
        <w:tc>
          <w:tcPr>
            <w:tcW w:w="1829" w:type="dxa"/>
            <w:vAlign w:val="top"/>
          </w:tcPr>
          <w:p w14:paraId="11FDD6F8">
            <w:pPr>
              <w:pStyle w:val="6"/>
              <w:spacing w:before="86" w:line="228" w:lineRule="auto"/>
              <w:ind w:left="184"/>
              <w:rPr>
                <w:sz w:val="20"/>
                <w:szCs w:val="20"/>
              </w:rPr>
            </w:pPr>
            <w:r>
              <w:rPr>
                <w:spacing w:val="8"/>
                <w:sz w:val="20"/>
                <w:szCs w:val="20"/>
              </w:rPr>
              <w:t>初始的烟羽宽度</w:t>
            </w:r>
          </w:p>
        </w:tc>
        <w:tc>
          <w:tcPr>
            <w:tcW w:w="843" w:type="dxa"/>
            <w:vAlign w:val="top"/>
          </w:tcPr>
          <w:p w14:paraId="1EAF4906">
            <w:pPr>
              <w:spacing w:before="169" w:line="141"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56" w:type="dxa"/>
            <w:vAlign w:val="top"/>
          </w:tcPr>
          <w:p w14:paraId="6A9A5B93">
            <w:pPr>
              <w:spacing w:before="12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c>
          <w:tcPr>
            <w:tcW w:w="969" w:type="dxa"/>
            <w:vAlign w:val="top"/>
          </w:tcPr>
          <w:p w14:paraId="3BB0E4B1">
            <w:pPr>
              <w:spacing w:before="123"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c>
          <w:tcPr>
            <w:tcW w:w="923" w:type="dxa"/>
            <w:vAlign w:val="top"/>
          </w:tcPr>
          <w:p w14:paraId="56025645">
            <w:pPr>
              <w:spacing w:before="12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c>
          <w:tcPr>
            <w:tcW w:w="945" w:type="dxa"/>
            <w:vAlign w:val="top"/>
          </w:tcPr>
          <w:p w14:paraId="1663D5FA">
            <w:pPr>
              <w:spacing w:before="12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c>
          <w:tcPr>
            <w:tcW w:w="973" w:type="dxa"/>
            <w:vAlign w:val="top"/>
          </w:tcPr>
          <w:p w14:paraId="7B1A19DD">
            <w:pPr>
              <w:spacing w:before="12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r>
      <w:tr w14:paraId="72C68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43" w:type="dxa"/>
            <w:vAlign w:val="top"/>
          </w:tcPr>
          <w:p w14:paraId="6B22076B">
            <w:pPr>
              <w:spacing w:before="132" w:line="192"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Ur</w:t>
            </w:r>
          </w:p>
        </w:tc>
        <w:tc>
          <w:tcPr>
            <w:tcW w:w="1829" w:type="dxa"/>
            <w:vAlign w:val="top"/>
          </w:tcPr>
          <w:p w14:paraId="50FEDEE8">
            <w:pPr>
              <w:pStyle w:val="6"/>
              <w:spacing w:before="90" w:line="228" w:lineRule="auto"/>
              <w:ind w:left="224"/>
              <w:rPr>
                <w:sz w:val="20"/>
                <w:szCs w:val="20"/>
              </w:rPr>
            </w:pPr>
            <w:r>
              <w:rPr>
                <w:spacing w:val="3"/>
                <w:sz w:val="20"/>
                <w:szCs w:val="20"/>
              </w:rPr>
              <w:t>10m</w:t>
            </w:r>
            <w:r>
              <w:rPr>
                <w:spacing w:val="-33"/>
                <w:sz w:val="20"/>
                <w:szCs w:val="20"/>
              </w:rPr>
              <w:t xml:space="preserve"> </w:t>
            </w:r>
            <w:r>
              <w:rPr>
                <w:spacing w:val="3"/>
                <w:sz w:val="20"/>
                <w:szCs w:val="20"/>
              </w:rPr>
              <w:t>高处的风速</w:t>
            </w:r>
          </w:p>
        </w:tc>
        <w:tc>
          <w:tcPr>
            <w:tcW w:w="843" w:type="dxa"/>
            <w:vAlign w:val="top"/>
          </w:tcPr>
          <w:p w14:paraId="4E76B289">
            <w:pPr>
              <w:spacing w:before="125" w:line="199"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m/s</w:t>
            </w:r>
          </w:p>
        </w:tc>
        <w:tc>
          <w:tcPr>
            <w:tcW w:w="956" w:type="dxa"/>
            <w:vAlign w:val="top"/>
          </w:tcPr>
          <w:p w14:paraId="3459DE14">
            <w:pPr>
              <w:spacing w:before="129"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969" w:type="dxa"/>
            <w:vAlign w:val="top"/>
          </w:tcPr>
          <w:p w14:paraId="522045BA">
            <w:pPr>
              <w:spacing w:before="129"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923" w:type="dxa"/>
            <w:vAlign w:val="top"/>
          </w:tcPr>
          <w:p w14:paraId="2E38D4A4">
            <w:pPr>
              <w:spacing w:before="129"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945" w:type="dxa"/>
            <w:vAlign w:val="top"/>
          </w:tcPr>
          <w:p w14:paraId="04300F0D">
            <w:pPr>
              <w:spacing w:before="12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973" w:type="dxa"/>
            <w:vAlign w:val="top"/>
          </w:tcPr>
          <w:p w14:paraId="1B097670">
            <w:pPr>
              <w:spacing w:before="129"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bl>
    <w:p w14:paraId="68647256">
      <w:pPr>
        <w:spacing w:line="368" w:lineRule="auto"/>
        <w:rPr>
          <w:rFonts w:ascii="Arial"/>
          <w:sz w:val="21"/>
        </w:rPr>
      </w:pPr>
    </w:p>
    <w:p w14:paraId="555A0B18">
      <w:pPr>
        <w:spacing w:before="78" w:line="219" w:lineRule="auto"/>
        <w:ind w:left="534"/>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）判断标准</w:t>
      </w:r>
    </w:p>
    <w:p w14:paraId="108398B5">
      <w:pPr>
        <w:spacing w:before="183" w:line="359" w:lineRule="auto"/>
        <w:ind w:left="59" w:right="47" w:firstLine="479"/>
        <w:rPr>
          <w:rFonts w:ascii="宋体" w:hAnsi="宋体" w:eastAsia="宋体" w:cs="宋体"/>
          <w:sz w:val="24"/>
          <w:szCs w:val="24"/>
        </w:rPr>
      </w:pPr>
      <w:r>
        <w:rPr>
          <w:rFonts w:ascii="宋体" w:hAnsi="宋体" w:eastAsia="宋体" w:cs="宋体"/>
          <w:spacing w:val="-1"/>
          <w:sz w:val="24"/>
          <w:szCs w:val="24"/>
        </w:rPr>
        <w:t>判断标准为：对于连续排放，</w:t>
      </w:r>
      <w:r>
        <w:rPr>
          <w:rFonts w:ascii="Times New Roman" w:hAnsi="Times New Roman" w:eastAsia="Times New Roman" w:cs="Times New Roman"/>
          <w:spacing w:val="-1"/>
          <w:sz w:val="24"/>
          <w:szCs w:val="24"/>
        </w:rPr>
        <w:t>Ri</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为重质气体，</w:t>
      </w:r>
      <w:r>
        <w:rPr>
          <w:rFonts w:ascii="Times New Roman" w:hAnsi="Times New Roman" w:eastAsia="Times New Roman" w:cs="Times New Roman"/>
          <w:spacing w:val="-1"/>
          <w:sz w:val="24"/>
          <w:szCs w:val="24"/>
        </w:rPr>
        <w:t>Ri</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为轻质气体；对于瞬</w:t>
      </w:r>
      <w:r>
        <w:rPr>
          <w:rFonts w:ascii="宋体" w:hAnsi="宋体" w:eastAsia="宋体" w:cs="宋体"/>
          <w:spacing w:val="8"/>
          <w:sz w:val="24"/>
          <w:szCs w:val="24"/>
        </w:rPr>
        <w:t xml:space="preserve"> </w:t>
      </w:r>
      <w:r>
        <w:rPr>
          <w:rFonts w:ascii="宋体" w:hAnsi="宋体" w:eastAsia="宋体" w:cs="宋体"/>
          <w:spacing w:val="-3"/>
          <w:sz w:val="24"/>
          <w:szCs w:val="24"/>
        </w:rPr>
        <w:t>时排放，</w:t>
      </w:r>
      <w:r>
        <w:rPr>
          <w:rFonts w:ascii="Times New Roman" w:hAnsi="Times New Roman" w:eastAsia="Times New Roman" w:cs="Times New Roman"/>
          <w:spacing w:val="-3"/>
          <w:sz w:val="24"/>
          <w:szCs w:val="24"/>
        </w:rPr>
        <w:t>Ri</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0.04 </w:t>
      </w:r>
      <w:r>
        <w:rPr>
          <w:rFonts w:ascii="宋体" w:hAnsi="宋体" w:eastAsia="宋体" w:cs="宋体"/>
          <w:spacing w:val="-3"/>
          <w:sz w:val="24"/>
          <w:szCs w:val="24"/>
        </w:rPr>
        <w:t>为重质气体，</w:t>
      </w:r>
      <w:r>
        <w:rPr>
          <w:rFonts w:ascii="Times New Roman" w:hAnsi="Times New Roman" w:eastAsia="Times New Roman" w:cs="Times New Roman"/>
          <w:spacing w:val="-3"/>
          <w:sz w:val="24"/>
          <w:szCs w:val="24"/>
        </w:rPr>
        <w:t>Ri</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0.04 </w:t>
      </w:r>
      <w:r>
        <w:rPr>
          <w:rFonts w:ascii="宋体" w:hAnsi="宋体" w:eastAsia="宋体" w:cs="宋体"/>
          <w:spacing w:val="-3"/>
          <w:sz w:val="24"/>
          <w:szCs w:val="24"/>
        </w:rPr>
        <w:t>为轻质气体。当</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Ri</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处于</w:t>
      </w:r>
      <w:r>
        <w:rPr>
          <w:rFonts w:ascii="宋体" w:hAnsi="宋体" w:eastAsia="宋体" w:cs="宋体"/>
          <w:spacing w:val="-4"/>
          <w:sz w:val="24"/>
          <w:szCs w:val="24"/>
        </w:rPr>
        <w:t>临界值附近时，说明</w:t>
      </w:r>
      <w:r>
        <w:rPr>
          <w:rFonts w:ascii="宋体" w:hAnsi="宋体" w:eastAsia="宋体" w:cs="宋体"/>
          <w:sz w:val="24"/>
          <w:szCs w:val="24"/>
        </w:rPr>
        <w:t xml:space="preserve"> </w:t>
      </w:r>
      <w:r>
        <w:rPr>
          <w:rFonts w:ascii="宋体" w:hAnsi="宋体" w:eastAsia="宋体" w:cs="宋体"/>
          <w:spacing w:val="-3"/>
          <w:sz w:val="24"/>
          <w:szCs w:val="24"/>
        </w:rPr>
        <w:t>烟团</w:t>
      </w:r>
      <w:r>
        <w:rPr>
          <w:rFonts w:ascii="Times New Roman" w:hAnsi="Times New Roman" w:eastAsia="Times New Roman" w:cs="Times New Roman"/>
          <w:spacing w:val="-3"/>
          <w:sz w:val="24"/>
          <w:szCs w:val="24"/>
        </w:rPr>
        <w:t>/</w:t>
      </w:r>
      <w:r>
        <w:rPr>
          <w:rFonts w:ascii="宋体" w:hAnsi="宋体" w:eastAsia="宋体" w:cs="宋体"/>
          <w:spacing w:val="-3"/>
          <w:sz w:val="24"/>
          <w:szCs w:val="24"/>
        </w:rPr>
        <w:t>烟羽既不是典型的重质气体扩散，也不是典型的轻质气体扩散。可以进行敏感性</w:t>
      </w:r>
      <w:r>
        <w:rPr>
          <w:rFonts w:ascii="宋体" w:hAnsi="宋体" w:eastAsia="宋体" w:cs="宋体"/>
          <w:sz w:val="24"/>
          <w:szCs w:val="24"/>
        </w:rPr>
        <w:t xml:space="preserve"> </w:t>
      </w:r>
      <w:r>
        <w:rPr>
          <w:rFonts w:ascii="宋体" w:hAnsi="宋体" w:eastAsia="宋体" w:cs="宋体"/>
          <w:spacing w:val="-1"/>
          <w:sz w:val="24"/>
          <w:szCs w:val="24"/>
        </w:rPr>
        <w:t>分析，分别采用重质气体模型和轻质气体模型进行模拟，选</w:t>
      </w:r>
      <w:r>
        <w:rPr>
          <w:rFonts w:ascii="宋体" w:hAnsi="宋体" w:eastAsia="宋体" w:cs="宋体"/>
          <w:spacing w:val="-2"/>
          <w:sz w:val="24"/>
          <w:szCs w:val="24"/>
        </w:rPr>
        <w:t>取影响范围最大的结果。</w:t>
      </w:r>
    </w:p>
    <w:p w14:paraId="752B8327">
      <w:pPr>
        <w:spacing w:line="219" w:lineRule="auto"/>
        <w:ind w:left="53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）预测模式选择</w:t>
      </w:r>
    </w:p>
    <w:p w14:paraId="6D068E95">
      <w:pPr>
        <w:spacing w:before="181" w:line="359" w:lineRule="auto"/>
        <w:ind w:left="57" w:right="47" w:firstLine="480"/>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pacing w:val="-1"/>
          <w:sz w:val="24"/>
          <w:szCs w:val="24"/>
        </w:rPr>
        <w:t>HJ</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1"/>
          <w:sz w:val="24"/>
          <w:szCs w:val="24"/>
        </w:rPr>
        <w:t>169-2018</w:t>
      </w:r>
      <w:r>
        <w:rPr>
          <w:rFonts w:ascii="宋体" w:hAnsi="宋体" w:eastAsia="宋体" w:cs="宋体"/>
          <w:spacing w:val="9"/>
          <w:sz w:val="24"/>
          <w:szCs w:val="24"/>
        </w:rPr>
        <w:t>），</w:t>
      </w:r>
      <w:r>
        <w:rPr>
          <w:rFonts w:ascii="Times New Roman" w:hAnsi="Times New Roman" w:eastAsia="Times New Roman" w:cs="Times New Roman"/>
          <w:spacing w:val="-1"/>
          <w:sz w:val="24"/>
          <w:szCs w:val="24"/>
        </w:rPr>
        <w:t xml:space="preserve">AFTOX </w:t>
      </w:r>
      <w:r>
        <w:rPr>
          <w:rFonts w:ascii="宋体" w:hAnsi="宋体" w:eastAsia="宋体" w:cs="宋体"/>
          <w:spacing w:val="-1"/>
          <w:sz w:val="24"/>
          <w:szCs w:val="24"/>
        </w:rPr>
        <w:t>模型适用于</w:t>
      </w:r>
      <w:r>
        <w:rPr>
          <w:rFonts w:ascii="宋体" w:hAnsi="宋体" w:eastAsia="宋体" w:cs="宋体"/>
          <w:sz w:val="24"/>
          <w:szCs w:val="24"/>
        </w:rPr>
        <w:t xml:space="preserve"> 平坦地形下中性气体和轻质气体排放以及液池蒸发气体的扩散模型，</w:t>
      </w:r>
      <w:r>
        <w:rPr>
          <w:rFonts w:ascii="Times New Roman" w:hAnsi="Times New Roman" w:eastAsia="Times New Roman" w:cs="Times New Roman"/>
          <w:sz w:val="24"/>
          <w:szCs w:val="24"/>
        </w:rPr>
        <w:t xml:space="preserve">SLAB </w:t>
      </w:r>
      <w:r>
        <w:rPr>
          <w:rFonts w:ascii="宋体" w:hAnsi="宋体" w:eastAsia="宋体" w:cs="宋体"/>
          <w:sz w:val="24"/>
          <w:szCs w:val="24"/>
        </w:rPr>
        <w:t>模型</w:t>
      </w:r>
      <w:r>
        <w:rPr>
          <w:rFonts w:ascii="宋体" w:hAnsi="宋体" w:eastAsia="宋体" w:cs="宋体"/>
          <w:spacing w:val="-1"/>
          <w:sz w:val="24"/>
          <w:szCs w:val="24"/>
        </w:rPr>
        <w:t>适用</w:t>
      </w:r>
      <w:r>
        <w:rPr>
          <w:rFonts w:ascii="宋体" w:hAnsi="宋体" w:eastAsia="宋体" w:cs="宋体"/>
          <w:sz w:val="24"/>
          <w:szCs w:val="24"/>
        </w:rPr>
        <w:t xml:space="preserve"> </w:t>
      </w:r>
      <w:r>
        <w:rPr>
          <w:rFonts w:ascii="宋体" w:hAnsi="宋体" w:eastAsia="宋体" w:cs="宋体"/>
          <w:spacing w:val="-1"/>
          <w:sz w:val="24"/>
          <w:szCs w:val="24"/>
        </w:rPr>
        <w:t>平坦地形下重质气体排放的扩散模型。</w:t>
      </w:r>
    </w:p>
    <w:p w14:paraId="01228AC3">
      <w:pPr>
        <w:spacing w:before="2" w:line="361" w:lineRule="auto"/>
        <w:ind w:left="59" w:right="47" w:firstLine="482"/>
        <w:rPr>
          <w:rFonts w:ascii="宋体" w:hAnsi="宋体" w:eastAsia="宋体" w:cs="宋体"/>
          <w:sz w:val="24"/>
          <w:szCs w:val="24"/>
        </w:rPr>
      </w:pPr>
      <w:r>
        <w:rPr>
          <w:rFonts w:ascii="宋体" w:hAnsi="宋体" w:eastAsia="宋体" w:cs="宋体"/>
          <w:spacing w:val="-1"/>
          <w:sz w:val="24"/>
          <w:szCs w:val="24"/>
        </w:rPr>
        <w:t>项目为连续排放，根据理查德森数（</w:t>
      </w:r>
      <w:r>
        <w:rPr>
          <w:rFonts w:ascii="Times New Roman" w:hAnsi="Times New Roman" w:eastAsia="Times New Roman" w:cs="Times New Roman"/>
          <w:spacing w:val="-1"/>
          <w:sz w:val="24"/>
          <w:szCs w:val="24"/>
        </w:rPr>
        <w:t>Ri</w:t>
      </w:r>
      <w:r>
        <w:rPr>
          <w:rFonts w:ascii="宋体" w:hAnsi="宋体" w:eastAsia="宋体" w:cs="宋体"/>
          <w:spacing w:val="-1"/>
          <w:sz w:val="24"/>
          <w:szCs w:val="24"/>
        </w:rPr>
        <w:t>）估算结果，综上，本项目氯化氢、氢氟</w:t>
      </w:r>
      <w:r>
        <w:rPr>
          <w:rFonts w:ascii="宋体" w:hAnsi="宋体" w:eastAsia="宋体" w:cs="宋体"/>
          <w:sz w:val="24"/>
          <w:szCs w:val="24"/>
        </w:rPr>
        <w:t xml:space="preserve"> </w:t>
      </w:r>
      <w:r>
        <w:rPr>
          <w:rFonts w:ascii="宋体" w:hAnsi="宋体" w:eastAsia="宋体" w:cs="宋体"/>
          <w:spacing w:val="-1"/>
          <w:sz w:val="24"/>
          <w:szCs w:val="24"/>
        </w:rPr>
        <w:t>酸、硫酸和硝酸均选择</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AFTOX </w:t>
      </w:r>
      <w:r>
        <w:rPr>
          <w:rFonts w:ascii="宋体" w:hAnsi="宋体" w:eastAsia="宋体" w:cs="宋体"/>
          <w:spacing w:val="-1"/>
          <w:sz w:val="24"/>
          <w:szCs w:val="24"/>
        </w:rPr>
        <w:t>模型作为本次环境风险预测模型。</w:t>
      </w:r>
    </w:p>
    <w:p w14:paraId="4CA87AA5">
      <w:pPr>
        <w:spacing w:before="114" w:line="219" w:lineRule="auto"/>
        <w:ind w:left="3364"/>
        <w:outlineLvl w:val="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 xml:space="preserve">27    </w:t>
      </w:r>
      <w:r>
        <w:rPr>
          <w:rFonts w:ascii="宋体" w:hAnsi="宋体" w:eastAsia="宋体" w:cs="宋体"/>
          <w:b/>
          <w:bCs/>
          <w:spacing w:val="-3"/>
          <w:sz w:val="24"/>
          <w:szCs w:val="24"/>
        </w:rPr>
        <w:t>预测模型选取</w:t>
      </w:r>
    </w:p>
    <w:p w14:paraId="3DA8D91B">
      <w:pPr>
        <w:spacing w:line="147" w:lineRule="exact"/>
      </w:pPr>
    </w:p>
    <w:tbl>
      <w:tblPr>
        <w:tblStyle w:val="5"/>
        <w:tblW w:w="89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3369"/>
        <w:gridCol w:w="1854"/>
        <w:gridCol w:w="2203"/>
      </w:tblGrid>
      <w:tr w14:paraId="23E3C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509" w:type="dxa"/>
            <w:vAlign w:val="top"/>
          </w:tcPr>
          <w:p w14:paraId="03F24319">
            <w:pPr>
              <w:pStyle w:val="6"/>
              <w:spacing w:before="120" w:line="228" w:lineRule="auto"/>
              <w:ind w:left="342"/>
              <w:rPr>
                <w:sz w:val="20"/>
                <w:szCs w:val="20"/>
              </w:rPr>
            </w:pPr>
            <w:r>
              <w:rPr>
                <w:spacing w:val="6"/>
                <w:sz w:val="20"/>
                <w:szCs w:val="20"/>
              </w:rPr>
              <w:t>危险物质</w:t>
            </w:r>
          </w:p>
        </w:tc>
        <w:tc>
          <w:tcPr>
            <w:tcW w:w="3369" w:type="dxa"/>
            <w:vAlign w:val="top"/>
          </w:tcPr>
          <w:p w14:paraId="725EED4B">
            <w:pPr>
              <w:pStyle w:val="6"/>
              <w:spacing w:before="119" w:line="228" w:lineRule="auto"/>
              <w:ind w:left="856"/>
              <w:rPr>
                <w:sz w:val="20"/>
                <w:szCs w:val="20"/>
              </w:rPr>
            </w:pPr>
            <w:r>
              <w:rPr>
                <w:spacing w:val="8"/>
                <w:sz w:val="20"/>
                <w:szCs w:val="20"/>
              </w:rPr>
              <w:t>理查德森数（</w:t>
            </w:r>
            <w:r>
              <w:rPr>
                <w:rFonts w:ascii="Times New Roman" w:hAnsi="Times New Roman" w:eastAsia="Times New Roman" w:cs="Times New Roman"/>
                <w:sz w:val="20"/>
                <w:szCs w:val="20"/>
              </w:rPr>
              <w:t>Ri</w:t>
            </w:r>
            <w:r>
              <w:rPr>
                <w:spacing w:val="8"/>
                <w:sz w:val="20"/>
                <w:szCs w:val="20"/>
              </w:rPr>
              <w:t>）</w:t>
            </w:r>
          </w:p>
        </w:tc>
        <w:tc>
          <w:tcPr>
            <w:tcW w:w="1854" w:type="dxa"/>
            <w:vAlign w:val="top"/>
          </w:tcPr>
          <w:p w14:paraId="0E6EB684">
            <w:pPr>
              <w:pStyle w:val="6"/>
              <w:spacing w:before="119" w:line="228" w:lineRule="auto"/>
              <w:ind w:left="512"/>
              <w:rPr>
                <w:sz w:val="20"/>
                <w:szCs w:val="20"/>
              </w:rPr>
            </w:pPr>
            <w:r>
              <w:rPr>
                <w:spacing w:val="7"/>
                <w:sz w:val="20"/>
                <w:szCs w:val="20"/>
              </w:rPr>
              <w:t>气体类型</w:t>
            </w:r>
          </w:p>
        </w:tc>
        <w:tc>
          <w:tcPr>
            <w:tcW w:w="2203" w:type="dxa"/>
            <w:vAlign w:val="top"/>
          </w:tcPr>
          <w:p w14:paraId="3CA9CA63">
            <w:pPr>
              <w:pStyle w:val="6"/>
              <w:spacing w:before="119" w:line="227" w:lineRule="auto"/>
              <w:ind w:left="476"/>
              <w:rPr>
                <w:sz w:val="20"/>
                <w:szCs w:val="20"/>
              </w:rPr>
            </w:pPr>
            <w:r>
              <w:rPr>
                <w:spacing w:val="8"/>
                <w:sz w:val="20"/>
                <w:szCs w:val="20"/>
              </w:rPr>
              <w:t>推荐预测模型</w:t>
            </w:r>
          </w:p>
        </w:tc>
      </w:tr>
      <w:tr w14:paraId="2F84F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509" w:type="dxa"/>
            <w:vAlign w:val="top"/>
          </w:tcPr>
          <w:p w14:paraId="2C6C0D17">
            <w:pPr>
              <w:pStyle w:val="6"/>
              <w:spacing w:before="115" w:line="229" w:lineRule="auto"/>
              <w:ind w:left="449"/>
              <w:rPr>
                <w:sz w:val="20"/>
                <w:szCs w:val="20"/>
              </w:rPr>
            </w:pPr>
            <w:r>
              <w:rPr>
                <w:spacing w:val="5"/>
                <w:sz w:val="20"/>
                <w:szCs w:val="20"/>
              </w:rPr>
              <w:t>氯化氢</w:t>
            </w:r>
          </w:p>
        </w:tc>
        <w:tc>
          <w:tcPr>
            <w:tcW w:w="3369" w:type="dxa"/>
            <w:vAlign w:val="top"/>
          </w:tcPr>
          <w:p w14:paraId="601BB00B">
            <w:pPr>
              <w:spacing w:before="146" w:line="189" w:lineRule="auto"/>
              <w:ind w:left="14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0.039</w:t>
            </w:r>
          </w:p>
        </w:tc>
        <w:tc>
          <w:tcPr>
            <w:tcW w:w="1854" w:type="dxa"/>
            <w:vAlign w:val="top"/>
          </w:tcPr>
          <w:p w14:paraId="458D294C">
            <w:pPr>
              <w:pStyle w:val="6"/>
              <w:spacing w:before="115" w:line="228" w:lineRule="auto"/>
              <w:ind w:left="512"/>
              <w:rPr>
                <w:sz w:val="20"/>
                <w:szCs w:val="20"/>
              </w:rPr>
            </w:pPr>
            <w:r>
              <w:rPr>
                <w:spacing w:val="7"/>
                <w:sz w:val="20"/>
                <w:szCs w:val="20"/>
              </w:rPr>
              <w:t>轻质气体</w:t>
            </w:r>
          </w:p>
        </w:tc>
        <w:tc>
          <w:tcPr>
            <w:tcW w:w="2203" w:type="dxa"/>
            <w:vAlign w:val="top"/>
          </w:tcPr>
          <w:p w14:paraId="78D6DAA7">
            <w:pPr>
              <w:pStyle w:val="6"/>
              <w:spacing w:before="115" w:line="228" w:lineRule="auto"/>
              <w:ind w:left="516"/>
              <w:rPr>
                <w:sz w:val="20"/>
                <w:szCs w:val="20"/>
              </w:rPr>
            </w:pPr>
            <w:r>
              <w:rPr>
                <w:rFonts w:ascii="Times New Roman" w:hAnsi="Times New Roman" w:eastAsia="Times New Roman" w:cs="Times New Roman"/>
                <w:sz w:val="20"/>
                <w:szCs w:val="20"/>
              </w:rPr>
              <w:t>AFTOX</w:t>
            </w:r>
            <w:r>
              <w:rPr>
                <w:rFonts w:ascii="Times New Roman" w:hAnsi="Times New Roman" w:eastAsia="Times New Roman" w:cs="Times New Roman"/>
                <w:spacing w:val="15"/>
                <w:sz w:val="20"/>
                <w:szCs w:val="20"/>
              </w:rPr>
              <w:t xml:space="preserve"> </w:t>
            </w:r>
            <w:r>
              <w:rPr>
                <w:spacing w:val="15"/>
                <w:sz w:val="20"/>
                <w:szCs w:val="20"/>
              </w:rPr>
              <w:t>模型</w:t>
            </w:r>
          </w:p>
        </w:tc>
      </w:tr>
      <w:tr w14:paraId="3C330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509" w:type="dxa"/>
            <w:vAlign w:val="top"/>
          </w:tcPr>
          <w:p w14:paraId="3E647ED0">
            <w:pPr>
              <w:pStyle w:val="6"/>
              <w:spacing w:before="116" w:line="228" w:lineRule="auto"/>
              <w:ind w:left="446"/>
              <w:rPr>
                <w:sz w:val="20"/>
                <w:szCs w:val="20"/>
              </w:rPr>
            </w:pPr>
            <w:r>
              <w:rPr>
                <w:spacing w:val="6"/>
                <w:sz w:val="20"/>
                <w:szCs w:val="20"/>
              </w:rPr>
              <w:t>氟化氢</w:t>
            </w:r>
          </w:p>
        </w:tc>
        <w:tc>
          <w:tcPr>
            <w:tcW w:w="3369" w:type="dxa"/>
            <w:vAlign w:val="top"/>
          </w:tcPr>
          <w:p w14:paraId="5C30B2BF">
            <w:pPr>
              <w:spacing w:before="149" w:line="189" w:lineRule="auto"/>
              <w:ind w:left="14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-0.045</w:t>
            </w:r>
          </w:p>
        </w:tc>
        <w:tc>
          <w:tcPr>
            <w:tcW w:w="1854" w:type="dxa"/>
            <w:vAlign w:val="top"/>
          </w:tcPr>
          <w:p w14:paraId="6B583394">
            <w:pPr>
              <w:pStyle w:val="6"/>
              <w:spacing w:before="116" w:line="228" w:lineRule="auto"/>
              <w:ind w:left="512"/>
              <w:rPr>
                <w:sz w:val="20"/>
                <w:szCs w:val="20"/>
              </w:rPr>
            </w:pPr>
            <w:r>
              <w:rPr>
                <w:spacing w:val="7"/>
                <w:sz w:val="20"/>
                <w:szCs w:val="20"/>
              </w:rPr>
              <w:t>轻质气体</w:t>
            </w:r>
          </w:p>
        </w:tc>
        <w:tc>
          <w:tcPr>
            <w:tcW w:w="2203" w:type="dxa"/>
            <w:vAlign w:val="top"/>
          </w:tcPr>
          <w:p w14:paraId="29588FFD">
            <w:pPr>
              <w:pStyle w:val="6"/>
              <w:spacing w:before="116" w:line="228" w:lineRule="auto"/>
              <w:ind w:left="516"/>
              <w:rPr>
                <w:sz w:val="20"/>
                <w:szCs w:val="20"/>
              </w:rPr>
            </w:pPr>
            <w:r>
              <w:rPr>
                <w:rFonts w:ascii="Times New Roman" w:hAnsi="Times New Roman" w:eastAsia="Times New Roman" w:cs="Times New Roman"/>
                <w:sz w:val="20"/>
                <w:szCs w:val="20"/>
              </w:rPr>
              <w:t>AFTOX</w:t>
            </w:r>
            <w:r>
              <w:rPr>
                <w:rFonts w:ascii="Times New Roman" w:hAnsi="Times New Roman" w:eastAsia="Times New Roman" w:cs="Times New Roman"/>
                <w:spacing w:val="15"/>
                <w:sz w:val="20"/>
                <w:szCs w:val="20"/>
              </w:rPr>
              <w:t xml:space="preserve"> </w:t>
            </w:r>
            <w:r>
              <w:rPr>
                <w:spacing w:val="15"/>
                <w:sz w:val="20"/>
                <w:szCs w:val="20"/>
              </w:rPr>
              <w:t>模型</w:t>
            </w:r>
          </w:p>
        </w:tc>
      </w:tr>
      <w:tr w14:paraId="41C58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509" w:type="dxa"/>
            <w:vAlign w:val="top"/>
          </w:tcPr>
          <w:p w14:paraId="60CC94C1">
            <w:pPr>
              <w:pStyle w:val="6"/>
              <w:spacing w:before="117" w:line="229" w:lineRule="auto"/>
              <w:ind w:left="548"/>
              <w:rPr>
                <w:sz w:val="20"/>
                <w:szCs w:val="20"/>
              </w:rPr>
            </w:pPr>
            <w:r>
              <w:rPr>
                <w:spacing w:val="5"/>
                <w:sz w:val="20"/>
                <w:szCs w:val="20"/>
              </w:rPr>
              <w:t>硫酸</w:t>
            </w:r>
          </w:p>
        </w:tc>
        <w:tc>
          <w:tcPr>
            <w:tcW w:w="3369" w:type="dxa"/>
            <w:vAlign w:val="top"/>
          </w:tcPr>
          <w:p w14:paraId="1FC2D18F">
            <w:pPr>
              <w:spacing w:before="150" w:line="189" w:lineRule="auto"/>
              <w:ind w:left="14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tc>
        <w:tc>
          <w:tcPr>
            <w:tcW w:w="1854" w:type="dxa"/>
            <w:vAlign w:val="top"/>
          </w:tcPr>
          <w:p w14:paraId="5962DC5E">
            <w:pPr>
              <w:rPr>
                <w:rFonts w:ascii="Arial"/>
                <w:sz w:val="21"/>
              </w:rPr>
            </w:pPr>
          </w:p>
        </w:tc>
        <w:tc>
          <w:tcPr>
            <w:tcW w:w="2203" w:type="dxa"/>
            <w:vAlign w:val="top"/>
          </w:tcPr>
          <w:p w14:paraId="699D6638">
            <w:pPr>
              <w:pStyle w:val="6"/>
              <w:spacing w:before="117" w:line="228" w:lineRule="auto"/>
              <w:ind w:left="516"/>
              <w:rPr>
                <w:sz w:val="20"/>
                <w:szCs w:val="20"/>
              </w:rPr>
            </w:pPr>
            <w:r>
              <w:rPr>
                <w:rFonts w:ascii="Times New Roman" w:hAnsi="Times New Roman" w:eastAsia="Times New Roman" w:cs="Times New Roman"/>
                <w:sz w:val="20"/>
                <w:szCs w:val="20"/>
              </w:rPr>
              <w:t>AFTOX</w:t>
            </w:r>
            <w:r>
              <w:rPr>
                <w:rFonts w:ascii="Times New Roman" w:hAnsi="Times New Roman" w:eastAsia="Times New Roman" w:cs="Times New Roman"/>
                <w:spacing w:val="15"/>
                <w:sz w:val="20"/>
                <w:szCs w:val="20"/>
              </w:rPr>
              <w:t xml:space="preserve"> </w:t>
            </w:r>
            <w:r>
              <w:rPr>
                <w:spacing w:val="15"/>
                <w:sz w:val="20"/>
                <w:szCs w:val="20"/>
              </w:rPr>
              <w:t>模型</w:t>
            </w:r>
          </w:p>
        </w:tc>
      </w:tr>
      <w:tr w14:paraId="54817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509" w:type="dxa"/>
            <w:vAlign w:val="top"/>
          </w:tcPr>
          <w:p w14:paraId="5A07B891">
            <w:pPr>
              <w:pStyle w:val="6"/>
              <w:spacing w:before="118" w:line="229" w:lineRule="auto"/>
              <w:ind w:left="550"/>
              <w:rPr>
                <w:sz w:val="20"/>
                <w:szCs w:val="20"/>
              </w:rPr>
            </w:pPr>
            <w:r>
              <w:rPr>
                <w:spacing w:val="3"/>
                <w:sz w:val="20"/>
                <w:szCs w:val="20"/>
              </w:rPr>
              <w:t>硝酸</w:t>
            </w:r>
          </w:p>
        </w:tc>
        <w:tc>
          <w:tcPr>
            <w:tcW w:w="3369" w:type="dxa"/>
            <w:vAlign w:val="top"/>
          </w:tcPr>
          <w:p w14:paraId="6991AD4A">
            <w:pPr>
              <w:spacing w:before="150" w:line="189" w:lineRule="auto"/>
              <w:ind w:left="14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0.032</w:t>
            </w:r>
          </w:p>
        </w:tc>
        <w:tc>
          <w:tcPr>
            <w:tcW w:w="1854" w:type="dxa"/>
            <w:vAlign w:val="top"/>
          </w:tcPr>
          <w:p w14:paraId="2646445B">
            <w:pPr>
              <w:pStyle w:val="6"/>
              <w:spacing w:before="117" w:line="228" w:lineRule="auto"/>
              <w:ind w:left="512"/>
              <w:rPr>
                <w:sz w:val="20"/>
                <w:szCs w:val="20"/>
              </w:rPr>
            </w:pPr>
            <w:r>
              <w:rPr>
                <w:spacing w:val="7"/>
                <w:sz w:val="20"/>
                <w:szCs w:val="20"/>
              </w:rPr>
              <w:t>轻质气体</w:t>
            </w:r>
          </w:p>
        </w:tc>
        <w:tc>
          <w:tcPr>
            <w:tcW w:w="2203" w:type="dxa"/>
            <w:vAlign w:val="top"/>
          </w:tcPr>
          <w:p w14:paraId="215BD3DA">
            <w:pPr>
              <w:pStyle w:val="6"/>
              <w:spacing w:before="117" w:line="228" w:lineRule="auto"/>
              <w:ind w:left="516"/>
              <w:rPr>
                <w:sz w:val="20"/>
                <w:szCs w:val="20"/>
              </w:rPr>
            </w:pPr>
            <w:r>
              <w:rPr>
                <w:rFonts w:ascii="Times New Roman" w:hAnsi="Times New Roman" w:eastAsia="Times New Roman" w:cs="Times New Roman"/>
                <w:sz w:val="20"/>
                <w:szCs w:val="20"/>
              </w:rPr>
              <w:t>AFTOX</w:t>
            </w:r>
            <w:r>
              <w:rPr>
                <w:rFonts w:ascii="Times New Roman" w:hAnsi="Times New Roman" w:eastAsia="Times New Roman" w:cs="Times New Roman"/>
                <w:spacing w:val="15"/>
                <w:sz w:val="20"/>
                <w:szCs w:val="20"/>
              </w:rPr>
              <w:t xml:space="preserve"> </w:t>
            </w:r>
            <w:r>
              <w:rPr>
                <w:spacing w:val="15"/>
                <w:sz w:val="20"/>
                <w:szCs w:val="20"/>
              </w:rPr>
              <w:t>模型</w:t>
            </w:r>
          </w:p>
        </w:tc>
      </w:tr>
      <w:tr w14:paraId="1CBC8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09" w:type="dxa"/>
            <w:vAlign w:val="top"/>
          </w:tcPr>
          <w:p w14:paraId="32672039">
            <w:pPr>
              <w:pStyle w:val="6"/>
              <w:spacing w:before="124" w:line="228" w:lineRule="auto"/>
              <w:ind w:left="553"/>
              <w:rPr>
                <w:sz w:val="20"/>
                <w:szCs w:val="20"/>
              </w:rPr>
            </w:pPr>
            <w:r>
              <w:rPr>
                <w:spacing w:val="2"/>
                <w:sz w:val="20"/>
                <w:szCs w:val="20"/>
              </w:rPr>
              <w:t>丙酮</w:t>
            </w:r>
          </w:p>
        </w:tc>
        <w:tc>
          <w:tcPr>
            <w:tcW w:w="3369" w:type="dxa"/>
            <w:vAlign w:val="top"/>
          </w:tcPr>
          <w:p w14:paraId="64F7831F">
            <w:pPr>
              <w:spacing w:before="156" w:line="189" w:lineRule="auto"/>
              <w:ind w:left="1404"/>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-0.</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6"/>
                <w:sz w:val="22"/>
                <w:szCs w:val="22"/>
              </w:rPr>
              <w:t>181</w:t>
            </w:r>
          </w:p>
        </w:tc>
        <w:tc>
          <w:tcPr>
            <w:tcW w:w="1854" w:type="dxa"/>
            <w:vAlign w:val="top"/>
          </w:tcPr>
          <w:p w14:paraId="76BAA136">
            <w:pPr>
              <w:pStyle w:val="6"/>
              <w:spacing w:before="123" w:line="228" w:lineRule="auto"/>
              <w:ind w:left="512"/>
              <w:rPr>
                <w:sz w:val="20"/>
                <w:szCs w:val="20"/>
              </w:rPr>
            </w:pPr>
            <w:r>
              <w:rPr>
                <w:spacing w:val="7"/>
                <w:sz w:val="20"/>
                <w:szCs w:val="20"/>
              </w:rPr>
              <w:t>轻质气体</w:t>
            </w:r>
          </w:p>
        </w:tc>
        <w:tc>
          <w:tcPr>
            <w:tcW w:w="2203" w:type="dxa"/>
            <w:vAlign w:val="top"/>
          </w:tcPr>
          <w:p w14:paraId="29AED672">
            <w:pPr>
              <w:pStyle w:val="6"/>
              <w:spacing w:before="123" w:line="228" w:lineRule="auto"/>
              <w:ind w:left="516"/>
              <w:rPr>
                <w:sz w:val="20"/>
                <w:szCs w:val="20"/>
              </w:rPr>
            </w:pPr>
            <w:r>
              <w:rPr>
                <w:rFonts w:ascii="Times New Roman" w:hAnsi="Times New Roman" w:eastAsia="Times New Roman" w:cs="Times New Roman"/>
                <w:sz w:val="20"/>
                <w:szCs w:val="20"/>
              </w:rPr>
              <w:t>AFTOX</w:t>
            </w:r>
            <w:r>
              <w:rPr>
                <w:rFonts w:ascii="Times New Roman" w:hAnsi="Times New Roman" w:eastAsia="Times New Roman" w:cs="Times New Roman"/>
                <w:spacing w:val="15"/>
                <w:sz w:val="20"/>
                <w:szCs w:val="20"/>
              </w:rPr>
              <w:t xml:space="preserve"> </w:t>
            </w:r>
            <w:r>
              <w:rPr>
                <w:spacing w:val="15"/>
                <w:sz w:val="20"/>
                <w:szCs w:val="20"/>
              </w:rPr>
              <w:t>模型</w:t>
            </w:r>
          </w:p>
        </w:tc>
      </w:tr>
    </w:tbl>
    <w:p w14:paraId="4EF31F0F">
      <w:pPr>
        <w:rPr>
          <w:rFonts w:ascii="Arial"/>
          <w:sz w:val="21"/>
        </w:rPr>
      </w:pPr>
    </w:p>
    <w:p w14:paraId="6D96BB39">
      <w:pPr>
        <w:rPr>
          <w:rFonts w:ascii="Arial" w:hAnsi="Arial" w:eastAsia="Arial" w:cs="Arial"/>
          <w:sz w:val="21"/>
          <w:szCs w:val="21"/>
        </w:rPr>
        <w:sectPr>
          <w:footerReference r:id="rId140" w:type="default"/>
          <w:pgSz w:w="11906" w:h="16839"/>
          <w:pgMar w:top="400" w:right="1483" w:bottom="1127" w:left="1482" w:header="0" w:footer="965" w:gutter="0"/>
          <w:cols w:space="720" w:num="1"/>
        </w:sectPr>
      </w:pPr>
    </w:p>
    <w:p w14:paraId="5DBA935A">
      <w:pPr>
        <w:spacing w:line="250" w:lineRule="auto"/>
        <w:rPr>
          <w:rFonts w:ascii="Arial"/>
          <w:sz w:val="21"/>
        </w:rPr>
      </w:pPr>
    </w:p>
    <w:p w14:paraId="50AB46AA">
      <w:pPr>
        <w:spacing w:line="250" w:lineRule="auto"/>
        <w:rPr>
          <w:rFonts w:ascii="Arial"/>
          <w:sz w:val="21"/>
        </w:rPr>
      </w:pPr>
    </w:p>
    <w:p w14:paraId="3F97B0BC">
      <w:pPr>
        <w:spacing w:line="250" w:lineRule="auto"/>
        <w:rPr>
          <w:rFonts w:ascii="Arial"/>
          <w:sz w:val="21"/>
        </w:rPr>
      </w:pPr>
    </w:p>
    <w:p w14:paraId="6DAF1E5F">
      <w:pPr>
        <w:spacing w:line="250" w:lineRule="auto"/>
        <w:rPr>
          <w:rFonts w:ascii="Arial"/>
          <w:sz w:val="21"/>
        </w:rPr>
      </w:pPr>
    </w:p>
    <w:p w14:paraId="279501D3">
      <w:pPr>
        <w:spacing w:line="251" w:lineRule="auto"/>
        <w:rPr>
          <w:rFonts w:ascii="Arial"/>
          <w:sz w:val="21"/>
        </w:rPr>
      </w:pPr>
    </w:p>
    <w:p w14:paraId="6F60DF86">
      <w:pPr>
        <w:spacing w:before="78" w:line="219" w:lineRule="auto"/>
        <w:ind w:left="42"/>
        <w:outlineLvl w:val="3"/>
        <w:rPr>
          <w:rFonts w:ascii="宋体" w:hAnsi="宋体" w:eastAsia="宋体" w:cs="宋体"/>
          <w:sz w:val="24"/>
          <w:szCs w:val="24"/>
        </w:rPr>
      </w:pPr>
      <w:r>
        <w:rPr>
          <w:rFonts w:ascii="Times New Roman" w:hAnsi="Times New Roman" w:eastAsia="Times New Roman" w:cs="Times New Roman"/>
          <w:b/>
          <w:bCs/>
          <w:spacing w:val="-2"/>
          <w:sz w:val="24"/>
          <w:szCs w:val="24"/>
        </w:rPr>
        <w:t>6.1.2.</w:t>
      </w:r>
      <w:r>
        <w:rPr>
          <w:rFonts w:ascii="宋体" w:hAnsi="宋体" w:eastAsia="宋体" w:cs="宋体"/>
          <w:b/>
          <w:bCs/>
          <w:spacing w:val="-2"/>
          <w:sz w:val="24"/>
          <w:szCs w:val="24"/>
        </w:rPr>
        <w:t>预测范围与计算点</w:t>
      </w:r>
    </w:p>
    <w:p w14:paraId="01A18D51">
      <w:pPr>
        <w:spacing w:before="180" w:line="359" w:lineRule="auto"/>
        <w:ind w:left="43" w:right="33" w:firstLine="480"/>
        <w:rPr>
          <w:rFonts w:ascii="宋体" w:hAnsi="宋体" w:eastAsia="宋体" w:cs="宋体"/>
          <w:sz w:val="24"/>
          <w:szCs w:val="24"/>
        </w:rPr>
      </w:pPr>
      <w:r>
        <w:rPr>
          <w:rFonts w:ascii="宋体" w:hAnsi="宋体" w:eastAsia="宋体" w:cs="宋体"/>
          <w:spacing w:val="-3"/>
          <w:sz w:val="24"/>
          <w:szCs w:val="24"/>
        </w:rPr>
        <w:t>本项目环境风险预测范围为建设项目周围</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5km </w:t>
      </w:r>
      <w:r>
        <w:rPr>
          <w:rFonts w:ascii="宋体" w:hAnsi="宋体" w:eastAsia="宋体" w:cs="宋体"/>
          <w:spacing w:val="-4"/>
          <w:sz w:val="24"/>
          <w:szCs w:val="24"/>
        </w:rPr>
        <w:t>范围。项目环境风险预测计算点包</w:t>
      </w:r>
      <w:r>
        <w:rPr>
          <w:rFonts w:ascii="宋体" w:hAnsi="宋体" w:eastAsia="宋体" w:cs="宋体"/>
          <w:sz w:val="24"/>
          <w:szCs w:val="24"/>
        </w:rPr>
        <w:t xml:space="preserve"> </w:t>
      </w:r>
      <w:r>
        <w:rPr>
          <w:rFonts w:ascii="宋体" w:hAnsi="宋体" w:eastAsia="宋体" w:cs="宋体"/>
          <w:spacing w:val="-1"/>
          <w:sz w:val="24"/>
          <w:szCs w:val="24"/>
        </w:rPr>
        <w:t>括网格点（一般计算点）和环境敏感点（特殊计算点）。</w:t>
      </w:r>
    </w:p>
    <w:p w14:paraId="62AB981A">
      <w:pPr>
        <w:spacing w:line="219" w:lineRule="auto"/>
        <w:ind w:left="42"/>
        <w:outlineLvl w:val="3"/>
        <w:rPr>
          <w:rFonts w:ascii="宋体" w:hAnsi="宋体" w:eastAsia="宋体" w:cs="宋体"/>
          <w:sz w:val="24"/>
          <w:szCs w:val="24"/>
        </w:rPr>
      </w:pPr>
      <w:r>
        <w:rPr>
          <w:rFonts w:ascii="Times New Roman" w:hAnsi="Times New Roman" w:eastAsia="Times New Roman" w:cs="Times New Roman"/>
          <w:b/>
          <w:bCs/>
          <w:spacing w:val="-2"/>
          <w:sz w:val="24"/>
          <w:szCs w:val="24"/>
        </w:rPr>
        <w:t>6.1.3.</w:t>
      </w:r>
      <w:r>
        <w:rPr>
          <w:rFonts w:ascii="宋体" w:hAnsi="宋体" w:eastAsia="宋体" w:cs="宋体"/>
          <w:b/>
          <w:bCs/>
          <w:spacing w:val="-2"/>
          <w:sz w:val="24"/>
          <w:szCs w:val="24"/>
        </w:rPr>
        <w:t>模型参数</w:t>
      </w:r>
    </w:p>
    <w:p w14:paraId="3E86D0A3">
      <w:pPr>
        <w:spacing w:before="183" w:line="219" w:lineRule="auto"/>
        <w:ind w:left="542"/>
        <w:rPr>
          <w:rFonts w:ascii="宋体" w:hAnsi="宋体" w:eastAsia="宋体" w:cs="宋体"/>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、事故源参数</w:t>
      </w:r>
    </w:p>
    <w:p w14:paraId="2A773BCA">
      <w:pPr>
        <w:spacing w:before="183" w:line="219" w:lineRule="auto"/>
        <w:ind w:left="53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）源强参数</w:t>
      </w:r>
    </w:p>
    <w:p w14:paraId="7F74A00A">
      <w:pPr>
        <w:spacing w:before="180" w:line="219" w:lineRule="auto"/>
        <w:ind w:left="523"/>
        <w:rPr>
          <w:rFonts w:ascii="宋体" w:hAnsi="宋体" w:eastAsia="宋体" w:cs="宋体"/>
          <w:sz w:val="24"/>
          <w:szCs w:val="24"/>
        </w:rPr>
      </w:pPr>
      <w:r>
        <w:rPr>
          <w:rFonts w:ascii="宋体" w:hAnsi="宋体" w:eastAsia="宋体" w:cs="宋体"/>
          <w:spacing w:val="-1"/>
          <w:sz w:val="24"/>
          <w:szCs w:val="24"/>
        </w:rPr>
        <w:t>根据上文的源强计算分析，源强汇总如下表所示</w:t>
      </w:r>
    </w:p>
    <w:p w14:paraId="6809C784">
      <w:pPr>
        <w:spacing w:before="304" w:line="219" w:lineRule="auto"/>
        <w:ind w:left="2869"/>
        <w:outlineLvl w:val="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3"/>
          <w:sz w:val="24"/>
          <w:szCs w:val="24"/>
        </w:rPr>
        <w:t xml:space="preserve">28    </w:t>
      </w:r>
      <w:r>
        <w:rPr>
          <w:rFonts w:ascii="宋体" w:hAnsi="宋体" w:eastAsia="宋体" w:cs="宋体"/>
          <w:b/>
          <w:bCs/>
          <w:spacing w:val="-3"/>
          <w:sz w:val="24"/>
          <w:szCs w:val="24"/>
        </w:rPr>
        <w:t>事故排放主要源强参数</w:t>
      </w:r>
    </w:p>
    <w:p w14:paraId="55F5124B">
      <w:pPr>
        <w:spacing w:line="145" w:lineRule="exact"/>
      </w:pPr>
    </w:p>
    <w:tbl>
      <w:tblPr>
        <w:tblStyle w:val="5"/>
        <w:tblW w:w="8852" w:type="dxa"/>
        <w:tblInd w:w="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1"/>
        <w:gridCol w:w="762"/>
        <w:gridCol w:w="1299"/>
        <w:gridCol w:w="1561"/>
        <w:gridCol w:w="1308"/>
        <w:gridCol w:w="1304"/>
        <w:gridCol w:w="1387"/>
      </w:tblGrid>
      <w:tr w14:paraId="569B6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31" w:type="dxa"/>
            <w:vAlign w:val="top"/>
          </w:tcPr>
          <w:p w14:paraId="41E3794E">
            <w:pPr>
              <w:pStyle w:val="6"/>
              <w:spacing w:before="176" w:line="228" w:lineRule="auto"/>
              <w:ind w:left="201"/>
              <w:rPr>
                <w:sz w:val="20"/>
                <w:szCs w:val="20"/>
              </w:rPr>
            </w:pPr>
            <w:r>
              <w:rPr>
                <w:b/>
                <w:bCs/>
                <w:spacing w:val="6"/>
                <w:sz w:val="20"/>
                <w:szCs w:val="20"/>
              </w:rPr>
              <w:t>参数指标</w:t>
            </w:r>
          </w:p>
        </w:tc>
        <w:tc>
          <w:tcPr>
            <w:tcW w:w="762" w:type="dxa"/>
            <w:vAlign w:val="top"/>
          </w:tcPr>
          <w:p w14:paraId="6342BDA2">
            <w:pPr>
              <w:pStyle w:val="6"/>
              <w:spacing w:before="176" w:line="228" w:lineRule="auto"/>
              <w:ind w:left="175"/>
              <w:rPr>
                <w:sz w:val="20"/>
                <w:szCs w:val="20"/>
              </w:rPr>
            </w:pPr>
            <w:r>
              <w:rPr>
                <w:b/>
                <w:bCs/>
                <w:spacing w:val="3"/>
                <w:sz w:val="20"/>
                <w:szCs w:val="20"/>
              </w:rPr>
              <w:t>单位</w:t>
            </w:r>
          </w:p>
        </w:tc>
        <w:tc>
          <w:tcPr>
            <w:tcW w:w="1299" w:type="dxa"/>
            <w:vAlign w:val="top"/>
          </w:tcPr>
          <w:p w14:paraId="4B868545">
            <w:pPr>
              <w:pStyle w:val="6"/>
              <w:spacing w:before="176" w:line="228" w:lineRule="auto"/>
              <w:ind w:left="128"/>
              <w:rPr>
                <w:sz w:val="20"/>
                <w:szCs w:val="20"/>
              </w:rPr>
            </w:pPr>
            <w:r>
              <w:rPr>
                <w:b/>
                <w:bCs/>
                <w:spacing w:val="6"/>
                <w:sz w:val="20"/>
                <w:szCs w:val="20"/>
              </w:rPr>
              <w:t>盐酸桶泄露</w:t>
            </w:r>
          </w:p>
        </w:tc>
        <w:tc>
          <w:tcPr>
            <w:tcW w:w="1561" w:type="dxa"/>
            <w:vAlign w:val="top"/>
          </w:tcPr>
          <w:p w14:paraId="57B94E29">
            <w:pPr>
              <w:pStyle w:val="6"/>
              <w:spacing w:before="176" w:line="228" w:lineRule="auto"/>
              <w:ind w:left="152"/>
              <w:rPr>
                <w:sz w:val="20"/>
                <w:szCs w:val="20"/>
              </w:rPr>
            </w:pPr>
            <w:r>
              <w:rPr>
                <w:b/>
                <w:bCs/>
                <w:spacing w:val="6"/>
                <w:sz w:val="20"/>
                <w:szCs w:val="20"/>
              </w:rPr>
              <w:t>氢氟酸桶泄露</w:t>
            </w:r>
          </w:p>
        </w:tc>
        <w:tc>
          <w:tcPr>
            <w:tcW w:w="1308" w:type="dxa"/>
            <w:vAlign w:val="top"/>
          </w:tcPr>
          <w:p w14:paraId="3D9086A4">
            <w:pPr>
              <w:pStyle w:val="6"/>
              <w:spacing w:before="176" w:line="228" w:lineRule="auto"/>
              <w:ind w:left="131"/>
              <w:rPr>
                <w:sz w:val="20"/>
                <w:szCs w:val="20"/>
              </w:rPr>
            </w:pPr>
            <w:r>
              <w:rPr>
                <w:b/>
                <w:bCs/>
                <w:spacing w:val="6"/>
                <w:sz w:val="20"/>
                <w:szCs w:val="20"/>
              </w:rPr>
              <w:t>硫酸桶泄露</w:t>
            </w:r>
          </w:p>
        </w:tc>
        <w:tc>
          <w:tcPr>
            <w:tcW w:w="1304" w:type="dxa"/>
            <w:vAlign w:val="top"/>
          </w:tcPr>
          <w:p w14:paraId="103F51C6">
            <w:pPr>
              <w:pStyle w:val="6"/>
              <w:spacing w:before="176" w:line="228" w:lineRule="auto"/>
              <w:ind w:left="134"/>
              <w:rPr>
                <w:sz w:val="20"/>
                <w:szCs w:val="20"/>
              </w:rPr>
            </w:pPr>
            <w:r>
              <w:rPr>
                <w:b/>
                <w:bCs/>
                <w:spacing w:val="6"/>
                <w:sz w:val="20"/>
                <w:szCs w:val="20"/>
              </w:rPr>
              <w:t>硝酸桶泄露</w:t>
            </w:r>
          </w:p>
        </w:tc>
        <w:tc>
          <w:tcPr>
            <w:tcW w:w="1387" w:type="dxa"/>
            <w:vAlign w:val="top"/>
          </w:tcPr>
          <w:p w14:paraId="5E05ADE8">
            <w:pPr>
              <w:pStyle w:val="6"/>
              <w:spacing w:before="176" w:line="228" w:lineRule="auto"/>
              <w:ind w:left="176"/>
              <w:rPr>
                <w:sz w:val="20"/>
                <w:szCs w:val="20"/>
              </w:rPr>
            </w:pPr>
            <w:r>
              <w:rPr>
                <w:b/>
                <w:bCs/>
                <w:spacing w:val="5"/>
                <w:sz w:val="20"/>
                <w:szCs w:val="20"/>
              </w:rPr>
              <w:t>丙酮桶泄露</w:t>
            </w:r>
          </w:p>
        </w:tc>
      </w:tr>
      <w:tr w14:paraId="56F66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231" w:type="dxa"/>
            <w:vAlign w:val="top"/>
          </w:tcPr>
          <w:p w14:paraId="367A9FB4">
            <w:pPr>
              <w:pStyle w:val="6"/>
              <w:spacing w:before="98" w:line="228" w:lineRule="auto"/>
              <w:ind w:left="198"/>
              <w:rPr>
                <w:sz w:val="20"/>
                <w:szCs w:val="20"/>
              </w:rPr>
            </w:pPr>
            <w:r>
              <w:rPr>
                <w:spacing w:val="7"/>
                <w:sz w:val="20"/>
                <w:szCs w:val="20"/>
              </w:rPr>
              <w:t>释放高度</w:t>
            </w:r>
          </w:p>
        </w:tc>
        <w:tc>
          <w:tcPr>
            <w:tcW w:w="762" w:type="dxa"/>
            <w:vAlign w:val="top"/>
          </w:tcPr>
          <w:p w14:paraId="272F9012">
            <w:pPr>
              <w:spacing w:before="180" w:line="141"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299" w:type="dxa"/>
            <w:vAlign w:val="top"/>
          </w:tcPr>
          <w:p w14:paraId="3BC469CB">
            <w:pPr>
              <w:spacing w:before="134"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561" w:type="dxa"/>
            <w:vAlign w:val="top"/>
          </w:tcPr>
          <w:p w14:paraId="7CA6BA94">
            <w:pPr>
              <w:spacing w:before="134"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08" w:type="dxa"/>
            <w:vAlign w:val="top"/>
          </w:tcPr>
          <w:p w14:paraId="70C0BDE0">
            <w:pPr>
              <w:spacing w:before="13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04" w:type="dxa"/>
            <w:vAlign w:val="top"/>
          </w:tcPr>
          <w:p w14:paraId="45598324">
            <w:pPr>
              <w:spacing w:before="13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7" w:type="dxa"/>
            <w:vAlign w:val="top"/>
          </w:tcPr>
          <w:p w14:paraId="7F8FCC37">
            <w:pPr>
              <w:spacing w:before="134"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69671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231" w:type="dxa"/>
            <w:vAlign w:val="top"/>
          </w:tcPr>
          <w:p w14:paraId="406E5491">
            <w:pPr>
              <w:pStyle w:val="6"/>
              <w:spacing w:before="36" w:line="228" w:lineRule="auto"/>
              <w:ind w:left="203"/>
              <w:rPr>
                <w:sz w:val="20"/>
                <w:szCs w:val="20"/>
              </w:rPr>
            </w:pPr>
            <w:r>
              <w:rPr>
                <w:spacing w:val="6"/>
                <w:sz w:val="20"/>
                <w:szCs w:val="20"/>
              </w:rPr>
              <w:t>不利气象</w:t>
            </w:r>
          </w:p>
          <w:p w14:paraId="683232D5">
            <w:pPr>
              <w:pStyle w:val="6"/>
              <w:spacing w:before="24" w:line="236" w:lineRule="auto"/>
              <w:ind w:left="409" w:right="196" w:hanging="208"/>
              <w:rPr>
                <w:sz w:val="20"/>
                <w:szCs w:val="20"/>
              </w:rPr>
            </w:pPr>
            <w:r>
              <w:rPr>
                <w:spacing w:val="6"/>
                <w:sz w:val="20"/>
                <w:szCs w:val="20"/>
              </w:rPr>
              <w:t>条件产生</w:t>
            </w:r>
            <w:r>
              <w:rPr>
                <w:spacing w:val="2"/>
                <w:sz w:val="20"/>
                <w:szCs w:val="20"/>
              </w:rPr>
              <w:t xml:space="preserve"> </w:t>
            </w:r>
            <w:r>
              <w:rPr>
                <w:spacing w:val="5"/>
                <w:sz w:val="20"/>
                <w:szCs w:val="20"/>
              </w:rPr>
              <w:t>速率</w:t>
            </w:r>
          </w:p>
        </w:tc>
        <w:tc>
          <w:tcPr>
            <w:tcW w:w="762" w:type="dxa"/>
            <w:vAlign w:val="top"/>
          </w:tcPr>
          <w:p w14:paraId="0D71E335">
            <w:pPr>
              <w:spacing w:line="281" w:lineRule="auto"/>
              <w:rPr>
                <w:rFonts w:ascii="Arial"/>
                <w:sz w:val="21"/>
              </w:rPr>
            </w:pPr>
          </w:p>
          <w:p w14:paraId="58D5282B">
            <w:pPr>
              <w:spacing w:before="57" w:line="201"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/s</w:t>
            </w:r>
          </w:p>
        </w:tc>
        <w:tc>
          <w:tcPr>
            <w:tcW w:w="1299" w:type="dxa"/>
            <w:vAlign w:val="top"/>
          </w:tcPr>
          <w:p w14:paraId="742DE6B4">
            <w:pPr>
              <w:spacing w:line="285" w:lineRule="auto"/>
              <w:rPr>
                <w:rFonts w:ascii="Arial"/>
                <w:sz w:val="21"/>
              </w:rPr>
            </w:pPr>
          </w:p>
          <w:p w14:paraId="0B8BC5FA">
            <w:pPr>
              <w:spacing w:before="57"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0.00051</w:t>
            </w:r>
          </w:p>
        </w:tc>
        <w:tc>
          <w:tcPr>
            <w:tcW w:w="1561" w:type="dxa"/>
            <w:vAlign w:val="top"/>
          </w:tcPr>
          <w:p w14:paraId="084EDA33">
            <w:pPr>
              <w:spacing w:line="285" w:lineRule="auto"/>
              <w:rPr>
                <w:rFonts w:ascii="Arial"/>
                <w:sz w:val="21"/>
              </w:rPr>
            </w:pPr>
          </w:p>
          <w:p w14:paraId="1376A4DF">
            <w:pPr>
              <w:spacing w:before="5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0.00018</w:t>
            </w:r>
          </w:p>
        </w:tc>
        <w:tc>
          <w:tcPr>
            <w:tcW w:w="1308" w:type="dxa"/>
            <w:vAlign w:val="top"/>
          </w:tcPr>
          <w:p w14:paraId="54335349">
            <w:pPr>
              <w:spacing w:line="285" w:lineRule="auto"/>
              <w:rPr>
                <w:rFonts w:ascii="Arial"/>
                <w:sz w:val="21"/>
              </w:rPr>
            </w:pPr>
          </w:p>
          <w:p w14:paraId="62146A60">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w:t>
            </w:r>
          </w:p>
        </w:tc>
        <w:tc>
          <w:tcPr>
            <w:tcW w:w="1304" w:type="dxa"/>
            <w:vAlign w:val="top"/>
          </w:tcPr>
          <w:p w14:paraId="09218B01">
            <w:pPr>
              <w:spacing w:line="285" w:lineRule="auto"/>
              <w:rPr>
                <w:rFonts w:ascii="Arial"/>
                <w:sz w:val="21"/>
              </w:rPr>
            </w:pPr>
          </w:p>
          <w:p w14:paraId="70642A95">
            <w:pPr>
              <w:spacing w:before="5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0.00231</w:t>
            </w:r>
          </w:p>
        </w:tc>
        <w:tc>
          <w:tcPr>
            <w:tcW w:w="1387" w:type="dxa"/>
            <w:vAlign w:val="top"/>
          </w:tcPr>
          <w:p w14:paraId="6A275D88">
            <w:pPr>
              <w:spacing w:line="285" w:lineRule="auto"/>
              <w:rPr>
                <w:rFonts w:ascii="Arial"/>
                <w:sz w:val="21"/>
              </w:rPr>
            </w:pPr>
          </w:p>
          <w:p w14:paraId="2445CFAF">
            <w:pPr>
              <w:spacing w:before="5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0.00837</w:t>
            </w:r>
          </w:p>
        </w:tc>
      </w:tr>
      <w:tr w14:paraId="3A49B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231" w:type="dxa"/>
            <w:vAlign w:val="top"/>
          </w:tcPr>
          <w:p w14:paraId="6029DAD0">
            <w:pPr>
              <w:pStyle w:val="6"/>
              <w:spacing w:before="99" w:line="229" w:lineRule="auto"/>
              <w:ind w:left="199"/>
              <w:rPr>
                <w:sz w:val="20"/>
                <w:szCs w:val="20"/>
              </w:rPr>
            </w:pPr>
            <w:r>
              <w:rPr>
                <w:spacing w:val="7"/>
                <w:sz w:val="20"/>
                <w:szCs w:val="20"/>
              </w:rPr>
              <w:t>排放时长</w:t>
            </w:r>
          </w:p>
        </w:tc>
        <w:tc>
          <w:tcPr>
            <w:tcW w:w="762" w:type="dxa"/>
            <w:vAlign w:val="top"/>
          </w:tcPr>
          <w:p w14:paraId="62AC8692">
            <w:pPr>
              <w:spacing w:before="131" w:line="199"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min</w:t>
            </w:r>
          </w:p>
        </w:tc>
        <w:tc>
          <w:tcPr>
            <w:tcW w:w="1299" w:type="dxa"/>
            <w:vAlign w:val="top"/>
          </w:tcPr>
          <w:p w14:paraId="3FD48013">
            <w:pPr>
              <w:spacing w:before="135"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61" w:type="dxa"/>
            <w:vAlign w:val="top"/>
          </w:tcPr>
          <w:p w14:paraId="2FB4B4A8">
            <w:pPr>
              <w:spacing w:before="135"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08" w:type="dxa"/>
            <w:vAlign w:val="top"/>
          </w:tcPr>
          <w:p w14:paraId="658BFB0F">
            <w:pPr>
              <w:spacing w:before="135"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04" w:type="dxa"/>
            <w:vAlign w:val="top"/>
          </w:tcPr>
          <w:p w14:paraId="1DED914D">
            <w:pPr>
              <w:spacing w:before="135"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87" w:type="dxa"/>
            <w:vAlign w:val="top"/>
          </w:tcPr>
          <w:p w14:paraId="62C8D2DE">
            <w:pPr>
              <w:spacing w:before="135" w:line="195" w:lineRule="auto"/>
              <w:ind w:left="59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03AC8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231" w:type="dxa"/>
            <w:vAlign w:val="top"/>
          </w:tcPr>
          <w:p w14:paraId="6E4C8470">
            <w:pPr>
              <w:pStyle w:val="6"/>
              <w:spacing w:before="101" w:line="228" w:lineRule="auto"/>
              <w:ind w:left="201"/>
              <w:rPr>
                <w:sz w:val="20"/>
                <w:szCs w:val="20"/>
              </w:rPr>
            </w:pPr>
            <w:r>
              <w:rPr>
                <w:spacing w:val="6"/>
                <w:sz w:val="20"/>
                <w:szCs w:val="20"/>
              </w:rPr>
              <w:t>预测时长</w:t>
            </w:r>
          </w:p>
        </w:tc>
        <w:tc>
          <w:tcPr>
            <w:tcW w:w="762" w:type="dxa"/>
            <w:vAlign w:val="top"/>
          </w:tcPr>
          <w:p w14:paraId="6B55E3A5">
            <w:pPr>
              <w:spacing w:before="133" w:line="199"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min</w:t>
            </w:r>
          </w:p>
        </w:tc>
        <w:tc>
          <w:tcPr>
            <w:tcW w:w="1299" w:type="dxa"/>
            <w:vAlign w:val="top"/>
          </w:tcPr>
          <w:p w14:paraId="3FAFE247">
            <w:pPr>
              <w:spacing w:before="137"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561" w:type="dxa"/>
            <w:vAlign w:val="top"/>
          </w:tcPr>
          <w:p w14:paraId="5BF13CCF">
            <w:pPr>
              <w:spacing w:before="137" w:line="195" w:lineRule="auto"/>
              <w:ind w:left="68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08" w:type="dxa"/>
            <w:vAlign w:val="top"/>
          </w:tcPr>
          <w:p w14:paraId="23AD0CEF">
            <w:pPr>
              <w:spacing w:before="137"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04" w:type="dxa"/>
            <w:vAlign w:val="top"/>
          </w:tcPr>
          <w:p w14:paraId="4C7B96F4">
            <w:pPr>
              <w:spacing w:before="137"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87" w:type="dxa"/>
            <w:vAlign w:val="top"/>
          </w:tcPr>
          <w:p w14:paraId="343DB1F7">
            <w:pPr>
              <w:spacing w:before="137" w:line="195" w:lineRule="auto"/>
              <w:ind w:left="59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1CAAF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231" w:type="dxa"/>
            <w:vAlign w:val="top"/>
          </w:tcPr>
          <w:p w14:paraId="1778D916">
            <w:pPr>
              <w:pStyle w:val="6"/>
              <w:spacing w:before="38" w:line="229" w:lineRule="auto"/>
              <w:ind w:left="200"/>
              <w:rPr>
                <w:sz w:val="20"/>
                <w:szCs w:val="20"/>
              </w:rPr>
            </w:pPr>
            <w:r>
              <w:rPr>
                <w:spacing w:val="7"/>
                <w:sz w:val="20"/>
                <w:szCs w:val="20"/>
              </w:rPr>
              <w:t>土地利用</w:t>
            </w:r>
          </w:p>
          <w:p w14:paraId="01D10AA9">
            <w:pPr>
              <w:pStyle w:val="6"/>
              <w:spacing w:before="25" w:line="217" w:lineRule="auto"/>
              <w:ind w:left="410"/>
              <w:rPr>
                <w:sz w:val="20"/>
                <w:szCs w:val="20"/>
              </w:rPr>
            </w:pPr>
            <w:r>
              <w:rPr>
                <w:spacing w:val="4"/>
                <w:sz w:val="20"/>
                <w:szCs w:val="20"/>
              </w:rPr>
              <w:t>类型</w:t>
            </w:r>
          </w:p>
        </w:tc>
        <w:tc>
          <w:tcPr>
            <w:tcW w:w="762" w:type="dxa"/>
            <w:vAlign w:val="top"/>
          </w:tcPr>
          <w:p w14:paraId="65D514CC">
            <w:pPr>
              <w:spacing w:before="207" w:line="199"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9" w:type="dxa"/>
            <w:vAlign w:val="top"/>
          </w:tcPr>
          <w:p w14:paraId="7C90CD11">
            <w:pPr>
              <w:pStyle w:val="6"/>
              <w:spacing w:before="174" w:line="228" w:lineRule="auto"/>
              <w:ind w:left="443"/>
              <w:rPr>
                <w:sz w:val="20"/>
                <w:szCs w:val="20"/>
              </w:rPr>
            </w:pPr>
            <w:r>
              <w:rPr>
                <w:spacing w:val="4"/>
                <w:sz w:val="20"/>
                <w:szCs w:val="20"/>
              </w:rPr>
              <w:t>城市</w:t>
            </w:r>
          </w:p>
        </w:tc>
        <w:tc>
          <w:tcPr>
            <w:tcW w:w="1561" w:type="dxa"/>
            <w:vAlign w:val="top"/>
          </w:tcPr>
          <w:p w14:paraId="1615EABE">
            <w:pPr>
              <w:pStyle w:val="6"/>
              <w:spacing w:before="174" w:line="228" w:lineRule="auto"/>
              <w:ind w:left="574"/>
              <w:rPr>
                <w:sz w:val="20"/>
                <w:szCs w:val="20"/>
              </w:rPr>
            </w:pPr>
            <w:r>
              <w:rPr>
                <w:spacing w:val="4"/>
                <w:sz w:val="20"/>
                <w:szCs w:val="20"/>
              </w:rPr>
              <w:t>城市</w:t>
            </w:r>
          </w:p>
        </w:tc>
        <w:tc>
          <w:tcPr>
            <w:tcW w:w="1308" w:type="dxa"/>
            <w:vAlign w:val="top"/>
          </w:tcPr>
          <w:p w14:paraId="5FBDB84E">
            <w:pPr>
              <w:pStyle w:val="6"/>
              <w:spacing w:before="174" w:line="228" w:lineRule="auto"/>
              <w:ind w:left="449"/>
              <w:rPr>
                <w:sz w:val="20"/>
                <w:szCs w:val="20"/>
              </w:rPr>
            </w:pPr>
            <w:r>
              <w:rPr>
                <w:spacing w:val="4"/>
                <w:sz w:val="20"/>
                <w:szCs w:val="20"/>
              </w:rPr>
              <w:t>城市</w:t>
            </w:r>
          </w:p>
        </w:tc>
        <w:tc>
          <w:tcPr>
            <w:tcW w:w="1304" w:type="dxa"/>
            <w:vAlign w:val="top"/>
          </w:tcPr>
          <w:p w14:paraId="7A429D36">
            <w:pPr>
              <w:pStyle w:val="6"/>
              <w:spacing w:before="174" w:line="228" w:lineRule="auto"/>
              <w:ind w:left="449"/>
              <w:rPr>
                <w:sz w:val="20"/>
                <w:szCs w:val="20"/>
              </w:rPr>
            </w:pPr>
            <w:r>
              <w:rPr>
                <w:spacing w:val="4"/>
                <w:sz w:val="20"/>
                <w:szCs w:val="20"/>
              </w:rPr>
              <w:t>城市</w:t>
            </w:r>
          </w:p>
        </w:tc>
        <w:tc>
          <w:tcPr>
            <w:tcW w:w="1387" w:type="dxa"/>
            <w:vAlign w:val="top"/>
          </w:tcPr>
          <w:p w14:paraId="19878D53">
            <w:pPr>
              <w:pStyle w:val="6"/>
              <w:spacing w:before="174" w:line="228" w:lineRule="auto"/>
              <w:ind w:left="489"/>
              <w:rPr>
                <w:sz w:val="20"/>
                <w:szCs w:val="20"/>
              </w:rPr>
            </w:pPr>
            <w:r>
              <w:rPr>
                <w:spacing w:val="4"/>
                <w:sz w:val="20"/>
                <w:szCs w:val="20"/>
              </w:rPr>
              <w:t>城市</w:t>
            </w:r>
          </w:p>
        </w:tc>
      </w:tr>
      <w:tr w14:paraId="51192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231" w:type="dxa"/>
            <w:vAlign w:val="top"/>
          </w:tcPr>
          <w:p w14:paraId="418DE1B0">
            <w:pPr>
              <w:spacing w:line="368" w:lineRule="auto"/>
              <w:rPr>
                <w:rFonts w:ascii="Arial"/>
                <w:sz w:val="21"/>
              </w:rPr>
            </w:pPr>
          </w:p>
          <w:p w14:paraId="6D5F434A">
            <w:pPr>
              <w:pStyle w:val="6"/>
              <w:spacing w:before="65" w:line="228" w:lineRule="auto"/>
              <w:ind w:left="201"/>
              <w:rPr>
                <w:sz w:val="20"/>
                <w:szCs w:val="20"/>
              </w:rPr>
            </w:pPr>
            <w:r>
              <w:rPr>
                <w:spacing w:val="6"/>
                <w:sz w:val="20"/>
                <w:szCs w:val="20"/>
              </w:rPr>
              <w:t>预测模型</w:t>
            </w:r>
          </w:p>
        </w:tc>
        <w:tc>
          <w:tcPr>
            <w:tcW w:w="762" w:type="dxa"/>
            <w:vAlign w:val="top"/>
          </w:tcPr>
          <w:p w14:paraId="731EE876">
            <w:pPr>
              <w:spacing w:line="410" w:lineRule="auto"/>
              <w:rPr>
                <w:rFonts w:ascii="Arial"/>
                <w:sz w:val="21"/>
              </w:rPr>
            </w:pPr>
          </w:p>
          <w:p w14:paraId="246A75FD">
            <w:pPr>
              <w:spacing w:before="58" w:line="199"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9" w:type="dxa"/>
            <w:vAlign w:val="top"/>
          </w:tcPr>
          <w:p w14:paraId="2C30ECE6">
            <w:pPr>
              <w:pStyle w:val="6"/>
              <w:spacing w:before="166" w:line="251" w:lineRule="auto"/>
              <w:ind w:left="131" w:right="124" w:firstLine="60"/>
              <w:rPr>
                <w:sz w:val="20"/>
                <w:szCs w:val="20"/>
              </w:rPr>
            </w:pPr>
            <w:r>
              <w:rPr>
                <w:rFonts w:ascii="Times New Roman" w:hAnsi="Times New Roman" w:eastAsia="Times New Roman" w:cs="Times New Roman"/>
                <w:sz w:val="20"/>
                <w:szCs w:val="20"/>
              </w:rPr>
              <w:t>AFTOX</w:t>
            </w:r>
            <w:r>
              <w:rPr>
                <w:spacing w:val="41"/>
                <w:sz w:val="20"/>
                <w:szCs w:val="20"/>
              </w:rPr>
              <w:t>中</w:t>
            </w:r>
            <w:r>
              <w:rPr>
                <w:sz w:val="20"/>
                <w:szCs w:val="20"/>
              </w:rPr>
              <w:t xml:space="preserve"> </w:t>
            </w:r>
            <w:r>
              <w:rPr>
                <w:spacing w:val="7"/>
                <w:sz w:val="20"/>
                <w:szCs w:val="20"/>
              </w:rPr>
              <w:t>短时间或持</w:t>
            </w:r>
          </w:p>
          <w:p w14:paraId="3975BBAE">
            <w:pPr>
              <w:pStyle w:val="6"/>
              <w:spacing w:line="228" w:lineRule="auto"/>
              <w:ind w:left="340"/>
              <w:rPr>
                <w:sz w:val="20"/>
                <w:szCs w:val="20"/>
              </w:rPr>
            </w:pPr>
            <w:r>
              <w:rPr>
                <w:spacing w:val="6"/>
                <w:sz w:val="20"/>
                <w:szCs w:val="20"/>
              </w:rPr>
              <w:t>续泄漏</w:t>
            </w:r>
          </w:p>
        </w:tc>
        <w:tc>
          <w:tcPr>
            <w:tcW w:w="1561" w:type="dxa"/>
            <w:vAlign w:val="top"/>
          </w:tcPr>
          <w:p w14:paraId="513FF63C">
            <w:pPr>
              <w:pStyle w:val="6"/>
              <w:spacing w:before="301" w:line="252" w:lineRule="auto"/>
              <w:ind w:left="170" w:right="115" w:hanging="56"/>
              <w:rPr>
                <w:sz w:val="20"/>
                <w:szCs w:val="20"/>
              </w:rPr>
            </w:pPr>
            <w:r>
              <w:rPr>
                <w:rFonts w:ascii="Times New Roman" w:hAnsi="Times New Roman" w:eastAsia="Times New Roman" w:cs="Times New Roman"/>
                <w:sz w:val="20"/>
                <w:szCs w:val="20"/>
              </w:rPr>
              <w:t>AFTOX</w:t>
            </w:r>
            <w:r>
              <w:rPr>
                <w:spacing w:val="19"/>
                <w:sz w:val="20"/>
                <w:szCs w:val="20"/>
              </w:rPr>
              <w:t>中短时</w:t>
            </w:r>
            <w:r>
              <w:rPr>
                <w:spacing w:val="1"/>
                <w:sz w:val="20"/>
                <w:szCs w:val="20"/>
              </w:rPr>
              <w:t xml:space="preserve"> </w:t>
            </w:r>
            <w:r>
              <w:rPr>
                <w:spacing w:val="5"/>
                <w:sz w:val="20"/>
                <w:szCs w:val="20"/>
              </w:rPr>
              <w:t>间或持续泄漏</w:t>
            </w:r>
          </w:p>
        </w:tc>
        <w:tc>
          <w:tcPr>
            <w:tcW w:w="1308" w:type="dxa"/>
            <w:vAlign w:val="top"/>
          </w:tcPr>
          <w:p w14:paraId="03F3E3BF">
            <w:pPr>
              <w:pStyle w:val="6"/>
              <w:spacing w:before="166" w:line="251" w:lineRule="auto"/>
              <w:ind w:left="137" w:right="127" w:firstLine="60"/>
              <w:rPr>
                <w:sz w:val="20"/>
                <w:szCs w:val="20"/>
              </w:rPr>
            </w:pPr>
            <w:r>
              <w:rPr>
                <w:rFonts w:ascii="Times New Roman" w:hAnsi="Times New Roman" w:eastAsia="Times New Roman" w:cs="Times New Roman"/>
                <w:sz w:val="20"/>
                <w:szCs w:val="20"/>
              </w:rPr>
              <w:t>AFTOX</w:t>
            </w:r>
            <w:r>
              <w:rPr>
                <w:spacing w:val="41"/>
                <w:sz w:val="20"/>
                <w:szCs w:val="20"/>
              </w:rPr>
              <w:t>中</w:t>
            </w:r>
            <w:r>
              <w:rPr>
                <w:sz w:val="20"/>
                <w:szCs w:val="20"/>
              </w:rPr>
              <w:t xml:space="preserve"> </w:t>
            </w:r>
            <w:r>
              <w:rPr>
                <w:spacing w:val="7"/>
                <w:sz w:val="20"/>
                <w:szCs w:val="20"/>
              </w:rPr>
              <w:t>短时间或持</w:t>
            </w:r>
          </w:p>
          <w:p w14:paraId="57506C02">
            <w:pPr>
              <w:pStyle w:val="6"/>
              <w:spacing w:line="228" w:lineRule="auto"/>
              <w:ind w:left="348"/>
              <w:rPr>
                <w:sz w:val="20"/>
                <w:szCs w:val="20"/>
              </w:rPr>
            </w:pPr>
            <w:r>
              <w:rPr>
                <w:spacing w:val="6"/>
                <w:sz w:val="20"/>
                <w:szCs w:val="20"/>
              </w:rPr>
              <w:t>续泄漏</w:t>
            </w:r>
          </w:p>
        </w:tc>
        <w:tc>
          <w:tcPr>
            <w:tcW w:w="1304" w:type="dxa"/>
            <w:vAlign w:val="top"/>
          </w:tcPr>
          <w:p w14:paraId="3607869C">
            <w:pPr>
              <w:pStyle w:val="6"/>
              <w:spacing w:before="166" w:line="251" w:lineRule="auto"/>
              <w:ind w:left="137" w:right="123" w:firstLine="60"/>
              <w:rPr>
                <w:sz w:val="20"/>
                <w:szCs w:val="20"/>
              </w:rPr>
            </w:pPr>
            <w:r>
              <w:rPr>
                <w:rFonts w:ascii="Times New Roman" w:hAnsi="Times New Roman" w:eastAsia="Times New Roman" w:cs="Times New Roman"/>
                <w:sz w:val="20"/>
                <w:szCs w:val="20"/>
              </w:rPr>
              <w:t>AFTOX</w:t>
            </w:r>
            <w:r>
              <w:rPr>
                <w:spacing w:val="39"/>
                <w:sz w:val="20"/>
                <w:szCs w:val="20"/>
              </w:rPr>
              <w:t>中</w:t>
            </w:r>
            <w:r>
              <w:rPr>
                <w:sz w:val="20"/>
                <w:szCs w:val="20"/>
              </w:rPr>
              <w:t xml:space="preserve"> </w:t>
            </w:r>
            <w:r>
              <w:rPr>
                <w:spacing w:val="7"/>
                <w:sz w:val="20"/>
                <w:szCs w:val="20"/>
              </w:rPr>
              <w:t>短时间或持</w:t>
            </w:r>
          </w:p>
          <w:p w14:paraId="10AF1BCE">
            <w:pPr>
              <w:pStyle w:val="6"/>
              <w:spacing w:line="228" w:lineRule="auto"/>
              <w:ind w:left="346"/>
              <w:rPr>
                <w:sz w:val="20"/>
                <w:szCs w:val="20"/>
              </w:rPr>
            </w:pPr>
            <w:r>
              <w:rPr>
                <w:spacing w:val="6"/>
                <w:sz w:val="20"/>
                <w:szCs w:val="20"/>
              </w:rPr>
              <w:t>续泄漏</w:t>
            </w:r>
          </w:p>
        </w:tc>
        <w:tc>
          <w:tcPr>
            <w:tcW w:w="1387" w:type="dxa"/>
            <w:vAlign w:val="top"/>
          </w:tcPr>
          <w:p w14:paraId="3391CA28">
            <w:pPr>
              <w:pStyle w:val="6"/>
              <w:spacing w:before="166" w:line="251" w:lineRule="auto"/>
              <w:ind w:left="184" w:right="132" w:hanging="52"/>
              <w:rPr>
                <w:sz w:val="20"/>
                <w:szCs w:val="20"/>
              </w:rPr>
            </w:pPr>
            <w:r>
              <w:rPr>
                <w:rFonts w:ascii="Times New Roman" w:hAnsi="Times New Roman" w:eastAsia="Times New Roman" w:cs="Times New Roman"/>
                <w:sz w:val="20"/>
                <w:szCs w:val="20"/>
              </w:rPr>
              <w:t>AFTOX</w:t>
            </w:r>
            <w:r>
              <w:rPr>
                <w:spacing w:val="25"/>
                <w:sz w:val="20"/>
                <w:szCs w:val="20"/>
              </w:rPr>
              <w:t>中短</w:t>
            </w:r>
            <w:r>
              <w:rPr>
                <w:sz w:val="20"/>
                <w:szCs w:val="20"/>
              </w:rPr>
              <w:t xml:space="preserve"> </w:t>
            </w:r>
            <w:r>
              <w:rPr>
                <w:spacing w:val="6"/>
                <w:sz w:val="20"/>
                <w:szCs w:val="20"/>
              </w:rPr>
              <w:t>时间或持续</w:t>
            </w:r>
          </w:p>
          <w:p w14:paraId="0BE2D618">
            <w:pPr>
              <w:pStyle w:val="6"/>
              <w:spacing w:line="229" w:lineRule="auto"/>
              <w:ind w:left="492"/>
              <w:rPr>
                <w:sz w:val="20"/>
                <w:szCs w:val="20"/>
              </w:rPr>
            </w:pPr>
            <w:r>
              <w:rPr>
                <w:spacing w:val="3"/>
                <w:sz w:val="20"/>
                <w:szCs w:val="20"/>
              </w:rPr>
              <w:t>泄漏</w:t>
            </w:r>
          </w:p>
        </w:tc>
      </w:tr>
    </w:tbl>
    <w:p w14:paraId="390C88E5">
      <w:pPr>
        <w:spacing w:before="37" w:line="219" w:lineRule="auto"/>
        <w:ind w:left="53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）气象参数</w:t>
      </w:r>
    </w:p>
    <w:p w14:paraId="7A40B102">
      <w:pPr>
        <w:spacing w:before="180" w:line="361" w:lineRule="auto"/>
        <w:ind w:left="44" w:right="33" w:firstLine="480"/>
        <w:rPr>
          <w:rFonts w:ascii="宋体" w:hAnsi="宋体" w:eastAsia="宋体" w:cs="宋体"/>
          <w:sz w:val="24"/>
          <w:szCs w:val="24"/>
        </w:rPr>
      </w:pPr>
      <w:r>
        <w:rPr>
          <w:rFonts w:ascii="宋体" w:hAnsi="宋体" w:eastAsia="宋体" w:cs="宋体"/>
          <w:spacing w:val="-1"/>
          <w:sz w:val="24"/>
          <w:szCs w:val="24"/>
        </w:rPr>
        <w:t>本项目为环境风险二级评价，选取最不利气象条件</w:t>
      </w:r>
      <w:r>
        <w:rPr>
          <w:rFonts w:ascii="宋体" w:hAnsi="宋体" w:eastAsia="宋体" w:cs="宋体"/>
          <w:spacing w:val="-2"/>
          <w:sz w:val="24"/>
          <w:szCs w:val="24"/>
        </w:rPr>
        <w:t>进行后果预测，其中取最不利</w:t>
      </w:r>
      <w:r>
        <w:rPr>
          <w:rFonts w:ascii="宋体" w:hAnsi="宋体" w:eastAsia="宋体" w:cs="宋体"/>
          <w:sz w:val="24"/>
          <w:szCs w:val="24"/>
        </w:rPr>
        <w:t xml:space="preserve"> </w:t>
      </w:r>
      <w:r>
        <w:rPr>
          <w:rFonts w:ascii="宋体" w:hAnsi="宋体" w:eastAsia="宋体" w:cs="宋体"/>
          <w:spacing w:val="-5"/>
          <w:sz w:val="24"/>
          <w:szCs w:val="24"/>
        </w:rPr>
        <w:t>气象条件取</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F </w:t>
      </w:r>
      <w:r>
        <w:rPr>
          <w:rFonts w:ascii="宋体" w:hAnsi="宋体" w:eastAsia="宋体" w:cs="宋体"/>
          <w:spacing w:val="-5"/>
          <w:sz w:val="24"/>
          <w:szCs w:val="24"/>
        </w:rPr>
        <w:t>类稳定度，风速为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1.5m/s</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，温度</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25℃</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w:t>
      </w:r>
      <w:r>
        <w:rPr>
          <w:rFonts w:ascii="宋体" w:hAnsi="宋体" w:eastAsia="宋体" w:cs="宋体"/>
          <w:spacing w:val="63"/>
          <w:sz w:val="24"/>
          <w:szCs w:val="24"/>
        </w:rPr>
        <w:t xml:space="preserve"> </w:t>
      </w:r>
      <w:r>
        <w:rPr>
          <w:rFonts w:ascii="宋体" w:hAnsi="宋体" w:eastAsia="宋体" w:cs="宋体"/>
          <w:spacing w:val="-5"/>
          <w:sz w:val="24"/>
          <w:szCs w:val="24"/>
        </w:rPr>
        <w:t>相对湿度</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50</w:t>
      </w:r>
      <w:r>
        <w:rPr>
          <w:rFonts w:ascii="Times New Roman" w:hAnsi="Times New Roman" w:eastAsia="Times New Roman" w:cs="Times New Roman"/>
          <w:spacing w:val="-6"/>
          <w:sz w:val="24"/>
          <w:szCs w:val="24"/>
        </w:rPr>
        <w:t>%</w:t>
      </w:r>
      <w:r>
        <w:rPr>
          <w:rFonts w:ascii="宋体" w:hAnsi="宋体" w:eastAsia="宋体" w:cs="宋体"/>
          <w:spacing w:val="-6"/>
          <w:sz w:val="24"/>
          <w:szCs w:val="24"/>
        </w:rPr>
        <w:t>。</w:t>
      </w:r>
    </w:p>
    <w:p w14:paraId="478D6602">
      <w:pPr>
        <w:spacing w:before="116" w:line="219" w:lineRule="auto"/>
        <w:ind w:left="2507"/>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3"/>
          <w:sz w:val="24"/>
          <w:szCs w:val="24"/>
        </w:rPr>
        <w:t xml:space="preserve"> </w:t>
      </w:r>
      <w:r>
        <w:rPr>
          <w:rFonts w:ascii="Times New Roman" w:hAnsi="Times New Roman" w:eastAsia="Times New Roman" w:cs="Times New Roman"/>
          <w:b/>
          <w:bCs/>
          <w:spacing w:val="-2"/>
          <w:sz w:val="24"/>
          <w:szCs w:val="24"/>
        </w:rPr>
        <w:t xml:space="preserve">29    </w:t>
      </w:r>
      <w:r>
        <w:rPr>
          <w:rFonts w:ascii="宋体" w:hAnsi="宋体" w:eastAsia="宋体" w:cs="宋体"/>
          <w:b/>
          <w:bCs/>
          <w:spacing w:val="-2"/>
          <w:sz w:val="24"/>
          <w:szCs w:val="24"/>
        </w:rPr>
        <w:t>大气风险预测模型主要参数表</w:t>
      </w:r>
    </w:p>
    <w:p w14:paraId="5E39333B">
      <w:pPr>
        <w:spacing w:line="148" w:lineRule="exact"/>
      </w:pPr>
    </w:p>
    <w:tbl>
      <w:tblPr>
        <w:tblStyle w:val="5"/>
        <w:tblW w:w="89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8"/>
        <w:gridCol w:w="2675"/>
        <w:gridCol w:w="3553"/>
      </w:tblGrid>
      <w:tr w14:paraId="56FA4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678" w:type="dxa"/>
            <w:vAlign w:val="top"/>
          </w:tcPr>
          <w:p w14:paraId="3BE5D1ED">
            <w:pPr>
              <w:pStyle w:val="6"/>
              <w:spacing w:before="97" w:line="228" w:lineRule="auto"/>
              <w:ind w:left="926"/>
              <w:rPr>
                <w:sz w:val="20"/>
                <w:szCs w:val="20"/>
              </w:rPr>
            </w:pPr>
            <w:r>
              <w:rPr>
                <w:spacing w:val="6"/>
                <w:sz w:val="20"/>
                <w:szCs w:val="20"/>
              </w:rPr>
              <w:t>参数类型</w:t>
            </w:r>
          </w:p>
        </w:tc>
        <w:tc>
          <w:tcPr>
            <w:tcW w:w="2675" w:type="dxa"/>
            <w:vAlign w:val="top"/>
          </w:tcPr>
          <w:p w14:paraId="22BB0A9F">
            <w:pPr>
              <w:pStyle w:val="6"/>
              <w:spacing w:before="98" w:line="228" w:lineRule="auto"/>
              <w:ind w:left="1131"/>
              <w:rPr>
                <w:sz w:val="20"/>
                <w:szCs w:val="20"/>
              </w:rPr>
            </w:pPr>
            <w:r>
              <w:rPr>
                <w:spacing w:val="5"/>
                <w:sz w:val="20"/>
                <w:szCs w:val="20"/>
              </w:rPr>
              <w:t>选项</w:t>
            </w:r>
          </w:p>
        </w:tc>
        <w:tc>
          <w:tcPr>
            <w:tcW w:w="3553" w:type="dxa"/>
            <w:vAlign w:val="top"/>
          </w:tcPr>
          <w:p w14:paraId="73B425DF">
            <w:pPr>
              <w:pStyle w:val="6"/>
              <w:spacing w:before="97" w:line="228" w:lineRule="auto"/>
              <w:ind w:left="1573"/>
              <w:rPr>
                <w:sz w:val="20"/>
                <w:szCs w:val="20"/>
              </w:rPr>
            </w:pPr>
            <w:r>
              <w:rPr>
                <w:spacing w:val="3"/>
                <w:sz w:val="20"/>
                <w:szCs w:val="20"/>
              </w:rPr>
              <w:t>参数</w:t>
            </w:r>
          </w:p>
        </w:tc>
      </w:tr>
      <w:tr w14:paraId="32860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restart"/>
            <w:tcBorders>
              <w:bottom w:val="nil"/>
            </w:tcBorders>
            <w:vAlign w:val="top"/>
          </w:tcPr>
          <w:p w14:paraId="0319466B">
            <w:pPr>
              <w:spacing w:line="432" w:lineRule="auto"/>
              <w:rPr>
                <w:rFonts w:ascii="Arial"/>
                <w:sz w:val="21"/>
              </w:rPr>
            </w:pPr>
          </w:p>
          <w:p w14:paraId="39442A13">
            <w:pPr>
              <w:pStyle w:val="6"/>
              <w:spacing w:before="65" w:line="227" w:lineRule="auto"/>
              <w:ind w:left="505"/>
              <w:rPr>
                <w:sz w:val="20"/>
                <w:szCs w:val="20"/>
              </w:rPr>
            </w:pPr>
            <w:r>
              <w:rPr>
                <w:spacing w:val="7"/>
                <w:sz w:val="20"/>
                <w:szCs w:val="20"/>
              </w:rPr>
              <w:t>基本情况（盐酸）</w:t>
            </w:r>
          </w:p>
        </w:tc>
        <w:tc>
          <w:tcPr>
            <w:tcW w:w="2675" w:type="dxa"/>
            <w:vAlign w:val="top"/>
          </w:tcPr>
          <w:p w14:paraId="5DE43491">
            <w:pPr>
              <w:pStyle w:val="6"/>
              <w:spacing w:before="92" w:line="228" w:lineRule="auto"/>
              <w:ind w:left="817"/>
              <w:rPr>
                <w:sz w:val="20"/>
                <w:szCs w:val="20"/>
              </w:rPr>
            </w:pPr>
            <w:r>
              <w:rPr>
                <w:spacing w:val="8"/>
                <w:sz w:val="20"/>
                <w:szCs w:val="20"/>
              </w:rPr>
              <w:t>事故源经度</w:t>
            </w:r>
          </w:p>
        </w:tc>
        <w:tc>
          <w:tcPr>
            <w:tcW w:w="3553" w:type="dxa"/>
            <w:vAlign w:val="top"/>
          </w:tcPr>
          <w:p w14:paraId="0465F36E">
            <w:pPr>
              <w:spacing w:before="128" w:line="195" w:lineRule="auto"/>
              <w:ind w:left="1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115.461758E</w:t>
            </w:r>
          </w:p>
        </w:tc>
      </w:tr>
      <w:tr w14:paraId="07E61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continue"/>
            <w:tcBorders>
              <w:top w:val="nil"/>
              <w:bottom w:val="nil"/>
            </w:tcBorders>
            <w:vAlign w:val="top"/>
          </w:tcPr>
          <w:p w14:paraId="7EF30DA7">
            <w:pPr>
              <w:rPr>
                <w:rFonts w:ascii="Arial"/>
                <w:sz w:val="21"/>
              </w:rPr>
            </w:pPr>
          </w:p>
        </w:tc>
        <w:tc>
          <w:tcPr>
            <w:tcW w:w="2675" w:type="dxa"/>
            <w:vAlign w:val="top"/>
          </w:tcPr>
          <w:p w14:paraId="5D9F4BDE">
            <w:pPr>
              <w:pStyle w:val="6"/>
              <w:spacing w:before="94" w:line="228" w:lineRule="auto"/>
              <w:ind w:left="817"/>
              <w:rPr>
                <w:sz w:val="20"/>
                <w:szCs w:val="20"/>
              </w:rPr>
            </w:pPr>
            <w:r>
              <w:rPr>
                <w:spacing w:val="8"/>
                <w:sz w:val="20"/>
                <w:szCs w:val="20"/>
              </w:rPr>
              <w:t>事故源纬度</w:t>
            </w:r>
          </w:p>
        </w:tc>
        <w:tc>
          <w:tcPr>
            <w:tcW w:w="3553" w:type="dxa"/>
            <w:vAlign w:val="top"/>
          </w:tcPr>
          <w:p w14:paraId="41120B9F">
            <w:pPr>
              <w:spacing w:before="130"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22.961472N</w:t>
            </w:r>
          </w:p>
        </w:tc>
      </w:tr>
      <w:tr w14:paraId="14319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tcBorders>
            <w:vAlign w:val="top"/>
          </w:tcPr>
          <w:p w14:paraId="3CA73DAF">
            <w:pPr>
              <w:rPr>
                <w:rFonts w:ascii="Arial"/>
                <w:sz w:val="21"/>
              </w:rPr>
            </w:pPr>
          </w:p>
        </w:tc>
        <w:tc>
          <w:tcPr>
            <w:tcW w:w="2675" w:type="dxa"/>
            <w:vAlign w:val="top"/>
          </w:tcPr>
          <w:p w14:paraId="1E8D4F3F">
            <w:pPr>
              <w:pStyle w:val="6"/>
              <w:spacing w:before="96" w:line="228" w:lineRule="auto"/>
              <w:ind w:left="817"/>
              <w:rPr>
                <w:sz w:val="20"/>
                <w:szCs w:val="20"/>
              </w:rPr>
            </w:pPr>
            <w:r>
              <w:rPr>
                <w:spacing w:val="8"/>
                <w:sz w:val="20"/>
                <w:szCs w:val="20"/>
              </w:rPr>
              <w:t>事故源类型</w:t>
            </w:r>
          </w:p>
        </w:tc>
        <w:tc>
          <w:tcPr>
            <w:tcW w:w="3553" w:type="dxa"/>
            <w:vAlign w:val="top"/>
          </w:tcPr>
          <w:p w14:paraId="3DAFD179">
            <w:pPr>
              <w:pStyle w:val="6"/>
              <w:spacing w:before="96" w:line="229" w:lineRule="auto"/>
              <w:ind w:left="1362"/>
              <w:rPr>
                <w:sz w:val="20"/>
                <w:szCs w:val="20"/>
              </w:rPr>
            </w:pPr>
            <w:r>
              <w:rPr>
                <w:spacing w:val="6"/>
                <w:sz w:val="20"/>
                <w:szCs w:val="20"/>
              </w:rPr>
              <w:t>盐酸泄漏</w:t>
            </w:r>
          </w:p>
        </w:tc>
      </w:tr>
      <w:tr w14:paraId="348CE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restart"/>
            <w:tcBorders>
              <w:bottom w:val="nil"/>
            </w:tcBorders>
            <w:vAlign w:val="top"/>
          </w:tcPr>
          <w:p w14:paraId="0AE9E9E5">
            <w:pPr>
              <w:spacing w:line="435" w:lineRule="auto"/>
              <w:rPr>
                <w:rFonts w:ascii="Arial"/>
                <w:sz w:val="21"/>
              </w:rPr>
            </w:pPr>
          </w:p>
          <w:p w14:paraId="2FE59961">
            <w:pPr>
              <w:pStyle w:val="6"/>
              <w:spacing w:before="65" w:line="227" w:lineRule="auto"/>
              <w:ind w:left="399"/>
              <w:rPr>
                <w:sz w:val="20"/>
                <w:szCs w:val="20"/>
              </w:rPr>
            </w:pPr>
            <w:r>
              <w:rPr>
                <w:spacing w:val="7"/>
                <w:sz w:val="20"/>
                <w:szCs w:val="20"/>
              </w:rPr>
              <w:t>基本情况（氟化氢）</w:t>
            </w:r>
          </w:p>
        </w:tc>
        <w:tc>
          <w:tcPr>
            <w:tcW w:w="2675" w:type="dxa"/>
            <w:vAlign w:val="top"/>
          </w:tcPr>
          <w:p w14:paraId="5161634B">
            <w:pPr>
              <w:pStyle w:val="6"/>
              <w:spacing w:before="95" w:line="228" w:lineRule="auto"/>
              <w:ind w:left="817"/>
              <w:rPr>
                <w:sz w:val="20"/>
                <w:szCs w:val="20"/>
              </w:rPr>
            </w:pPr>
            <w:r>
              <w:rPr>
                <w:spacing w:val="8"/>
                <w:sz w:val="20"/>
                <w:szCs w:val="20"/>
              </w:rPr>
              <w:t>事故源经度</w:t>
            </w:r>
          </w:p>
        </w:tc>
        <w:tc>
          <w:tcPr>
            <w:tcW w:w="3553" w:type="dxa"/>
            <w:vAlign w:val="top"/>
          </w:tcPr>
          <w:p w14:paraId="24E2F81C">
            <w:pPr>
              <w:spacing w:before="130" w:line="195" w:lineRule="auto"/>
              <w:ind w:left="1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115.461758E</w:t>
            </w:r>
          </w:p>
        </w:tc>
      </w:tr>
      <w:tr w14:paraId="69CD9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bottom w:val="nil"/>
            </w:tcBorders>
            <w:vAlign w:val="top"/>
          </w:tcPr>
          <w:p w14:paraId="003ADB61">
            <w:pPr>
              <w:rPr>
                <w:rFonts w:ascii="Arial"/>
                <w:sz w:val="21"/>
              </w:rPr>
            </w:pPr>
          </w:p>
        </w:tc>
        <w:tc>
          <w:tcPr>
            <w:tcW w:w="2675" w:type="dxa"/>
            <w:vAlign w:val="top"/>
          </w:tcPr>
          <w:p w14:paraId="3F1A8840">
            <w:pPr>
              <w:pStyle w:val="6"/>
              <w:spacing w:before="97" w:line="228" w:lineRule="auto"/>
              <w:ind w:left="817"/>
              <w:rPr>
                <w:sz w:val="20"/>
                <w:szCs w:val="20"/>
              </w:rPr>
            </w:pPr>
            <w:r>
              <w:rPr>
                <w:spacing w:val="8"/>
                <w:sz w:val="20"/>
                <w:szCs w:val="20"/>
              </w:rPr>
              <w:t>事故源纬度</w:t>
            </w:r>
          </w:p>
        </w:tc>
        <w:tc>
          <w:tcPr>
            <w:tcW w:w="3553" w:type="dxa"/>
            <w:vAlign w:val="top"/>
          </w:tcPr>
          <w:p w14:paraId="6962CDCC">
            <w:pPr>
              <w:spacing w:before="132"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22.961472N</w:t>
            </w:r>
          </w:p>
        </w:tc>
      </w:tr>
      <w:tr w14:paraId="40973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continue"/>
            <w:tcBorders>
              <w:top w:val="nil"/>
            </w:tcBorders>
            <w:vAlign w:val="top"/>
          </w:tcPr>
          <w:p w14:paraId="4E3BBAC3">
            <w:pPr>
              <w:rPr>
                <w:rFonts w:ascii="Arial"/>
                <w:sz w:val="21"/>
              </w:rPr>
            </w:pPr>
          </w:p>
        </w:tc>
        <w:tc>
          <w:tcPr>
            <w:tcW w:w="2675" w:type="dxa"/>
            <w:vAlign w:val="top"/>
          </w:tcPr>
          <w:p w14:paraId="18490744">
            <w:pPr>
              <w:pStyle w:val="6"/>
              <w:spacing w:before="95" w:line="228" w:lineRule="auto"/>
              <w:ind w:left="817"/>
              <w:rPr>
                <w:sz w:val="20"/>
                <w:szCs w:val="20"/>
              </w:rPr>
            </w:pPr>
            <w:r>
              <w:rPr>
                <w:spacing w:val="8"/>
                <w:sz w:val="20"/>
                <w:szCs w:val="20"/>
              </w:rPr>
              <w:t>事故源类型</w:t>
            </w:r>
          </w:p>
        </w:tc>
        <w:tc>
          <w:tcPr>
            <w:tcW w:w="3553" w:type="dxa"/>
            <w:vAlign w:val="top"/>
          </w:tcPr>
          <w:p w14:paraId="10E1B495">
            <w:pPr>
              <w:pStyle w:val="6"/>
              <w:spacing w:before="95" w:line="228" w:lineRule="auto"/>
              <w:ind w:left="1258"/>
              <w:rPr>
                <w:sz w:val="20"/>
                <w:szCs w:val="20"/>
              </w:rPr>
            </w:pPr>
            <w:r>
              <w:rPr>
                <w:spacing w:val="7"/>
                <w:sz w:val="20"/>
                <w:szCs w:val="20"/>
              </w:rPr>
              <w:t>氟化氢泄漏</w:t>
            </w:r>
          </w:p>
        </w:tc>
      </w:tr>
      <w:tr w14:paraId="66454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678" w:type="dxa"/>
            <w:vAlign w:val="top"/>
          </w:tcPr>
          <w:p w14:paraId="353019E8">
            <w:pPr>
              <w:pStyle w:val="6"/>
              <w:spacing w:before="97" w:line="227" w:lineRule="auto"/>
              <w:ind w:left="505"/>
              <w:rPr>
                <w:sz w:val="20"/>
                <w:szCs w:val="20"/>
              </w:rPr>
            </w:pPr>
            <w:r>
              <w:rPr>
                <w:spacing w:val="7"/>
                <w:sz w:val="20"/>
                <w:szCs w:val="20"/>
              </w:rPr>
              <w:t>基本情况（硫酸）</w:t>
            </w:r>
          </w:p>
        </w:tc>
        <w:tc>
          <w:tcPr>
            <w:tcW w:w="2675" w:type="dxa"/>
            <w:vAlign w:val="top"/>
          </w:tcPr>
          <w:p w14:paraId="028A4883">
            <w:pPr>
              <w:pStyle w:val="6"/>
              <w:spacing w:before="98" w:line="228" w:lineRule="auto"/>
              <w:ind w:left="817"/>
              <w:rPr>
                <w:sz w:val="20"/>
                <w:szCs w:val="20"/>
              </w:rPr>
            </w:pPr>
            <w:r>
              <w:rPr>
                <w:spacing w:val="8"/>
                <w:sz w:val="20"/>
                <w:szCs w:val="20"/>
              </w:rPr>
              <w:t>事故源经度</w:t>
            </w:r>
          </w:p>
        </w:tc>
        <w:tc>
          <w:tcPr>
            <w:tcW w:w="3553" w:type="dxa"/>
            <w:vAlign w:val="top"/>
          </w:tcPr>
          <w:p w14:paraId="4DBE64FF">
            <w:pPr>
              <w:spacing w:before="133" w:line="195" w:lineRule="auto"/>
              <w:ind w:left="1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115.461758E</w:t>
            </w:r>
          </w:p>
        </w:tc>
      </w:tr>
    </w:tbl>
    <w:p w14:paraId="29F72026">
      <w:pPr>
        <w:rPr>
          <w:rFonts w:ascii="Arial"/>
          <w:sz w:val="21"/>
        </w:rPr>
      </w:pPr>
    </w:p>
    <w:p w14:paraId="55360387">
      <w:pPr>
        <w:rPr>
          <w:rFonts w:ascii="Arial" w:hAnsi="Arial" w:eastAsia="Arial" w:cs="Arial"/>
          <w:sz w:val="21"/>
          <w:szCs w:val="21"/>
        </w:rPr>
        <w:sectPr>
          <w:footerReference r:id="rId141" w:type="default"/>
          <w:pgSz w:w="11906" w:h="16839"/>
          <w:pgMar w:top="400" w:right="1497" w:bottom="1127" w:left="1497" w:header="0" w:footer="965" w:gutter="0"/>
          <w:cols w:space="720" w:num="1"/>
        </w:sectPr>
      </w:pPr>
    </w:p>
    <w:p w14:paraId="2D3A85F3">
      <w:pPr>
        <w:spacing w:before="19"/>
      </w:pPr>
    </w:p>
    <w:p w14:paraId="091C0833">
      <w:pPr>
        <w:spacing w:before="19"/>
      </w:pPr>
    </w:p>
    <w:p w14:paraId="1AC56DC3">
      <w:pPr>
        <w:spacing w:before="19"/>
      </w:pPr>
    </w:p>
    <w:p w14:paraId="269F4A02">
      <w:pPr>
        <w:spacing w:before="18"/>
      </w:pPr>
    </w:p>
    <w:p w14:paraId="08E1634E">
      <w:pPr>
        <w:spacing w:before="18"/>
      </w:pPr>
    </w:p>
    <w:tbl>
      <w:tblPr>
        <w:tblStyle w:val="5"/>
        <w:tblW w:w="89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8"/>
        <w:gridCol w:w="2675"/>
        <w:gridCol w:w="3553"/>
      </w:tblGrid>
      <w:tr w14:paraId="1902C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678" w:type="dxa"/>
            <w:vMerge w:val="restart"/>
            <w:tcBorders>
              <w:bottom w:val="nil"/>
            </w:tcBorders>
            <w:vAlign w:val="top"/>
          </w:tcPr>
          <w:p w14:paraId="42777001">
            <w:pPr>
              <w:rPr>
                <w:rFonts w:ascii="Arial"/>
                <w:sz w:val="21"/>
              </w:rPr>
            </w:pPr>
          </w:p>
        </w:tc>
        <w:tc>
          <w:tcPr>
            <w:tcW w:w="2675" w:type="dxa"/>
            <w:vAlign w:val="top"/>
          </w:tcPr>
          <w:p w14:paraId="4A83D81D">
            <w:pPr>
              <w:pStyle w:val="6"/>
              <w:spacing w:before="98" w:line="228" w:lineRule="auto"/>
              <w:ind w:left="817"/>
              <w:rPr>
                <w:sz w:val="20"/>
                <w:szCs w:val="20"/>
              </w:rPr>
            </w:pPr>
            <w:r>
              <w:rPr>
                <w:spacing w:val="8"/>
                <w:sz w:val="20"/>
                <w:szCs w:val="20"/>
              </w:rPr>
              <w:t>事故源纬度</w:t>
            </w:r>
          </w:p>
        </w:tc>
        <w:tc>
          <w:tcPr>
            <w:tcW w:w="3553" w:type="dxa"/>
            <w:vAlign w:val="top"/>
          </w:tcPr>
          <w:p w14:paraId="47693953">
            <w:pPr>
              <w:spacing w:before="133"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22.961472N</w:t>
            </w:r>
          </w:p>
        </w:tc>
      </w:tr>
      <w:tr w14:paraId="26F18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continue"/>
            <w:tcBorders>
              <w:top w:val="nil"/>
            </w:tcBorders>
            <w:vAlign w:val="top"/>
          </w:tcPr>
          <w:p w14:paraId="53B56930">
            <w:pPr>
              <w:rPr>
                <w:rFonts w:ascii="Arial"/>
                <w:sz w:val="21"/>
              </w:rPr>
            </w:pPr>
          </w:p>
        </w:tc>
        <w:tc>
          <w:tcPr>
            <w:tcW w:w="2675" w:type="dxa"/>
            <w:vAlign w:val="top"/>
          </w:tcPr>
          <w:p w14:paraId="2627A1A7">
            <w:pPr>
              <w:pStyle w:val="6"/>
              <w:spacing w:before="94" w:line="228" w:lineRule="auto"/>
              <w:ind w:left="817"/>
              <w:rPr>
                <w:sz w:val="20"/>
                <w:szCs w:val="20"/>
              </w:rPr>
            </w:pPr>
            <w:r>
              <w:rPr>
                <w:spacing w:val="8"/>
                <w:sz w:val="20"/>
                <w:szCs w:val="20"/>
              </w:rPr>
              <w:t>事故源类型</w:t>
            </w:r>
          </w:p>
        </w:tc>
        <w:tc>
          <w:tcPr>
            <w:tcW w:w="3553" w:type="dxa"/>
            <w:vAlign w:val="top"/>
          </w:tcPr>
          <w:p w14:paraId="73D84862">
            <w:pPr>
              <w:pStyle w:val="6"/>
              <w:spacing w:before="94" w:line="229" w:lineRule="auto"/>
              <w:ind w:left="1360"/>
              <w:rPr>
                <w:sz w:val="20"/>
                <w:szCs w:val="20"/>
              </w:rPr>
            </w:pPr>
            <w:r>
              <w:rPr>
                <w:spacing w:val="7"/>
                <w:sz w:val="20"/>
                <w:szCs w:val="20"/>
              </w:rPr>
              <w:t>硫酸泄漏</w:t>
            </w:r>
          </w:p>
        </w:tc>
      </w:tr>
      <w:tr w14:paraId="0B37A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restart"/>
            <w:tcBorders>
              <w:bottom w:val="nil"/>
            </w:tcBorders>
            <w:vAlign w:val="top"/>
          </w:tcPr>
          <w:p w14:paraId="7C82B3A5">
            <w:pPr>
              <w:spacing w:line="434" w:lineRule="auto"/>
              <w:rPr>
                <w:rFonts w:ascii="Arial"/>
                <w:sz w:val="21"/>
              </w:rPr>
            </w:pPr>
          </w:p>
          <w:p w14:paraId="7A9C0FC6">
            <w:pPr>
              <w:pStyle w:val="6"/>
              <w:spacing w:before="65" w:line="227" w:lineRule="auto"/>
              <w:ind w:left="505"/>
              <w:rPr>
                <w:sz w:val="20"/>
                <w:szCs w:val="20"/>
              </w:rPr>
            </w:pPr>
            <w:r>
              <w:rPr>
                <w:spacing w:val="7"/>
                <w:sz w:val="20"/>
                <w:szCs w:val="20"/>
              </w:rPr>
              <w:t>基本情况（硝酸）</w:t>
            </w:r>
          </w:p>
        </w:tc>
        <w:tc>
          <w:tcPr>
            <w:tcW w:w="2675" w:type="dxa"/>
            <w:vAlign w:val="top"/>
          </w:tcPr>
          <w:p w14:paraId="31300D4F">
            <w:pPr>
              <w:pStyle w:val="6"/>
              <w:spacing w:before="94" w:line="228" w:lineRule="auto"/>
              <w:ind w:left="817"/>
              <w:rPr>
                <w:sz w:val="20"/>
                <w:szCs w:val="20"/>
              </w:rPr>
            </w:pPr>
            <w:r>
              <w:rPr>
                <w:spacing w:val="8"/>
                <w:sz w:val="20"/>
                <w:szCs w:val="20"/>
              </w:rPr>
              <w:t>事故源经度</w:t>
            </w:r>
          </w:p>
        </w:tc>
        <w:tc>
          <w:tcPr>
            <w:tcW w:w="3553" w:type="dxa"/>
            <w:vAlign w:val="top"/>
          </w:tcPr>
          <w:p w14:paraId="2F216E80">
            <w:pPr>
              <w:spacing w:before="130" w:line="195" w:lineRule="auto"/>
              <w:ind w:left="1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115.461758E</w:t>
            </w:r>
          </w:p>
        </w:tc>
      </w:tr>
      <w:tr w14:paraId="33393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bottom w:val="nil"/>
            </w:tcBorders>
            <w:vAlign w:val="top"/>
          </w:tcPr>
          <w:p w14:paraId="6B871FBE">
            <w:pPr>
              <w:rPr>
                <w:rFonts w:ascii="Arial"/>
                <w:sz w:val="21"/>
              </w:rPr>
            </w:pPr>
          </w:p>
        </w:tc>
        <w:tc>
          <w:tcPr>
            <w:tcW w:w="2675" w:type="dxa"/>
            <w:vAlign w:val="top"/>
          </w:tcPr>
          <w:p w14:paraId="2BFB4740">
            <w:pPr>
              <w:pStyle w:val="6"/>
              <w:spacing w:before="96" w:line="228" w:lineRule="auto"/>
              <w:ind w:left="817"/>
              <w:rPr>
                <w:sz w:val="20"/>
                <w:szCs w:val="20"/>
              </w:rPr>
            </w:pPr>
            <w:r>
              <w:rPr>
                <w:spacing w:val="8"/>
                <w:sz w:val="20"/>
                <w:szCs w:val="20"/>
              </w:rPr>
              <w:t>事故源纬度</w:t>
            </w:r>
          </w:p>
        </w:tc>
        <w:tc>
          <w:tcPr>
            <w:tcW w:w="3553" w:type="dxa"/>
            <w:vAlign w:val="top"/>
          </w:tcPr>
          <w:p w14:paraId="3F29C2DB">
            <w:pPr>
              <w:spacing w:before="132"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22.961472N</w:t>
            </w:r>
          </w:p>
        </w:tc>
      </w:tr>
      <w:tr w14:paraId="794D7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tcBorders>
            <w:vAlign w:val="top"/>
          </w:tcPr>
          <w:p w14:paraId="6259B56B">
            <w:pPr>
              <w:rPr>
                <w:rFonts w:ascii="Arial"/>
                <w:sz w:val="21"/>
              </w:rPr>
            </w:pPr>
          </w:p>
        </w:tc>
        <w:tc>
          <w:tcPr>
            <w:tcW w:w="2675" w:type="dxa"/>
            <w:vAlign w:val="top"/>
          </w:tcPr>
          <w:p w14:paraId="1A35021E">
            <w:pPr>
              <w:pStyle w:val="6"/>
              <w:spacing w:before="97" w:line="228" w:lineRule="auto"/>
              <w:ind w:left="817"/>
              <w:rPr>
                <w:sz w:val="20"/>
                <w:szCs w:val="20"/>
              </w:rPr>
            </w:pPr>
            <w:r>
              <w:rPr>
                <w:spacing w:val="8"/>
                <w:sz w:val="20"/>
                <w:szCs w:val="20"/>
              </w:rPr>
              <w:t>事故源类型</w:t>
            </w:r>
          </w:p>
        </w:tc>
        <w:tc>
          <w:tcPr>
            <w:tcW w:w="3553" w:type="dxa"/>
            <w:vAlign w:val="top"/>
          </w:tcPr>
          <w:p w14:paraId="33161A46">
            <w:pPr>
              <w:pStyle w:val="6"/>
              <w:spacing w:before="97" w:line="229" w:lineRule="auto"/>
              <w:ind w:left="1362"/>
              <w:rPr>
                <w:sz w:val="20"/>
                <w:szCs w:val="20"/>
              </w:rPr>
            </w:pPr>
            <w:r>
              <w:rPr>
                <w:spacing w:val="6"/>
                <w:sz w:val="20"/>
                <w:szCs w:val="20"/>
              </w:rPr>
              <w:t>硝酸泄漏</w:t>
            </w:r>
          </w:p>
        </w:tc>
      </w:tr>
      <w:tr w14:paraId="5D93F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restart"/>
            <w:tcBorders>
              <w:bottom w:val="nil"/>
            </w:tcBorders>
            <w:vAlign w:val="top"/>
          </w:tcPr>
          <w:p w14:paraId="50BF140C">
            <w:pPr>
              <w:spacing w:line="436" w:lineRule="auto"/>
              <w:rPr>
                <w:rFonts w:ascii="Arial"/>
                <w:sz w:val="21"/>
              </w:rPr>
            </w:pPr>
          </w:p>
          <w:p w14:paraId="26593A0A">
            <w:pPr>
              <w:pStyle w:val="6"/>
              <w:spacing w:before="65" w:line="227" w:lineRule="auto"/>
              <w:ind w:left="505"/>
              <w:rPr>
                <w:sz w:val="20"/>
                <w:szCs w:val="20"/>
              </w:rPr>
            </w:pPr>
            <w:r>
              <w:rPr>
                <w:spacing w:val="7"/>
                <w:sz w:val="20"/>
                <w:szCs w:val="20"/>
              </w:rPr>
              <w:t>基本情况（丙酮）</w:t>
            </w:r>
          </w:p>
        </w:tc>
        <w:tc>
          <w:tcPr>
            <w:tcW w:w="2675" w:type="dxa"/>
            <w:vAlign w:val="top"/>
          </w:tcPr>
          <w:p w14:paraId="345D567E">
            <w:pPr>
              <w:pStyle w:val="6"/>
              <w:spacing w:before="96" w:line="228" w:lineRule="auto"/>
              <w:ind w:left="817"/>
              <w:rPr>
                <w:sz w:val="20"/>
                <w:szCs w:val="20"/>
              </w:rPr>
            </w:pPr>
            <w:r>
              <w:rPr>
                <w:spacing w:val="8"/>
                <w:sz w:val="20"/>
                <w:szCs w:val="20"/>
              </w:rPr>
              <w:t>事故源经度</w:t>
            </w:r>
          </w:p>
        </w:tc>
        <w:tc>
          <w:tcPr>
            <w:tcW w:w="3553" w:type="dxa"/>
            <w:vAlign w:val="top"/>
          </w:tcPr>
          <w:p w14:paraId="10371DA0">
            <w:pPr>
              <w:spacing w:before="131" w:line="195" w:lineRule="auto"/>
              <w:ind w:left="1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115.461758E</w:t>
            </w:r>
          </w:p>
        </w:tc>
      </w:tr>
      <w:tr w14:paraId="7A826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78" w:type="dxa"/>
            <w:vMerge w:val="continue"/>
            <w:tcBorders>
              <w:top w:val="nil"/>
              <w:bottom w:val="nil"/>
            </w:tcBorders>
            <w:vAlign w:val="top"/>
          </w:tcPr>
          <w:p w14:paraId="1CFDC326">
            <w:pPr>
              <w:rPr>
                <w:rFonts w:ascii="Arial"/>
                <w:sz w:val="21"/>
              </w:rPr>
            </w:pPr>
          </w:p>
        </w:tc>
        <w:tc>
          <w:tcPr>
            <w:tcW w:w="2675" w:type="dxa"/>
            <w:vAlign w:val="top"/>
          </w:tcPr>
          <w:p w14:paraId="13197DBD">
            <w:pPr>
              <w:pStyle w:val="6"/>
              <w:spacing w:before="98" w:line="228" w:lineRule="auto"/>
              <w:ind w:left="817"/>
              <w:rPr>
                <w:sz w:val="20"/>
                <w:szCs w:val="20"/>
              </w:rPr>
            </w:pPr>
            <w:r>
              <w:rPr>
                <w:spacing w:val="8"/>
                <w:sz w:val="20"/>
                <w:szCs w:val="20"/>
              </w:rPr>
              <w:t>事故源纬度</w:t>
            </w:r>
          </w:p>
        </w:tc>
        <w:tc>
          <w:tcPr>
            <w:tcW w:w="3553" w:type="dxa"/>
            <w:vAlign w:val="top"/>
          </w:tcPr>
          <w:p w14:paraId="346BCB28">
            <w:pPr>
              <w:spacing w:before="133"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22.961472N</w:t>
            </w:r>
          </w:p>
        </w:tc>
      </w:tr>
      <w:tr w14:paraId="6F653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tcBorders>
            <w:vAlign w:val="top"/>
          </w:tcPr>
          <w:p w14:paraId="1580CB1F">
            <w:pPr>
              <w:rPr>
                <w:rFonts w:ascii="Arial"/>
                <w:sz w:val="21"/>
              </w:rPr>
            </w:pPr>
          </w:p>
        </w:tc>
        <w:tc>
          <w:tcPr>
            <w:tcW w:w="2675" w:type="dxa"/>
            <w:vAlign w:val="top"/>
          </w:tcPr>
          <w:p w14:paraId="46F1A1FF">
            <w:pPr>
              <w:pStyle w:val="6"/>
              <w:spacing w:before="97" w:line="228" w:lineRule="auto"/>
              <w:ind w:left="817"/>
              <w:rPr>
                <w:sz w:val="20"/>
                <w:szCs w:val="20"/>
              </w:rPr>
            </w:pPr>
            <w:r>
              <w:rPr>
                <w:spacing w:val="8"/>
                <w:sz w:val="20"/>
                <w:szCs w:val="20"/>
              </w:rPr>
              <w:t>事故源类型</w:t>
            </w:r>
          </w:p>
        </w:tc>
        <w:tc>
          <w:tcPr>
            <w:tcW w:w="3553" w:type="dxa"/>
            <w:vAlign w:val="top"/>
          </w:tcPr>
          <w:p w14:paraId="57563B96">
            <w:pPr>
              <w:pStyle w:val="6"/>
              <w:spacing w:before="98" w:line="228" w:lineRule="auto"/>
              <w:ind w:left="1365"/>
              <w:rPr>
                <w:sz w:val="20"/>
                <w:szCs w:val="20"/>
              </w:rPr>
            </w:pPr>
            <w:r>
              <w:rPr>
                <w:spacing w:val="6"/>
                <w:sz w:val="20"/>
                <w:szCs w:val="20"/>
              </w:rPr>
              <w:t>丙酮泄漏</w:t>
            </w:r>
          </w:p>
        </w:tc>
      </w:tr>
      <w:tr w14:paraId="28857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restart"/>
            <w:tcBorders>
              <w:bottom w:val="nil"/>
            </w:tcBorders>
            <w:vAlign w:val="top"/>
          </w:tcPr>
          <w:p w14:paraId="43F8ACB6">
            <w:pPr>
              <w:spacing w:line="280" w:lineRule="auto"/>
              <w:rPr>
                <w:rFonts w:ascii="Arial"/>
                <w:sz w:val="21"/>
              </w:rPr>
            </w:pPr>
          </w:p>
          <w:p w14:paraId="603B88D1">
            <w:pPr>
              <w:spacing w:line="280" w:lineRule="auto"/>
              <w:rPr>
                <w:rFonts w:ascii="Arial"/>
                <w:sz w:val="21"/>
              </w:rPr>
            </w:pPr>
          </w:p>
          <w:p w14:paraId="64E17B5C">
            <w:pPr>
              <w:spacing w:line="281" w:lineRule="auto"/>
              <w:rPr>
                <w:rFonts w:ascii="Arial"/>
                <w:sz w:val="21"/>
              </w:rPr>
            </w:pPr>
          </w:p>
          <w:p w14:paraId="20D026A1">
            <w:pPr>
              <w:pStyle w:val="6"/>
              <w:spacing w:before="65" w:line="228" w:lineRule="auto"/>
              <w:ind w:left="925"/>
              <w:rPr>
                <w:sz w:val="20"/>
                <w:szCs w:val="20"/>
              </w:rPr>
            </w:pPr>
            <w:r>
              <w:rPr>
                <w:spacing w:val="7"/>
                <w:sz w:val="20"/>
                <w:szCs w:val="20"/>
              </w:rPr>
              <w:t>气象参数</w:t>
            </w:r>
          </w:p>
        </w:tc>
        <w:tc>
          <w:tcPr>
            <w:tcW w:w="2675" w:type="dxa"/>
            <w:vAlign w:val="top"/>
          </w:tcPr>
          <w:p w14:paraId="053D78F2">
            <w:pPr>
              <w:pStyle w:val="6"/>
              <w:spacing w:before="98" w:line="228" w:lineRule="auto"/>
              <w:ind w:left="712"/>
              <w:rPr>
                <w:sz w:val="20"/>
                <w:szCs w:val="20"/>
              </w:rPr>
            </w:pPr>
            <w:r>
              <w:rPr>
                <w:spacing w:val="8"/>
                <w:sz w:val="20"/>
                <w:szCs w:val="20"/>
              </w:rPr>
              <w:t>气象条件类型</w:t>
            </w:r>
          </w:p>
        </w:tc>
        <w:tc>
          <w:tcPr>
            <w:tcW w:w="3553" w:type="dxa"/>
            <w:vAlign w:val="top"/>
          </w:tcPr>
          <w:p w14:paraId="301E9AD4">
            <w:pPr>
              <w:pStyle w:val="6"/>
              <w:spacing w:before="98" w:line="228" w:lineRule="auto"/>
              <w:ind w:left="1260"/>
              <w:rPr>
                <w:sz w:val="20"/>
                <w:szCs w:val="20"/>
              </w:rPr>
            </w:pPr>
            <w:r>
              <w:rPr>
                <w:spacing w:val="7"/>
                <w:sz w:val="20"/>
                <w:szCs w:val="20"/>
              </w:rPr>
              <w:t>最不利气象</w:t>
            </w:r>
          </w:p>
        </w:tc>
      </w:tr>
      <w:tr w14:paraId="761E0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bottom w:val="nil"/>
            </w:tcBorders>
            <w:vAlign w:val="top"/>
          </w:tcPr>
          <w:p w14:paraId="4FA5630C">
            <w:pPr>
              <w:rPr>
                <w:rFonts w:ascii="Arial"/>
                <w:sz w:val="21"/>
              </w:rPr>
            </w:pPr>
          </w:p>
        </w:tc>
        <w:tc>
          <w:tcPr>
            <w:tcW w:w="2675" w:type="dxa"/>
            <w:vAlign w:val="top"/>
          </w:tcPr>
          <w:p w14:paraId="3A51BC37">
            <w:pPr>
              <w:pStyle w:val="6"/>
              <w:spacing w:before="97" w:line="221" w:lineRule="auto"/>
              <w:ind w:left="883"/>
              <w:rPr>
                <w:rFonts w:ascii="Times New Roman" w:hAnsi="Times New Roman" w:eastAsia="Times New Roman" w:cs="Times New Roman"/>
                <w:sz w:val="20"/>
                <w:szCs w:val="20"/>
              </w:rPr>
            </w:pPr>
            <w:r>
              <w:rPr>
                <w:spacing w:val="4"/>
                <w:sz w:val="20"/>
                <w:szCs w:val="20"/>
              </w:rPr>
              <w:t>风速</w:t>
            </w:r>
            <w:r>
              <w:rPr>
                <w:rFonts w:ascii="Times New Roman" w:hAnsi="Times New Roman" w:eastAsia="Times New Roman" w:cs="Times New Roman"/>
                <w:spacing w:val="4"/>
                <w:sz w:val="20"/>
                <w:szCs w:val="20"/>
              </w:rPr>
              <w:t>/(m/s)</w:t>
            </w:r>
          </w:p>
        </w:tc>
        <w:tc>
          <w:tcPr>
            <w:tcW w:w="3553" w:type="dxa"/>
            <w:vAlign w:val="top"/>
          </w:tcPr>
          <w:p w14:paraId="57EDCA4C">
            <w:pPr>
              <w:spacing w:before="133" w:line="195" w:lineRule="auto"/>
              <w:ind w:left="16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3CE1E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bottom w:val="nil"/>
            </w:tcBorders>
            <w:vAlign w:val="top"/>
          </w:tcPr>
          <w:p w14:paraId="3770C7AE">
            <w:pPr>
              <w:rPr>
                <w:rFonts w:ascii="Arial"/>
                <w:sz w:val="21"/>
              </w:rPr>
            </w:pPr>
          </w:p>
        </w:tc>
        <w:tc>
          <w:tcPr>
            <w:tcW w:w="2675" w:type="dxa"/>
            <w:vAlign w:val="top"/>
          </w:tcPr>
          <w:p w14:paraId="19E8330A">
            <w:pPr>
              <w:pStyle w:val="6"/>
              <w:spacing w:before="98" w:line="228" w:lineRule="auto"/>
              <w:ind w:left="923"/>
              <w:rPr>
                <w:sz w:val="20"/>
                <w:szCs w:val="20"/>
              </w:rPr>
            </w:pPr>
            <w:r>
              <w:rPr>
                <w:spacing w:val="7"/>
                <w:sz w:val="20"/>
                <w:szCs w:val="20"/>
              </w:rPr>
              <w:t>环境温度</w:t>
            </w:r>
          </w:p>
        </w:tc>
        <w:tc>
          <w:tcPr>
            <w:tcW w:w="3553" w:type="dxa"/>
            <w:vAlign w:val="top"/>
          </w:tcPr>
          <w:p w14:paraId="5DA1D2B1">
            <w:pPr>
              <w:spacing w:before="134" w:line="195" w:lineRule="auto"/>
              <w:ind w:left="1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3927F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bottom w:val="nil"/>
            </w:tcBorders>
            <w:vAlign w:val="top"/>
          </w:tcPr>
          <w:p w14:paraId="05974F67">
            <w:pPr>
              <w:rPr>
                <w:rFonts w:ascii="Arial"/>
                <w:sz w:val="21"/>
              </w:rPr>
            </w:pPr>
          </w:p>
        </w:tc>
        <w:tc>
          <w:tcPr>
            <w:tcW w:w="2675" w:type="dxa"/>
            <w:vAlign w:val="top"/>
          </w:tcPr>
          <w:p w14:paraId="613AD204">
            <w:pPr>
              <w:pStyle w:val="6"/>
              <w:spacing w:before="99" w:line="228" w:lineRule="auto"/>
              <w:ind w:left="807"/>
              <w:rPr>
                <w:rFonts w:ascii="Times New Roman" w:hAnsi="Times New Roman" w:eastAsia="Times New Roman" w:cs="Times New Roman"/>
                <w:sz w:val="20"/>
                <w:szCs w:val="20"/>
              </w:rPr>
            </w:pPr>
            <w:r>
              <w:rPr>
                <w:spacing w:val="6"/>
                <w:sz w:val="20"/>
                <w:szCs w:val="20"/>
              </w:rPr>
              <w:t>相对湿度</w:t>
            </w:r>
            <w:r>
              <w:rPr>
                <w:rFonts w:ascii="Times New Roman" w:hAnsi="Times New Roman" w:eastAsia="Times New Roman" w:cs="Times New Roman"/>
                <w:spacing w:val="6"/>
                <w:sz w:val="20"/>
                <w:szCs w:val="20"/>
              </w:rPr>
              <w:t>/%</w:t>
            </w:r>
          </w:p>
        </w:tc>
        <w:tc>
          <w:tcPr>
            <w:tcW w:w="3553" w:type="dxa"/>
            <w:vAlign w:val="top"/>
          </w:tcPr>
          <w:p w14:paraId="0A629C3A">
            <w:pPr>
              <w:spacing w:before="135" w:line="195" w:lineRule="auto"/>
              <w:ind w:left="167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0177F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tcBorders>
            <w:vAlign w:val="top"/>
          </w:tcPr>
          <w:p w14:paraId="723CB265">
            <w:pPr>
              <w:rPr>
                <w:rFonts w:ascii="Arial"/>
                <w:sz w:val="21"/>
              </w:rPr>
            </w:pPr>
          </w:p>
        </w:tc>
        <w:tc>
          <w:tcPr>
            <w:tcW w:w="2675" w:type="dxa"/>
            <w:vAlign w:val="top"/>
          </w:tcPr>
          <w:p w14:paraId="0C180C52">
            <w:pPr>
              <w:pStyle w:val="6"/>
              <w:spacing w:before="97" w:line="228" w:lineRule="auto"/>
              <w:ind w:left="1029"/>
              <w:rPr>
                <w:sz w:val="20"/>
                <w:szCs w:val="20"/>
              </w:rPr>
            </w:pPr>
            <w:r>
              <w:rPr>
                <w:spacing w:val="6"/>
                <w:sz w:val="20"/>
                <w:szCs w:val="20"/>
              </w:rPr>
              <w:t>稳定度</w:t>
            </w:r>
          </w:p>
        </w:tc>
        <w:tc>
          <w:tcPr>
            <w:tcW w:w="3553" w:type="dxa"/>
            <w:vAlign w:val="top"/>
          </w:tcPr>
          <w:p w14:paraId="2EF978F6">
            <w:pPr>
              <w:spacing w:before="136" w:line="192" w:lineRule="auto"/>
              <w:ind w:left="17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F</w:t>
            </w:r>
          </w:p>
        </w:tc>
      </w:tr>
      <w:tr w14:paraId="606D2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restart"/>
            <w:tcBorders>
              <w:bottom w:val="nil"/>
            </w:tcBorders>
            <w:vAlign w:val="top"/>
          </w:tcPr>
          <w:p w14:paraId="67E43CB1">
            <w:pPr>
              <w:spacing w:line="436" w:lineRule="auto"/>
              <w:rPr>
                <w:rFonts w:ascii="Arial"/>
                <w:sz w:val="21"/>
              </w:rPr>
            </w:pPr>
          </w:p>
          <w:p w14:paraId="2727B7B9">
            <w:pPr>
              <w:pStyle w:val="6"/>
              <w:spacing w:before="65" w:line="228" w:lineRule="auto"/>
              <w:ind w:left="925"/>
              <w:rPr>
                <w:sz w:val="20"/>
                <w:szCs w:val="20"/>
              </w:rPr>
            </w:pPr>
            <w:r>
              <w:rPr>
                <w:spacing w:val="7"/>
                <w:sz w:val="20"/>
                <w:szCs w:val="20"/>
              </w:rPr>
              <w:t>其他参数</w:t>
            </w:r>
          </w:p>
        </w:tc>
        <w:tc>
          <w:tcPr>
            <w:tcW w:w="2675" w:type="dxa"/>
            <w:vAlign w:val="top"/>
          </w:tcPr>
          <w:p w14:paraId="37C2B0EA">
            <w:pPr>
              <w:pStyle w:val="6"/>
              <w:spacing w:before="98" w:line="228" w:lineRule="auto"/>
              <w:ind w:left="707"/>
              <w:rPr>
                <w:rFonts w:ascii="Times New Roman" w:hAnsi="Times New Roman" w:eastAsia="Times New Roman" w:cs="Times New Roman"/>
                <w:sz w:val="20"/>
                <w:szCs w:val="20"/>
              </w:rPr>
            </w:pPr>
            <w:r>
              <w:rPr>
                <w:spacing w:val="7"/>
                <w:sz w:val="20"/>
                <w:szCs w:val="20"/>
              </w:rPr>
              <w:t>地表粗糙度</w:t>
            </w:r>
            <w:r>
              <w:rPr>
                <w:rFonts w:ascii="Times New Roman" w:hAnsi="Times New Roman" w:eastAsia="Times New Roman" w:cs="Times New Roman"/>
                <w:spacing w:val="7"/>
                <w:sz w:val="20"/>
                <w:szCs w:val="20"/>
              </w:rPr>
              <w:t>/m</w:t>
            </w:r>
          </w:p>
        </w:tc>
        <w:tc>
          <w:tcPr>
            <w:tcW w:w="3553" w:type="dxa"/>
            <w:vAlign w:val="top"/>
          </w:tcPr>
          <w:p w14:paraId="578730BC">
            <w:pPr>
              <w:spacing w:before="134" w:line="195" w:lineRule="auto"/>
              <w:ind w:left="17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9084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78" w:type="dxa"/>
            <w:vMerge w:val="continue"/>
            <w:tcBorders>
              <w:top w:val="nil"/>
              <w:bottom w:val="nil"/>
            </w:tcBorders>
            <w:vAlign w:val="top"/>
          </w:tcPr>
          <w:p w14:paraId="50784820">
            <w:pPr>
              <w:rPr>
                <w:rFonts w:ascii="Arial"/>
                <w:sz w:val="21"/>
              </w:rPr>
            </w:pPr>
          </w:p>
        </w:tc>
        <w:tc>
          <w:tcPr>
            <w:tcW w:w="2675" w:type="dxa"/>
            <w:vAlign w:val="top"/>
          </w:tcPr>
          <w:p w14:paraId="0327E384">
            <w:pPr>
              <w:pStyle w:val="6"/>
              <w:spacing w:before="97" w:line="227" w:lineRule="auto"/>
              <w:ind w:left="711"/>
              <w:rPr>
                <w:sz w:val="20"/>
                <w:szCs w:val="20"/>
              </w:rPr>
            </w:pPr>
            <w:r>
              <w:rPr>
                <w:spacing w:val="8"/>
                <w:sz w:val="20"/>
                <w:szCs w:val="20"/>
              </w:rPr>
              <w:t>事故考虑地形</w:t>
            </w:r>
          </w:p>
        </w:tc>
        <w:tc>
          <w:tcPr>
            <w:tcW w:w="3553" w:type="dxa"/>
            <w:vAlign w:val="top"/>
          </w:tcPr>
          <w:p w14:paraId="19FE53AC">
            <w:pPr>
              <w:pStyle w:val="6"/>
              <w:spacing w:before="97" w:line="228" w:lineRule="auto"/>
              <w:ind w:left="1684"/>
              <w:rPr>
                <w:sz w:val="20"/>
                <w:szCs w:val="20"/>
              </w:rPr>
            </w:pPr>
            <w:r>
              <w:rPr>
                <w:sz w:val="20"/>
                <w:szCs w:val="20"/>
              </w:rPr>
              <w:t>否</w:t>
            </w:r>
          </w:p>
        </w:tc>
      </w:tr>
      <w:tr w14:paraId="01EC6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678" w:type="dxa"/>
            <w:vMerge w:val="continue"/>
            <w:tcBorders>
              <w:top w:val="nil"/>
            </w:tcBorders>
            <w:vAlign w:val="top"/>
          </w:tcPr>
          <w:p w14:paraId="2F50B6BD">
            <w:pPr>
              <w:rPr>
                <w:rFonts w:ascii="Arial"/>
                <w:sz w:val="21"/>
              </w:rPr>
            </w:pPr>
          </w:p>
        </w:tc>
        <w:tc>
          <w:tcPr>
            <w:tcW w:w="2675" w:type="dxa"/>
            <w:vAlign w:val="top"/>
          </w:tcPr>
          <w:p w14:paraId="3B6EE507">
            <w:pPr>
              <w:pStyle w:val="6"/>
              <w:spacing w:before="98" w:line="227" w:lineRule="auto"/>
              <w:ind w:left="601"/>
              <w:rPr>
                <w:rFonts w:ascii="Times New Roman" w:hAnsi="Times New Roman" w:eastAsia="Times New Roman" w:cs="Times New Roman"/>
                <w:sz w:val="20"/>
                <w:szCs w:val="20"/>
              </w:rPr>
            </w:pPr>
            <w:r>
              <w:rPr>
                <w:spacing w:val="7"/>
                <w:sz w:val="20"/>
                <w:szCs w:val="20"/>
              </w:rPr>
              <w:t>地形数据精度</w:t>
            </w:r>
            <w:r>
              <w:rPr>
                <w:rFonts w:ascii="Times New Roman" w:hAnsi="Times New Roman" w:eastAsia="Times New Roman" w:cs="Times New Roman"/>
                <w:spacing w:val="7"/>
                <w:sz w:val="20"/>
                <w:szCs w:val="20"/>
              </w:rPr>
              <w:t>/m</w:t>
            </w:r>
          </w:p>
        </w:tc>
        <w:tc>
          <w:tcPr>
            <w:tcW w:w="3553" w:type="dxa"/>
            <w:vAlign w:val="top"/>
          </w:tcPr>
          <w:p w14:paraId="1C89FA83">
            <w:pPr>
              <w:spacing w:before="134" w:line="195" w:lineRule="auto"/>
              <w:ind w:left="167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bl>
    <w:p w14:paraId="2056171F">
      <w:pPr>
        <w:rPr>
          <w:rFonts w:ascii="Arial"/>
          <w:sz w:val="21"/>
        </w:rPr>
      </w:pPr>
    </w:p>
    <w:p w14:paraId="6C221106">
      <w:pPr>
        <w:spacing w:line="5484" w:lineRule="exact"/>
        <w:ind w:firstLine="33"/>
      </w:pPr>
      <w:r>
        <w:rPr>
          <w:position w:val="-109"/>
        </w:rPr>
        <w:drawing>
          <wp:inline distT="0" distB="0" distL="0" distR="0">
            <wp:extent cx="5615940" cy="348234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13"/>
                    <a:stretch>
                      <a:fillRect/>
                    </a:stretch>
                  </pic:blipFill>
                  <pic:spPr>
                    <a:xfrm>
                      <a:off x="0" y="0"/>
                      <a:ext cx="5615940" cy="3482340"/>
                    </a:xfrm>
                    <a:prstGeom prst="rect">
                      <a:avLst/>
                    </a:prstGeom>
                  </pic:spPr>
                </pic:pic>
              </a:graphicData>
            </a:graphic>
          </wp:inline>
        </w:drawing>
      </w:r>
    </w:p>
    <w:p w14:paraId="4C0444C0">
      <w:pPr>
        <w:spacing w:before="29" w:line="228" w:lineRule="auto"/>
        <w:ind w:left="3139"/>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32"/>
          <w:sz w:val="20"/>
          <w:szCs w:val="20"/>
        </w:rPr>
        <w:t xml:space="preserve"> </w:t>
      </w:r>
      <w:r>
        <w:rPr>
          <w:rFonts w:ascii="Times New Roman" w:hAnsi="Times New Roman" w:eastAsia="Times New Roman" w:cs="Times New Roman"/>
          <w:b/>
          <w:bCs/>
          <w:spacing w:val="4"/>
          <w:sz w:val="20"/>
          <w:szCs w:val="20"/>
        </w:rPr>
        <w:t xml:space="preserve">2    </w:t>
      </w:r>
      <w:r>
        <w:rPr>
          <w:rFonts w:ascii="宋体" w:hAnsi="宋体" w:eastAsia="宋体" w:cs="宋体"/>
          <w:b/>
          <w:bCs/>
          <w:spacing w:val="4"/>
          <w:sz w:val="20"/>
          <w:szCs w:val="20"/>
        </w:rPr>
        <w:t>盐酸泄露预测方案参数</w:t>
      </w:r>
    </w:p>
    <w:p w14:paraId="0FCCAB68">
      <w:pPr>
        <w:spacing w:line="228" w:lineRule="auto"/>
        <w:rPr>
          <w:rFonts w:ascii="宋体" w:hAnsi="宋体" w:eastAsia="宋体" w:cs="宋体"/>
          <w:sz w:val="20"/>
          <w:szCs w:val="20"/>
        </w:rPr>
        <w:sectPr>
          <w:footerReference r:id="rId142" w:type="default"/>
          <w:pgSz w:w="11906" w:h="16839"/>
          <w:pgMar w:top="400" w:right="1497" w:bottom="1127" w:left="1497" w:header="0" w:footer="965" w:gutter="0"/>
          <w:cols w:space="720" w:num="1"/>
        </w:sectPr>
      </w:pPr>
    </w:p>
    <w:p w14:paraId="4F93F9CA">
      <w:pPr>
        <w:spacing w:line="258" w:lineRule="auto"/>
        <w:rPr>
          <w:rFonts w:ascii="Arial"/>
          <w:sz w:val="21"/>
        </w:rPr>
      </w:pPr>
    </w:p>
    <w:p w14:paraId="15F882F5">
      <w:pPr>
        <w:spacing w:line="258" w:lineRule="auto"/>
        <w:rPr>
          <w:rFonts w:ascii="Arial"/>
          <w:sz w:val="21"/>
        </w:rPr>
      </w:pPr>
    </w:p>
    <w:p w14:paraId="1ACCF4F4">
      <w:pPr>
        <w:spacing w:line="259" w:lineRule="auto"/>
        <w:rPr>
          <w:rFonts w:ascii="Arial"/>
          <w:sz w:val="21"/>
        </w:rPr>
      </w:pPr>
    </w:p>
    <w:p w14:paraId="1052B062">
      <w:pPr>
        <w:spacing w:line="259" w:lineRule="auto"/>
        <w:rPr>
          <w:rFonts w:ascii="Arial"/>
          <w:sz w:val="21"/>
        </w:rPr>
      </w:pPr>
    </w:p>
    <w:p w14:paraId="1EFDC8A0">
      <w:pPr>
        <w:spacing w:line="259" w:lineRule="auto"/>
        <w:rPr>
          <w:rFonts w:ascii="Arial"/>
          <w:sz w:val="21"/>
        </w:rPr>
      </w:pPr>
    </w:p>
    <w:p w14:paraId="22EC41E4">
      <w:pPr>
        <w:spacing w:line="5719" w:lineRule="exact"/>
      </w:pPr>
      <w:r>
        <w:rPr>
          <w:position w:val="-114"/>
        </w:rPr>
        <w:drawing>
          <wp:inline distT="0" distB="0" distL="0" distR="0">
            <wp:extent cx="5615940" cy="36315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14"/>
                    <a:stretch>
                      <a:fillRect/>
                    </a:stretch>
                  </pic:blipFill>
                  <pic:spPr>
                    <a:xfrm>
                      <a:off x="0" y="0"/>
                      <a:ext cx="5615940" cy="3631691"/>
                    </a:xfrm>
                    <a:prstGeom prst="rect">
                      <a:avLst/>
                    </a:prstGeom>
                  </pic:spPr>
                </pic:pic>
              </a:graphicData>
            </a:graphic>
          </wp:inline>
        </w:drawing>
      </w:r>
    </w:p>
    <w:p w14:paraId="3FB83AD1">
      <w:pPr>
        <w:spacing w:before="29" w:line="228" w:lineRule="auto"/>
        <w:ind w:left="3002"/>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31"/>
          <w:sz w:val="20"/>
          <w:szCs w:val="20"/>
        </w:rPr>
        <w:t xml:space="preserve"> </w:t>
      </w:r>
      <w:r>
        <w:rPr>
          <w:rFonts w:ascii="Times New Roman" w:hAnsi="Times New Roman" w:eastAsia="Times New Roman" w:cs="Times New Roman"/>
          <w:b/>
          <w:bCs/>
          <w:spacing w:val="4"/>
          <w:sz w:val="20"/>
          <w:szCs w:val="20"/>
        </w:rPr>
        <w:t xml:space="preserve">3    </w:t>
      </w:r>
      <w:r>
        <w:rPr>
          <w:rFonts w:ascii="宋体" w:hAnsi="宋体" w:eastAsia="宋体" w:cs="宋体"/>
          <w:b/>
          <w:bCs/>
          <w:spacing w:val="4"/>
          <w:sz w:val="20"/>
          <w:szCs w:val="20"/>
        </w:rPr>
        <w:t>氢氟酸泄露预测方案参数</w:t>
      </w:r>
    </w:p>
    <w:p w14:paraId="4E94DEF1">
      <w:pPr>
        <w:spacing w:line="352" w:lineRule="auto"/>
        <w:rPr>
          <w:rFonts w:ascii="Arial"/>
          <w:sz w:val="21"/>
        </w:rPr>
      </w:pPr>
    </w:p>
    <w:p w14:paraId="7CEBA0DD">
      <w:pPr>
        <w:spacing w:line="5563" w:lineRule="exact"/>
      </w:pPr>
      <w:r>
        <w:rPr>
          <w:position w:val="-111"/>
        </w:rPr>
        <w:drawing>
          <wp:inline distT="0" distB="0" distL="0" distR="0">
            <wp:extent cx="5615940" cy="35325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15"/>
                    <a:stretch>
                      <a:fillRect/>
                    </a:stretch>
                  </pic:blipFill>
                  <pic:spPr>
                    <a:xfrm>
                      <a:off x="0" y="0"/>
                      <a:ext cx="5615940" cy="3532632"/>
                    </a:xfrm>
                    <a:prstGeom prst="rect">
                      <a:avLst/>
                    </a:prstGeom>
                  </pic:spPr>
                </pic:pic>
              </a:graphicData>
            </a:graphic>
          </wp:inline>
        </w:drawing>
      </w:r>
    </w:p>
    <w:p w14:paraId="3FCFD70D">
      <w:pPr>
        <w:spacing w:before="29" w:line="228" w:lineRule="auto"/>
        <w:ind w:left="3105"/>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32"/>
          <w:sz w:val="20"/>
          <w:szCs w:val="20"/>
        </w:rPr>
        <w:t xml:space="preserve"> </w:t>
      </w:r>
      <w:r>
        <w:rPr>
          <w:rFonts w:ascii="Times New Roman" w:hAnsi="Times New Roman" w:eastAsia="Times New Roman" w:cs="Times New Roman"/>
          <w:b/>
          <w:bCs/>
          <w:spacing w:val="4"/>
          <w:sz w:val="20"/>
          <w:szCs w:val="20"/>
        </w:rPr>
        <w:t xml:space="preserve">4    </w:t>
      </w:r>
      <w:r>
        <w:rPr>
          <w:rFonts w:ascii="宋体" w:hAnsi="宋体" w:eastAsia="宋体" w:cs="宋体"/>
          <w:b/>
          <w:bCs/>
          <w:spacing w:val="4"/>
          <w:sz w:val="20"/>
          <w:szCs w:val="20"/>
        </w:rPr>
        <w:t>硫酸泄露预测方案参数</w:t>
      </w:r>
    </w:p>
    <w:p w14:paraId="45ECCB16">
      <w:pPr>
        <w:spacing w:line="228" w:lineRule="auto"/>
        <w:rPr>
          <w:rFonts w:ascii="宋体" w:hAnsi="宋体" w:eastAsia="宋体" w:cs="宋体"/>
          <w:sz w:val="20"/>
          <w:szCs w:val="20"/>
        </w:rPr>
        <w:sectPr>
          <w:footerReference r:id="rId143" w:type="default"/>
          <w:pgSz w:w="11906" w:h="16839"/>
          <w:pgMar w:top="400" w:right="1530" w:bottom="1127" w:left="1531" w:header="0" w:footer="965" w:gutter="0"/>
          <w:cols w:space="720" w:num="1"/>
        </w:sectPr>
      </w:pPr>
    </w:p>
    <w:p w14:paraId="7F2CB715">
      <w:pPr>
        <w:spacing w:line="258" w:lineRule="auto"/>
        <w:rPr>
          <w:rFonts w:ascii="Arial"/>
          <w:sz w:val="21"/>
        </w:rPr>
      </w:pPr>
    </w:p>
    <w:p w14:paraId="46FB0401">
      <w:pPr>
        <w:spacing w:line="258" w:lineRule="auto"/>
        <w:rPr>
          <w:rFonts w:ascii="Arial"/>
          <w:sz w:val="21"/>
        </w:rPr>
      </w:pPr>
    </w:p>
    <w:p w14:paraId="47CBA349">
      <w:pPr>
        <w:spacing w:line="259" w:lineRule="auto"/>
        <w:rPr>
          <w:rFonts w:ascii="Arial"/>
          <w:sz w:val="21"/>
        </w:rPr>
      </w:pPr>
    </w:p>
    <w:p w14:paraId="79CF68A4">
      <w:pPr>
        <w:spacing w:line="259" w:lineRule="auto"/>
        <w:rPr>
          <w:rFonts w:ascii="Arial"/>
          <w:sz w:val="21"/>
        </w:rPr>
      </w:pPr>
    </w:p>
    <w:p w14:paraId="5D6A7D2F">
      <w:pPr>
        <w:spacing w:line="259" w:lineRule="auto"/>
        <w:rPr>
          <w:rFonts w:ascii="Arial"/>
          <w:sz w:val="21"/>
        </w:rPr>
      </w:pPr>
    </w:p>
    <w:p w14:paraId="7D0C49F2">
      <w:pPr>
        <w:spacing w:line="5602" w:lineRule="exact"/>
      </w:pPr>
      <w:r>
        <w:rPr>
          <w:position w:val="-112"/>
        </w:rPr>
        <w:drawing>
          <wp:inline distT="0" distB="0" distL="0" distR="0">
            <wp:extent cx="5615940" cy="355663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16"/>
                    <a:stretch>
                      <a:fillRect/>
                    </a:stretch>
                  </pic:blipFill>
                  <pic:spPr>
                    <a:xfrm>
                      <a:off x="0" y="0"/>
                      <a:ext cx="5615940" cy="3557015"/>
                    </a:xfrm>
                    <a:prstGeom prst="rect">
                      <a:avLst/>
                    </a:prstGeom>
                  </pic:spPr>
                </pic:pic>
              </a:graphicData>
            </a:graphic>
          </wp:inline>
        </w:drawing>
      </w:r>
    </w:p>
    <w:p w14:paraId="04C4D570">
      <w:pPr>
        <w:spacing w:before="29" w:line="228" w:lineRule="auto"/>
        <w:ind w:left="3105"/>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32"/>
          <w:sz w:val="20"/>
          <w:szCs w:val="20"/>
        </w:rPr>
        <w:t xml:space="preserve"> </w:t>
      </w:r>
      <w:r>
        <w:rPr>
          <w:rFonts w:ascii="Times New Roman" w:hAnsi="Times New Roman" w:eastAsia="Times New Roman" w:cs="Times New Roman"/>
          <w:b/>
          <w:bCs/>
          <w:spacing w:val="4"/>
          <w:sz w:val="20"/>
          <w:szCs w:val="20"/>
        </w:rPr>
        <w:t xml:space="preserve">5    </w:t>
      </w:r>
      <w:r>
        <w:rPr>
          <w:rFonts w:ascii="宋体" w:hAnsi="宋体" w:eastAsia="宋体" w:cs="宋体"/>
          <w:b/>
          <w:bCs/>
          <w:spacing w:val="4"/>
          <w:sz w:val="20"/>
          <w:szCs w:val="20"/>
        </w:rPr>
        <w:t>硝酸泄露预测方案参数</w:t>
      </w:r>
    </w:p>
    <w:p w14:paraId="7ECA32B5">
      <w:pPr>
        <w:spacing w:line="354" w:lineRule="auto"/>
        <w:rPr>
          <w:rFonts w:ascii="Arial"/>
          <w:sz w:val="21"/>
        </w:rPr>
      </w:pPr>
    </w:p>
    <w:p w14:paraId="59FB8028">
      <w:pPr>
        <w:spacing w:line="5988" w:lineRule="exact"/>
      </w:pPr>
      <w:r>
        <w:rPr>
          <w:position w:val="-119"/>
        </w:rPr>
        <w:drawing>
          <wp:inline distT="0" distB="0" distL="0" distR="0">
            <wp:extent cx="5615940" cy="380174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17"/>
                    <a:stretch>
                      <a:fillRect/>
                    </a:stretch>
                  </pic:blipFill>
                  <pic:spPr>
                    <a:xfrm>
                      <a:off x="0" y="0"/>
                      <a:ext cx="5615940" cy="3802379"/>
                    </a:xfrm>
                    <a:prstGeom prst="rect">
                      <a:avLst/>
                    </a:prstGeom>
                  </pic:spPr>
                </pic:pic>
              </a:graphicData>
            </a:graphic>
          </wp:inline>
        </w:drawing>
      </w:r>
    </w:p>
    <w:p w14:paraId="52F2C859">
      <w:pPr>
        <w:spacing w:before="29" w:line="228" w:lineRule="auto"/>
        <w:ind w:left="3105"/>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32"/>
          <w:sz w:val="20"/>
          <w:szCs w:val="20"/>
        </w:rPr>
        <w:t xml:space="preserve"> </w:t>
      </w:r>
      <w:r>
        <w:rPr>
          <w:rFonts w:ascii="Times New Roman" w:hAnsi="Times New Roman" w:eastAsia="Times New Roman" w:cs="Times New Roman"/>
          <w:b/>
          <w:bCs/>
          <w:spacing w:val="4"/>
          <w:sz w:val="20"/>
          <w:szCs w:val="20"/>
        </w:rPr>
        <w:t xml:space="preserve">6    </w:t>
      </w:r>
      <w:r>
        <w:rPr>
          <w:rFonts w:ascii="宋体" w:hAnsi="宋体" w:eastAsia="宋体" w:cs="宋体"/>
          <w:b/>
          <w:bCs/>
          <w:spacing w:val="4"/>
          <w:sz w:val="20"/>
          <w:szCs w:val="20"/>
        </w:rPr>
        <w:t>丙酮泄露预测方案参数</w:t>
      </w:r>
    </w:p>
    <w:p w14:paraId="0E34F323">
      <w:pPr>
        <w:spacing w:line="228" w:lineRule="auto"/>
        <w:rPr>
          <w:rFonts w:ascii="宋体" w:hAnsi="宋体" w:eastAsia="宋体" w:cs="宋体"/>
          <w:sz w:val="20"/>
          <w:szCs w:val="20"/>
        </w:rPr>
        <w:sectPr>
          <w:footerReference r:id="rId144" w:type="default"/>
          <w:pgSz w:w="11906" w:h="16839"/>
          <w:pgMar w:top="400" w:right="1530" w:bottom="1127" w:left="1531" w:header="0" w:footer="965" w:gutter="0"/>
          <w:cols w:space="720" w:num="1"/>
        </w:sectPr>
      </w:pPr>
    </w:p>
    <w:p w14:paraId="487233F3">
      <w:pPr>
        <w:spacing w:line="250" w:lineRule="auto"/>
        <w:rPr>
          <w:rFonts w:ascii="Arial"/>
          <w:sz w:val="21"/>
        </w:rPr>
      </w:pPr>
    </w:p>
    <w:p w14:paraId="725F1966">
      <w:pPr>
        <w:spacing w:line="250" w:lineRule="auto"/>
        <w:rPr>
          <w:rFonts w:ascii="Arial"/>
          <w:sz w:val="21"/>
        </w:rPr>
      </w:pPr>
    </w:p>
    <w:p w14:paraId="21B6AF54">
      <w:pPr>
        <w:spacing w:line="250" w:lineRule="auto"/>
        <w:rPr>
          <w:rFonts w:ascii="Arial"/>
          <w:sz w:val="21"/>
        </w:rPr>
      </w:pPr>
    </w:p>
    <w:p w14:paraId="773B5DB8">
      <w:pPr>
        <w:spacing w:line="250" w:lineRule="auto"/>
        <w:rPr>
          <w:rFonts w:ascii="Arial"/>
          <w:sz w:val="21"/>
        </w:rPr>
      </w:pPr>
    </w:p>
    <w:p w14:paraId="1A81C5BD">
      <w:pPr>
        <w:spacing w:line="250" w:lineRule="auto"/>
        <w:rPr>
          <w:rFonts w:ascii="Arial"/>
          <w:sz w:val="21"/>
        </w:rPr>
      </w:pPr>
    </w:p>
    <w:p w14:paraId="3438AAB8">
      <w:pPr>
        <w:spacing w:before="78" w:line="218" w:lineRule="auto"/>
        <w:ind w:left="121"/>
        <w:outlineLvl w:val="3"/>
        <w:rPr>
          <w:rFonts w:ascii="宋体" w:hAnsi="宋体" w:eastAsia="宋体" w:cs="宋体"/>
          <w:sz w:val="24"/>
          <w:szCs w:val="24"/>
        </w:rPr>
      </w:pPr>
      <w:r>
        <w:rPr>
          <w:rFonts w:ascii="Times New Roman" w:hAnsi="Times New Roman" w:eastAsia="Times New Roman" w:cs="Times New Roman"/>
          <w:b/>
          <w:bCs/>
          <w:spacing w:val="-2"/>
          <w:sz w:val="24"/>
          <w:szCs w:val="24"/>
        </w:rPr>
        <w:t>6.1.4.</w:t>
      </w:r>
      <w:r>
        <w:rPr>
          <w:rFonts w:ascii="宋体" w:hAnsi="宋体" w:eastAsia="宋体" w:cs="宋体"/>
          <w:b/>
          <w:bCs/>
          <w:spacing w:val="-2"/>
          <w:sz w:val="24"/>
          <w:szCs w:val="24"/>
        </w:rPr>
        <w:t>评价标准</w:t>
      </w:r>
    </w:p>
    <w:p w14:paraId="3DA5E508">
      <w:pPr>
        <w:spacing w:before="183" w:line="359" w:lineRule="auto"/>
        <w:ind w:left="124" w:right="53" w:firstLine="480"/>
        <w:jc w:val="both"/>
        <w:rPr>
          <w:rFonts w:ascii="宋体" w:hAnsi="宋体" w:eastAsia="宋体" w:cs="宋体"/>
          <w:sz w:val="24"/>
          <w:szCs w:val="24"/>
        </w:rPr>
      </w:pPr>
      <w:r>
        <w:rPr>
          <w:rFonts w:ascii="宋体" w:hAnsi="宋体" w:eastAsia="宋体" w:cs="宋体"/>
          <w:sz w:val="24"/>
          <w:szCs w:val="24"/>
        </w:rPr>
        <w:t>大气毒性终点浓度值选取按《建设项目环境风险评价技术导则》</w:t>
      </w:r>
      <w:r>
        <w:rPr>
          <w:rFonts w:ascii="宋体" w:hAnsi="宋体" w:eastAsia="宋体" w:cs="宋体"/>
          <w:spacing w:val="-1"/>
          <w:sz w:val="24"/>
          <w:szCs w:val="24"/>
        </w:rPr>
        <w:t>（</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附录</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H </w:t>
      </w:r>
      <w:r>
        <w:rPr>
          <w:rFonts w:ascii="宋体" w:hAnsi="宋体" w:eastAsia="宋体" w:cs="宋体"/>
          <w:spacing w:val="-3"/>
          <w:sz w:val="24"/>
          <w:szCs w:val="24"/>
        </w:rPr>
        <w:t>选取。其中</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级毒性终点浓度为当大气</w:t>
      </w:r>
      <w:r>
        <w:rPr>
          <w:rFonts w:ascii="宋体" w:hAnsi="宋体" w:eastAsia="宋体" w:cs="宋体"/>
          <w:spacing w:val="-4"/>
          <w:sz w:val="24"/>
          <w:szCs w:val="24"/>
        </w:rPr>
        <w:t>中危险物质浓度低于该限值时，绝大多</w:t>
      </w:r>
      <w:r>
        <w:rPr>
          <w:rFonts w:ascii="宋体" w:hAnsi="宋体" w:eastAsia="宋体" w:cs="宋体"/>
          <w:sz w:val="24"/>
          <w:szCs w:val="24"/>
        </w:rPr>
        <w:t xml:space="preserve"> </w:t>
      </w:r>
      <w:r>
        <w:rPr>
          <w:rFonts w:ascii="宋体" w:hAnsi="宋体" w:eastAsia="宋体" w:cs="宋体"/>
          <w:spacing w:val="-4"/>
          <w:sz w:val="24"/>
          <w:szCs w:val="24"/>
        </w:rPr>
        <w:t>数人员暴露</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 xml:space="preserve">1h </w:t>
      </w:r>
      <w:r>
        <w:rPr>
          <w:rFonts w:ascii="宋体" w:hAnsi="宋体" w:eastAsia="宋体" w:cs="宋体"/>
          <w:spacing w:val="-4"/>
          <w:sz w:val="24"/>
          <w:szCs w:val="24"/>
        </w:rPr>
        <w:t>不会对生命造成威胁，但超过该限值时，有可能对人群造成生命威胁；</w:t>
      </w:r>
    </w:p>
    <w:p w14:paraId="47838302">
      <w:pPr>
        <w:spacing w:before="1" w:line="361" w:lineRule="auto"/>
        <w:ind w:left="127" w:right="112" w:hanging="9"/>
        <w:rPr>
          <w:rFonts w:ascii="宋体" w:hAnsi="宋体" w:eastAsia="宋体" w:cs="宋体"/>
          <w:sz w:val="24"/>
          <w:szCs w:val="24"/>
        </w:rPr>
      </w:pP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级为当大气中危险物质浓度低于该限值时，暴露</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1h </w:t>
      </w:r>
      <w:r>
        <w:rPr>
          <w:rFonts w:ascii="宋体" w:hAnsi="宋体" w:eastAsia="宋体" w:cs="宋体"/>
          <w:spacing w:val="-3"/>
          <w:sz w:val="24"/>
          <w:szCs w:val="24"/>
        </w:rPr>
        <w:t>一般不</w:t>
      </w:r>
      <w:r>
        <w:rPr>
          <w:rFonts w:ascii="宋体" w:hAnsi="宋体" w:eastAsia="宋体" w:cs="宋体"/>
          <w:spacing w:val="-4"/>
          <w:sz w:val="24"/>
          <w:szCs w:val="24"/>
        </w:rPr>
        <w:t>会对人体造成不可逆的伤</w:t>
      </w:r>
      <w:r>
        <w:rPr>
          <w:rFonts w:ascii="宋体" w:hAnsi="宋体" w:eastAsia="宋体" w:cs="宋体"/>
          <w:sz w:val="24"/>
          <w:szCs w:val="24"/>
        </w:rPr>
        <w:t xml:space="preserve"> </w:t>
      </w:r>
      <w:r>
        <w:rPr>
          <w:rFonts w:ascii="宋体" w:hAnsi="宋体" w:eastAsia="宋体" w:cs="宋体"/>
          <w:spacing w:val="-1"/>
          <w:sz w:val="24"/>
          <w:szCs w:val="24"/>
        </w:rPr>
        <w:t>害，或出现的症状一般不会损伤该个体采取有效防护措施的能力。</w:t>
      </w:r>
    </w:p>
    <w:p w14:paraId="2BE22BBA">
      <w:pPr>
        <w:spacing w:before="112" w:line="219" w:lineRule="auto"/>
        <w:ind w:left="1983"/>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2"/>
          <w:sz w:val="24"/>
          <w:szCs w:val="24"/>
        </w:rPr>
        <w:t xml:space="preserve">30    </w:t>
      </w:r>
      <w:r>
        <w:rPr>
          <w:rFonts w:ascii="宋体" w:hAnsi="宋体" w:eastAsia="宋体" w:cs="宋体"/>
          <w:b/>
          <w:bCs/>
          <w:spacing w:val="-2"/>
          <w:sz w:val="24"/>
          <w:szCs w:val="24"/>
        </w:rPr>
        <w:t>本项目风险事故排放物质终点浓度一览表</w:t>
      </w:r>
    </w:p>
    <w:p w14:paraId="3D079315">
      <w:pPr>
        <w:spacing w:line="148"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80"/>
        <w:gridCol w:w="3481"/>
        <w:gridCol w:w="2803"/>
      </w:tblGrid>
      <w:tr w14:paraId="45744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780" w:type="dxa"/>
            <w:vAlign w:val="top"/>
          </w:tcPr>
          <w:p w14:paraId="65469E00">
            <w:pPr>
              <w:pStyle w:val="6"/>
              <w:spacing w:before="98" w:line="228" w:lineRule="auto"/>
              <w:ind w:left="975"/>
              <w:rPr>
                <w:sz w:val="20"/>
                <w:szCs w:val="20"/>
              </w:rPr>
            </w:pPr>
            <w:r>
              <w:rPr>
                <w:b/>
                <w:bCs/>
                <w:spacing w:val="6"/>
                <w:sz w:val="20"/>
                <w:szCs w:val="20"/>
              </w:rPr>
              <w:t>物质类别</w:t>
            </w:r>
          </w:p>
        </w:tc>
        <w:tc>
          <w:tcPr>
            <w:tcW w:w="3481" w:type="dxa"/>
            <w:vAlign w:val="top"/>
          </w:tcPr>
          <w:p w14:paraId="02000582">
            <w:pPr>
              <w:pStyle w:val="6"/>
              <w:spacing w:before="99" w:line="228" w:lineRule="auto"/>
              <w:ind w:left="1536"/>
              <w:rPr>
                <w:sz w:val="20"/>
                <w:szCs w:val="20"/>
              </w:rPr>
            </w:pPr>
            <w:r>
              <w:rPr>
                <w:b/>
                <w:bCs/>
                <w:spacing w:val="2"/>
                <w:sz w:val="20"/>
                <w:szCs w:val="20"/>
              </w:rPr>
              <w:t>指标</w:t>
            </w:r>
          </w:p>
        </w:tc>
        <w:tc>
          <w:tcPr>
            <w:tcW w:w="2803" w:type="dxa"/>
            <w:vAlign w:val="top"/>
          </w:tcPr>
          <w:p w14:paraId="5FA9072B">
            <w:pPr>
              <w:pStyle w:val="6"/>
              <w:spacing w:before="98" w:line="221" w:lineRule="auto"/>
              <w:ind w:left="560"/>
              <w:rPr>
                <w:sz w:val="20"/>
                <w:szCs w:val="20"/>
              </w:rPr>
            </w:pPr>
            <w:r>
              <w:rPr>
                <w:b/>
                <w:bCs/>
                <w:spacing w:val="1"/>
                <w:sz w:val="20"/>
                <w:szCs w:val="20"/>
              </w:rPr>
              <w:t>浓度值</w:t>
            </w:r>
            <w:r>
              <w:rPr>
                <w:rFonts w:ascii="Times New Roman" w:hAnsi="Times New Roman" w:eastAsia="Times New Roman" w:cs="Times New Roman"/>
                <w:b/>
                <w:bCs/>
                <w:spacing w:val="1"/>
                <w:sz w:val="20"/>
                <w:szCs w:val="20"/>
              </w:rPr>
              <w:t>/</w:t>
            </w:r>
            <w:r>
              <w:rPr>
                <w:b/>
                <w:bCs/>
                <w:spacing w:val="1"/>
                <w:sz w:val="20"/>
                <w:szCs w:val="20"/>
              </w:rPr>
              <w:t>（</w:t>
            </w:r>
            <w:r>
              <w:rPr>
                <w:spacing w:val="-56"/>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
                <w:sz w:val="20"/>
                <w:szCs w:val="20"/>
              </w:rPr>
              <w:t>/m</w:t>
            </w:r>
            <w:r>
              <w:rPr>
                <w:rFonts w:ascii="Times New Roman" w:hAnsi="Times New Roman" w:eastAsia="Times New Roman" w:cs="Times New Roman"/>
                <w:b/>
                <w:bCs/>
                <w:spacing w:val="1"/>
                <w:position w:val="6"/>
                <w:sz w:val="13"/>
                <w:szCs w:val="13"/>
              </w:rPr>
              <w:t>3</w:t>
            </w:r>
            <w:r>
              <w:rPr>
                <w:b/>
                <w:bCs/>
                <w:spacing w:val="1"/>
                <w:sz w:val="20"/>
                <w:szCs w:val="20"/>
              </w:rPr>
              <w:t>）</w:t>
            </w:r>
          </w:p>
        </w:tc>
      </w:tr>
      <w:tr w14:paraId="38877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80" w:type="dxa"/>
            <w:vMerge w:val="restart"/>
            <w:tcBorders>
              <w:bottom w:val="nil"/>
            </w:tcBorders>
            <w:vAlign w:val="top"/>
          </w:tcPr>
          <w:p w14:paraId="57977853">
            <w:pPr>
              <w:pStyle w:val="6"/>
              <w:spacing w:before="297" w:line="229" w:lineRule="auto"/>
              <w:ind w:left="1084"/>
              <w:rPr>
                <w:sz w:val="20"/>
                <w:szCs w:val="20"/>
              </w:rPr>
            </w:pPr>
            <w:r>
              <w:rPr>
                <w:spacing w:val="5"/>
                <w:sz w:val="20"/>
                <w:szCs w:val="20"/>
              </w:rPr>
              <w:t>氯化氢</w:t>
            </w:r>
          </w:p>
        </w:tc>
        <w:tc>
          <w:tcPr>
            <w:tcW w:w="3481" w:type="dxa"/>
            <w:vAlign w:val="top"/>
          </w:tcPr>
          <w:p w14:paraId="5057A5B0">
            <w:pPr>
              <w:pStyle w:val="6"/>
              <w:spacing w:before="92"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-1</w:t>
            </w:r>
          </w:p>
        </w:tc>
        <w:tc>
          <w:tcPr>
            <w:tcW w:w="2803" w:type="dxa"/>
            <w:vAlign w:val="top"/>
          </w:tcPr>
          <w:p w14:paraId="7AFEBA9F">
            <w:pPr>
              <w:spacing w:before="129" w:line="195" w:lineRule="auto"/>
              <w:ind w:left="1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r w14:paraId="3AD51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80" w:type="dxa"/>
            <w:vMerge w:val="continue"/>
            <w:tcBorders>
              <w:top w:val="nil"/>
            </w:tcBorders>
            <w:vAlign w:val="top"/>
          </w:tcPr>
          <w:p w14:paraId="07F37F50">
            <w:pPr>
              <w:rPr>
                <w:rFonts w:ascii="Arial"/>
                <w:sz w:val="21"/>
              </w:rPr>
            </w:pPr>
          </w:p>
        </w:tc>
        <w:tc>
          <w:tcPr>
            <w:tcW w:w="3481" w:type="dxa"/>
            <w:vAlign w:val="top"/>
          </w:tcPr>
          <w:p w14:paraId="19D19F02">
            <w:pPr>
              <w:pStyle w:val="6"/>
              <w:spacing w:before="94"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-2</w:t>
            </w:r>
          </w:p>
        </w:tc>
        <w:tc>
          <w:tcPr>
            <w:tcW w:w="2803" w:type="dxa"/>
            <w:vAlign w:val="top"/>
          </w:tcPr>
          <w:p w14:paraId="7E52A215">
            <w:pPr>
              <w:spacing w:before="131" w:line="195" w:lineRule="auto"/>
              <w:ind w:left="130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14:paraId="79E5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80" w:type="dxa"/>
            <w:vMerge w:val="restart"/>
            <w:tcBorders>
              <w:bottom w:val="nil"/>
            </w:tcBorders>
            <w:vAlign w:val="top"/>
          </w:tcPr>
          <w:p w14:paraId="691B8FD5">
            <w:pPr>
              <w:pStyle w:val="6"/>
              <w:spacing w:before="298" w:line="228" w:lineRule="auto"/>
              <w:ind w:left="1081"/>
              <w:rPr>
                <w:sz w:val="20"/>
                <w:szCs w:val="20"/>
              </w:rPr>
            </w:pPr>
            <w:r>
              <w:rPr>
                <w:spacing w:val="6"/>
                <w:sz w:val="20"/>
                <w:szCs w:val="20"/>
              </w:rPr>
              <w:t>氟化氢</w:t>
            </w:r>
          </w:p>
        </w:tc>
        <w:tc>
          <w:tcPr>
            <w:tcW w:w="3481" w:type="dxa"/>
            <w:vAlign w:val="top"/>
          </w:tcPr>
          <w:p w14:paraId="71CBB445">
            <w:pPr>
              <w:pStyle w:val="6"/>
              <w:spacing w:before="96"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-1</w:t>
            </w:r>
          </w:p>
        </w:tc>
        <w:tc>
          <w:tcPr>
            <w:tcW w:w="2803" w:type="dxa"/>
            <w:vAlign w:val="top"/>
          </w:tcPr>
          <w:p w14:paraId="1BDFA097">
            <w:pPr>
              <w:spacing w:before="133" w:line="195" w:lineRule="auto"/>
              <w:ind w:left="130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r>
      <w:tr w14:paraId="61D0F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80" w:type="dxa"/>
            <w:vMerge w:val="continue"/>
            <w:tcBorders>
              <w:top w:val="nil"/>
            </w:tcBorders>
            <w:vAlign w:val="top"/>
          </w:tcPr>
          <w:p w14:paraId="1C21E731">
            <w:pPr>
              <w:rPr>
                <w:rFonts w:ascii="Arial"/>
                <w:sz w:val="21"/>
              </w:rPr>
            </w:pPr>
          </w:p>
        </w:tc>
        <w:tc>
          <w:tcPr>
            <w:tcW w:w="3481" w:type="dxa"/>
            <w:vAlign w:val="top"/>
          </w:tcPr>
          <w:p w14:paraId="5FE8CAA8">
            <w:pPr>
              <w:pStyle w:val="6"/>
              <w:spacing w:before="96"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-2</w:t>
            </w:r>
          </w:p>
        </w:tc>
        <w:tc>
          <w:tcPr>
            <w:tcW w:w="2803" w:type="dxa"/>
            <w:vAlign w:val="top"/>
          </w:tcPr>
          <w:p w14:paraId="31BE967E">
            <w:pPr>
              <w:spacing w:before="132" w:line="195" w:lineRule="auto"/>
              <w:ind w:left="1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0AC0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80" w:type="dxa"/>
            <w:vMerge w:val="restart"/>
            <w:tcBorders>
              <w:bottom w:val="nil"/>
            </w:tcBorders>
            <w:vAlign w:val="top"/>
          </w:tcPr>
          <w:p w14:paraId="6CAAD3C9">
            <w:pPr>
              <w:pStyle w:val="6"/>
              <w:spacing w:before="299" w:line="228" w:lineRule="auto"/>
              <w:ind w:left="448"/>
              <w:rPr>
                <w:sz w:val="20"/>
                <w:szCs w:val="20"/>
              </w:rPr>
            </w:pPr>
            <w:r>
              <w:rPr>
                <w:spacing w:val="8"/>
                <w:sz w:val="20"/>
                <w:szCs w:val="20"/>
              </w:rPr>
              <w:t>硫酸雾（发烟硫酸）</w:t>
            </w:r>
          </w:p>
        </w:tc>
        <w:tc>
          <w:tcPr>
            <w:tcW w:w="3481" w:type="dxa"/>
            <w:vAlign w:val="top"/>
          </w:tcPr>
          <w:p w14:paraId="5F21C37A">
            <w:pPr>
              <w:pStyle w:val="6"/>
              <w:spacing w:before="97"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-1</w:t>
            </w:r>
          </w:p>
        </w:tc>
        <w:tc>
          <w:tcPr>
            <w:tcW w:w="2803" w:type="dxa"/>
            <w:vAlign w:val="top"/>
          </w:tcPr>
          <w:p w14:paraId="2D4B6D74">
            <w:pPr>
              <w:spacing w:before="133" w:line="195" w:lineRule="auto"/>
              <w:ind w:left="1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r>
      <w:tr w14:paraId="7EE5F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80" w:type="dxa"/>
            <w:vMerge w:val="continue"/>
            <w:tcBorders>
              <w:top w:val="nil"/>
            </w:tcBorders>
            <w:vAlign w:val="top"/>
          </w:tcPr>
          <w:p w14:paraId="6E45CBD5">
            <w:pPr>
              <w:rPr>
                <w:rFonts w:ascii="Arial"/>
                <w:sz w:val="21"/>
              </w:rPr>
            </w:pPr>
          </w:p>
        </w:tc>
        <w:tc>
          <w:tcPr>
            <w:tcW w:w="3481" w:type="dxa"/>
            <w:vAlign w:val="top"/>
          </w:tcPr>
          <w:p w14:paraId="15C9D28A">
            <w:pPr>
              <w:pStyle w:val="6"/>
              <w:spacing w:before="96"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-2</w:t>
            </w:r>
          </w:p>
        </w:tc>
        <w:tc>
          <w:tcPr>
            <w:tcW w:w="2803" w:type="dxa"/>
            <w:vAlign w:val="top"/>
          </w:tcPr>
          <w:p w14:paraId="5F047902">
            <w:pPr>
              <w:spacing w:before="132" w:line="195" w:lineRule="auto"/>
              <w:ind w:left="1280"/>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r>
      <w:tr w14:paraId="57835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80" w:type="dxa"/>
            <w:vMerge w:val="restart"/>
            <w:tcBorders>
              <w:bottom w:val="nil"/>
            </w:tcBorders>
            <w:vAlign w:val="top"/>
          </w:tcPr>
          <w:p w14:paraId="3BA78F44">
            <w:pPr>
              <w:pStyle w:val="6"/>
              <w:spacing w:before="301" w:line="229" w:lineRule="auto"/>
              <w:ind w:left="1188"/>
              <w:rPr>
                <w:sz w:val="20"/>
                <w:szCs w:val="20"/>
              </w:rPr>
            </w:pPr>
            <w:r>
              <w:rPr>
                <w:spacing w:val="3"/>
                <w:sz w:val="20"/>
                <w:szCs w:val="20"/>
              </w:rPr>
              <w:t>硝酸</w:t>
            </w:r>
          </w:p>
        </w:tc>
        <w:tc>
          <w:tcPr>
            <w:tcW w:w="3481" w:type="dxa"/>
            <w:vAlign w:val="top"/>
          </w:tcPr>
          <w:p w14:paraId="1252C41A">
            <w:pPr>
              <w:pStyle w:val="6"/>
              <w:spacing w:before="97"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-1</w:t>
            </w:r>
          </w:p>
        </w:tc>
        <w:tc>
          <w:tcPr>
            <w:tcW w:w="2803" w:type="dxa"/>
            <w:vAlign w:val="top"/>
          </w:tcPr>
          <w:p w14:paraId="2E6383E1">
            <w:pPr>
              <w:spacing w:before="133" w:line="195" w:lineRule="auto"/>
              <w:ind w:left="1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w:t>
            </w:r>
          </w:p>
        </w:tc>
      </w:tr>
      <w:tr w14:paraId="5701E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80" w:type="dxa"/>
            <w:vMerge w:val="continue"/>
            <w:tcBorders>
              <w:top w:val="nil"/>
            </w:tcBorders>
            <w:vAlign w:val="top"/>
          </w:tcPr>
          <w:p w14:paraId="517094D8">
            <w:pPr>
              <w:rPr>
                <w:rFonts w:ascii="Arial"/>
                <w:sz w:val="21"/>
              </w:rPr>
            </w:pPr>
          </w:p>
        </w:tc>
        <w:tc>
          <w:tcPr>
            <w:tcW w:w="3481" w:type="dxa"/>
            <w:vAlign w:val="top"/>
          </w:tcPr>
          <w:p w14:paraId="24491C9F">
            <w:pPr>
              <w:pStyle w:val="6"/>
              <w:spacing w:before="99"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-2</w:t>
            </w:r>
          </w:p>
        </w:tc>
        <w:tc>
          <w:tcPr>
            <w:tcW w:w="2803" w:type="dxa"/>
            <w:vAlign w:val="top"/>
          </w:tcPr>
          <w:p w14:paraId="46F98319">
            <w:pPr>
              <w:spacing w:before="135" w:line="195" w:lineRule="auto"/>
              <w:ind w:left="1303"/>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r>
      <w:tr w14:paraId="1B603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80" w:type="dxa"/>
            <w:vMerge w:val="restart"/>
            <w:tcBorders>
              <w:bottom w:val="nil"/>
            </w:tcBorders>
            <w:vAlign w:val="top"/>
          </w:tcPr>
          <w:p w14:paraId="5772F054">
            <w:pPr>
              <w:pStyle w:val="6"/>
              <w:spacing w:before="302" w:line="228" w:lineRule="auto"/>
              <w:ind w:left="1190"/>
              <w:rPr>
                <w:sz w:val="20"/>
                <w:szCs w:val="20"/>
              </w:rPr>
            </w:pPr>
            <w:r>
              <w:rPr>
                <w:spacing w:val="2"/>
                <w:sz w:val="20"/>
                <w:szCs w:val="20"/>
              </w:rPr>
              <w:t>丙酮</w:t>
            </w:r>
          </w:p>
        </w:tc>
        <w:tc>
          <w:tcPr>
            <w:tcW w:w="3481" w:type="dxa"/>
            <w:vAlign w:val="top"/>
          </w:tcPr>
          <w:p w14:paraId="55547CE2">
            <w:pPr>
              <w:pStyle w:val="6"/>
              <w:spacing w:before="97"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-1</w:t>
            </w:r>
          </w:p>
        </w:tc>
        <w:tc>
          <w:tcPr>
            <w:tcW w:w="2803" w:type="dxa"/>
            <w:vAlign w:val="top"/>
          </w:tcPr>
          <w:p w14:paraId="1C32065F">
            <w:pPr>
              <w:spacing w:before="133" w:line="195" w:lineRule="auto"/>
              <w:ind w:left="1160"/>
              <w:rPr>
                <w:rFonts w:ascii="Times New Roman" w:hAnsi="Times New Roman" w:eastAsia="Times New Roman" w:cs="Times New Roman"/>
                <w:sz w:val="20"/>
                <w:szCs w:val="20"/>
              </w:rPr>
            </w:pPr>
            <w:r>
              <w:rPr>
                <w:rFonts w:ascii="Times New Roman" w:hAnsi="Times New Roman" w:eastAsia="Times New Roman" w:cs="Times New Roman"/>
                <w:sz w:val="20"/>
                <w:szCs w:val="20"/>
              </w:rPr>
              <w:t>14000</w:t>
            </w:r>
          </w:p>
        </w:tc>
      </w:tr>
      <w:tr w14:paraId="7903C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80" w:type="dxa"/>
            <w:vMerge w:val="continue"/>
            <w:tcBorders>
              <w:top w:val="nil"/>
            </w:tcBorders>
            <w:vAlign w:val="top"/>
          </w:tcPr>
          <w:p w14:paraId="483854ED">
            <w:pPr>
              <w:rPr>
                <w:rFonts w:ascii="Arial"/>
                <w:sz w:val="21"/>
              </w:rPr>
            </w:pPr>
          </w:p>
        </w:tc>
        <w:tc>
          <w:tcPr>
            <w:tcW w:w="3481" w:type="dxa"/>
            <w:vAlign w:val="top"/>
          </w:tcPr>
          <w:p w14:paraId="177A04BF">
            <w:pPr>
              <w:pStyle w:val="6"/>
              <w:spacing w:before="98" w:line="228" w:lineRule="auto"/>
              <w:ind w:left="821"/>
              <w:rPr>
                <w:rFonts w:ascii="Times New Roman" w:hAnsi="Times New Roman" w:eastAsia="Times New Roman" w:cs="Times New Roman"/>
                <w:sz w:val="20"/>
                <w:szCs w:val="20"/>
              </w:rPr>
            </w:pPr>
            <w:r>
              <w:rPr>
                <w:spacing w:val="7"/>
                <w:sz w:val="20"/>
                <w:szCs w:val="20"/>
              </w:rPr>
              <w:t>大气毒性终点浓度</w:t>
            </w:r>
            <w:r>
              <w:rPr>
                <w:rFonts w:ascii="Times New Roman" w:hAnsi="Times New Roman" w:eastAsia="Times New Roman" w:cs="Times New Roman"/>
                <w:spacing w:val="7"/>
                <w:sz w:val="20"/>
                <w:szCs w:val="20"/>
              </w:rPr>
              <w:t>-2</w:t>
            </w:r>
          </w:p>
        </w:tc>
        <w:tc>
          <w:tcPr>
            <w:tcW w:w="2803" w:type="dxa"/>
            <w:vAlign w:val="top"/>
          </w:tcPr>
          <w:p w14:paraId="4D9DDEE2">
            <w:pPr>
              <w:spacing w:before="134" w:line="195" w:lineRule="auto"/>
              <w:ind w:left="1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7600</w:t>
            </w:r>
          </w:p>
        </w:tc>
      </w:tr>
      <w:tr w14:paraId="3F37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064" w:type="dxa"/>
            <w:gridSpan w:val="3"/>
            <w:vAlign w:val="top"/>
          </w:tcPr>
          <w:p w14:paraId="6491B963">
            <w:pPr>
              <w:pStyle w:val="6"/>
              <w:spacing w:before="97" w:line="228" w:lineRule="auto"/>
              <w:ind w:left="2648"/>
              <w:rPr>
                <w:sz w:val="20"/>
                <w:szCs w:val="20"/>
              </w:rPr>
            </w:pPr>
            <w:r>
              <w:rPr>
                <w:spacing w:val="8"/>
                <w:sz w:val="20"/>
                <w:szCs w:val="20"/>
              </w:rPr>
              <w:t>注：硫酸的毒性终点浓度参照发烟硫酸。</w:t>
            </w:r>
          </w:p>
        </w:tc>
      </w:tr>
    </w:tbl>
    <w:p w14:paraId="0731FDBE">
      <w:pPr>
        <w:spacing w:before="36" w:line="220" w:lineRule="auto"/>
        <w:ind w:left="121"/>
        <w:outlineLvl w:val="3"/>
        <w:rPr>
          <w:rFonts w:ascii="宋体" w:hAnsi="宋体" w:eastAsia="宋体" w:cs="宋体"/>
          <w:sz w:val="24"/>
          <w:szCs w:val="24"/>
        </w:rPr>
      </w:pPr>
      <w:r>
        <w:rPr>
          <w:rFonts w:ascii="Times New Roman" w:hAnsi="Times New Roman" w:eastAsia="Times New Roman" w:cs="Times New Roman"/>
          <w:b/>
          <w:bCs/>
          <w:spacing w:val="-2"/>
          <w:sz w:val="24"/>
          <w:szCs w:val="24"/>
        </w:rPr>
        <w:t>6.1.5.</w:t>
      </w:r>
      <w:r>
        <w:rPr>
          <w:rFonts w:ascii="宋体" w:hAnsi="宋体" w:eastAsia="宋体" w:cs="宋体"/>
          <w:b/>
          <w:bCs/>
          <w:spacing w:val="-2"/>
          <w:sz w:val="24"/>
          <w:szCs w:val="24"/>
        </w:rPr>
        <w:t>预测结果</w:t>
      </w:r>
    </w:p>
    <w:p w14:paraId="03E6EE2F">
      <w:pPr>
        <w:spacing w:before="186" w:line="374" w:lineRule="auto"/>
        <w:ind w:left="125" w:right="94" w:firstLine="518"/>
        <w:jc w:val="both"/>
        <w:rPr>
          <w:rFonts w:ascii="宋体" w:hAnsi="宋体" w:eastAsia="宋体" w:cs="宋体"/>
          <w:sz w:val="25"/>
          <w:szCs w:val="25"/>
        </w:rPr>
      </w:pPr>
      <w:r>
        <w:rPr>
          <w:rFonts w:ascii="宋体" w:hAnsi="宋体" w:eastAsia="宋体" w:cs="宋体"/>
          <w:spacing w:val="10"/>
          <w:sz w:val="25"/>
          <w:szCs w:val="25"/>
        </w:rPr>
        <w:t>根据导则推荐模型，计算下风向不同距离处有毒有害</w:t>
      </w:r>
      <w:r>
        <w:rPr>
          <w:rFonts w:ascii="宋体" w:hAnsi="宋体" w:eastAsia="宋体" w:cs="宋体"/>
          <w:spacing w:val="9"/>
          <w:sz w:val="25"/>
          <w:szCs w:val="25"/>
        </w:rPr>
        <w:t>物质的最大浓度，最</w:t>
      </w:r>
      <w:r>
        <w:rPr>
          <w:rFonts w:ascii="宋体" w:hAnsi="宋体" w:eastAsia="宋体" w:cs="宋体"/>
          <w:sz w:val="25"/>
          <w:szCs w:val="25"/>
        </w:rPr>
        <w:t xml:space="preserve"> </w:t>
      </w:r>
      <w:r>
        <w:rPr>
          <w:rFonts w:ascii="宋体" w:hAnsi="宋体" w:eastAsia="宋体" w:cs="宋体"/>
          <w:spacing w:val="7"/>
          <w:sz w:val="25"/>
          <w:szCs w:val="25"/>
        </w:rPr>
        <w:t>不利气象条件下物质泄漏扩散影响预测结果见表</w:t>
      </w:r>
      <w:r>
        <w:rPr>
          <w:rFonts w:ascii="宋体" w:hAnsi="宋体" w:eastAsia="宋体" w:cs="宋体"/>
          <w:spacing w:val="-49"/>
          <w:sz w:val="25"/>
          <w:szCs w:val="25"/>
        </w:rPr>
        <w:t xml:space="preserve"> </w:t>
      </w:r>
      <w:r>
        <w:rPr>
          <w:rFonts w:ascii="Times New Roman" w:hAnsi="Times New Roman" w:eastAsia="Times New Roman" w:cs="Times New Roman"/>
          <w:spacing w:val="7"/>
          <w:sz w:val="25"/>
          <w:szCs w:val="25"/>
        </w:rPr>
        <w:t>31</w:t>
      </w:r>
      <w:r>
        <w:rPr>
          <w:rFonts w:ascii="Times New Roman" w:hAnsi="Times New Roman" w:eastAsia="Times New Roman" w:cs="Times New Roman"/>
          <w:spacing w:val="-27"/>
          <w:sz w:val="25"/>
          <w:szCs w:val="25"/>
        </w:rPr>
        <w:t xml:space="preserve"> </w:t>
      </w:r>
      <w:r>
        <w:rPr>
          <w:rFonts w:ascii="宋体" w:hAnsi="宋体" w:eastAsia="宋体" w:cs="宋体"/>
          <w:spacing w:val="7"/>
          <w:sz w:val="25"/>
          <w:szCs w:val="25"/>
        </w:rPr>
        <w:t>。盐酸（</w:t>
      </w:r>
      <w:r>
        <w:rPr>
          <w:rFonts w:ascii="宋体" w:hAnsi="宋体" w:eastAsia="宋体" w:cs="宋体"/>
          <w:spacing w:val="6"/>
          <w:sz w:val="25"/>
          <w:szCs w:val="25"/>
        </w:rPr>
        <w:t>氯化氢）、硫酸、</w:t>
      </w:r>
      <w:r>
        <w:rPr>
          <w:rFonts w:ascii="宋体" w:hAnsi="宋体" w:eastAsia="宋体" w:cs="宋体"/>
          <w:sz w:val="25"/>
          <w:szCs w:val="25"/>
        </w:rPr>
        <w:t xml:space="preserve"> </w:t>
      </w:r>
      <w:r>
        <w:rPr>
          <w:rFonts w:ascii="宋体" w:hAnsi="宋体" w:eastAsia="宋体" w:cs="宋体"/>
          <w:spacing w:val="9"/>
          <w:sz w:val="25"/>
          <w:szCs w:val="25"/>
        </w:rPr>
        <w:t>硝酸、氟化氢和丙酮轴线最大浓度图见图</w:t>
      </w:r>
      <w:r>
        <w:rPr>
          <w:rFonts w:ascii="宋体" w:hAnsi="宋体" w:eastAsia="宋体" w:cs="宋体"/>
          <w:spacing w:val="-45"/>
          <w:sz w:val="25"/>
          <w:szCs w:val="25"/>
        </w:rPr>
        <w:t xml:space="preserve"> </w:t>
      </w:r>
      <w:r>
        <w:rPr>
          <w:rFonts w:ascii="Times New Roman" w:hAnsi="Times New Roman" w:eastAsia="Times New Roman" w:cs="Times New Roman"/>
          <w:spacing w:val="9"/>
          <w:sz w:val="25"/>
          <w:szCs w:val="25"/>
        </w:rPr>
        <w:t>7~</w:t>
      </w:r>
      <w:r>
        <w:rPr>
          <w:rFonts w:ascii="Times New Roman" w:hAnsi="Times New Roman" w:eastAsia="Times New Roman" w:cs="Times New Roman"/>
          <w:spacing w:val="-23"/>
          <w:sz w:val="25"/>
          <w:szCs w:val="25"/>
        </w:rPr>
        <w:t xml:space="preserve"> </w:t>
      </w:r>
      <w:r>
        <w:rPr>
          <w:rFonts w:ascii="宋体" w:hAnsi="宋体" w:eastAsia="宋体" w:cs="宋体"/>
          <w:spacing w:val="9"/>
          <w:sz w:val="25"/>
          <w:szCs w:val="25"/>
        </w:rPr>
        <w:t>图</w:t>
      </w:r>
      <w:r>
        <w:rPr>
          <w:rFonts w:ascii="宋体" w:hAnsi="宋体" w:eastAsia="宋体" w:cs="宋体"/>
          <w:spacing w:val="-25"/>
          <w:sz w:val="25"/>
          <w:szCs w:val="25"/>
        </w:rPr>
        <w:t xml:space="preserve"> </w:t>
      </w:r>
      <w:r>
        <w:rPr>
          <w:rFonts w:ascii="Times New Roman" w:hAnsi="Times New Roman" w:eastAsia="Times New Roman" w:cs="Times New Roman"/>
          <w:spacing w:val="9"/>
          <w:sz w:val="25"/>
          <w:szCs w:val="25"/>
        </w:rPr>
        <w:t>11</w:t>
      </w:r>
      <w:r>
        <w:rPr>
          <w:rFonts w:ascii="Times New Roman" w:hAnsi="Times New Roman" w:eastAsia="Times New Roman" w:cs="Times New Roman"/>
          <w:spacing w:val="-27"/>
          <w:sz w:val="25"/>
          <w:szCs w:val="25"/>
        </w:rPr>
        <w:t xml:space="preserve"> </w:t>
      </w:r>
      <w:r>
        <w:rPr>
          <w:rFonts w:ascii="宋体" w:hAnsi="宋体" w:eastAsia="宋体" w:cs="宋体"/>
          <w:spacing w:val="9"/>
          <w:sz w:val="25"/>
          <w:szCs w:val="25"/>
        </w:rPr>
        <w:t>，最不利气象条件下</w:t>
      </w:r>
      <w:r>
        <w:rPr>
          <w:rFonts w:ascii="宋体" w:hAnsi="宋体" w:eastAsia="宋体" w:cs="宋体"/>
          <w:spacing w:val="8"/>
          <w:sz w:val="25"/>
          <w:szCs w:val="25"/>
        </w:rPr>
        <w:t>各关心</w:t>
      </w:r>
      <w:r>
        <w:rPr>
          <w:rFonts w:ascii="宋体" w:hAnsi="宋体" w:eastAsia="宋体" w:cs="宋体"/>
          <w:sz w:val="25"/>
          <w:szCs w:val="25"/>
        </w:rPr>
        <w:t xml:space="preserve"> </w:t>
      </w:r>
      <w:r>
        <w:rPr>
          <w:rFonts w:ascii="宋体" w:hAnsi="宋体" w:eastAsia="宋体" w:cs="宋体"/>
          <w:spacing w:val="6"/>
          <w:sz w:val="25"/>
          <w:szCs w:val="25"/>
        </w:rPr>
        <w:t>点浓度随时间变化情况见表</w:t>
      </w:r>
      <w:r>
        <w:rPr>
          <w:rFonts w:ascii="宋体" w:hAnsi="宋体" w:eastAsia="宋体" w:cs="宋体"/>
          <w:spacing w:val="-45"/>
          <w:sz w:val="25"/>
          <w:szCs w:val="25"/>
        </w:rPr>
        <w:t xml:space="preserve"> </w:t>
      </w:r>
      <w:r>
        <w:rPr>
          <w:rFonts w:ascii="Times New Roman" w:hAnsi="Times New Roman" w:eastAsia="Times New Roman" w:cs="Times New Roman"/>
          <w:spacing w:val="6"/>
          <w:sz w:val="25"/>
          <w:szCs w:val="25"/>
        </w:rPr>
        <w:t>32~</w:t>
      </w:r>
      <w:r>
        <w:rPr>
          <w:rFonts w:ascii="宋体" w:hAnsi="宋体" w:eastAsia="宋体" w:cs="宋体"/>
          <w:spacing w:val="6"/>
          <w:sz w:val="25"/>
          <w:szCs w:val="25"/>
        </w:rPr>
        <w:t>表</w:t>
      </w:r>
      <w:r>
        <w:rPr>
          <w:rFonts w:ascii="宋体" w:hAnsi="宋体" w:eastAsia="宋体" w:cs="宋体"/>
          <w:spacing w:val="-49"/>
          <w:sz w:val="25"/>
          <w:szCs w:val="25"/>
        </w:rPr>
        <w:t xml:space="preserve"> </w:t>
      </w:r>
      <w:r>
        <w:rPr>
          <w:rFonts w:ascii="Times New Roman" w:hAnsi="Times New Roman" w:eastAsia="Times New Roman" w:cs="Times New Roman"/>
          <w:spacing w:val="6"/>
          <w:sz w:val="25"/>
          <w:szCs w:val="25"/>
        </w:rPr>
        <w:t>36</w:t>
      </w:r>
      <w:r>
        <w:rPr>
          <w:rFonts w:ascii="宋体" w:hAnsi="宋体" w:eastAsia="宋体" w:cs="宋体"/>
          <w:spacing w:val="6"/>
          <w:sz w:val="25"/>
          <w:szCs w:val="25"/>
        </w:rPr>
        <w:t>。</w:t>
      </w:r>
    </w:p>
    <w:p w14:paraId="4BF5ADDE">
      <w:pPr>
        <w:spacing w:before="112" w:line="219" w:lineRule="auto"/>
        <w:ind w:left="1743"/>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最不利气象条件下物质泄漏扩散影响预测结果</w:t>
      </w:r>
    </w:p>
    <w:p w14:paraId="2BD268DA">
      <w:pPr>
        <w:spacing w:line="147"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56"/>
        <w:gridCol w:w="1166"/>
        <w:gridCol w:w="1165"/>
        <w:gridCol w:w="1112"/>
        <w:gridCol w:w="1166"/>
        <w:gridCol w:w="1367"/>
      </w:tblGrid>
      <w:tr w14:paraId="7C61E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32" w:type="dxa"/>
            <w:vMerge w:val="restart"/>
            <w:tcBorders>
              <w:bottom w:val="nil"/>
            </w:tcBorders>
            <w:vAlign w:val="top"/>
          </w:tcPr>
          <w:p w14:paraId="5185E8E4">
            <w:pPr>
              <w:pStyle w:val="6"/>
              <w:spacing w:before="84" w:line="228" w:lineRule="auto"/>
              <w:ind w:left="259"/>
              <w:rPr>
                <w:sz w:val="20"/>
                <w:szCs w:val="20"/>
              </w:rPr>
            </w:pPr>
            <w:r>
              <w:rPr>
                <w:b/>
                <w:bCs/>
                <w:spacing w:val="4"/>
                <w:sz w:val="20"/>
                <w:szCs w:val="20"/>
              </w:rPr>
              <w:t>距离</w:t>
            </w:r>
          </w:p>
          <w:p w14:paraId="7C29E86C">
            <w:pPr>
              <w:spacing w:before="45" w:line="197" w:lineRule="auto"/>
              <w:ind w:left="31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(m)</w:t>
            </w:r>
          </w:p>
        </w:tc>
        <w:tc>
          <w:tcPr>
            <w:tcW w:w="2156" w:type="dxa"/>
            <w:vMerge w:val="restart"/>
            <w:tcBorders>
              <w:bottom w:val="nil"/>
            </w:tcBorders>
            <w:vAlign w:val="top"/>
          </w:tcPr>
          <w:p w14:paraId="1EBB1DB7">
            <w:pPr>
              <w:pStyle w:val="6"/>
              <w:spacing w:before="204" w:line="228" w:lineRule="auto"/>
              <w:ind w:left="112"/>
              <w:rPr>
                <w:sz w:val="20"/>
                <w:szCs w:val="20"/>
              </w:rPr>
            </w:pPr>
            <w:r>
              <w:rPr>
                <w:b/>
                <w:bCs/>
                <w:spacing w:val="8"/>
                <w:sz w:val="20"/>
                <w:szCs w:val="20"/>
              </w:rPr>
              <w:t>浓度出现时间（</w:t>
            </w:r>
            <w:r>
              <w:rPr>
                <w:rFonts w:ascii="Times New Roman" w:hAnsi="Times New Roman" w:eastAsia="Times New Roman" w:cs="Times New Roman"/>
                <w:b/>
                <w:bCs/>
                <w:sz w:val="20"/>
                <w:szCs w:val="20"/>
              </w:rPr>
              <w:t>min</w:t>
            </w:r>
            <w:r>
              <w:rPr>
                <w:b/>
                <w:bCs/>
                <w:spacing w:val="8"/>
                <w:sz w:val="20"/>
                <w:szCs w:val="20"/>
              </w:rPr>
              <w:t>）</w:t>
            </w:r>
          </w:p>
        </w:tc>
        <w:tc>
          <w:tcPr>
            <w:tcW w:w="5976" w:type="dxa"/>
            <w:gridSpan w:val="5"/>
            <w:vAlign w:val="top"/>
          </w:tcPr>
          <w:p w14:paraId="709156C0">
            <w:pPr>
              <w:pStyle w:val="6"/>
              <w:spacing w:before="50" w:line="221" w:lineRule="auto"/>
              <w:ind w:left="2162"/>
              <w:rPr>
                <w:rFonts w:ascii="Times New Roman" w:hAnsi="Times New Roman" w:eastAsia="Times New Roman" w:cs="Times New Roman"/>
                <w:sz w:val="20"/>
                <w:szCs w:val="20"/>
              </w:rPr>
            </w:pPr>
            <w:r>
              <w:rPr>
                <w:b/>
                <w:bCs/>
                <w:spacing w:val="6"/>
                <w:sz w:val="20"/>
                <w:szCs w:val="20"/>
              </w:rPr>
              <w:t>高峰浓度</w:t>
            </w:r>
            <w:r>
              <w:rPr>
                <w:spacing w:val="6"/>
                <w:sz w:val="20"/>
                <w:szCs w:val="20"/>
              </w:rPr>
              <w:t xml:space="preserve"> </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sz w:val="20"/>
                <w:szCs w:val="20"/>
              </w:rPr>
              <w:t>)</w:t>
            </w:r>
          </w:p>
        </w:tc>
      </w:tr>
      <w:tr w14:paraId="61A68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Merge w:val="continue"/>
            <w:tcBorders>
              <w:top w:val="nil"/>
            </w:tcBorders>
            <w:vAlign w:val="top"/>
          </w:tcPr>
          <w:p w14:paraId="35044B9F">
            <w:pPr>
              <w:rPr>
                <w:rFonts w:ascii="Arial"/>
                <w:sz w:val="21"/>
              </w:rPr>
            </w:pPr>
          </w:p>
        </w:tc>
        <w:tc>
          <w:tcPr>
            <w:tcW w:w="2156" w:type="dxa"/>
            <w:vMerge w:val="continue"/>
            <w:tcBorders>
              <w:top w:val="nil"/>
            </w:tcBorders>
            <w:vAlign w:val="top"/>
          </w:tcPr>
          <w:p w14:paraId="115C604D">
            <w:pPr>
              <w:rPr>
                <w:rFonts w:ascii="Arial"/>
                <w:sz w:val="21"/>
              </w:rPr>
            </w:pPr>
          </w:p>
        </w:tc>
        <w:tc>
          <w:tcPr>
            <w:tcW w:w="1166" w:type="dxa"/>
            <w:vAlign w:val="top"/>
          </w:tcPr>
          <w:p w14:paraId="658DB905">
            <w:pPr>
              <w:pStyle w:val="6"/>
              <w:spacing w:before="45" w:line="229" w:lineRule="auto"/>
              <w:ind w:left="377"/>
              <w:rPr>
                <w:sz w:val="20"/>
                <w:szCs w:val="20"/>
              </w:rPr>
            </w:pPr>
            <w:r>
              <w:rPr>
                <w:b/>
                <w:bCs/>
                <w:spacing w:val="3"/>
                <w:sz w:val="20"/>
                <w:szCs w:val="20"/>
              </w:rPr>
              <w:t>盐酸</w:t>
            </w:r>
          </w:p>
        </w:tc>
        <w:tc>
          <w:tcPr>
            <w:tcW w:w="1165" w:type="dxa"/>
            <w:vAlign w:val="top"/>
          </w:tcPr>
          <w:p w14:paraId="62615A5D">
            <w:pPr>
              <w:pStyle w:val="6"/>
              <w:spacing w:before="45" w:line="228" w:lineRule="auto"/>
              <w:ind w:left="274"/>
              <w:rPr>
                <w:sz w:val="20"/>
                <w:szCs w:val="20"/>
              </w:rPr>
            </w:pPr>
            <w:r>
              <w:rPr>
                <w:b/>
                <w:bCs/>
                <w:spacing w:val="5"/>
                <w:sz w:val="20"/>
                <w:szCs w:val="20"/>
              </w:rPr>
              <w:t>氟化氢</w:t>
            </w:r>
          </w:p>
        </w:tc>
        <w:tc>
          <w:tcPr>
            <w:tcW w:w="1112" w:type="dxa"/>
            <w:vAlign w:val="top"/>
          </w:tcPr>
          <w:p w14:paraId="27E54083">
            <w:pPr>
              <w:pStyle w:val="6"/>
              <w:spacing w:before="45" w:line="229" w:lineRule="auto"/>
              <w:ind w:left="350"/>
              <w:rPr>
                <w:sz w:val="20"/>
                <w:szCs w:val="20"/>
              </w:rPr>
            </w:pPr>
            <w:r>
              <w:rPr>
                <w:b/>
                <w:bCs/>
                <w:spacing w:val="4"/>
                <w:sz w:val="20"/>
                <w:szCs w:val="20"/>
              </w:rPr>
              <w:t>硫酸</w:t>
            </w:r>
          </w:p>
        </w:tc>
        <w:tc>
          <w:tcPr>
            <w:tcW w:w="1166" w:type="dxa"/>
            <w:vAlign w:val="top"/>
          </w:tcPr>
          <w:p w14:paraId="6C62334B">
            <w:pPr>
              <w:pStyle w:val="6"/>
              <w:spacing w:before="45" w:line="229" w:lineRule="auto"/>
              <w:ind w:left="381"/>
              <w:rPr>
                <w:sz w:val="20"/>
                <w:szCs w:val="20"/>
              </w:rPr>
            </w:pPr>
            <w:r>
              <w:rPr>
                <w:b/>
                <w:bCs/>
                <w:spacing w:val="3"/>
                <w:sz w:val="20"/>
                <w:szCs w:val="20"/>
              </w:rPr>
              <w:t>硝酸</w:t>
            </w:r>
          </w:p>
        </w:tc>
        <w:tc>
          <w:tcPr>
            <w:tcW w:w="1367" w:type="dxa"/>
            <w:vAlign w:val="top"/>
          </w:tcPr>
          <w:p w14:paraId="6D921840">
            <w:pPr>
              <w:pStyle w:val="6"/>
              <w:spacing w:before="46" w:line="228" w:lineRule="auto"/>
              <w:ind w:left="482"/>
              <w:rPr>
                <w:sz w:val="20"/>
                <w:szCs w:val="20"/>
              </w:rPr>
            </w:pPr>
            <w:r>
              <w:rPr>
                <w:b/>
                <w:bCs/>
                <w:spacing w:val="1"/>
                <w:sz w:val="20"/>
                <w:szCs w:val="20"/>
              </w:rPr>
              <w:t>丙酮</w:t>
            </w:r>
          </w:p>
        </w:tc>
      </w:tr>
      <w:tr w14:paraId="33A24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Align w:val="top"/>
          </w:tcPr>
          <w:p w14:paraId="4E266ABE">
            <w:pPr>
              <w:spacing w:before="82"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56" w:type="dxa"/>
            <w:vAlign w:val="top"/>
          </w:tcPr>
          <w:p w14:paraId="7AAB4727">
            <w:pPr>
              <w:spacing w:before="82"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11E-01</w:t>
            </w:r>
          </w:p>
        </w:tc>
        <w:tc>
          <w:tcPr>
            <w:tcW w:w="1166" w:type="dxa"/>
            <w:vAlign w:val="top"/>
          </w:tcPr>
          <w:p w14:paraId="700831CC">
            <w:pPr>
              <w:spacing w:before="82"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7.66E+00</w:t>
            </w:r>
          </w:p>
        </w:tc>
        <w:tc>
          <w:tcPr>
            <w:tcW w:w="1165" w:type="dxa"/>
            <w:vAlign w:val="top"/>
          </w:tcPr>
          <w:p w14:paraId="0FFA37BC">
            <w:pPr>
              <w:spacing w:before="82"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2.70E+00</w:t>
            </w:r>
          </w:p>
        </w:tc>
        <w:tc>
          <w:tcPr>
            <w:tcW w:w="1112" w:type="dxa"/>
            <w:vAlign w:val="top"/>
          </w:tcPr>
          <w:p w14:paraId="25A3A0E6">
            <w:pPr>
              <w:spacing w:before="82"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1.50E-01</w:t>
            </w:r>
          </w:p>
        </w:tc>
        <w:tc>
          <w:tcPr>
            <w:tcW w:w="1166" w:type="dxa"/>
            <w:vAlign w:val="top"/>
          </w:tcPr>
          <w:p w14:paraId="20526C09">
            <w:pPr>
              <w:spacing w:before="82"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2.67E+01</w:t>
            </w:r>
          </w:p>
        </w:tc>
        <w:tc>
          <w:tcPr>
            <w:tcW w:w="1367" w:type="dxa"/>
            <w:vAlign w:val="top"/>
          </w:tcPr>
          <w:p w14:paraId="7C13C693">
            <w:pPr>
              <w:spacing w:before="8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11E-01</w:t>
            </w:r>
          </w:p>
        </w:tc>
      </w:tr>
      <w:tr w14:paraId="71ECD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Align w:val="top"/>
          </w:tcPr>
          <w:p w14:paraId="0791969A">
            <w:pPr>
              <w:spacing w:before="8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56" w:type="dxa"/>
            <w:vAlign w:val="top"/>
          </w:tcPr>
          <w:p w14:paraId="3E9C850C">
            <w:pPr>
              <w:spacing w:before="85"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2.22E-01</w:t>
            </w:r>
          </w:p>
        </w:tc>
        <w:tc>
          <w:tcPr>
            <w:tcW w:w="1166" w:type="dxa"/>
            <w:vAlign w:val="top"/>
          </w:tcPr>
          <w:p w14:paraId="325CFD68">
            <w:pPr>
              <w:spacing w:before="85"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19E+01</w:t>
            </w:r>
          </w:p>
        </w:tc>
        <w:tc>
          <w:tcPr>
            <w:tcW w:w="1165" w:type="dxa"/>
            <w:vAlign w:val="top"/>
          </w:tcPr>
          <w:p w14:paraId="628951E5">
            <w:pPr>
              <w:spacing w:before="85"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4.20E+00</w:t>
            </w:r>
          </w:p>
        </w:tc>
        <w:tc>
          <w:tcPr>
            <w:tcW w:w="1112" w:type="dxa"/>
            <w:vAlign w:val="top"/>
          </w:tcPr>
          <w:p w14:paraId="600DCBC1">
            <w:pPr>
              <w:spacing w:before="85"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2.33E-01</w:t>
            </w:r>
          </w:p>
        </w:tc>
        <w:tc>
          <w:tcPr>
            <w:tcW w:w="1166" w:type="dxa"/>
            <w:vAlign w:val="top"/>
          </w:tcPr>
          <w:p w14:paraId="6C25A890">
            <w:pPr>
              <w:spacing w:before="85"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4.65E+01</w:t>
            </w:r>
          </w:p>
        </w:tc>
        <w:tc>
          <w:tcPr>
            <w:tcW w:w="1367" w:type="dxa"/>
            <w:vAlign w:val="top"/>
          </w:tcPr>
          <w:p w14:paraId="0EBF0A45">
            <w:pPr>
              <w:spacing w:before="8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2.22E-01</w:t>
            </w:r>
          </w:p>
        </w:tc>
      </w:tr>
      <w:tr w14:paraId="0AC64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Align w:val="top"/>
          </w:tcPr>
          <w:p w14:paraId="4ED3C348">
            <w:pPr>
              <w:spacing w:before="85"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56" w:type="dxa"/>
            <w:vAlign w:val="top"/>
          </w:tcPr>
          <w:p w14:paraId="20DCEDC8">
            <w:pPr>
              <w:spacing w:before="85"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3.33E-01</w:t>
            </w:r>
          </w:p>
        </w:tc>
        <w:tc>
          <w:tcPr>
            <w:tcW w:w="1166" w:type="dxa"/>
            <w:vAlign w:val="top"/>
          </w:tcPr>
          <w:p w14:paraId="0915E443">
            <w:pPr>
              <w:spacing w:before="8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8.92E+00</w:t>
            </w:r>
          </w:p>
        </w:tc>
        <w:tc>
          <w:tcPr>
            <w:tcW w:w="1165" w:type="dxa"/>
            <w:vAlign w:val="top"/>
          </w:tcPr>
          <w:p w14:paraId="3F1B29AD">
            <w:pPr>
              <w:spacing w:before="8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15E+00</w:t>
            </w:r>
          </w:p>
        </w:tc>
        <w:tc>
          <w:tcPr>
            <w:tcW w:w="1112" w:type="dxa"/>
            <w:vAlign w:val="top"/>
          </w:tcPr>
          <w:p w14:paraId="37C2665A">
            <w:pPr>
              <w:spacing w:before="8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1.75E-01</w:t>
            </w:r>
          </w:p>
        </w:tc>
        <w:tc>
          <w:tcPr>
            <w:tcW w:w="1166" w:type="dxa"/>
            <w:vAlign w:val="top"/>
          </w:tcPr>
          <w:p w14:paraId="4939D1D1">
            <w:pPr>
              <w:spacing w:before="85"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3.65E+01</w:t>
            </w:r>
          </w:p>
        </w:tc>
        <w:tc>
          <w:tcPr>
            <w:tcW w:w="1367" w:type="dxa"/>
            <w:vAlign w:val="top"/>
          </w:tcPr>
          <w:p w14:paraId="0C8582C5">
            <w:pPr>
              <w:spacing w:before="85"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3.33E-01</w:t>
            </w:r>
          </w:p>
        </w:tc>
      </w:tr>
      <w:tr w14:paraId="45D66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32" w:type="dxa"/>
            <w:vAlign w:val="top"/>
          </w:tcPr>
          <w:p w14:paraId="5D832DCC">
            <w:pPr>
              <w:spacing w:before="86"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156" w:type="dxa"/>
            <w:vAlign w:val="top"/>
          </w:tcPr>
          <w:p w14:paraId="3E553237">
            <w:pPr>
              <w:spacing w:before="86"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4.44E-01</w:t>
            </w:r>
          </w:p>
        </w:tc>
        <w:tc>
          <w:tcPr>
            <w:tcW w:w="1166" w:type="dxa"/>
            <w:vAlign w:val="top"/>
          </w:tcPr>
          <w:p w14:paraId="2488C524">
            <w:pPr>
              <w:spacing w:before="86"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6.48E+00</w:t>
            </w:r>
          </w:p>
        </w:tc>
        <w:tc>
          <w:tcPr>
            <w:tcW w:w="1165" w:type="dxa"/>
            <w:vAlign w:val="top"/>
          </w:tcPr>
          <w:p w14:paraId="2F3D37E1">
            <w:pPr>
              <w:spacing w:before="86"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2.29E+00</w:t>
            </w:r>
          </w:p>
        </w:tc>
        <w:tc>
          <w:tcPr>
            <w:tcW w:w="1112" w:type="dxa"/>
            <w:vAlign w:val="top"/>
          </w:tcPr>
          <w:p w14:paraId="7D57A0AA">
            <w:pPr>
              <w:spacing w:before="86"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1.27E-01</w:t>
            </w:r>
          </w:p>
        </w:tc>
        <w:tc>
          <w:tcPr>
            <w:tcW w:w="1166" w:type="dxa"/>
            <w:vAlign w:val="top"/>
          </w:tcPr>
          <w:p w14:paraId="468A6809">
            <w:pPr>
              <w:spacing w:before="86"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2.71E+01</w:t>
            </w:r>
          </w:p>
        </w:tc>
        <w:tc>
          <w:tcPr>
            <w:tcW w:w="1367" w:type="dxa"/>
            <w:vAlign w:val="top"/>
          </w:tcPr>
          <w:p w14:paraId="49C8184B">
            <w:pPr>
              <w:spacing w:before="8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4.44E-01</w:t>
            </w:r>
          </w:p>
        </w:tc>
      </w:tr>
    </w:tbl>
    <w:p w14:paraId="2DEA6D56">
      <w:pPr>
        <w:rPr>
          <w:rFonts w:ascii="Arial"/>
          <w:sz w:val="21"/>
        </w:rPr>
      </w:pPr>
    </w:p>
    <w:p w14:paraId="0408B350">
      <w:pPr>
        <w:rPr>
          <w:rFonts w:ascii="Arial" w:hAnsi="Arial" w:eastAsia="Arial" w:cs="Arial"/>
          <w:sz w:val="21"/>
          <w:szCs w:val="21"/>
        </w:rPr>
        <w:sectPr>
          <w:footerReference r:id="rId145" w:type="default"/>
          <w:pgSz w:w="11906" w:h="16839"/>
          <w:pgMar w:top="400" w:right="1418" w:bottom="1127" w:left="1418" w:header="0" w:footer="965" w:gutter="0"/>
          <w:cols w:space="720" w:num="1"/>
        </w:sectPr>
      </w:pPr>
    </w:p>
    <w:p w14:paraId="5051F2D4">
      <w:pPr>
        <w:spacing w:before="19"/>
      </w:pPr>
    </w:p>
    <w:p w14:paraId="468B67F6">
      <w:pPr>
        <w:spacing w:before="19"/>
      </w:pPr>
    </w:p>
    <w:p w14:paraId="19F4B1B0">
      <w:pPr>
        <w:spacing w:before="19"/>
      </w:pPr>
    </w:p>
    <w:p w14:paraId="5DAB6B0D">
      <w:pPr>
        <w:spacing w:before="18"/>
      </w:pPr>
    </w:p>
    <w:p w14:paraId="20187491">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56"/>
        <w:gridCol w:w="1166"/>
        <w:gridCol w:w="1165"/>
        <w:gridCol w:w="1112"/>
        <w:gridCol w:w="1166"/>
        <w:gridCol w:w="1367"/>
      </w:tblGrid>
      <w:tr w14:paraId="07FC5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32" w:type="dxa"/>
            <w:vMerge w:val="restart"/>
            <w:tcBorders>
              <w:bottom w:val="nil"/>
            </w:tcBorders>
            <w:vAlign w:val="top"/>
          </w:tcPr>
          <w:p w14:paraId="1894C82E">
            <w:pPr>
              <w:pStyle w:val="6"/>
              <w:spacing w:before="83" w:line="228" w:lineRule="auto"/>
              <w:ind w:left="259"/>
              <w:rPr>
                <w:sz w:val="20"/>
                <w:szCs w:val="20"/>
              </w:rPr>
            </w:pPr>
            <w:r>
              <w:rPr>
                <w:b/>
                <w:bCs/>
                <w:spacing w:val="4"/>
                <w:sz w:val="20"/>
                <w:szCs w:val="20"/>
              </w:rPr>
              <w:t>距离</w:t>
            </w:r>
          </w:p>
          <w:p w14:paraId="153963FC">
            <w:pPr>
              <w:spacing w:before="44" w:line="197" w:lineRule="auto"/>
              <w:ind w:left="31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(m)</w:t>
            </w:r>
          </w:p>
        </w:tc>
        <w:tc>
          <w:tcPr>
            <w:tcW w:w="2156" w:type="dxa"/>
            <w:vMerge w:val="restart"/>
            <w:tcBorders>
              <w:bottom w:val="nil"/>
            </w:tcBorders>
            <w:vAlign w:val="top"/>
          </w:tcPr>
          <w:p w14:paraId="53291100">
            <w:pPr>
              <w:pStyle w:val="6"/>
              <w:spacing w:before="203" w:line="228" w:lineRule="auto"/>
              <w:ind w:left="112"/>
              <w:rPr>
                <w:sz w:val="20"/>
                <w:szCs w:val="20"/>
              </w:rPr>
            </w:pPr>
            <w:r>
              <w:rPr>
                <w:b/>
                <w:bCs/>
                <w:spacing w:val="8"/>
                <w:sz w:val="20"/>
                <w:szCs w:val="20"/>
              </w:rPr>
              <w:t>浓度出现时间（</w:t>
            </w:r>
            <w:r>
              <w:rPr>
                <w:rFonts w:ascii="Times New Roman" w:hAnsi="Times New Roman" w:eastAsia="Times New Roman" w:cs="Times New Roman"/>
                <w:b/>
                <w:bCs/>
                <w:sz w:val="20"/>
                <w:szCs w:val="20"/>
              </w:rPr>
              <w:t>min</w:t>
            </w:r>
            <w:r>
              <w:rPr>
                <w:b/>
                <w:bCs/>
                <w:spacing w:val="8"/>
                <w:sz w:val="20"/>
                <w:szCs w:val="20"/>
              </w:rPr>
              <w:t>）</w:t>
            </w:r>
          </w:p>
        </w:tc>
        <w:tc>
          <w:tcPr>
            <w:tcW w:w="5976" w:type="dxa"/>
            <w:gridSpan w:val="5"/>
            <w:vAlign w:val="top"/>
          </w:tcPr>
          <w:p w14:paraId="7CE446AF">
            <w:pPr>
              <w:pStyle w:val="6"/>
              <w:spacing w:before="49" w:line="221" w:lineRule="auto"/>
              <w:ind w:left="2162"/>
              <w:rPr>
                <w:rFonts w:ascii="Times New Roman" w:hAnsi="Times New Roman" w:eastAsia="Times New Roman" w:cs="Times New Roman"/>
                <w:sz w:val="20"/>
                <w:szCs w:val="20"/>
              </w:rPr>
            </w:pPr>
            <w:r>
              <w:rPr>
                <w:b/>
                <w:bCs/>
                <w:spacing w:val="6"/>
                <w:sz w:val="20"/>
                <w:szCs w:val="20"/>
              </w:rPr>
              <w:t>高峰浓度</w:t>
            </w:r>
            <w:r>
              <w:rPr>
                <w:spacing w:val="6"/>
                <w:sz w:val="20"/>
                <w:szCs w:val="20"/>
              </w:rPr>
              <w:t xml:space="preserve"> </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sz w:val="20"/>
                <w:szCs w:val="20"/>
              </w:rPr>
              <w:t>)</w:t>
            </w:r>
          </w:p>
        </w:tc>
      </w:tr>
      <w:tr w14:paraId="16615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Merge w:val="continue"/>
            <w:tcBorders>
              <w:top w:val="nil"/>
            </w:tcBorders>
            <w:vAlign w:val="top"/>
          </w:tcPr>
          <w:p w14:paraId="4C25EFF4">
            <w:pPr>
              <w:rPr>
                <w:rFonts w:ascii="Arial"/>
                <w:sz w:val="21"/>
              </w:rPr>
            </w:pPr>
          </w:p>
        </w:tc>
        <w:tc>
          <w:tcPr>
            <w:tcW w:w="2156" w:type="dxa"/>
            <w:vMerge w:val="continue"/>
            <w:tcBorders>
              <w:top w:val="nil"/>
            </w:tcBorders>
            <w:vAlign w:val="top"/>
          </w:tcPr>
          <w:p w14:paraId="7210AEBA">
            <w:pPr>
              <w:rPr>
                <w:rFonts w:ascii="Arial"/>
                <w:sz w:val="21"/>
              </w:rPr>
            </w:pPr>
          </w:p>
        </w:tc>
        <w:tc>
          <w:tcPr>
            <w:tcW w:w="1166" w:type="dxa"/>
            <w:vAlign w:val="top"/>
          </w:tcPr>
          <w:p w14:paraId="29EAAF46">
            <w:pPr>
              <w:pStyle w:val="6"/>
              <w:spacing w:before="45" w:line="229" w:lineRule="auto"/>
              <w:ind w:left="377"/>
              <w:rPr>
                <w:sz w:val="20"/>
                <w:szCs w:val="20"/>
              </w:rPr>
            </w:pPr>
            <w:r>
              <w:rPr>
                <w:b/>
                <w:bCs/>
                <w:spacing w:val="3"/>
                <w:sz w:val="20"/>
                <w:szCs w:val="20"/>
              </w:rPr>
              <w:t>盐酸</w:t>
            </w:r>
          </w:p>
        </w:tc>
        <w:tc>
          <w:tcPr>
            <w:tcW w:w="1165" w:type="dxa"/>
            <w:vAlign w:val="top"/>
          </w:tcPr>
          <w:p w14:paraId="21D2ED3F">
            <w:pPr>
              <w:pStyle w:val="6"/>
              <w:spacing w:before="45" w:line="228" w:lineRule="auto"/>
              <w:ind w:left="274"/>
              <w:rPr>
                <w:sz w:val="20"/>
                <w:szCs w:val="20"/>
              </w:rPr>
            </w:pPr>
            <w:r>
              <w:rPr>
                <w:b/>
                <w:bCs/>
                <w:spacing w:val="5"/>
                <w:sz w:val="20"/>
                <w:szCs w:val="20"/>
              </w:rPr>
              <w:t>氟化氢</w:t>
            </w:r>
          </w:p>
        </w:tc>
        <w:tc>
          <w:tcPr>
            <w:tcW w:w="1112" w:type="dxa"/>
            <w:vAlign w:val="top"/>
          </w:tcPr>
          <w:p w14:paraId="0192EDE0">
            <w:pPr>
              <w:pStyle w:val="6"/>
              <w:spacing w:before="45" w:line="229" w:lineRule="auto"/>
              <w:ind w:left="350"/>
              <w:rPr>
                <w:sz w:val="20"/>
                <w:szCs w:val="20"/>
              </w:rPr>
            </w:pPr>
            <w:r>
              <w:rPr>
                <w:b/>
                <w:bCs/>
                <w:spacing w:val="4"/>
                <w:sz w:val="20"/>
                <w:szCs w:val="20"/>
              </w:rPr>
              <w:t>硫酸</w:t>
            </w:r>
          </w:p>
        </w:tc>
        <w:tc>
          <w:tcPr>
            <w:tcW w:w="1166" w:type="dxa"/>
            <w:vAlign w:val="top"/>
          </w:tcPr>
          <w:p w14:paraId="3CA8F463">
            <w:pPr>
              <w:pStyle w:val="6"/>
              <w:spacing w:before="45" w:line="229" w:lineRule="auto"/>
              <w:ind w:left="381"/>
              <w:rPr>
                <w:sz w:val="20"/>
                <w:szCs w:val="20"/>
              </w:rPr>
            </w:pPr>
            <w:r>
              <w:rPr>
                <w:b/>
                <w:bCs/>
                <w:spacing w:val="3"/>
                <w:sz w:val="20"/>
                <w:szCs w:val="20"/>
              </w:rPr>
              <w:t>硝酸</w:t>
            </w:r>
          </w:p>
        </w:tc>
        <w:tc>
          <w:tcPr>
            <w:tcW w:w="1367" w:type="dxa"/>
            <w:vAlign w:val="top"/>
          </w:tcPr>
          <w:p w14:paraId="2491C93A">
            <w:pPr>
              <w:pStyle w:val="6"/>
              <w:spacing w:before="45" w:line="228" w:lineRule="auto"/>
              <w:ind w:left="482"/>
              <w:rPr>
                <w:sz w:val="20"/>
                <w:szCs w:val="20"/>
              </w:rPr>
            </w:pPr>
            <w:r>
              <w:rPr>
                <w:b/>
                <w:bCs/>
                <w:spacing w:val="1"/>
                <w:sz w:val="20"/>
                <w:szCs w:val="20"/>
              </w:rPr>
              <w:t>丙酮</w:t>
            </w:r>
          </w:p>
        </w:tc>
      </w:tr>
      <w:tr w14:paraId="72A08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294242DE">
            <w:pPr>
              <w:spacing w:before="84"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156" w:type="dxa"/>
            <w:vAlign w:val="top"/>
          </w:tcPr>
          <w:p w14:paraId="23864459">
            <w:pPr>
              <w:spacing w:before="84"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5.56E-01</w:t>
            </w:r>
          </w:p>
        </w:tc>
        <w:tc>
          <w:tcPr>
            <w:tcW w:w="1166" w:type="dxa"/>
            <w:vAlign w:val="top"/>
          </w:tcPr>
          <w:p w14:paraId="1143A824">
            <w:pPr>
              <w:spacing w:before="84"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4.85E+00</w:t>
            </w:r>
          </w:p>
        </w:tc>
        <w:tc>
          <w:tcPr>
            <w:tcW w:w="1165" w:type="dxa"/>
            <w:vAlign w:val="top"/>
          </w:tcPr>
          <w:p w14:paraId="26CBA7E8">
            <w:pPr>
              <w:spacing w:before="84"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1.71E+00</w:t>
            </w:r>
          </w:p>
        </w:tc>
        <w:tc>
          <w:tcPr>
            <w:tcW w:w="1112" w:type="dxa"/>
            <w:vAlign w:val="top"/>
          </w:tcPr>
          <w:p w14:paraId="3021CBB5">
            <w:pPr>
              <w:spacing w:before="84"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9.51E-02</w:t>
            </w:r>
          </w:p>
        </w:tc>
        <w:tc>
          <w:tcPr>
            <w:tcW w:w="1166" w:type="dxa"/>
            <w:vAlign w:val="top"/>
          </w:tcPr>
          <w:p w14:paraId="43AE5C04">
            <w:pPr>
              <w:spacing w:before="84"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2.06E+01</w:t>
            </w:r>
          </w:p>
        </w:tc>
        <w:tc>
          <w:tcPr>
            <w:tcW w:w="1367" w:type="dxa"/>
            <w:vAlign w:val="top"/>
          </w:tcPr>
          <w:p w14:paraId="40C37797">
            <w:pPr>
              <w:spacing w:before="84"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5.56E-01</w:t>
            </w:r>
          </w:p>
        </w:tc>
      </w:tr>
      <w:tr w14:paraId="60D80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Align w:val="top"/>
          </w:tcPr>
          <w:p w14:paraId="4977B5B9">
            <w:pPr>
              <w:spacing w:before="8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156" w:type="dxa"/>
            <w:vAlign w:val="top"/>
          </w:tcPr>
          <w:p w14:paraId="733150EB">
            <w:pPr>
              <w:spacing w:before="83"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6.67E-01</w:t>
            </w:r>
          </w:p>
        </w:tc>
        <w:tc>
          <w:tcPr>
            <w:tcW w:w="1166" w:type="dxa"/>
            <w:vAlign w:val="top"/>
          </w:tcPr>
          <w:p w14:paraId="01A589CE">
            <w:pPr>
              <w:spacing w:before="83"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3.76E+00</w:t>
            </w:r>
          </w:p>
        </w:tc>
        <w:tc>
          <w:tcPr>
            <w:tcW w:w="1165" w:type="dxa"/>
            <w:vAlign w:val="top"/>
          </w:tcPr>
          <w:p w14:paraId="4E56925B">
            <w:pPr>
              <w:spacing w:before="8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1.33E+00</w:t>
            </w:r>
          </w:p>
        </w:tc>
        <w:tc>
          <w:tcPr>
            <w:tcW w:w="1112" w:type="dxa"/>
            <w:vAlign w:val="top"/>
          </w:tcPr>
          <w:p w14:paraId="465AF765">
            <w:pPr>
              <w:spacing w:before="83"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7.37E-02</w:t>
            </w:r>
          </w:p>
        </w:tc>
        <w:tc>
          <w:tcPr>
            <w:tcW w:w="1166" w:type="dxa"/>
            <w:vAlign w:val="top"/>
          </w:tcPr>
          <w:p w14:paraId="5AF8E4C2">
            <w:pPr>
              <w:spacing w:before="8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1.61E+01</w:t>
            </w:r>
          </w:p>
        </w:tc>
        <w:tc>
          <w:tcPr>
            <w:tcW w:w="1367" w:type="dxa"/>
            <w:vAlign w:val="top"/>
          </w:tcPr>
          <w:p w14:paraId="6FAE94EB">
            <w:pPr>
              <w:spacing w:before="83"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6.67E-01</w:t>
            </w:r>
          </w:p>
        </w:tc>
      </w:tr>
      <w:tr w14:paraId="28BD8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Align w:val="top"/>
          </w:tcPr>
          <w:p w14:paraId="622C2A5E">
            <w:pPr>
              <w:spacing w:before="8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156" w:type="dxa"/>
            <w:vAlign w:val="top"/>
          </w:tcPr>
          <w:p w14:paraId="29E2CFBC">
            <w:pPr>
              <w:spacing w:before="84"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7.78E-01</w:t>
            </w:r>
          </w:p>
        </w:tc>
        <w:tc>
          <w:tcPr>
            <w:tcW w:w="1166" w:type="dxa"/>
            <w:vAlign w:val="top"/>
          </w:tcPr>
          <w:p w14:paraId="0F29E63A">
            <w:pPr>
              <w:spacing w:before="8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3.00E+00</w:t>
            </w:r>
          </w:p>
        </w:tc>
        <w:tc>
          <w:tcPr>
            <w:tcW w:w="1165" w:type="dxa"/>
            <w:vAlign w:val="top"/>
          </w:tcPr>
          <w:p w14:paraId="6E70579D">
            <w:pPr>
              <w:spacing w:before="84"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1.06E+00</w:t>
            </w:r>
          </w:p>
        </w:tc>
        <w:tc>
          <w:tcPr>
            <w:tcW w:w="1112" w:type="dxa"/>
            <w:vAlign w:val="top"/>
          </w:tcPr>
          <w:p w14:paraId="0806F64D">
            <w:pPr>
              <w:spacing w:before="8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5.88E-02</w:t>
            </w:r>
          </w:p>
        </w:tc>
        <w:tc>
          <w:tcPr>
            <w:tcW w:w="1166" w:type="dxa"/>
            <w:vAlign w:val="top"/>
          </w:tcPr>
          <w:p w14:paraId="4AC16788">
            <w:pPr>
              <w:spacing w:before="84"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1.30E+01</w:t>
            </w:r>
          </w:p>
        </w:tc>
        <w:tc>
          <w:tcPr>
            <w:tcW w:w="1367" w:type="dxa"/>
            <w:vAlign w:val="top"/>
          </w:tcPr>
          <w:p w14:paraId="6428FFAB">
            <w:pPr>
              <w:spacing w:before="84"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7.78E-01</w:t>
            </w:r>
          </w:p>
        </w:tc>
      </w:tr>
      <w:tr w14:paraId="66F1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36E57870">
            <w:pPr>
              <w:spacing w:before="85"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156" w:type="dxa"/>
            <w:vAlign w:val="top"/>
          </w:tcPr>
          <w:p w14:paraId="3C060479">
            <w:pPr>
              <w:spacing w:before="85"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8.89E-01</w:t>
            </w:r>
          </w:p>
        </w:tc>
        <w:tc>
          <w:tcPr>
            <w:tcW w:w="1166" w:type="dxa"/>
            <w:vAlign w:val="top"/>
          </w:tcPr>
          <w:p w14:paraId="7BE0E246">
            <w:pPr>
              <w:spacing w:before="85"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2.46E+00</w:t>
            </w:r>
          </w:p>
        </w:tc>
        <w:tc>
          <w:tcPr>
            <w:tcW w:w="1165" w:type="dxa"/>
            <w:vAlign w:val="top"/>
          </w:tcPr>
          <w:p w14:paraId="571B7117">
            <w:pPr>
              <w:spacing w:before="85"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8.67E-01</w:t>
            </w:r>
          </w:p>
        </w:tc>
        <w:tc>
          <w:tcPr>
            <w:tcW w:w="1112" w:type="dxa"/>
            <w:vAlign w:val="top"/>
          </w:tcPr>
          <w:p w14:paraId="7FDB1330">
            <w:pPr>
              <w:spacing w:before="8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4.81E-02</w:t>
            </w:r>
          </w:p>
        </w:tc>
        <w:tc>
          <w:tcPr>
            <w:tcW w:w="1166" w:type="dxa"/>
            <w:vAlign w:val="top"/>
          </w:tcPr>
          <w:p w14:paraId="7B044B60">
            <w:pPr>
              <w:spacing w:before="85"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1.07E+01</w:t>
            </w:r>
          </w:p>
        </w:tc>
        <w:tc>
          <w:tcPr>
            <w:tcW w:w="1367" w:type="dxa"/>
            <w:vAlign w:val="top"/>
          </w:tcPr>
          <w:p w14:paraId="2F440169">
            <w:pPr>
              <w:spacing w:before="85"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8.89E-01</w:t>
            </w:r>
          </w:p>
        </w:tc>
      </w:tr>
      <w:tr w14:paraId="0E3FE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2E9D9010">
            <w:pPr>
              <w:spacing w:before="8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156" w:type="dxa"/>
            <w:vAlign w:val="top"/>
          </w:tcPr>
          <w:p w14:paraId="1127B41F">
            <w:pPr>
              <w:spacing w:before="84"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1.00E+00</w:t>
            </w:r>
          </w:p>
        </w:tc>
        <w:tc>
          <w:tcPr>
            <w:tcW w:w="1166" w:type="dxa"/>
            <w:vAlign w:val="top"/>
          </w:tcPr>
          <w:p w14:paraId="4ECB4DC9">
            <w:pPr>
              <w:spacing w:before="84"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2.05E+00</w:t>
            </w:r>
          </w:p>
        </w:tc>
        <w:tc>
          <w:tcPr>
            <w:tcW w:w="1165" w:type="dxa"/>
            <w:vAlign w:val="top"/>
          </w:tcPr>
          <w:p w14:paraId="1AF7EA85">
            <w:pPr>
              <w:spacing w:before="84"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7.23E-01</w:t>
            </w:r>
          </w:p>
        </w:tc>
        <w:tc>
          <w:tcPr>
            <w:tcW w:w="1112" w:type="dxa"/>
            <w:vAlign w:val="top"/>
          </w:tcPr>
          <w:p w14:paraId="1FB3EF5D">
            <w:pPr>
              <w:spacing w:before="84"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4.02E-02</w:t>
            </w:r>
          </w:p>
        </w:tc>
        <w:tc>
          <w:tcPr>
            <w:tcW w:w="1166" w:type="dxa"/>
            <w:vAlign w:val="top"/>
          </w:tcPr>
          <w:p w14:paraId="3C2DD111">
            <w:pPr>
              <w:spacing w:before="8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8.95E+00</w:t>
            </w:r>
          </w:p>
        </w:tc>
        <w:tc>
          <w:tcPr>
            <w:tcW w:w="1367" w:type="dxa"/>
            <w:vAlign w:val="top"/>
          </w:tcPr>
          <w:p w14:paraId="205F40CC">
            <w:pPr>
              <w:spacing w:before="84"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1.00E+00</w:t>
            </w:r>
          </w:p>
        </w:tc>
      </w:tr>
      <w:tr w14:paraId="1265C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49053764">
            <w:pPr>
              <w:spacing w:before="84"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156" w:type="dxa"/>
            <w:vAlign w:val="top"/>
          </w:tcPr>
          <w:p w14:paraId="448727D1">
            <w:pPr>
              <w:spacing w:before="84" w:line="195"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11E+00</w:t>
            </w:r>
          </w:p>
        </w:tc>
        <w:tc>
          <w:tcPr>
            <w:tcW w:w="1166" w:type="dxa"/>
            <w:vAlign w:val="top"/>
          </w:tcPr>
          <w:p w14:paraId="0F0A22B4">
            <w:pPr>
              <w:spacing w:before="84"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1.74E+00</w:t>
            </w:r>
          </w:p>
        </w:tc>
        <w:tc>
          <w:tcPr>
            <w:tcW w:w="1165" w:type="dxa"/>
            <w:vAlign w:val="top"/>
          </w:tcPr>
          <w:p w14:paraId="3552C76F">
            <w:pPr>
              <w:spacing w:before="84"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14E-01</w:t>
            </w:r>
          </w:p>
        </w:tc>
        <w:tc>
          <w:tcPr>
            <w:tcW w:w="1112" w:type="dxa"/>
            <w:vAlign w:val="top"/>
          </w:tcPr>
          <w:p w14:paraId="73C401C2">
            <w:pPr>
              <w:spacing w:before="84"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3.41E-02</w:t>
            </w:r>
          </w:p>
        </w:tc>
        <w:tc>
          <w:tcPr>
            <w:tcW w:w="1166" w:type="dxa"/>
            <w:vAlign w:val="top"/>
          </w:tcPr>
          <w:p w14:paraId="32624791">
            <w:pPr>
              <w:spacing w:before="8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7.62E+00</w:t>
            </w:r>
          </w:p>
        </w:tc>
        <w:tc>
          <w:tcPr>
            <w:tcW w:w="1367" w:type="dxa"/>
            <w:vAlign w:val="top"/>
          </w:tcPr>
          <w:p w14:paraId="79DF80AA">
            <w:pPr>
              <w:spacing w:before="8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11E+00</w:t>
            </w:r>
          </w:p>
        </w:tc>
      </w:tr>
      <w:tr w14:paraId="0688C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474DF818">
            <w:pPr>
              <w:spacing w:before="86"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156" w:type="dxa"/>
            <w:vAlign w:val="top"/>
          </w:tcPr>
          <w:p w14:paraId="353B7686">
            <w:pPr>
              <w:spacing w:before="86"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1.67E+00</w:t>
            </w:r>
          </w:p>
        </w:tc>
        <w:tc>
          <w:tcPr>
            <w:tcW w:w="1166" w:type="dxa"/>
            <w:vAlign w:val="top"/>
          </w:tcPr>
          <w:p w14:paraId="161FACCD">
            <w:pPr>
              <w:spacing w:before="86"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11E-01</w:t>
            </w:r>
          </w:p>
        </w:tc>
        <w:tc>
          <w:tcPr>
            <w:tcW w:w="1165" w:type="dxa"/>
            <w:vAlign w:val="top"/>
          </w:tcPr>
          <w:p w14:paraId="5537FB90">
            <w:pPr>
              <w:spacing w:before="8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3.22E-01</w:t>
            </w:r>
          </w:p>
        </w:tc>
        <w:tc>
          <w:tcPr>
            <w:tcW w:w="1112" w:type="dxa"/>
            <w:vAlign w:val="top"/>
          </w:tcPr>
          <w:p w14:paraId="1A9338BB">
            <w:pPr>
              <w:spacing w:before="86"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1.79E-02</w:t>
            </w:r>
          </w:p>
        </w:tc>
        <w:tc>
          <w:tcPr>
            <w:tcW w:w="1166" w:type="dxa"/>
            <w:vAlign w:val="top"/>
          </w:tcPr>
          <w:p w14:paraId="64B1DA71">
            <w:pPr>
              <w:spacing w:before="86"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4.04E+00</w:t>
            </w:r>
          </w:p>
        </w:tc>
        <w:tc>
          <w:tcPr>
            <w:tcW w:w="1367" w:type="dxa"/>
            <w:vAlign w:val="top"/>
          </w:tcPr>
          <w:p w14:paraId="2CA5F1D9">
            <w:pPr>
              <w:spacing w:before="86"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1.67E+00</w:t>
            </w:r>
          </w:p>
        </w:tc>
      </w:tr>
      <w:tr w14:paraId="2AEF8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397690EF">
            <w:pPr>
              <w:spacing w:before="8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156" w:type="dxa"/>
            <w:vAlign w:val="top"/>
          </w:tcPr>
          <w:p w14:paraId="5ADF179E">
            <w:pPr>
              <w:spacing w:before="85"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2.22E+00</w:t>
            </w:r>
          </w:p>
        </w:tc>
        <w:tc>
          <w:tcPr>
            <w:tcW w:w="1166" w:type="dxa"/>
            <w:vAlign w:val="top"/>
          </w:tcPr>
          <w:p w14:paraId="3F393D53">
            <w:pPr>
              <w:spacing w:before="8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5.70E-01</w:t>
            </w:r>
          </w:p>
        </w:tc>
        <w:tc>
          <w:tcPr>
            <w:tcW w:w="1165" w:type="dxa"/>
            <w:vAlign w:val="top"/>
          </w:tcPr>
          <w:p w14:paraId="2BBA6659">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2.01E-01</w:t>
            </w:r>
          </w:p>
        </w:tc>
        <w:tc>
          <w:tcPr>
            <w:tcW w:w="1112" w:type="dxa"/>
            <w:vAlign w:val="top"/>
          </w:tcPr>
          <w:p w14:paraId="5DF1B170">
            <w:pPr>
              <w:spacing w:before="8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12E-02</w:t>
            </w:r>
          </w:p>
        </w:tc>
        <w:tc>
          <w:tcPr>
            <w:tcW w:w="1166" w:type="dxa"/>
            <w:vAlign w:val="top"/>
          </w:tcPr>
          <w:p w14:paraId="42456FA9">
            <w:pPr>
              <w:spacing w:before="8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2.54E+00</w:t>
            </w:r>
          </w:p>
        </w:tc>
        <w:tc>
          <w:tcPr>
            <w:tcW w:w="1367" w:type="dxa"/>
            <w:vAlign w:val="top"/>
          </w:tcPr>
          <w:p w14:paraId="779D29F0">
            <w:pPr>
              <w:spacing w:before="8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2.22E+00</w:t>
            </w:r>
          </w:p>
        </w:tc>
      </w:tr>
      <w:tr w14:paraId="1B726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50025514">
            <w:pPr>
              <w:spacing w:before="8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2156" w:type="dxa"/>
            <w:vAlign w:val="top"/>
          </w:tcPr>
          <w:p w14:paraId="5F1A7FF2">
            <w:pPr>
              <w:spacing w:before="85"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2.78E+00</w:t>
            </w:r>
          </w:p>
        </w:tc>
        <w:tc>
          <w:tcPr>
            <w:tcW w:w="1166" w:type="dxa"/>
            <w:vAlign w:val="top"/>
          </w:tcPr>
          <w:p w14:paraId="057477A0">
            <w:pPr>
              <w:spacing w:before="85"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3.95E-01</w:t>
            </w:r>
          </w:p>
        </w:tc>
        <w:tc>
          <w:tcPr>
            <w:tcW w:w="1165" w:type="dxa"/>
            <w:vAlign w:val="top"/>
          </w:tcPr>
          <w:p w14:paraId="31F623AA">
            <w:pPr>
              <w:spacing w:before="8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1.39E-01</w:t>
            </w:r>
          </w:p>
        </w:tc>
        <w:tc>
          <w:tcPr>
            <w:tcW w:w="1112" w:type="dxa"/>
            <w:vAlign w:val="top"/>
          </w:tcPr>
          <w:p w14:paraId="3FFEAF47">
            <w:pPr>
              <w:spacing w:before="85"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7.74E-03</w:t>
            </w:r>
          </w:p>
        </w:tc>
        <w:tc>
          <w:tcPr>
            <w:tcW w:w="1166" w:type="dxa"/>
            <w:vAlign w:val="top"/>
          </w:tcPr>
          <w:p w14:paraId="5E048062">
            <w:pPr>
              <w:spacing w:before="85"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1.76E+00</w:t>
            </w:r>
          </w:p>
        </w:tc>
        <w:tc>
          <w:tcPr>
            <w:tcW w:w="1367" w:type="dxa"/>
            <w:vAlign w:val="top"/>
          </w:tcPr>
          <w:p w14:paraId="37FF5A1F">
            <w:pPr>
              <w:spacing w:before="8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2.78E+00</w:t>
            </w:r>
          </w:p>
        </w:tc>
      </w:tr>
      <w:tr w14:paraId="29A89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05C34F35">
            <w:pPr>
              <w:spacing w:before="85"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156" w:type="dxa"/>
            <w:vAlign w:val="top"/>
          </w:tcPr>
          <w:p w14:paraId="0F73932B">
            <w:pPr>
              <w:spacing w:before="85" w:line="195"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3.33E+00</w:t>
            </w:r>
          </w:p>
        </w:tc>
        <w:tc>
          <w:tcPr>
            <w:tcW w:w="1166" w:type="dxa"/>
            <w:vAlign w:val="top"/>
          </w:tcPr>
          <w:p w14:paraId="76264CCC">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2.92E-01</w:t>
            </w:r>
          </w:p>
        </w:tc>
        <w:tc>
          <w:tcPr>
            <w:tcW w:w="1165" w:type="dxa"/>
            <w:vAlign w:val="top"/>
          </w:tcPr>
          <w:p w14:paraId="10454462">
            <w:pPr>
              <w:spacing w:before="8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1.03E-01</w:t>
            </w:r>
          </w:p>
        </w:tc>
        <w:tc>
          <w:tcPr>
            <w:tcW w:w="1112" w:type="dxa"/>
            <w:vAlign w:val="top"/>
          </w:tcPr>
          <w:p w14:paraId="1C4A5731">
            <w:pPr>
              <w:spacing w:before="85"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5.73E-03</w:t>
            </w:r>
          </w:p>
        </w:tc>
        <w:tc>
          <w:tcPr>
            <w:tcW w:w="1166" w:type="dxa"/>
            <w:vAlign w:val="top"/>
          </w:tcPr>
          <w:p w14:paraId="35DAA8F8">
            <w:pPr>
              <w:spacing w:before="85"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1.31E+00</w:t>
            </w:r>
          </w:p>
        </w:tc>
        <w:tc>
          <w:tcPr>
            <w:tcW w:w="1367" w:type="dxa"/>
            <w:vAlign w:val="top"/>
          </w:tcPr>
          <w:p w14:paraId="488231C7">
            <w:pPr>
              <w:spacing w:before="85"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3.33E+00</w:t>
            </w:r>
          </w:p>
        </w:tc>
      </w:tr>
      <w:tr w14:paraId="2E4D1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01222F5B">
            <w:pPr>
              <w:spacing w:before="84"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2156" w:type="dxa"/>
            <w:vAlign w:val="top"/>
          </w:tcPr>
          <w:p w14:paraId="56FC89FC">
            <w:pPr>
              <w:spacing w:before="84" w:line="195"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3.89E+00</w:t>
            </w:r>
          </w:p>
        </w:tc>
        <w:tc>
          <w:tcPr>
            <w:tcW w:w="1166" w:type="dxa"/>
            <w:vAlign w:val="top"/>
          </w:tcPr>
          <w:p w14:paraId="33840B2E">
            <w:pPr>
              <w:spacing w:before="8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2.26E-01</w:t>
            </w:r>
          </w:p>
        </w:tc>
        <w:tc>
          <w:tcPr>
            <w:tcW w:w="1165" w:type="dxa"/>
            <w:vAlign w:val="top"/>
          </w:tcPr>
          <w:p w14:paraId="3626877A">
            <w:pPr>
              <w:spacing w:before="84"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7.98E-02</w:t>
            </w:r>
          </w:p>
        </w:tc>
        <w:tc>
          <w:tcPr>
            <w:tcW w:w="1112" w:type="dxa"/>
            <w:vAlign w:val="top"/>
          </w:tcPr>
          <w:p w14:paraId="72DCF036">
            <w:pPr>
              <w:spacing w:before="84"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4.43E-03</w:t>
            </w:r>
          </w:p>
        </w:tc>
        <w:tc>
          <w:tcPr>
            <w:tcW w:w="1166" w:type="dxa"/>
            <w:vAlign w:val="top"/>
          </w:tcPr>
          <w:p w14:paraId="4BDBAC6E">
            <w:pPr>
              <w:spacing w:before="84"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1.01E+00</w:t>
            </w:r>
          </w:p>
        </w:tc>
        <w:tc>
          <w:tcPr>
            <w:tcW w:w="1367" w:type="dxa"/>
            <w:vAlign w:val="top"/>
          </w:tcPr>
          <w:p w14:paraId="5D0A20B2">
            <w:pPr>
              <w:spacing w:before="8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3.89E+00</w:t>
            </w:r>
          </w:p>
        </w:tc>
      </w:tr>
      <w:tr w14:paraId="7D5C6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66D8B38C">
            <w:pPr>
              <w:spacing w:before="84"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156" w:type="dxa"/>
            <w:vAlign w:val="top"/>
          </w:tcPr>
          <w:p w14:paraId="791314DC">
            <w:pPr>
              <w:spacing w:before="84"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4.44E+00</w:t>
            </w:r>
          </w:p>
        </w:tc>
        <w:tc>
          <w:tcPr>
            <w:tcW w:w="1166" w:type="dxa"/>
            <w:vAlign w:val="top"/>
          </w:tcPr>
          <w:p w14:paraId="7A11E562">
            <w:pPr>
              <w:spacing w:before="8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1.81E-01</w:t>
            </w:r>
          </w:p>
        </w:tc>
        <w:tc>
          <w:tcPr>
            <w:tcW w:w="1165" w:type="dxa"/>
            <w:vAlign w:val="top"/>
          </w:tcPr>
          <w:p w14:paraId="56374B1A">
            <w:pPr>
              <w:spacing w:before="84"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6.39E-02</w:t>
            </w:r>
          </w:p>
        </w:tc>
        <w:tc>
          <w:tcPr>
            <w:tcW w:w="1112" w:type="dxa"/>
            <w:vAlign w:val="top"/>
          </w:tcPr>
          <w:p w14:paraId="2D0122DA">
            <w:pPr>
              <w:spacing w:before="84"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3.55E-03</w:t>
            </w:r>
          </w:p>
        </w:tc>
        <w:tc>
          <w:tcPr>
            <w:tcW w:w="1166" w:type="dxa"/>
            <w:vAlign w:val="top"/>
          </w:tcPr>
          <w:p w14:paraId="16301339">
            <w:pPr>
              <w:spacing w:before="84"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13E-01</w:t>
            </w:r>
          </w:p>
        </w:tc>
        <w:tc>
          <w:tcPr>
            <w:tcW w:w="1367" w:type="dxa"/>
            <w:vAlign w:val="top"/>
          </w:tcPr>
          <w:p w14:paraId="2058604B">
            <w:pPr>
              <w:spacing w:before="8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4.44E+00</w:t>
            </w:r>
          </w:p>
        </w:tc>
      </w:tr>
      <w:tr w14:paraId="174C3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6B823548">
            <w:pPr>
              <w:spacing w:before="86"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2156" w:type="dxa"/>
            <w:vAlign w:val="top"/>
          </w:tcPr>
          <w:p w14:paraId="04982390">
            <w:pPr>
              <w:spacing w:before="86"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5.00E+00</w:t>
            </w:r>
          </w:p>
        </w:tc>
        <w:tc>
          <w:tcPr>
            <w:tcW w:w="1166" w:type="dxa"/>
            <w:vAlign w:val="top"/>
          </w:tcPr>
          <w:p w14:paraId="11F78F70">
            <w:pPr>
              <w:spacing w:before="8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1.49E-01</w:t>
            </w:r>
          </w:p>
        </w:tc>
        <w:tc>
          <w:tcPr>
            <w:tcW w:w="1165" w:type="dxa"/>
            <w:vAlign w:val="top"/>
          </w:tcPr>
          <w:p w14:paraId="40E90306">
            <w:pPr>
              <w:spacing w:before="86"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5.25E-02</w:t>
            </w:r>
          </w:p>
        </w:tc>
        <w:tc>
          <w:tcPr>
            <w:tcW w:w="1112" w:type="dxa"/>
            <w:vAlign w:val="top"/>
          </w:tcPr>
          <w:p w14:paraId="1DF5956B">
            <w:pPr>
              <w:spacing w:before="86"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2.92E-03</w:t>
            </w:r>
          </w:p>
        </w:tc>
        <w:tc>
          <w:tcPr>
            <w:tcW w:w="1166" w:type="dxa"/>
            <w:vAlign w:val="top"/>
          </w:tcPr>
          <w:p w14:paraId="51C771E9">
            <w:pPr>
              <w:spacing w:before="8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6.69E-01</w:t>
            </w:r>
          </w:p>
        </w:tc>
        <w:tc>
          <w:tcPr>
            <w:tcW w:w="1367" w:type="dxa"/>
            <w:vAlign w:val="top"/>
          </w:tcPr>
          <w:p w14:paraId="58157CBE">
            <w:pPr>
              <w:spacing w:before="8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5.00E+00</w:t>
            </w:r>
          </w:p>
        </w:tc>
      </w:tr>
      <w:tr w14:paraId="4AD1E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2" w:type="dxa"/>
            <w:vAlign w:val="top"/>
          </w:tcPr>
          <w:p w14:paraId="48ECBC4F">
            <w:pPr>
              <w:spacing w:before="85"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156" w:type="dxa"/>
            <w:vAlign w:val="top"/>
          </w:tcPr>
          <w:p w14:paraId="2D985438">
            <w:pPr>
              <w:spacing w:before="85"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5.56E+00</w:t>
            </w:r>
          </w:p>
        </w:tc>
        <w:tc>
          <w:tcPr>
            <w:tcW w:w="1166" w:type="dxa"/>
            <w:vAlign w:val="top"/>
          </w:tcPr>
          <w:p w14:paraId="63239303">
            <w:pPr>
              <w:spacing w:before="8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1.25E-01</w:t>
            </w:r>
          </w:p>
        </w:tc>
        <w:tc>
          <w:tcPr>
            <w:tcW w:w="1165" w:type="dxa"/>
            <w:vAlign w:val="top"/>
          </w:tcPr>
          <w:p w14:paraId="7431BABB">
            <w:pPr>
              <w:spacing w:before="8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4.41E-02</w:t>
            </w:r>
          </w:p>
        </w:tc>
        <w:tc>
          <w:tcPr>
            <w:tcW w:w="1112" w:type="dxa"/>
            <w:vAlign w:val="top"/>
          </w:tcPr>
          <w:p w14:paraId="284C308F">
            <w:pPr>
              <w:spacing w:before="85"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2.45E-03</w:t>
            </w:r>
          </w:p>
        </w:tc>
        <w:tc>
          <w:tcPr>
            <w:tcW w:w="1166" w:type="dxa"/>
            <w:vAlign w:val="top"/>
          </w:tcPr>
          <w:p w14:paraId="24ABDFCE">
            <w:pPr>
              <w:spacing w:before="85"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5.62E-01</w:t>
            </w:r>
          </w:p>
        </w:tc>
        <w:tc>
          <w:tcPr>
            <w:tcW w:w="1367" w:type="dxa"/>
            <w:vAlign w:val="top"/>
          </w:tcPr>
          <w:p w14:paraId="2A267228">
            <w:pPr>
              <w:spacing w:before="85"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5.56E+00</w:t>
            </w:r>
          </w:p>
        </w:tc>
      </w:tr>
      <w:tr w14:paraId="7251E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3E101DBA">
            <w:pPr>
              <w:spacing w:before="86"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156" w:type="dxa"/>
            <w:vAlign w:val="top"/>
          </w:tcPr>
          <w:p w14:paraId="5CC1D06E">
            <w:pPr>
              <w:spacing w:before="86" w:line="195"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6.67E+00</w:t>
            </w:r>
          </w:p>
        </w:tc>
        <w:tc>
          <w:tcPr>
            <w:tcW w:w="1166" w:type="dxa"/>
            <w:vAlign w:val="top"/>
          </w:tcPr>
          <w:p w14:paraId="7098E305">
            <w:pPr>
              <w:spacing w:before="8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9.21E-02</w:t>
            </w:r>
          </w:p>
        </w:tc>
        <w:tc>
          <w:tcPr>
            <w:tcW w:w="1165" w:type="dxa"/>
            <w:vAlign w:val="top"/>
          </w:tcPr>
          <w:p w14:paraId="44A29A23">
            <w:pPr>
              <w:spacing w:before="8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3.25E-02</w:t>
            </w:r>
          </w:p>
        </w:tc>
        <w:tc>
          <w:tcPr>
            <w:tcW w:w="1112" w:type="dxa"/>
            <w:vAlign w:val="top"/>
          </w:tcPr>
          <w:p w14:paraId="68BDCABC">
            <w:pPr>
              <w:spacing w:before="86"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1.81E-03</w:t>
            </w:r>
          </w:p>
        </w:tc>
        <w:tc>
          <w:tcPr>
            <w:tcW w:w="1166" w:type="dxa"/>
            <w:vAlign w:val="top"/>
          </w:tcPr>
          <w:p w14:paraId="4CAD8E96">
            <w:pPr>
              <w:spacing w:before="8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15E-01</w:t>
            </w:r>
          </w:p>
        </w:tc>
        <w:tc>
          <w:tcPr>
            <w:tcW w:w="1367" w:type="dxa"/>
            <w:vAlign w:val="top"/>
          </w:tcPr>
          <w:p w14:paraId="323B3AA5">
            <w:pPr>
              <w:spacing w:before="86"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6.67E+00</w:t>
            </w:r>
          </w:p>
        </w:tc>
      </w:tr>
      <w:tr w14:paraId="581C2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1E7C9A87">
            <w:pPr>
              <w:spacing w:before="8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2156" w:type="dxa"/>
            <w:vAlign w:val="top"/>
          </w:tcPr>
          <w:p w14:paraId="6F789DFB">
            <w:pPr>
              <w:spacing w:before="86"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7.78E+00</w:t>
            </w:r>
          </w:p>
        </w:tc>
        <w:tc>
          <w:tcPr>
            <w:tcW w:w="1166" w:type="dxa"/>
            <w:vAlign w:val="top"/>
          </w:tcPr>
          <w:p w14:paraId="1574A625">
            <w:pPr>
              <w:spacing w:before="8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
                <w:sz w:val="20"/>
                <w:szCs w:val="20"/>
              </w:rPr>
              <w:t>11E-02</w:t>
            </w:r>
          </w:p>
        </w:tc>
        <w:tc>
          <w:tcPr>
            <w:tcW w:w="1165" w:type="dxa"/>
            <w:vAlign w:val="top"/>
          </w:tcPr>
          <w:p w14:paraId="344823DC">
            <w:pPr>
              <w:spacing w:before="8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2.51E-02</w:t>
            </w:r>
          </w:p>
        </w:tc>
        <w:tc>
          <w:tcPr>
            <w:tcW w:w="1112" w:type="dxa"/>
            <w:vAlign w:val="top"/>
          </w:tcPr>
          <w:p w14:paraId="72E5B2CE">
            <w:pPr>
              <w:spacing w:before="86"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1.39E-03</w:t>
            </w:r>
          </w:p>
        </w:tc>
        <w:tc>
          <w:tcPr>
            <w:tcW w:w="1166" w:type="dxa"/>
            <w:vAlign w:val="top"/>
          </w:tcPr>
          <w:p w14:paraId="152E7FAA">
            <w:pPr>
              <w:spacing w:before="8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3.21E-01</w:t>
            </w:r>
          </w:p>
        </w:tc>
        <w:tc>
          <w:tcPr>
            <w:tcW w:w="1367" w:type="dxa"/>
            <w:vAlign w:val="top"/>
          </w:tcPr>
          <w:p w14:paraId="6944D36F">
            <w:pPr>
              <w:spacing w:before="86"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7.78E+00</w:t>
            </w:r>
          </w:p>
        </w:tc>
      </w:tr>
      <w:tr w14:paraId="0B59C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33323B1F">
            <w:pPr>
              <w:spacing w:before="8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2156" w:type="dxa"/>
            <w:vAlign w:val="top"/>
          </w:tcPr>
          <w:p w14:paraId="6E730194">
            <w:pPr>
              <w:spacing w:before="85"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8.89E+00</w:t>
            </w:r>
          </w:p>
        </w:tc>
        <w:tc>
          <w:tcPr>
            <w:tcW w:w="1166" w:type="dxa"/>
            <w:vAlign w:val="top"/>
          </w:tcPr>
          <w:p w14:paraId="79811D68">
            <w:pPr>
              <w:spacing w:before="8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5.69E-02</w:t>
            </w:r>
          </w:p>
        </w:tc>
        <w:tc>
          <w:tcPr>
            <w:tcW w:w="1165" w:type="dxa"/>
            <w:vAlign w:val="top"/>
          </w:tcPr>
          <w:p w14:paraId="78D4D90D">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2.01E-02</w:t>
            </w:r>
          </w:p>
        </w:tc>
        <w:tc>
          <w:tcPr>
            <w:tcW w:w="1112" w:type="dxa"/>
            <w:vAlign w:val="top"/>
          </w:tcPr>
          <w:p w14:paraId="321F3E4A">
            <w:pPr>
              <w:spacing w:before="8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12E-03</w:t>
            </w:r>
          </w:p>
        </w:tc>
        <w:tc>
          <w:tcPr>
            <w:tcW w:w="1166" w:type="dxa"/>
            <w:vAlign w:val="top"/>
          </w:tcPr>
          <w:p w14:paraId="75EE5688">
            <w:pPr>
              <w:spacing w:before="85"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2.57E-01</w:t>
            </w:r>
          </w:p>
        </w:tc>
        <w:tc>
          <w:tcPr>
            <w:tcW w:w="1367" w:type="dxa"/>
            <w:vAlign w:val="top"/>
          </w:tcPr>
          <w:p w14:paraId="1FD043F8">
            <w:pPr>
              <w:spacing w:before="8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8.89E+00</w:t>
            </w:r>
          </w:p>
        </w:tc>
      </w:tr>
      <w:tr w14:paraId="6A124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786F3BF6">
            <w:pPr>
              <w:spacing w:before="85"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2156" w:type="dxa"/>
            <w:vAlign w:val="top"/>
          </w:tcPr>
          <w:p w14:paraId="4B3A1CC5">
            <w:pPr>
              <w:spacing w:before="85"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1.00E+01</w:t>
            </w:r>
          </w:p>
        </w:tc>
        <w:tc>
          <w:tcPr>
            <w:tcW w:w="1166" w:type="dxa"/>
            <w:vAlign w:val="top"/>
          </w:tcPr>
          <w:p w14:paraId="7B025D72">
            <w:pPr>
              <w:spacing w:before="8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4.67E-02</w:t>
            </w:r>
          </w:p>
        </w:tc>
        <w:tc>
          <w:tcPr>
            <w:tcW w:w="1165" w:type="dxa"/>
            <w:vAlign w:val="top"/>
          </w:tcPr>
          <w:p w14:paraId="7FDC7EDD">
            <w:pPr>
              <w:spacing w:before="8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1.65E-02</w:t>
            </w:r>
          </w:p>
        </w:tc>
        <w:tc>
          <w:tcPr>
            <w:tcW w:w="1112" w:type="dxa"/>
            <w:vAlign w:val="top"/>
          </w:tcPr>
          <w:p w14:paraId="675E205E">
            <w:pPr>
              <w:spacing w:before="8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16E-04</w:t>
            </w:r>
          </w:p>
        </w:tc>
        <w:tc>
          <w:tcPr>
            <w:tcW w:w="1166" w:type="dxa"/>
            <w:vAlign w:val="top"/>
          </w:tcPr>
          <w:p w14:paraId="0C0D5152">
            <w:pPr>
              <w:spacing w:before="8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11E-01</w:t>
            </w:r>
          </w:p>
        </w:tc>
        <w:tc>
          <w:tcPr>
            <w:tcW w:w="1367" w:type="dxa"/>
            <w:vAlign w:val="top"/>
          </w:tcPr>
          <w:p w14:paraId="102E679D">
            <w:pPr>
              <w:spacing w:before="85"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1.00E+01</w:t>
            </w:r>
          </w:p>
        </w:tc>
      </w:tr>
      <w:tr w14:paraId="15B63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79A2B4B9">
            <w:pPr>
              <w:spacing w:before="8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2156" w:type="dxa"/>
            <w:vAlign w:val="top"/>
          </w:tcPr>
          <w:p w14:paraId="3B91E9A6">
            <w:pPr>
              <w:spacing w:before="87" w:line="195"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11E+01</w:t>
            </w:r>
          </w:p>
        </w:tc>
        <w:tc>
          <w:tcPr>
            <w:tcW w:w="1166" w:type="dxa"/>
            <w:vAlign w:val="top"/>
          </w:tcPr>
          <w:p w14:paraId="3356DFA2">
            <w:pPr>
              <w:spacing w:before="8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3.91E-02</w:t>
            </w:r>
          </w:p>
        </w:tc>
        <w:tc>
          <w:tcPr>
            <w:tcW w:w="1165" w:type="dxa"/>
            <w:vAlign w:val="top"/>
          </w:tcPr>
          <w:p w14:paraId="66BB9751">
            <w:pPr>
              <w:spacing w:before="8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1.38E-02</w:t>
            </w:r>
          </w:p>
        </w:tc>
        <w:tc>
          <w:tcPr>
            <w:tcW w:w="1112" w:type="dxa"/>
            <w:vAlign w:val="top"/>
          </w:tcPr>
          <w:p w14:paraId="5AF38E3C">
            <w:pPr>
              <w:spacing w:before="8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7.68E-04</w:t>
            </w:r>
          </w:p>
        </w:tc>
        <w:tc>
          <w:tcPr>
            <w:tcW w:w="1166" w:type="dxa"/>
            <w:vAlign w:val="top"/>
          </w:tcPr>
          <w:p w14:paraId="54FA7108">
            <w:pPr>
              <w:spacing w:before="8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1.77E-01</w:t>
            </w:r>
          </w:p>
        </w:tc>
        <w:tc>
          <w:tcPr>
            <w:tcW w:w="1367" w:type="dxa"/>
            <w:vAlign w:val="top"/>
          </w:tcPr>
          <w:p w14:paraId="55EA46DC">
            <w:pPr>
              <w:spacing w:before="8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11E+01</w:t>
            </w:r>
          </w:p>
        </w:tc>
      </w:tr>
      <w:tr w14:paraId="4D1A7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540B63C8">
            <w:pPr>
              <w:spacing w:before="8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p>
        </w:tc>
        <w:tc>
          <w:tcPr>
            <w:tcW w:w="2156" w:type="dxa"/>
            <w:vAlign w:val="top"/>
          </w:tcPr>
          <w:p w14:paraId="6BC60A7B">
            <w:pPr>
              <w:spacing w:before="86"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1.67E+01</w:t>
            </w:r>
          </w:p>
        </w:tc>
        <w:tc>
          <w:tcPr>
            <w:tcW w:w="1166" w:type="dxa"/>
            <w:vAlign w:val="top"/>
          </w:tcPr>
          <w:p w14:paraId="23619A88">
            <w:pPr>
              <w:spacing w:before="8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2.01E-02</w:t>
            </w:r>
          </w:p>
        </w:tc>
        <w:tc>
          <w:tcPr>
            <w:tcW w:w="1165" w:type="dxa"/>
            <w:vAlign w:val="top"/>
          </w:tcPr>
          <w:p w14:paraId="34C66D1F">
            <w:pPr>
              <w:spacing w:before="86"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
                <w:sz w:val="20"/>
                <w:szCs w:val="20"/>
              </w:rPr>
              <w:t>11E-03</w:t>
            </w:r>
          </w:p>
        </w:tc>
        <w:tc>
          <w:tcPr>
            <w:tcW w:w="1112" w:type="dxa"/>
            <w:vAlign w:val="top"/>
          </w:tcPr>
          <w:p w14:paraId="3C37D20A">
            <w:pPr>
              <w:spacing w:before="86"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3.95E-04</w:t>
            </w:r>
          </w:p>
        </w:tc>
        <w:tc>
          <w:tcPr>
            <w:tcW w:w="1166" w:type="dxa"/>
            <w:vAlign w:val="top"/>
          </w:tcPr>
          <w:p w14:paraId="0080C535">
            <w:pPr>
              <w:spacing w:before="8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10E-02</w:t>
            </w:r>
          </w:p>
        </w:tc>
        <w:tc>
          <w:tcPr>
            <w:tcW w:w="1367" w:type="dxa"/>
            <w:vAlign w:val="top"/>
          </w:tcPr>
          <w:p w14:paraId="035809E8">
            <w:pPr>
              <w:spacing w:before="86"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1.67E+01</w:t>
            </w:r>
          </w:p>
        </w:tc>
      </w:tr>
      <w:tr w14:paraId="1242F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45BB096F">
            <w:pPr>
              <w:spacing w:before="8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2156" w:type="dxa"/>
            <w:vAlign w:val="top"/>
          </w:tcPr>
          <w:p w14:paraId="692B6F85">
            <w:pPr>
              <w:spacing w:before="86"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2.22E+01</w:t>
            </w:r>
          </w:p>
        </w:tc>
        <w:tc>
          <w:tcPr>
            <w:tcW w:w="1166" w:type="dxa"/>
            <w:vAlign w:val="top"/>
          </w:tcPr>
          <w:p w14:paraId="756DFC2C">
            <w:pPr>
              <w:spacing w:before="8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1.37E-02</w:t>
            </w:r>
          </w:p>
        </w:tc>
        <w:tc>
          <w:tcPr>
            <w:tcW w:w="1165" w:type="dxa"/>
            <w:vAlign w:val="top"/>
          </w:tcPr>
          <w:p w14:paraId="7B3577CA">
            <w:pPr>
              <w:spacing w:before="8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4.84E-03</w:t>
            </w:r>
          </w:p>
        </w:tc>
        <w:tc>
          <w:tcPr>
            <w:tcW w:w="1112" w:type="dxa"/>
            <w:vAlign w:val="top"/>
          </w:tcPr>
          <w:p w14:paraId="7A2AAB5C">
            <w:pPr>
              <w:spacing w:before="86"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2.69E-04</w:t>
            </w:r>
          </w:p>
        </w:tc>
        <w:tc>
          <w:tcPr>
            <w:tcW w:w="1166" w:type="dxa"/>
            <w:vAlign w:val="top"/>
          </w:tcPr>
          <w:p w14:paraId="3EA7160D">
            <w:pPr>
              <w:spacing w:before="8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6.20E-02</w:t>
            </w:r>
          </w:p>
        </w:tc>
        <w:tc>
          <w:tcPr>
            <w:tcW w:w="1367" w:type="dxa"/>
            <w:vAlign w:val="top"/>
          </w:tcPr>
          <w:p w14:paraId="0DEE7A35">
            <w:pPr>
              <w:spacing w:before="86"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2.22E+01</w:t>
            </w:r>
          </w:p>
        </w:tc>
      </w:tr>
      <w:tr w14:paraId="6F580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42C7DDA2">
            <w:pPr>
              <w:spacing w:before="8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2156" w:type="dxa"/>
            <w:vAlign w:val="top"/>
          </w:tcPr>
          <w:p w14:paraId="7738E108">
            <w:pPr>
              <w:spacing w:before="86"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2.78E+01</w:t>
            </w:r>
          </w:p>
        </w:tc>
        <w:tc>
          <w:tcPr>
            <w:tcW w:w="1166" w:type="dxa"/>
            <w:vAlign w:val="top"/>
          </w:tcPr>
          <w:p w14:paraId="223F2A2B">
            <w:pPr>
              <w:spacing w:before="8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1.02E-02</w:t>
            </w:r>
          </w:p>
        </w:tc>
        <w:tc>
          <w:tcPr>
            <w:tcW w:w="1165" w:type="dxa"/>
            <w:vAlign w:val="top"/>
          </w:tcPr>
          <w:p w14:paraId="0DD9397F">
            <w:pPr>
              <w:spacing w:before="8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3.59E-03</w:t>
            </w:r>
          </w:p>
        </w:tc>
        <w:tc>
          <w:tcPr>
            <w:tcW w:w="1112" w:type="dxa"/>
            <w:vAlign w:val="top"/>
          </w:tcPr>
          <w:p w14:paraId="2433072C">
            <w:pPr>
              <w:spacing w:before="86"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2.00E-04</w:t>
            </w:r>
          </w:p>
        </w:tc>
        <w:tc>
          <w:tcPr>
            <w:tcW w:w="1166" w:type="dxa"/>
            <w:vAlign w:val="top"/>
          </w:tcPr>
          <w:p w14:paraId="4F740349">
            <w:pPr>
              <w:spacing w:before="8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4.61E-02</w:t>
            </w:r>
          </w:p>
        </w:tc>
        <w:tc>
          <w:tcPr>
            <w:tcW w:w="1367" w:type="dxa"/>
            <w:vAlign w:val="top"/>
          </w:tcPr>
          <w:p w14:paraId="3FC75458">
            <w:pPr>
              <w:spacing w:before="86"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2.78E+01</w:t>
            </w:r>
          </w:p>
        </w:tc>
      </w:tr>
      <w:tr w14:paraId="173DF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404285EF">
            <w:pPr>
              <w:spacing w:before="85"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3000</w:t>
            </w:r>
          </w:p>
        </w:tc>
        <w:tc>
          <w:tcPr>
            <w:tcW w:w="2156" w:type="dxa"/>
            <w:vAlign w:val="top"/>
          </w:tcPr>
          <w:p w14:paraId="42713191">
            <w:pPr>
              <w:spacing w:before="85"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4.33E+01</w:t>
            </w:r>
          </w:p>
        </w:tc>
        <w:tc>
          <w:tcPr>
            <w:tcW w:w="1166" w:type="dxa"/>
            <w:vAlign w:val="top"/>
          </w:tcPr>
          <w:p w14:paraId="1B473A77">
            <w:pPr>
              <w:spacing w:before="85"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7.98E-03</w:t>
            </w:r>
          </w:p>
        </w:tc>
        <w:tc>
          <w:tcPr>
            <w:tcW w:w="1165" w:type="dxa"/>
            <w:vAlign w:val="top"/>
          </w:tcPr>
          <w:p w14:paraId="79B699C4">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2.82E-03</w:t>
            </w:r>
          </w:p>
        </w:tc>
        <w:tc>
          <w:tcPr>
            <w:tcW w:w="1112" w:type="dxa"/>
            <w:vAlign w:val="top"/>
          </w:tcPr>
          <w:p w14:paraId="5B74E49C">
            <w:pPr>
              <w:spacing w:before="8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1.56E-04</w:t>
            </w:r>
          </w:p>
        </w:tc>
        <w:tc>
          <w:tcPr>
            <w:tcW w:w="1166" w:type="dxa"/>
            <w:vAlign w:val="top"/>
          </w:tcPr>
          <w:p w14:paraId="28BC061F">
            <w:pPr>
              <w:spacing w:before="8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3.61E-02</w:t>
            </w:r>
          </w:p>
        </w:tc>
        <w:tc>
          <w:tcPr>
            <w:tcW w:w="1367" w:type="dxa"/>
            <w:vAlign w:val="top"/>
          </w:tcPr>
          <w:p w14:paraId="0C40A3F1">
            <w:pPr>
              <w:spacing w:before="85"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3.33E+01</w:t>
            </w:r>
          </w:p>
        </w:tc>
      </w:tr>
      <w:tr w14:paraId="2DFB7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32" w:type="dxa"/>
            <w:vAlign w:val="top"/>
          </w:tcPr>
          <w:p w14:paraId="3A5CDB09">
            <w:pPr>
              <w:spacing w:before="85"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4000</w:t>
            </w:r>
          </w:p>
        </w:tc>
        <w:tc>
          <w:tcPr>
            <w:tcW w:w="2156" w:type="dxa"/>
            <w:vAlign w:val="top"/>
          </w:tcPr>
          <w:p w14:paraId="73AA19C9">
            <w:pPr>
              <w:spacing w:before="85"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5.74E+01</w:t>
            </w:r>
          </w:p>
        </w:tc>
        <w:tc>
          <w:tcPr>
            <w:tcW w:w="1166" w:type="dxa"/>
            <w:vAlign w:val="top"/>
          </w:tcPr>
          <w:p w14:paraId="4F341C8B">
            <w:pPr>
              <w:spacing w:before="8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5.43E-03</w:t>
            </w:r>
          </w:p>
        </w:tc>
        <w:tc>
          <w:tcPr>
            <w:tcW w:w="1165" w:type="dxa"/>
            <w:vAlign w:val="top"/>
          </w:tcPr>
          <w:p w14:paraId="3ACC3C11">
            <w:pPr>
              <w:spacing w:before="8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1.92E-03</w:t>
            </w:r>
          </w:p>
        </w:tc>
        <w:tc>
          <w:tcPr>
            <w:tcW w:w="1112" w:type="dxa"/>
            <w:vAlign w:val="top"/>
          </w:tcPr>
          <w:p w14:paraId="532A2A85">
            <w:pPr>
              <w:spacing w:before="8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1.07E-04</w:t>
            </w:r>
          </w:p>
        </w:tc>
        <w:tc>
          <w:tcPr>
            <w:tcW w:w="1166" w:type="dxa"/>
            <w:vAlign w:val="top"/>
          </w:tcPr>
          <w:p w14:paraId="476939E0">
            <w:pPr>
              <w:spacing w:before="85"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2.46E-02</w:t>
            </w:r>
          </w:p>
        </w:tc>
        <w:tc>
          <w:tcPr>
            <w:tcW w:w="1367" w:type="dxa"/>
            <w:vAlign w:val="top"/>
          </w:tcPr>
          <w:p w14:paraId="1D4D1299">
            <w:pPr>
              <w:spacing w:before="85"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5.74E+01</w:t>
            </w:r>
          </w:p>
        </w:tc>
      </w:tr>
      <w:tr w14:paraId="3ED69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32" w:type="dxa"/>
            <w:vAlign w:val="top"/>
          </w:tcPr>
          <w:p w14:paraId="30859C27">
            <w:pPr>
              <w:spacing w:before="8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2156" w:type="dxa"/>
            <w:vAlign w:val="top"/>
          </w:tcPr>
          <w:p w14:paraId="45C8D569">
            <w:pPr>
              <w:spacing w:before="87"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7.06E+01</w:t>
            </w:r>
          </w:p>
        </w:tc>
        <w:tc>
          <w:tcPr>
            <w:tcW w:w="1166" w:type="dxa"/>
            <w:vAlign w:val="top"/>
          </w:tcPr>
          <w:p w14:paraId="370B03DD">
            <w:pPr>
              <w:spacing w:before="8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4.03E-03</w:t>
            </w:r>
          </w:p>
        </w:tc>
        <w:tc>
          <w:tcPr>
            <w:tcW w:w="1165" w:type="dxa"/>
            <w:vAlign w:val="top"/>
          </w:tcPr>
          <w:p w14:paraId="2676EF17">
            <w:pPr>
              <w:spacing w:before="8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1.42E-03</w:t>
            </w:r>
          </w:p>
        </w:tc>
        <w:tc>
          <w:tcPr>
            <w:tcW w:w="1112" w:type="dxa"/>
            <w:vAlign w:val="top"/>
          </w:tcPr>
          <w:p w14:paraId="71C21361">
            <w:pPr>
              <w:spacing w:before="8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7.91E-05</w:t>
            </w:r>
          </w:p>
        </w:tc>
        <w:tc>
          <w:tcPr>
            <w:tcW w:w="1166" w:type="dxa"/>
            <w:vAlign w:val="top"/>
          </w:tcPr>
          <w:p w14:paraId="116C479A">
            <w:pPr>
              <w:spacing w:before="8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1.83E-02</w:t>
            </w:r>
          </w:p>
        </w:tc>
        <w:tc>
          <w:tcPr>
            <w:tcW w:w="1367" w:type="dxa"/>
            <w:vAlign w:val="top"/>
          </w:tcPr>
          <w:p w14:paraId="13E28487">
            <w:pPr>
              <w:spacing w:before="8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16E+01</w:t>
            </w:r>
          </w:p>
        </w:tc>
      </w:tr>
    </w:tbl>
    <w:p w14:paraId="3998A389">
      <w:pPr>
        <w:spacing w:before="38" w:line="369" w:lineRule="auto"/>
        <w:ind w:left="136" w:right="112" w:firstLine="507"/>
        <w:rPr>
          <w:rFonts w:ascii="宋体" w:hAnsi="宋体" w:eastAsia="宋体" w:cs="宋体"/>
          <w:sz w:val="25"/>
          <w:szCs w:val="25"/>
        </w:rPr>
      </w:pPr>
      <w:r>
        <w:rPr>
          <w:rFonts w:ascii="宋体" w:hAnsi="宋体" w:eastAsia="宋体" w:cs="宋体"/>
          <w:spacing w:val="10"/>
          <w:sz w:val="25"/>
          <w:szCs w:val="25"/>
        </w:rPr>
        <w:t>根据预测结果，所有预测因子均未出现大气毒性终点</w:t>
      </w:r>
      <w:r>
        <w:rPr>
          <w:rFonts w:ascii="宋体" w:hAnsi="宋体" w:eastAsia="宋体" w:cs="宋体"/>
          <w:spacing w:val="9"/>
          <w:sz w:val="25"/>
          <w:szCs w:val="25"/>
        </w:rPr>
        <w:t>浓度</w:t>
      </w:r>
      <w:r>
        <w:rPr>
          <w:rFonts w:ascii="Times New Roman" w:hAnsi="Times New Roman" w:eastAsia="Times New Roman" w:cs="Times New Roman"/>
          <w:spacing w:val="9"/>
          <w:sz w:val="25"/>
          <w:szCs w:val="25"/>
        </w:rPr>
        <w:t>-1</w:t>
      </w:r>
      <w:r>
        <w:rPr>
          <w:rFonts w:ascii="Times New Roman" w:hAnsi="Times New Roman" w:eastAsia="Times New Roman" w:cs="Times New Roman"/>
          <w:spacing w:val="-29"/>
          <w:sz w:val="25"/>
          <w:szCs w:val="25"/>
        </w:rPr>
        <w:t xml:space="preserve"> </w:t>
      </w:r>
      <w:r>
        <w:rPr>
          <w:rFonts w:ascii="宋体" w:hAnsi="宋体" w:eastAsia="宋体" w:cs="宋体"/>
          <w:spacing w:val="9"/>
          <w:sz w:val="25"/>
          <w:szCs w:val="25"/>
        </w:rPr>
        <w:t>、大气毒性终</w:t>
      </w:r>
      <w:r>
        <w:rPr>
          <w:rFonts w:ascii="宋体" w:hAnsi="宋体" w:eastAsia="宋体" w:cs="宋体"/>
          <w:sz w:val="25"/>
          <w:szCs w:val="25"/>
        </w:rPr>
        <w:t xml:space="preserve"> </w:t>
      </w:r>
      <w:r>
        <w:rPr>
          <w:rFonts w:ascii="宋体" w:hAnsi="宋体" w:eastAsia="宋体" w:cs="宋体"/>
          <w:spacing w:val="2"/>
          <w:sz w:val="25"/>
          <w:szCs w:val="25"/>
        </w:rPr>
        <w:t>点浓度</w:t>
      </w:r>
      <w:r>
        <w:rPr>
          <w:rFonts w:ascii="Times New Roman" w:hAnsi="Times New Roman" w:eastAsia="Times New Roman" w:cs="Times New Roman"/>
          <w:spacing w:val="2"/>
          <w:sz w:val="25"/>
          <w:szCs w:val="25"/>
        </w:rPr>
        <w:t>-2</w:t>
      </w:r>
      <w:r>
        <w:rPr>
          <w:rFonts w:ascii="Times New Roman" w:hAnsi="Times New Roman" w:eastAsia="Times New Roman" w:cs="Times New Roman"/>
          <w:spacing w:val="-13"/>
          <w:sz w:val="25"/>
          <w:szCs w:val="25"/>
        </w:rPr>
        <w:t xml:space="preserve"> </w:t>
      </w:r>
      <w:r>
        <w:rPr>
          <w:rFonts w:ascii="宋体" w:hAnsi="宋体" w:eastAsia="宋体" w:cs="宋体"/>
          <w:spacing w:val="2"/>
          <w:sz w:val="25"/>
          <w:szCs w:val="25"/>
        </w:rPr>
        <w:t>，没有毒性终点浓度</w:t>
      </w:r>
      <w:r>
        <w:rPr>
          <w:rFonts w:ascii="Times New Roman" w:hAnsi="Times New Roman" w:eastAsia="Times New Roman" w:cs="Times New Roman"/>
          <w:spacing w:val="2"/>
          <w:sz w:val="25"/>
          <w:szCs w:val="25"/>
        </w:rPr>
        <w:t>-1</w:t>
      </w:r>
      <w:r>
        <w:rPr>
          <w:rFonts w:ascii="Times New Roman" w:hAnsi="Times New Roman" w:eastAsia="Times New Roman" w:cs="Times New Roman"/>
          <w:spacing w:val="-34"/>
          <w:sz w:val="25"/>
          <w:szCs w:val="25"/>
        </w:rPr>
        <w:t xml:space="preserve"> </w:t>
      </w:r>
      <w:r>
        <w:rPr>
          <w:rFonts w:ascii="宋体" w:hAnsi="宋体" w:eastAsia="宋体" w:cs="宋体"/>
          <w:spacing w:val="2"/>
          <w:sz w:val="25"/>
          <w:szCs w:val="25"/>
        </w:rPr>
        <w:t>、</w:t>
      </w:r>
      <w:r>
        <w:rPr>
          <w:rFonts w:ascii="Times New Roman" w:hAnsi="Times New Roman" w:eastAsia="Times New Roman" w:cs="Times New Roman"/>
          <w:spacing w:val="2"/>
          <w:sz w:val="25"/>
          <w:szCs w:val="25"/>
        </w:rPr>
        <w:t>-2</w:t>
      </w:r>
      <w:r>
        <w:rPr>
          <w:rFonts w:ascii="Times New Roman" w:hAnsi="Times New Roman" w:eastAsia="Times New Roman" w:cs="Times New Roman"/>
          <w:spacing w:val="36"/>
          <w:sz w:val="25"/>
          <w:szCs w:val="25"/>
        </w:rPr>
        <w:t xml:space="preserve"> </w:t>
      </w:r>
      <w:r>
        <w:rPr>
          <w:rFonts w:ascii="宋体" w:hAnsi="宋体" w:eastAsia="宋体" w:cs="宋体"/>
          <w:spacing w:val="2"/>
          <w:sz w:val="25"/>
          <w:szCs w:val="25"/>
        </w:rPr>
        <w:t>的距离。</w:t>
      </w:r>
    </w:p>
    <w:p w14:paraId="41A17A36">
      <w:pPr>
        <w:spacing w:line="3193" w:lineRule="exact"/>
        <w:ind w:firstLine="1083"/>
      </w:pPr>
      <w:r>
        <mc:AlternateContent>
          <mc:Choice Requires="wps">
            <w:drawing>
              <wp:anchor distT="0" distB="0" distL="0" distR="0" simplePos="0" relativeHeight="251681792" behindDoc="0" locked="0" layoutInCell="1" allowOverlap="1">
                <wp:simplePos x="0" y="0"/>
                <wp:positionH relativeFrom="column">
                  <wp:posOffset>253365</wp:posOffset>
                </wp:positionH>
                <wp:positionV relativeFrom="paragraph">
                  <wp:posOffset>192405</wp:posOffset>
                </wp:positionV>
                <wp:extent cx="545465" cy="135255"/>
                <wp:effectExtent l="0" t="0" r="0" b="0"/>
                <wp:wrapNone/>
                <wp:docPr id="68" name="TextBox 68"/>
                <wp:cNvGraphicFramePr/>
                <a:graphic xmlns:a="http://schemas.openxmlformats.org/drawingml/2006/main">
                  <a:graphicData uri="http://schemas.microsoft.com/office/word/2010/wordprocessingShape">
                    <wps:wsp>
                      <wps:cNvSpPr txBox="1"/>
                      <wps:spPr>
                        <a:xfrm rot="16200000">
                          <a:off x="253666" y="192446"/>
                          <a:ext cx="545465" cy="1352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6E69D13">
                            <w:pPr>
                              <w:spacing w:before="40" w:line="216" w:lineRule="auto"/>
                              <w:ind w:left="20"/>
                              <w:rPr>
                                <w:rFonts w:ascii="宋体" w:hAnsi="宋体" w:eastAsia="宋体" w:cs="宋体"/>
                                <w:sz w:val="13"/>
                                <w:szCs w:val="13"/>
                              </w:rPr>
                            </w:pPr>
                            <w:r>
                              <w:rPr>
                                <w:rFonts w:ascii="宋体" w:hAnsi="宋体" w:eastAsia="宋体" w:cs="宋体"/>
                                <w:spacing w:val="1"/>
                                <w:sz w:val="13"/>
                                <w:szCs w:val="13"/>
                              </w:rPr>
                              <w:t>浓度</w:t>
                            </w:r>
                            <w:r>
                              <w:rPr>
                                <w:rFonts w:ascii="宋体" w:hAnsi="宋体" w:eastAsia="宋体" w:cs="宋体"/>
                                <w:spacing w:val="35"/>
                                <w:sz w:val="13"/>
                                <w:szCs w:val="13"/>
                              </w:rPr>
                              <w:t xml:space="preserve"> </w:t>
                            </w:r>
                            <w:r>
                              <w:rPr>
                                <w:rFonts w:ascii="宋体" w:hAnsi="宋体" w:eastAsia="宋体" w:cs="宋体"/>
                                <w:spacing w:val="1"/>
                                <w:sz w:val="13"/>
                                <w:szCs w:val="13"/>
                              </w:rPr>
                              <w:t>(</w:t>
                            </w:r>
                            <w:r>
                              <w:rPr>
                                <w:rFonts w:ascii="宋体" w:hAnsi="宋体" w:eastAsia="宋体" w:cs="宋体"/>
                                <w:sz w:val="13"/>
                                <w:szCs w:val="13"/>
                              </w:rPr>
                              <w:t>mg</w:t>
                            </w:r>
                            <w:r>
                              <w:rPr>
                                <w:rFonts w:ascii="宋体" w:hAnsi="宋体" w:eastAsia="宋体" w:cs="宋体"/>
                                <w:spacing w:val="1"/>
                                <w:sz w:val="13"/>
                                <w:szCs w:val="13"/>
                              </w:rPr>
                              <w:t>/m3)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19.95pt;margin-top:15.15pt;height:10.65pt;width:42.95pt;rotation:-5898240f;z-index:251681792;mso-width-relative:page;mso-height-relative:page;" filled="f" stroked="f" coordsize="21600,21600" o:gfxdata="UEsDBAoAAAAAAIdO4kAAAAAAAAAAAAAAAAAEAAAAZHJzL1BLAwQUAAAACACHTuJA8AHaAtcAAAAI&#10;AQAADwAAAGRycy9kb3ducmV2LnhtbE2PwU7DMBBE70j8g7VI3KidVg00xOkBqZdySkGg3tx4SSLs&#10;dYjdpvD1bE9wWo1mNPumXJ+9EyccYx9IQzZTIJCaYHtqNby+bO4eQMRkyBoXCDV8Y4R1dX1VmsKG&#10;iWo87VIruIRiYTR0KQ2FlLHp0Js4CwMSex9h9CaxHFtpRzNxuXdyrlQuvemJP3RmwKcOm8/d0Wtw&#10;z7Xc/tA27vG93du3+mva3Oda395k6hFEwnP6C8MFn9GhYqZDOJKNwmlYrFac5KsWIC7+fMlTDhqW&#10;WQ6yKuX/AdUvUEsDBBQAAAAIAIdO4kAtNMUgTQIAAKEEAAAOAAAAZHJzL2Uyb0RvYy54bWytVE1v&#10;2zAMvQ/YfxB0X5ykibEFdYqsQYYBxVqgHXZWZLkWoK9JSuzu1+9Jtrui26GH5SDQJPVEPj7m8qrX&#10;ipyFD9Kaii5mc0qE4baW5rGi3x8OHz5SEiIzNVPWiIo+iUCvtu/fXXZuI5a2taoWngDEhE3nKtrG&#10;6DZFEXgrNAsz64RBsLFes4hP/1jUnnVA16pYzudl0VlfO2+5CAHe/RCkI6J/C6BtGsnF3vKTFiYO&#10;qF4oFtFSaKULdJurbRrB423TBBGJqig6jfnEI7CP6Sy2l2zz6JlrJR9LYG8p4VVPmkmDR5+h9iwy&#10;cvLyLygtubfBNnHGrS6GRjIj6GIxf8XNfcucyL2A6uCeSQ//D5Z/O995IuuKlpi7YRoTfxB9/Gx7&#10;Ag/o6VzYIOveIS/28EM0kz/AmbruG6+Jt2B3UWLG+GUy0B5B+nJ9UZYlJU8If1quVuXAOl4hHOH1&#10;ar0q15TwFL9YL9erFC8G1ITufIhfhNUkGRX1GGqGZ+ebEIfUKSWlG3uQSuXBKkO6PGvOoNQGCskX&#10;X2Ski3sWWnJmUEiwStZDdVpGyFxJPaoE9SiDshIdQ9vJiv2xHzk62voJFGUWoK7g+EEC/IaFeMc8&#10;RAUn1i7e4miURV12tChprf/1L3/Kx6wRpaSDSFHhzxPzghL11UAFSdGT4SfjOBnmpK8tulrkarKJ&#10;Cz6qyWy81T+wjbv0CkLMcLxV0TiZ13FYFWwzF7tdToJuHYs35t7xBD0wvjtF28g8jETLwMXIFpSb&#10;xzluWVqNl985688/y/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AHaAtcAAAAIAQAADwAAAAAA&#10;AAABACAAAAAiAAAAZHJzL2Rvd25yZXYueG1sUEsBAhQAFAAAAAgAh07iQC00xSBNAgAAoQQAAA4A&#10;AAAAAAAAAQAgAAAAJgEAAGRycy9lMm9Eb2MueG1sUEsFBgAAAAAGAAYAWQEAAOUFAAAAAA==&#10;">
                <v:fill on="f" focussize="0,0"/>
                <v:stroke on="f" weight="0pt" miterlimit="0" joinstyle="miter"/>
                <v:imagedata o:title=""/>
                <o:lock v:ext="edit" aspectratio="f"/>
                <v:textbox inset="0mm,0mm,0mm,0mm">
                  <w:txbxContent>
                    <w:p w14:paraId="06E69D13">
                      <w:pPr>
                        <w:spacing w:before="40" w:line="216" w:lineRule="auto"/>
                        <w:ind w:left="20"/>
                        <w:rPr>
                          <w:rFonts w:ascii="宋体" w:hAnsi="宋体" w:eastAsia="宋体" w:cs="宋体"/>
                          <w:sz w:val="13"/>
                          <w:szCs w:val="13"/>
                        </w:rPr>
                      </w:pPr>
                      <w:r>
                        <w:rPr>
                          <w:rFonts w:ascii="宋体" w:hAnsi="宋体" w:eastAsia="宋体" w:cs="宋体"/>
                          <w:spacing w:val="1"/>
                          <w:sz w:val="13"/>
                          <w:szCs w:val="13"/>
                        </w:rPr>
                        <w:t>浓度</w:t>
                      </w:r>
                      <w:r>
                        <w:rPr>
                          <w:rFonts w:ascii="宋体" w:hAnsi="宋体" w:eastAsia="宋体" w:cs="宋体"/>
                          <w:spacing w:val="35"/>
                          <w:sz w:val="13"/>
                          <w:szCs w:val="13"/>
                        </w:rPr>
                        <w:t xml:space="preserve"> </w:t>
                      </w:r>
                      <w:r>
                        <w:rPr>
                          <w:rFonts w:ascii="宋体" w:hAnsi="宋体" w:eastAsia="宋体" w:cs="宋体"/>
                          <w:spacing w:val="1"/>
                          <w:sz w:val="13"/>
                          <w:szCs w:val="13"/>
                        </w:rPr>
                        <w:t>(</w:t>
                      </w:r>
                      <w:r>
                        <w:rPr>
                          <w:rFonts w:ascii="宋体" w:hAnsi="宋体" w:eastAsia="宋体" w:cs="宋体"/>
                          <w:sz w:val="13"/>
                          <w:szCs w:val="13"/>
                        </w:rPr>
                        <w:t>mg</w:t>
                      </w:r>
                      <w:r>
                        <w:rPr>
                          <w:rFonts w:ascii="宋体" w:hAnsi="宋体" w:eastAsia="宋体" w:cs="宋体"/>
                          <w:spacing w:val="1"/>
                          <w:sz w:val="13"/>
                          <w:szCs w:val="13"/>
                        </w:rPr>
                        <w:t>/m3)</w:t>
                      </w:r>
                    </w:p>
                  </w:txbxContent>
                </v:textbox>
              </v:shape>
            </w:pict>
          </mc:Fallback>
        </mc:AlternateContent>
      </w:r>
      <w:r>
        <mc:AlternateContent>
          <mc:Choice Requires="wps">
            <w:drawing>
              <wp:anchor distT="0" distB="0" distL="0" distR="0" simplePos="0" relativeHeight="251680768" behindDoc="0" locked="0" layoutInCell="1" allowOverlap="1">
                <wp:simplePos x="0" y="0"/>
                <wp:positionH relativeFrom="column">
                  <wp:posOffset>-269875</wp:posOffset>
                </wp:positionH>
                <wp:positionV relativeFrom="paragraph">
                  <wp:posOffset>1019175</wp:posOffset>
                </wp:positionV>
                <wp:extent cx="1785620" cy="189230"/>
                <wp:effectExtent l="0" t="0" r="0" b="0"/>
                <wp:wrapNone/>
                <wp:docPr id="70" name="TextBox 70"/>
                <wp:cNvGraphicFramePr/>
                <a:graphic xmlns:a="http://schemas.openxmlformats.org/drawingml/2006/main">
                  <a:graphicData uri="http://schemas.microsoft.com/office/word/2010/wordprocessingShape">
                    <wps:wsp>
                      <wps:cNvSpPr txBox="1"/>
                      <wps:spPr>
                        <a:xfrm rot="16200000">
                          <a:off x="-270425" y="1019641"/>
                          <a:ext cx="1785620" cy="1892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3F273E">
                            <w:pPr>
                              <w:spacing w:before="67" w:line="242" w:lineRule="auto"/>
                              <w:ind w:left="20"/>
                              <w:rPr>
                                <w:rFonts w:ascii="宋体" w:hAnsi="宋体" w:eastAsia="宋体" w:cs="宋体"/>
                                <w:sz w:val="16"/>
                                <w:szCs w:val="16"/>
                              </w:rPr>
                            </w:pPr>
                            <w:r>
                              <w:rPr>
                                <w:rFonts w:ascii="宋体" w:hAnsi="宋体" w:eastAsia="宋体" w:cs="宋体"/>
                                <w:spacing w:val="-10"/>
                                <w:sz w:val="16"/>
                                <w:szCs w:val="16"/>
                              </w:rPr>
                              <w:t>0</w:t>
                            </w:r>
                            <w:r>
                              <w:rPr>
                                <w:rFonts w:ascii="宋体" w:hAnsi="宋体" w:eastAsia="宋体" w:cs="宋体"/>
                                <w:spacing w:val="1"/>
                                <w:sz w:val="16"/>
                                <w:szCs w:val="16"/>
                              </w:rPr>
                              <w:t xml:space="preserve">          </w:t>
                            </w:r>
                            <w:r>
                              <w:rPr>
                                <w:rFonts w:ascii="宋体" w:hAnsi="宋体" w:eastAsia="宋体" w:cs="宋体"/>
                                <w:spacing w:val="-10"/>
                                <w:sz w:val="16"/>
                                <w:szCs w:val="16"/>
                              </w:rPr>
                              <w:t>5</w:t>
                            </w:r>
                            <w:r>
                              <w:rPr>
                                <w:rFonts w:ascii="宋体" w:hAnsi="宋体" w:eastAsia="宋体" w:cs="宋体"/>
                                <w:spacing w:val="8"/>
                                <w:sz w:val="16"/>
                                <w:szCs w:val="16"/>
                              </w:rPr>
                              <w:t xml:space="preserve">         </w:t>
                            </w:r>
                            <w:r>
                              <w:rPr>
                                <w:rFonts w:ascii="宋体" w:hAnsi="宋体" w:eastAsia="宋体" w:cs="宋体"/>
                                <w:spacing w:val="-10"/>
                                <w:sz w:val="16"/>
                                <w:szCs w:val="16"/>
                              </w:rPr>
                              <w:t>10</w:t>
                            </w:r>
                            <w:r>
                              <w:rPr>
                                <w:rFonts w:ascii="宋体" w:hAnsi="宋体" w:eastAsia="宋体" w:cs="宋体"/>
                                <w:spacing w:val="4"/>
                                <w:sz w:val="16"/>
                                <w:szCs w:val="16"/>
                              </w:rPr>
                              <w:t xml:space="preserve">         </w:t>
                            </w:r>
                            <w:r>
                              <w:rPr>
                                <w:rFonts w:ascii="宋体" w:hAnsi="宋体" w:eastAsia="宋体" w:cs="宋体"/>
                                <w:spacing w:val="-10"/>
                                <w:sz w:val="16"/>
                                <w:szCs w:val="16"/>
                              </w:rPr>
                              <w:t>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21.25pt;margin-top:80.25pt;height:14.9pt;width:140.6pt;rotation:-5898240f;z-index:251680768;mso-width-relative:page;mso-height-relative:page;" filled="f" stroked="f" coordsize="21600,21600" o:gfxdata="UEsDBAoAAAAAAIdO4kAAAAAAAAAAAAAAAAAEAAAAZHJzL1BLAwQUAAAACACHTuJA6Uog0doAAAAL&#10;AQAADwAAAGRycy9kb3ducmV2LnhtbE2PMU/DMBCFdyT+g3VIbK3dFNI2xOmA1KVMaRGomxtfk4j4&#10;HGK3Kfx6jgm2u3tP776Xr6+uExccQutJw2yqQCBV3rZUa3jdbyZLECEasqbzhBq+MMC6uL3JTWb9&#10;SCVedrEWHEIhMxqaGPtMylA16EyY+h6JtZMfnIm8DrW0gxk53HUyUSqVzrTEHxrT43OD1cfu7DR0&#10;L6XcftM2HPC9Pti38nPcLFKt7+9m6glExGv8M8MvPqNDwUxHfyYbRKdh8pA8spWFVPHAjmS+XIA4&#10;8mWl5iCLXP7vUPwAUEsDBBQAAAAIAIdO4kBDjPemTwIAAKQEAAAOAAAAZHJzL2Uyb0RvYy54bWyt&#10;VE1PGzEQvVfqf7B8h00ivhKxQSkRVSVUkKDq2fHarCV/1XayS399n727gGgPHJqDNTsev5l58yaX&#10;V73R5CBCVM7WdH48o0RY7hpln2r64/Hm6IKSmJhtmHZW1PRZRHq1/vzpsvMrsXCt040IBCA2rjpf&#10;0zYlv6qqyFthWDx2XlhcShcMS/gMT1UTWAd0o6vFbHZWdS40PjguYoR3O1zSETF8BNBJqbjYOr43&#10;wqYBNQjNElqKrfKRrku1Ugqe7qSMIhFdU3SayokksHf5rNaXbPUUmG8VH0tgHynhXU+GKYukL1Bb&#10;lhjZB/UXlFE8uOhkOubOVEMjhRF0MZ+94+ahZV6UXkB19C+kx/8Hy78f7gNRTU3PQYllBhN/FH36&#10;4noCD+jpfFwh6sEjLvXwQzSTP8KZu+5lMCQ4sDs/w4zxK2SgPYLwo8X57GRxSskz7mfz5dlJAWAr&#10;5CE8451fnOIdJTxHXCwXi2XOUA3AOYEPMX0VzpBs1DRgriUDO9zGNIROITncuhuldZmttqQr4+YM&#10;YpUQSXn4JiI/3LLYkgODSKLTqhlkYVSC0rUyo1BQj7YoKzMydJ6t1O/6kaada57BUiEC3UTPbxTA&#10;b1lM9yxAV3Bi89IdDqkd6nKjRUnrwu9/+XM8xo1bSjroFBX+2rMgKNHfLIQAyDQZYTJ2k2H35tqh&#10;q3mppph4EJKeTBmc+YmF3OQsuGKWI1dN02Rep2FbsNBcbDYlCNL1LN3aB88z9MD4Zp+cVGUYmZaB&#10;i5EtiLeMc1y0vB1vv0vU65/L+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SiDR2gAAAAsBAAAP&#10;AAAAAAAAAAEAIAAAACIAAABkcnMvZG93bnJldi54bWxQSwECFAAUAAAACACHTuJAQ4z3pk8CAACk&#10;BAAADgAAAAAAAAABACAAAAApAQAAZHJzL2Uyb0RvYy54bWxQSwUGAAAAAAYABgBZAQAA6gUAAAAA&#10;">
                <v:fill on="f" focussize="0,0"/>
                <v:stroke on="f" weight="0pt" miterlimit="0" joinstyle="miter"/>
                <v:imagedata o:title=""/>
                <o:lock v:ext="edit" aspectratio="f"/>
                <v:textbox inset="0mm,0mm,0mm,0mm">
                  <w:txbxContent>
                    <w:p w14:paraId="4F3F273E">
                      <w:pPr>
                        <w:spacing w:before="67" w:line="242" w:lineRule="auto"/>
                        <w:ind w:left="20"/>
                        <w:rPr>
                          <w:rFonts w:ascii="宋体" w:hAnsi="宋体" w:eastAsia="宋体" w:cs="宋体"/>
                          <w:sz w:val="16"/>
                          <w:szCs w:val="16"/>
                        </w:rPr>
                      </w:pPr>
                      <w:r>
                        <w:rPr>
                          <w:rFonts w:ascii="宋体" w:hAnsi="宋体" w:eastAsia="宋体" w:cs="宋体"/>
                          <w:spacing w:val="-10"/>
                          <w:sz w:val="16"/>
                          <w:szCs w:val="16"/>
                        </w:rPr>
                        <w:t>0</w:t>
                      </w:r>
                      <w:r>
                        <w:rPr>
                          <w:rFonts w:ascii="宋体" w:hAnsi="宋体" w:eastAsia="宋体" w:cs="宋体"/>
                          <w:spacing w:val="1"/>
                          <w:sz w:val="16"/>
                          <w:szCs w:val="16"/>
                        </w:rPr>
                        <w:t xml:space="preserve">          </w:t>
                      </w:r>
                      <w:r>
                        <w:rPr>
                          <w:rFonts w:ascii="宋体" w:hAnsi="宋体" w:eastAsia="宋体" w:cs="宋体"/>
                          <w:spacing w:val="-10"/>
                          <w:sz w:val="16"/>
                          <w:szCs w:val="16"/>
                        </w:rPr>
                        <w:t>5</w:t>
                      </w:r>
                      <w:r>
                        <w:rPr>
                          <w:rFonts w:ascii="宋体" w:hAnsi="宋体" w:eastAsia="宋体" w:cs="宋体"/>
                          <w:spacing w:val="8"/>
                          <w:sz w:val="16"/>
                          <w:szCs w:val="16"/>
                        </w:rPr>
                        <w:t xml:space="preserve">         </w:t>
                      </w:r>
                      <w:r>
                        <w:rPr>
                          <w:rFonts w:ascii="宋体" w:hAnsi="宋体" w:eastAsia="宋体" w:cs="宋体"/>
                          <w:spacing w:val="-10"/>
                          <w:sz w:val="16"/>
                          <w:szCs w:val="16"/>
                        </w:rPr>
                        <w:t>10</w:t>
                      </w:r>
                      <w:r>
                        <w:rPr>
                          <w:rFonts w:ascii="宋体" w:hAnsi="宋体" w:eastAsia="宋体" w:cs="宋体"/>
                          <w:spacing w:val="4"/>
                          <w:sz w:val="16"/>
                          <w:szCs w:val="16"/>
                        </w:rPr>
                        <w:t xml:space="preserve">         </w:t>
                      </w:r>
                      <w:r>
                        <w:rPr>
                          <w:rFonts w:ascii="宋体" w:hAnsi="宋体" w:eastAsia="宋体" w:cs="宋体"/>
                          <w:spacing w:val="-10"/>
                          <w:sz w:val="16"/>
                          <w:szCs w:val="16"/>
                        </w:rPr>
                        <w:t>15</w:t>
                      </w:r>
                    </w:p>
                  </w:txbxContent>
                </v:textbox>
              </v:shape>
            </w:pict>
          </mc:Fallback>
        </mc:AlternateContent>
      </w:r>
      <w:r>
        <w:rPr>
          <w:position w:val="-63"/>
        </w:rPr>
        <w:pict>
          <v:group id="_x0000_s1049" o:spid="_x0000_s1049" o:spt="203" style="height:159.7pt;width:355.8pt;" coordsize="7115,3193">
            <o:lock v:ext="edit"/>
            <v:shape id="_x0000_s1050" o:spid="_x0000_s1050" style="position:absolute;left:81;top:0;height:3112;width:7035;" fillcolor="#C8C8C8" filled="t" stroked="t" coordsize="7035,3112" path="m5,5l7029,5,7029,3107,5,3107,5,5xe">
              <v:fill on="t" focussize="0,0"/>
              <v:stroke weight="0.51pt" color="#969696" miterlimit="2" endcap="round"/>
              <v:imagedata o:title=""/>
              <o:lock v:ext="edit"/>
            </v:shape>
            <v:shape id="_x0000_s1051" o:spid="_x0000_s1051" style="position:absolute;left:0;top:0;height:3112;width:91;" filled="f" stroked="t" coordsize="91,3112" path="m86,3107l86,5m5,3107l86,3107m5,2218l86,2218m5,1338l86,1338m5,449l86,449e">
              <v:fill on="f" focussize="0,0"/>
              <v:stroke weight="0.51pt" color="#000000" miterlimit="2" endcap="round"/>
              <v:imagedata o:title=""/>
              <o:lock v:ext="edit"/>
            </v:shape>
            <v:shape id="_x0000_s1052" o:spid="_x0000_s1052" style="position:absolute;left:81;top:444;height:1778;width:7035;" filled="f" stroked="t" coordsize="7035,1778" path="m5,1773l7029,1773m5,894l7029,894m5,5l7029,5e">
              <v:fill on="f" focussize="0,0"/>
              <v:stroke weight="0.51pt" color="#646464" miterlimit="2" endcap="round"/>
              <v:imagedata o:title=""/>
              <o:lock v:ext="edit"/>
            </v:shape>
            <v:shape id="_x0000_s1053" o:spid="_x0000_s1053" style="position:absolute;left:81;top:0;height:3193;width:7035;" filled="f" stroked="t" coordsize="7035,3193" path="m5,5l7029,5m5,3107l7029,3107m5,3188l5,3107m1282,3188l1282,3107m2559,3188l2559,3107m3836,3188l3836,3107m5113,3188l5113,3107m6390,3188l6390,3107m15,1753l35,995,45,1520,55,1955,65,2248,86,2440,96,2571,106,2672,116,2743,136,2794,146,2844,157,2874,167,2905,187,2925,197,2945,207,2965,217,2975,238,2986,248,2996,258,3006,268,3016,288,3016,299,3026,309,3036,319,3036,339,3046,349,3046,359,3046,380,3056,390,3056,400,3056,410,3056,430,3066,440,3066,451,3066,461,3066,481,3066,491,3076,501,3076,511,3076,532,3076,542,3076,552,3076,562,3076,582,3076,592,3076,603,3087,613,3087,633,3087,643,3087,653,3087,674,3087,684,3087,694,3087,704,3087,724,3087,734,3087,745,3087,755,3087,775,3087,785,3087,795,3087,805,3097,826,3097,836,3097,846,3097,856,3097,876,3097,886,3097,897,3097,907,3097,927,3097,937,3097,947,3097,967,3097,978,3097,988,3097,998,3097,1018,3097,1028,3097,1038,3097,1049,3097,1069,3097,1079,3097,1089,3097,1099,3097,1120,3097,1130,3097,1140,3097,1150,3097,1170,3097,1180,3097,1190,3097,1201,3097,1221,3097,1231,3097,1241,3097,1251,3097,1272,3097,1282,3097,1292,3097,1312,3097,1322,3097,1332,3097,1343,3097,1363,3097,1373,3097,1383,3097,1393,3097,1413,3097,1424,3097,1434,3097,1444,3097,1464,3097,1474,3097,1484,3097,1495,3097,1515,3097,1525,3097,1535,3097,1545,3107,1565,3107,1576,3107,1586,3107,1596,3107,1616,3107,1626,3107,1636,3107,1657,3107,1667,3107,1677,3107,1687,3107,1707,3107,1718,3107,1728,3107,1738,3107,1758,3107,1768,3107,1778,3107,1788,3107,1809,3107,1819,3107,1829,3107,1839,3107,1859,3107,1870,3107,1880,3107,1890,3107,1910,3107,1920,3107,1930,3107,1951,3107,1961,3107,1971,3107,1981,3107,2001,3107,2011,3107,2022,3107,2032,3107,2052,3107,2062,3107,2072,3107,2082,3107,2103,3107,2113,3107,2123,3107,2133,3107,2153,3107,2164,3107,2174,3107,2184,3107,2204,3107,2214,3107,2224,3107,2245,3107,2255,3107,2265,3107,2275,3107,2295,3107,2305,3107,2316,3107,2326,3107,2346,3107,2356,3107,2366,3107,2376,3107,2397,3107,2407,3107,2417,3107,2427,3107,2447,3107,2457,3107,2468,3107,2478,3107,2498,3107,2508,3107,2518,3107,2528,3107,2549,3107,2559,3107,2569,3107,2589,3107,2599,3107,2610,3107,2620,3107,2640,3107,2650,3107,2660,3107,2670,3107,2691,3107,2701,3107,2711,3107,2721,3107,2741,3107,2751,3107,2762,3107,2772,3107,2792,3107,2802,3107,2812,3107,2822,3107,2843,3107,2853,3107,2863,3107,2873,3107,2893,3107,2903,3107,2914,3107,2934,3107,2944,3107,2954,3107,2964,3107,2985,3107,2995,3107,3005,3107,3015,3107,3035,3107,3045,3107,3055,3107,3066,3107,3086,3107,3096,3107,3106,3107,3116,3107,3137,3107,3147,3107,3157,3107,3167,3107,3187,3107,3197,3107,3208,3107,3228,3107,3238,3107,3248,3107,3258,3107,3278,3107,3289,3107,3299,3107,3309,3107,3329,3107,3339,3107,3349,3107,3360,3107,3380,3107,3390,3107,3400,3107,3410,3107,3431,3107,3441,3107,3451,3107,3461,3107,3481,3107,3491,3107,3501,3107,3522,3107,3532,3107,3542,3107,3552,3107,3572,3107,3583,3107,3593,3107,3603,3107,3623,3107,3633,3107,3643,3107,3653,3107,3674,3107,3684,3107,3694,3107,3704,3107,3724,3107,3735,3107,3745,3107,3755,3107,3775,3107,3785,3107,3795,3107,3806,3107,3826,3107,3836,3107,3846,3107,3866,3107,3876,3107,3887,3107,3897,3107,3917,3107,3927,3107,3937,3107,3947,3107,3968,3107,3978,3107,3988,3107,3998,3107,4018,3107,4029,3107,4039,3107,4049,3107,4069,3107,4079,3107,4089,3107,4099,3107,4120,3107,4130,3107,4140,3107,4150,3107,4170,3107,4181,3107,4191,3107,4211,3107,4221,3107,4231,3107,4241,3107,4262,3107,4272,3107,4282,3107,4292,3107,4312,3107,4322,3107,4333,3107,4343,3107,4363,3107,4373,3107,4383,3107,4393,3107,4414,3107,4424,3107,4434,3107,4444,3107,4464,3107,4475,3107,4485,3107,4505,3107,4515,3107,4525,3107,4535,3107,4556,3107,4566,3107,4576,3107,4586,3107,4606,3107,4616,3107,4627,3107,4637,3107,4657,3107,4667,3107,4677,3107,4687,3107,4708,3107,4718,3107,4728,3107,4738,3107,4758,3107,4768,3107,4779,3107,4799,3107,4809,3107,4819,3107,4829,3107,4850,3107,4860,3107,4870,3107,4880,3107,4900,3107,4910,3107,4921,3107,4931,3107,4951,3107,4961,3107,4971,3107,4981,3107,5002,3107,5012,3107,5022,3107,5032,3107,5052,3107,5062,3107,5073,3107,5083,3107,5103,3107,5113,3107,5123,3107,5143,3107,5154,3107,5164,3107,5174,3107,5194,3107,5204,3107,5214,3107,5225,3107,5245,3107,5255,3107,5265,3107,5275,3107,5296,3107,5306,3107,5316,3107,5326,3107,5346,3107,5356,3107,5366,3107,5377,3107,5397,3107,5407,3107,5417,3107,5427,3107,5448,3107,5458,3107,5468,3107,5488,3107,5498,3107,5508,3107,5519,3107,5539,3107,5549,3107,5559,3107,5569,3107,5589,3107,5600,3107,5610,3107,5620,3107,5640,3107,5650,3107,5660,3107,5671,3107,5691,3107,5701,3107,5711,3107,5721,3107,5742,3107,5752,3107,5762,3107,5782,3107,5792,3107,5802,3107,5812,3107,5833,3107,5843,3107,5853,3107,5863,3107,5883,3107,5894,3107,5904,3107,5914,3107,5934,3107,5944,3107,5954,3107,5965,3107,5985,3107,5995,3107,6005,3107,6015,3107,6035,3107,6046,3107,6056,3107,6076,3107,6086,3107,6096,3107,6106,3107,6127,3107,6137,3107,6147,3107,6157,3107,6177,3107,6187,3107,6198,3107,6208,3107,6228,3107,6238,3107,6248,3107,6258,3107,6279,3107,6289,3107,6299,3107,6309,3107,6329,3107,6340,3107,6350,3107,6360,3107,6380,3107,6390,3107e">
              <v:fill on="f" focussize="0,0"/>
              <v:stroke weight="0.51pt" color="#000000" miterlimit="2" endcap="round"/>
              <v:imagedata o:title=""/>
              <o:lock v:ext="edit"/>
            </v:shape>
            <v:shape id="_x0000_s1054" o:spid="_x0000_s1054" style="position:absolute;left:60;top:959;height:2183;width:6447;" fillcolor="#000000" filled="t" stroked="t" coordsize="6447,2183" path="m5,762l65,762,65,823,5,823,5,762xem25,5l86,5,86,65,25,65,25,5xem35,530l96,530,96,591,35,591,35,530xem45,965l106,965,106,1025,45,1025,45,965xem55,1258l116,1258,116,1318,55,1318,55,1258xem76,1450l136,1450,136,1510,76,1510,76,1450xem86,1581l146,1581,146,1642,86,1642,86,1581xem96,1682l157,1682,157,1743,96,1743,96,1682xem106,1753l167,1753,167,1813,106,1813,106,1753xem126,1803l187,1803,187,1864,126,1864,126,1803xem136,1854l197,1854,197,1914,136,1914,136,1854xem146,1884l207,1884,207,1945,146,1945,146,1884xem157,1914l217,1914,217,1975,157,1975,157,1914xem177,1935l238,1935,238,1995,177,1995,177,1935xem187,1955l248,1955,248,2015,187,2015,187,1955xem197,1975l258,1975,258,2036,197,2036,197,1975xem207,1985l268,1985,268,2046,207,2046,207,1985xem228,1995l288,1995,288,2056,228,2056,228,1995xem238,2005l298,2005,298,2066,238,2066,238,2005xem248,2015l309,2015,309,2076,248,2076,248,2015xem258,2026l319,2026,319,2086,258,2086,258,2026xem278,2026l339,2026,339,2086,278,2086,278,2026xem288,2036l349,2036,349,2096,288,2096,288,2036xem299,2046l359,2046,359,2106,299,2106,299,2046xem309,2046l369,2046,369,2106,309,2106,309,2046xem329,2056l390,2056,390,2117,329,2117,329,2056xem339,2056l400,2056,400,2117,339,2117,339,2056xem349,2056l410,2056,410,2117,349,2117,349,2056xem369,2066l430,2066,430,2127,369,2127,369,2066xem380,2066l440,2066,440,2127,380,2127,380,2066xem390,2066l451,2066,451,2127,390,2127,390,2066xem400,2066l461,2066,461,2127,400,2127,400,2066xem420,2076l481,2076,481,2137,420,2137,420,2076xem430,2076l491,2076,491,2137,430,2137,430,2076xem440,2076l501,2076,501,2137,440,2137,440,2076xem451,2076l511,2076,511,2137,451,2137,451,2076xem471,2076l532,2076,532,2137,471,2137,471,2076xem481,2086l542,2086,542,2147,481,2147,481,2086xem491,2086l552,2086,552,2147,491,2147,491,2086xem501,2086l562,2086,562,2147,501,2147,501,2086xem521,2086l582,2086,582,2147,521,2147,521,2086xem532,2086l592,2086,592,2147,532,2147,532,2086xem542,2086l603,2086,603,2147,542,2147,542,2086xem552,2086l613,2086,613,2147,552,2147,552,2086xem572,2086l633,2086,633,2147,572,2147,572,2086xem582,2086l643,2086,643,2147,582,2147,582,2086xem592,2096l653,2096,653,2157,592,2157,592,2096xem603,2096l663,2096,663,2157,603,2157,603,2096xem623,2096l684,2096,684,2157,623,2157,623,2096xem633,2096l694,2096,694,2157,633,2157,633,2096xem643,2096l704,2096,704,2157,643,2157,643,2096xem663,2096l724,2096,724,2157,663,2157,663,2096xem674,2096l734,2096,734,2157,674,2157,674,2096xem684,2096l744,2096,744,2157,684,2157,684,2096xem694,2096l755,2096,755,2157,694,2157,694,2096xem714,2096l775,2096,775,2157,714,2157,714,2096xem724,2096l785,2096,785,2157,724,2157,724,2096xem734,2096l795,2096,795,2157,734,2157,734,2096xem744,2096l805,2096,805,2157,744,2157,744,2096xem765,2096l826,2096,826,2157,765,2157,765,2096xem775,2096l836,2096,836,2157,775,2157,775,2096xem785,2096l846,2096,846,2157,785,2157,785,2096xem795,2106l856,2106,856,2167,795,2167,795,2106xem815,2106l876,2106,876,2167,815,2167,815,2106xem826,2106l886,2106,886,2167,826,2167,826,2106xem836,2106l897,2106,897,2167,836,2167,836,2106xem846,2106l907,2106,907,2167,846,2167,846,2106xem866,2106l927,2106,927,2167,866,2167,866,2106xem876,2106l937,2106,937,2167,876,2167,876,2106xem886,2106l947,2106,947,2167,886,2167,886,2106xem897,2106l957,2106,957,2167,897,2167,897,2106xem917,2106l978,2106,978,2167,917,2167,917,2106xem927,2106l988,2106,988,2167,927,2167,927,2106xem937,2106l998,2106,998,2167,937,2167,937,2106xem957,2106l1018,2106,1018,2167,957,2167,957,2106xem967,2106l1028,2106,1028,2167,967,2167,967,2106xem978,2106l1038,2106,1038,2167,978,2167,978,2106xem988,2106l1049,2106,1049,2167,988,2167,988,2106xem1008,2106l1069,2106,1069,2167,1008,2167,1008,2106xem1018,2106l1079,2106,1079,2167,1018,2167,1018,2106xem1028,2106l1089,2106,1089,2167,1028,2167,1028,2106xem1038,2106l1099,2106,1099,2167,1038,2167,1038,2106xem1059,2106l1120,2106,1120,2167,1059,2167,1059,2106xem1069,2106l1130,2106,1130,2167,1069,2167,1069,2106xem1079,2106l1140,2106,1140,2167,1079,2167,1079,2106xem1089,2106l1150,2106,1150,2167,1089,2167,1089,2106xem1109,2106l1170,2106,1170,2167,1109,2167,1109,2106xem1120,2106l1180,2106,1180,2167,1120,2167,1120,2106xem1130,2106l1190,2106,1190,2167,1130,2167,1130,2106xem1140,2106l1201,2106,1201,2167,1140,2167,1140,2106xem1160,2106l1221,2106,1221,2167,1160,2167,1160,2106xem1170,2106l1231,2106,1231,2167,1170,2167,1170,2106xem1180,2106l1241,2106,1241,2167,1180,2167,1180,2106xem1190,2106l1251,2106,1251,2167,1190,2167,1190,2106xem1211,2106l1272,2106,1272,2167,1211,2167,1211,2106xem1221,2106l1282,2106,1282,2167,1221,2167,1221,2106xem1231,2106l1292,2106,1292,2167,1231,2167,1231,2106xem1241,2106l1302,2106,1302,2167,1241,2167,1241,2106xem1261,2106l1322,2106,1322,2167,1261,2167,1261,2106xem1272,2106l1332,2106,1332,2167,1272,2167,1272,2106xem1282,2106l1342,2106,1342,2167,1282,2167,1282,2106xem1302,2106l1363,2106,1363,2167,1302,2167,1302,2106xem1312,2106l1373,2106,1373,2167,1312,2167,1312,2106xem1322,2106l1383,2106,1383,2167,1322,2167,1322,2106xem1332,2106l1393,2106,1393,2167,1332,2167,1332,2106xem1353,2106l1413,2106,1413,2167,1353,2167,1353,2106xem1363,2106l1424,2106,1424,2167,1363,2167,1363,2106xem1373,2106l1434,2106,1434,2167,1373,2167,1373,2106xem1383,2106l1444,2106,1444,2167,1383,2167,1383,2106xem1403,2106l1464,2106,1464,2167,1403,2167,1403,2106xem1413,2106l1474,2106,1474,2167,1413,2167,1413,2106xem1424,2106l1484,2106,1484,2167,1424,2167,1424,2106xem1434,2106l1495,2106,1495,2167,1434,2167,1434,2106xem1454,2106l1515,2106,1515,2167,1454,2167,1454,2106xem1464,2106l1525,2106,1525,2167,1464,2167,1464,2106xem1474,2106l1535,2106,1535,2167,1474,2167,1474,2106xem1484,2106l1545,2106,1545,2167,1484,2167,1484,2106xem1505,2106l1566,2106,1566,2167,1505,2167,1505,2106xem1515,2106l1576,2106,1576,2167,1515,2167,1515,2106xem1525,2106l1586,2106,1586,2167,1525,2167,1525,2106xem1535,2117l1596,2117,1596,2177,1535,2177,1535,2117xem1555,2117l1616,2117,1616,2177,1555,2177,1555,2117xem1566,2117l1626,2117,1626,2177,1566,2177,1566,2117xem1576,2117l1636,2117,1636,2177,1576,2177,1576,2117xem1586,2117l1647,2117,1647,2177,1586,2177,1586,2117xem1606,2117l1667,2117,1667,2177,1606,2177,1606,2117xem1616,2117l1677,2117,1677,2177,1616,2177,1616,2117xem1626,2117l1687,2117,1687,2177,1626,2177,1626,2117xem1647,2117l1707,2117,1707,2177,1647,2177,1647,2117xem1657,2117l1718,2117,1718,2177,1657,2177,1657,2117xem1667,2117l1728,2117,1728,2177,1667,2177,1667,2117xem1677,2117l1738,2117,1738,2177,1677,2177,1677,2117xem1697,2117l1758,2117,1758,2177,1697,2177,1697,2117xem1707,2117l1768,2117,1768,2177,1707,2177,1707,2117xem1718,2117l1778,2117,1778,2177,1718,2177,1718,2117xem1728,2117l1788,2117,1788,2177,1728,2177,1728,2117xem1748,2117l1809,2117,1809,2177,1748,2177,1748,2117xem1758,2117l1819,2117,1819,2177,1758,2177,1758,2117xem1768,2117l1829,2117,1829,2177,1768,2177,1768,2117xem1778,2117l1839,2117,1839,2177,1778,2177,1778,2117xem1799,2117l1859,2117,1859,2177,1799,2177,1799,2117xem1809,2117l1870,2117,1870,2177,1809,2177,1809,2117xem1819,2117l1880,2117,1880,2177,1819,2177,1819,2117xem1829,2117l1890,2117,1890,2177,1829,2177,1829,2117xem1849,2117l1910,2117,1910,2177,1849,2177,1849,2117xem1859,2117l1920,2117,1920,2177,1859,2177,1859,2117xem1870,2117l1930,2117,1930,2177,1870,2177,1870,2117xem1880,2117l1941,2117,1941,2177,1880,2177,1880,2117xem1900,2117l1961,2117,1961,2177,1900,2177,1900,2117xem1910,2117l1971,2117,1971,2177,1910,2177,1910,2117xem1920,2117l1981,2117,1981,2177,1920,2177,1920,2117xem1941,2117l2001,2117,2001,2177,1941,2177,1941,2117xem1951,2117l2011,2117,2011,2177,1951,2177,1951,2117xem1961,2117l2022,2117,2022,2177,1961,2177,1961,2117xem1971,2117l2032,2117,2032,2177,1971,2177,1971,2117xem1991,2117l2052,2117,2052,2177,1991,2177,1991,2117xem2001,2117l2062,2117,2062,2177,2001,2177,2001,2117xem2011,2117l2072,2117,2072,2177,2011,2177,2011,2117xem2022,2117l2082,2117,2082,2177,2022,2177,2022,2117xem2042,2117l2103,2117,2103,2177,2042,2177,2042,2117xem2052,2117l2113,2117,2113,2177,2052,2177,2052,2117xem2062,2117l2123,2117,2123,2177,2062,2177,2062,2117xem2072,2117l2133,2117,2133,2177,2072,2177,2072,2117xem2093,2117l2153,2117,2153,2177,2093,2177,2093,2117xem2103,2117l2164,2117,2164,2177,2103,2177,2103,2117xem2113,2117l2174,2117,2174,2177,2113,2177,2113,2117xem2123,2117l2184,2117,2184,2177,2123,2177,2123,2117xem2143,2117l2204,2117,2204,2177,2143,2177,2143,2117xem2153,2117l2214,2117,2214,2177,2153,2177,2153,2117xem2164,2117l2224,2117,2224,2177,2164,2177,2164,2117xem2174,2117l2234,2117,2234,2177,2174,2177,2174,2117xem2194,2117l2255,2117,2255,2177,2194,2177,2194,2117xem2204,2117l2265,2117,2265,2177,2204,2177,2204,2117xem2214,2117l2275,2117,2275,2177,2214,2177,2214,2117xem2234,2117l2295,2117,2295,2177,2234,2177,2234,2117xem2245,2117l2305,2117,2305,2177,2245,2177,2245,2117xem2255,2117l2316,2117,2316,2177,2255,2177,2255,2117xem2265,2117l2326,2117,2326,2177,2265,2177,2265,2117xem2285,2117l2346,2117,2346,2177,2285,2177,2285,2117xem2295,2117l2356,2117,2356,2177,2295,2177,2295,2117xem2305,2117l2366,2117,2366,2177,2305,2177,2305,2117xem2316,2117l2376,2117,2376,2177,2316,2177,2316,2117xem2336,2117l2397,2117,2397,2177,2336,2177,2336,2117xem2346,2117l2407,2117,2407,2177,2346,2177,2346,2117xem2356,2117l2417,2117,2417,2177,2356,2177,2356,2117xem2366,2117l2427,2117,2427,2177,2366,2177,2366,2117xem2387,2117l2447,2117,2447,2177,2387,2177,2387,2117xem2397,2117l2457,2117,2457,2177,2397,2177,2397,2117xem2407,2117l2468,2117,2468,2177,2407,2177,2407,2117xem2417,2117l2478,2117,2478,2177,2417,2177,2417,2117xem2437,2117l2498,2117,2498,2177,2437,2177,2437,2117xem2447,2117l2508,2117,2508,2177,2447,2177,2447,2117xem2457,2117l2518,2117,2518,2177,2457,2177,2457,2117xem2468,2117l2528,2117,2528,2177,2468,2177,2468,2117xem2488,2117l2549,2117,2549,2177,2488,2177,2488,2117xem2498,2117l2559,2117,2559,2177,2498,2177,2498,2117xem2508,2117l2569,2117,2569,2177,2508,2177,2508,2117xem2518,2117l2579,2117,2579,2177,2518,2177,2518,2117xem2539,2117l2599,2117,2599,2177,2539,2177,2539,2117xem2549,2117l2609,2117,2609,2177,2549,2177,2549,2117xem2559,2117l2620,2117,2620,2177,2559,2177,2559,2117xem2579,2117l2640,2117,2640,2177,2579,2177,2579,2117xem2589,2117l2650,2117,2650,2177,2589,2177,2589,2117xem2599,2117l2660,2117,2660,2177,2599,2177,2599,2117xem2610,2117l2670,2117,2670,2177,2610,2177,2610,2117xem2630,2117l2691,2117,2691,2177,2630,2177,2630,2117xem2640,2117l2701,2117,2701,2177,2640,2177,2640,2117xem2650,2117l2711,2117,2711,2177,2650,2177,2650,2117xem2660,2117l2721,2117,2721,2177,2660,2177,2660,2117xem2680,2117l2741,2117,2741,2177,2680,2177,2680,2117xem2691,2117l2751,2117,2751,2177,2691,2177,2691,2117xem2701,2117l2762,2117,2762,2177,2701,2177,2701,2117xem2711,2117l2772,2117,2772,2177,2711,2177,2711,2117xem2731,2117l2792,2117,2792,2177,2731,2177,2731,2117xem2741,2117l2802,2117,2802,2177,2741,2177,2741,2117xem2751,2117l2812,2117,2812,2177,2751,2177,2751,2117xem2762,2117l2822,2117,2822,2177,2762,2177,2762,2117xem2782,2117l2843,2117,2843,2177,2782,2177,2782,2117xem2792,2117l2853,2117,2853,2177,2792,2177,2792,2117xem2802,2117l2863,2117,2863,2177,2802,2177,2802,2117xem2812,2117l2873,2117,2873,2177,2812,2177,2812,2117xem2832,2117l2893,2117,2893,2177,2832,2177,2832,2117xem2843,2117l2903,2117,2903,2177,2843,2177,2843,2117xem2853,2117l2914,2117,2914,2177,2853,2177,2853,2117xem2863,2117l2924,2117,2924,2177,2863,2177,2863,2117xem2883,2117l2944,2117,2944,2177,2883,2177,2883,2117xem2893,2117l2954,2117,2954,2177,2893,2177,2893,2117xem2903,2117l2964,2117,2964,2177,2903,2177,2903,2117xem2924,2117l2985,2117,2985,2177,2924,2177,2924,2117xem2934,2117l2995,2117,2995,2177,2934,2177,2934,2117xem2944,2117l3005,2117,3005,2177,2944,2177,2944,2117xem2954,2117l3015,2117,3015,2177,2954,2177,2954,2117xem2974,2117l3035,2117,3035,2177,2974,2177,2974,2117xem2985,2117l3045,2117,3045,2177,2985,2177,2985,2117xem2995,2117l3055,2117,3055,2177,2995,2177,2995,2117xem3005,2117l3066,2117,3066,2177,3005,2177,3005,2117xem3025,2117l3086,2117,3086,2177,3025,2177,3025,2117xem3035,2117l3096,2117,3096,2177,3035,2177,3035,2117xem3045,2117l3106,2117,3106,2177,3045,2177,3045,2117xem3055,2117l3116,2117,3116,2177,3055,2177,3055,2117xem3076,2117l3137,2117,3137,2177,3076,2177,3076,2117xem3086,2117l3147,2117,3147,2177,3086,2177,3086,2117xem3096,2117l3157,2117,3157,2177,3096,2177,3096,2117xem3106,2117l3167,2117,3167,2177,3106,2177,3106,2117xem3126,2117l3187,2117,3187,2177,3126,2177,3126,2117xem3137,2117l3197,2117,3197,2177,3137,2177,3137,2117xem3147,2117l3208,2117,3208,2177,3147,2177,3147,2117xem3157,2117l3218,2117,3218,2177,3157,2177,3157,2117xem3177,2117l3238,2117,3238,2177,3177,2177,3177,2117xem3187,2117l3248,2117,3248,2177,3187,2177,3187,2117xem3197,2117l3258,2117,3258,2177,3197,2177,3197,2117xem3218,2117l3278,2117,3278,2177,3218,2177,3218,2117xem3228,2117l3289,2117,3289,2177,3228,2177,3228,2117xem3238,2117l3299,2117,3299,2177,3238,2177,3238,2117xem3248,2117l3309,2117,3309,2177,3248,2177,3248,2117xem3268,2117l3329,2117,3329,2177,3268,2177,3268,2117xem3278,2117l3339,2117,3339,2177,3278,2177,3278,2117xem3289,2117l3349,2117,3349,2177,3289,2177,3289,2117xem3299,2117l3360,2117,3360,2177,3299,2177,3299,2117xem3319,2117l3380,2117,3380,2177,3319,2177,3319,2117xem3329,2117l3390,2117,3390,2177,3329,2177,3329,2117xem3339,2117l3400,2117,3400,2177,3339,2177,3339,2117xem3349,2117l3410,2117,3410,2177,3349,2177,3349,2117xem3370,2117l3431,2117,3431,2177,3370,2177,3370,2117xem3380,2117l3441,2117,3441,2177,3380,2177,3380,2117xem3390,2117l3451,2117,3451,2177,3390,2177,3390,2117xem3400,2117l3461,2117,3461,2177,3400,2177,3400,2117xem3420,2117l3481,2117,3481,2177,3420,2177,3420,2117xem3431,2117l3491,2117,3491,2177,3431,2177,3431,2117xem3441,2117l3501,2117,3501,2177,3441,2177,3441,2117xem3451,2117l3512,2117,3512,2177,3451,2177,3451,2117xem3471,2117l3532,2117,3532,2177,3471,2177,3471,2117xem3481,2117l3542,2117,3542,2177,3481,2177,3481,2117xem3491,2117l3552,2117,3552,2177,3491,2177,3491,2117xem3512,2117l3572,2117,3572,2177,3512,2177,3512,2117xem3522,2117l3583,2117,3583,2177,3522,2177,3522,2117xem3532,2117l3593,2117,3593,2177,3532,2177,3532,2117xem3542,2117l3603,2117,3603,2177,3542,2177,3542,2117xem3562,2117l3623,2117,3623,2177,3562,2177,3562,2117xem3572,2117l3633,2117,3633,2177,3572,2177,3572,2117xem3583,2117l3643,2117,3643,2177,3583,2177,3583,2117xem3593,2117l3653,2117,3653,2177,3593,2177,3593,2117xem3613,2117l3674,2117,3674,2177,3613,2177,3613,2117xem3623,2117l3684,2117,3684,2177,3623,2177,3623,2117xem3633,2117l3694,2117,3694,2177,3633,2177,3633,2117xem3643,2117l3704,2117,3704,2177,3643,2177,3643,2117xem3664,2117l3724,2117,3724,2177,3664,2177,3664,2117xem3674,2117l3735,2117,3735,2177,3674,2177,3674,2117xem3684,2117l3745,2117,3745,2177,3684,2177,3684,2117xem3694,2117l3755,2117,3755,2177,3694,2177,3694,2117xem3714,2117l3775,2117,3775,2177,3714,2177,3714,2117xem3724,2117l3785,2117,3785,2177,3724,2177,3724,2117xem3735,2117l3795,2117,3795,2177,3735,2177,3735,2117xem3745,2117l3806,2117,3806,2177,3745,2177,3745,2117xem3765,2117l3826,2117,3826,2177,3765,2177,3765,2117xem3775,2117l3836,2117,3836,2177,3775,2177,3775,2117xem3785,2117l3846,2117,3846,2177,3785,2177,3785,2117xem3795,2117l3856,2117,3856,2177,3795,2177,3795,2117xem3816,2117l3876,2117,3876,2177,3816,2177,3816,2117xem3826,2117l3887,2117,3887,2177,3826,2177,3826,2117xem3836,2117l3897,2117,3897,2177,3836,2177,3836,2117xem3856,2117l3917,2117,3917,2177,3856,2177,3856,2117xem3866,2117l3927,2117,3927,2177,3866,2177,3866,2117xem3876,2117l3937,2117,3937,2177,3876,2177,3876,2117xem3887,2117l3947,2117,3947,2177,3887,2177,3887,2117xem3907,2117l3968,2117,3968,2177,3907,2177,3907,2117xem3917,2117l3978,2117,3978,2177,3917,2177,3917,2117xem3927,2117l3988,2117,3988,2177,3927,2177,3927,2117xem3937,2117l3998,2117,3998,2177,3937,2177,3937,2117xem3958,2117l4018,2117,4018,2177,3958,2177,3958,2117xem3968,2117l4029,2117,4029,2177,3968,2177,3968,2117xem3978,2117l4039,2117,4039,2177,3978,2177,3978,2117xem3988,2117l4049,2117,4049,2177,3988,2177,3988,2117xem4008,2117l4069,2117,4069,2177,4008,2177,4008,2117xem4018,2117l4079,2117,4079,2177,4018,2177,4018,2117xem4029,2117l4089,2117,4089,2177,4029,2177,4029,2117xem4039,2117l4099,2117,4099,2177,4039,2177,4039,2117xem4059,2117l4120,2117,4120,2177,4059,2177,4059,2117xem4069,2117l4130,2117,4130,2177,4069,2177,4069,2117xem4079,2117l4140,2117,4140,2177,4079,2177,4079,2117xem4089,2117l4150,2117,4150,2177,4089,2177,4089,2117xem4110,2117l4170,2117,4170,2177,4110,2177,4110,2117xem4120,2117l4181,2117,4181,2177,4120,2177,4120,2117xem4130,2117l4191,2117,4191,2177,4130,2177,4130,2117xem4140,2117l4201,2117,4201,2177,4140,2177,4140,2117xem4160,2117l4221,2117,4221,2177,4160,2177,4160,2117xem4170,2117l4231,2117,4231,2177,4170,2177,4170,2117xem4181,2117l4241,2117,4241,2177,4181,2177,4181,2117xem4201,2117l4262,2117,4262,2177,4201,2177,4201,2117xem4211,2117l4272,2117,4272,2177,4211,2177,4211,2117xem4221,2117l4282,2117,4282,2177,4221,2177,4221,2117xem4231,2117l4292,2117,4292,2177,4231,2177,4231,2117xem4252,2117l4312,2117,4312,2177,4252,2177,4252,2117xem4262,2117l4322,2117,4322,2177,4262,2177,4262,2117xem4272,2117l4333,2117,4333,2177,4272,2177,4272,2117xem4282,2117l4343,2117,4343,2177,4282,2177,4282,2117xem4302,2117l4363,2117,4363,2177,4302,2177,4302,2117xem4312,2117l4373,2117,4373,2177,4312,2177,4312,2117xem4322,2117l4383,2117,4383,2177,4322,2177,4322,2117xem4333,2117l4393,2117,4393,2177,4333,2177,4333,2117xem4353,2117l4414,2117,4414,2177,4353,2177,4353,2117xem4363,2117l4424,2117,4424,2177,4363,2177,4363,2117xem4373,2117l4434,2117,4434,2177,4373,2177,4373,2117xem4383,2117l4444,2117,4444,2177,4383,2177,4383,2117xem4404,2117l4464,2117,4464,2177,4404,2177,4404,2117xem4414,2117l4474,2117,4474,2177,4414,2177,4414,2117xem4424,2117l4485,2117,4485,2177,4424,2177,4424,2117xem4434,2117l4495,2117,4495,2177,4434,2177,4434,2117xem4454,2117l4515,2117,4515,2177,4454,2177,4454,2117xem4464,2117l4525,2117,4525,2177,4464,2177,4464,2117xem4474,2117l4535,2117,4535,2177,4474,2177,4474,2117xem4495,2117l4556,2117,4556,2177,4495,2177,4495,2117xem4505,2117l4566,2117,4566,2177,4505,2177,4505,2117xem4515,2117l4576,2117,4576,2177,4515,2177,4515,2117xem4525,2117l4586,2117,4586,2177,4525,2177,4525,2117xem4545,2117l4606,2117,4606,2177,4545,2177,4545,2117xem4556,2117l4616,2117,4616,2177,4556,2177,4556,2117xem4566,2117l4627,2117,4627,2177,4566,2177,4566,2117xem4576,2117l4637,2117,4637,2177,4576,2177,4576,2117xem4596,2117l4657,2117,4657,2177,4596,2177,4596,2117xem4606,2117l4667,2117,4667,2177,4606,2177,4606,2117xem4616,2117l4677,2117,4677,2177,4616,2177,4616,2117xem4627,2117l4687,2117,4687,2177,4627,2177,4627,2117xem4647,2117l4708,2117,4708,2177,4647,2177,4647,2117xem4657,2117l4718,2117,4718,2177,4657,2177,4657,2117xem4667,2117l4728,2117,4728,2177,4667,2177,4667,2117xem4677,2117l4738,2117,4738,2177,4677,2177,4677,2117xem4698,2117l4758,2117,4758,2177,4698,2177,4698,2117xem4708,2117l4768,2117,4768,2177,4708,2177,4708,2117xem4718,2117l4779,2117,4779,2177,4718,2177,4718,2117xem4728,2117l4789,2117,4789,2177,4728,2177,4728,2117xem4748,2117l4809,2117,4809,2177,4748,2177,4748,2117xem4758,2117l4819,2117,4819,2177,4758,2177,4758,2117xem4768,2117l4829,2117,4829,2177,4768,2177,4768,2117xem4789,2117l4850,2117,4850,2177,4789,2177,4789,2117xem4799,2117l4860,2117,4860,2177,4799,2177,4799,2117xem4809,2117l4870,2117,4870,2177,4809,2177,4809,2117xem4819,2117l4880,2117,4880,2177,4819,2177,4819,2117xem4839,2117l4900,2117,4900,2177,4839,2177,4839,2117xem4850,2117l4910,2117,4910,2177,4850,2177,4850,2117xem4860,2117l4920,2117,4920,2177,4860,2177,4860,2117xem4870,2117l4931,2117,4931,2177,4870,2177,4870,2117xem4890,2117l4951,2117,4951,2177,4890,2177,4890,2117xem4900,2117l4961,2117,4961,2177,4900,2177,4900,2117xem4910,2117l4971,2117,4971,2177,4910,2177,4910,2117xem4920,2117l4981,2117,4981,2177,4920,2177,4920,2117xem4941,2117l5002,2117,5002,2177,4941,2177,4941,2117xem4951,2117l5012,2117,5012,2177,4951,2177,4951,2117xem4961,2117l5022,2117,5022,2177,4961,2177,4961,2117xem4971,2117l5032,2117,5032,2177,4971,2177,4971,2117xem4991,2117l5052,2117,5052,2177,4991,2177,4991,2117xem5002,2117l5062,2117,5062,2177,5002,2177,5002,2117xem5012,2117l5073,2117,5073,2177,5012,2177,5012,2117xem5022,2117l5083,2117,5083,2177,5022,2177,5022,2117xem5042,2117l5103,2117,5103,2177,5042,2177,5042,2117xem5052,2117l5113,2117,5113,2177,5052,2177,5052,2117xem5062,2117l5123,2117,5123,2177,5062,2177,5062,2117xem5073,2117l5133,2117,5133,2177,5073,2177,5073,2117xem5093,2117l5154,2117,5154,2177,5093,2177,5093,2117xem5103,2117l5164,2117,5164,2177,5103,2177,5103,2117xem5113,2117l5174,2117,5174,2177,5113,2177,5113,2117xem5133,2117l5194,2117,5194,2177,5133,2177,5133,2117xem5143,2117l5204,2117,5204,2177,5143,2177,5143,2117xem5154,2117l5214,2117,5214,2177,5154,2177,5154,2117xem5164,2117l5225,2117,5225,2177,5164,2177,5164,2117xem5184,2117l5245,2117,5245,2177,5184,2177,5184,2117xem5194,2117l5255,2117,5255,2177,5194,2177,5194,2117xem5204,2117l5265,2117,5265,2177,5204,2177,5204,2117xem5214,2117l5275,2117,5275,2177,5214,2177,5214,2117xem5235,2117l5296,2117,5296,2177,5235,2177,5235,2117xem5245,2117l5306,2117,5306,2177,5245,2177,5245,2117xem5255,2117l5316,2117,5316,2177,5255,2177,5255,2117xem5265,2117l5326,2117,5326,2177,5265,2177,5265,2117xem5285,2117l5346,2117,5346,2177,5285,2177,5285,2117xem5296,2117l5356,2117,5356,2177,5296,2177,5296,2117xem5306,2117l5366,2117,5366,2177,5306,2177,5306,2117xem5316,2117l5377,2117,5377,2177,5316,2177,5316,2117xem5336,2117l5397,2117,5397,2177,5336,2177,5336,2117xem5346,2117l5407,2117,5407,2177,5346,2177,5346,2117xem5356,2117l5417,2117,5417,2177,5356,2177,5356,2117xem5366,2117l5427,2117,5427,2177,5366,2177,5366,2117xem5387,2117l5448,2117,5448,2177,5387,2177,5387,2117xem5397,2117l5458,2117,5458,2177,5397,2177,5397,2117xem5407,2117l5468,2117,5468,2177,5407,2177,5407,2117xem5417,2117l5478,2117,5478,2177,5417,2177,5417,2117xem5437,2117l5498,2117,5498,2177,5437,2177,5437,2117xem5448,2117l5508,2117,5508,2177,5448,2177,5448,2117xem5458,2117l5519,2117,5519,2177,5458,2177,5458,2117xem5478,2117l5539,2117,5539,2177,5478,2177,5478,2117xem5488,2117l5549,2117,5549,2177,5488,2177,5488,2117xem5498,2117l5559,2117,5559,2177,5498,2177,5498,2117xem5508,2117l5569,2117,5569,2177,5508,2177,5508,2117xem5529,2117l5589,2117,5589,2177,5529,2177,5529,2117xem5539,2117l5600,2117,5600,2177,5539,2177,5539,2117xem5549,2117l5610,2117,5610,2177,5549,2177,5549,2117xem5559,2117l5620,2117,5620,2177,5559,2177,5559,2117xem5579,2117l5640,2117,5640,2177,5579,2177,5579,2117xem5589,2117l5650,2117,5650,2177,5589,2177,5589,2117xem5600,2117l5660,2117,5660,2177,5600,2177,5600,2117xem5610,2117l5671,2117,5671,2177,5610,2177,5610,2117xem5630,2117l5691,2117,5691,2177,5630,2177,5630,2117xem5640,2117l5701,2117,5701,2177,5640,2177,5640,2117xem5650,2117l5711,2117,5711,2177,5650,2177,5650,2117xem5660,2117l5721,2117,5721,2177,5660,2177,5660,2117xem5681,2117l5741,2117,5741,2177,5681,2177,5681,2117xem5691,2117l5752,2117,5752,2177,5691,2177,5691,2117xem5701,2117l5762,2117,5762,2177,5701,2177,5701,2117xem5711,2117l5772,2117,5772,2177,5711,2177,5711,2117xem5731,2117l5792,2117,5792,2177,5731,2177,5731,2117xem5742,2117l5802,2117,5802,2177,5742,2177,5742,2117xem5752,2117l5812,2117,5812,2177,5752,2177,5752,2117xem5772,2117l5833,2117,5833,2177,5772,2177,5772,2117xem5782,2117l5843,2117,5843,2177,5782,2177,5782,2117xem5792,2117l5853,2117,5853,2177,5792,2177,5792,2117xem5802,2117l5863,2117,5863,2177,5802,2177,5802,2117xem5823,2117l5883,2117,5883,2177,5823,2177,5823,2117xem5833,2117l5894,2117,5894,2177,5833,2177,5833,2117xem5843,2117l5904,2117,5904,2177,5843,2177,5843,2117xem5853,2117l5914,2117,5914,2177,5853,2177,5853,2117xem5873,2117l5934,2117,5934,2177,5873,2177,5873,2117xem5883,2117l5944,2117,5944,2177,5883,2177,5883,2117xem5894,2117l5954,2117,5954,2177,5894,2177,5894,2117xem5904,2117l5965,2117,5965,2177,5904,2177,5904,2117xem5924,2117l5985,2117,5985,2177,5924,2177,5924,2117xem5934,2117l5995,2117,5995,2177,5934,2177,5934,2117xem5944,2117l6005,2117,6005,2177,5944,2177,5944,2117xem5954,2117l6015,2117,6015,2177,5954,2177,5954,2117xem5975,2117l6035,2117,6035,2177,5975,2177,5975,2117xem5985,2117l6046,2117,6046,2177,5985,2177,5985,2117xem5995,2117l6056,2117,6056,2177,5995,2177,5995,2117xem6005,2117l6066,2117,6066,2177,6005,2177,6005,2117xem6025,2117l6086,2117,6086,2177,6025,2177,6025,2117xem6035,2117l6096,2117,6096,2177,6035,2177,6035,2117xem6046,2117l6106,2117,6106,2177,6046,2177,6046,2117xem6066,2117l6127,2117,6127,2177,6066,2177,6066,2117xem6076,2117l6137,2117,6137,2177,6076,2177,6076,2117xem6086,2117l6147,2117,6147,2177,6086,2177,6086,2117xem6096,2117l6157,2117,6157,2177,6096,2177,6096,2117xem6117,2117l6177,2117,6177,2177,6117,2177,6117,2117xem6127,2117l6187,2117,6187,2177,6127,2177,6127,2117xem6137,2117l6198,2117,6198,2177,6137,2177,6137,2117xem6147,2117l6208,2117,6208,2177,6147,2177,6147,2117xem6167,2117l6228,2117,6228,2177,6167,2177,6167,2117xem6177,2117l6238,2117,6238,2177,6177,2177,6177,2117xem6187,2117l6248,2117,6248,2177,6187,2177,6187,2117xem6198,2117l6258,2117,6258,2177,6198,2177,6198,2117xem6218,2117l6279,2117,6279,2177,6218,2177,6218,2117xem6228,2117l6289,2117,6289,2177,6228,2177,6228,2117xem6238,2117l6299,2117,6299,2177,6238,2177,6238,2117xem6248,2117l6309,2117,6309,2177,6248,2177,6248,2117xem6269,2117l6329,2117,6329,2177,6269,2177,6269,2117xem6279,2117l6340,2117,6340,2177,6279,2177,6279,2117xem6289,2117l6350,2117,6350,2177,6289,2177,6289,2117xem6299,2117l6360,2117,6360,2177,6299,2177,6299,2117xem6319,2117l6380,2117,6380,2177,6319,2177,6319,2117xem6329,2117l6390,2117,6390,2177,6329,2177,6329,2117xem6340,2117l6400,2117,6400,2177,6340,2177,6340,2117xem6350,2117l6410,2117,6410,2177,6350,2177,6350,2117xem6370,2117l6431,2117,6431,2177,6370,2177,6370,2117xem6380,2117l6441,2117,6441,2177,6380,2177,6380,2117xe">
              <v:fill on="t" focussize="0,0"/>
              <v:stroke weight="0.51pt" color="#000000" miterlimit="2" endcap="round"/>
              <v:imagedata o:title=""/>
              <o:lock v:ext="edit"/>
            </v:shape>
            <w10:wrap type="none"/>
            <w10:anchorlock/>
          </v:group>
        </w:pict>
      </w:r>
    </w:p>
    <w:p w14:paraId="5EA832BD">
      <w:pPr>
        <w:spacing w:before="7" w:line="228" w:lineRule="auto"/>
        <w:ind w:left="1147"/>
        <w:rPr>
          <w:rFonts w:ascii="宋体" w:hAnsi="宋体" w:eastAsia="宋体" w:cs="宋体"/>
          <w:sz w:val="16"/>
          <w:szCs w:val="16"/>
        </w:rPr>
      </w:pPr>
      <w:r>
        <w:rPr>
          <w:rFonts w:ascii="宋体" w:hAnsi="宋体" w:eastAsia="宋体" w:cs="宋体"/>
          <w:spacing w:val="-9"/>
          <w:sz w:val="16"/>
          <w:szCs w:val="16"/>
        </w:rPr>
        <w:t>0</w:t>
      </w:r>
      <w:r>
        <w:rPr>
          <w:rFonts w:ascii="宋体" w:hAnsi="宋体" w:eastAsia="宋体" w:cs="宋体"/>
          <w:spacing w:val="5"/>
          <w:sz w:val="16"/>
          <w:szCs w:val="16"/>
        </w:rPr>
        <w:t xml:space="preserve">             </w:t>
      </w:r>
      <w:r>
        <w:rPr>
          <w:rFonts w:ascii="宋体" w:hAnsi="宋体" w:eastAsia="宋体" w:cs="宋体"/>
          <w:spacing w:val="-9"/>
          <w:sz w:val="16"/>
          <w:szCs w:val="16"/>
        </w:rPr>
        <w:t>1000</w:t>
      </w:r>
      <w:r>
        <w:rPr>
          <w:rFonts w:ascii="宋体" w:hAnsi="宋体" w:eastAsia="宋体" w:cs="宋体"/>
          <w:spacing w:val="3"/>
          <w:sz w:val="16"/>
          <w:szCs w:val="16"/>
        </w:rPr>
        <w:t xml:space="preserve">            </w:t>
      </w:r>
      <w:r>
        <w:rPr>
          <w:rFonts w:ascii="宋体" w:hAnsi="宋体" w:eastAsia="宋体" w:cs="宋体"/>
          <w:spacing w:val="-9"/>
          <w:sz w:val="16"/>
          <w:szCs w:val="16"/>
        </w:rPr>
        <w:t>2000</w:t>
      </w:r>
      <w:r>
        <w:rPr>
          <w:rFonts w:ascii="宋体" w:hAnsi="宋体" w:eastAsia="宋体" w:cs="宋体"/>
          <w:spacing w:val="2"/>
          <w:sz w:val="16"/>
          <w:szCs w:val="16"/>
        </w:rPr>
        <w:t xml:space="preserve">            </w:t>
      </w:r>
      <w:r>
        <w:rPr>
          <w:rFonts w:ascii="宋体" w:hAnsi="宋体" w:eastAsia="宋体" w:cs="宋体"/>
          <w:spacing w:val="-9"/>
          <w:sz w:val="16"/>
          <w:szCs w:val="16"/>
        </w:rPr>
        <w:t>3000</w:t>
      </w:r>
      <w:r>
        <w:rPr>
          <w:rFonts w:ascii="宋体" w:hAnsi="宋体" w:eastAsia="宋体" w:cs="宋体"/>
          <w:spacing w:val="3"/>
          <w:sz w:val="16"/>
          <w:szCs w:val="16"/>
        </w:rPr>
        <w:t xml:space="preserve">            </w:t>
      </w:r>
      <w:r>
        <w:rPr>
          <w:rFonts w:ascii="宋体" w:hAnsi="宋体" w:eastAsia="宋体" w:cs="宋体"/>
          <w:spacing w:val="-9"/>
          <w:sz w:val="16"/>
          <w:szCs w:val="16"/>
        </w:rPr>
        <w:t>4000</w:t>
      </w:r>
      <w:r>
        <w:rPr>
          <w:rFonts w:ascii="宋体" w:hAnsi="宋体" w:eastAsia="宋体" w:cs="宋体"/>
          <w:spacing w:val="3"/>
          <w:sz w:val="16"/>
          <w:szCs w:val="16"/>
        </w:rPr>
        <w:t xml:space="preserve">            </w:t>
      </w:r>
      <w:r>
        <w:rPr>
          <w:rFonts w:ascii="宋体" w:hAnsi="宋体" w:eastAsia="宋体" w:cs="宋体"/>
          <w:spacing w:val="-9"/>
          <w:sz w:val="16"/>
          <w:szCs w:val="16"/>
        </w:rPr>
        <w:t>5000</w:t>
      </w:r>
    </w:p>
    <w:p w14:paraId="13B744EE">
      <w:pPr>
        <w:spacing w:line="221" w:lineRule="auto"/>
        <w:ind w:left="7509"/>
        <w:rPr>
          <w:rFonts w:ascii="宋体" w:hAnsi="宋体" w:eastAsia="宋体" w:cs="宋体"/>
          <w:sz w:val="13"/>
          <w:szCs w:val="13"/>
        </w:rPr>
      </w:pPr>
      <w:r>
        <w:rPr>
          <w:rFonts w:ascii="宋体" w:hAnsi="宋体" w:eastAsia="宋体" w:cs="宋体"/>
          <w:spacing w:val="2"/>
          <w:sz w:val="13"/>
          <w:szCs w:val="13"/>
        </w:rPr>
        <w:t>距离(m)</w:t>
      </w:r>
    </w:p>
    <w:p w14:paraId="767D83BB">
      <w:pPr>
        <w:spacing w:before="135" w:line="225" w:lineRule="auto"/>
        <w:ind w:left="774"/>
        <w:rPr>
          <w:rFonts w:ascii="宋体" w:hAnsi="宋体" w:eastAsia="宋体" w:cs="宋体"/>
          <w:sz w:val="25"/>
          <w:szCs w:val="25"/>
        </w:rPr>
      </w:pPr>
      <w:r>
        <w:rPr>
          <w:rFonts w:ascii="宋体" w:hAnsi="宋体" w:eastAsia="宋体" w:cs="宋体"/>
          <w:b/>
          <w:bCs/>
          <w:spacing w:val="6"/>
          <w:sz w:val="25"/>
          <w:szCs w:val="25"/>
        </w:rPr>
        <w:t>图</w:t>
      </w:r>
      <w:r>
        <w:rPr>
          <w:rFonts w:ascii="宋体" w:hAnsi="宋体" w:eastAsia="宋体" w:cs="宋体"/>
          <w:spacing w:val="-49"/>
          <w:sz w:val="25"/>
          <w:szCs w:val="25"/>
        </w:rPr>
        <w:t xml:space="preserve"> </w:t>
      </w:r>
      <w:r>
        <w:rPr>
          <w:rFonts w:ascii="Times New Roman" w:hAnsi="Times New Roman" w:eastAsia="Times New Roman" w:cs="Times New Roman"/>
          <w:b/>
          <w:bCs/>
          <w:spacing w:val="6"/>
          <w:sz w:val="25"/>
          <w:szCs w:val="25"/>
        </w:rPr>
        <w:t xml:space="preserve">7    </w:t>
      </w:r>
      <w:r>
        <w:rPr>
          <w:rFonts w:ascii="宋体" w:hAnsi="宋体" w:eastAsia="宋体" w:cs="宋体"/>
          <w:b/>
          <w:bCs/>
          <w:spacing w:val="6"/>
          <w:sz w:val="25"/>
          <w:szCs w:val="25"/>
        </w:rPr>
        <w:t>盐酸（氯化氢）—轴线最大浓度</w:t>
      </w:r>
      <w:r>
        <w:rPr>
          <w:rFonts w:ascii="Times New Roman" w:hAnsi="Times New Roman" w:eastAsia="Times New Roman" w:cs="Times New Roman"/>
          <w:b/>
          <w:bCs/>
          <w:spacing w:val="5"/>
          <w:sz w:val="25"/>
          <w:szCs w:val="25"/>
        </w:rPr>
        <w:t>-</w:t>
      </w:r>
      <w:r>
        <w:rPr>
          <w:rFonts w:ascii="宋体" w:hAnsi="宋体" w:eastAsia="宋体" w:cs="宋体"/>
          <w:b/>
          <w:bCs/>
          <w:spacing w:val="5"/>
          <w:sz w:val="25"/>
          <w:szCs w:val="25"/>
        </w:rPr>
        <w:t>距离曲线图（最不利气象）</w:t>
      </w:r>
    </w:p>
    <w:p w14:paraId="68988501">
      <w:pPr>
        <w:spacing w:line="225" w:lineRule="auto"/>
        <w:rPr>
          <w:rFonts w:ascii="宋体" w:hAnsi="宋体" w:eastAsia="宋体" w:cs="宋体"/>
          <w:sz w:val="25"/>
          <w:szCs w:val="25"/>
        </w:rPr>
        <w:sectPr>
          <w:footerReference r:id="rId146" w:type="default"/>
          <w:pgSz w:w="11906" w:h="16839"/>
          <w:pgMar w:top="400" w:right="1418" w:bottom="1127" w:left="1418" w:header="0" w:footer="965" w:gutter="0"/>
          <w:cols w:space="720" w:num="1"/>
        </w:sectPr>
      </w:pPr>
    </w:p>
    <w:p w14:paraId="58B8B4A0">
      <w:pPr>
        <w:spacing w:line="258" w:lineRule="auto"/>
        <w:rPr>
          <w:rFonts w:ascii="Arial"/>
          <w:sz w:val="21"/>
        </w:rPr>
      </w:pPr>
    </w:p>
    <w:p w14:paraId="47AD540D">
      <w:pPr>
        <w:spacing w:line="259" w:lineRule="auto"/>
        <w:rPr>
          <w:rFonts w:ascii="Arial"/>
          <w:sz w:val="21"/>
        </w:rPr>
      </w:pPr>
    </w:p>
    <w:p w14:paraId="41BF22D7">
      <w:pPr>
        <w:spacing w:line="259" w:lineRule="auto"/>
        <w:rPr>
          <w:rFonts w:ascii="Arial"/>
          <w:sz w:val="21"/>
        </w:rPr>
      </w:pPr>
    </w:p>
    <w:p w14:paraId="5B4BC55D">
      <w:pPr>
        <w:spacing w:line="259" w:lineRule="auto"/>
        <w:rPr>
          <w:rFonts w:ascii="Arial"/>
          <w:sz w:val="21"/>
        </w:rPr>
      </w:pPr>
    </w:p>
    <w:p w14:paraId="4008B1FB">
      <w:pPr>
        <w:spacing w:line="259" w:lineRule="auto"/>
        <w:rPr>
          <w:rFonts w:ascii="Arial"/>
          <w:sz w:val="21"/>
        </w:rPr>
      </w:pPr>
    </w:p>
    <w:p w14:paraId="5B489206">
      <w:pPr>
        <w:spacing w:line="3767" w:lineRule="exact"/>
        <w:ind w:firstLine="376"/>
      </w:pPr>
      <w:r>
        <mc:AlternateContent>
          <mc:Choice Requires="wps">
            <w:drawing>
              <wp:anchor distT="0" distB="0" distL="0" distR="0" simplePos="0" relativeHeight="251684864" behindDoc="0" locked="0" layoutInCell="1" allowOverlap="1">
                <wp:simplePos x="0" y="0"/>
                <wp:positionH relativeFrom="column">
                  <wp:posOffset>-266065</wp:posOffset>
                </wp:positionH>
                <wp:positionV relativeFrom="paragraph">
                  <wp:posOffset>238760</wp:posOffset>
                </wp:positionV>
                <wp:extent cx="633730" cy="153670"/>
                <wp:effectExtent l="0" t="0" r="0" b="0"/>
                <wp:wrapNone/>
                <wp:docPr id="72" name="TextBox 72"/>
                <wp:cNvGraphicFramePr/>
                <a:graphic xmlns:a="http://schemas.openxmlformats.org/drawingml/2006/main">
                  <a:graphicData uri="http://schemas.microsoft.com/office/word/2010/wordprocessingShape">
                    <wps:wsp>
                      <wps:cNvSpPr txBox="1"/>
                      <wps:spPr>
                        <a:xfrm rot="16200000">
                          <a:off x="-266494" y="239081"/>
                          <a:ext cx="633730" cy="1536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2F7C0FE">
                            <w:pPr>
                              <w:spacing w:before="43" w:line="218" w:lineRule="auto"/>
                              <w:ind w:left="20"/>
                              <w:rPr>
                                <w:rFonts w:ascii="宋体" w:hAnsi="宋体" w:eastAsia="宋体" w:cs="宋体"/>
                                <w:sz w:val="15"/>
                                <w:szCs w:val="15"/>
                              </w:rPr>
                            </w:pPr>
                            <w:r>
                              <w:rPr>
                                <w:rFonts w:ascii="宋体" w:hAnsi="宋体" w:eastAsia="宋体" w:cs="宋体"/>
                                <w:spacing w:val="3"/>
                                <w:sz w:val="15"/>
                                <w:szCs w:val="15"/>
                              </w:rPr>
                              <w:t>浓度</w:t>
                            </w:r>
                            <w:r>
                              <w:rPr>
                                <w:rFonts w:ascii="宋体" w:hAnsi="宋体" w:eastAsia="宋体" w:cs="宋体"/>
                                <w:spacing w:val="40"/>
                                <w:w w:val="101"/>
                                <w:sz w:val="15"/>
                                <w:szCs w:val="15"/>
                              </w:rPr>
                              <w:t xml:space="preserve"> </w:t>
                            </w:r>
                            <w:r>
                              <w:rPr>
                                <w:rFonts w:ascii="宋体" w:hAnsi="宋体" w:eastAsia="宋体" w:cs="宋体"/>
                                <w:spacing w:val="3"/>
                                <w:sz w:val="15"/>
                                <w:szCs w:val="15"/>
                              </w:rPr>
                              <w:t>(</w:t>
                            </w:r>
                            <w:r>
                              <w:rPr>
                                <w:rFonts w:ascii="宋体" w:hAnsi="宋体" w:eastAsia="宋体" w:cs="宋体"/>
                                <w:sz w:val="15"/>
                                <w:szCs w:val="15"/>
                              </w:rPr>
                              <w:t>mg</w:t>
                            </w:r>
                            <w:r>
                              <w:rPr>
                                <w:rFonts w:ascii="宋体" w:hAnsi="宋体" w:eastAsia="宋体" w:cs="宋体"/>
                                <w:spacing w:val="3"/>
                                <w:sz w:val="15"/>
                                <w:szCs w:val="15"/>
                              </w:rPr>
                              <w:t>/m3)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 o:spid="_x0000_s1026" o:spt="202" type="#_x0000_t202" style="position:absolute;left:0pt;margin-left:-20.95pt;margin-top:18.8pt;height:12.1pt;width:49.9pt;rotation:-5898240f;z-index:251684864;mso-width-relative:page;mso-height-relative:page;" filled="f" stroked="f" coordsize="21600,21600" o:gfxdata="UEsDBAoAAAAAAIdO4kAAAAAAAAAAAAAAAAAEAAAAZHJzL1BLAwQUAAAACACHTuJA//NlR9gAAAAI&#10;AQAADwAAAGRycy9kb3ducmV2LnhtbE2Py07DMBBF90j8gzVI7FonPJI2ZNIFUjdllRaBunPjaRJh&#10;j0PsNoWvx6xgeTVH954pVxdrxJlG3ztGSOcJCOLG6Z5bhNfderYA4YNirYxjQvgiD6vq+qpUhXYT&#10;13TehlbEEvaFQuhCGAopfdORVX7uBuJ4O7rRqhDj2Eo9qimWWyPvkiSTVvUcFzo10HNHzcf2ZBHM&#10;Sy0337zxe3pv9/qt/pzWeYZ4e5MmTyACXcIfDL/6UR2q6HRwJ9ZeGITZQ7qMKMJ9noGIwGMe8wEh&#10;Sxcgq1L+f6D6AVBLAwQUAAAACACHTuJAxHI3llICAACiBAAADgAAAGRycy9lMm9Eb2MueG1srVTL&#10;btswELwX6D8QvCfyI3USw3LgxkhRIGgCOEXPNEVZBPgqSVtKv75DSkqDtIcc6gOxWi5nd2dnvbrp&#10;tCIn4YO0pqTT8wklwnBbSXMo6fenu7MrSkJkpmLKGlHSZxHozfrjh1XrlmJmG6sq4QlATFi2rqRN&#10;jG5ZFIE3QrNwbp0wuKyt1yzi0x+KyrMW6FoVs8lkUbTWV85bLkKAd9tf0gHRvwfQ1rXkYmv5UQsT&#10;e1QvFItoKTTSBbrO1da14PGhroOIRJUUncZ8IgnsfTqL9YotD565RvKhBPaeEt70pJk0SPoCtWWR&#10;kaOXf0Fpyb0Nto7n3OqibyQzgi6mkzfc7BrmRO4FVAf3Qnr4f7D82+nRE1mV9HJGiWEaE38SXfxs&#10;OwIP6GldWCJq5xAXO/ghmtEf4Exdd7XXxFuwO11gxvhlMtAeQfjZbLG4uL6g5Lmks/n15Cq/Z0uk&#10;IRz3i/n8co6BcNxPP80Xl3ksRQ+b4J0P8YuwmiSjpB5TzfjsdB8iSkToGJLCjb2TSuXJKkPaPGzO&#10;INUaEskPX0Wkh1sWGnJikEiwSla9KLSM0LmSepAJkiiDXImPvu9kxW7fDSTtbfUMjjIN6CY4ficB&#10;fs9CfGQeqoITexcfcNTKoi47WJQ01v/6lz/FY9i4paSFSlHhzyPzghL11UAGgIyj4UdjPxrmqG8t&#10;uprmarKJBz6q0ay91T+wjpuUBVfMcOQqaRzN29jvCtaZi80mB0G4jsV7s3M8QfeMb47R1jIPI9HS&#10;czGwBenmGQ1rlnbj9XeO+vPX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lR9gAAAAIAQAA&#10;DwAAAAAAAAABACAAAAAiAAAAZHJzL2Rvd25yZXYueG1sUEsBAhQAFAAAAAgAh07iQMRyN5ZSAgAA&#10;ogQAAA4AAAAAAAAAAQAgAAAAJwEAAGRycy9lMm9Eb2MueG1sUEsFBgAAAAAGAAYAWQEAAOsFAAAA&#10;AA==&#10;">
                <v:fill on="f" focussize="0,0"/>
                <v:stroke on="f" weight="0pt" miterlimit="0" joinstyle="miter"/>
                <v:imagedata o:title=""/>
                <o:lock v:ext="edit" aspectratio="f"/>
                <v:textbox inset="0mm,0mm,0mm,0mm">
                  <w:txbxContent>
                    <w:p w14:paraId="72F7C0FE">
                      <w:pPr>
                        <w:spacing w:before="43" w:line="218" w:lineRule="auto"/>
                        <w:ind w:left="20"/>
                        <w:rPr>
                          <w:rFonts w:ascii="宋体" w:hAnsi="宋体" w:eastAsia="宋体" w:cs="宋体"/>
                          <w:sz w:val="15"/>
                          <w:szCs w:val="15"/>
                        </w:rPr>
                      </w:pPr>
                      <w:r>
                        <w:rPr>
                          <w:rFonts w:ascii="宋体" w:hAnsi="宋体" w:eastAsia="宋体" w:cs="宋体"/>
                          <w:spacing w:val="3"/>
                          <w:sz w:val="15"/>
                          <w:szCs w:val="15"/>
                        </w:rPr>
                        <w:t>浓度</w:t>
                      </w:r>
                      <w:r>
                        <w:rPr>
                          <w:rFonts w:ascii="宋体" w:hAnsi="宋体" w:eastAsia="宋体" w:cs="宋体"/>
                          <w:spacing w:val="40"/>
                          <w:w w:val="101"/>
                          <w:sz w:val="15"/>
                          <w:szCs w:val="15"/>
                        </w:rPr>
                        <w:t xml:space="preserve"> </w:t>
                      </w:r>
                      <w:r>
                        <w:rPr>
                          <w:rFonts w:ascii="宋体" w:hAnsi="宋体" w:eastAsia="宋体" w:cs="宋体"/>
                          <w:spacing w:val="3"/>
                          <w:sz w:val="15"/>
                          <w:szCs w:val="15"/>
                        </w:rPr>
                        <w:t>(</w:t>
                      </w:r>
                      <w:r>
                        <w:rPr>
                          <w:rFonts w:ascii="宋体" w:hAnsi="宋体" w:eastAsia="宋体" w:cs="宋体"/>
                          <w:sz w:val="15"/>
                          <w:szCs w:val="15"/>
                        </w:rPr>
                        <w:t>mg</w:t>
                      </w:r>
                      <w:r>
                        <w:rPr>
                          <w:rFonts w:ascii="宋体" w:hAnsi="宋体" w:eastAsia="宋体" w:cs="宋体"/>
                          <w:spacing w:val="3"/>
                          <w:sz w:val="15"/>
                          <w:szCs w:val="15"/>
                        </w:rPr>
                        <w:t>/m3)</w:t>
                      </w:r>
                    </w:p>
                  </w:txbxContent>
                </v:textbox>
              </v:shape>
            </w:pict>
          </mc:Fallback>
        </mc:AlternateContent>
      </w:r>
      <w:r>
        <mc:AlternateContent>
          <mc:Choice Requires="wps">
            <w:drawing>
              <wp:anchor distT="0" distB="0" distL="0" distR="0" simplePos="0" relativeHeight="251682816" behindDoc="0" locked="0" layoutInCell="1" allowOverlap="1">
                <wp:simplePos x="0" y="0"/>
                <wp:positionH relativeFrom="column">
                  <wp:posOffset>-935990</wp:posOffset>
                </wp:positionH>
                <wp:positionV relativeFrom="paragraph">
                  <wp:posOffset>1159510</wp:posOffset>
                </wp:positionV>
                <wp:extent cx="2198370" cy="213995"/>
                <wp:effectExtent l="0" t="0" r="0" b="0"/>
                <wp:wrapNone/>
                <wp:docPr id="74" name="TextBox 74"/>
                <wp:cNvGraphicFramePr/>
                <a:graphic xmlns:a="http://schemas.openxmlformats.org/drawingml/2006/main">
                  <a:graphicData uri="http://schemas.microsoft.com/office/word/2010/wordprocessingShape">
                    <wps:wsp>
                      <wps:cNvSpPr txBox="1"/>
                      <wps:spPr>
                        <a:xfrm rot="16200000">
                          <a:off x="-936614" y="1159600"/>
                          <a:ext cx="2198370" cy="2139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8119E75">
                            <w:pPr>
                              <w:spacing w:before="73" w:line="243" w:lineRule="exact"/>
                              <w:ind w:left="20"/>
                              <w:rPr>
                                <w:rFonts w:ascii="宋体" w:hAnsi="宋体" w:eastAsia="宋体" w:cs="宋体"/>
                                <w:sz w:val="18"/>
                                <w:szCs w:val="18"/>
                              </w:rPr>
                            </w:pPr>
                            <w:r>
                              <w:rPr>
                                <w:rFonts w:ascii="宋体" w:hAnsi="宋体" w:eastAsia="宋体" w:cs="宋体"/>
                                <w:spacing w:val="-6"/>
                                <w:position w:val="1"/>
                                <w:sz w:val="18"/>
                                <w:szCs w:val="18"/>
                              </w:rPr>
                              <w:t>0</w:t>
                            </w:r>
                            <w:r>
                              <w:rPr>
                                <w:rFonts w:ascii="宋体" w:hAnsi="宋体" w:eastAsia="宋体" w:cs="宋体"/>
                                <w:spacing w:val="10"/>
                                <w:position w:val="1"/>
                                <w:sz w:val="18"/>
                                <w:szCs w:val="18"/>
                              </w:rPr>
                              <w:t xml:space="preserve">      </w:t>
                            </w:r>
                            <w:r>
                              <w:rPr>
                                <w:rFonts w:ascii="宋体" w:hAnsi="宋体" w:eastAsia="宋体" w:cs="宋体"/>
                                <w:spacing w:val="-6"/>
                                <w:position w:val="1"/>
                                <w:sz w:val="18"/>
                                <w:szCs w:val="18"/>
                              </w:rPr>
                              <w:t>1</w:t>
                            </w:r>
                            <w:r>
                              <w:rPr>
                                <w:rFonts w:ascii="宋体" w:hAnsi="宋体" w:eastAsia="宋体" w:cs="宋体"/>
                                <w:spacing w:val="6"/>
                                <w:position w:val="1"/>
                                <w:sz w:val="18"/>
                                <w:szCs w:val="18"/>
                              </w:rPr>
                              <w:t xml:space="preserve">      </w:t>
                            </w:r>
                            <w:r>
                              <w:rPr>
                                <w:rFonts w:ascii="宋体" w:hAnsi="宋体" w:eastAsia="宋体" w:cs="宋体"/>
                                <w:spacing w:val="-6"/>
                                <w:position w:val="1"/>
                                <w:sz w:val="18"/>
                                <w:szCs w:val="18"/>
                              </w:rPr>
                              <w:t>2       3</w:t>
                            </w:r>
                            <w:r>
                              <w:rPr>
                                <w:rFonts w:ascii="宋体" w:hAnsi="宋体" w:eastAsia="宋体" w:cs="宋体"/>
                                <w:spacing w:val="6"/>
                                <w:position w:val="1"/>
                                <w:sz w:val="18"/>
                                <w:szCs w:val="18"/>
                              </w:rPr>
                              <w:t xml:space="preserve">      </w:t>
                            </w:r>
                            <w:r>
                              <w:rPr>
                                <w:rFonts w:ascii="宋体" w:hAnsi="宋体" w:eastAsia="宋体" w:cs="宋体"/>
                                <w:spacing w:val="-6"/>
                                <w:position w:val="1"/>
                                <w:sz w:val="18"/>
                                <w:szCs w:val="18"/>
                              </w:rPr>
                              <w:t>4</w:t>
                            </w:r>
                            <w:r>
                              <w:rPr>
                                <w:rFonts w:ascii="宋体" w:hAnsi="宋体" w:eastAsia="宋体" w:cs="宋体"/>
                                <w:spacing w:val="7"/>
                                <w:position w:val="1"/>
                                <w:sz w:val="18"/>
                                <w:szCs w:val="18"/>
                              </w:rPr>
                              <w:t xml:space="preserve">      </w:t>
                            </w:r>
                            <w:r>
                              <w:rPr>
                                <w:rFonts w:ascii="宋体" w:hAnsi="宋体" w:eastAsia="宋体" w:cs="宋体"/>
                                <w:spacing w:val="-6"/>
                                <w:position w:val="1"/>
                                <w:sz w:val="18"/>
                                <w:szCs w:val="18"/>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 o:spid="_x0000_s1026" o:spt="202" type="#_x0000_t202" style="position:absolute;left:0pt;margin-left:-73.7pt;margin-top:91.3pt;height:16.85pt;width:173.1pt;rotation:-5898240f;z-index:251682816;mso-width-relative:page;mso-height-relative:page;" filled="f" stroked="f" coordsize="21600,21600" o:gfxdata="UEsDBAoAAAAAAIdO4kAAAAAAAAAAAAAAAAAEAAAAZHJzL1BLAwQUAAAACACHTuJAb9iAn9oAAAAM&#10;AQAADwAAAGRycy9kb3ducmV2LnhtbE2PMU/DMBCFdyT+g3VIbK2TUKUhjdMBqUuZUipQNzc+kqjx&#10;OcRuU/j1XCcYT+/Tu+8V66vtxQVH3zlSEM8jEEi1Mx01CvZvm1kGwgdNRveOUME3eliX93eFzo2b&#10;qMLLLjSCS8jnWkEbwpBL6esWrfZzNyBx9ulGqwOfYyPNqCcut71MoiiVVnfEH1o94EuL9Wl3tgr6&#10;10puf2jrD/jRHMx79TVtlqlSjw9xtAIR8Br+YLjpszqU7HR0ZzJe9Apm8WK5YJaTLElB3JDnjNcc&#10;FSRx+gSyLOT/EeUvUEsDBBQAAAAIAIdO4kB+H1OdTwIAAKQEAAAOAAAAZHJzL2Uyb0RvYy54bWyt&#10;VE1PGzEQvVfqf7B8J5tNSiARG5QSUVVCBQlQz47Xy1ryV20nu/TX99mbBUR74NAcrNnx85uZNzO5&#10;uOy1Igfhg7SmouVkSokw3NbSPFX08eH65JySEJmpmbJGVPRZBHq5/vzponMrMbOtVbXwBCQmrDpX&#10;0TZGtyqKwFuhWZhYJwwuG+s1i/j0T0XtWQd2rYrZdLooOutr5y0XIcC7HS7pkdF/hNA2jeRia/le&#10;CxMHVi8UiygptNIFus7ZNo3g8bZpgohEVRSVxnwiCOxdOov1BVs9eeZayY8psI+k8K4mzaRB0Beq&#10;LYuM7L38i0pL7m2wTZxwq4uhkKwIqiin77S5b5kTuRZIHdyL6OH/0fIfhztPZF3Rsy+UGKbR8QfR&#10;x6+2J/BAns6FFVD3DrjYw4+hGf0BzlR133hNvIW65QI9xi+LgfII4CfL+WJRgv4Z9+XpcoHrrDvi&#10;EA7ArFyez8/QEg7ErJwvl6cJUAzEKYDzIX4TVpNkVNSjrzkCO9yEOEBHSIIbey2VyjGUIV1uN2cY&#10;1gZDkh++QaSHWxZacmAYkmCVrIf0tIyYdCX1cVCQjzJIKykyVJ6s2O96RErmztbPUCkLgWqC49cS&#10;5DcsxDvmMVdwYvPiLY5GWeRljxYlrfW//+VPeLQbt5R0mFNk+GvPvKBEfTcYBFDG0fCjsRsNs9dX&#10;FlWVOZts4oGPajQbb/VPLOQmRcEVMxyxKhpH8yoO24KF5mKzySCMrmPxxtw7nqgHxTf7aBuZm/Gq&#10;xVEtDG9u53HR0na8/c6o1z+X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2ICf2gAAAAwBAAAP&#10;AAAAAAAAAAEAIAAAACIAAABkcnMvZG93bnJldi54bWxQSwECFAAUAAAACACHTuJAfh9TnU8CAACk&#10;BAAADgAAAAAAAAABACAAAAApAQAAZHJzL2Uyb0RvYy54bWxQSwUGAAAAAAYABgBZAQAA6gUAAAAA&#10;">
                <v:fill on="f" focussize="0,0"/>
                <v:stroke on="f" weight="0pt" miterlimit="0" joinstyle="miter"/>
                <v:imagedata o:title=""/>
                <o:lock v:ext="edit" aspectratio="f"/>
                <v:textbox inset="0mm,0mm,0mm,0mm">
                  <w:txbxContent>
                    <w:p w14:paraId="28119E75">
                      <w:pPr>
                        <w:spacing w:before="73" w:line="243" w:lineRule="exact"/>
                        <w:ind w:left="20"/>
                        <w:rPr>
                          <w:rFonts w:ascii="宋体" w:hAnsi="宋体" w:eastAsia="宋体" w:cs="宋体"/>
                          <w:sz w:val="18"/>
                          <w:szCs w:val="18"/>
                        </w:rPr>
                      </w:pPr>
                      <w:r>
                        <w:rPr>
                          <w:rFonts w:ascii="宋体" w:hAnsi="宋体" w:eastAsia="宋体" w:cs="宋体"/>
                          <w:spacing w:val="-6"/>
                          <w:position w:val="1"/>
                          <w:sz w:val="18"/>
                          <w:szCs w:val="18"/>
                        </w:rPr>
                        <w:t>0</w:t>
                      </w:r>
                      <w:r>
                        <w:rPr>
                          <w:rFonts w:ascii="宋体" w:hAnsi="宋体" w:eastAsia="宋体" w:cs="宋体"/>
                          <w:spacing w:val="10"/>
                          <w:position w:val="1"/>
                          <w:sz w:val="18"/>
                          <w:szCs w:val="18"/>
                        </w:rPr>
                        <w:t xml:space="preserve">      </w:t>
                      </w:r>
                      <w:r>
                        <w:rPr>
                          <w:rFonts w:ascii="宋体" w:hAnsi="宋体" w:eastAsia="宋体" w:cs="宋体"/>
                          <w:spacing w:val="-6"/>
                          <w:position w:val="1"/>
                          <w:sz w:val="18"/>
                          <w:szCs w:val="18"/>
                        </w:rPr>
                        <w:t>1</w:t>
                      </w:r>
                      <w:r>
                        <w:rPr>
                          <w:rFonts w:ascii="宋体" w:hAnsi="宋体" w:eastAsia="宋体" w:cs="宋体"/>
                          <w:spacing w:val="6"/>
                          <w:position w:val="1"/>
                          <w:sz w:val="18"/>
                          <w:szCs w:val="18"/>
                        </w:rPr>
                        <w:t xml:space="preserve">      </w:t>
                      </w:r>
                      <w:r>
                        <w:rPr>
                          <w:rFonts w:ascii="宋体" w:hAnsi="宋体" w:eastAsia="宋体" w:cs="宋体"/>
                          <w:spacing w:val="-6"/>
                          <w:position w:val="1"/>
                          <w:sz w:val="18"/>
                          <w:szCs w:val="18"/>
                        </w:rPr>
                        <w:t>2       3</w:t>
                      </w:r>
                      <w:r>
                        <w:rPr>
                          <w:rFonts w:ascii="宋体" w:hAnsi="宋体" w:eastAsia="宋体" w:cs="宋体"/>
                          <w:spacing w:val="6"/>
                          <w:position w:val="1"/>
                          <w:sz w:val="18"/>
                          <w:szCs w:val="18"/>
                        </w:rPr>
                        <w:t xml:space="preserve">      </w:t>
                      </w:r>
                      <w:r>
                        <w:rPr>
                          <w:rFonts w:ascii="宋体" w:hAnsi="宋体" w:eastAsia="宋体" w:cs="宋体"/>
                          <w:spacing w:val="-6"/>
                          <w:position w:val="1"/>
                          <w:sz w:val="18"/>
                          <w:szCs w:val="18"/>
                        </w:rPr>
                        <w:t>4</w:t>
                      </w:r>
                      <w:r>
                        <w:rPr>
                          <w:rFonts w:ascii="宋体" w:hAnsi="宋体" w:eastAsia="宋体" w:cs="宋体"/>
                          <w:spacing w:val="7"/>
                          <w:position w:val="1"/>
                          <w:sz w:val="18"/>
                          <w:szCs w:val="18"/>
                        </w:rPr>
                        <w:t xml:space="preserve">      </w:t>
                      </w:r>
                      <w:r>
                        <w:rPr>
                          <w:rFonts w:ascii="宋体" w:hAnsi="宋体" w:eastAsia="宋体" w:cs="宋体"/>
                          <w:spacing w:val="-6"/>
                          <w:position w:val="1"/>
                          <w:sz w:val="18"/>
                          <w:szCs w:val="18"/>
                        </w:rPr>
                        <w:t>5</w:t>
                      </w:r>
                    </w:p>
                  </w:txbxContent>
                </v:textbox>
              </v:shape>
            </w:pict>
          </mc:Fallback>
        </mc:AlternateContent>
      </w:r>
      <w:r>
        <w:rPr>
          <w:position w:val="-75"/>
        </w:rPr>
        <w:drawing>
          <wp:inline distT="0" distB="0" distL="0" distR="0">
            <wp:extent cx="5274945" cy="239204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18"/>
                    <a:stretch>
                      <a:fillRect/>
                    </a:stretch>
                  </pic:blipFill>
                  <pic:spPr>
                    <a:xfrm>
                      <a:off x="0" y="0"/>
                      <a:ext cx="5275503" cy="2392134"/>
                    </a:xfrm>
                    <a:prstGeom prst="rect">
                      <a:avLst/>
                    </a:prstGeom>
                  </pic:spPr>
                </pic:pic>
              </a:graphicData>
            </a:graphic>
          </wp:inline>
        </w:drawing>
      </w:r>
    </w:p>
    <w:p w14:paraId="00B05EA5">
      <w:pPr>
        <w:spacing w:before="9" w:line="237" w:lineRule="auto"/>
        <w:ind w:left="450"/>
        <w:rPr>
          <w:rFonts w:ascii="宋体" w:hAnsi="宋体" w:eastAsia="宋体" w:cs="宋体"/>
          <w:sz w:val="18"/>
          <w:szCs w:val="18"/>
        </w:rPr>
      </w:pPr>
      <w:r>
        <w:rPr>
          <w:rFonts w:ascii="宋体" w:hAnsi="宋体" w:eastAsia="宋体" w:cs="宋体"/>
          <w:spacing w:val="-7"/>
          <w:sz w:val="18"/>
          <w:szCs w:val="18"/>
        </w:rPr>
        <w:t>0</w:t>
      </w:r>
      <w:r>
        <w:rPr>
          <w:rFonts w:ascii="宋体" w:hAnsi="宋体" w:eastAsia="宋体" w:cs="宋体"/>
          <w:spacing w:val="2"/>
          <w:sz w:val="18"/>
          <w:szCs w:val="18"/>
        </w:rPr>
        <w:t xml:space="preserve">              </w:t>
      </w:r>
      <w:r>
        <w:rPr>
          <w:rFonts w:ascii="宋体" w:hAnsi="宋体" w:eastAsia="宋体" w:cs="宋体"/>
          <w:spacing w:val="-7"/>
          <w:sz w:val="18"/>
          <w:szCs w:val="18"/>
        </w:rPr>
        <w:t>1000</w:t>
      </w:r>
      <w:r>
        <w:rPr>
          <w:rFonts w:ascii="宋体" w:hAnsi="宋体" w:eastAsia="宋体" w:cs="宋体"/>
          <w:spacing w:val="6"/>
          <w:sz w:val="18"/>
          <w:szCs w:val="18"/>
        </w:rPr>
        <w:t xml:space="preserve">            </w:t>
      </w:r>
      <w:r>
        <w:rPr>
          <w:rFonts w:ascii="宋体" w:hAnsi="宋体" w:eastAsia="宋体" w:cs="宋体"/>
          <w:spacing w:val="-7"/>
          <w:sz w:val="18"/>
          <w:szCs w:val="18"/>
        </w:rPr>
        <w:t>2000</w:t>
      </w:r>
      <w:r>
        <w:rPr>
          <w:rFonts w:ascii="宋体" w:hAnsi="宋体" w:eastAsia="宋体" w:cs="宋体"/>
          <w:spacing w:val="7"/>
          <w:sz w:val="18"/>
          <w:szCs w:val="18"/>
        </w:rPr>
        <w:t xml:space="preserve">            </w:t>
      </w:r>
      <w:r>
        <w:rPr>
          <w:rFonts w:ascii="宋体" w:hAnsi="宋体" w:eastAsia="宋体" w:cs="宋体"/>
          <w:spacing w:val="-7"/>
          <w:sz w:val="18"/>
          <w:szCs w:val="18"/>
        </w:rPr>
        <w:t>3000</w:t>
      </w:r>
      <w:r>
        <w:rPr>
          <w:rFonts w:ascii="宋体" w:hAnsi="宋体" w:eastAsia="宋体" w:cs="宋体"/>
          <w:spacing w:val="6"/>
          <w:sz w:val="18"/>
          <w:szCs w:val="18"/>
        </w:rPr>
        <w:t xml:space="preserve">            </w:t>
      </w:r>
      <w:r>
        <w:rPr>
          <w:rFonts w:ascii="宋体" w:hAnsi="宋体" w:eastAsia="宋体" w:cs="宋体"/>
          <w:spacing w:val="-7"/>
          <w:sz w:val="18"/>
          <w:szCs w:val="18"/>
        </w:rPr>
        <w:t>4000</w:t>
      </w:r>
      <w:r>
        <w:rPr>
          <w:rFonts w:ascii="宋体" w:hAnsi="宋体" w:eastAsia="宋体" w:cs="宋体"/>
          <w:spacing w:val="7"/>
          <w:sz w:val="18"/>
          <w:szCs w:val="18"/>
        </w:rPr>
        <w:t xml:space="preserve">            </w:t>
      </w:r>
      <w:r>
        <w:rPr>
          <w:rFonts w:ascii="宋体" w:hAnsi="宋体" w:eastAsia="宋体" w:cs="宋体"/>
          <w:spacing w:val="-7"/>
          <w:sz w:val="18"/>
          <w:szCs w:val="18"/>
        </w:rPr>
        <w:t>5000</w:t>
      </w:r>
    </w:p>
    <w:p w14:paraId="34B50682">
      <w:pPr>
        <w:spacing w:line="224" w:lineRule="auto"/>
        <w:ind w:left="7879"/>
        <w:rPr>
          <w:rFonts w:ascii="宋体" w:hAnsi="宋体" w:eastAsia="宋体" w:cs="宋体"/>
          <w:sz w:val="15"/>
          <w:szCs w:val="15"/>
        </w:rPr>
      </w:pPr>
      <w:r>
        <w:rPr>
          <w:rFonts w:ascii="宋体" w:hAnsi="宋体" w:eastAsia="宋体" w:cs="宋体"/>
          <w:spacing w:val="4"/>
          <w:sz w:val="15"/>
          <w:szCs w:val="15"/>
        </w:rPr>
        <w:t>距离(m)</w:t>
      </w:r>
    </w:p>
    <w:p w14:paraId="578649FE">
      <w:pPr>
        <w:spacing w:before="138" w:line="225" w:lineRule="auto"/>
        <w:ind w:left="1176"/>
        <w:rPr>
          <w:rFonts w:ascii="宋体" w:hAnsi="宋体" w:eastAsia="宋体" w:cs="宋体"/>
          <w:sz w:val="25"/>
          <w:szCs w:val="25"/>
        </w:rPr>
      </w:pPr>
      <w:r>
        <w:rPr>
          <w:rFonts w:ascii="宋体" w:hAnsi="宋体" w:eastAsia="宋体" w:cs="宋体"/>
          <w:b/>
          <w:bCs/>
          <w:spacing w:val="5"/>
          <w:sz w:val="25"/>
          <w:szCs w:val="25"/>
        </w:rPr>
        <w:t>图</w:t>
      </w:r>
      <w:r>
        <w:rPr>
          <w:rFonts w:ascii="宋体" w:hAnsi="宋体" w:eastAsia="宋体" w:cs="宋体"/>
          <w:spacing w:val="-45"/>
          <w:sz w:val="25"/>
          <w:szCs w:val="25"/>
        </w:rPr>
        <w:t xml:space="preserve"> </w:t>
      </w:r>
      <w:r>
        <w:rPr>
          <w:rFonts w:ascii="Times New Roman" w:hAnsi="Times New Roman" w:eastAsia="Times New Roman" w:cs="Times New Roman"/>
          <w:b/>
          <w:bCs/>
          <w:spacing w:val="5"/>
          <w:sz w:val="25"/>
          <w:szCs w:val="25"/>
        </w:rPr>
        <w:t xml:space="preserve">8    </w:t>
      </w:r>
      <w:r>
        <w:rPr>
          <w:rFonts w:ascii="宋体" w:hAnsi="宋体" w:eastAsia="宋体" w:cs="宋体"/>
          <w:b/>
          <w:bCs/>
          <w:spacing w:val="5"/>
          <w:sz w:val="25"/>
          <w:szCs w:val="25"/>
        </w:rPr>
        <w:t>氟化氢—轴线最大浓度</w:t>
      </w:r>
      <w:r>
        <w:rPr>
          <w:rFonts w:ascii="Times New Roman" w:hAnsi="Times New Roman" w:eastAsia="Times New Roman" w:cs="Times New Roman"/>
          <w:b/>
          <w:bCs/>
          <w:spacing w:val="5"/>
          <w:sz w:val="25"/>
          <w:szCs w:val="25"/>
        </w:rPr>
        <w:t>-</w:t>
      </w:r>
      <w:r>
        <w:rPr>
          <w:rFonts w:ascii="宋体" w:hAnsi="宋体" w:eastAsia="宋体" w:cs="宋体"/>
          <w:b/>
          <w:bCs/>
          <w:spacing w:val="5"/>
          <w:sz w:val="25"/>
          <w:szCs w:val="25"/>
        </w:rPr>
        <w:t>距离曲线图（最不利气象）</w:t>
      </w:r>
    </w:p>
    <w:p w14:paraId="6D96D4DF">
      <w:pPr>
        <w:spacing w:line="340" w:lineRule="auto"/>
        <w:rPr>
          <w:rFonts w:ascii="Arial"/>
          <w:sz w:val="21"/>
        </w:rPr>
      </w:pPr>
    </w:p>
    <w:p w14:paraId="199C5C5F">
      <w:pPr>
        <w:spacing w:line="340" w:lineRule="auto"/>
        <w:rPr>
          <w:rFonts w:ascii="Arial"/>
          <w:sz w:val="21"/>
        </w:rPr>
      </w:pPr>
      <w:r>
        <mc:AlternateContent>
          <mc:Choice Requires="wps">
            <w:drawing>
              <wp:anchor distT="0" distB="0" distL="0" distR="0" simplePos="0" relativeHeight="251685888" behindDoc="0" locked="0" layoutInCell="1" allowOverlap="1">
                <wp:simplePos x="0" y="0"/>
                <wp:positionH relativeFrom="column">
                  <wp:posOffset>-90805</wp:posOffset>
                </wp:positionH>
                <wp:positionV relativeFrom="paragraph">
                  <wp:posOffset>252730</wp:posOffset>
                </wp:positionV>
                <wp:extent cx="281305" cy="153670"/>
                <wp:effectExtent l="0" t="0" r="0" b="0"/>
                <wp:wrapNone/>
                <wp:docPr id="78" name="TextBox 78"/>
                <wp:cNvGraphicFramePr/>
                <a:graphic xmlns:a="http://schemas.openxmlformats.org/drawingml/2006/main">
                  <a:graphicData uri="http://schemas.microsoft.com/office/word/2010/wordprocessingShape">
                    <wps:wsp>
                      <wps:cNvSpPr txBox="1"/>
                      <wps:spPr>
                        <a:xfrm rot="16200000">
                          <a:off x="-91279" y="253010"/>
                          <a:ext cx="281304" cy="1536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865836">
                            <w:pPr>
                              <w:spacing w:before="43" w:line="219" w:lineRule="auto"/>
                              <w:ind w:left="20"/>
                              <w:rPr>
                                <w:rFonts w:ascii="宋体" w:hAnsi="宋体" w:eastAsia="宋体" w:cs="宋体"/>
                                <w:sz w:val="15"/>
                                <w:szCs w:val="15"/>
                              </w:rPr>
                            </w:pPr>
                            <w:r>
                              <w:rPr>
                                <w:rFonts w:ascii="宋体" w:hAnsi="宋体" w:eastAsia="宋体" w:cs="宋体"/>
                                <w:spacing w:val="6"/>
                                <w:sz w:val="15"/>
                                <w:szCs w:val="15"/>
                              </w:rPr>
                              <w:t>g/m3)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7.15pt;margin-top:19.9pt;height:12.1pt;width:22.15pt;rotation:-5898240f;z-index:251685888;mso-width-relative:page;mso-height-relative:page;" filled="f" stroked="f" coordsize="21600,21600" o:gfxdata="UEsDBAoAAAAAAIdO4kAAAAAAAAAAAAAAAAAEAAAAZHJzL1BLAwQUAAAACACHTuJAeEck+tcAAAAI&#10;AQAADwAAAGRycy9kb3ducmV2LnhtbE2PMU/DMBCFdyT+g3VIbK0dUgUIcTogdSlTCgJ1c+MjibDP&#10;IXabwq/nmGA83dN731etz96JE05xCKQhWyoQSG2wA3UaXp43izsQMRmyxgVCDV8YYV1fXlSmtGGm&#10;Bk+71AkuoVgaDX1KYyllbHv0Ji7DiMS/9zB5k/icOmknM3O5d/JGqUJ6MxAv9GbExx7bj93Ra3BP&#10;jdx+0zbu8a3b29fmc97cFlpfX2XqAUTCc/oLwy8+o0PNTIdwJBuF07DIVjlHNeT3rMCBXLHbQUOx&#10;UiDrSv4XqH8AUEsDBBQAAAAIAIdO4kC6ATruTwIAAKEEAAAOAAAAZHJzL2Uyb0RvYy54bWytVMtu&#10;2zAQvBfoPxC8J7Ls5mVYDtwYKQoETYCk6JmmKIsAXyVpS+nXd0hJaZD2kEN9IFa7y9nd2aFX171W&#10;5Ch8kNZUtDydUSIMt7U0+4p+f7o9uaQkRGZqpqwRFX0WgV6vP35YdW4p5ra1qhaeAMSEZecq2sbo&#10;lkUReCs0C6fWCYNgY71mEZ9+X9SedUDXqpjPZudFZ33tvOUiBHi3Q5COiP49gLZpJBdbyw9amDig&#10;eqFYxEihlS7Qde62aQSP900TRCSqopg05hNFYO/SWaxXbLn3zLWSjy2w97TwZibNpEHRF6gti4wc&#10;vPwLSkvubbBNPOVWF8MgmRFMUc7ecPPYMifyLKA6uBfSw/+D5d+OD57IuqIX2LthGht/En38bHsC&#10;D+jpXFgi69EhL/bwQzSTP8CZpu4br4m3YLc8x47xy2RgPIL0k6tyfnFFyXNF52cLjDmwjiqEIzy/&#10;LBezT5RwxMuzxflFjhcDakJ3PsQvwmqSjIp6LDXDs+NdiOgQqVNKSjf2ViqVF6sM6fKuOYNSGygk&#10;X3yVkS5uWWjJkUEhwSpZD91pGSFzJfWoEhRRBrUSHcPYyYr9rh852tn6GRRlFqCu4PitBPgdC/GB&#10;eYgKTjy7eI+jURZ92dGipLX+17/8KR+7RpSSDiJFhz8PzAtK1FcDFSRFT4afjN1kmIO+sZiqzN1k&#10;Exd8VJPZeKt/4DVuUhWEmOGoVdE4mTdxeCp4zVxsNjkJunUs3plHxxP0wPjmEG0j8zISLQMXI1tQ&#10;bt7R+MrS03j9nbP+/LO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4RyT61wAAAAgBAAAPAAAA&#10;AAAAAAEAIAAAACIAAABkcnMvZG93bnJldi54bWxQSwECFAAUAAAACACHTuJAugE67k8CAAChBAAA&#10;DgAAAAAAAAABACAAAAAmAQAAZHJzL2Uyb0RvYy54bWxQSwUGAAAAAAYABgBZAQAA5wUAAAAA&#10;">
                <v:fill on="f" focussize="0,0"/>
                <v:stroke on="f" weight="0pt" miterlimit="0" joinstyle="miter"/>
                <v:imagedata o:title=""/>
                <o:lock v:ext="edit" aspectratio="f"/>
                <v:textbox inset="0mm,0mm,0mm,0mm">
                  <w:txbxContent>
                    <w:p w14:paraId="4E865836">
                      <w:pPr>
                        <w:spacing w:before="43" w:line="219" w:lineRule="auto"/>
                        <w:ind w:left="20"/>
                        <w:rPr>
                          <w:rFonts w:ascii="宋体" w:hAnsi="宋体" w:eastAsia="宋体" w:cs="宋体"/>
                          <w:sz w:val="15"/>
                          <w:szCs w:val="15"/>
                        </w:rPr>
                      </w:pPr>
                      <w:r>
                        <w:rPr>
                          <w:rFonts w:ascii="宋体" w:hAnsi="宋体" w:eastAsia="宋体" w:cs="宋体"/>
                          <w:spacing w:val="6"/>
                          <w:sz w:val="15"/>
                          <w:szCs w:val="15"/>
                        </w:rPr>
                        <w:t>g/m3)</w:t>
                      </w:r>
                    </w:p>
                  </w:txbxContent>
                </v:textbox>
              </v:shape>
            </w:pict>
          </mc:Fallback>
        </mc:AlternateContent>
      </w:r>
    </w:p>
    <w:p w14:paraId="5EB1C97B">
      <w:pPr>
        <w:spacing w:line="3699" w:lineRule="exact"/>
        <w:ind w:firstLine="376"/>
      </w:pPr>
      <w:r>
        <mc:AlternateContent>
          <mc:Choice Requires="wps">
            <w:drawing>
              <wp:anchor distT="0" distB="0" distL="0" distR="0" simplePos="0" relativeHeight="251687936" behindDoc="0" locked="0" layoutInCell="1" allowOverlap="1">
                <wp:simplePos x="0" y="0"/>
                <wp:positionH relativeFrom="column">
                  <wp:posOffset>81280</wp:posOffset>
                </wp:positionH>
                <wp:positionV relativeFrom="paragraph">
                  <wp:posOffset>104140</wp:posOffset>
                </wp:positionV>
                <wp:extent cx="161290" cy="146685"/>
                <wp:effectExtent l="0" t="0" r="0" b="0"/>
                <wp:wrapNone/>
                <wp:docPr id="80" name="TextBox 80"/>
                <wp:cNvGraphicFramePr/>
                <a:graphic xmlns:a="http://schemas.openxmlformats.org/drawingml/2006/main">
                  <a:graphicData uri="http://schemas.microsoft.com/office/word/2010/wordprocessingShape">
                    <wps:wsp>
                      <wps:cNvSpPr txBox="1"/>
                      <wps:spPr>
                        <a:xfrm rot="16200000">
                          <a:off x="81363" y="104444"/>
                          <a:ext cx="161289" cy="14668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7F40C4">
                            <w:pPr>
                              <w:spacing w:before="20" w:line="190" w:lineRule="exact"/>
                              <w:ind w:left="20"/>
                              <w:rPr>
                                <w:rFonts w:ascii="宋体" w:hAnsi="宋体" w:eastAsia="宋体" w:cs="宋体"/>
                                <w:sz w:val="19"/>
                                <w:szCs w:val="19"/>
                              </w:rPr>
                            </w:pPr>
                            <w:r>
                              <w:rPr>
                                <w:rFonts w:ascii="宋体" w:hAnsi="宋体" w:eastAsia="宋体" w:cs="宋体"/>
                                <w:spacing w:val="17"/>
                                <w:position w:val="2"/>
                                <w:sz w:val="19"/>
                                <w:szCs w:val="19"/>
                                <w:em w:val="dot"/>
                              </w:rPr>
                              <w:t>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6.4pt;margin-top:8.2pt;height:11.55pt;width:12.7pt;rotation:-5898240f;z-index:251687936;mso-width-relative:page;mso-height-relative:page;" filled="f" stroked="f" coordsize="21600,21600" o:gfxdata="UEsDBAoAAAAAAIdO4kAAAAAAAAAAAAAAAAAEAAAAZHJzL1BLAwQUAAAACACHTuJAolBeGNUAAAAH&#10;AQAADwAAAGRycy9kb3ducmV2LnhtbE2OMU/DMBSEdyT+g/WQ2KjTUNIS4nSo1KWdUhBVNzd+JBH2&#10;cxq7TeHX85hgOp3udPcVy6uz4oJD6DwpmE4SEEi1Nx01Ct5e1w8LECFqMtp6QgVfGGBZ3t4UOjd+&#10;pAovu9gIHqGQawVtjH0uZahbdDpMfI/E2YcfnI5sh0aaQY887qxMkySTTnfED63ucdVi/bk7OwV2&#10;W8nNN23CAffNwbxXp3E9z5S6v5smLyAiXuNfGX7xGR1KZjr6M5kgLPuUySNrNgPB+eMiBXFkfX4C&#10;WRbyP3/5A1BLAwQUAAAACACHTuJAauqwqkoCAACgBAAADgAAAGRycy9lMm9Eb2MueG1srVRNb9sw&#10;DL0P2H8QdF+dpF2QBXWKrEGGAcVaoB12VmSpFqCvSUrs7tfvSba7otuhh/kg0CT9RD4++vKqN5qc&#10;RIjK2ZrOz2aUCMtdo+xjTb8/7D+sKImJ2YZpZ0VNn0SkV5v37y47vxYL1zrdiEAAYuO68zVtU/Lr&#10;qoq8FYbFM+eFRVC6YFjCa3ismsA6oBtdLWazZdW50PjguIgR3t0QpCNieAugk1JxsXP8aIRNA2oQ&#10;miW0FFvlI92UaqUUPN1KGUUiuqboNJUTl8A+5LPaXLL1Y2C+VXwsgb2lhFc9GaYsLn2G2rHEyDGo&#10;v6CM4sFFJ9MZd6YaGimMoIv57BU39y3zovQCqqN/Jj3+P1j+7XQXiGpqugIllhlM/EH06bPrCTyg&#10;p/Nxjax7j7zUww/RTP4IZ+66l8GQ4MDufIkZ4ylkoD2C9NX8fHlOyROisws8A+m4hPAMtpwvVp8o&#10;4Tl+sVyuPuZ4NYBmcB9i+iKcIdmoacBMCzo73cQ0pE4pOd26vdK6zFVb0pVRcwahSgikfPgiI3+4&#10;Y7ElJwaBRKdVM1RnVILKtTKjSFCPtigrszF0na3UH/qRooNrnsBQIQFMRs/3CuA3LKY7FqApOLF1&#10;6RaH1A51udGipHXh17/8OR+jRpSSDhpFhT+PLAhK9FcLEQAyTUaYjMNk2KO5duhqXqopJj4ISU+m&#10;DM78wDJu8y0IMctxV03TZF6nYVOwzFxstyUJsvUs3dh7zzP0wPj2mJxUZRiZloGLkS0It4xzXLK8&#10;GS/fS9afH8v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JQXhjVAAAABwEAAA8AAAAAAAAAAQAg&#10;AAAAIgAAAGRycy9kb3ducmV2LnhtbFBLAQIUABQAAAAIAIdO4kBq6rCqSgIAAKAEAAAOAAAAAAAA&#10;AAEAIAAAACQBAABkcnMvZTJvRG9jLnhtbFBLBQYAAAAABgAGAFkBAADgBQAAAAA=&#10;">
                <v:fill on="f" focussize="0,0"/>
                <v:stroke on="f" weight="0pt" miterlimit="0" joinstyle="miter"/>
                <v:imagedata o:title=""/>
                <o:lock v:ext="edit" aspectratio="f"/>
                <v:textbox inset="0mm,0mm,0mm,0mm">
                  <w:txbxContent>
                    <w:p w14:paraId="7F7F40C4">
                      <w:pPr>
                        <w:spacing w:before="20" w:line="190" w:lineRule="exact"/>
                        <w:ind w:left="20"/>
                        <w:rPr>
                          <w:rFonts w:ascii="宋体" w:hAnsi="宋体" w:eastAsia="宋体" w:cs="宋体"/>
                          <w:sz w:val="19"/>
                          <w:szCs w:val="19"/>
                        </w:rPr>
                      </w:pPr>
                      <w:r>
                        <w:rPr>
                          <w:rFonts w:ascii="宋体" w:hAnsi="宋体" w:eastAsia="宋体" w:cs="宋体"/>
                          <w:spacing w:val="17"/>
                          <w:position w:val="2"/>
                          <w:sz w:val="19"/>
                          <w:szCs w:val="19"/>
                          <w:em w:val="dot"/>
                        </w:rPr>
                        <w:t>25</w:t>
                      </w:r>
                    </w:p>
                  </w:txbxContent>
                </v:textbox>
              </v:shape>
            </w:pict>
          </mc:Fallback>
        </mc:AlternateContent>
      </w:r>
      <w:r>
        <mc:AlternateContent>
          <mc:Choice Requires="wps">
            <w:drawing>
              <wp:anchor distT="0" distB="0" distL="0" distR="0" simplePos="0" relativeHeight="251688960" behindDoc="0" locked="0" layoutInCell="1" allowOverlap="1">
                <wp:simplePos x="0" y="0"/>
                <wp:positionH relativeFrom="column">
                  <wp:posOffset>-3810</wp:posOffset>
                </wp:positionH>
                <wp:positionV relativeFrom="paragraph">
                  <wp:posOffset>208280</wp:posOffset>
                </wp:positionV>
                <wp:extent cx="106680" cy="162560"/>
                <wp:effectExtent l="0" t="0" r="0" b="0"/>
                <wp:wrapNone/>
                <wp:docPr id="82" name="TextBox 82"/>
                <wp:cNvGraphicFramePr/>
                <a:graphic xmlns:a="http://schemas.openxmlformats.org/drawingml/2006/main">
                  <a:graphicData uri="http://schemas.microsoft.com/office/word/2010/wordprocessingShape">
                    <wps:wsp>
                      <wps:cNvSpPr txBox="1"/>
                      <wps:spPr>
                        <a:xfrm rot="16200000">
                          <a:off x="-4077" y="208589"/>
                          <a:ext cx="106679" cy="1625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2CF5F7">
                            <w:pPr>
                              <w:spacing w:before="50" w:line="228" w:lineRule="auto"/>
                              <w:ind w:left="20"/>
                              <w:rPr>
                                <w:rFonts w:ascii="宋体" w:hAnsi="宋体" w:eastAsia="宋体" w:cs="宋体"/>
                                <w:sz w:val="15"/>
                                <w:szCs w:val="15"/>
                              </w:rPr>
                            </w:pPr>
                            <w:r>
                              <w:rPr>
                                <w:rFonts w:ascii="宋体" w:hAnsi="宋体" w:eastAsia="宋体" w:cs="宋体"/>
                                <w:spacing w:val="-6"/>
                                <w:w w:val="92"/>
                                <w:sz w:val="15"/>
                                <w:szCs w:val="15"/>
                              </w:rPr>
                              <w:t>(m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0.3pt;margin-top:16.4pt;height:12.8pt;width:8.4pt;rotation:-5898240f;z-index:251688960;mso-width-relative:page;mso-height-relative:page;" filled="f" stroked="f" coordsize="21600,21600" o:gfxdata="UEsDBAoAAAAAAIdO4kAAAAAAAAAAAAAAAAAEAAAAZHJzL1BLAwQUAAAACACHTuJAlVlZu9UAAAAG&#10;AQAADwAAAGRycy9kb3ducmV2LnhtbE2PMW/CMBSE90r9D9ar1A0c0jZFaV4YKrHAFIpAbCZ+TaLa&#10;z2lsCPTX10zteLrT3XfF4mKNONPgO8cIs2kCgrh2uuMGYfuxnMxB+KBYK+OYEK7kYVHe3xUq127k&#10;is6b0IhYwj5XCG0IfS6lr1uyyk9dTxy9TzdYFaIcGqkHNcZya2SaJJm0quO40Kqe3luqvzYni2DW&#10;lVz98MofaN8c9K76HpevGeLjwyx5AxHoEv7CcMOP6FBGpqM7sfbCIEyyGER4SuOBm52lII4IL/Nn&#10;kGUh/+OXv1BLAwQUAAAACACHTuJA785bFE4CAACgBAAADgAAAGRycy9lMm9Eb2MueG1srVRNb9sw&#10;DL0P2H8QdG/sBGuaBnWKrEGGAcVaoB12VmS5FqCvSUrs7tfvSba7otuhh+Ug0BT1SD4+5uq614qc&#10;hA/SmorOZyUlwnBbS/NU0e+P+7MVJSEyUzNljajoswj0evPxw1Xn1mJhW6tq4QlATFh3rqJtjG5d&#10;FIG3QrMws04YXDbWaxbx6Z+K2rMO6FoVi7JcFp31tfOWixDg3Q2XdET07wG0TSO52Fl+1MLEAdUL&#10;xSJaCq10gW5ytU0jeLxrmiAiURVFpzGfSAL7kM5ic8XWT565VvKxBPaeEt70pJk0SPoCtWORkaOX&#10;f0Fpyb0NtokzbnUxNJIZQRfz8g03Dy1zIvcCqoN7IT38P1j+7XTviawrulpQYpjGxB9FHz/bnsAD&#10;ejoX1oh6cIiLPfwQzeQPcKau+8Zr4i3YnS8xY/wyGWiPIPzsU3lxQclzRRfl6nx1OZCOJIQnsHK5&#10;vLikhOMer8+XeSjFAJrAnQ/xi7CaJKOiHjPN6Ox0GyIKROgUksKN3Uul8lyVIV0eNWcQagOB5Iev&#10;ItLDHQstOTEIJFgl66E6LSNUrqQeRYIkyiBXYmPoOlmxP/QjRQdbP4OhTALEFRzfS4DfshDvmYem&#10;4MTWxTscjbKoy44WJa31v/7lT/EYNW4p6aBRVPjzyLygRH01EEES9GT4yThMhjnqG4uu5rmabOKB&#10;j2oyG2/1DyzjNmXBFTMcuSoaJ/MmDpuCZeZiu81BkK1j8dY8OJ6gB8a3x2gbmYeRaBm4GNmCcPOM&#10;xiVLm/H6O0f9+WPZ/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WVm71QAAAAYBAAAPAAAAAAAA&#10;AAEAIAAAACIAAABkcnMvZG93bnJldi54bWxQSwECFAAUAAAACACHTuJA785bFE4CAACgBAAADgAA&#10;AAAAAAABACAAAAAkAQAAZHJzL2Uyb0RvYy54bWxQSwUGAAAAAAYABgBZAQAA5AUAAAAA&#10;">
                <v:fill on="f" focussize="0,0"/>
                <v:stroke on="f" weight="0pt" miterlimit="0" joinstyle="miter"/>
                <v:imagedata o:title=""/>
                <o:lock v:ext="edit" aspectratio="f"/>
                <v:textbox inset="0mm,0mm,0mm,0mm">
                  <w:txbxContent>
                    <w:p w14:paraId="642CF5F7">
                      <w:pPr>
                        <w:spacing w:before="50" w:line="228" w:lineRule="auto"/>
                        <w:ind w:left="20"/>
                        <w:rPr>
                          <w:rFonts w:ascii="宋体" w:hAnsi="宋体" w:eastAsia="宋体" w:cs="宋体"/>
                          <w:sz w:val="15"/>
                          <w:szCs w:val="15"/>
                        </w:rPr>
                      </w:pPr>
                      <w:r>
                        <w:rPr>
                          <w:rFonts w:ascii="宋体" w:hAnsi="宋体" w:eastAsia="宋体" w:cs="宋体"/>
                          <w:spacing w:val="-6"/>
                          <w:w w:val="92"/>
                          <w:sz w:val="15"/>
                          <w:szCs w:val="15"/>
                        </w:rPr>
                        <w:t>(m</w:t>
                      </w:r>
                    </w:p>
                  </w:txbxContent>
                </v:textbox>
              </v:shape>
            </w:pict>
          </mc:Fallback>
        </mc:AlternateContent>
      </w:r>
      <w:r>
        <mc:AlternateContent>
          <mc:Choice Requires="wps">
            <w:drawing>
              <wp:anchor distT="0" distB="0" distL="0" distR="0" simplePos="0" relativeHeight="251689984" behindDoc="0" locked="0" layoutInCell="1" allowOverlap="1">
                <wp:simplePos x="0" y="0"/>
                <wp:positionH relativeFrom="column">
                  <wp:posOffset>121285</wp:posOffset>
                </wp:positionH>
                <wp:positionV relativeFrom="paragraph">
                  <wp:posOffset>163830</wp:posOffset>
                </wp:positionV>
                <wp:extent cx="80645" cy="218440"/>
                <wp:effectExtent l="0" t="0" r="0" b="0"/>
                <wp:wrapNone/>
                <wp:docPr id="84" name="TextBox 84"/>
                <wp:cNvGraphicFramePr/>
                <a:graphic xmlns:a="http://schemas.openxmlformats.org/drawingml/2006/main">
                  <a:graphicData uri="http://schemas.microsoft.com/office/word/2010/wordprocessingShape">
                    <wps:wsp>
                      <wps:cNvSpPr txBox="1"/>
                      <wps:spPr>
                        <a:xfrm rot="16200000">
                          <a:off x="121775" y="164043"/>
                          <a:ext cx="80644" cy="2184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A5674E8">
                            <w:pPr>
                              <w:spacing w:before="76"/>
                              <w:ind w:left="20"/>
                              <w:rPr>
                                <w:rFonts w:ascii="宋体" w:hAnsi="宋体" w:eastAsia="宋体" w:cs="宋体"/>
                                <w:sz w:val="19"/>
                                <w:szCs w:val="19"/>
                              </w:rPr>
                            </w:pPr>
                            <w:r>
                              <w:rPr>
                                <w:rFonts w:ascii="宋体" w:hAnsi="宋体" w:eastAsia="宋体" w:cs="宋体"/>
                                <w:sz w:val="19"/>
                                <w:szCs w:val="19"/>
                              </w:rPr>
                              <w:t>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9.55pt;margin-top:12.9pt;height:17.2pt;width:6.35pt;rotation:-5898240f;z-index:251689984;mso-width-relative:page;mso-height-relative:page;" filled="f" stroked="f" coordsize="21600,21600" o:gfxdata="UEsDBAoAAAAAAIdO4kAAAAAAAAAAAAAAAAAEAAAAZHJzL1BLAwQUAAAACACHTuJA6zR2rtUAAAAH&#10;AQAADwAAAGRycy9kb3ducmV2LnhtbE2PwU7DMBBE70j8g7VI3KidIAKkcXpA6qWcUhCoNzfeJhH2&#10;OsRuU/h6lhOcVqMZzb6pVmfvxAmnOATSkC0UCKQ22IE6Da8v65sHEDEZssYFQg1fGGFVX15UprRh&#10;pgZP29QJLqFYGg19SmMpZWx79CYuwojE3iFM3iSWUyftZGYu907mShXSm4H4Q29GfOqx/dgevQb3&#10;3MjNN23iDt+7nX1rPuf1faH19VWmliASntNfGH7xGR1qZtqHI9koHOvHjJMa8jtewP5txnevoVA5&#10;yLqS//nrH1BLAwQUAAAACACHTuJAKYVds0wCAACgBAAADgAAAGRycy9lMm9Eb2MueG1srVRNb9sw&#10;DL0P2H8QdF+dZFkbBHWKrEGHAcVaIB12VmSpFqCvSUrs7tfvSba7otuhh+Ug0CT1SD4+5fKqN5qc&#10;RIjK2ZrOz2aUCMtdo+xjTb8/3HxYURITsw3TzoqaPolIrzbv3112fi0WrnW6EYEAxMZ152vapuTX&#10;VRV5KwyLZ84Li6B0wbCEz/BYNYF1QDe6Wsxm51XnQuOD4yJGeHdDkI6I4S2ATkrFxc7xoxE2DahB&#10;aJYwUmyVj3RTupVS8HQnZRSJ6Jpi0lROFIF9yGe1uWTrx8B8q/jYAntLC69mMkxZFH2G2rHEyDGo&#10;v6CM4sFFJ9MZd6YaBimMYIr57BU3+5Z5UWYB1dE/kx7/Hyz/droPRDU1XS0pscxg4w+iT59dT+AB&#10;PZ2Pa2TtPfJSDz9EM/kjnHnqXgZDggO783PsGL9CBsYjOX0xv7j4RMlTDi9ny48D66hCOMKr2fkS&#10;tTnCi/lquSxLqQbQDO5DTF+EMyQbNQ3YaUFnp9uY0CBSp5Scbt2N0rrsVVvSlVVzBqFKCKRcfJGR&#10;L+5YbMmJQSDRadUMzRmVoHKtzCgSFNEWtTIbw9TZSv2hHyk6uOYJDBUSIK7o+Y0C+C2L6Z4FaApO&#10;vLp0h0Nqh77caFHSuvDrX/6cj1UjSkkHjaLDn0cWBCX6q4UIsqAnI0zGYTLs0Vw7TDUv3RQTF0LS&#10;kymDMz/wGLe5CkLMctSqaZrM6zS8FDxmLrbbkgTZepZu7d7zDD0wvj0mJ1VZRqZl4GJkC8ItOxof&#10;WX4ZL79L1p8/ls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zR2rtUAAAAHAQAADwAAAAAAAAAB&#10;ACAAAAAiAAAAZHJzL2Rvd25yZXYueG1sUEsBAhQAFAAAAAgAh07iQCmFXbNMAgAAoAQAAA4AAAAA&#10;AAAAAQAgAAAAJAEAAGRycy9lMm9Eb2MueG1sUEsFBgAAAAAGAAYAWQEAAOIFAAAAAA==&#10;">
                <v:fill on="f" focussize="0,0"/>
                <v:stroke on="f" weight="0pt" miterlimit="0" joinstyle="miter"/>
                <v:imagedata o:title=""/>
                <o:lock v:ext="edit" aspectratio="f"/>
                <v:textbox inset="0mm,0mm,0mm,0mm">
                  <w:txbxContent>
                    <w:p w14:paraId="3A5674E8">
                      <w:pPr>
                        <w:spacing w:before="76"/>
                        <w:ind w:left="20"/>
                        <w:rPr>
                          <w:rFonts w:ascii="宋体" w:hAnsi="宋体" w:eastAsia="宋体" w:cs="宋体"/>
                          <w:sz w:val="19"/>
                          <w:szCs w:val="19"/>
                        </w:rPr>
                      </w:pPr>
                      <w:r>
                        <w:rPr>
                          <w:rFonts w:ascii="宋体" w:hAnsi="宋体" w:eastAsia="宋体" w:cs="宋体"/>
                          <w:sz w:val="19"/>
                          <w:szCs w:val="19"/>
                        </w:rPr>
                        <w:t>0</w:t>
                      </w:r>
                    </w:p>
                  </w:txbxContent>
                </v:textbox>
              </v:shape>
            </w:pict>
          </mc:Fallback>
        </mc:AlternateContent>
      </w:r>
      <w:r>
        <mc:AlternateContent>
          <mc:Choice Requires="wps">
            <w:drawing>
              <wp:anchor distT="0" distB="0" distL="0" distR="0" simplePos="0" relativeHeight="251686912" behindDoc="0" locked="0" layoutInCell="1" allowOverlap="1">
                <wp:simplePos x="0" y="0"/>
                <wp:positionH relativeFrom="column">
                  <wp:posOffset>-59690</wp:posOffset>
                </wp:positionH>
                <wp:positionV relativeFrom="paragraph">
                  <wp:posOffset>420370</wp:posOffset>
                </wp:positionV>
                <wp:extent cx="218440" cy="160655"/>
                <wp:effectExtent l="0" t="0" r="0" b="0"/>
                <wp:wrapNone/>
                <wp:docPr id="86" name="TextBox 86"/>
                <wp:cNvGraphicFramePr/>
                <a:graphic xmlns:a="http://schemas.openxmlformats.org/drawingml/2006/main">
                  <a:graphicData uri="http://schemas.microsoft.com/office/word/2010/wordprocessingShape">
                    <wps:wsp>
                      <wps:cNvSpPr txBox="1"/>
                      <wps:spPr>
                        <a:xfrm rot="16200000">
                          <a:off x="-59950" y="420486"/>
                          <a:ext cx="218440" cy="1606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666FBE">
                            <w:pPr>
                              <w:spacing w:before="48" w:line="226" w:lineRule="auto"/>
                              <w:ind w:left="20"/>
                              <w:rPr>
                                <w:rFonts w:ascii="宋体" w:hAnsi="宋体" w:eastAsia="宋体" w:cs="宋体"/>
                                <w:sz w:val="15"/>
                                <w:szCs w:val="15"/>
                              </w:rPr>
                            </w:pPr>
                            <w:r>
                              <w:rPr>
                                <w:rFonts w:ascii="宋体" w:hAnsi="宋体" w:eastAsia="宋体" w:cs="宋体"/>
                                <w:spacing w:val="1"/>
                                <w:sz w:val="15"/>
                                <w:szCs w:val="15"/>
                              </w:rPr>
                              <w:t>浓度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4.7pt;margin-top:33.1pt;height:12.65pt;width:17.2pt;rotation:-5898240f;z-index:251686912;mso-width-relative:page;mso-height-relative:page;" filled="f" stroked="f" coordsize="21600,21600" o:gfxdata="UEsDBAoAAAAAAIdO4kAAAAAAAAAAAAAAAAAEAAAAZHJzL1BLAwQUAAAACACHTuJAyycfqNcAAAAH&#10;AQAADwAAAGRycy9kb3ducmV2LnhtbE2PMU/DMBSEdyT+g/WQ2FonEQ00jdMBqUuZUipQNzd+TSLs&#10;5xC7TeHX85hgPN3p7rtyfXVWXHAMvScF6TwBgdR401OrYP+6mT2BCFGT0dYTKvjCAOvq9qbUhfET&#10;1XjZxVZwCYVCK+hiHAopQ9Oh02HuByT2Tn50OrIcW2lGPXG5szJLklw63RMvdHrA5w6bj93ZKbAv&#10;tdx+0zYc8L09mLf6c9o85krd36XJCkTEa/wLwy8+o0PFTEd/JhOEVTBbPnBSQZ5nINjPFnztqGCZ&#10;LkBWpfzPX/0AUEsDBBQAAAAIAIdO4kD/JENyTQIAAKEEAAAOAAAAZHJzL2Uyb0RvYy54bWytVE1P&#10;GzEQvVfqf7B8h02iEEHEBqVEVJVQQYKqZ8drs5b8VdvJLv31ffbuAqI9cGgO1uzM+HnmzZtcXvVG&#10;k6MIUTlb0/npjBJhuWuUfarpj8ebk3NKYmK2YdpZUdNnEenV5vOny86vxcK1TjciEIDYuO58TduU&#10;/LqqIm+FYfHUeWERlC4YlvAZnqomsA7oRleL2WxVdS40PjguYoR3NwTpiBg+AuikVFzsHD8YYdOA&#10;GoRmCS3FVvlIN6VaKQVPd1JGkYiuKTpN5cQjsPf5rDaXbP0UmG8VH0tgHynhXU+GKYtHX6B2LDFy&#10;COovKKN4cNHJdMqdqYZGCiPoYj57x81Dy7wovYDq6F9Ij/8Pln8/3geimpqeryixzGDij6JPX1xP&#10;4AE9nY9rZD145KUefohm8kc4c9e9DIYEB3bnK8wYv0IG2iNIPzm7uDgD4c81XS5mywGWrfEK4Qgv&#10;5ufLJcIc8flqtjpbZvhqQM3oPsT0VThDslHTgKEWeHa8jWlInVJyunU3SusyWG1JV2bNGZQqoZBy&#10;8U1GvrhjsSVHBoVEp1UzaMKoBJlrZUaVoB5tUVamY2g7W6nf9yNHe9c8g6LCArqJnt8ogN+ymO5Z&#10;gKjgxNqlOxxSO9TlRouS1oXf//LnfMwaUUo6iBQV/jqwICjR3yxUAMg0GWEy9pNhD+baoat5qaaY&#10;uBCSnkwZnPmJbdzmVxBiluOtmqbJvE7DqmCbudhuSxJ061m6tQ+eZ+iB8e0hOanKMDItAxcjW1Bu&#10;Gee4ZXk13n6XrNd/ls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ycfqNcAAAAHAQAADwAAAAAA&#10;AAABACAAAAAiAAAAZHJzL2Rvd25yZXYueG1sUEsBAhQAFAAAAAgAh07iQP8kQ3JNAgAAoQQAAA4A&#10;AAAAAAAAAQAgAAAAJgEAAGRycy9lMm9Eb2MueG1sUEsFBgAAAAAGAAYAWQEAAOUFAAAAAA==&#10;">
                <v:fill on="f" focussize="0,0"/>
                <v:stroke on="f" weight="0pt" miterlimit="0" joinstyle="miter"/>
                <v:imagedata o:title=""/>
                <o:lock v:ext="edit" aspectratio="f"/>
                <v:textbox inset="0mm,0mm,0mm,0mm">
                  <w:txbxContent>
                    <w:p w14:paraId="68666FBE">
                      <w:pPr>
                        <w:spacing w:before="48" w:line="226" w:lineRule="auto"/>
                        <w:ind w:left="20"/>
                        <w:rPr>
                          <w:rFonts w:ascii="宋体" w:hAnsi="宋体" w:eastAsia="宋体" w:cs="宋体"/>
                          <w:sz w:val="15"/>
                          <w:szCs w:val="15"/>
                        </w:rPr>
                      </w:pPr>
                      <w:r>
                        <w:rPr>
                          <w:rFonts w:ascii="宋体" w:hAnsi="宋体" w:eastAsia="宋体" w:cs="宋体"/>
                          <w:spacing w:val="1"/>
                          <w:sz w:val="15"/>
                          <w:szCs w:val="15"/>
                        </w:rPr>
                        <w:t>浓度</w:t>
                      </w:r>
                    </w:p>
                  </w:txbxContent>
                </v:textbox>
              </v:shape>
            </w:pict>
          </mc:Fallback>
        </mc:AlternateContent>
      </w:r>
      <w:r>
        <mc:AlternateContent>
          <mc:Choice Requires="wps">
            <w:drawing>
              <wp:anchor distT="0" distB="0" distL="0" distR="0" simplePos="0" relativeHeight="251683840" behindDoc="0" locked="0" layoutInCell="1" allowOverlap="1">
                <wp:simplePos x="0" y="0"/>
                <wp:positionH relativeFrom="column">
                  <wp:posOffset>-772795</wp:posOffset>
                </wp:positionH>
                <wp:positionV relativeFrom="paragraph">
                  <wp:posOffset>1374140</wp:posOffset>
                </wp:positionV>
                <wp:extent cx="1870710" cy="146685"/>
                <wp:effectExtent l="0" t="0" r="0" b="0"/>
                <wp:wrapNone/>
                <wp:docPr id="88" name="TextBox 88"/>
                <wp:cNvGraphicFramePr/>
                <a:graphic xmlns:a="http://schemas.openxmlformats.org/drawingml/2006/main">
                  <a:graphicData uri="http://schemas.microsoft.com/office/word/2010/wordprocessingShape">
                    <wps:wsp>
                      <wps:cNvSpPr txBox="1"/>
                      <wps:spPr>
                        <a:xfrm rot="16200000">
                          <a:off x="-773320" y="1374558"/>
                          <a:ext cx="1870710" cy="14668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59B5FB5">
                            <w:pPr>
                              <w:spacing w:before="20" w:line="190" w:lineRule="exact"/>
                              <w:ind w:left="20"/>
                              <w:rPr>
                                <w:rFonts w:ascii="宋体" w:hAnsi="宋体" w:eastAsia="宋体" w:cs="宋体"/>
                                <w:sz w:val="19"/>
                                <w:szCs w:val="19"/>
                              </w:rPr>
                            </w:pPr>
                            <w:r>
                              <w:rPr>
                                <w:rFonts w:ascii="宋体" w:hAnsi="宋体" w:eastAsia="宋体" w:cs="宋体"/>
                                <w:spacing w:val="-11"/>
                                <w:position w:val="2"/>
                                <w:sz w:val="19"/>
                                <w:szCs w:val="19"/>
                                <w:em w:val="dot"/>
                              </w:rPr>
                              <w:t>0</w:t>
                            </w:r>
                            <w:r>
                              <w:rPr>
                                <w:rFonts w:ascii="宋体" w:hAnsi="宋体" w:eastAsia="宋体" w:cs="宋体"/>
                                <w:spacing w:val="-41"/>
                                <w:position w:val="2"/>
                                <w:sz w:val="19"/>
                                <w:szCs w:val="19"/>
                              </w:rPr>
                              <w:t xml:space="preserve"> </w:t>
                            </w:r>
                            <w:r>
                              <w:rPr>
                                <w:rFonts w:ascii="宋体" w:hAnsi="宋体" w:eastAsia="宋体" w:cs="宋体"/>
                                <w:spacing w:val="-11"/>
                                <w:position w:val="2"/>
                                <w:sz w:val="19"/>
                                <w:szCs w:val="19"/>
                                <w:em w:val="dot"/>
                              </w:rPr>
                              <w:t>00</w:t>
                            </w:r>
                            <w:r>
                              <w:rPr>
                                <w:rFonts w:ascii="宋体" w:hAnsi="宋体" w:eastAsia="宋体" w:cs="宋体"/>
                                <w:spacing w:val="-11"/>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50"/>
                                <w:position w:val="2"/>
                                <w:sz w:val="19"/>
                                <w:szCs w:val="19"/>
                              </w:rPr>
                              <w:t xml:space="preserve"> </w:t>
                            </w:r>
                            <w:r>
                              <w:rPr>
                                <w:rFonts w:ascii="宋体" w:hAnsi="宋体" w:eastAsia="宋体" w:cs="宋体"/>
                                <w:spacing w:val="-11"/>
                                <w:position w:val="2"/>
                                <w:sz w:val="19"/>
                                <w:szCs w:val="19"/>
                                <w:em w:val="dot"/>
                              </w:rPr>
                              <w:t>05</w:t>
                            </w:r>
                            <w:r>
                              <w:rPr>
                                <w:rFonts w:ascii="宋体" w:hAnsi="宋体" w:eastAsia="宋体" w:cs="宋体"/>
                                <w:spacing w:val="22"/>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36"/>
                                <w:position w:val="2"/>
                                <w:sz w:val="19"/>
                                <w:szCs w:val="19"/>
                              </w:rPr>
                              <w:t xml:space="preserve"> </w:t>
                            </w:r>
                            <w:r>
                              <w:rPr>
                                <w:rFonts w:ascii="宋体" w:hAnsi="宋体" w:eastAsia="宋体" w:cs="宋体"/>
                                <w:spacing w:val="-11"/>
                                <w:position w:val="2"/>
                                <w:sz w:val="19"/>
                                <w:szCs w:val="19"/>
                                <w:em w:val="dot"/>
                              </w:rPr>
                              <w:t>10</w:t>
                            </w:r>
                            <w:r>
                              <w:rPr>
                                <w:rFonts w:ascii="宋体" w:hAnsi="宋体" w:eastAsia="宋体" w:cs="宋体"/>
                                <w:spacing w:val="23"/>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38"/>
                                <w:position w:val="2"/>
                                <w:sz w:val="19"/>
                                <w:szCs w:val="19"/>
                              </w:rPr>
                              <w:t xml:space="preserve"> </w:t>
                            </w:r>
                            <w:r>
                              <w:rPr>
                                <w:rFonts w:ascii="宋体" w:hAnsi="宋体" w:eastAsia="宋体" w:cs="宋体"/>
                                <w:spacing w:val="-11"/>
                                <w:position w:val="2"/>
                                <w:sz w:val="19"/>
                                <w:szCs w:val="19"/>
                                <w:em w:val="dot"/>
                              </w:rPr>
                              <w:t>15</w:t>
                            </w:r>
                            <w:r>
                              <w:rPr>
                                <w:rFonts w:ascii="宋体" w:hAnsi="宋体" w:eastAsia="宋体" w:cs="宋体"/>
                                <w:spacing w:val="23"/>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49"/>
                                <w:position w:val="2"/>
                                <w:sz w:val="19"/>
                                <w:szCs w:val="19"/>
                              </w:rPr>
                              <w:t xml:space="preserve"> </w:t>
                            </w:r>
                            <w:r>
                              <w:rPr>
                                <w:rFonts w:ascii="宋体" w:hAnsi="宋体" w:eastAsia="宋体" w:cs="宋体"/>
                                <w:spacing w:val="-11"/>
                                <w:position w:val="2"/>
                                <w:sz w:val="19"/>
                                <w:szCs w:val="19"/>
                                <w:em w:val="dot"/>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60.85pt;margin-top:108.2pt;height:11.55pt;width:147.3pt;rotation:-5898240f;z-index:251683840;mso-width-relative:page;mso-height-relative:page;" filled="f" stroked="f" coordsize="21600,21600" o:gfxdata="UEsDBAoAAAAAAIdO4kAAAAAAAAAAAAAAAAAEAAAAZHJzL1BLAwQUAAAACACHTuJAGr4DH9oAAAAM&#10;AQAADwAAAGRycy9kb3ducmV2LnhtbE2PsU7DMBCGdyTewTokttZxgKQNcTogdSlTWgTq5sbXJMI+&#10;h9htCk+PO8F4d5/++/5ydbGGnXH0vSMJYp4AQ2qc7qmV8LZbzxbAfFCklXGEEr7Rw6q6vSlVod1E&#10;NZ63oWUxhHyhJHQhDAXnvunQKj93A1K8Hd1oVYjj2HI9qimGW8PTJMm4VT3FD50a8KXD5nN7shLM&#10;a803P7Txe/xo9/q9/prWeSbl/Z1InoEFvIQ/GK76UR2q6HRwJ9KeGQkzkYo8shJSkT0CuyJ5ugR2&#10;iJuH5RPwquT/S1S/UEsDBBQAAAAIAIdO4kC4fQ4iUAIAAKQEAAAOAAAAZHJzL2Uyb0RvYy54bWyt&#10;VMtu2zAQvBfoPxC8J7LzsA0jcuDGSFEgaAIkRc80RUYE+CpJW0q/vkNKaoO0hxzqA7FaLmd3Z2d9&#10;dd0bTY4iROVsTeenM0qE5a5R9rmm355uT1aUxMRsw7SzoqYvItLrzccPV51fizPXOt2IQABi47rz&#10;NW1T8uuqirwVhsVT54XFpXTBsITP8Fw1gXVAN7o6m80WVedC44PjIkZ4d8MlHRHDewCdlIqLneMH&#10;I2waUIPQLKGl2Cof6aZUK6Xg6V7KKBLRNUWnqZxIAnufz2pzxdbPgflW8bEE9p4S3vRkmLJI+htq&#10;xxIjh6D+gjKKBxedTKfcmWpopDCCLuazN9w8tsyL0guojv436fH/wfKvx4dAVFPTFeZumcHEn0Sf&#10;PrmewAN6Oh/XiHr0iEs9/BDN5I9w5q57GQwJDuzOF5gxfoUMtEcQfrJcnp+fgfEX3J8vLy4vCzBb&#10;Iw/hGW+1nC3nCOA54mKxWF3mDNUAnBP4ENNn4QzJRk0D5loysONdTEPoFJLDrbtVWpfZaku6Mm7O&#10;IFYJkZSHryLywx2LLTkyiCQ6rZpBFkYlKF0rMwoF9WiLsjIjQ+fZSv2+H2nau+YFLBUi0E30/FYB&#10;/I7F9MACdAUnNi/d45DaoS43WpS0Lvz8lz/HY9y4paSDTlHhjwMLghL9xUIIgEyTESZjPxn2YG4c&#10;upqXaoqJByHpyZTBme9YyG3OgitmOXLVNE3mTRq2BQvNxXZbgiBdz9KdffQ8Qw+Mbw/JSVWGkWkZ&#10;uBjZgnjLOMdFy9vx+rtE/flz2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r4DH9oAAAAMAQAA&#10;DwAAAAAAAAABACAAAAAiAAAAZHJzL2Rvd25yZXYueG1sUEsBAhQAFAAAAAgAh07iQLh9DiJQAgAA&#10;pAQAAA4AAAAAAAAAAQAgAAAAKQEAAGRycy9lMm9Eb2MueG1sUEsFBgAAAAAGAAYAWQEAAOsFAAAA&#10;AA==&#10;">
                <v:fill on="f" focussize="0,0"/>
                <v:stroke on="f" weight="0pt" miterlimit="0" joinstyle="miter"/>
                <v:imagedata o:title=""/>
                <o:lock v:ext="edit" aspectratio="f"/>
                <v:textbox inset="0mm,0mm,0mm,0mm">
                  <w:txbxContent>
                    <w:p w14:paraId="159B5FB5">
                      <w:pPr>
                        <w:spacing w:before="20" w:line="190" w:lineRule="exact"/>
                        <w:ind w:left="20"/>
                        <w:rPr>
                          <w:rFonts w:ascii="宋体" w:hAnsi="宋体" w:eastAsia="宋体" w:cs="宋体"/>
                          <w:sz w:val="19"/>
                          <w:szCs w:val="19"/>
                        </w:rPr>
                      </w:pPr>
                      <w:r>
                        <w:rPr>
                          <w:rFonts w:ascii="宋体" w:hAnsi="宋体" w:eastAsia="宋体" w:cs="宋体"/>
                          <w:spacing w:val="-11"/>
                          <w:position w:val="2"/>
                          <w:sz w:val="19"/>
                          <w:szCs w:val="19"/>
                          <w:em w:val="dot"/>
                        </w:rPr>
                        <w:t>0</w:t>
                      </w:r>
                      <w:r>
                        <w:rPr>
                          <w:rFonts w:ascii="宋体" w:hAnsi="宋体" w:eastAsia="宋体" w:cs="宋体"/>
                          <w:spacing w:val="-41"/>
                          <w:position w:val="2"/>
                          <w:sz w:val="19"/>
                          <w:szCs w:val="19"/>
                        </w:rPr>
                        <w:t xml:space="preserve"> </w:t>
                      </w:r>
                      <w:r>
                        <w:rPr>
                          <w:rFonts w:ascii="宋体" w:hAnsi="宋体" w:eastAsia="宋体" w:cs="宋体"/>
                          <w:spacing w:val="-11"/>
                          <w:position w:val="2"/>
                          <w:sz w:val="19"/>
                          <w:szCs w:val="19"/>
                          <w:em w:val="dot"/>
                        </w:rPr>
                        <w:t>00</w:t>
                      </w:r>
                      <w:r>
                        <w:rPr>
                          <w:rFonts w:ascii="宋体" w:hAnsi="宋体" w:eastAsia="宋体" w:cs="宋体"/>
                          <w:spacing w:val="-11"/>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50"/>
                          <w:position w:val="2"/>
                          <w:sz w:val="19"/>
                          <w:szCs w:val="19"/>
                        </w:rPr>
                        <w:t xml:space="preserve"> </w:t>
                      </w:r>
                      <w:r>
                        <w:rPr>
                          <w:rFonts w:ascii="宋体" w:hAnsi="宋体" w:eastAsia="宋体" w:cs="宋体"/>
                          <w:spacing w:val="-11"/>
                          <w:position w:val="2"/>
                          <w:sz w:val="19"/>
                          <w:szCs w:val="19"/>
                          <w:em w:val="dot"/>
                        </w:rPr>
                        <w:t>05</w:t>
                      </w:r>
                      <w:r>
                        <w:rPr>
                          <w:rFonts w:ascii="宋体" w:hAnsi="宋体" w:eastAsia="宋体" w:cs="宋体"/>
                          <w:spacing w:val="22"/>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36"/>
                          <w:position w:val="2"/>
                          <w:sz w:val="19"/>
                          <w:szCs w:val="19"/>
                        </w:rPr>
                        <w:t xml:space="preserve"> </w:t>
                      </w:r>
                      <w:r>
                        <w:rPr>
                          <w:rFonts w:ascii="宋体" w:hAnsi="宋体" w:eastAsia="宋体" w:cs="宋体"/>
                          <w:spacing w:val="-11"/>
                          <w:position w:val="2"/>
                          <w:sz w:val="19"/>
                          <w:szCs w:val="19"/>
                          <w:em w:val="dot"/>
                        </w:rPr>
                        <w:t>10</w:t>
                      </w:r>
                      <w:r>
                        <w:rPr>
                          <w:rFonts w:ascii="宋体" w:hAnsi="宋体" w:eastAsia="宋体" w:cs="宋体"/>
                          <w:spacing w:val="23"/>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38"/>
                          <w:position w:val="2"/>
                          <w:sz w:val="19"/>
                          <w:szCs w:val="19"/>
                        </w:rPr>
                        <w:t xml:space="preserve"> </w:t>
                      </w:r>
                      <w:r>
                        <w:rPr>
                          <w:rFonts w:ascii="宋体" w:hAnsi="宋体" w:eastAsia="宋体" w:cs="宋体"/>
                          <w:spacing w:val="-11"/>
                          <w:position w:val="2"/>
                          <w:sz w:val="19"/>
                          <w:szCs w:val="19"/>
                          <w:em w:val="dot"/>
                        </w:rPr>
                        <w:t>15</w:t>
                      </w:r>
                      <w:r>
                        <w:rPr>
                          <w:rFonts w:ascii="宋体" w:hAnsi="宋体" w:eastAsia="宋体" w:cs="宋体"/>
                          <w:spacing w:val="23"/>
                          <w:position w:val="2"/>
                          <w:sz w:val="19"/>
                          <w:szCs w:val="19"/>
                        </w:rPr>
                        <w:t xml:space="preserve">   </w:t>
                      </w:r>
                      <w:r>
                        <w:rPr>
                          <w:rFonts w:ascii="宋体" w:hAnsi="宋体" w:eastAsia="宋体" w:cs="宋体"/>
                          <w:spacing w:val="-11"/>
                          <w:position w:val="2"/>
                          <w:sz w:val="19"/>
                          <w:szCs w:val="19"/>
                          <w:em w:val="dot"/>
                        </w:rPr>
                        <w:t>0</w:t>
                      </w:r>
                      <w:r>
                        <w:rPr>
                          <w:rFonts w:ascii="宋体" w:hAnsi="宋体" w:eastAsia="宋体" w:cs="宋体"/>
                          <w:spacing w:val="-49"/>
                          <w:position w:val="2"/>
                          <w:sz w:val="19"/>
                          <w:szCs w:val="19"/>
                        </w:rPr>
                        <w:t xml:space="preserve"> </w:t>
                      </w:r>
                      <w:r>
                        <w:rPr>
                          <w:rFonts w:ascii="宋体" w:hAnsi="宋体" w:eastAsia="宋体" w:cs="宋体"/>
                          <w:spacing w:val="-11"/>
                          <w:position w:val="2"/>
                          <w:sz w:val="19"/>
                          <w:szCs w:val="19"/>
                          <w:em w:val="dot"/>
                        </w:rPr>
                        <w:t>20</w:t>
                      </w:r>
                    </w:p>
                  </w:txbxContent>
                </v:textbox>
              </v:shape>
            </w:pict>
          </mc:Fallback>
        </mc:AlternateContent>
      </w:r>
      <w:r>
        <w:rPr>
          <w:position w:val="-73"/>
        </w:rPr>
        <w:pict>
          <v:group id="_x0000_s1055" o:spid="_x0000_s1055" o:spt="203" style="height:185pt;width:417.85pt;" coordsize="8357,3700">
            <o:lock v:ext="edit"/>
            <v:shape id="_x0000_s1056" o:spid="_x0000_s1056" style="position:absolute;left:95;top:0;height:3605;width:8262;" fillcolor="#C8C8C8" filled="t" stroked="t" coordsize="8262,3605" path="m5,5l8255,5,8255,3598,5,3598,5,5xe">
              <v:fill on="t" focussize="0,0"/>
              <v:stroke weight="0.59pt" color="#969696" miterlimit="2" endcap="round"/>
              <v:imagedata o:title=""/>
              <o:lock v:ext="edit"/>
            </v:shape>
            <v:shape id="_x0000_s1057" o:spid="_x0000_s1057" style="position:absolute;left:0;top:0;height:3605;width:108;" filled="f" stroked="t" coordsize="108,3605" path="m101,3598l101,5m5,3598l101,3598m5,2944l101,2944m5,2289l101,2289m5,1635l101,1635m5,981l101,981m5,327l101,327e">
              <v:fill on="f" focussize="0,0"/>
              <v:stroke weight="0.59pt" color="#000000" miterlimit="2" endcap="round"/>
              <v:imagedata o:title=""/>
              <o:lock v:ext="edit"/>
            </v:shape>
            <v:shape id="_x0000_s1058" o:spid="_x0000_s1058" style="position:absolute;left:95;top:321;height:2628;width:8262;" filled="f" stroked="t" coordsize="8262,2628" path="m5,2622l8255,2622m5,1968l8255,1968m5,1314l8255,1314m5,660l8255,660m5,5l8255,5e">
              <v:fill on="f" focussize="0,0"/>
              <v:stroke weight="0.59pt" color="#646464" miterlimit="2" endcap="round"/>
              <v:imagedata o:title=""/>
              <o:lock v:ext="edit"/>
            </v:shape>
            <v:shape id="_x0000_s1059" o:spid="_x0000_s1059" style="position:absolute;left:95;top:0;height:3700;width:8262;" filled="f" stroked="t" coordsize="8262,3700" path="m5,5l8255,5m5,3598l8255,3598m5,3693l5,3598m1505,3693l1505,3598m3005,3693l3005,3598m4505,3693l4505,3598m6005,3693l6005,3598m7505,3693l7505,3598m17,1635l41,553,53,1314,65,1932,77,2361,101,2634,113,2825,124,2967,136,3074,160,3158,172,3217,184,3265,196,3300,220,3336,232,3360,244,3384,255,3407,279,3419,291,3443,303,3455,315,3467,339,3479,351,3479,363,3491,374,3491,398,3503,410,3514,422,3514,446,3514,458,3526,470,3526,482,3526,505,3538,517,3538,529,3538,541,3538,565,3550,577,3550,589,3550,601,3550,624,3550,636,3550,648,3562,660,3562,684,3562,696,3562,708,3562,720,3562,743,3562,755,3562,767,3562,791,3562,803,3574,815,3574,827,3574,851,3574,863,3574,874,3574,886,3574,910,3574,922,3574,934,3574,946,3574,970,3574,982,3574,993,3574,1005,3574,1029,3574,1041,3574,1053,3574,1065,3586,1089,3586,1101,3586,1113,3586,1136,3586,1148,3586,1160,3586,1172,3586,1196,3586,1208,3586,1220,3586,1232,3586,1255,3586,1267,3586,1279,3586,1291,3586,1315,3586,1327,3586,1339,3586,1351,3586,1374,3586,1386,3586,1398,3586,1410,3586,1434,3586,1446,3586,1458,3586,1470,3586,1493,3586,1505,3586,1517,3586,1541,3586,1553,3586,1565,3586,1577,3586,1601,3586,1612,3586,1624,3586,1636,3586,1660,3586,1672,3586,1684,3586,1696,3586,1720,3586,1732,3586,1743,3586,1755,3586,1779,3586,1791,3586,1803,3586,1815,3586,1839,3586,1851,3586,1862,3586,1874,3586,1898,3586,1910,3586,1922,3586,1946,3586,1958,3586,1970,3586,1982,3586,2005,3586,2017,3586,2029,3586,2041,3586,2065,3598,2077,3598,2089,3598,2101,3598,2124,3598,2136,3598,2148,3598,2160,3598,2184,3598,2196,3598,2208,3598,2220,3598,2243,3598,2255,3598,2267,3598,2291,3598,2303,3598,2315,3598,2327,3598,2351,3598,2362,3598,2374,3598,2386,3598,2410,3598,2422,3598,2434,3598,2446,3598,2470,3598,2481,3598,2493,3598,2505,3598,2529,3598,2541,3598,2553,3598,2565,3598,2589,3598,2601,3598,2612,3598,2636,3598,2648,3598,2660,3598,2672,3598,2696,3598,2708,3598,2720,3598,2731,3598,2755,3598,2767,3598,2779,3598,2791,3598,2815,3598,2827,3598,2839,3598,2851,3598,2874,3598,2886,3598,2898,3598,2910,3598,2934,3598,2946,3598,2958,3598,2970,3598,2993,3598,3005,3598,3017,3598,3041,3598,3053,3598,3065,3598,3077,3598,3101,3598,3112,3598,3124,3598,3136,3598,3160,3598,3172,3598,3184,3598,3196,3598,3220,3598,3231,3598,3243,3598,3255,3598,3279,3598,3291,3598,3303,3598,3315,3598,3339,3598,3350,3598,3362,3598,3374,3598,3398,3598,3410,3598,3422,3598,3446,3598,3458,3598,3470,3598,3481,3598,3505,3598,3517,3598,3529,3598,3541,3598,3565,3598,3577,3598,3589,3598,3600,3598,3624,3598,3636,3598,3648,3598,3660,3598,3684,3598,3696,3598,3708,3598,3720,3598,3743,3598,3755,3598,3767,3598,3791,3598,3803,3598,3815,3598,3827,3598,3850,3598,3862,3598,3874,3598,3886,3598,3910,3598,3922,3598,3934,3598,3946,3598,3970,3598,3981,3598,3993,3598,4005,3598,4029,3598,4041,3598,4053,3598,4065,3598,4089,3598,4100,3598,4112,3598,4136,3598,4148,3598,4160,3598,4172,3598,4196,3598,4208,3598,4219,3598,4231,3598,4255,3598,4267,3598,4279,3598,4291,3598,4315,3598,4327,3598,4339,3598,4350,3598,4374,3598,4386,3598,4398,3598,4410,3598,4434,3598,4446,3598,4458,3598,4469,3598,4493,3598,4505,3598,4517,3598,4541,3598,4553,3598,4565,3598,4577,3598,4600,3598,4612,3598,4624,3598,4636,3598,4660,3598,4672,3598,4684,3598,4696,3598,4719,3598,4731,3598,4743,3598,4755,3598,4779,3598,4791,3598,4803,3598,4815,3598,4839,3598,4850,3598,4862,3598,4874,3598,4898,3598,4910,3598,4922,3598,4946,3598,4958,3598,4969,3598,4981,3598,5005,3598,5017,3598,5029,3598,5041,3598,5065,3598,5077,3598,5088,3598,5100,3598,5124,3598,5136,3598,5148,3598,5160,3598,5184,3598,5196,3598,5208,3598,5219,3598,5243,3598,5255,3598,5267,3598,5291,3598,5303,3598,5315,3598,5327,3598,5350,3598,5362,3598,5374,3598,5386,3598,5410,3598,5422,3598,5434,3598,5446,3598,5469,3598,5481,3598,5493,3598,5505,3598,5529,3598,5541,3598,5553,3598,5565,3598,5588,3598,5600,3598,5612,3598,5636,3598,5648,3598,5660,3598,5672,3598,5696,3598,5708,3598,5719,3598,5731,3598,5755,3598,5767,3598,5779,3598,5791,3598,5815,3598,5827,3598,5838,3598,5850,3598,5874,3598,5886,3598,5898,3598,5910,3598,5934,3598,5946,3598,5957,3598,5969,3598,5993,3598,6005,3598,6017,3598,6041,3598,6053,3598,6065,3598,6077,3598,6100,3598,6112,3598,6124,3598,6136,3598,6160,3598,6172,3598,6184,3598,6196,3598,6219,3598,6231,3598,6243,3598,6255,3598,6279,3598,6291,3598,6303,3598,6315,3598,6338,3598,6350,3598,6362,3598,6374,3598,6398,3598,6410,3598,6422,3598,6446,3598,6457,3598,6469,3598,6481,3598,6505,3598,6517,3598,6529,3598,6541,3598,6565,3598,6577,3598,6588,3598,6600,3598,6624,3598,6636,3598,6648,3598,6660,3598,6684,3598,6696,3598,6707,3598,6719,3598,6743,3598,6755,3598,6767,3598,6791,3598,6803,3598,6815,3598,6826,3598,6850,3598,6862,3598,6874,3598,6886,3598,6910,3598,6922,3598,6934,3598,6946,3598,6969,3598,6981,3598,6993,3598,7005,3598,7029,3598,7041,3598,7053,3598,7065,3598,7088,3598,7100,3598,7112,3598,7136,3598,7148,3598,7160,3598,7172,3598,7196,3598,7207,3598,7219,3598,7231,3598,7255,3598,7267,3598,7279,3598,7291,3598,7315,3598,7326,3598,7338,3598,7350,3598,7374,3598,7386,3598,7398,3598,7410,3598,7434,3598,7446,3598,7457,3598,7469,3598,7493,3598,7505,3598e">
              <v:fill on="f" focussize="0,0"/>
              <v:stroke weight="0.59pt" color="#000000" miterlimit="2" endcap="round"/>
              <v:imagedata o:title=""/>
              <o:lock v:ext="edit"/>
            </v:shape>
            <v:shape id="_x0000_s1060" o:spid="_x0000_s1060" style="position:absolute;left:71;top:511;height:3128;width:7572;" fillcolor="#000000" filled="t" stroked="t" coordsize="7572,3128" path="m5,1088l77,1088,77,1159,5,1159,5,1088xem29,5l101,5,101,77,29,77,29,5xem41,767l113,767,113,838,41,838,41,767xem53,1385l124,1385,124,1457,53,1457,53,1385xem65,1813l136,1813,136,1885,65,1885,65,1813xem89,2087l160,2087,160,2158,89,2158,89,2087xem101,2277l172,2277,172,2349,101,2349,101,2277xem113,2420l184,2420,184,2491,113,2491,113,2420xem124,2527l196,2527,196,2599,124,2599,124,2527xem148,2610l220,2610,220,2682,148,2682,148,2610xem160,2670l232,2670,232,2741,160,2741,160,2670xem172,2718l244,2718,244,2789,172,2789,172,2718xem184,2753l255,2753,255,2825,184,2825,184,2753xem208,2789l279,2789,279,2860,208,2860,208,2789xem220,2813l291,2813,291,2884,220,2884,220,2813xem232,2836l303,2836,303,2908,232,2908,232,2836xem244,2860l315,2860,315,2932,244,2932,244,2860xem267,2872l339,2872,339,2943,267,2943,267,2872xem279,2896l351,2896,351,2967,279,2967,279,2896xem291,2908l363,2908,363,2979,291,2979,291,2908xem303,2920l374,2920,374,2991,303,2991,303,2920xem327,2932l398,2932,398,3003,327,3003,327,2932xem339,2932l410,2932,410,3003,339,3003,339,2932xem351,2944l422,2944,422,3015,351,3015,351,2944xem363,2944l434,2944,434,3015,363,3015,363,2944xem386,2955l458,2955,458,3027,386,3027,386,2955xem398,2967l470,2967,470,3039,398,3039,398,2967xem410,2967l482,2967,482,3039,410,3039,410,2967xem434,2967l505,2967,505,3039,434,3039,434,2967xem446,2979l517,2979,517,3051,446,3051,446,2979xem458,2979l529,2979,529,3051,458,3051,458,2979xem470,2979l541,2979,541,3051,470,3051,470,2979xem494,2991l565,2991,565,3062,494,3062,494,2991xem505,2991l577,2991,577,3062,505,3062,505,2991xem517,2991l589,2991,589,3062,517,3062,517,2991xem529,2991l601,2991,601,3062,529,3062,529,2991xem553,3003l624,3003,624,3074,553,3074,553,3003xem565,3003l636,3003,636,3074,565,3074,565,3003xem577,3003l648,3003,648,3074,577,3074,577,3003xem589,3003l660,3003,660,3074,589,3074,589,3003xem613,3003l684,3003,684,3074,613,3074,613,3003xem624,3003l696,3003,696,3074,624,3074,624,3003xem636,3015l708,3015,708,3086,636,3086,636,3015xem648,3015l720,3015,720,3086,648,3086,648,3015xem672,3015l744,3015,744,3086,672,3086,672,3015xem684,3015l755,3015,755,3086,684,3086,684,3015xem696,3015l767,3015,767,3086,696,3086,696,3015xem708,3015l779,3015,779,3086,708,3086,708,3015xem732,3015l803,3015,803,3086,732,3086,732,3015xem744,3015l815,3015,815,3086,744,3086,744,3015xem755,3015l827,3015,827,3086,755,3086,755,3015xem779,3015l851,3015,851,3086,779,3086,779,3015xem791,3027l863,3027,863,3098,791,3098,791,3027xem803,3027l874,3027,874,3098,803,3098,803,3027xem815,3027l886,3027,886,3098,815,3098,815,3027xem839,3027l910,3027,910,3098,839,3098,839,3027xem851,3027l922,3027,922,3098,851,3098,851,3027xem863,3027l934,3027,934,3098,863,3098,863,3027xem874,3027l946,3027,946,3098,874,3098,874,3027xem898,3027l970,3027,970,3098,898,3098,898,3027xem910,3027l982,3027,982,3098,910,3098,910,3027xem922,3027l993,3027,993,3098,922,3098,922,3027xem934,3027l1005,3027,1005,3098,934,3098,934,3027xem958,3027l1029,3027,1029,3098,958,3098,958,3027xem970,3027l1041,3027,1041,3098,970,3098,970,3027xem982,3027l1053,3027,1053,3098,982,3098,982,3027xem993,3027l1065,3027,1065,3098,993,3098,993,3027xem1017,3027l1089,3027,1089,3098,1017,3098,1017,3027xem1029,3027l1101,3027,1101,3098,1029,3098,1029,3027xem1041,3027l1113,3027,1113,3098,1041,3098,1041,3027xem1053,3039l1124,3039,1124,3110,1053,3110,1053,3039xem1077,3039l1148,3039,1148,3110,1077,3110,1077,3039xem1089,3039l1160,3039,1160,3110,1089,3110,1089,3039xem1101,3039l1172,3039,1172,3110,1101,3110,1101,3039xem1124,3039l1196,3039,1196,3110,1124,3110,1124,3039xem1136,3039l1208,3039,1208,3110,1136,3110,1136,3039xem1148,3039l1220,3039,1220,3110,1148,3110,1148,3039xem1160,3039l1232,3039,1232,3110,1160,3110,1160,3039xem1184,3039l1255,3039,1255,3110,1184,3110,1184,3039xem1196,3039l1267,3039,1267,3110,1196,3110,1196,3039xem1208,3039l1279,3039,1279,3110,1208,3110,1208,3039xem1220,3039l1291,3039,1291,3110,1220,3110,1220,3039xem1243,3039l1315,3039,1315,3110,1243,3110,1243,3039xem1255,3039l1327,3039,1327,3110,1255,3110,1255,3039xem1267,3039l1339,3039,1339,3110,1267,3110,1267,3039xem1279,3039l1351,3039,1351,3110,1279,3110,1279,3039xem1303,3039l1374,3039,1374,3110,1303,3110,1303,3039xem1315,3039l1386,3039,1386,3110,1315,3110,1315,3039xem1327,3039l1398,3039,1398,3110,1327,3110,1327,3039xem1339,3039l1410,3039,1410,3110,1339,3110,1339,3039xem1363,3039l1434,3039,1434,3110,1363,3110,1363,3039xem1374,3039l1446,3039,1446,3110,1374,3110,1374,3039xem1386,3039l1458,3039,1458,3110,1386,3110,1386,3039xem1398,3039l1470,3039,1470,3110,1398,3110,1398,3039xem1422,3039l1493,3039,1493,3110,1422,3110,1422,3039xem1434,3039l1505,3039,1505,3110,1434,3110,1434,3039xem1446,3039l1517,3039,1517,3110,1446,3110,1446,3039xem1458,3039l1529,3039,1529,3110,1458,3110,1458,3039xem1482,3039l1553,3039,1553,3110,1482,3110,1482,3039xem1493,3039l1565,3039,1565,3110,1493,3110,1493,3039xem1505,3039l1577,3039,1577,3110,1505,3110,1505,3039xem1529,3039l1601,3039,1601,3110,1529,3110,1529,3039xem1541,3039l1613,3039,1613,3110,1541,3110,1541,3039xem1553,3039l1624,3039,1624,3110,1553,3110,1553,3039xem1565,3039l1636,3039,1636,3110,1565,3110,1565,3039xem1589,3039l1660,3039,1660,3110,1589,3110,1589,3039xem1601,3039l1672,3039,1672,3110,1601,3110,1601,3039xem1613,3039l1684,3039,1684,3110,1613,3110,1613,3039xem1624,3039l1696,3039,1696,3110,1624,3110,1624,3039xem1648,3039l1720,3039,1720,3110,1648,3110,1648,3039xem1660,3039l1732,3039,1732,3110,1660,3110,1660,3039xem1672,3039l1743,3039,1743,3110,1672,3110,1672,3039xem1684,3039l1755,3039,1755,3110,1684,3110,1684,3039xem1708,3039l1779,3039,1779,3110,1708,3110,1708,3039xem1720,3039l1791,3039,1791,3110,1720,3110,1720,3039xem1732,3039l1803,3039,1803,3110,1732,3110,1732,3039xem1743,3039l1815,3039,1815,3110,1743,3110,1743,3039xem1767,3039l1839,3039,1839,3110,1767,3110,1767,3039xem1779,3039l1851,3039,1851,3110,1779,3110,1779,3039xem1791,3039l1862,3039,1862,3110,1791,3110,1791,3039xem1803,3039l1874,3039,1874,3110,1803,3110,1803,3039xem1827,3039l1898,3039,1898,3110,1827,3110,1827,3039xem1839,3039l1910,3039,1910,3110,1839,3110,1839,3039xem1851,3039l1922,3039,1922,3110,1851,3110,1851,3039xem1862,3039l1934,3039,1934,3110,1862,3110,1862,3039xem1886,3039l1958,3039,1958,3110,1886,3110,1886,3039xem1898,3039l1970,3039,1970,3110,1898,3110,1898,3039xem1910,3039l1982,3039,1982,3110,1910,3110,1910,3039xem1934,3039l2005,3039,2005,3110,1934,3110,1934,3039xem1946,3039l2017,3039,2017,3110,1946,3110,1946,3039xem1958,3039l2029,3039,2029,3110,1958,3110,1958,3039xem1970,3039l2041,3039,2041,3110,1970,3110,1970,3039xem1993,3039l2065,3039,2065,3110,1993,3110,1993,3039xem2005,3039l2077,3039,2077,3110,2005,3110,2005,3039xem2017,3039l2089,3039,2089,3110,2017,3110,2017,3039xem2029,3039l2101,3039,2101,3110,2029,3110,2029,3039xem2053,3051l2124,3051,2124,3122,2053,3122,2053,3051xem2065,3051l2136,3051,2136,3122,2065,3122,2065,3051xem2077,3051l2148,3051,2148,3122,2077,3122,2077,3051xem2089,3051l2160,3051,2160,3122,2089,3122,2089,3051xem2112,3051l2184,3051,2184,3122,2112,3122,2112,3051xem2124,3051l2196,3051,2196,3122,2124,3122,2124,3051xem2136,3051l2208,3051,2208,3122,2136,3122,2136,3051xem2148,3051l2220,3051,2220,3122,2148,3122,2148,3051xem2172,3051l2243,3051,2243,3122,2172,3122,2172,3051xem2184,3051l2255,3051,2255,3122,2184,3122,2184,3051xem2196,3051l2267,3051,2267,3122,2196,3122,2196,3051xem2208,3051l2279,3051,2279,3122,2208,3122,2208,3051xem2232,3051l2303,3051,2303,3122,2232,3122,2232,3051xem2243,3051l2315,3051,2315,3122,2243,3122,2243,3051xem2255,3051l2327,3051,2327,3122,2255,3122,2255,3051xem2279,3051l2351,3051,2351,3122,2279,3122,2279,3051xem2291,3051l2362,3051,2362,3122,2291,3122,2291,3051xem2303,3051l2374,3051,2374,3122,2303,3122,2303,3051xem2315,3051l2386,3051,2386,3122,2315,3122,2315,3051xem2339,3051l2410,3051,2410,3122,2339,3122,2339,3051xem2351,3051l2422,3051,2422,3122,2351,3122,2351,3051xem2362,3051l2434,3051,2434,3122,2362,3122,2362,3051xem2374,3051l2446,3051,2446,3122,2374,3122,2374,3051xem2398,3051l2470,3051,2470,3122,2398,3122,2398,3051xem2410,3051l2482,3051,2482,3122,2410,3122,2410,3051xem2422,3051l2493,3051,2493,3122,2422,3122,2422,3051xem2434,3051l2505,3051,2505,3122,2434,3122,2434,3051xem2458,3051l2529,3051,2529,3122,2458,3122,2458,3051xem2470,3051l2541,3051,2541,3122,2470,3122,2470,3051xem2482,3051l2553,3051,2553,3122,2482,3122,2482,3051xem2493,3051l2565,3051,2565,3122,2493,3122,2493,3051xem2517,3051l2589,3051,2589,3122,2517,3122,2517,3051xem2529,3051l2601,3051,2601,3122,2529,3122,2529,3051xem2541,3051l2612,3051,2612,3122,2541,3122,2541,3051xem2553,3051l2624,3051,2624,3122,2553,3122,2553,3051xem2577,3051l2648,3051,2648,3122,2577,3122,2577,3051xem2589,3051l2660,3051,2660,3122,2589,3122,2589,3051xem2601,3051l2672,3051,2672,3122,2601,3122,2601,3051xem2624,3051l2696,3051,2696,3122,2624,3122,2624,3051xem2636,3051l2708,3051,2708,3122,2636,3122,2636,3051xem2648,3051l2720,3051,2720,3122,2648,3122,2648,3051xem2660,3051l2731,3051,2731,3122,2660,3122,2660,3051xem2684,3051l2755,3051,2755,3122,2684,3122,2684,3051xem2696,3051l2767,3051,2767,3122,2696,3122,2696,3051xem2708,3051l2779,3051,2779,3122,2708,3122,2708,3051xem2720,3051l2791,3051,2791,3122,2720,3122,2720,3051xem2743,3051l2815,3051,2815,3122,2743,3122,2743,3051xem2755,3051l2827,3051,2827,3122,2755,3122,2755,3051xem2767,3051l2839,3051,2839,3122,2767,3122,2767,3051xem2779,3051l2851,3051,2851,3122,2779,3122,2779,3051xem2803,3051l2874,3051,2874,3122,2803,3122,2803,3051xem2815,3051l2886,3051,2886,3122,2815,3122,2815,3051xem2827,3051l2898,3051,2898,3122,2827,3122,2827,3051xem2839,3051l2910,3051,2910,3122,2839,3122,2839,3051xem2862,3051l2934,3051,2934,3122,2862,3122,2862,3051xem2874,3051l2946,3051,2946,3122,2874,3122,2874,3051xem2886,3051l2958,3051,2958,3122,2886,3122,2886,3051xem2898,3051l2970,3051,2970,3122,2898,3122,2898,3051xem2922,3051l2993,3051,2993,3122,2922,3122,2922,3051xem2934,3051l3005,3051,3005,3122,2934,3122,2934,3051xem2946,3051l3017,3051,3017,3122,2946,3122,2946,3051xem2958,3051l3029,3051,3029,3122,2958,3122,2958,3051xem2981,3051l3053,3051,3053,3122,2981,3122,2981,3051xem2993,3051l3065,3051,3065,3122,2993,3122,2993,3051xem3005,3051l3077,3051,3077,3122,3005,3122,3005,3051xem3029,3051l3101,3051,3101,3122,3029,3122,3029,3051xem3041,3051l3112,3051,3112,3122,3041,3122,3041,3051xem3053,3051l3124,3051,3124,3122,3053,3122,3053,3051xem3065,3051l3136,3051,3136,3122,3065,3122,3065,3051xem3089,3051l3160,3051,3160,3122,3089,3122,3089,3051xem3101,3051l3172,3051,3172,3122,3101,3122,3101,3051xem3112,3051l3184,3051,3184,3122,3112,3122,3112,3051xem3124,3051l3196,3051,3196,3122,3124,3122,3124,3051xem3148,3051l3220,3051,3220,3122,3148,3122,3148,3051xem3160,3051l3231,3051,3231,3122,3160,3122,3160,3051xem3172,3051l3243,3051,3243,3122,3172,3122,3172,3051xem3184,3051l3255,3051,3255,3122,3184,3122,3184,3051xem3208,3051l3279,3051,3279,3122,3208,3122,3208,3051xem3220,3051l3291,3051,3291,3122,3220,3122,3220,3051xem3231,3051l3303,3051,3303,3122,3231,3122,3231,3051xem3243,3051l3315,3051,3315,3122,3243,3122,3243,3051xem3267,3051l3339,3051,3339,3122,3267,3122,3267,3051xem3279,3051l3351,3051,3351,3122,3279,3122,3279,3051xem3291,3051l3362,3051,3362,3122,3291,3122,3291,3051xem3303,3051l3374,3051,3374,3122,3303,3122,3303,3051xem3327,3051l3398,3051,3398,3122,3327,3122,3327,3051xem3339,3051l3410,3051,3410,3122,3339,3122,3339,3051xem3351,3051l3422,3051,3422,3122,3351,3122,3351,3051xem3362,3051l3434,3051,3434,3122,3362,3122,3362,3051xem3386,3051l3458,3051,3458,3122,3386,3122,3386,3051xem3398,3051l3470,3051,3470,3122,3398,3122,3398,3051xem3410,3051l3481,3051,3481,3122,3410,3122,3410,3051xem3434,3051l3505,3051,3505,3122,3434,3122,3434,3051xem3446,3051l3517,3051,3517,3122,3446,3122,3446,3051xem3458,3051l3529,3051,3529,3122,3458,3122,3458,3051xem3470,3051l3541,3051,3541,3122,3470,3122,3470,3051xem3493,3051l3565,3051,3565,3122,3493,3122,3493,3051xem3505,3051l3577,3051,3577,3122,3505,3122,3505,3051xem3517,3051l3589,3051,3589,3122,3517,3122,3517,3051xem3529,3051l3600,3051,3600,3122,3529,3122,3529,3051xem3553,3051l3624,3051,3624,3122,3553,3122,3553,3051xem3565,3051l3636,3051,3636,3122,3565,3122,3565,3051xem3577,3051l3648,3051,3648,3122,3577,3122,3577,3051xem3589,3051l3660,3051,3660,3122,3589,3122,3589,3051xem3612,3051l3684,3051,3684,3122,3612,3122,3612,3051xem3624,3051l3696,3051,3696,3122,3624,3122,3624,3051xem3636,3051l3708,3051,3708,3122,3636,3122,3636,3051xem3648,3051l3720,3051,3720,3122,3648,3122,3648,3051xem3672,3051l3743,3051,3743,3122,3672,3122,3672,3051xem3684,3051l3755,3051,3755,3122,3684,3122,3684,3051xem3696,3051l3767,3051,3767,3122,3696,3122,3696,3051xem3708,3051l3779,3051,3779,3122,3708,3122,3708,3051xem3731,3051l3803,3051,3803,3122,3731,3122,3731,3051xem3743,3051l3815,3051,3815,3122,3743,3122,3743,3051xem3755,3051l3827,3051,3827,3122,3755,3122,3755,3051xem3779,3051l3850,3051,3850,3122,3779,3122,3779,3051xem3791,3051l3862,3051,3862,3122,3791,3122,3791,3051xem3803,3051l3874,3051,3874,3122,3803,3122,3803,3051xem3815,3051l3886,3051,3886,3122,3815,3122,3815,3051xem3839,3051l3910,3051,3910,3122,3839,3122,3839,3051xem3850,3051l3922,3051,3922,3122,3850,3122,3850,3051xem3862,3051l3934,3051,3934,3122,3862,3122,3862,3051xem3874,3051l3946,3051,3946,3122,3874,3122,3874,3051xem3898,3051l3970,3051,3970,3122,3898,3122,3898,3051xem3910,3051l3981,3051,3981,3122,3910,3122,3910,3051xem3922,3051l3993,3051,3993,3122,3922,3122,3922,3051xem3934,3051l4005,3051,4005,3122,3934,3122,3934,3051xem3958,3051l4029,3051,4029,3122,3958,3122,3958,3051xem3970,3051l4041,3051,4041,3122,3970,3122,3970,3051xem3981,3051l4053,3051,4053,3122,3981,3122,3981,3051xem3993,3051l4065,3051,4065,3122,3993,3122,3993,3051xem4017,3051l4089,3051,4089,3122,4017,3122,4017,3051xem4029,3051l4100,3051,4100,3122,4029,3122,4029,3051xem4041,3051l4112,3051,4112,3122,4041,3122,4041,3051xem4053,3051l4124,3051,4124,3122,4053,3122,4053,3051xem4077,3051l4148,3051,4148,3122,4077,3122,4077,3051xem4089,3051l4160,3051,4160,3122,4089,3122,4089,3051xem4100,3051l4172,3051,4172,3122,4100,3122,4100,3051xem4124,3051l4196,3051,4196,3122,4124,3122,4124,3051xem4136,3051l4208,3051,4208,3122,4136,3122,4136,3051xem4148,3051l4220,3051,4220,3122,4148,3122,4148,3051xem4160,3051l4231,3051,4231,3122,4160,3122,4160,3051xem4184,3051l4255,3051,4255,3122,4184,3122,4184,3051xem4196,3051l4267,3051,4267,3122,4196,3122,4196,3051xem4208,3051l4279,3051,4279,3122,4208,3122,4208,3051xem4220,3051l4291,3051,4291,3122,4220,3122,4220,3051xem4243,3051l4315,3051,4315,3122,4243,3122,4243,3051xem4255,3051l4327,3051,4327,3122,4255,3122,4255,3051xem4267,3051l4339,3051,4339,3122,4267,3122,4267,3051xem4279,3051l4350,3051,4350,3122,4279,3122,4279,3051xem4303,3051l4374,3051,4374,3122,4303,3122,4303,3051xem4315,3051l4386,3051,4386,3122,4315,3122,4315,3051xem4327,3051l4398,3051,4398,3122,4327,3122,4327,3051xem4339,3051l4410,3051,4410,3122,4339,3122,4339,3051xem4362,3051l4434,3051,4434,3122,4362,3122,4362,3051xem4374,3051l4446,3051,4446,3122,4374,3122,4374,3051xem4386,3051l4458,3051,4458,3122,4386,3122,4386,3051xem4398,3051l4469,3051,4469,3122,4398,3122,4398,3051xem4422,3051l4493,3051,4493,3122,4422,3122,4422,3051xem4434,3051l4505,3051,4505,3122,4434,3122,4434,3051xem4446,3051l4517,3051,4517,3122,4446,3122,4446,3051xem4458,3051l4529,3051,4529,3122,4458,3122,4458,3051xem4481,3051l4553,3051,4553,3122,4481,3122,4481,3051xem4493,3051l4565,3051,4565,3122,4493,3122,4493,3051xem4505,3051l4577,3051,4577,3122,4505,3122,4505,3051xem4529,3051l4600,3051,4600,3122,4529,3122,4529,3051xem4541,3051l4612,3051,4612,3122,4541,3122,4541,3051xem4553,3051l4624,3051,4624,3122,4553,3122,4553,3051xem4565,3051l4636,3051,4636,3122,4565,3122,4565,3051xem4589,3051l4660,3051,4660,3122,4589,3122,4589,3051xem4600,3051l4672,3051,4672,3122,4600,3122,4600,3051xem4612,3051l4684,3051,4684,3122,4612,3122,4612,3051xem4624,3051l4696,3051,4696,3122,4624,3122,4624,3051xem4648,3051l4719,3051,4719,3122,4648,3122,4648,3051xem4660,3051l4731,3051,4731,3122,4660,3122,4660,3051xem4672,3051l4743,3051,4743,3122,4672,3122,4672,3051xem4684,3051l4755,3051,4755,3122,4684,3122,4684,3051xem4708,3051l4779,3051,4779,3122,4708,3122,4708,3051xem4719,3051l4791,3051,4791,3122,4719,3122,4719,3051xem4731,3051l4803,3051,4803,3122,4731,3122,4731,3051xem4743,3051l4815,3051,4815,3122,4743,3122,4743,3051xem4767,3051l4839,3051,4839,3122,4767,3122,4767,3051xem4779,3051l4850,3051,4850,3122,4779,3122,4779,3051xem4791,3051l4862,3051,4862,3122,4791,3122,4791,3051xem4803,3051l4874,3051,4874,3122,4803,3122,4803,3051xem4827,3051l4898,3051,4898,3122,4827,3122,4827,3051xem4839,3051l4910,3051,4910,3122,4839,3122,4839,3051xem4850,3051l4922,3051,4922,3122,4850,3122,4850,3051xem4862,3051l4934,3051,4934,3122,4862,3122,4862,3051xem4886,3051l4958,3051,4958,3122,4886,3122,4886,3051xem4898,3051l4969,3051,4969,3122,4898,3122,4898,3051xem4910,3051l4981,3051,4981,3122,4910,3122,4910,3051xem4934,3051l5005,3051,5005,3122,4934,3122,4934,3051xem4946,3051l5017,3051,5017,3122,4946,3122,4946,3051xem4958,3051l5029,3051,5029,3122,4958,3122,4958,3051xem4969,3051l5041,3051,5041,3122,4969,3122,4969,3051xem4993,3051l5065,3051,5065,3122,4993,3122,4993,3051xem5005,3051l5077,3051,5077,3122,5005,3122,5005,3051xem5017,3051l5089,3051,5089,3122,5017,3122,5017,3051xem5029,3051l5100,3051,5100,3122,5029,3122,5029,3051xem5053,3051l5124,3051,5124,3122,5053,3122,5053,3051xem5065,3051l5136,3051,5136,3122,5065,3122,5065,3051xem5077,3051l5148,3051,5148,3122,5077,3122,5077,3051xem5089,3051l5160,3051,5160,3122,5089,3122,5089,3051xem5112,3051l5184,3051,5184,3122,5112,3122,5112,3051xem5124,3051l5196,3051,5196,3122,5124,3122,5124,3051xem5136,3051l5208,3051,5208,3122,5136,3122,5136,3051xem5148,3051l5219,3051,5219,3122,5148,3122,5148,3051xem5172,3051l5243,3051,5243,3122,5172,3122,5172,3051xem5184,3051l5255,3051,5255,3122,5184,3122,5184,3051xem5196,3051l5267,3051,5267,3122,5196,3122,5196,3051xem5208,3051l5279,3051,5279,3122,5208,3122,5208,3051xem5231,3051l5303,3051,5303,3122,5231,3122,5231,3051xem5243,3051l5315,3051,5315,3122,5243,3122,5243,3051xem5255,3051l5327,3051,5327,3122,5255,3122,5255,3051xem5279,3051l5350,3051,5350,3122,5279,3122,5279,3051xem5291,3051l5362,3051,5362,3122,5291,3122,5291,3051xem5303,3051l5374,3051,5374,3122,5303,3122,5303,3051xem5315,3051l5386,3051,5386,3122,5315,3122,5315,3051xem5338,3051l5410,3051,5410,3122,5338,3122,5338,3051xem5350,3051l5422,3051,5422,3122,5350,3122,5350,3051xem5362,3051l5434,3051,5434,3122,5362,3122,5362,3051xem5374,3051l5446,3051,5446,3122,5374,3122,5374,3051xem5398,3051l5469,3051,5469,3122,5398,3122,5398,3051xem5410,3051l5481,3051,5481,3122,5410,3122,5410,3051xem5422,3051l5493,3051,5493,3122,5422,3122,5422,3051xem5434,3051l5505,3051,5505,3122,5434,3122,5434,3051xem5458,3051l5529,3051,5529,3122,5458,3122,5458,3051xem5469,3051l5541,3051,5541,3122,5469,3122,5469,3051xem5481,3051l5553,3051,5553,3122,5481,3122,5481,3051xem5493,3051l5565,3051,5565,3122,5493,3122,5493,3051xem5517,3051l5588,3051,5588,3122,5517,3122,5517,3051xem5529,3051l5600,3051,5600,3122,5529,3122,5529,3051xem5541,3051l5612,3051,5612,3122,5541,3122,5541,3051xem5553,3051l5624,3051,5624,3122,5553,3122,5553,3051xem5577,3051l5648,3051,5648,3122,5577,3122,5577,3051xem5588,3051l5660,3051,5660,3122,5588,3122,5588,3051xem5600,3051l5672,3051,5672,3122,5600,3122,5600,3051xem5624,3051l5696,3051,5696,3122,5624,3122,5624,3051xem5636,3051l5708,3051,5708,3122,5636,3122,5636,3051xem5648,3051l5719,3051,5719,3122,5648,3122,5648,3051xem5660,3051l5731,3051,5731,3122,5660,3122,5660,3051xem5684,3051l5755,3051,5755,3122,5684,3122,5684,3051xem5696,3051l5767,3051,5767,3122,5696,3122,5696,3051xem5708,3051l5779,3051,5779,3122,5708,3122,5708,3051xem5719,3051l5791,3051,5791,3122,5719,3122,5719,3051xem5743,3051l5815,3051,5815,3122,5743,3122,5743,3051xem5755,3051l5827,3051,5827,3122,5755,3122,5755,3051xem5767,3051l5838,3051,5838,3122,5767,3122,5767,3051xem5779,3051l5850,3051,5850,3122,5779,3122,5779,3051xem5803,3051l5874,3051,5874,3122,5803,3122,5803,3051xem5815,3051l5886,3051,5886,3122,5815,3122,5815,3051xem5827,3051l5898,3051,5898,3122,5827,3122,5827,3051xem5838,3051l5910,3051,5910,3122,5838,3122,5838,3051xem5862,3051l5934,3051,5934,3122,5862,3122,5862,3051xem5874,3051l5946,3051,5946,3122,5874,3122,5874,3051xem5886,3051l5958,3051,5958,3122,5886,3122,5886,3051xem5898,3051l5969,3051,5969,3122,5898,3122,5898,3051xem5922,3051l5993,3051,5993,3122,5922,3122,5922,3051xem5934,3051l6005,3051,6005,3122,5934,3122,5934,3051xem5946,3051l6017,3051,6017,3122,5946,3122,5946,3051xem5958,3051l6029,3051,6029,3122,5958,3122,5958,3051xem5981,3051l6053,3051,6053,3122,5981,3122,5981,3051xem5993,3051l6065,3051,6065,3122,5993,3122,5993,3051xem6005,3051l6077,3051,6077,3122,6005,3122,6005,3051xem6029,3051l6100,3051,6100,3122,6029,3122,6029,3051xem6041,3051l6112,3051,6112,3122,6041,3122,6041,3051xem6053,3051l6124,3051,6124,3122,6053,3122,6053,3051xem6065,3051l6136,3051,6136,3122,6065,3122,6065,3051xem6088,3051l6160,3051,6160,3122,6088,3122,6088,3051xem6100,3051l6172,3051,6172,3122,6100,3122,6100,3051xem6112,3051l6184,3051,6184,3122,6112,3122,6112,3051xem6124,3051l6196,3051,6196,3122,6124,3122,6124,3051xem6148,3051l6219,3051,6219,3122,6148,3122,6148,3051xem6160,3051l6231,3051,6231,3122,6160,3122,6160,3051xem6172,3051l6243,3051,6243,3122,6172,3122,6172,3051xem6184,3051l6255,3051,6255,3122,6184,3122,6184,3051xem6207,3051l6279,3051,6279,3122,6207,3122,6207,3051xem6219,3051l6291,3051,6291,3122,6219,3122,6219,3051xem6231,3051l6303,3051,6303,3122,6231,3122,6231,3051xem6243,3051l6315,3051,6315,3122,6243,3122,6243,3051xem6267,3051l6338,3051,6338,3122,6267,3122,6267,3051xem6279,3051l6350,3051,6350,3122,6279,3122,6279,3051xem6291,3051l6362,3051,6362,3122,6291,3122,6291,3051xem6303,3051l6374,3051,6374,3122,6303,3122,6303,3051xem6327,3051l6398,3051,6398,3122,6327,3122,6327,3051xem6338,3051l6410,3051,6410,3122,6338,3122,6338,3051xem6350,3051l6422,3051,6422,3122,6350,3122,6350,3051xem6362,3051l6434,3051,6434,3122,6362,3122,6362,3051xem6386,3051l6457,3051,6457,3122,6386,3122,6386,3051xem6398,3051l6469,3051,6469,3122,6398,3122,6398,3051xem6410,3051l6481,3051,6481,3122,6410,3122,6410,3051xem6434,3051l6505,3051,6505,3122,6434,3122,6434,3051xem6446,3051l6517,3051,6517,3122,6446,3122,6446,3051xem6457,3051l6529,3051,6529,3122,6457,3122,6457,3051xem6469,3051l6541,3051,6541,3122,6469,3122,6469,3051xem6493,3051l6565,3051,6565,3122,6493,3122,6493,3051xem6505,3051l6577,3051,6577,3122,6505,3122,6505,3051xem6517,3051l6588,3051,6588,3122,6517,3122,6517,3051xem6529,3051l6600,3051,6600,3122,6529,3122,6529,3051xem6553,3051l6624,3051,6624,3122,6553,3122,6553,3051xem6565,3051l6636,3051,6636,3122,6565,3122,6565,3051xem6577,3051l6648,3051,6648,3122,6577,3122,6577,3051xem6588,3051l6660,3051,6660,3122,6588,3122,6588,3051xem6612,3051l6684,3051,6684,3122,6612,3122,6612,3051xem6624,3051l6696,3051,6696,3122,6624,3122,6624,3051xem6636,3051l6707,3051,6707,3122,6636,3122,6636,3051xem6648,3051l6719,3051,6719,3122,6648,3122,6648,3051xem6672,3051l6743,3051,6743,3122,6672,3122,6672,3051xem6684,3051l6755,3051,6755,3122,6684,3122,6684,3051xem6696,3051l6767,3051,6767,3122,6696,3122,6696,3051xem6707,3051l6779,3051,6779,3122,6707,3122,6707,3051xem6731,3051l6803,3051,6803,3122,6731,3122,6731,3051xem6743,3051l6815,3051,6815,3122,6743,3122,6743,3051xem6755,3051l6827,3051,6827,3122,6755,3122,6755,3051xem6779,3051l6850,3051,6850,3122,6779,3122,6779,3051xem6791,3051l6862,3051,6862,3122,6791,3122,6791,3051xem6803,3051l6874,3051,6874,3122,6803,3122,6803,3051xem6815,3051l6886,3051,6886,3122,6815,3122,6815,3051xem6838,3051l6910,3051,6910,3122,6838,3122,6838,3051xem6850,3051l6922,3051,6922,3122,6850,3122,6850,3051xem6862,3051l6934,3051,6934,3122,6862,3122,6862,3051xem6874,3051l6946,3051,6946,3122,6874,3122,6874,3051xem6898,3051l6969,3051,6969,3122,6898,3122,6898,3051xem6910,3051l6981,3051,6981,3122,6910,3122,6910,3051xem6922,3051l6993,3051,6993,3122,6922,3122,6922,3051xem6934,3051l7005,3051,7005,3122,6934,3122,6934,3051xem6957,3051l7029,3051,7029,3122,6957,3122,6957,3051xem6969,3051l7041,3051,7041,3122,6969,3122,6969,3051xem6981,3051l7053,3051,7053,3122,6981,3122,6981,3051xem6993,3051l7065,3051,7065,3122,6993,3122,6993,3051xem7017,3051l7088,3051,7088,3122,7017,3122,7017,3051xem7029,3051l7100,3051,7100,3122,7029,3122,7029,3051xem7041,3051l7112,3051,7112,3122,7041,3122,7041,3051xem7053,3051l7124,3051,7124,3122,7053,3122,7053,3051xem7076,3051l7148,3051,7148,3122,7076,3122,7076,3051xem7088,3051l7160,3051,7160,3122,7088,3122,7088,3051xem7100,3051l7172,3051,7172,3122,7100,3122,7100,3051xem7124,3051l7196,3051,7196,3122,7124,3122,7124,3051xem7136,3051l7207,3051,7207,3122,7136,3122,7136,3051xem7148,3051l7219,3051,7219,3122,7148,3122,7148,3051xem7160,3051l7231,3051,7231,3122,7160,3122,7160,3051xem7184,3051l7255,3051,7255,3122,7184,3122,7184,3051xem7196,3051l7267,3051,7267,3122,7196,3122,7196,3051xem7207,3051l7279,3051,7279,3122,7207,3122,7207,3051xem7219,3051l7291,3051,7291,3122,7219,3122,7219,3051xem7243,3051l7315,3051,7315,3122,7243,3122,7243,3051xem7255,3051l7326,3051,7326,3122,7255,3122,7255,3051xem7267,3051l7338,3051,7338,3122,7267,3122,7267,3051xem7279,3051l7350,3051,7350,3122,7279,3122,7279,3051xem7303,3051l7374,3051,7374,3122,7303,3122,7303,3051xem7315,3051l7386,3051,7386,3122,7315,3122,7315,3051xem7326,3051l7398,3051,7398,3122,7326,3122,7326,3051xem7338,3051l7410,3051,7410,3122,7338,3122,7338,3051xem7362,3051l7434,3051,7434,3122,7362,3122,7362,3051xem7374,3051l7446,3051,7446,3122,7374,3122,7374,3051xem7386,3051l7457,3051,7457,3122,7386,3122,7386,3051xem7398,3051l7469,3051,7469,3122,7398,3122,7398,3051xem7422,3051l7493,3051,7493,3122,7422,3122,7422,3051xem7434,3051l7505,3051,7505,3122,7434,3122,7434,3051xem7446,3051l7517,3051,7517,3122,7446,3122,7446,3051xem7457,3051l7529,3051,7529,3122,7457,3122,7457,3051xem7481,3051l7553,3051,7553,3122,7481,3122,7481,3051xem7493,3051l7565,3051,7565,3122,7493,3122,7493,3051xe">
              <v:fill on="t" focussize="0,0"/>
              <v:stroke weight="0.59pt" color="#000000" miterlimit="2" endcap="round"/>
              <v:imagedata o:title=""/>
              <o:lock v:ext="edit"/>
            </v:shape>
            <w10:wrap type="none"/>
            <w10:anchorlock/>
          </v:group>
        </w:pict>
      </w:r>
    </w:p>
    <w:p w14:paraId="5664D93A">
      <w:pPr>
        <w:spacing w:before="9" w:line="226" w:lineRule="auto"/>
        <w:ind w:left="451"/>
        <w:rPr>
          <w:rFonts w:ascii="宋体" w:hAnsi="宋体" w:eastAsia="宋体" w:cs="宋体"/>
          <w:sz w:val="19"/>
          <w:szCs w:val="19"/>
        </w:rPr>
      </w:pPr>
      <w:r>
        <w:rPr>
          <w:rFonts w:ascii="宋体" w:hAnsi="宋体" w:eastAsia="宋体" w:cs="宋体"/>
          <w:spacing w:val="-11"/>
          <w:sz w:val="19"/>
          <w:szCs w:val="19"/>
        </w:rPr>
        <w:t>0</w:t>
      </w:r>
      <w:r>
        <w:rPr>
          <w:rFonts w:ascii="宋体" w:hAnsi="宋体" w:eastAsia="宋体" w:cs="宋体"/>
          <w:spacing w:val="4"/>
          <w:sz w:val="19"/>
          <w:szCs w:val="19"/>
        </w:rPr>
        <w:t xml:space="preserve">             </w:t>
      </w:r>
      <w:r>
        <w:rPr>
          <w:rFonts w:ascii="宋体" w:hAnsi="宋体" w:eastAsia="宋体" w:cs="宋体"/>
          <w:spacing w:val="-11"/>
          <w:sz w:val="19"/>
          <w:szCs w:val="19"/>
        </w:rPr>
        <w:t>1000</w:t>
      </w:r>
      <w:r>
        <w:rPr>
          <w:rFonts w:ascii="宋体" w:hAnsi="宋体" w:eastAsia="宋体" w:cs="宋体"/>
          <w:spacing w:val="2"/>
          <w:sz w:val="19"/>
          <w:szCs w:val="19"/>
        </w:rPr>
        <w:t xml:space="preserve">            </w:t>
      </w:r>
      <w:r>
        <w:rPr>
          <w:rFonts w:ascii="宋体" w:hAnsi="宋体" w:eastAsia="宋体" w:cs="宋体"/>
          <w:spacing w:val="-11"/>
          <w:sz w:val="19"/>
          <w:szCs w:val="19"/>
        </w:rPr>
        <w:t>2000</w:t>
      </w:r>
      <w:r>
        <w:rPr>
          <w:rFonts w:ascii="宋体" w:hAnsi="宋体" w:eastAsia="宋体" w:cs="宋体"/>
          <w:spacing w:val="2"/>
          <w:sz w:val="19"/>
          <w:szCs w:val="19"/>
        </w:rPr>
        <w:t xml:space="preserve">            </w:t>
      </w:r>
      <w:r>
        <w:rPr>
          <w:rFonts w:ascii="宋体" w:hAnsi="宋体" w:eastAsia="宋体" w:cs="宋体"/>
          <w:spacing w:val="-11"/>
          <w:sz w:val="19"/>
          <w:szCs w:val="19"/>
        </w:rPr>
        <w:t>3000</w:t>
      </w:r>
      <w:r>
        <w:rPr>
          <w:rFonts w:ascii="宋体" w:hAnsi="宋体" w:eastAsia="宋体" w:cs="宋体"/>
          <w:spacing w:val="2"/>
          <w:sz w:val="19"/>
          <w:szCs w:val="19"/>
        </w:rPr>
        <w:t xml:space="preserve">            </w:t>
      </w:r>
      <w:r>
        <w:rPr>
          <w:rFonts w:ascii="宋体" w:hAnsi="宋体" w:eastAsia="宋体" w:cs="宋体"/>
          <w:spacing w:val="-11"/>
          <w:sz w:val="19"/>
          <w:szCs w:val="19"/>
        </w:rPr>
        <w:t>4000</w:t>
      </w:r>
      <w:r>
        <w:rPr>
          <w:rFonts w:ascii="宋体" w:hAnsi="宋体" w:eastAsia="宋体" w:cs="宋体"/>
          <w:spacing w:val="2"/>
          <w:sz w:val="19"/>
          <w:szCs w:val="19"/>
        </w:rPr>
        <w:t xml:space="preserve">            </w:t>
      </w:r>
      <w:r>
        <w:rPr>
          <w:rFonts w:ascii="宋体" w:hAnsi="宋体" w:eastAsia="宋体" w:cs="宋体"/>
          <w:spacing w:val="-11"/>
          <w:sz w:val="19"/>
          <w:szCs w:val="19"/>
        </w:rPr>
        <w:t>50</w:t>
      </w:r>
      <w:r>
        <w:rPr>
          <w:rFonts w:ascii="宋体" w:hAnsi="宋体" w:eastAsia="宋体" w:cs="宋体"/>
          <w:spacing w:val="-12"/>
          <w:sz w:val="19"/>
          <w:szCs w:val="19"/>
        </w:rPr>
        <w:t>00</w:t>
      </w:r>
    </w:p>
    <w:p w14:paraId="7049269F">
      <w:pPr>
        <w:spacing w:before="1" w:line="225" w:lineRule="auto"/>
        <w:ind w:left="7923"/>
        <w:rPr>
          <w:rFonts w:ascii="宋体" w:hAnsi="宋体" w:eastAsia="宋体" w:cs="宋体"/>
          <w:sz w:val="15"/>
          <w:szCs w:val="15"/>
        </w:rPr>
      </w:pPr>
      <w:r>
        <w:rPr>
          <w:rFonts w:ascii="宋体" w:hAnsi="宋体" w:eastAsia="宋体" w:cs="宋体"/>
          <w:spacing w:val="4"/>
          <w:sz w:val="15"/>
          <w:szCs w:val="15"/>
        </w:rPr>
        <w:t>距离(m)</w:t>
      </w:r>
    </w:p>
    <w:p w14:paraId="298455BF">
      <w:pPr>
        <w:spacing w:before="116" w:line="225" w:lineRule="auto"/>
        <w:ind w:left="1306"/>
        <w:rPr>
          <w:rFonts w:ascii="宋体" w:hAnsi="宋体" w:eastAsia="宋体" w:cs="宋体"/>
          <w:sz w:val="25"/>
          <w:szCs w:val="25"/>
        </w:rPr>
      </w:pPr>
      <w:r>
        <w:rPr>
          <w:rFonts w:ascii="宋体" w:hAnsi="宋体" w:eastAsia="宋体" w:cs="宋体"/>
          <w:b/>
          <w:bCs/>
          <w:spacing w:val="5"/>
          <w:sz w:val="25"/>
          <w:szCs w:val="25"/>
        </w:rPr>
        <w:t>图</w:t>
      </w:r>
      <w:r>
        <w:rPr>
          <w:rFonts w:ascii="宋体" w:hAnsi="宋体" w:eastAsia="宋体" w:cs="宋体"/>
          <w:spacing w:val="-47"/>
          <w:sz w:val="25"/>
          <w:szCs w:val="25"/>
        </w:rPr>
        <w:t xml:space="preserve"> </w:t>
      </w:r>
      <w:r>
        <w:rPr>
          <w:rFonts w:ascii="Times New Roman" w:hAnsi="Times New Roman" w:eastAsia="Times New Roman" w:cs="Times New Roman"/>
          <w:b/>
          <w:bCs/>
          <w:spacing w:val="5"/>
          <w:sz w:val="25"/>
          <w:szCs w:val="25"/>
        </w:rPr>
        <w:t xml:space="preserve">9    </w:t>
      </w:r>
      <w:r>
        <w:rPr>
          <w:rFonts w:ascii="宋体" w:hAnsi="宋体" w:eastAsia="宋体" w:cs="宋体"/>
          <w:b/>
          <w:bCs/>
          <w:spacing w:val="5"/>
          <w:sz w:val="25"/>
          <w:szCs w:val="25"/>
        </w:rPr>
        <w:t>硫酸—轴线最大浓度</w:t>
      </w:r>
      <w:r>
        <w:rPr>
          <w:rFonts w:ascii="Times New Roman" w:hAnsi="Times New Roman" w:eastAsia="Times New Roman" w:cs="Times New Roman"/>
          <w:b/>
          <w:bCs/>
          <w:spacing w:val="5"/>
          <w:sz w:val="25"/>
          <w:szCs w:val="25"/>
        </w:rPr>
        <w:t>-</w:t>
      </w:r>
      <w:r>
        <w:rPr>
          <w:rFonts w:ascii="宋体" w:hAnsi="宋体" w:eastAsia="宋体" w:cs="宋体"/>
          <w:b/>
          <w:bCs/>
          <w:spacing w:val="5"/>
          <w:sz w:val="25"/>
          <w:szCs w:val="25"/>
        </w:rPr>
        <w:t>距离曲线图（最不利气象）</w:t>
      </w:r>
    </w:p>
    <w:p w14:paraId="4092AD2E">
      <w:pPr>
        <w:spacing w:line="225" w:lineRule="auto"/>
        <w:rPr>
          <w:rFonts w:ascii="宋体" w:hAnsi="宋体" w:eastAsia="宋体" w:cs="宋体"/>
          <w:sz w:val="25"/>
          <w:szCs w:val="25"/>
        </w:rPr>
        <w:sectPr>
          <w:footerReference r:id="rId147" w:type="default"/>
          <w:pgSz w:w="11906" w:h="16839"/>
          <w:pgMar w:top="400" w:right="1633" w:bottom="1127" w:left="1539" w:header="0" w:footer="965" w:gutter="0"/>
          <w:cols w:space="720" w:num="1"/>
        </w:sectPr>
      </w:pPr>
    </w:p>
    <w:p w14:paraId="06EFC588">
      <w:pPr>
        <w:spacing w:line="264" w:lineRule="auto"/>
        <w:rPr>
          <w:rFonts w:ascii="Arial"/>
          <w:sz w:val="21"/>
        </w:rPr>
      </w:pPr>
    </w:p>
    <w:p w14:paraId="33A99316">
      <w:pPr>
        <w:spacing w:line="264" w:lineRule="auto"/>
        <w:rPr>
          <w:rFonts w:ascii="Arial"/>
          <w:sz w:val="21"/>
        </w:rPr>
      </w:pPr>
    </w:p>
    <w:p w14:paraId="0C4A131C">
      <w:pPr>
        <w:spacing w:line="264" w:lineRule="auto"/>
        <w:rPr>
          <w:rFonts w:ascii="Arial"/>
          <w:sz w:val="21"/>
        </w:rPr>
      </w:pPr>
    </w:p>
    <w:p w14:paraId="1451FFFC">
      <w:pPr>
        <w:spacing w:line="265" w:lineRule="auto"/>
        <w:rPr>
          <w:rFonts w:ascii="Arial"/>
          <w:sz w:val="21"/>
        </w:rPr>
      </w:pPr>
    </w:p>
    <w:p w14:paraId="758691FA">
      <w:pPr>
        <w:spacing w:line="265" w:lineRule="auto"/>
        <w:rPr>
          <w:rFonts w:ascii="Arial"/>
          <w:sz w:val="21"/>
        </w:rPr>
      </w:pPr>
    </w:p>
    <w:p w14:paraId="726E3037">
      <w:pPr>
        <w:spacing w:line="3662" w:lineRule="exact"/>
        <w:ind w:firstLine="367"/>
      </w:pPr>
      <w:r>
        <mc:AlternateContent>
          <mc:Choice Requires="wps">
            <w:drawing>
              <wp:anchor distT="0" distB="0" distL="0" distR="0" simplePos="0" relativeHeight="251692032" behindDoc="0" locked="0" layoutInCell="1" allowOverlap="1">
                <wp:simplePos x="0" y="0"/>
                <wp:positionH relativeFrom="column">
                  <wp:posOffset>-262255</wp:posOffset>
                </wp:positionH>
                <wp:positionV relativeFrom="paragraph">
                  <wp:posOffset>222885</wp:posOffset>
                </wp:positionV>
                <wp:extent cx="621030" cy="151130"/>
                <wp:effectExtent l="0" t="0" r="0" b="0"/>
                <wp:wrapNone/>
                <wp:docPr id="90" name="TextBox 90"/>
                <wp:cNvGraphicFramePr/>
                <a:graphic xmlns:a="http://schemas.openxmlformats.org/drawingml/2006/main">
                  <a:graphicData uri="http://schemas.microsoft.com/office/word/2010/wordprocessingShape">
                    <wps:wsp>
                      <wps:cNvSpPr txBox="1"/>
                      <wps:spPr>
                        <a:xfrm rot="16200000">
                          <a:off x="-262651" y="223172"/>
                          <a:ext cx="621030" cy="1511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BF0ABF6">
                            <w:pPr>
                              <w:spacing w:before="43" w:line="215" w:lineRule="auto"/>
                              <w:ind w:left="20"/>
                              <w:rPr>
                                <w:rFonts w:ascii="宋体" w:hAnsi="宋体" w:eastAsia="宋体" w:cs="宋体"/>
                                <w:sz w:val="15"/>
                                <w:szCs w:val="15"/>
                              </w:rPr>
                            </w:pPr>
                            <w:r>
                              <w:rPr>
                                <w:rFonts w:ascii="宋体" w:hAnsi="宋体" w:eastAsia="宋体" w:cs="宋体"/>
                                <w:sz w:val="15"/>
                                <w:szCs w:val="15"/>
                              </w:rPr>
                              <w:t>浓度</w:t>
                            </w:r>
                            <w:r>
                              <w:rPr>
                                <w:rFonts w:ascii="宋体" w:hAnsi="宋体" w:eastAsia="宋体" w:cs="宋体"/>
                                <w:spacing w:val="43"/>
                                <w:sz w:val="15"/>
                                <w:szCs w:val="15"/>
                              </w:rPr>
                              <w:t xml:space="preserve"> </w:t>
                            </w:r>
                            <w:r>
                              <w:rPr>
                                <w:rFonts w:ascii="宋体" w:hAnsi="宋体" w:eastAsia="宋体" w:cs="宋体"/>
                                <w:sz w:val="15"/>
                                <w:szCs w:val="15"/>
                              </w:rPr>
                              <w:t>(mg/m3)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20.65pt;margin-top:17.55pt;height:11.9pt;width:48.9pt;rotation:-5898240f;z-index:251692032;mso-width-relative:page;mso-height-relative:page;" filled="f" stroked="f" coordsize="21600,21600" o:gfxdata="UEsDBAoAAAAAAIdO4kAAAAAAAAAAAAAAAAAEAAAAZHJzL1BLAwQUAAAACACHTuJAX86hmNgAAAAI&#10;AQAADwAAAGRycy9kb3ducmV2LnhtbE2PwU7DMAyG70i8Q2QkbltaRrtRmu6AtMs4dSCm3bLGtBWJ&#10;U5psHTw95gQny/Kn399fri/OijOOofekIJ0nIJAab3pqFby+bGYrECFqMtp6QgVfGGBdXV+VujB+&#10;ohrPu9gKDqFQaAVdjEMhZWg6dDrM/YDEt3c/Oh15HVtpRj1xuLPyLkly6XRP/KHTAz512HzsTk6B&#10;fa7l9pu24YD79mDe6s9ps8yVur1Jk0cQES/xD4ZffVaHip2O/kQmCKtgdp8uGFWwyFIQDGR5BuLI&#10;c/UAsirl/wLVD1BLAwQUAAAACACHTuJA4D280E8CAACiBAAADgAAAGRycy9lMm9Eb2MueG1srVRN&#10;b9swDL0P2H8QdG8du2i2BnWKrEGHAcVaIB12VmS5FqCvSUrs7tfvSbbbotuhh+Ug0CT1RD4+5vJq&#10;0IochQ/SmpqWpwtKhOG2keaxpj8ebk4+UxIiMw1T1oiaPolAr9YfP1z2biUq21nVCE8AYsKqdzXt&#10;YnSrogi8E5qFU+uEQbC1XrOIT/9YNJ71QNeqqBaLZdFb3zhvuQgB3u0YpBOifw+gbVvJxdbygxYm&#10;jqheKBbRUuikC3Sdq21bweNd2wYRiaopOo35xCOw9+ks1pds9eiZ6ySfSmDvKeFNT5pJg0efobYs&#10;MnLw8i8oLbm3wbbxlFtdjI1kRtBFuXjDza5jTuReQHVwz6SH/wfLvx/vPZFNTS9AiWEaE38QQ/xi&#10;BwIP6OldWCFr55AXB/ghmtkf4ExdD63XxFuwWy4xY/wyGWiPIP2kWlbL85KSp5pW1Vn5qRppxzOE&#10;I76sysUZXueIl+dlWV2keDHCJnjnQ/wqrCbJqKnHVDM+O96GOKbOKSnd2BupVJ6sMqTPw+YMUm0h&#10;kXzxVUa6uGWhI0cGiQSrZDNWp2WEzpXUk0xQjzIoK/Ex9p2sOOyHiaS9bZ7AUaYB3QTHbyTAb1mI&#10;98xDVXBi7+IdjlZZ1GUni5LO+t//8qd8DBtRSnqoFBX+OjAvKFHfDGQAyDgbfjb2s2EO+tqiK1CP&#10;arKJCz6q2Wy91T+xjpv0CkLMcLxV0zib13HcFawzF5tNToJwHYu3Zud4gh4Z3xyibWUeRqJl5GJi&#10;C9LN45zWLO3G6++c9fLXs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86hmNgAAAAIAQAADwAA&#10;AAAAAAABACAAAAAiAAAAZHJzL2Rvd25yZXYueG1sUEsBAhQAFAAAAAgAh07iQOA9vNBPAgAAogQA&#10;AA4AAAAAAAAAAQAgAAAAJwEAAGRycy9lMm9Eb2MueG1sUEsFBgAAAAAGAAYAWQEAAOgFAAAAAA==&#10;">
                <v:fill on="f" focussize="0,0"/>
                <v:stroke on="f" weight="0pt" miterlimit="0" joinstyle="miter"/>
                <v:imagedata o:title=""/>
                <o:lock v:ext="edit" aspectratio="f"/>
                <v:textbox inset="0mm,0mm,0mm,0mm">
                  <w:txbxContent>
                    <w:p w14:paraId="3BF0ABF6">
                      <w:pPr>
                        <w:spacing w:before="43" w:line="215" w:lineRule="auto"/>
                        <w:ind w:left="20"/>
                        <w:rPr>
                          <w:rFonts w:ascii="宋体" w:hAnsi="宋体" w:eastAsia="宋体" w:cs="宋体"/>
                          <w:sz w:val="15"/>
                          <w:szCs w:val="15"/>
                        </w:rPr>
                      </w:pPr>
                      <w:r>
                        <w:rPr>
                          <w:rFonts w:ascii="宋体" w:hAnsi="宋体" w:eastAsia="宋体" w:cs="宋体"/>
                          <w:sz w:val="15"/>
                          <w:szCs w:val="15"/>
                        </w:rPr>
                        <w:t>浓度</w:t>
                      </w:r>
                      <w:r>
                        <w:rPr>
                          <w:rFonts w:ascii="宋体" w:hAnsi="宋体" w:eastAsia="宋体" w:cs="宋体"/>
                          <w:spacing w:val="43"/>
                          <w:sz w:val="15"/>
                          <w:szCs w:val="15"/>
                        </w:rPr>
                        <w:t xml:space="preserve"> </w:t>
                      </w:r>
                      <w:r>
                        <w:rPr>
                          <w:rFonts w:ascii="宋体" w:hAnsi="宋体" w:eastAsia="宋体" w:cs="宋体"/>
                          <w:sz w:val="15"/>
                          <w:szCs w:val="15"/>
                        </w:rPr>
                        <w:t>(mg/m3)</w:t>
                      </w:r>
                    </w:p>
                  </w:txbxContent>
                </v:textbox>
              </v:shape>
            </w:pict>
          </mc:Fallback>
        </mc:AlternateContent>
      </w:r>
      <w:r>
        <mc:AlternateContent>
          <mc:Choice Requires="wps">
            <w:drawing>
              <wp:anchor distT="0" distB="0" distL="0" distR="0" simplePos="0" relativeHeight="251691008" behindDoc="0" locked="0" layoutInCell="1" allowOverlap="1">
                <wp:simplePos x="0" y="0"/>
                <wp:positionH relativeFrom="column">
                  <wp:posOffset>-922655</wp:posOffset>
                </wp:positionH>
                <wp:positionV relativeFrom="paragraph">
                  <wp:posOffset>1113155</wp:posOffset>
                </wp:positionV>
                <wp:extent cx="2161540" cy="211455"/>
                <wp:effectExtent l="0" t="0" r="0" b="0"/>
                <wp:wrapNone/>
                <wp:docPr id="92" name="TextBox 92"/>
                <wp:cNvGraphicFramePr/>
                <a:graphic xmlns:a="http://schemas.openxmlformats.org/drawingml/2006/main">
                  <a:graphicData uri="http://schemas.microsoft.com/office/word/2010/wordprocessingShape">
                    <wps:wsp>
                      <wps:cNvSpPr txBox="1"/>
                      <wps:spPr>
                        <a:xfrm rot="16200000">
                          <a:off x="-922827" y="1113632"/>
                          <a:ext cx="216153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FDF71C">
                            <w:pPr>
                              <w:spacing w:before="73" w:line="239" w:lineRule="exact"/>
                              <w:ind w:left="20"/>
                              <w:rPr>
                                <w:rFonts w:ascii="宋体" w:hAnsi="宋体" w:eastAsia="宋体" w:cs="宋体"/>
                                <w:sz w:val="18"/>
                                <w:szCs w:val="18"/>
                              </w:rPr>
                            </w:pPr>
                            <w:r>
                              <w:rPr>
                                <w:rFonts w:ascii="宋体" w:hAnsi="宋体" w:eastAsia="宋体" w:cs="宋体"/>
                                <w:spacing w:val="-8"/>
                                <w:position w:val="1"/>
                                <w:sz w:val="18"/>
                                <w:szCs w:val="18"/>
                              </w:rPr>
                              <w:t>0</w:t>
                            </w:r>
                            <w:r>
                              <w:rPr>
                                <w:rFonts w:ascii="宋体" w:hAnsi="宋体" w:eastAsia="宋体" w:cs="宋体"/>
                                <w:position w:val="1"/>
                                <w:sz w:val="18"/>
                                <w:szCs w:val="18"/>
                              </w:rPr>
                              <w:t xml:space="preserve">      </w:t>
                            </w:r>
                            <w:r>
                              <w:rPr>
                                <w:rFonts w:ascii="宋体" w:hAnsi="宋体" w:eastAsia="宋体" w:cs="宋体"/>
                                <w:spacing w:val="-8"/>
                                <w:position w:val="1"/>
                                <w:sz w:val="18"/>
                                <w:szCs w:val="18"/>
                              </w:rPr>
                              <w:t>10</w:t>
                            </w:r>
                            <w:r>
                              <w:rPr>
                                <w:rFonts w:ascii="宋体" w:hAnsi="宋体" w:eastAsia="宋体" w:cs="宋体"/>
                                <w:spacing w:val="7"/>
                                <w:position w:val="1"/>
                                <w:sz w:val="18"/>
                                <w:szCs w:val="18"/>
                              </w:rPr>
                              <w:t xml:space="preserve">     </w:t>
                            </w:r>
                            <w:r>
                              <w:rPr>
                                <w:rFonts w:ascii="宋体" w:hAnsi="宋体" w:eastAsia="宋体" w:cs="宋体"/>
                                <w:spacing w:val="-8"/>
                                <w:position w:val="1"/>
                                <w:sz w:val="18"/>
                                <w:szCs w:val="18"/>
                              </w:rPr>
                              <w:t>20</w:t>
                            </w:r>
                            <w:r>
                              <w:rPr>
                                <w:rFonts w:ascii="宋体" w:hAnsi="宋体" w:eastAsia="宋体" w:cs="宋体"/>
                                <w:spacing w:val="5"/>
                                <w:position w:val="1"/>
                                <w:sz w:val="18"/>
                                <w:szCs w:val="18"/>
                              </w:rPr>
                              <w:t xml:space="preserve">     </w:t>
                            </w:r>
                            <w:r>
                              <w:rPr>
                                <w:rFonts w:ascii="宋体" w:hAnsi="宋体" w:eastAsia="宋体" w:cs="宋体"/>
                                <w:spacing w:val="-8"/>
                                <w:position w:val="1"/>
                                <w:sz w:val="18"/>
                                <w:szCs w:val="18"/>
                              </w:rPr>
                              <w:t>30</w:t>
                            </w:r>
                            <w:r>
                              <w:rPr>
                                <w:rFonts w:ascii="宋体" w:hAnsi="宋体" w:eastAsia="宋体" w:cs="宋体"/>
                                <w:spacing w:val="6"/>
                                <w:position w:val="1"/>
                                <w:sz w:val="18"/>
                                <w:szCs w:val="18"/>
                              </w:rPr>
                              <w:t xml:space="preserve">     </w:t>
                            </w:r>
                            <w:r>
                              <w:rPr>
                                <w:rFonts w:ascii="宋体" w:hAnsi="宋体" w:eastAsia="宋体" w:cs="宋体"/>
                                <w:spacing w:val="-8"/>
                                <w:position w:val="1"/>
                                <w:sz w:val="18"/>
                                <w:szCs w:val="18"/>
                              </w:rPr>
                              <w:t>40</w:t>
                            </w:r>
                            <w:r>
                              <w:rPr>
                                <w:rFonts w:ascii="宋体" w:hAnsi="宋体" w:eastAsia="宋体" w:cs="宋体"/>
                                <w:spacing w:val="7"/>
                                <w:position w:val="1"/>
                                <w:sz w:val="18"/>
                                <w:szCs w:val="18"/>
                              </w:rPr>
                              <w:t xml:space="preserve">     </w:t>
                            </w:r>
                            <w:r>
                              <w:rPr>
                                <w:rFonts w:ascii="宋体" w:hAnsi="宋体" w:eastAsia="宋体" w:cs="宋体"/>
                                <w:spacing w:val="-8"/>
                                <w:position w:val="1"/>
                                <w:sz w:val="18"/>
                                <w:szCs w:val="18"/>
                              </w:rPr>
                              <w:t>50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72.65pt;margin-top:87.65pt;height:16.65pt;width:170.2pt;rotation:-5898240f;z-index:251691008;mso-width-relative:page;mso-height-relative:page;" filled="f" stroked="f" coordsize="21600,21600" o:gfxdata="UEsDBAoAAAAAAIdO4kAAAAAAAAAAAAAAAAAEAAAAZHJzL1BLAwQUAAAACACHTuJA5fuWFNoAAAAM&#10;AQAADwAAAGRycy9kb3ducmV2LnhtbE2PsW7CMBCG90q8g3VI3cAOLYGmcRgqsdAptGrFZuJrEmGf&#10;Q2wI7dPXmdrtTv+n/77LNzdr2BV73zqSkMwFMKTK6ZZqCe9v29kamA+KtDKOUMI3etgUk7tcZdoN&#10;VOJ1H2oWS8hnSkITQpdx7qsGrfJz1yHF7Mv1VoW49jXXvRpiuTV8IUTKrWopXmhUhy8NVqf9xUow&#10;ryXf/dDOH/CzPuiP8jxsV6mU99NEPAMLeAt/MIz6UR2K6HR0F9KeGQmz5HH5ENmYrMZhRJ6WCbCj&#10;hIVYp8CLnP9/ovgFUEsDBBQAAAAIAIdO4kBlYD3WUgIAAKQEAAAOAAAAZHJzL2Uyb0RvYy54bWyt&#10;VE1P3DAQvVfqf7B8h2wCbGFFFm1ZUVVCBQmqnr2OQyz5q7Z3E/rr++wkFNEeOHQP1mQ8fjPz5s1e&#10;Xg1akYPwQVpT0/J4QYkw3DbSPNX0++PN0TklITLTMGWNqOmzCPRq/fHDZe9WorKdVY3wBCAmrHpX&#10;0y5GtyqKwDuhWTi2ThhcttZrFvHpn4rGsx7oWhXVYrEseusb5y0XIcC7HS/phOjfA2jbVnKxtXyv&#10;hYkjqheKRbQUOukCXedq21bweNe2QUSiaopOYz6RBPYuncX6kq2ePHOd5FMJ7D0lvOlJM2mQ9AVq&#10;yyIjey//gtKSextsG4+51cXYSGYEXZSLN9w8dMyJ3AuoDu6F9PD/YPm3w70nsqnpRUWJYRoTfxRD&#10;/GwHAg/o6V1YIerBIS4O8EM0sz/AmboeWq+Jt2C3XGLG+GUy0B5B+NFFVZ1Xnyh5xn1ZnixPMjBb&#10;IQ/hCKjKZXl2ckEJR0RVlqdnpylDMQKnBM6H+EVYTZJRU4+55gzscBviGDqHpHBjb6RSebbKkD6P&#10;mzOItYVI8sNXEenhloWOHBhEEqySzSgLLSOUrqSehIJ6lEFZiZGx82TFYTdMNO1s8wyWMhEQWHD8&#10;RgL8loV4zzx0BSc2L97haJVFXXayKOms//Uvf4rHuHFLSQ+dosKfe+YFJeqrgRCSqGfDz8ZuNsxe&#10;X1t0VeZqsokHPqrZbL3VP7CQm5QFV8xw5KppnM3rOG4LFpqLzSYHQbqOxVvz4HiCHhnf7KNtZR5G&#10;omXkYmIL4s3jnBYtbcfr7xz1589l/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5YU2gAAAAwB&#10;AAAPAAAAAAAAAAEAIAAAACIAAABkcnMvZG93bnJldi54bWxQSwECFAAUAAAACACHTuJAZWA91lIC&#10;AACkBAAADgAAAAAAAAABACAAAAApAQAAZHJzL2Uyb0RvYy54bWxQSwUGAAAAAAYABgBZAQAA7QUA&#10;AAAA&#10;">
                <v:fill on="f" focussize="0,0"/>
                <v:stroke on="f" weight="0pt" miterlimit="0" joinstyle="miter"/>
                <v:imagedata o:title=""/>
                <o:lock v:ext="edit" aspectratio="f"/>
                <v:textbox inset="0mm,0mm,0mm,0mm">
                  <w:txbxContent>
                    <w:p w14:paraId="38FDF71C">
                      <w:pPr>
                        <w:spacing w:before="73" w:line="239" w:lineRule="exact"/>
                        <w:ind w:left="20"/>
                        <w:rPr>
                          <w:rFonts w:ascii="宋体" w:hAnsi="宋体" w:eastAsia="宋体" w:cs="宋体"/>
                          <w:sz w:val="18"/>
                          <w:szCs w:val="18"/>
                        </w:rPr>
                      </w:pPr>
                      <w:r>
                        <w:rPr>
                          <w:rFonts w:ascii="宋体" w:hAnsi="宋体" w:eastAsia="宋体" w:cs="宋体"/>
                          <w:spacing w:val="-8"/>
                          <w:position w:val="1"/>
                          <w:sz w:val="18"/>
                          <w:szCs w:val="18"/>
                        </w:rPr>
                        <w:t>0</w:t>
                      </w:r>
                      <w:r>
                        <w:rPr>
                          <w:rFonts w:ascii="宋体" w:hAnsi="宋体" w:eastAsia="宋体" w:cs="宋体"/>
                          <w:position w:val="1"/>
                          <w:sz w:val="18"/>
                          <w:szCs w:val="18"/>
                        </w:rPr>
                        <w:t xml:space="preserve">      </w:t>
                      </w:r>
                      <w:r>
                        <w:rPr>
                          <w:rFonts w:ascii="宋体" w:hAnsi="宋体" w:eastAsia="宋体" w:cs="宋体"/>
                          <w:spacing w:val="-8"/>
                          <w:position w:val="1"/>
                          <w:sz w:val="18"/>
                          <w:szCs w:val="18"/>
                        </w:rPr>
                        <w:t>10</w:t>
                      </w:r>
                      <w:r>
                        <w:rPr>
                          <w:rFonts w:ascii="宋体" w:hAnsi="宋体" w:eastAsia="宋体" w:cs="宋体"/>
                          <w:spacing w:val="7"/>
                          <w:position w:val="1"/>
                          <w:sz w:val="18"/>
                          <w:szCs w:val="18"/>
                        </w:rPr>
                        <w:t xml:space="preserve">     </w:t>
                      </w:r>
                      <w:r>
                        <w:rPr>
                          <w:rFonts w:ascii="宋体" w:hAnsi="宋体" w:eastAsia="宋体" w:cs="宋体"/>
                          <w:spacing w:val="-8"/>
                          <w:position w:val="1"/>
                          <w:sz w:val="18"/>
                          <w:szCs w:val="18"/>
                        </w:rPr>
                        <w:t>20</w:t>
                      </w:r>
                      <w:r>
                        <w:rPr>
                          <w:rFonts w:ascii="宋体" w:hAnsi="宋体" w:eastAsia="宋体" w:cs="宋体"/>
                          <w:spacing w:val="5"/>
                          <w:position w:val="1"/>
                          <w:sz w:val="18"/>
                          <w:szCs w:val="18"/>
                        </w:rPr>
                        <w:t xml:space="preserve">     </w:t>
                      </w:r>
                      <w:r>
                        <w:rPr>
                          <w:rFonts w:ascii="宋体" w:hAnsi="宋体" w:eastAsia="宋体" w:cs="宋体"/>
                          <w:spacing w:val="-8"/>
                          <w:position w:val="1"/>
                          <w:sz w:val="18"/>
                          <w:szCs w:val="18"/>
                        </w:rPr>
                        <w:t>30</w:t>
                      </w:r>
                      <w:r>
                        <w:rPr>
                          <w:rFonts w:ascii="宋体" w:hAnsi="宋体" w:eastAsia="宋体" w:cs="宋体"/>
                          <w:spacing w:val="6"/>
                          <w:position w:val="1"/>
                          <w:sz w:val="18"/>
                          <w:szCs w:val="18"/>
                        </w:rPr>
                        <w:t xml:space="preserve">     </w:t>
                      </w:r>
                      <w:r>
                        <w:rPr>
                          <w:rFonts w:ascii="宋体" w:hAnsi="宋体" w:eastAsia="宋体" w:cs="宋体"/>
                          <w:spacing w:val="-8"/>
                          <w:position w:val="1"/>
                          <w:sz w:val="18"/>
                          <w:szCs w:val="18"/>
                        </w:rPr>
                        <w:t>40</w:t>
                      </w:r>
                      <w:r>
                        <w:rPr>
                          <w:rFonts w:ascii="宋体" w:hAnsi="宋体" w:eastAsia="宋体" w:cs="宋体"/>
                          <w:spacing w:val="7"/>
                          <w:position w:val="1"/>
                          <w:sz w:val="18"/>
                          <w:szCs w:val="18"/>
                        </w:rPr>
                        <w:t xml:space="preserve">     </w:t>
                      </w:r>
                      <w:r>
                        <w:rPr>
                          <w:rFonts w:ascii="宋体" w:hAnsi="宋体" w:eastAsia="宋体" w:cs="宋体"/>
                          <w:spacing w:val="-8"/>
                          <w:position w:val="1"/>
                          <w:sz w:val="18"/>
                          <w:szCs w:val="18"/>
                        </w:rPr>
                        <w:t>50</w:t>
                      </w:r>
                    </w:p>
                  </w:txbxContent>
                </v:textbox>
              </v:shape>
            </w:pict>
          </mc:Fallback>
        </mc:AlternateContent>
      </w:r>
      <w:r>
        <w:rPr>
          <w:position w:val="-73"/>
        </w:rPr>
        <w:pict>
          <v:group id="_x0000_s1061" o:spid="_x0000_s1061" o:spt="203" style="height:183.1pt;width:407.15pt;" coordsize="8142,3662">
            <o:lock v:ext="edit"/>
            <v:shape id="_x0000_s1062" o:spid="_x0000_s1062" style="position:absolute;left:92;top:0;height:3570;width:8050;" fillcolor="#C8C8C8" filled="t" stroked="t" coordsize="8050,3570" path="m5,5l8043,5,8043,3563,5,3563,5,5xe">
              <v:fill on="t" focussize="0,0"/>
              <v:stroke weight="0.58pt" color="#969696" miterlimit="2" endcap="round"/>
              <v:imagedata o:title=""/>
              <o:lock v:ext="edit"/>
            </v:shape>
            <v:shape id="_x0000_s1063" o:spid="_x0000_s1063" style="position:absolute;left:0;top:0;height:3570;width:105;" filled="f" stroked="t" coordsize="105,3570" path="m98,3563l98,5m5,3563l98,3563m5,2914l98,2914m5,2265l98,2265m5,1628l98,1628m5,979l98,979m5,330l98,330e">
              <v:fill on="f" focussize="0,0"/>
              <v:stroke weight="0.58pt" color="#000000" miterlimit="2" endcap="round"/>
              <v:imagedata o:title=""/>
              <o:lock v:ext="edit"/>
            </v:shape>
            <v:shape id="_x0000_s1064" o:spid="_x0000_s1064" style="position:absolute;left:92;top:324;height:2596;width:8050;" filled="f" stroked="t" coordsize="8050,2596" path="m5,2589l8043,2589m5,1941l8043,1941m5,1303l8043,1303m5,654l8043,654m5,5l8043,5e">
              <v:fill on="f" focussize="0,0"/>
              <v:stroke weight="0.58pt" color="#646464" miterlimit="2" endcap="round"/>
              <v:imagedata o:title=""/>
              <o:lock v:ext="edit"/>
            </v:shape>
            <v:shape id="_x0000_s1065" o:spid="_x0000_s1065" style="position:absolute;left:92;top:0;height:3662;width:8050;" filled="f" stroked="t" coordsize="8050,3662" path="m5,5l8043,5m5,3563l8043,3563m5,3656l5,3563m1467,3656l1467,3563m2928,3656l2928,3563m4390,3656l4390,3563m5851,3656l5851,3563m7312,3656l7312,3563m17,1836l40,550,52,1210,63,1813,75,2230,98,2520,110,2729,121,2868,133,2983,156,3065,168,3134,179,3192,191,3238,214,3273,226,3296,237,3331,249,3354,272,3366,284,3389,295,3401,307,3412,330,3424,342,3435,353,3435,365,3447,388,3459,400,3459,411,3470,434,3470,446,3482,458,3482,469,3482,492,3493,504,3493,516,3493,527,3505,550,3505,562,3505,574,3505,585,3505,608,3517,620,3517,632,3517,643,3517,666,3517,678,3517,690,3528,701,3528,724,3528,736,3528,748,3528,771,3528,782,3528,794,3528,806,3528,829,3528,840,3528,852,3540,864,3540,887,3540,898,3540,910,3540,922,3540,945,3540,956,3540,968,3540,980,3540,1003,3540,1014,3540,1026,3540,1038,3540,1061,3540,1072,3540,1084,3540,1107,3540,1119,3540,1130,3540,1142,3551,1165,3551,1177,3551,1188,3551,1200,3551,1223,3551,1235,3551,1246,3551,1258,3551,1281,3551,1293,3551,1304,3551,1316,3551,1339,3551,1351,3551,1362,3551,1374,3551,1397,3551,1409,3551,1420,3551,1432,3551,1455,3551,1467,3551,1478,3551,1502,3551,1513,3551,1525,3551,1536,3551,1559,3551,1571,3551,1583,3551,1594,3551,1618,3551,1629,3551,1641,3551,1652,3551,1675,3551,1687,3551,1699,3551,1710,3551,1733,3551,1745,3551,1757,3551,1768,3551,1791,3551,1803,3551,1815,3551,1826,3551,1849,3551,1861,3551,1873,3551,1896,3551,1907,3551,1919,3551,1931,3551,1954,3551,1965,3551,1977,3551,1989,3551,2012,3551,2023,3551,2035,3551,2047,3551,2070,3551,2081,3551,2093,3551,2105,3551,2128,3551,2139,3551,2151,3551,2163,3551,2186,3551,2197,3551,2209,3551,2232,3563,2244,3563,2255,3563,2267,3563,2290,3563,2302,3563,2313,3563,2325,3563,2348,3563,2360,3563,2371,3563,2383,3563,2406,3563,2418,3563,2429,3563,2441,3563,2464,3563,2476,3563,2487,3563,2499,3563,2522,3563,2534,3563,2545,3563,2569,3563,2580,3563,2592,3563,2603,3563,2627,3563,2638,3563,2650,3563,2661,3563,2685,3563,2696,3563,2708,3563,2719,3563,2743,3563,2754,3563,2766,3563,2777,3563,2801,3563,2812,3563,2824,3563,2835,3563,2859,3563,2870,3563,2882,3563,2893,3563,2917,3563,2928,3563,2940,3563,2963,3563,2975,3563,2986,3563,2998,3563,3021,3563,3033,3563,3044,3563,3056,3563,3079,3563,3091,3563,3102,3563,3114,3563,3137,3563,3149,3563,3160,3563,3172,3563,3195,3563,3207,3563,3218,3563,3230,3563,3253,3563,3265,3563,3276,3563,3288,3563,3311,3563,3322,3563,3334,3563,3357,3563,3369,3563,3380,3563,3392,3563,3415,3563,3427,3563,3438,3563,3450,3563,3473,3563,3485,3563,3496,3563,3508,3563,3531,3563,3543,3563,3554,3563,3566,3563,3589,3563,3601,3563,3612,3563,3624,3563,3647,3563,3659,3563,3670,3563,3694,3563,3705,3563,3717,3563,3728,3563,3752,3563,3763,3563,3775,3563,3786,3563,3810,3563,3821,3563,3833,3563,3844,3563,3868,3563,3879,3563,3891,3563,3902,3563,3926,3563,3937,3563,3949,3563,3960,3563,3984,3563,3995,3563,4007,3563,4030,3563,4042,3563,4053,3563,4065,3563,4088,3563,4100,3563,4111,3563,4123,3563,4146,3563,4158,3563,4169,3563,4181,3563,4204,3563,4216,3563,4227,3563,4239,3563,4262,3563,4274,3563,4285,3563,4297,3563,4320,3563,4332,3563,4343,3563,4355,3563,4378,3563,4390,3563,4401,3563,4424,3563,4436,3563,4448,3563,4459,3563,4482,3563,4494,3563,4506,3563,4517,3563,4540,3563,4552,3563,4564,3563,4575,3563,4598,3563,4610,3563,4622,3563,4633,3563,4656,3563,4668,3563,4680,3563,4691,3563,4714,3563,4726,3563,4737,3563,4749,3563,4772,3563,4784,3563,4795,3563,4819,3563,4830,3563,4842,3563,4853,3563,4877,3563,4888,3563,4900,3563,4911,3563,4935,3563,4946,3563,4958,3563,4969,3563,4993,3563,5004,3563,5016,3563,5027,3563,5051,3563,5062,3563,5074,3563,5085,3563,5109,3563,5120,3563,5132,3563,5155,3563,5167,3563,5178,3563,5190,3563,5213,3563,5225,3563,5236,3563,5248,3563,5271,3563,5283,3563,5294,3563,5306,3563,5329,3563,5341,3563,5352,3563,5364,3563,5387,3563,5399,3563,5410,3563,5422,3563,5445,3563,5457,3563,5468,3563,5491,3563,5503,3563,5515,3563,5526,3563,5549,3563,5561,3563,5573,3563,5584,3563,5607,3563,5619,3563,5631,3563,5642,3563,5665,3563,5677,3563,5689,3563,5700,3563,5723,3563,5735,3563,5747,3563,5758,3563,5781,3563,5793,3563,5805,3563,5816,3563,5839,3563,5851,3563,5863,3563,5886,3563,5897,3563,5909,3563,5921,3563,5944,3563,5955,3563,5967,3563,5979,3563,6002,3563,6013,3563,6025,3563,6037,3563,6060,3563,6071,3563,6083,3563,6095,3563,6118,3563,6129,3563,6141,3563,6153,3563,6176,3563,6187,3563,6199,3563,6211,3563,6234,3563,6245,3563,6257,3563,6280,3563,6292,3563,6303,3563,6315,3563,6338,3563,6350,3563,6361,3563,6373,3563,6396,3563,6408,3563,6419,3563,6431,3563,6454,3563,6466,3563,6477,3563,6489,3563,6512,3563,6524,3563,6535,3563,6547,3563,6570,3563,6582,3563,6593,3563,6616,3563,6628,3563,6640,3563,6651,3563,6674,3563,6686,3563,6698,3563,6709,3563,6732,3563,6744,3563,6756,3563,6767,3563,6790,3563,6802,3563,6814,3563,6825,3563,6848,3563,6860,3563,6872,3563,6883,3563,6906,3563,6918,3563,6930,3563,6953,3563,6964,3563,6976,3563,6988,3563,7011,3563,7022,3563,7034,3563,7046,3563,7069,3563,7080,3563,7092,3563,7104,3563,7127,3563,7138,3563,7150,3563,7162,3563,7185,3563,7196,3563,7208,3563,7220,3563,7243,3563,7254,3563,7266,3563,7278,3563,7301,3563,7312,3563e">
              <v:fill on="f" focussize="0,0"/>
              <v:stroke weight="0.58pt" color="#000000" miterlimit="2" endcap="round"/>
              <v:imagedata o:title=""/>
              <o:lock v:ext="edit"/>
            </v:shape>
            <v:shape id="_x0000_s1066" o:spid="_x0000_s1066" style="position:absolute;left:69;top:509;height:3095;width:7377;" fillcolor="#000000" filled="t" stroked="t" coordsize="7377,3095" path="m5,1292l75,1292,75,1361,5,1361,5,1292xem29,5l98,5,98,75,29,75,29,5xem40,666l110,666,110,735,40,735,40,666xem52,1268l121,1268,121,1338,52,1338,52,1268xem63,1686l133,1686,133,1755,63,1755,63,1686xem87,1975l156,1975,156,2045,87,2045,87,1975xem98,2184l168,2184,168,2253,98,2253,98,2184xem110,2323l179,2323,179,2392,110,2392,110,2323xem121,2439l191,2439,191,2508,121,2508,121,2439xem145,2520l214,2520,214,2589,145,2589,145,2520xem156,2589l226,2589,226,2659,156,2659,156,2589xem168,2647l237,2647,237,2717,168,2717,168,2647xem179,2694l249,2694,249,2763,179,2763,179,2694xem202,2729l272,2729,272,2798,202,2798,202,2729xem214,2752l284,2752,284,2821,214,2821,214,2752xem226,2786l295,2786,295,2856,226,2856,226,2786xem237,2810l307,2810,307,2879,237,2879,237,2810xem260,2821l330,2821,330,2891,260,2891,260,2821xem272,2844l342,2844,342,2914,272,2914,272,2844xem284,2856l353,2856,353,2926,284,2926,284,2856xem295,2868l365,2868,365,2937,295,2937,295,2868xem318,2879l388,2879,388,2949,318,2949,318,2879xem330,2891l400,2891,400,2960,330,2960,330,2891xem342,2891l411,2891,411,2960,342,2960,342,2891xem353,2902l423,2902,423,2972,353,2972,353,2902xem376,2914l446,2914,446,2983,376,2983,376,2914xem388,2914l458,2914,458,2983,388,2983,388,2914xem400,2926l469,2926,469,2995,400,2995,400,2926xem423,2926l492,2926,492,2995,423,2995,423,2926xem434,2937l504,2937,504,3007,434,3007,434,2937xem446,2937l516,2937,516,3007,446,3007,446,2937xem458,2937l527,2937,527,3007,458,3007,458,2937xem481,2949l550,2949,550,3018,481,3018,481,2949xem492,2949l562,2949,562,3018,492,3018,492,2949xem504,2949l574,2949,574,3018,504,3018,504,2949xem516,2960l585,2960,585,3030,516,3030,516,2960xem539,2960l608,2960,608,3030,539,3030,539,2960xem550,2960l620,2960,620,3030,550,3030,550,2960xem562,2960l632,2960,632,3030,562,3030,562,2960xem574,2960l643,2960,643,3030,574,3030,574,2960xem597,2972l666,2972,666,3041,597,3041,597,2972xem608,2972l678,2972,678,3041,608,3041,608,2972xem620,2972l690,2972,690,3041,620,3041,620,2972xem632,2972l701,2972,701,3041,632,3041,632,2972xem655,2972l724,2972,724,3041,655,3041,655,2972xem666,2972l736,2972,736,3041,666,3041,666,2972xem678,2983l748,2983,748,3053,678,3053,678,2983xem690,2983l759,2983,759,3053,690,3053,690,2983xem713,2983l782,2983,782,3053,713,3053,713,2983xem724,2983l794,2983,794,3053,724,3053,724,2983xem736,2983l806,2983,806,3053,736,3053,736,2983xem759,2983l829,2983,829,3053,759,3053,759,2983xem771,2983l840,2983,840,3053,771,3053,771,2983xem782,2983l852,2983,852,3053,782,3053,782,2983xem794,2983l864,2983,864,3053,794,3053,794,2983xem817,2983l887,2983,887,3053,817,3053,817,2983xem829,2983l898,2983,898,3053,829,3053,829,2983xem840,2995l910,2995,910,3065,840,3065,840,2995xem852,2995l922,2995,922,3065,852,3065,852,2995xem875,2995l945,2995,945,3065,875,3065,875,2995xem887,2995l956,2995,956,3065,887,3065,887,2995xem898,2995l968,2995,968,3065,898,3065,898,2995xem910,2995l980,2995,980,3065,910,3065,910,2995xem933,2995l1003,2995,1003,3065,933,3065,933,2995xem945,2995l1014,2995,1014,3065,945,3065,945,2995xem956,2995l1026,2995,1026,3065,956,3065,956,2995xem968,2995l1038,2995,1038,3065,968,3065,968,2995xem991,2995l1061,2995,1061,3065,991,3065,991,2995xem1003,2995l1072,2995,1072,3065,1003,3065,1003,2995xem1014,2995l1084,2995,1084,3065,1014,3065,1014,2995xem1026,2995l1096,2995,1096,3065,1026,3065,1026,2995xem1049,2995l1119,2995,1119,3065,1049,3065,1049,2995xem1061,2995l1130,2995,1130,3065,1061,3065,1061,2995xem1072,2995l1142,2995,1142,3065,1072,3065,1072,2995xem1096,2995l1165,2995,1165,3065,1096,3065,1096,2995xem1107,2995l1177,2995,1177,3065,1107,3065,1107,2995xem1119,2995l1188,2995,1188,3065,1119,3065,1119,2995xem1130,3007l1200,3007,1200,3076,1130,3076,1130,3007xem1154,3007l1223,3007,1223,3076,1154,3076,1154,3007xem1165,3007l1235,3007,1235,3076,1165,3076,1165,3007xem1177,3007l1246,3007,1246,3076,1177,3076,1177,3007xem1188,3007l1258,3007,1258,3076,1188,3076,1188,3007xem1212,3007l1281,3007,1281,3076,1212,3076,1212,3007xem1223,3007l1293,3007,1293,3076,1223,3076,1223,3007xem1235,3007l1304,3007,1304,3076,1235,3076,1235,3007xem1246,3007l1316,3007,1316,3076,1246,3076,1246,3007xem1270,3007l1339,3007,1339,3076,1270,3076,1270,3007xem1281,3007l1351,3007,1351,3076,1281,3076,1281,3007xem1293,3007l1362,3007,1362,3076,1293,3076,1293,3007xem1304,3007l1374,3007,1374,3076,1304,3076,1304,3007xem1328,3007l1397,3007,1397,3076,1328,3076,1328,3007xem1339,3007l1409,3007,1409,3076,1339,3076,1339,3007xem1351,3007l1420,3007,1420,3076,1351,3076,1351,3007xem1362,3007l1432,3007,1432,3076,1362,3076,1362,3007xem1386,3007l1455,3007,1455,3076,1386,3076,1386,3007xem1397,3007l1467,3007,1467,3076,1397,3076,1397,3007xem1409,3007l1478,3007,1478,3076,1409,3076,1409,3007xem1420,3007l1490,3007,1490,3076,1420,3076,1420,3007xem1444,3007l1513,3007,1513,3076,1444,3076,1444,3007xem1455,3007l1525,3007,1525,3076,1455,3076,1455,3007xem1467,3007l1536,3007,1536,3076,1467,3076,1467,3007xem1490,3007l1560,3007,1560,3076,1490,3076,1490,3007xem1502,3007l1571,3007,1571,3076,1502,3076,1502,3007xem1513,3007l1583,3007,1583,3076,1513,3076,1513,3007xem1525,3007l1594,3007,1594,3076,1525,3076,1525,3007xem1548,3007l1618,3007,1618,3076,1548,3076,1548,3007xem1560,3007l1629,3007,1629,3076,1560,3076,1560,3007xem1571,3007l1641,3007,1641,3076,1571,3076,1571,3007xem1583,3007l1652,3007,1652,3076,1583,3076,1583,3007xem1606,3007l1675,3007,1675,3076,1606,3076,1606,3007xem1618,3007l1687,3007,1687,3076,1618,3076,1618,3007xem1629,3007l1699,3007,1699,3076,1629,3076,1629,3007xem1641,3007l1710,3007,1710,3076,1641,3076,1641,3007xem1664,3007l1734,3007,1734,3076,1664,3076,1664,3007xem1675,3007l1745,3007,1745,3076,1675,3076,1675,3007xem1687,3007l1757,3007,1757,3076,1687,3076,1687,3007xem1699,3007l1768,3007,1768,3076,1699,3076,1699,3007xem1722,3007l1791,3007,1791,3076,1722,3076,1722,3007xem1733,3007l1803,3007,1803,3076,1733,3076,1733,3007xem1745,3007l1815,3007,1815,3076,1745,3076,1745,3007xem1757,3007l1826,3007,1826,3076,1757,3076,1757,3007xem1780,3007l1849,3007,1849,3076,1780,3076,1780,3007xem1791,3007l1861,3007,1861,3076,1791,3076,1791,3007xem1803,3007l1873,3007,1873,3076,1803,3076,1803,3007xem1815,3007l1884,3007,1884,3076,1815,3076,1815,3007xem1838,3007l1907,3007,1907,3076,1838,3076,1838,3007xem1849,3007l1919,3007,1919,3076,1849,3076,1849,3007xem1861,3007l1931,3007,1931,3076,1861,3076,1861,3007xem1884,3007l1954,3007,1954,3076,1884,3076,1884,3007xem1896,3007l1965,3007,1965,3076,1896,3076,1896,3007xem1907,3007l1977,3007,1977,3076,1907,3076,1907,3007xem1919,3007l1989,3007,1989,3076,1919,3076,1919,3007xem1942,3007l2012,3007,2012,3076,1942,3076,1942,3007xem1954,3007l2023,3007,2023,3076,1954,3076,1954,3007xem1965,3007l2035,3007,2035,3076,1965,3076,1965,3007xem1977,3007l2047,3007,2047,3076,1977,3076,1977,3007xem2000,3007l2070,3007,2070,3076,2000,3076,2000,3007xem2012,3007l2081,3007,2081,3076,2012,3076,2012,3007xem2023,3007l2093,3007,2093,3076,2023,3076,2023,3007xem2035,3007l2105,3007,2105,3076,2035,3076,2035,3007xem2058,3007l2128,3007,2128,3076,2058,3076,2058,3007xem2070,3007l2139,3007,2139,3076,2070,3076,2070,3007xem2081,3007l2151,3007,2151,3076,2081,3076,2081,3007xem2093,3007l2163,3007,2163,3076,2093,3076,2093,3007xem2116,3007l2186,3007,2186,3076,2116,3076,2116,3007xem2128,3007l2197,3007,2197,3076,2128,3076,2128,3007xem2139,3007l2209,3007,2209,3076,2139,3076,2139,3007xem2151,3007l2221,3007,2221,3076,2151,3076,2151,3007xem2174,3007l2244,3007,2244,3076,2174,3076,2174,3007xem2186,3007l2255,3007,2255,3076,2186,3076,2186,3007xem2197,3007l2267,3007,2267,3076,2197,3076,2197,3007xem2221,3018l2290,3018,2290,3088,2221,3088,2221,3018xem2232,3018l2302,3018,2302,3088,2232,3088,2232,3018xem2244,3018l2313,3018,2313,3088,2244,3088,2244,3018xem2255,3018l2325,3018,2325,3088,2255,3088,2255,3018xem2279,3018l2348,3018,2348,3088,2279,3088,2279,3018xem2290,3018l2360,3018,2360,3088,2290,3088,2290,3018xem2302,3018l2371,3018,2371,3088,2302,3088,2302,3018xem2313,3018l2383,3018,2383,3088,2313,3088,2313,3018xem2337,3018l2406,3018,2406,3088,2337,3088,2337,3018xem2348,3018l2418,3018,2418,3088,2348,3088,2348,3018xem2360,3018l2429,3018,2429,3088,2360,3088,2360,3018xem2371,3018l2441,3018,2441,3088,2371,3088,2371,3018xem2395,3018l2464,3018,2464,3088,2395,3088,2395,3018xem2406,3018l2476,3018,2476,3088,2406,3088,2406,3018xem2418,3018l2487,3018,2487,3088,2418,3088,2418,3018xem2429,3018l2499,3018,2499,3088,2429,3088,2429,3018xem2453,3018l2522,3018,2522,3088,2453,3088,2453,3018xem2464,3018l2534,3018,2534,3088,2464,3088,2464,3018xem2476,3018l2545,3018,2545,3088,2476,3088,2476,3018xem2487,3018l2557,3018,2557,3088,2487,3088,2487,3018xem2511,3018l2580,3018,2580,3088,2511,3088,2511,3018xem2522,3018l2592,3018,2592,3088,2522,3088,2522,3018xem2534,3018l2603,3018,2603,3088,2534,3088,2534,3018xem2557,3018l2627,3018,2627,3088,2557,3088,2557,3018xem2569,3018l2638,3018,2638,3088,2569,3088,2569,3018xem2580,3018l2650,3018,2650,3088,2580,3088,2580,3018xem2592,3018l2661,3018,2661,3088,2592,3088,2592,3018xem2615,3018l2685,3018,2685,3088,2615,3088,2615,3018xem2627,3018l2696,3018,2696,3088,2627,3088,2627,3018xem2638,3018l2708,3018,2708,3088,2638,3088,2638,3018xem2650,3018l2719,3018,2719,3088,2650,3088,2650,3018xem2673,3018l2743,3018,2743,3088,2673,3088,2673,3018xem2685,3018l2754,3018,2754,3088,2685,3088,2685,3018xem2696,3018l2766,3018,2766,3088,2696,3088,2696,3018xem2708,3018l2777,3018,2777,3088,2708,3088,2708,3018xem2731,3018l2801,3018,2801,3088,2731,3088,2731,3018xem2743,3018l2812,3018,2812,3088,2743,3088,2743,3018xem2754,3018l2824,3018,2824,3088,2754,3088,2754,3018xem2766,3018l2835,3018,2835,3088,2766,3088,2766,3018xem2789,3018l2859,3018,2859,3088,2789,3088,2789,3018xem2801,3018l2870,3018,2870,3088,2801,3088,2801,3018xem2812,3018l2882,3018,2882,3088,2812,3088,2812,3018xem2824,3018l2893,3018,2893,3088,2824,3088,2824,3018xem2847,3018l2917,3018,2917,3088,2847,3088,2847,3018xem2859,3018l2928,3018,2928,3088,2859,3088,2859,3018xem2870,3018l2940,3018,2940,3088,2870,3088,2870,3018xem2882,3018l2951,3018,2951,3088,2882,3088,2882,3018xem2905,3018l2975,3018,2975,3088,2905,3088,2905,3018xem2917,3018l2986,3018,2986,3088,2917,3088,2917,3018xem2928,3018l2998,3018,2998,3088,2928,3088,2928,3018xem2951,3018l3021,3018,3021,3088,2951,3088,2951,3018xem2963,3018l3033,3018,3033,3088,2963,3088,2963,3018xem2975,3018l3044,3018,3044,3088,2975,3088,2975,3018xem2986,3018l3056,3018,3056,3088,2986,3088,2986,3018xem3009,3018l3079,3018,3079,3088,3009,3088,3009,3018xem3021,3018l3091,3018,3091,3088,3021,3088,3021,3018xem3033,3018l3102,3018,3102,3088,3033,3088,3033,3018xem3044,3018l3114,3018,3114,3088,3044,3088,3044,3018xem3067,3018l3137,3018,3137,3088,3067,3088,3067,3018xem3079,3018l3149,3018,3149,3088,3079,3088,3079,3018xem3091,3018l3160,3018,3160,3088,3091,3088,3091,3018xem3102,3018l3172,3018,3172,3088,3102,3088,3102,3018xem3125,3018l3195,3018,3195,3088,3125,3088,3125,3018xem3137,3018l3207,3018,3207,3088,3137,3088,3137,3018xem3148,3018l3218,3018,3218,3088,3148,3088,3148,3018xem3160,3018l3230,3018,3230,3088,3160,3088,3160,3018xem3183,3018l3253,3018,3253,3088,3183,3088,3183,3018xem3195,3018l3265,3018,3265,3088,3195,3088,3195,3018xem3206,3018l3276,3018,3276,3088,3206,3088,3206,3018xem3218,3018l3288,3018,3288,3088,3218,3088,3218,3018xem3241,3018l3311,3018,3311,3088,3241,3088,3241,3018xem3253,3018l3323,3018,3323,3088,3253,3088,3253,3018xem3264,3018l3334,3018,3334,3088,3264,3088,3264,3018xem3276,3018l3346,3018,3346,3088,3276,3088,3276,3018xem3299,3018l3369,3018,3369,3088,3299,3088,3299,3018xem3311,3018l3380,3018,3380,3088,3311,3088,3311,3018xem3322,3018l3392,3018,3392,3088,3322,3088,3322,3018xem3346,3018l3415,3018,3415,3088,3346,3088,3346,3018xem3357,3018l3427,3018,3427,3088,3357,3088,3357,3018xem3369,3018l3438,3018,3438,3088,3369,3088,3369,3018xem3380,3018l3450,3018,3450,3088,3380,3088,3380,3018xem3404,3018l3473,3018,3473,3088,3404,3088,3404,3018xem3415,3018l3485,3018,3485,3088,3415,3088,3415,3018xem3427,3018l3496,3018,3496,3088,3427,3088,3427,3018xem3438,3018l3508,3018,3508,3088,3438,3088,3438,3018xem3462,3018l3531,3018,3531,3088,3462,3088,3462,3018xem3473,3018l3543,3018,3543,3088,3473,3088,3473,3018xem3485,3018l3554,3018,3554,3088,3485,3088,3485,3018xem3496,3018l3566,3018,3566,3088,3496,3088,3496,3018xem3520,3018l3589,3018,3589,3088,3520,3088,3520,3018xem3531,3018l3601,3018,3601,3088,3531,3088,3531,3018xem3543,3018l3612,3018,3612,3088,3543,3088,3543,3018xem3554,3018l3624,3018,3624,3088,3554,3088,3554,3018xem3578,3018l3647,3018,3647,3088,3578,3088,3578,3018xem3589,3018l3659,3018,3659,3088,3589,3088,3589,3018xem3601,3018l3670,3018,3670,3088,3601,3088,3601,3018xem3612,3018l3682,3018,3682,3088,3612,3088,3612,3018xem3636,3018l3705,3018,3705,3088,3636,3088,3636,3018xem3647,3018l3717,3018,3717,3088,3647,3088,3647,3018xem3659,3018l3728,3018,3728,3088,3659,3088,3659,3018xem3682,3018l3752,3018,3752,3088,3682,3088,3682,3018xem3694,3018l3763,3018,3763,3088,3694,3088,3694,3018xem3705,3018l3775,3018,3775,3088,3705,3088,3705,3018xem3717,3018l3786,3018,3786,3088,3717,3088,3717,3018xem3740,3018l3810,3018,3810,3088,3740,3088,3740,3018xem3752,3018l3821,3018,3821,3088,3752,3088,3752,3018xem3763,3018l3833,3018,3833,3088,3763,3088,3763,3018xem3775,3018l3844,3018,3844,3088,3775,3088,3775,3018xem3798,3018l3868,3018,3868,3088,3798,3088,3798,3018xem3810,3018l3879,3018,3879,3088,3810,3088,3810,3018xem3821,3018l3891,3018,3891,3088,3821,3088,3821,3018xem3833,3018l3902,3018,3902,3088,3833,3088,3833,3018xem3856,3018l3926,3018,3926,3088,3856,3088,3856,3018xem3868,3018l3937,3018,3937,3088,3868,3088,3868,3018xem3879,3018l3949,3018,3949,3088,3879,3088,3879,3018xem3891,3018l3960,3018,3960,3088,3891,3088,3891,3018xem3914,3018l3984,3018,3984,3088,3914,3088,3914,3018xem3926,3018l3995,3018,3995,3088,3926,3088,3926,3018xem3937,3018l4007,3018,4007,3088,3937,3088,3937,3018xem3949,3018l4018,3018,4018,3088,3949,3088,3949,3018xem3972,3018l4042,3018,4042,3088,3972,3088,3972,3018xem3984,3018l4053,3018,4053,3088,3984,3088,3984,3018xem3995,3018l4065,3018,4065,3088,3995,3088,3995,3018xem4018,3018l4088,3018,4088,3088,4018,3088,4018,3018xem4030,3018l4100,3018,4100,3088,4030,3088,4030,3018xem4042,3018l4111,3018,4111,3088,4042,3088,4042,3018xem4053,3018l4123,3018,4123,3088,4053,3088,4053,3018xem4076,3018l4146,3018,4146,3088,4076,3088,4076,3018xem4088,3018l4158,3018,4158,3088,4088,3088,4088,3018xem4100,3018l4169,3018,4169,3088,4100,3088,4100,3018xem4111,3018l4181,3018,4181,3088,4111,3088,4111,3018xem4134,3018l4204,3018,4204,3088,4134,3088,4134,3018xem4146,3018l4216,3018,4216,3088,4146,3088,4146,3018xem4158,3018l4227,3018,4227,3088,4158,3088,4158,3018xem4169,3018l4239,3018,4239,3088,4169,3088,4169,3018xem4192,3018l4262,3018,4262,3088,4192,3088,4192,3018xem4204,3018l4274,3018,4274,3088,4204,3088,4204,3018xem4216,3018l4285,3018,4285,3088,4216,3088,4216,3018xem4227,3018l4297,3018,4297,3088,4227,3088,4227,3018xem4250,3018l4320,3018,4320,3088,4250,3088,4250,3018xem4262,3018l4332,3018,4332,3088,4262,3088,4262,3018xem4274,3018l4343,3018,4343,3088,4274,3088,4274,3018xem4285,3018l4355,3018,4355,3088,4285,3088,4285,3018xem4308,3018l4378,3018,4378,3088,4308,3088,4308,3018xem4320,3018l4390,3018,4390,3088,4320,3088,4320,3018xem4332,3018l4401,3018,4401,3088,4332,3088,4332,3018xem4343,3018l4413,3018,4413,3088,4343,3088,4343,3018xem4366,3018l4436,3018,4436,3088,4366,3088,4366,3018xem4378,3018l4448,3018,4448,3088,4378,3088,4378,3018xem4390,3018l4459,3018,4459,3088,4390,3088,4390,3018xem4413,3018l4482,3018,4482,3088,4413,3088,4413,3018xem4424,3018l4494,3018,4494,3088,4424,3088,4424,3018xem4436,3018l4506,3018,4506,3088,4436,3088,4436,3018xem4448,3018l4517,3018,4517,3088,4448,3088,4448,3018xem4471,3018l4540,3018,4540,3088,4471,3088,4471,3018xem4482,3018l4552,3018,4552,3088,4482,3088,4482,3018xem4494,3018l4564,3018,4564,3088,4494,3088,4494,3018xem4506,3018l4575,3018,4575,3088,4506,3088,4506,3018xem4529,3018l4598,3018,4598,3088,4529,3088,4529,3018xem4540,3018l4610,3018,4610,3088,4540,3088,4540,3018xem4552,3018l4622,3018,4622,3088,4552,3088,4552,3018xem4564,3018l4633,3018,4633,3088,4564,3088,4564,3018xem4587,3018l4656,3018,4656,3088,4587,3088,4587,3018xem4598,3018l4668,3018,4668,3088,4598,3088,4598,3018xem4610,3018l4680,3018,4680,3088,4610,3088,4610,3018xem4622,3018l4691,3018,4691,3088,4622,3088,4622,3018xem4645,3018l4714,3018,4714,3088,4645,3088,4645,3018xem4656,3018l4726,3018,4726,3088,4656,3088,4656,3018xem4668,3018l4738,3018,4738,3088,4668,3088,4668,3018xem4680,3018l4749,3018,4749,3088,4680,3088,4680,3018xem4703,3018l4772,3018,4772,3088,4703,3088,4703,3018xem4714,3018l4784,3018,4784,3088,4714,3088,4714,3018xem4726,3018l4795,3018,4795,3088,4726,3088,4726,3018xem4737,3018l4807,3018,4807,3088,4737,3088,4737,3018xem4761,3018l4830,3018,4830,3088,4761,3088,4761,3018xem4772,3018l4842,3018,4842,3088,4772,3088,4772,3018xem4784,3018l4853,3018,4853,3088,4784,3088,4784,3018xem4807,3018l4877,3018,4877,3088,4807,3088,4807,3018xem4819,3018l4888,3018,4888,3088,4819,3088,4819,3018xem4830,3018l4900,3018,4900,3088,4830,3088,4830,3018xem4842,3018l4912,3018,4912,3088,4842,3088,4842,3018xem4865,3018l4935,3018,4935,3088,4865,3088,4865,3018xem4877,3018l4946,3018,4946,3088,4877,3088,4877,3018xem4888,3018l4958,3018,4958,3088,4888,3088,4888,3018xem4900,3018l4969,3018,4969,3088,4900,3088,4900,3018xem4923,3018l4993,3018,4993,3088,4923,3088,4923,3018xem4935,3018l5004,3018,5004,3088,4935,3088,4935,3018xem4946,3018l5016,3018,5016,3088,4946,3088,4946,3018xem4958,3018l5027,3018,5027,3088,4958,3088,4958,3018xem4981,3018l5051,3018,5051,3088,4981,3088,4981,3018xem4993,3018l5062,3018,5062,3088,4993,3088,4993,3018xem5004,3018l5074,3018,5074,3088,5004,3088,5004,3018xem5016,3018l5085,3018,5085,3088,5016,3088,5016,3018xem5039,3018l5109,3018,5109,3088,5039,3088,5039,3018xem5051,3018l5120,3018,5120,3088,5051,3088,5051,3018xem5062,3018l5132,3018,5132,3088,5062,3088,5062,3018xem5074,3018l5143,3018,5143,3088,5074,3088,5074,3018xem5097,3018l5167,3018,5167,3088,5097,3088,5097,3018xem5109,3018l5178,3018,5178,3088,5109,3088,5109,3018xem5120,3018l5190,3018,5190,3088,5120,3088,5120,3018xem5143,3018l5213,3018,5213,3088,5143,3088,5143,3018xem5155,3018l5225,3018,5225,3088,5155,3088,5155,3018xem5167,3018l5236,3018,5236,3088,5167,3088,5167,3018xem5178,3018l5248,3018,5248,3088,5178,3088,5178,3018xem5201,3018l5271,3018,5271,3088,5201,3088,5201,3018xem5213,3018l5283,3018,5283,3088,5213,3088,5213,3018xem5225,3018l5294,3018,5294,3088,5225,3088,5225,3018xem5236,3018l5306,3018,5306,3088,5236,3088,5236,3018xem5259,3018l5329,3018,5329,3088,5259,3088,5259,3018xem5271,3018l5341,3018,5341,3088,5271,3088,5271,3018xem5283,3018l5352,3018,5352,3088,5283,3088,5283,3018xem5294,3018l5364,3018,5364,3088,5294,3088,5294,3018xem5317,3018l5387,3018,5387,3088,5317,3088,5317,3018xem5329,3018l5399,3018,5399,3088,5329,3088,5329,3018xem5341,3018l5410,3018,5410,3088,5341,3088,5341,3018xem5352,3018l5422,3018,5422,3088,5352,3088,5352,3018xem5375,3018l5445,3018,5445,3088,5375,3088,5375,3018xem5387,3018l5457,3018,5457,3088,5387,3088,5387,3018xem5399,3018l5468,3018,5468,3088,5399,3088,5399,3018xem5410,3018l5480,3018,5480,3088,5410,3088,5410,3018xem5433,3018l5503,3018,5503,3088,5433,3088,5433,3018xem5445,3018l5515,3018,5515,3088,5445,3088,5445,3018xem5457,3018l5526,3018,5526,3088,5457,3088,5457,3018xem5480,3018l5549,3018,5549,3088,5480,3088,5480,3018xem5491,3018l5561,3018,5561,3088,5491,3088,5491,3018xem5503,3018l5573,3018,5573,3088,5503,3088,5503,3018xem5515,3018l5584,3018,5584,3088,5515,3088,5515,3018xem5538,3018l5607,3018,5607,3088,5538,3088,5538,3018xem5549,3018l5619,3018,5619,3088,5549,3088,5549,3018xem5561,3018l5631,3018,5631,3088,5561,3088,5561,3018xem5573,3018l5642,3018,5642,3088,5573,3088,5573,3018xem5596,3018l5665,3018,5665,3088,5596,3088,5596,3018xem5607,3018l5677,3018,5677,3088,5607,3088,5607,3018xem5619,3018l5689,3018,5689,3088,5619,3088,5619,3018xem5631,3018l5700,3018,5700,3088,5631,3088,5631,3018xem5654,3018l5723,3018,5723,3088,5654,3088,5654,3018xem5665,3018l5735,3018,5735,3088,5665,3088,5665,3018xem5677,3018l5747,3018,5747,3088,5677,3088,5677,3018xem5689,3018l5758,3018,5758,3088,5689,3088,5689,3018xem5712,3018l5781,3018,5781,3088,5712,3088,5712,3018xem5723,3018l5793,3018,5793,3088,5723,3088,5723,3018xem5735,3018l5805,3018,5805,3088,5735,3088,5735,3018xem5747,3018l5816,3018,5816,3088,5747,3088,5747,3018xem5770,3018l5839,3018,5839,3088,5770,3088,5770,3018xem5781,3018l5851,3018,5851,3088,5781,3088,5781,3018xem5793,3018l5863,3018,5863,3088,5793,3088,5793,3018xem5805,3018l5874,3018,5874,3088,5805,3088,5805,3018xem5828,3018l5897,3018,5897,3088,5828,3088,5828,3018xem5839,3018l5909,3018,5909,3088,5839,3088,5839,3018xem5851,3018l5921,3018,5921,3088,5851,3088,5851,3018xem5874,3018l5944,3018,5944,3088,5874,3088,5874,3018xem5886,3018l5955,3018,5955,3088,5886,3088,5886,3018xem5897,3018l5967,3018,5967,3088,5897,3088,5897,3018xem5909,3018l5979,3018,5979,3088,5909,3088,5909,3018xem5932,3018l6002,3018,6002,3088,5932,3088,5932,3018xem5944,3018l6013,3018,6013,3088,5944,3088,5944,3018xem5955,3018l6025,3018,6025,3088,5955,3088,5955,3018xem5967,3018l6037,3018,6037,3088,5967,3088,5967,3018xem5990,3018l6060,3018,6060,3088,5990,3088,5990,3018xem6002,3018l6071,3018,6071,3088,6002,3088,6002,3018xem6013,3018l6083,3018,6083,3088,6013,3088,6013,3018xem6025,3018l6095,3018,6095,3088,6025,3088,6025,3018xem6048,3018l6118,3018,6118,3088,6048,3088,6048,3018xem6060,3018l6129,3018,6129,3088,6060,3088,6060,3018xem6071,3018l6141,3018,6141,3088,6071,3088,6071,3018xem6083,3018l6153,3018,6153,3088,6083,3088,6083,3018xem6106,3018l6176,3018,6176,3088,6106,3088,6106,3018xem6118,3018l6187,3018,6187,3088,6118,3088,6118,3018xem6129,3018l6199,3018,6199,3088,6129,3088,6129,3018xem6141,3018l6211,3018,6211,3088,6141,3088,6141,3018xem6164,3018l6234,3018,6234,3088,6164,3088,6164,3018xem6176,3018l6245,3018,6245,3088,6176,3088,6176,3018xem6187,3018l6257,3018,6257,3088,6187,3088,6187,3018xem6199,3018l6269,3018,6269,3088,6199,3088,6199,3018xem6222,3018l6292,3018,6292,3088,6222,3088,6222,3018xem6234,3018l6303,3018,6303,3088,6234,3088,6234,3018xem6245,3018l6315,3018,6315,3088,6245,3088,6245,3018xem6269,3018l6338,3018,6338,3088,6269,3088,6269,3018xem6280,3018l6350,3018,6350,3088,6280,3088,6280,3018xem6292,3018l6361,3018,6361,3088,6292,3088,6292,3018xem6303,3018l6373,3018,6373,3088,6303,3088,6303,3018xem6326,3018l6396,3018,6396,3088,6326,3088,6326,3018xem6338,3018l6408,3018,6408,3088,6338,3088,6338,3018xem6350,3018l6419,3018,6419,3088,6350,3088,6350,3018xem6361,3018l6431,3018,6431,3088,6361,3088,6361,3018xem6384,3018l6454,3018,6454,3088,6384,3088,6384,3018xem6396,3018l6466,3018,6466,3088,6396,3088,6396,3018xem6408,3018l6477,3018,6477,3088,6408,3088,6408,3018xem6419,3018l6489,3018,6489,3088,6419,3088,6419,3018xem6442,3018l6512,3018,6512,3088,6442,3088,6442,3018xem6454,3018l6524,3018,6524,3088,6454,3088,6454,3018xem6466,3018l6535,3018,6535,3088,6466,3088,6466,3018xem6477,3018l6547,3018,6547,3088,6477,3088,6477,3018xem6500,3018l6570,3018,6570,3088,6500,3088,6500,3018xem6512,3018l6582,3018,6582,3088,6512,3088,6512,3018xem6524,3018l6593,3018,6593,3088,6524,3088,6524,3018xem6535,3018l6605,3018,6605,3088,6535,3088,6535,3018xem6558,3018l6628,3018,6628,3088,6558,3088,6558,3018xem6570,3018l6640,3018,6640,3088,6570,3088,6570,3018xem6582,3018l6651,3018,6651,3088,6582,3088,6582,3018xem6605,3018l6674,3018,6674,3088,6605,3088,6605,3018xem6616,3018l6686,3018,6686,3088,6616,3088,6616,3018xem6628,3018l6698,3018,6698,3088,6628,3088,6628,3018xem6640,3018l6709,3018,6709,3088,6640,3088,6640,3018xem6663,3018l6732,3018,6732,3088,6663,3088,6663,3018xem6674,3018l6744,3018,6744,3088,6674,3088,6674,3018xem6686,3018l6756,3018,6756,3088,6686,3088,6686,3018xem6698,3018l6767,3018,6767,3088,6698,3088,6698,3018xem6721,3018l6790,3018,6790,3088,6721,3088,6721,3018xem6732,3018l6802,3018,6802,3088,6732,3088,6732,3018xem6744,3018l6814,3018,6814,3088,6744,3088,6744,3018xem6756,3018l6825,3018,6825,3088,6756,3088,6756,3018xem6779,3018l6848,3018,6848,3088,6779,3088,6779,3018xem6790,3018l6860,3018,6860,3088,6790,3088,6790,3018xem6802,3018l6872,3018,6872,3088,6802,3088,6802,3018xem6814,3018l6883,3018,6883,3088,6814,3088,6814,3018xem6837,3018l6906,3018,6906,3088,6837,3088,6837,3018xem6848,3018l6918,3018,6918,3088,6848,3088,6848,3018xem6860,3018l6930,3018,6930,3088,6860,3088,6860,3018xem6872,3018l6941,3018,6941,3088,6872,3088,6872,3018xem6895,3018l6964,3018,6964,3088,6895,3088,6895,3018xem6906,3018l6976,3018,6976,3088,6906,3088,6906,3018xem6918,3018l6988,3018,6988,3088,6918,3088,6918,3018xem6941,3018l7011,3018,7011,3088,6941,3088,6941,3018xem6953,3018l7022,3018,7022,3088,6953,3088,6953,3018xem6964,3018l7034,3018,7034,3088,6964,3088,6964,3018xem6976,3018l7046,3018,7046,3088,6976,3088,6976,3018xem6999,3018l7069,3018,7069,3088,6999,3088,6999,3018xem7011,3018l7080,3018,7080,3088,7011,3088,7011,3018xem7022,3018l7092,3018,7092,3088,7022,3088,7022,3018xem7034,3018l7104,3018,7104,3088,7034,3088,7034,3018xem7057,3018l7127,3018,7127,3088,7057,3088,7057,3018xem7069,3018l7138,3018,7138,3088,7069,3088,7069,3018xem7080,3018l7150,3018,7150,3088,7080,3088,7080,3018xem7092,3018l7162,3018,7162,3088,7092,3088,7092,3018xem7115,3018l7185,3018,7185,3088,7115,3088,7115,3018xem7127,3018l7196,3018,7196,3088,7127,3088,7127,3018xem7138,3018l7208,3018,7208,3088,7138,3088,7138,3018xem7150,3018l7220,3018,7220,3088,7150,3088,7150,3018xem7173,3018l7243,3018,7243,3088,7173,3088,7173,3018xem7185,3018l7254,3018,7254,3088,7185,3088,7185,3018xem7196,3018l7266,3018,7266,3088,7196,3088,7196,3018xem7208,3018l7278,3018,7278,3088,7208,3088,7208,3018xem7231,3018l7301,3018,7301,3088,7231,3088,7231,3018xem7243,3018l7312,3018,7312,3088,7243,3088,7243,3018xem7254,3018l7324,3018,7324,3088,7254,3088,7254,3018xem7266,3018l7336,3018,7336,3088,7266,3088,7266,3018xem7289,3018l7359,3018,7359,3088,7289,3088,7289,3018xem7301,3018l7370,3018,7370,3088,7301,3088,7301,3018xe">
              <v:fill on="t" focussize="0,0"/>
              <v:stroke weight="0.58pt" color="#000000" miterlimit="2" endcap="round"/>
              <v:imagedata o:title=""/>
              <o:lock v:ext="edit"/>
            </v:shape>
            <w10:wrap type="none"/>
            <w10:anchorlock/>
          </v:group>
        </w:pict>
      </w:r>
    </w:p>
    <w:p w14:paraId="083BFCC7">
      <w:pPr>
        <w:spacing w:before="8" w:line="233" w:lineRule="auto"/>
        <w:ind w:left="439"/>
        <w:rPr>
          <w:rFonts w:ascii="宋体" w:hAnsi="宋体" w:eastAsia="宋体" w:cs="宋体"/>
          <w:sz w:val="18"/>
          <w:szCs w:val="18"/>
        </w:rPr>
      </w:pPr>
      <w:r>
        <w:rPr>
          <w:rFonts w:ascii="宋体" w:hAnsi="宋体" w:eastAsia="宋体" w:cs="宋体"/>
          <w:spacing w:val="-9"/>
          <w:sz w:val="18"/>
          <w:szCs w:val="18"/>
        </w:rPr>
        <w:t>0</w:t>
      </w:r>
      <w:r>
        <w:rPr>
          <w:rFonts w:ascii="宋体" w:hAnsi="宋体" w:eastAsia="宋体" w:cs="宋体"/>
          <w:spacing w:val="1"/>
          <w:sz w:val="18"/>
          <w:szCs w:val="18"/>
        </w:rPr>
        <w:t xml:space="preserve">              </w:t>
      </w:r>
      <w:r>
        <w:rPr>
          <w:rFonts w:ascii="宋体" w:hAnsi="宋体" w:eastAsia="宋体" w:cs="宋体"/>
          <w:spacing w:val="-9"/>
          <w:sz w:val="18"/>
          <w:szCs w:val="18"/>
        </w:rPr>
        <w:t>1000</w:t>
      </w:r>
      <w:r>
        <w:rPr>
          <w:rFonts w:ascii="宋体" w:hAnsi="宋体" w:eastAsia="宋体" w:cs="宋体"/>
          <w:spacing w:val="4"/>
          <w:sz w:val="18"/>
          <w:szCs w:val="18"/>
        </w:rPr>
        <w:t xml:space="preserve">            </w:t>
      </w:r>
      <w:r>
        <w:rPr>
          <w:rFonts w:ascii="宋体" w:hAnsi="宋体" w:eastAsia="宋体" w:cs="宋体"/>
          <w:spacing w:val="-9"/>
          <w:sz w:val="18"/>
          <w:szCs w:val="18"/>
        </w:rPr>
        <w:t>2000</w:t>
      </w:r>
      <w:r>
        <w:rPr>
          <w:rFonts w:ascii="宋体" w:hAnsi="宋体" w:eastAsia="宋体" w:cs="宋体"/>
          <w:spacing w:val="5"/>
          <w:sz w:val="18"/>
          <w:szCs w:val="18"/>
        </w:rPr>
        <w:t xml:space="preserve">            </w:t>
      </w:r>
      <w:r>
        <w:rPr>
          <w:rFonts w:ascii="宋体" w:hAnsi="宋体" w:eastAsia="宋体" w:cs="宋体"/>
          <w:spacing w:val="-9"/>
          <w:sz w:val="18"/>
          <w:szCs w:val="18"/>
        </w:rPr>
        <w:t>3000</w:t>
      </w:r>
      <w:r>
        <w:rPr>
          <w:rFonts w:ascii="宋体" w:hAnsi="宋体" w:eastAsia="宋体" w:cs="宋体"/>
          <w:spacing w:val="4"/>
          <w:sz w:val="18"/>
          <w:szCs w:val="18"/>
        </w:rPr>
        <w:t xml:space="preserve">            </w:t>
      </w:r>
      <w:r>
        <w:rPr>
          <w:rFonts w:ascii="宋体" w:hAnsi="宋体" w:eastAsia="宋体" w:cs="宋体"/>
          <w:spacing w:val="-9"/>
          <w:sz w:val="18"/>
          <w:szCs w:val="18"/>
        </w:rPr>
        <w:t>4000</w:t>
      </w:r>
      <w:r>
        <w:rPr>
          <w:rFonts w:ascii="宋体" w:hAnsi="宋体" w:eastAsia="宋体" w:cs="宋体"/>
          <w:spacing w:val="5"/>
          <w:sz w:val="18"/>
          <w:szCs w:val="18"/>
        </w:rPr>
        <w:t xml:space="preserve">            </w:t>
      </w:r>
      <w:r>
        <w:rPr>
          <w:rFonts w:ascii="宋体" w:hAnsi="宋体" w:eastAsia="宋体" w:cs="宋体"/>
          <w:spacing w:val="-9"/>
          <w:sz w:val="18"/>
          <w:szCs w:val="18"/>
        </w:rPr>
        <w:t>5000</w:t>
      </w:r>
    </w:p>
    <w:p w14:paraId="646F36A2">
      <w:pPr>
        <w:spacing w:line="220" w:lineRule="auto"/>
        <w:ind w:left="7720"/>
        <w:rPr>
          <w:rFonts w:ascii="宋体" w:hAnsi="宋体" w:eastAsia="宋体" w:cs="宋体"/>
          <w:sz w:val="15"/>
          <w:szCs w:val="15"/>
        </w:rPr>
      </w:pPr>
      <w:r>
        <w:rPr>
          <w:rFonts w:ascii="宋体" w:hAnsi="宋体" w:eastAsia="宋体" w:cs="宋体"/>
          <w:spacing w:val="1"/>
          <w:sz w:val="15"/>
          <w:szCs w:val="15"/>
        </w:rPr>
        <w:t>距离(m)</w:t>
      </w:r>
    </w:p>
    <w:p w14:paraId="13532EC3">
      <w:pPr>
        <w:spacing w:before="119" w:line="225" w:lineRule="auto"/>
        <w:ind w:left="1125"/>
        <w:rPr>
          <w:rFonts w:ascii="宋体" w:hAnsi="宋体" w:eastAsia="宋体" w:cs="宋体"/>
          <w:sz w:val="25"/>
          <w:szCs w:val="25"/>
        </w:rPr>
      </w:pPr>
      <w:r>
        <w:rPr>
          <w:rFonts w:ascii="宋体" w:hAnsi="宋体" w:eastAsia="宋体" w:cs="宋体"/>
          <w:b/>
          <w:bCs/>
          <w:spacing w:val="5"/>
          <w:sz w:val="25"/>
          <w:szCs w:val="25"/>
        </w:rPr>
        <w:t>图</w:t>
      </w:r>
      <w:r>
        <w:rPr>
          <w:rFonts w:ascii="宋体" w:hAnsi="宋体" w:eastAsia="宋体" w:cs="宋体"/>
          <w:spacing w:val="-40"/>
          <w:sz w:val="25"/>
          <w:szCs w:val="25"/>
        </w:rPr>
        <w:t xml:space="preserve"> </w:t>
      </w:r>
      <w:r>
        <w:rPr>
          <w:rFonts w:ascii="Times New Roman" w:hAnsi="Times New Roman" w:eastAsia="Times New Roman" w:cs="Times New Roman"/>
          <w:b/>
          <w:bCs/>
          <w:spacing w:val="5"/>
          <w:sz w:val="25"/>
          <w:szCs w:val="25"/>
        </w:rPr>
        <w:t xml:space="preserve">10    </w:t>
      </w:r>
      <w:r>
        <w:rPr>
          <w:rFonts w:ascii="宋体" w:hAnsi="宋体" w:eastAsia="宋体" w:cs="宋体"/>
          <w:b/>
          <w:bCs/>
          <w:spacing w:val="5"/>
          <w:sz w:val="25"/>
          <w:szCs w:val="25"/>
        </w:rPr>
        <w:t>硝酸—轴线最大浓度</w:t>
      </w:r>
      <w:r>
        <w:rPr>
          <w:rFonts w:ascii="Times New Roman" w:hAnsi="Times New Roman" w:eastAsia="Times New Roman" w:cs="Times New Roman"/>
          <w:b/>
          <w:bCs/>
          <w:spacing w:val="5"/>
          <w:sz w:val="25"/>
          <w:szCs w:val="25"/>
        </w:rPr>
        <w:t>-</w:t>
      </w:r>
      <w:r>
        <w:rPr>
          <w:rFonts w:ascii="宋体" w:hAnsi="宋体" w:eastAsia="宋体" w:cs="宋体"/>
          <w:b/>
          <w:bCs/>
          <w:spacing w:val="5"/>
          <w:sz w:val="25"/>
          <w:szCs w:val="25"/>
        </w:rPr>
        <w:t>距离曲线图</w:t>
      </w:r>
      <w:r>
        <w:rPr>
          <w:rFonts w:ascii="宋体" w:hAnsi="宋体" w:eastAsia="宋体" w:cs="宋体"/>
          <w:b/>
          <w:bCs/>
          <w:spacing w:val="4"/>
          <w:sz w:val="25"/>
          <w:szCs w:val="25"/>
        </w:rPr>
        <w:t>（最不利气象）</w:t>
      </w:r>
    </w:p>
    <w:p w14:paraId="16926D54">
      <w:pPr>
        <w:spacing w:line="472" w:lineRule="auto"/>
        <w:rPr>
          <w:rFonts w:ascii="Arial"/>
          <w:sz w:val="21"/>
        </w:rPr>
      </w:pPr>
    </w:p>
    <w:p w14:paraId="5440A553">
      <w:pPr>
        <w:spacing w:before="1" w:line="3806" w:lineRule="exact"/>
        <w:ind w:firstLine="329"/>
      </w:pPr>
      <w:r>
        <w:rPr>
          <w:position w:val="-76"/>
        </w:rPr>
        <w:drawing>
          <wp:inline distT="0" distB="0" distL="0" distR="0">
            <wp:extent cx="5038090" cy="241681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19"/>
                    <a:stretch>
                      <a:fillRect/>
                    </a:stretch>
                  </pic:blipFill>
                  <pic:spPr>
                    <a:xfrm>
                      <a:off x="0" y="0"/>
                      <a:ext cx="5038344" cy="2417064"/>
                    </a:xfrm>
                    <a:prstGeom prst="rect">
                      <a:avLst/>
                    </a:prstGeom>
                  </pic:spPr>
                </pic:pic>
              </a:graphicData>
            </a:graphic>
          </wp:inline>
        </w:drawing>
      </w:r>
    </w:p>
    <w:p w14:paraId="0CF7941A">
      <w:pPr>
        <w:spacing w:before="38" w:line="225" w:lineRule="auto"/>
        <w:ind w:left="1125"/>
        <w:rPr>
          <w:rFonts w:ascii="宋体" w:hAnsi="宋体" w:eastAsia="宋体" w:cs="宋体"/>
          <w:sz w:val="25"/>
          <w:szCs w:val="25"/>
        </w:rPr>
      </w:pPr>
      <w:r>
        <w:rPr>
          <w:rFonts w:ascii="宋体" w:hAnsi="宋体" w:eastAsia="宋体" w:cs="宋体"/>
          <w:b/>
          <w:bCs/>
          <w:spacing w:val="5"/>
          <w:sz w:val="25"/>
          <w:szCs w:val="25"/>
        </w:rPr>
        <w:t>图</w:t>
      </w:r>
      <w:r>
        <w:rPr>
          <w:rFonts w:ascii="宋体" w:hAnsi="宋体" w:eastAsia="宋体" w:cs="宋体"/>
          <w:spacing w:val="-40"/>
          <w:sz w:val="25"/>
          <w:szCs w:val="25"/>
        </w:rPr>
        <w:t xml:space="preserve"> </w:t>
      </w:r>
      <w:r>
        <w:rPr>
          <w:rFonts w:ascii="Times New Roman" w:hAnsi="Times New Roman" w:eastAsia="Times New Roman" w:cs="Times New Roman"/>
          <w:b/>
          <w:bCs/>
          <w:spacing w:val="5"/>
          <w:sz w:val="25"/>
          <w:szCs w:val="25"/>
        </w:rPr>
        <w:t xml:space="preserve">11    </w:t>
      </w:r>
      <w:r>
        <w:rPr>
          <w:rFonts w:ascii="宋体" w:hAnsi="宋体" w:eastAsia="宋体" w:cs="宋体"/>
          <w:b/>
          <w:bCs/>
          <w:spacing w:val="5"/>
          <w:sz w:val="25"/>
          <w:szCs w:val="25"/>
        </w:rPr>
        <w:t>丙酮—轴线最大浓度</w:t>
      </w:r>
      <w:r>
        <w:rPr>
          <w:rFonts w:ascii="Times New Roman" w:hAnsi="Times New Roman" w:eastAsia="Times New Roman" w:cs="Times New Roman"/>
          <w:b/>
          <w:bCs/>
          <w:spacing w:val="5"/>
          <w:sz w:val="25"/>
          <w:szCs w:val="25"/>
        </w:rPr>
        <w:t>-</w:t>
      </w:r>
      <w:r>
        <w:rPr>
          <w:rFonts w:ascii="宋体" w:hAnsi="宋体" w:eastAsia="宋体" w:cs="宋体"/>
          <w:b/>
          <w:bCs/>
          <w:spacing w:val="5"/>
          <w:sz w:val="25"/>
          <w:szCs w:val="25"/>
        </w:rPr>
        <w:t>距离曲线图</w:t>
      </w:r>
      <w:r>
        <w:rPr>
          <w:rFonts w:ascii="宋体" w:hAnsi="宋体" w:eastAsia="宋体" w:cs="宋体"/>
          <w:b/>
          <w:bCs/>
          <w:spacing w:val="4"/>
          <w:sz w:val="25"/>
          <w:szCs w:val="25"/>
        </w:rPr>
        <w:t>（最不利气象）</w:t>
      </w:r>
    </w:p>
    <w:p w14:paraId="29DD7CE9">
      <w:pPr>
        <w:spacing w:line="225" w:lineRule="auto"/>
        <w:rPr>
          <w:rFonts w:ascii="宋体" w:hAnsi="宋体" w:eastAsia="宋体" w:cs="宋体"/>
          <w:sz w:val="25"/>
          <w:szCs w:val="25"/>
        </w:rPr>
        <w:sectPr>
          <w:footerReference r:id="rId148" w:type="default"/>
          <w:pgSz w:w="11906" w:h="16839"/>
          <w:pgMar w:top="400" w:right="1741" w:bottom="1127" w:left="1655" w:header="0" w:footer="965" w:gutter="0"/>
          <w:cols w:space="720" w:num="1"/>
        </w:sectPr>
      </w:pPr>
    </w:p>
    <w:p w14:paraId="4A1F8C0C">
      <w:pPr>
        <w:spacing w:line="258" w:lineRule="auto"/>
        <w:rPr>
          <w:rFonts w:ascii="Arial"/>
          <w:sz w:val="21"/>
        </w:rPr>
      </w:pPr>
    </w:p>
    <w:p w14:paraId="4BDD0789">
      <w:pPr>
        <w:spacing w:line="258" w:lineRule="auto"/>
        <w:rPr>
          <w:rFonts w:ascii="Arial"/>
          <w:sz w:val="21"/>
        </w:rPr>
      </w:pPr>
    </w:p>
    <w:p w14:paraId="732568A5">
      <w:pPr>
        <w:spacing w:line="259" w:lineRule="auto"/>
        <w:rPr>
          <w:rFonts w:ascii="Arial"/>
          <w:sz w:val="21"/>
        </w:rPr>
      </w:pPr>
    </w:p>
    <w:p w14:paraId="7978631A">
      <w:pPr>
        <w:spacing w:line="259" w:lineRule="auto"/>
        <w:rPr>
          <w:rFonts w:ascii="Arial"/>
          <w:sz w:val="21"/>
        </w:rPr>
      </w:pPr>
    </w:p>
    <w:p w14:paraId="16396BDD">
      <w:pPr>
        <w:spacing w:line="259" w:lineRule="auto"/>
        <w:rPr>
          <w:rFonts w:ascii="Arial"/>
          <w:sz w:val="21"/>
        </w:rPr>
      </w:pPr>
    </w:p>
    <w:p w14:paraId="5A092F77">
      <w:pPr>
        <w:spacing w:line="4697" w:lineRule="exact"/>
      </w:pPr>
      <w:r>
        <w:rPr>
          <w:position w:val="-93"/>
        </w:rPr>
        <w:drawing>
          <wp:inline distT="0" distB="0" distL="0" distR="0">
            <wp:extent cx="5615940" cy="298196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20"/>
                    <a:stretch>
                      <a:fillRect/>
                    </a:stretch>
                  </pic:blipFill>
                  <pic:spPr>
                    <a:xfrm>
                      <a:off x="0" y="0"/>
                      <a:ext cx="5615940" cy="2982468"/>
                    </a:xfrm>
                    <a:prstGeom prst="rect">
                      <a:avLst/>
                    </a:prstGeom>
                  </pic:spPr>
                </pic:pic>
              </a:graphicData>
            </a:graphic>
          </wp:inline>
        </w:drawing>
      </w:r>
    </w:p>
    <w:p w14:paraId="3AB3C46A">
      <w:pPr>
        <w:spacing w:before="30" w:line="227" w:lineRule="auto"/>
        <w:ind w:left="2949"/>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12    </w:t>
      </w:r>
      <w:r>
        <w:rPr>
          <w:rFonts w:ascii="宋体" w:hAnsi="宋体" w:eastAsia="宋体" w:cs="宋体"/>
          <w:b/>
          <w:bCs/>
          <w:spacing w:val="4"/>
          <w:sz w:val="20"/>
          <w:szCs w:val="20"/>
        </w:rPr>
        <w:t>盐酸泄露预测浓度分布图</w:t>
      </w:r>
    </w:p>
    <w:p w14:paraId="6ECA3F19">
      <w:pPr>
        <w:spacing w:before="115" w:line="4872" w:lineRule="exact"/>
      </w:pPr>
      <w:r>
        <w:rPr>
          <w:position w:val="-97"/>
        </w:rPr>
        <w:drawing>
          <wp:inline distT="0" distB="0" distL="0" distR="0">
            <wp:extent cx="5615940" cy="309372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21"/>
                    <a:stretch>
                      <a:fillRect/>
                    </a:stretch>
                  </pic:blipFill>
                  <pic:spPr>
                    <a:xfrm>
                      <a:off x="0" y="0"/>
                      <a:ext cx="5615940" cy="3093720"/>
                    </a:xfrm>
                    <a:prstGeom prst="rect">
                      <a:avLst/>
                    </a:prstGeom>
                  </pic:spPr>
                </pic:pic>
              </a:graphicData>
            </a:graphic>
          </wp:inline>
        </w:drawing>
      </w:r>
    </w:p>
    <w:p w14:paraId="1F470F0F">
      <w:pPr>
        <w:spacing w:before="30" w:line="227" w:lineRule="auto"/>
        <w:ind w:left="2843"/>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5"/>
          <w:sz w:val="20"/>
          <w:szCs w:val="20"/>
        </w:rPr>
        <w:t xml:space="preserve"> </w:t>
      </w:r>
      <w:r>
        <w:rPr>
          <w:rFonts w:ascii="Times New Roman" w:hAnsi="Times New Roman" w:eastAsia="Times New Roman" w:cs="Times New Roman"/>
          <w:b/>
          <w:bCs/>
          <w:spacing w:val="4"/>
          <w:sz w:val="20"/>
          <w:szCs w:val="20"/>
        </w:rPr>
        <w:t xml:space="preserve">13    </w:t>
      </w:r>
      <w:r>
        <w:rPr>
          <w:rFonts w:ascii="宋体" w:hAnsi="宋体" w:eastAsia="宋体" w:cs="宋体"/>
          <w:b/>
          <w:bCs/>
          <w:spacing w:val="4"/>
          <w:sz w:val="20"/>
          <w:szCs w:val="20"/>
        </w:rPr>
        <w:t>氢氟酸泄露预测浓度分布图</w:t>
      </w:r>
    </w:p>
    <w:p w14:paraId="69D03799">
      <w:pPr>
        <w:spacing w:line="227" w:lineRule="auto"/>
        <w:rPr>
          <w:rFonts w:ascii="宋体" w:hAnsi="宋体" w:eastAsia="宋体" w:cs="宋体"/>
          <w:sz w:val="20"/>
          <w:szCs w:val="20"/>
        </w:rPr>
        <w:sectPr>
          <w:footerReference r:id="rId149" w:type="default"/>
          <w:pgSz w:w="11906" w:h="16839"/>
          <w:pgMar w:top="400" w:right="1530" w:bottom="1127" w:left="1531" w:header="0" w:footer="965" w:gutter="0"/>
          <w:cols w:space="720" w:num="1"/>
        </w:sectPr>
      </w:pPr>
    </w:p>
    <w:p w14:paraId="47302275">
      <w:pPr>
        <w:spacing w:line="258" w:lineRule="auto"/>
        <w:rPr>
          <w:rFonts w:ascii="Arial"/>
          <w:sz w:val="21"/>
        </w:rPr>
      </w:pPr>
    </w:p>
    <w:p w14:paraId="07A60F80">
      <w:pPr>
        <w:spacing w:line="258" w:lineRule="auto"/>
        <w:rPr>
          <w:rFonts w:ascii="Arial"/>
          <w:sz w:val="21"/>
        </w:rPr>
      </w:pPr>
    </w:p>
    <w:p w14:paraId="2DFC8828">
      <w:pPr>
        <w:spacing w:line="259" w:lineRule="auto"/>
        <w:rPr>
          <w:rFonts w:ascii="Arial"/>
          <w:sz w:val="21"/>
        </w:rPr>
      </w:pPr>
    </w:p>
    <w:p w14:paraId="5FB62554">
      <w:pPr>
        <w:spacing w:line="259" w:lineRule="auto"/>
        <w:rPr>
          <w:rFonts w:ascii="Arial"/>
          <w:sz w:val="21"/>
        </w:rPr>
      </w:pPr>
    </w:p>
    <w:p w14:paraId="60F2C35D">
      <w:pPr>
        <w:spacing w:line="259" w:lineRule="auto"/>
        <w:rPr>
          <w:rFonts w:ascii="Arial"/>
          <w:sz w:val="21"/>
        </w:rPr>
      </w:pPr>
    </w:p>
    <w:p w14:paraId="094EB205">
      <w:pPr>
        <w:spacing w:line="4750" w:lineRule="exact"/>
      </w:pPr>
      <w:r>
        <w:rPr>
          <w:position w:val="-94"/>
        </w:rPr>
        <w:drawing>
          <wp:inline distT="0" distB="0" distL="0" distR="0">
            <wp:extent cx="5546725" cy="301561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22"/>
                    <a:stretch>
                      <a:fillRect/>
                    </a:stretch>
                  </pic:blipFill>
                  <pic:spPr>
                    <a:xfrm>
                      <a:off x="0" y="0"/>
                      <a:ext cx="5547359" cy="3015995"/>
                    </a:xfrm>
                    <a:prstGeom prst="rect">
                      <a:avLst/>
                    </a:prstGeom>
                  </pic:spPr>
                </pic:pic>
              </a:graphicData>
            </a:graphic>
          </wp:inline>
        </w:drawing>
      </w:r>
    </w:p>
    <w:p w14:paraId="17A9E8EC">
      <w:pPr>
        <w:spacing w:before="30" w:line="227" w:lineRule="auto"/>
        <w:ind w:left="2949"/>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14    </w:t>
      </w:r>
      <w:r>
        <w:rPr>
          <w:rFonts w:ascii="宋体" w:hAnsi="宋体" w:eastAsia="宋体" w:cs="宋体"/>
          <w:b/>
          <w:bCs/>
          <w:spacing w:val="4"/>
          <w:sz w:val="20"/>
          <w:szCs w:val="20"/>
        </w:rPr>
        <w:t>硫酸泄露预测浓度分布图</w:t>
      </w:r>
    </w:p>
    <w:p w14:paraId="12C5E3E5">
      <w:pPr>
        <w:spacing w:before="115" w:line="4951" w:lineRule="exact"/>
      </w:pPr>
      <w:r>
        <w:rPr>
          <w:position w:val="-99"/>
        </w:rPr>
        <w:drawing>
          <wp:inline distT="0" distB="0" distL="0" distR="0">
            <wp:extent cx="5615940" cy="31438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23"/>
                    <a:stretch>
                      <a:fillRect/>
                    </a:stretch>
                  </pic:blipFill>
                  <pic:spPr>
                    <a:xfrm>
                      <a:off x="0" y="0"/>
                      <a:ext cx="5615940" cy="3144011"/>
                    </a:xfrm>
                    <a:prstGeom prst="rect">
                      <a:avLst/>
                    </a:prstGeom>
                  </pic:spPr>
                </pic:pic>
              </a:graphicData>
            </a:graphic>
          </wp:inline>
        </w:drawing>
      </w:r>
    </w:p>
    <w:p w14:paraId="2A885BDE">
      <w:pPr>
        <w:spacing w:before="30" w:line="227" w:lineRule="auto"/>
        <w:ind w:left="2949"/>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15    </w:t>
      </w:r>
      <w:r>
        <w:rPr>
          <w:rFonts w:ascii="宋体" w:hAnsi="宋体" w:eastAsia="宋体" w:cs="宋体"/>
          <w:b/>
          <w:bCs/>
          <w:spacing w:val="4"/>
          <w:sz w:val="20"/>
          <w:szCs w:val="20"/>
        </w:rPr>
        <w:t>硝酸泄露预测浓度分布图</w:t>
      </w:r>
    </w:p>
    <w:p w14:paraId="271299F3">
      <w:pPr>
        <w:spacing w:line="227" w:lineRule="auto"/>
        <w:rPr>
          <w:rFonts w:ascii="宋体" w:hAnsi="宋体" w:eastAsia="宋体" w:cs="宋体"/>
          <w:sz w:val="20"/>
          <w:szCs w:val="20"/>
        </w:rPr>
        <w:sectPr>
          <w:footerReference r:id="rId150" w:type="default"/>
          <w:pgSz w:w="11906" w:h="16839"/>
          <w:pgMar w:top="400" w:right="1530" w:bottom="1127" w:left="1531" w:header="0" w:footer="965" w:gutter="0"/>
          <w:cols w:space="720" w:num="1"/>
        </w:sectPr>
      </w:pPr>
    </w:p>
    <w:p w14:paraId="5E0FA2A1">
      <w:pPr>
        <w:spacing w:line="258" w:lineRule="auto"/>
        <w:rPr>
          <w:rFonts w:ascii="Arial"/>
          <w:sz w:val="21"/>
        </w:rPr>
      </w:pPr>
    </w:p>
    <w:p w14:paraId="407C770A">
      <w:pPr>
        <w:spacing w:line="258" w:lineRule="auto"/>
        <w:rPr>
          <w:rFonts w:ascii="Arial"/>
          <w:sz w:val="21"/>
        </w:rPr>
      </w:pPr>
    </w:p>
    <w:p w14:paraId="01FEF1D6">
      <w:pPr>
        <w:spacing w:line="259" w:lineRule="auto"/>
        <w:rPr>
          <w:rFonts w:ascii="Arial"/>
          <w:sz w:val="21"/>
        </w:rPr>
      </w:pPr>
    </w:p>
    <w:p w14:paraId="5CE85208">
      <w:pPr>
        <w:spacing w:line="259" w:lineRule="auto"/>
        <w:rPr>
          <w:rFonts w:ascii="Arial"/>
          <w:sz w:val="21"/>
        </w:rPr>
      </w:pPr>
    </w:p>
    <w:p w14:paraId="070741D2">
      <w:pPr>
        <w:spacing w:line="259" w:lineRule="auto"/>
        <w:rPr>
          <w:rFonts w:ascii="Arial"/>
          <w:sz w:val="21"/>
        </w:rPr>
      </w:pPr>
    </w:p>
    <w:p w14:paraId="0237484C">
      <w:pPr>
        <w:spacing w:line="5158" w:lineRule="exact"/>
        <w:ind w:firstLine="112"/>
      </w:pPr>
      <w:r>
        <w:rPr>
          <w:position w:val="-103"/>
        </w:rPr>
        <w:drawing>
          <wp:inline distT="0" distB="0" distL="0" distR="0">
            <wp:extent cx="5615940" cy="327469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24"/>
                    <a:stretch>
                      <a:fillRect/>
                    </a:stretch>
                  </pic:blipFill>
                  <pic:spPr>
                    <a:xfrm>
                      <a:off x="0" y="0"/>
                      <a:ext cx="5615940" cy="3275075"/>
                    </a:xfrm>
                    <a:prstGeom prst="rect">
                      <a:avLst/>
                    </a:prstGeom>
                  </pic:spPr>
                </pic:pic>
              </a:graphicData>
            </a:graphic>
          </wp:inline>
        </w:drawing>
      </w:r>
    </w:p>
    <w:p w14:paraId="659F13FF">
      <w:pPr>
        <w:spacing w:before="30" w:line="227" w:lineRule="auto"/>
        <w:ind w:left="3062"/>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16    </w:t>
      </w:r>
      <w:r>
        <w:rPr>
          <w:rFonts w:ascii="宋体" w:hAnsi="宋体" w:eastAsia="宋体" w:cs="宋体"/>
          <w:b/>
          <w:bCs/>
          <w:spacing w:val="4"/>
          <w:sz w:val="20"/>
          <w:szCs w:val="20"/>
        </w:rPr>
        <w:t>丙酮泄露预测浓度分布图</w:t>
      </w:r>
    </w:p>
    <w:p w14:paraId="223592C4">
      <w:pPr>
        <w:spacing w:before="152" w:line="210" w:lineRule="auto"/>
        <w:ind w:left="426"/>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最不利气象条件下各关心点盐酸浓度随时间变化情况（单位：</w:t>
      </w:r>
      <w:r>
        <w:rPr>
          <w:rFonts w:ascii="Times New Roman" w:hAnsi="Times New Roman" w:eastAsia="Times New Roman" w:cs="Times New Roman"/>
          <w:b/>
          <w:bCs/>
          <w:spacing w:val="-2"/>
          <w:sz w:val="24"/>
          <w:szCs w:val="24"/>
        </w:rPr>
        <w:t>mg/m</w:t>
      </w:r>
      <w:r>
        <w:rPr>
          <w:rFonts w:ascii="宋体" w:hAnsi="宋体" w:eastAsia="宋体" w:cs="宋体"/>
          <w:b/>
          <w:bCs/>
          <w:spacing w:val="-2"/>
          <w:sz w:val="24"/>
          <w:szCs w:val="24"/>
        </w:rPr>
        <w:t>³</w:t>
      </w:r>
      <w:r>
        <w:rPr>
          <w:rFonts w:ascii="宋体" w:hAnsi="宋体" w:eastAsia="宋体" w:cs="宋体"/>
          <w:spacing w:val="-85"/>
          <w:sz w:val="24"/>
          <w:szCs w:val="24"/>
        </w:rPr>
        <w:t xml:space="preserve"> </w:t>
      </w:r>
      <w:r>
        <w:rPr>
          <w:rFonts w:ascii="宋体" w:hAnsi="宋体" w:eastAsia="宋体" w:cs="宋体"/>
          <w:b/>
          <w:bCs/>
          <w:spacing w:val="-2"/>
          <w:sz w:val="24"/>
          <w:szCs w:val="24"/>
        </w:rPr>
        <w:t>)</w:t>
      </w:r>
    </w:p>
    <w:p w14:paraId="7C5BC847">
      <w:pPr>
        <w:spacing w:line="157"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0"/>
        <w:gridCol w:w="1883"/>
        <w:gridCol w:w="994"/>
        <w:gridCol w:w="994"/>
        <w:gridCol w:w="994"/>
        <w:gridCol w:w="995"/>
        <w:gridCol w:w="995"/>
        <w:gridCol w:w="999"/>
      </w:tblGrid>
      <w:tr w14:paraId="44669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210" w:type="dxa"/>
            <w:vAlign w:val="top"/>
          </w:tcPr>
          <w:p w14:paraId="3B5BF6E4">
            <w:pPr>
              <w:pStyle w:val="6"/>
              <w:spacing w:before="60" w:line="220" w:lineRule="auto"/>
              <w:ind w:left="163"/>
              <w:rPr>
                <w:sz w:val="18"/>
                <w:szCs w:val="18"/>
              </w:rPr>
            </w:pPr>
            <w:r>
              <w:rPr>
                <w:spacing w:val="-2"/>
                <w:sz w:val="18"/>
                <w:szCs w:val="18"/>
              </w:rPr>
              <w:t>关心点名称</w:t>
            </w:r>
          </w:p>
        </w:tc>
        <w:tc>
          <w:tcPr>
            <w:tcW w:w="1883" w:type="dxa"/>
            <w:vAlign w:val="top"/>
          </w:tcPr>
          <w:p w14:paraId="1C4358EB">
            <w:pPr>
              <w:pStyle w:val="6"/>
              <w:spacing w:before="59" w:line="210" w:lineRule="auto"/>
              <w:ind w:left="188"/>
              <w:rPr>
                <w:rFonts w:ascii="Times New Roman" w:hAnsi="Times New Roman" w:eastAsia="Times New Roman" w:cs="Times New Roman"/>
                <w:sz w:val="18"/>
                <w:szCs w:val="18"/>
              </w:rPr>
            </w:pPr>
            <w:r>
              <w:rPr>
                <w:spacing w:val="-1"/>
                <w:sz w:val="18"/>
                <w:szCs w:val="18"/>
              </w:rPr>
              <w:t>最大浓度</w:t>
            </w:r>
            <w:r>
              <w:rPr>
                <w:rFonts w:ascii="Times New Roman" w:hAnsi="Times New Roman" w:eastAsia="Times New Roman" w:cs="Times New Roman"/>
                <w:spacing w:val="-1"/>
                <w:sz w:val="18"/>
                <w:szCs w:val="18"/>
              </w:rPr>
              <w:t>|</w:t>
            </w:r>
            <w:r>
              <w:rPr>
                <w:spacing w:val="-1"/>
                <w:sz w:val="18"/>
                <w:szCs w:val="18"/>
              </w:rPr>
              <w:t>时间</w:t>
            </w:r>
            <w:r>
              <w:rPr>
                <w:rFonts w:ascii="Times New Roman" w:hAnsi="Times New Roman" w:eastAsia="Times New Roman" w:cs="Times New Roman"/>
                <w:spacing w:val="-1"/>
                <w:sz w:val="18"/>
                <w:szCs w:val="18"/>
              </w:rPr>
              <w:t>(min)</w:t>
            </w:r>
          </w:p>
        </w:tc>
        <w:tc>
          <w:tcPr>
            <w:tcW w:w="994" w:type="dxa"/>
            <w:vAlign w:val="top"/>
          </w:tcPr>
          <w:p w14:paraId="5D40F44F">
            <w:pPr>
              <w:spacing w:before="85" w:line="192"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5min</w:t>
            </w:r>
          </w:p>
        </w:tc>
        <w:tc>
          <w:tcPr>
            <w:tcW w:w="994" w:type="dxa"/>
            <w:vAlign w:val="top"/>
          </w:tcPr>
          <w:p w14:paraId="35D93489">
            <w:pPr>
              <w:spacing w:before="85" w:line="192"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10min</w:t>
            </w:r>
          </w:p>
        </w:tc>
        <w:tc>
          <w:tcPr>
            <w:tcW w:w="994" w:type="dxa"/>
            <w:vAlign w:val="top"/>
          </w:tcPr>
          <w:p w14:paraId="2625ABD5">
            <w:pPr>
              <w:spacing w:before="85" w:line="192"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15min</w:t>
            </w:r>
          </w:p>
        </w:tc>
        <w:tc>
          <w:tcPr>
            <w:tcW w:w="995" w:type="dxa"/>
            <w:vAlign w:val="top"/>
          </w:tcPr>
          <w:p w14:paraId="6A1B360C">
            <w:pPr>
              <w:spacing w:before="85" w:line="192"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20min</w:t>
            </w:r>
          </w:p>
        </w:tc>
        <w:tc>
          <w:tcPr>
            <w:tcW w:w="995" w:type="dxa"/>
            <w:vAlign w:val="top"/>
          </w:tcPr>
          <w:p w14:paraId="6087DA48">
            <w:pPr>
              <w:spacing w:before="85" w:line="192"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25min</w:t>
            </w:r>
          </w:p>
        </w:tc>
        <w:tc>
          <w:tcPr>
            <w:tcW w:w="999" w:type="dxa"/>
            <w:vAlign w:val="top"/>
          </w:tcPr>
          <w:p w14:paraId="53A700D2">
            <w:pPr>
              <w:spacing w:before="85" w:line="192" w:lineRule="auto"/>
              <w:ind w:left="27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30min</w:t>
            </w:r>
          </w:p>
        </w:tc>
      </w:tr>
      <w:tr w14:paraId="53273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68ACBCD9">
            <w:pPr>
              <w:pStyle w:val="6"/>
              <w:spacing w:before="48" w:line="219" w:lineRule="auto"/>
              <w:ind w:left="342"/>
              <w:rPr>
                <w:sz w:val="18"/>
                <w:szCs w:val="18"/>
              </w:rPr>
            </w:pPr>
            <w:r>
              <w:rPr>
                <w:spacing w:val="-4"/>
                <w:sz w:val="18"/>
                <w:szCs w:val="18"/>
              </w:rPr>
              <w:t>大嶂村</w:t>
            </w:r>
          </w:p>
        </w:tc>
        <w:tc>
          <w:tcPr>
            <w:tcW w:w="1883" w:type="dxa"/>
            <w:vAlign w:val="top"/>
          </w:tcPr>
          <w:p w14:paraId="1C2DDB26">
            <w:pPr>
              <w:spacing w:before="76"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3.90E-03|60</w:t>
            </w:r>
          </w:p>
        </w:tc>
        <w:tc>
          <w:tcPr>
            <w:tcW w:w="994" w:type="dxa"/>
            <w:vAlign w:val="top"/>
          </w:tcPr>
          <w:p w14:paraId="77FA00BD">
            <w:pPr>
              <w:spacing w:before="79"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13928B1">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7B8649B">
            <w:pPr>
              <w:spacing w:before="79"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B9D6B6A">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BDBD77C">
            <w:pPr>
              <w:spacing w:before="79"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4FD19C03">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12B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128A0DB">
            <w:pPr>
              <w:pStyle w:val="6"/>
              <w:spacing w:before="49" w:line="220" w:lineRule="auto"/>
              <w:ind w:left="431"/>
              <w:rPr>
                <w:sz w:val="18"/>
                <w:szCs w:val="18"/>
              </w:rPr>
            </w:pPr>
            <w:r>
              <w:rPr>
                <w:spacing w:val="-5"/>
                <w:sz w:val="18"/>
                <w:szCs w:val="18"/>
              </w:rPr>
              <w:t>兵营</w:t>
            </w:r>
          </w:p>
        </w:tc>
        <w:tc>
          <w:tcPr>
            <w:tcW w:w="1883" w:type="dxa"/>
            <w:vAlign w:val="top"/>
          </w:tcPr>
          <w:p w14:paraId="4348C9D9">
            <w:pPr>
              <w:spacing w:before="77"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9.24E-03|30</w:t>
            </w:r>
          </w:p>
        </w:tc>
        <w:tc>
          <w:tcPr>
            <w:tcW w:w="994" w:type="dxa"/>
            <w:vAlign w:val="top"/>
          </w:tcPr>
          <w:p w14:paraId="172F5027">
            <w:pPr>
              <w:spacing w:before="80"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E1C3A96">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7A12ECF">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9C925ED">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4275E141">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6E268715">
            <w:pPr>
              <w:spacing w:before="80"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9.24E-03</w:t>
            </w:r>
          </w:p>
        </w:tc>
      </w:tr>
      <w:tr w14:paraId="5A0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2E20F5A1">
            <w:pPr>
              <w:pStyle w:val="6"/>
              <w:spacing w:before="50" w:line="219" w:lineRule="auto"/>
              <w:ind w:left="350"/>
              <w:rPr>
                <w:sz w:val="18"/>
                <w:szCs w:val="18"/>
              </w:rPr>
            </w:pPr>
            <w:r>
              <w:rPr>
                <w:spacing w:val="-6"/>
                <w:sz w:val="18"/>
                <w:szCs w:val="18"/>
              </w:rPr>
              <w:t>陈庄村</w:t>
            </w:r>
          </w:p>
        </w:tc>
        <w:tc>
          <w:tcPr>
            <w:tcW w:w="1883" w:type="dxa"/>
            <w:vAlign w:val="top"/>
          </w:tcPr>
          <w:p w14:paraId="5FC0C856">
            <w:pPr>
              <w:spacing w:before="76" w:line="192" w:lineRule="auto"/>
              <w:ind w:left="5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8.09E-03|45</w:t>
            </w:r>
          </w:p>
        </w:tc>
        <w:tc>
          <w:tcPr>
            <w:tcW w:w="994" w:type="dxa"/>
            <w:vAlign w:val="top"/>
          </w:tcPr>
          <w:p w14:paraId="6A3FB8FD">
            <w:pPr>
              <w:spacing w:before="80"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DF2BCDE">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5CCA8575">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049258C3">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F9E4F96">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7A864FD9">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BA00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778B082E">
            <w:pPr>
              <w:pStyle w:val="6"/>
              <w:spacing w:before="51" w:line="219" w:lineRule="auto"/>
              <w:ind w:left="259"/>
              <w:rPr>
                <w:sz w:val="18"/>
                <w:szCs w:val="18"/>
              </w:rPr>
            </w:pPr>
            <w:r>
              <w:rPr>
                <w:spacing w:val="-5"/>
                <w:sz w:val="18"/>
                <w:szCs w:val="18"/>
              </w:rPr>
              <w:t>陈林新村</w:t>
            </w:r>
          </w:p>
        </w:tc>
        <w:tc>
          <w:tcPr>
            <w:tcW w:w="1883" w:type="dxa"/>
            <w:vAlign w:val="top"/>
          </w:tcPr>
          <w:p w14:paraId="797852E8">
            <w:pPr>
              <w:spacing w:before="77" w:line="192"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6.50E-03|50</w:t>
            </w:r>
          </w:p>
        </w:tc>
        <w:tc>
          <w:tcPr>
            <w:tcW w:w="994" w:type="dxa"/>
            <w:vAlign w:val="top"/>
          </w:tcPr>
          <w:p w14:paraId="270C8ED0">
            <w:pPr>
              <w:spacing w:before="80"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70D91D1">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5F7247F0">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37A016C1">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F3D2A27">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0EAC5472">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AB36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278C7420">
            <w:pPr>
              <w:pStyle w:val="6"/>
              <w:spacing w:before="51" w:line="219" w:lineRule="auto"/>
              <w:ind w:left="250"/>
              <w:rPr>
                <w:sz w:val="18"/>
                <w:szCs w:val="18"/>
              </w:rPr>
            </w:pPr>
            <w:r>
              <w:rPr>
                <w:spacing w:val="-3"/>
                <w:sz w:val="18"/>
                <w:szCs w:val="18"/>
              </w:rPr>
              <w:t>金钱埔村</w:t>
            </w:r>
          </w:p>
        </w:tc>
        <w:tc>
          <w:tcPr>
            <w:tcW w:w="1883" w:type="dxa"/>
            <w:vAlign w:val="top"/>
          </w:tcPr>
          <w:p w14:paraId="082081BB">
            <w:pPr>
              <w:spacing w:before="79"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3.73E-02|15</w:t>
            </w:r>
          </w:p>
        </w:tc>
        <w:tc>
          <w:tcPr>
            <w:tcW w:w="994" w:type="dxa"/>
            <w:vAlign w:val="top"/>
          </w:tcPr>
          <w:p w14:paraId="334BABBD">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5FA6CB3">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11025AC">
            <w:pPr>
              <w:spacing w:before="82" w:line="188"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3.73E-02</w:t>
            </w:r>
          </w:p>
        </w:tc>
        <w:tc>
          <w:tcPr>
            <w:tcW w:w="995" w:type="dxa"/>
            <w:vAlign w:val="top"/>
          </w:tcPr>
          <w:p w14:paraId="79459DA4">
            <w:pPr>
              <w:spacing w:before="82"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3.73E-02</w:t>
            </w:r>
          </w:p>
        </w:tc>
        <w:tc>
          <w:tcPr>
            <w:tcW w:w="995" w:type="dxa"/>
            <w:vAlign w:val="top"/>
          </w:tcPr>
          <w:p w14:paraId="332D0036">
            <w:pPr>
              <w:spacing w:before="82" w:line="188"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3.73E-02</w:t>
            </w:r>
          </w:p>
        </w:tc>
        <w:tc>
          <w:tcPr>
            <w:tcW w:w="999" w:type="dxa"/>
            <w:vAlign w:val="top"/>
          </w:tcPr>
          <w:p w14:paraId="1D82BA22">
            <w:pPr>
              <w:spacing w:before="8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3.73E-02</w:t>
            </w:r>
          </w:p>
        </w:tc>
      </w:tr>
      <w:tr w14:paraId="3098A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26EBEC56">
            <w:pPr>
              <w:pStyle w:val="6"/>
              <w:spacing w:before="51" w:line="219" w:lineRule="auto"/>
              <w:ind w:left="342"/>
              <w:rPr>
                <w:sz w:val="18"/>
                <w:szCs w:val="18"/>
              </w:rPr>
            </w:pPr>
            <w:r>
              <w:rPr>
                <w:spacing w:val="-3"/>
                <w:sz w:val="18"/>
                <w:szCs w:val="18"/>
              </w:rPr>
              <w:t>罗北村</w:t>
            </w:r>
          </w:p>
        </w:tc>
        <w:tc>
          <w:tcPr>
            <w:tcW w:w="1883" w:type="dxa"/>
            <w:vAlign w:val="top"/>
          </w:tcPr>
          <w:p w14:paraId="11A76FD8">
            <w:pPr>
              <w:spacing w:before="79" w:line="192"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5.82E-03|55</w:t>
            </w:r>
          </w:p>
        </w:tc>
        <w:tc>
          <w:tcPr>
            <w:tcW w:w="994" w:type="dxa"/>
            <w:vAlign w:val="top"/>
          </w:tcPr>
          <w:p w14:paraId="1D6F282F">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91BEC45">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2C59B5D">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22F3480">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150DF53">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2C52D47D">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DE17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45F5B365">
            <w:pPr>
              <w:pStyle w:val="6"/>
              <w:spacing w:before="52" w:line="219" w:lineRule="auto"/>
              <w:ind w:left="342"/>
              <w:rPr>
                <w:sz w:val="18"/>
                <w:szCs w:val="18"/>
              </w:rPr>
            </w:pPr>
            <w:r>
              <w:rPr>
                <w:spacing w:val="-3"/>
                <w:sz w:val="18"/>
                <w:szCs w:val="18"/>
              </w:rPr>
              <w:t>上乡村</w:t>
            </w:r>
          </w:p>
        </w:tc>
        <w:tc>
          <w:tcPr>
            <w:tcW w:w="1883" w:type="dxa"/>
            <w:vAlign w:val="top"/>
          </w:tcPr>
          <w:p w14:paraId="4978D7E7">
            <w:pPr>
              <w:spacing w:before="80" w:line="192"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17E-03|55</w:t>
            </w:r>
          </w:p>
        </w:tc>
        <w:tc>
          <w:tcPr>
            <w:tcW w:w="994" w:type="dxa"/>
            <w:vAlign w:val="top"/>
          </w:tcPr>
          <w:p w14:paraId="63B92C8D">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603F09FF">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2FE825C">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35B8185">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49B6FC6F">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7CAEB89B">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14A6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07332606">
            <w:pPr>
              <w:pStyle w:val="6"/>
              <w:spacing w:before="51" w:line="219" w:lineRule="auto"/>
              <w:ind w:left="339"/>
              <w:rPr>
                <w:sz w:val="18"/>
                <w:szCs w:val="18"/>
              </w:rPr>
            </w:pPr>
            <w:r>
              <w:rPr>
                <w:spacing w:val="-3"/>
                <w:sz w:val="18"/>
                <w:szCs w:val="18"/>
              </w:rPr>
              <w:t>港墘村</w:t>
            </w:r>
          </w:p>
        </w:tc>
        <w:tc>
          <w:tcPr>
            <w:tcW w:w="1883" w:type="dxa"/>
            <w:vAlign w:val="top"/>
          </w:tcPr>
          <w:p w14:paraId="340C84AD">
            <w:pPr>
              <w:spacing w:before="80" w:line="192"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5.93E-03|55</w:t>
            </w:r>
          </w:p>
        </w:tc>
        <w:tc>
          <w:tcPr>
            <w:tcW w:w="994" w:type="dxa"/>
            <w:vAlign w:val="top"/>
          </w:tcPr>
          <w:p w14:paraId="034F55DF">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CBCD749">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7542F98">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06CE99CC">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716473F">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53323923">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CEFC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4CD798C3">
            <w:pPr>
              <w:pStyle w:val="6"/>
              <w:spacing w:before="53" w:line="219" w:lineRule="auto"/>
              <w:ind w:left="342"/>
              <w:rPr>
                <w:sz w:val="18"/>
                <w:szCs w:val="18"/>
              </w:rPr>
            </w:pPr>
            <w:r>
              <w:rPr>
                <w:spacing w:val="-3"/>
                <w:sz w:val="18"/>
                <w:szCs w:val="18"/>
              </w:rPr>
              <w:t>罗东村</w:t>
            </w:r>
          </w:p>
        </w:tc>
        <w:tc>
          <w:tcPr>
            <w:tcW w:w="1883" w:type="dxa"/>
            <w:vAlign w:val="top"/>
          </w:tcPr>
          <w:p w14:paraId="5F2551C9">
            <w:pPr>
              <w:spacing w:before="79" w:line="192"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1.34E-02|25</w:t>
            </w:r>
          </w:p>
        </w:tc>
        <w:tc>
          <w:tcPr>
            <w:tcW w:w="994" w:type="dxa"/>
            <w:vAlign w:val="top"/>
          </w:tcPr>
          <w:p w14:paraId="6AA39424">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2B50295">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04CE991">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35B89F5">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71463CA">
            <w:pPr>
              <w:spacing w:before="83"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1.34E-02</w:t>
            </w:r>
          </w:p>
        </w:tc>
        <w:tc>
          <w:tcPr>
            <w:tcW w:w="999" w:type="dxa"/>
            <w:vAlign w:val="top"/>
          </w:tcPr>
          <w:p w14:paraId="48394A1A">
            <w:pPr>
              <w:spacing w:before="83"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1.34E-02</w:t>
            </w:r>
          </w:p>
        </w:tc>
      </w:tr>
      <w:tr w14:paraId="2A4C5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24BB27B9">
            <w:pPr>
              <w:pStyle w:val="6"/>
              <w:spacing w:before="53" w:line="219" w:lineRule="auto"/>
              <w:ind w:left="162"/>
              <w:rPr>
                <w:sz w:val="18"/>
                <w:szCs w:val="18"/>
              </w:rPr>
            </w:pPr>
            <w:r>
              <w:rPr>
                <w:spacing w:val="-2"/>
                <w:sz w:val="18"/>
                <w:szCs w:val="18"/>
              </w:rPr>
              <w:t>罗北新乡村</w:t>
            </w:r>
          </w:p>
        </w:tc>
        <w:tc>
          <w:tcPr>
            <w:tcW w:w="1883" w:type="dxa"/>
            <w:vAlign w:val="top"/>
          </w:tcPr>
          <w:p w14:paraId="25ADABB2">
            <w:pPr>
              <w:spacing w:before="79"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4.23E-03|60</w:t>
            </w:r>
          </w:p>
        </w:tc>
        <w:tc>
          <w:tcPr>
            <w:tcW w:w="994" w:type="dxa"/>
            <w:vAlign w:val="top"/>
          </w:tcPr>
          <w:p w14:paraId="3BFE23EE">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65DEC87">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2011BD1">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4B05331">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EFD6346">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414137BF">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8999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08B6B739">
            <w:pPr>
              <w:pStyle w:val="6"/>
              <w:spacing w:before="53" w:line="219" w:lineRule="auto"/>
              <w:ind w:left="341"/>
              <w:rPr>
                <w:sz w:val="18"/>
                <w:szCs w:val="18"/>
              </w:rPr>
            </w:pPr>
            <w:r>
              <w:rPr>
                <w:spacing w:val="-3"/>
                <w:sz w:val="18"/>
                <w:szCs w:val="18"/>
              </w:rPr>
              <w:t>长湖村</w:t>
            </w:r>
          </w:p>
        </w:tc>
        <w:tc>
          <w:tcPr>
            <w:tcW w:w="1883" w:type="dxa"/>
            <w:vAlign w:val="top"/>
          </w:tcPr>
          <w:p w14:paraId="5B932AA6">
            <w:pPr>
              <w:spacing w:before="81" w:line="192"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5.58E-03|55</w:t>
            </w:r>
          </w:p>
        </w:tc>
        <w:tc>
          <w:tcPr>
            <w:tcW w:w="994" w:type="dxa"/>
            <w:vAlign w:val="top"/>
          </w:tcPr>
          <w:p w14:paraId="56E20DE3">
            <w:pPr>
              <w:spacing w:before="8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5B7850F9">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57B62C88">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584E532">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9F1FB23">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446259BF">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98DE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22AC75E">
            <w:pPr>
              <w:pStyle w:val="6"/>
              <w:spacing w:before="52" w:line="219" w:lineRule="auto"/>
              <w:ind w:left="342"/>
              <w:rPr>
                <w:sz w:val="18"/>
                <w:szCs w:val="18"/>
              </w:rPr>
            </w:pPr>
            <w:r>
              <w:rPr>
                <w:spacing w:val="-4"/>
                <w:sz w:val="18"/>
                <w:szCs w:val="18"/>
              </w:rPr>
              <w:t>炉洋村</w:t>
            </w:r>
          </w:p>
        </w:tc>
        <w:tc>
          <w:tcPr>
            <w:tcW w:w="1883" w:type="dxa"/>
            <w:vAlign w:val="top"/>
          </w:tcPr>
          <w:p w14:paraId="1DDC97B6">
            <w:pPr>
              <w:spacing w:before="80"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4.50E-03|60</w:t>
            </w:r>
          </w:p>
        </w:tc>
        <w:tc>
          <w:tcPr>
            <w:tcW w:w="994" w:type="dxa"/>
            <w:vAlign w:val="top"/>
          </w:tcPr>
          <w:p w14:paraId="4CAD0DBF">
            <w:pPr>
              <w:spacing w:before="8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15B0A46">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6DF6401">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4897B9FE">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09A56C0F">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1BC67B00">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70AB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503B72A0">
            <w:pPr>
              <w:pStyle w:val="6"/>
              <w:spacing w:before="52" w:line="219" w:lineRule="auto"/>
              <w:ind w:left="342"/>
              <w:rPr>
                <w:sz w:val="18"/>
                <w:szCs w:val="18"/>
              </w:rPr>
            </w:pPr>
            <w:r>
              <w:rPr>
                <w:spacing w:val="-4"/>
                <w:sz w:val="18"/>
                <w:szCs w:val="18"/>
              </w:rPr>
              <w:t>南笏村</w:t>
            </w:r>
          </w:p>
        </w:tc>
        <w:tc>
          <w:tcPr>
            <w:tcW w:w="1883" w:type="dxa"/>
            <w:vAlign w:val="top"/>
          </w:tcPr>
          <w:p w14:paraId="352DCE0B">
            <w:pPr>
              <w:spacing w:before="80"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4.74E-03|60</w:t>
            </w:r>
          </w:p>
        </w:tc>
        <w:tc>
          <w:tcPr>
            <w:tcW w:w="994" w:type="dxa"/>
            <w:vAlign w:val="top"/>
          </w:tcPr>
          <w:p w14:paraId="0C5FEF0E">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3660799">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20CA637">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381DD15">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4AADBB58">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6820ADEF">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B94A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82F8DA6">
            <w:pPr>
              <w:pStyle w:val="6"/>
              <w:spacing w:before="51" w:line="219" w:lineRule="auto"/>
              <w:ind w:left="341"/>
              <w:rPr>
                <w:sz w:val="18"/>
                <w:szCs w:val="18"/>
              </w:rPr>
            </w:pPr>
            <w:r>
              <w:rPr>
                <w:spacing w:val="-3"/>
                <w:sz w:val="18"/>
                <w:szCs w:val="18"/>
              </w:rPr>
              <w:t>新厝村</w:t>
            </w:r>
          </w:p>
        </w:tc>
        <w:tc>
          <w:tcPr>
            <w:tcW w:w="1883" w:type="dxa"/>
            <w:vAlign w:val="top"/>
          </w:tcPr>
          <w:p w14:paraId="5EE65B34">
            <w:pPr>
              <w:spacing w:before="80"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3.66E-03|60</w:t>
            </w:r>
          </w:p>
        </w:tc>
        <w:tc>
          <w:tcPr>
            <w:tcW w:w="994" w:type="dxa"/>
            <w:vAlign w:val="top"/>
          </w:tcPr>
          <w:p w14:paraId="15892F9C">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B76172D">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3C46A87">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3C1E4E2">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3434FFC8">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083B3D76">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A4F0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710E30ED">
            <w:pPr>
              <w:pStyle w:val="6"/>
              <w:spacing w:before="53" w:line="219" w:lineRule="auto"/>
              <w:ind w:left="342"/>
              <w:rPr>
                <w:sz w:val="18"/>
                <w:szCs w:val="18"/>
              </w:rPr>
            </w:pPr>
            <w:r>
              <w:rPr>
                <w:spacing w:val="-3"/>
                <w:sz w:val="18"/>
                <w:szCs w:val="18"/>
              </w:rPr>
              <w:t>上达村</w:t>
            </w:r>
          </w:p>
        </w:tc>
        <w:tc>
          <w:tcPr>
            <w:tcW w:w="1883" w:type="dxa"/>
            <w:vAlign w:val="top"/>
          </w:tcPr>
          <w:p w14:paraId="0DB9ACC1">
            <w:pPr>
              <w:spacing w:before="79" w:line="192"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5.66E-03|55</w:t>
            </w:r>
          </w:p>
        </w:tc>
        <w:tc>
          <w:tcPr>
            <w:tcW w:w="994" w:type="dxa"/>
            <w:vAlign w:val="top"/>
          </w:tcPr>
          <w:p w14:paraId="202EB5A2">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7595A24">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6EBB4AE6">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00FE2E9">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0652108">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75D8E245">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FD8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5522BCB6">
            <w:pPr>
              <w:pStyle w:val="6"/>
              <w:spacing w:before="53" w:line="219" w:lineRule="auto"/>
              <w:ind w:left="346"/>
              <w:rPr>
                <w:sz w:val="18"/>
                <w:szCs w:val="18"/>
              </w:rPr>
            </w:pPr>
            <w:r>
              <w:rPr>
                <w:spacing w:val="-5"/>
                <w:sz w:val="18"/>
                <w:szCs w:val="18"/>
              </w:rPr>
              <w:t>下达村</w:t>
            </w:r>
          </w:p>
        </w:tc>
        <w:tc>
          <w:tcPr>
            <w:tcW w:w="1883" w:type="dxa"/>
            <w:vAlign w:val="top"/>
          </w:tcPr>
          <w:p w14:paraId="6C5857B0">
            <w:pPr>
              <w:spacing w:before="79"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4.60E-03|60</w:t>
            </w:r>
          </w:p>
        </w:tc>
        <w:tc>
          <w:tcPr>
            <w:tcW w:w="994" w:type="dxa"/>
            <w:vAlign w:val="top"/>
          </w:tcPr>
          <w:p w14:paraId="4393A44E">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6DE2EB7">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D40872B">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3EB31ADE">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0B8FAD8F">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0DE260BE">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03BD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44B443A4">
            <w:pPr>
              <w:pStyle w:val="6"/>
              <w:spacing w:before="53" w:line="219" w:lineRule="auto"/>
              <w:ind w:left="339"/>
              <w:rPr>
                <w:sz w:val="18"/>
                <w:szCs w:val="18"/>
              </w:rPr>
            </w:pPr>
            <w:r>
              <w:rPr>
                <w:spacing w:val="-3"/>
                <w:sz w:val="18"/>
                <w:szCs w:val="18"/>
              </w:rPr>
              <w:t>仓前村</w:t>
            </w:r>
          </w:p>
        </w:tc>
        <w:tc>
          <w:tcPr>
            <w:tcW w:w="1883" w:type="dxa"/>
            <w:vAlign w:val="top"/>
          </w:tcPr>
          <w:p w14:paraId="6666A254">
            <w:pPr>
              <w:spacing w:before="81"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7.06E-03|50</w:t>
            </w:r>
          </w:p>
        </w:tc>
        <w:tc>
          <w:tcPr>
            <w:tcW w:w="994" w:type="dxa"/>
            <w:vAlign w:val="top"/>
          </w:tcPr>
          <w:p w14:paraId="2747EB9D">
            <w:pPr>
              <w:spacing w:before="8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72D53AB">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55F3C31">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623E1DD">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0630786B">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577B1DE3">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6E53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568B3D5">
            <w:pPr>
              <w:pStyle w:val="6"/>
              <w:spacing w:before="52" w:line="219" w:lineRule="auto"/>
              <w:ind w:left="351"/>
              <w:rPr>
                <w:sz w:val="18"/>
                <w:szCs w:val="18"/>
              </w:rPr>
            </w:pPr>
            <w:r>
              <w:rPr>
                <w:spacing w:val="-7"/>
                <w:sz w:val="18"/>
                <w:szCs w:val="18"/>
              </w:rPr>
              <w:t>陇东村</w:t>
            </w:r>
          </w:p>
        </w:tc>
        <w:tc>
          <w:tcPr>
            <w:tcW w:w="1883" w:type="dxa"/>
            <w:vAlign w:val="top"/>
          </w:tcPr>
          <w:p w14:paraId="41D31E5F">
            <w:pPr>
              <w:spacing w:before="80"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4.86E-03|60</w:t>
            </w:r>
          </w:p>
        </w:tc>
        <w:tc>
          <w:tcPr>
            <w:tcW w:w="994" w:type="dxa"/>
            <w:vAlign w:val="top"/>
          </w:tcPr>
          <w:p w14:paraId="750789D0">
            <w:pPr>
              <w:spacing w:before="8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1ACCB79">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589F80D">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6F5CC9F">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756FDBD">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0D26333A">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4B35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77794AE">
            <w:pPr>
              <w:pStyle w:val="6"/>
              <w:spacing w:before="52" w:line="219" w:lineRule="auto"/>
              <w:ind w:left="348"/>
              <w:rPr>
                <w:sz w:val="18"/>
                <w:szCs w:val="18"/>
              </w:rPr>
            </w:pPr>
            <w:r>
              <w:rPr>
                <w:spacing w:val="-5"/>
                <w:sz w:val="18"/>
                <w:szCs w:val="18"/>
              </w:rPr>
              <w:t>笏雅村</w:t>
            </w:r>
          </w:p>
        </w:tc>
        <w:tc>
          <w:tcPr>
            <w:tcW w:w="1883" w:type="dxa"/>
            <w:vAlign w:val="top"/>
          </w:tcPr>
          <w:p w14:paraId="7AF0448E">
            <w:pPr>
              <w:spacing w:before="80"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4.69E-03|60</w:t>
            </w:r>
          </w:p>
        </w:tc>
        <w:tc>
          <w:tcPr>
            <w:tcW w:w="994" w:type="dxa"/>
            <w:vAlign w:val="top"/>
          </w:tcPr>
          <w:p w14:paraId="40BCE730">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C1493AF">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ACDE88C">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3B1F37C">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4FD956D">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68CA66D3">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50EF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633BA84B">
            <w:pPr>
              <w:pStyle w:val="6"/>
              <w:spacing w:before="51" w:line="219" w:lineRule="auto"/>
              <w:ind w:left="346"/>
              <w:rPr>
                <w:sz w:val="18"/>
                <w:szCs w:val="18"/>
              </w:rPr>
            </w:pPr>
            <w:r>
              <w:rPr>
                <w:spacing w:val="-5"/>
                <w:sz w:val="18"/>
                <w:szCs w:val="18"/>
              </w:rPr>
              <w:t>东新村</w:t>
            </w:r>
          </w:p>
        </w:tc>
        <w:tc>
          <w:tcPr>
            <w:tcW w:w="1883" w:type="dxa"/>
            <w:vAlign w:val="top"/>
          </w:tcPr>
          <w:p w14:paraId="6DEEEB38">
            <w:pPr>
              <w:spacing w:before="80"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4.34E-03|60</w:t>
            </w:r>
          </w:p>
        </w:tc>
        <w:tc>
          <w:tcPr>
            <w:tcW w:w="994" w:type="dxa"/>
            <w:vAlign w:val="top"/>
          </w:tcPr>
          <w:p w14:paraId="4609F4D0">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29098C2">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9B60801">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A047C23">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3552A969">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013D9899">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857C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2AB893AC">
            <w:pPr>
              <w:pStyle w:val="6"/>
              <w:spacing w:before="53" w:line="219" w:lineRule="auto"/>
              <w:ind w:left="341"/>
              <w:rPr>
                <w:sz w:val="18"/>
                <w:szCs w:val="18"/>
              </w:rPr>
            </w:pPr>
            <w:r>
              <w:rPr>
                <w:spacing w:val="-3"/>
                <w:sz w:val="18"/>
                <w:szCs w:val="18"/>
              </w:rPr>
              <w:t>凤山村</w:t>
            </w:r>
          </w:p>
        </w:tc>
        <w:tc>
          <w:tcPr>
            <w:tcW w:w="1883" w:type="dxa"/>
            <w:vAlign w:val="top"/>
          </w:tcPr>
          <w:p w14:paraId="1AFF09B5">
            <w:pPr>
              <w:spacing w:before="79" w:line="192" w:lineRule="auto"/>
              <w:ind w:left="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2.66E-02|15</w:t>
            </w:r>
          </w:p>
        </w:tc>
        <w:tc>
          <w:tcPr>
            <w:tcW w:w="994" w:type="dxa"/>
            <w:vAlign w:val="top"/>
          </w:tcPr>
          <w:p w14:paraId="2581BCC4">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185ECBF">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7074A07">
            <w:pPr>
              <w:spacing w:before="83"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2.66E-02</w:t>
            </w:r>
          </w:p>
        </w:tc>
        <w:tc>
          <w:tcPr>
            <w:tcW w:w="995" w:type="dxa"/>
            <w:vAlign w:val="top"/>
          </w:tcPr>
          <w:p w14:paraId="541E5946">
            <w:pPr>
              <w:spacing w:before="83" w:line="188" w:lineRule="auto"/>
              <w:ind w:left="16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2.66E-02</w:t>
            </w:r>
          </w:p>
        </w:tc>
        <w:tc>
          <w:tcPr>
            <w:tcW w:w="995" w:type="dxa"/>
            <w:vAlign w:val="top"/>
          </w:tcPr>
          <w:p w14:paraId="53BC9EEC">
            <w:pPr>
              <w:spacing w:before="83"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2.66E-02</w:t>
            </w:r>
          </w:p>
        </w:tc>
        <w:tc>
          <w:tcPr>
            <w:tcW w:w="999" w:type="dxa"/>
            <w:vAlign w:val="top"/>
          </w:tcPr>
          <w:p w14:paraId="05845355">
            <w:pPr>
              <w:spacing w:before="83" w:line="188" w:lineRule="auto"/>
              <w:ind w:left="16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2.66E-02</w:t>
            </w:r>
          </w:p>
        </w:tc>
      </w:tr>
      <w:tr w14:paraId="0EBA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79834CD3">
            <w:pPr>
              <w:pStyle w:val="6"/>
              <w:spacing w:before="54" w:line="219" w:lineRule="auto"/>
              <w:ind w:left="342"/>
              <w:rPr>
                <w:sz w:val="18"/>
                <w:szCs w:val="18"/>
              </w:rPr>
            </w:pPr>
            <w:r>
              <w:rPr>
                <w:spacing w:val="-3"/>
                <w:sz w:val="18"/>
                <w:szCs w:val="18"/>
              </w:rPr>
              <w:t>可塘镇</w:t>
            </w:r>
          </w:p>
        </w:tc>
        <w:tc>
          <w:tcPr>
            <w:tcW w:w="1883" w:type="dxa"/>
            <w:vAlign w:val="top"/>
          </w:tcPr>
          <w:p w14:paraId="4340943A">
            <w:pPr>
              <w:spacing w:before="79" w:line="192"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7.94E+01|5</w:t>
            </w:r>
          </w:p>
        </w:tc>
        <w:tc>
          <w:tcPr>
            <w:tcW w:w="994" w:type="dxa"/>
            <w:vAlign w:val="top"/>
          </w:tcPr>
          <w:p w14:paraId="63F9F707">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7.94E+01</w:t>
            </w:r>
          </w:p>
        </w:tc>
        <w:tc>
          <w:tcPr>
            <w:tcW w:w="994" w:type="dxa"/>
            <w:vAlign w:val="top"/>
          </w:tcPr>
          <w:p w14:paraId="42D03333">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7.94E+01</w:t>
            </w:r>
          </w:p>
        </w:tc>
        <w:tc>
          <w:tcPr>
            <w:tcW w:w="994" w:type="dxa"/>
            <w:vAlign w:val="top"/>
          </w:tcPr>
          <w:p w14:paraId="68396987">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7.94E+01</w:t>
            </w:r>
          </w:p>
        </w:tc>
        <w:tc>
          <w:tcPr>
            <w:tcW w:w="995" w:type="dxa"/>
            <w:vAlign w:val="top"/>
          </w:tcPr>
          <w:p w14:paraId="4A7AFAA5">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7.94E+01</w:t>
            </w:r>
          </w:p>
        </w:tc>
        <w:tc>
          <w:tcPr>
            <w:tcW w:w="995" w:type="dxa"/>
            <w:vAlign w:val="top"/>
          </w:tcPr>
          <w:p w14:paraId="4B3ED773">
            <w:pPr>
              <w:spacing w:before="82" w:line="188" w:lineRule="auto"/>
              <w:ind w:left="1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7.94E+01</w:t>
            </w:r>
          </w:p>
        </w:tc>
        <w:tc>
          <w:tcPr>
            <w:tcW w:w="999" w:type="dxa"/>
            <w:vAlign w:val="top"/>
          </w:tcPr>
          <w:p w14:paraId="5D6987BA">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7.94E+01</w:t>
            </w:r>
          </w:p>
        </w:tc>
      </w:tr>
      <w:tr w14:paraId="576BD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6C5BA4FF">
            <w:pPr>
              <w:pStyle w:val="6"/>
              <w:spacing w:before="53" w:line="219" w:lineRule="auto"/>
              <w:ind w:left="346"/>
              <w:rPr>
                <w:sz w:val="18"/>
                <w:szCs w:val="18"/>
              </w:rPr>
            </w:pPr>
            <w:r>
              <w:rPr>
                <w:spacing w:val="-5"/>
                <w:sz w:val="18"/>
                <w:szCs w:val="18"/>
              </w:rPr>
              <w:t>东溪村</w:t>
            </w:r>
          </w:p>
        </w:tc>
        <w:tc>
          <w:tcPr>
            <w:tcW w:w="1883" w:type="dxa"/>
            <w:vAlign w:val="top"/>
          </w:tcPr>
          <w:p w14:paraId="03E3A243">
            <w:pPr>
              <w:spacing w:before="81" w:line="192"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5.80E-03|55</w:t>
            </w:r>
          </w:p>
        </w:tc>
        <w:tc>
          <w:tcPr>
            <w:tcW w:w="994" w:type="dxa"/>
            <w:vAlign w:val="top"/>
          </w:tcPr>
          <w:p w14:paraId="0D496ADF">
            <w:pPr>
              <w:spacing w:before="8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537D807">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51F3B4E5">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053091A9">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44C7CF3">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513AD37E">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88F1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10" w:type="dxa"/>
            <w:vAlign w:val="top"/>
          </w:tcPr>
          <w:p w14:paraId="1628552F">
            <w:pPr>
              <w:pStyle w:val="6"/>
              <w:spacing w:before="52" w:line="219" w:lineRule="auto"/>
              <w:ind w:left="251"/>
              <w:rPr>
                <w:sz w:val="18"/>
                <w:szCs w:val="18"/>
              </w:rPr>
            </w:pPr>
            <w:r>
              <w:rPr>
                <w:spacing w:val="-3"/>
                <w:sz w:val="18"/>
                <w:szCs w:val="18"/>
              </w:rPr>
              <w:t>君硕围村</w:t>
            </w:r>
          </w:p>
        </w:tc>
        <w:tc>
          <w:tcPr>
            <w:tcW w:w="1883" w:type="dxa"/>
            <w:vAlign w:val="top"/>
          </w:tcPr>
          <w:p w14:paraId="227AC106">
            <w:pPr>
              <w:spacing w:before="80" w:line="192"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4"/>
                <w:sz w:val="18"/>
                <w:szCs w:val="18"/>
              </w:rPr>
              <w:t>14E-02|25</w:t>
            </w:r>
          </w:p>
        </w:tc>
        <w:tc>
          <w:tcPr>
            <w:tcW w:w="994" w:type="dxa"/>
            <w:vAlign w:val="top"/>
          </w:tcPr>
          <w:p w14:paraId="4201DA5B">
            <w:pPr>
              <w:spacing w:before="8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11CA047">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54D7CC7">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2663784">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27C3172">
            <w:pPr>
              <w:spacing w:before="84"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6"/>
                <w:sz w:val="18"/>
                <w:szCs w:val="18"/>
              </w:rPr>
              <w:t>14E-02</w:t>
            </w:r>
          </w:p>
        </w:tc>
        <w:tc>
          <w:tcPr>
            <w:tcW w:w="999" w:type="dxa"/>
            <w:vAlign w:val="top"/>
          </w:tcPr>
          <w:p w14:paraId="59440D1A">
            <w:pPr>
              <w:spacing w:before="84"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6"/>
                <w:sz w:val="18"/>
                <w:szCs w:val="18"/>
              </w:rPr>
              <w:t>14E-02</w:t>
            </w:r>
          </w:p>
        </w:tc>
      </w:tr>
    </w:tbl>
    <w:p w14:paraId="2EF63B10">
      <w:pPr>
        <w:rPr>
          <w:rFonts w:ascii="Arial"/>
          <w:sz w:val="21"/>
        </w:rPr>
      </w:pPr>
    </w:p>
    <w:p w14:paraId="0D464518">
      <w:pPr>
        <w:rPr>
          <w:rFonts w:ascii="Arial" w:hAnsi="Arial" w:eastAsia="Arial" w:cs="Arial"/>
          <w:sz w:val="21"/>
          <w:szCs w:val="21"/>
        </w:rPr>
        <w:sectPr>
          <w:footerReference r:id="rId151" w:type="default"/>
          <w:pgSz w:w="11906" w:h="16839"/>
          <w:pgMar w:top="400" w:right="1418" w:bottom="1127" w:left="1418" w:header="0" w:footer="965" w:gutter="0"/>
          <w:cols w:space="720" w:num="1"/>
        </w:sectPr>
      </w:pPr>
    </w:p>
    <w:p w14:paraId="5E97671C">
      <w:pPr>
        <w:spacing w:before="19"/>
      </w:pPr>
    </w:p>
    <w:p w14:paraId="1AC825B1">
      <w:pPr>
        <w:spacing w:before="19"/>
      </w:pPr>
    </w:p>
    <w:p w14:paraId="15608CB5">
      <w:pPr>
        <w:spacing w:before="19"/>
      </w:pPr>
    </w:p>
    <w:p w14:paraId="3E651179">
      <w:pPr>
        <w:spacing w:before="18"/>
      </w:pPr>
    </w:p>
    <w:p w14:paraId="6ACEEAEC">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0"/>
        <w:gridCol w:w="1883"/>
        <w:gridCol w:w="994"/>
        <w:gridCol w:w="994"/>
        <w:gridCol w:w="994"/>
        <w:gridCol w:w="995"/>
        <w:gridCol w:w="995"/>
        <w:gridCol w:w="999"/>
      </w:tblGrid>
      <w:tr w14:paraId="32DEB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10" w:type="dxa"/>
            <w:vAlign w:val="top"/>
          </w:tcPr>
          <w:p w14:paraId="2F62A9C8">
            <w:pPr>
              <w:pStyle w:val="6"/>
              <w:spacing w:before="52" w:line="219" w:lineRule="auto"/>
              <w:ind w:left="339"/>
              <w:rPr>
                <w:sz w:val="18"/>
                <w:szCs w:val="18"/>
              </w:rPr>
            </w:pPr>
            <w:r>
              <w:rPr>
                <w:spacing w:val="-3"/>
                <w:sz w:val="18"/>
                <w:szCs w:val="18"/>
              </w:rPr>
              <w:t>低港村</w:t>
            </w:r>
          </w:p>
        </w:tc>
        <w:tc>
          <w:tcPr>
            <w:tcW w:w="1883" w:type="dxa"/>
            <w:vAlign w:val="top"/>
          </w:tcPr>
          <w:p w14:paraId="3ECA07D8">
            <w:pPr>
              <w:spacing w:before="81" w:line="192"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1.08E-02|25</w:t>
            </w:r>
          </w:p>
        </w:tc>
        <w:tc>
          <w:tcPr>
            <w:tcW w:w="994" w:type="dxa"/>
            <w:vAlign w:val="top"/>
          </w:tcPr>
          <w:p w14:paraId="73FAE318">
            <w:pPr>
              <w:spacing w:before="8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6065275">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6E33907F">
            <w:pPr>
              <w:spacing w:before="8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4F911C5">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34CA48DA">
            <w:pPr>
              <w:spacing w:before="84"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1.08E-02</w:t>
            </w:r>
          </w:p>
        </w:tc>
        <w:tc>
          <w:tcPr>
            <w:tcW w:w="999" w:type="dxa"/>
            <w:vAlign w:val="top"/>
          </w:tcPr>
          <w:p w14:paraId="49EA8FE4">
            <w:pPr>
              <w:spacing w:before="84"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1.08E-02</w:t>
            </w:r>
          </w:p>
        </w:tc>
      </w:tr>
      <w:tr w14:paraId="266D7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C0F7353">
            <w:pPr>
              <w:pStyle w:val="6"/>
              <w:spacing w:before="48" w:line="219" w:lineRule="auto"/>
              <w:ind w:left="269"/>
              <w:rPr>
                <w:sz w:val="18"/>
                <w:szCs w:val="18"/>
              </w:rPr>
            </w:pPr>
            <w:r>
              <w:rPr>
                <w:spacing w:val="-7"/>
                <w:sz w:val="18"/>
                <w:szCs w:val="18"/>
              </w:rPr>
              <w:t>尚仁家村</w:t>
            </w:r>
          </w:p>
        </w:tc>
        <w:tc>
          <w:tcPr>
            <w:tcW w:w="1883" w:type="dxa"/>
            <w:vAlign w:val="top"/>
          </w:tcPr>
          <w:p w14:paraId="0A036AEE">
            <w:pPr>
              <w:spacing w:before="76" w:line="192" w:lineRule="auto"/>
              <w:ind w:left="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2.49E-02|15</w:t>
            </w:r>
          </w:p>
        </w:tc>
        <w:tc>
          <w:tcPr>
            <w:tcW w:w="994" w:type="dxa"/>
            <w:vAlign w:val="top"/>
          </w:tcPr>
          <w:p w14:paraId="3027EC70">
            <w:pPr>
              <w:spacing w:before="80"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16EF7BA">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5155FBE">
            <w:pPr>
              <w:spacing w:before="80"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2.49E-02</w:t>
            </w:r>
          </w:p>
        </w:tc>
        <w:tc>
          <w:tcPr>
            <w:tcW w:w="995" w:type="dxa"/>
            <w:vAlign w:val="top"/>
          </w:tcPr>
          <w:p w14:paraId="6CF7668D">
            <w:pPr>
              <w:spacing w:before="80" w:line="188" w:lineRule="auto"/>
              <w:ind w:left="16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2.49E-02</w:t>
            </w:r>
          </w:p>
        </w:tc>
        <w:tc>
          <w:tcPr>
            <w:tcW w:w="995" w:type="dxa"/>
            <w:vAlign w:val="top"/>
          </w:tcPr>
          <w:p w14:paraId="6DA35075">
            <w:pPr>
              <w:spacing w:before="80"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2.49E-02</w:t>
            </w:r>
          </w:p>
        </w:tc>
        <w:tc>
          <w:tcPr>
            <w:tcW w:w="999" w:type="dxa"/>
            <w:vAlign w:val="top"/>
          </w:tcPr>
          <w:p w14:paraId="512DEEA7">
            <w:pPr>
              <w:spacing w:before="80" w:line="188" w:lineRule="auto"/>
              <w:ind w:left="16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2.49E-02</w:t>
            </w:r>
          </w:p>
        </w:tc>
      </w:tr>
      <w:tr w14:paraId="41F0C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625A5A1B">
            <w:pPr>
              <w:pStyle w:val="6"/>
              <w:spacing w:before="48" w:line="219" w:lineRule="auto"/>
              <w:ind w:left="249"/>
              <w:rPr>
                <w:sz w:val="18"/>
                <w:szCs w:val="18"/>
              </w:rPr>
            </w:pPr>
            <w:r>
              <w:rPr>
                <w:spacing w:val="-2"/>
                <w:sz w:val="18"/>
                <w:szCs w:val="18"/>
              </w:rPr>
              <w:t>埔中央村</w:t>
            </w:r>
          </w:p>
        </w:tc>
        <w:tc>
          <w:tcPr>
            <w:tcW w:w="1883" w:type="dxa"/>
            <w:vAlign w:val="top"/>
          </w:tcPr>
          <w:p w14:paraId="4B82472A">
            <w:pPr>
              <w:spacing w:before="76" w:line="192"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1.76E-02|20</w:t>
            </w:r>
          </w:p>
        </w:tc>
        <w:tc>
          <w:tcPr>
            <w:tcW w:w="994" w:type="dxa"/>
            <w:vAlign w:val="top"/>
          </w:tcPr>
          <w:p w14:paraId="0999FE4B">
            <w:pPr>
              <w:spacing w:before="79"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6B11080B">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373FF5F">
            <w:pPr>
              <w:spacing w:before="79"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343B470">
            <w:pPr>
              <w:spacing w:before="79"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1.76E-02</w:t>
            </w:r>
          </w:p>
        </w:tc>
        <w:tc>
          <w:tcPr>
            <w:tcW w:w="995" w:type="dxa"/>
            <w:vAlign w:val="top"/>
          </w:tcPr>
          <w:p w14:paraId="71D12CE2">
            <w:pPr>
              <w:spacing w:before="79"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1.76E-02</w:t>
            </w:r>
          </w:p>
        </w:tc>
        <w:tc>
          <w:tcPr>
            <w:tcW w:w="999" w:type="dxa"/>
            <w:vAlign w:val="top"/>
          </w:tcPr>
          <w:p w14:paraId="6AFFFAD2">
            <w:pPr>
              <w:spacing w:before="79"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1.76E-02</w:t>
            </w:r>
          </w:p>
        </w:tc>
      </w:tr>
      <w:tr w14:paraId="00101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0616322A">
            <w:pPr>
              <w:pStyle w:val="6"/>
              <w:spacing w:before="51" w:line="220" w:lineRule="auto"/>
              <w:ind w:left="341"/>
              <w:rPr>
                <w:sz w:val="18"/>
                <w:szCs w:val="18"/>
              </w:rPr>
            </w:pPr>
            <w:r>
              <w:rPr>
                <w:spacing w:val="-3"/>
                <w:sz w:val="18"/>
                <w:szCs w:val="18"/>
              </w:rPr>
              <w:t>庄厝围</w:t>
            </w:r>
          </w:p>
        </w:tc>
        <w:tc>
          <w:tcPr>
            <w:tcW w:w="1883" w:type="dxa"/>
            <w:vAlign w:val="top"/>
          </w:tcPr>
          <w:p w14:paraId="118D0604">
            <w:pPr>
              <w:spacing w:before="76"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15E-03|50</w:t>
            </w:r>
          </w:p>
        </w:tc>
        <w:tc>
          <w:tcPr>
            <w:tcW w:w="994" w:type="dxa"/>
            <w:vAlign w:val="top"/>
          </w:tcPr>
          <w:p w14:paraId="252C426E">
            <w:pPr>
              <w:spacing w:before="80"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65D4327">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469CAE1">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5E5C1B9">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0C5DECB3">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14780E29">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CE55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40B2D4BE">
            <w:pPr>
              <w:pStyle w:val="6"/>
              <w:spacing w:before="50" w:line="219" w:lineRule="auto"/>
              <w:ind w:left="343"/>
              <w:rPr>
                <w:sz w:val="18"/>
                <w:szCs w:val="18"/>
              </w:rPr>
            </w:pPr>
            <w:r>
              <w:rPr>
                <w:spacing w:val="-4"/>
                <w:sz w:val="18"/>
                <w:szCs w:val="18"/>
              </w:rPr>
              <w:t>凯南村</w:t>
            </w:r>
          </w:p>
        </w:tc>
        <w:tc>
          <w:tcPr>
            <w:tcW w:w="1883" w:type="dxa"/>
            <w:vAlign w:val="top"/>
          </w:tcPr>
          <w:p w14:paraId="61017166">
            <w:pPr>
              <w:spacing w:before="76" w:line="192"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14E-03|50</w:t>
            </w:r>
          </w:p>
        </w:tc>
        <w:tc>
          <w:tcPr>
            <w:tcW w:w="994" w:type="dxa"/>
            <w:vAlign w:val="top"/>
          </w:tcPr>
          <w:p w14:paraId="1C143F8B">
            <w:pPr>
              <w:spacing w:before="79"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F454361">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525BA0B">
            <w:pPr>
              <w:spacing w:before="79"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F4038C6">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D63849C">
            <w:pPr>
              <w:spacing w:before="79"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6D0B69FD">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A4FB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11AE7A4C">
            <w:pPr>
              <w:pStyle w:val="6"/>
              <w:spacing w:before="50" w:line="219" w:lineRule="auto"/>
              <w:ind w:left="346"/>
              <w:rPr>
                <w:sz w:val="18"/>
                <w:szCs w:val="18"/>
              </w:rPr>
            </w:pPr>
            <w:r>
              <w:rPr>
                <w:spacing w:val="-5"/>
                <w:sz w:val="18"/>
                <w:szCs w:val="18"/>
              </w:rPr>
              <w:t>下许村</w:t>
            </w:r>
          </w:p>
        </w:tc>
        <w:tc>
          <w:tcPr>
            <w:tcW w:w="1883" w:type="dxa"/>
            <w:vAlign w:val="top"/>
          </w:tcPr>
          <w:p w14:paraId="66D42F9C">
            <w:pPr>
              <w:spacing w:before="76"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4.93E-03|60</w:t>
            </w:r>
          </w:p>
        </w:tc>
        <w:tc>
          <w:tcPr>
            <w:tcW w:w="994" w:type="dxa"/>
            <w:vAlign w:val="top"/>
          </w:tcPr>
          <w:p w14:paraId="0A40EA67">
            <w:pPr>
              <w:spacing w:before="79"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41A9E83">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F9F8D71">
            <w:pPr>
              <w:spacing w:before="79"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ED77A1B">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FD19162">
            <w:pPr>
              <w:spacing w:before="79"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12F07820">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0EDD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127DBD92">
            <w:pPr>
              <w:pStyle w:val="6"/>
              <w:spacing w:before="50" w:line="219" w:lineRule="auto"/>
              <w:ind w:left="346"/>
              <w:rPr>
                <w:sz w:val="18"/>
                <w:szCs w:val="18"/>
              </w:rPr>
            </w:pPr>
            <w:r>
              <w:rPr>
                <w:spacing w:val="-5"/>
                <w:sz w:val="18"/>
                <w:szCs w:val="18"/>
              </w:rPr>
              <w:t>赤箖村</w:t>
            </w:r>
          </w:p>
        </w:tc>
        <w:tc>
          <w:tcPr>
            <w:tcW w:w="1883" w:type="dxa"/>
            <w:vAlign w:val="top"/>
          </w:tcPr>
          <w:p w14:paraId="571D6A55">
            <w:pPr>
              <w:spacing w:before="79"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4.90E-03|60</w:t>
            </w:r>
          </w:p>
        </w:tc>
        <w:tc>
          <w:tcPr>
            <w:tcW w:w="994" w:type="dxa"/>
            <w:vAlign w:val="top"/>
          </w:tcPr>
          <w:p w14:paraId="0229BA51">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516DE135">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1D08661">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2038255">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EDE7822">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42354C8D">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C221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18BC2B09">
            <w:pPr>
              <w:pStyle w:val="6"/>
              <w:spacing w:before="50" w:line="219" w:lineRule="auto"/>
              <w:ind w:left="275"/>
              <w:rPr>
                <w:sz w:val="18"/>
                <w:szCs w:val="18"/>
              </w:rPr>
            </w:pPr>
            <w:r>
              <w:rPr>
                <w:spacing w:val="-9"/>
                <w:sz w:val="18"/>
                <w:szCs w:val="18"/>
              </w:rPr>
              <w:t>白沙新村</w:t>
            </w:r>
          </w:p>
        </w:tc>
        <w:tc>
          <w:tcPr>
            <w:tcW w:w="1883" w:type="dxa"/>
            <w:vAlign w:val="top"/>
          </w:tcPr>
          <w:p w14:paraId="00ED84A2">
            <w:pPr>
              <w:spacing w:before="78" w:line="192"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1.29E-02|25</w:t>
            </w:r>
          </w:p>
        </w:tc>
        <w:tc>
          <w:tcPr>
            <w:tcW w:w="994" w:type="dxa"/>
            <w:vAlign w:val="top"/>
          </w:tcPr>
          <w:p w14:paraId="74A6795F">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7513064">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9BDA329">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548D5B0">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4EDE0869">
            <w:pPr>
              <w:spacing w:before="82"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1.29E-02</w:t>
            </w:r>
          </w:p>
        </w:tc>
        <w:tc>
          <w:tcPr>
            <w:tcW w:w="999" w:type="dxa"/>
            <w:vAlign w:val="top"/>
          </w:tcPr>
          <w:p w14:paraId="4BBE3122">
            <w:pPr>
              <w:spacing w:before="8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1.29E-02</w:t>
            </w:r>
          </w:p>
        </w:tc>
      </w:tr>
      <w:tr w14:paraId="02B3F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A41F9C6">
            <w:pPr>
              <w:pStyle w:val="6"/>
              <w:spacing w:before="50" w:line="219" w:lineRule="auto"/>
              <w:ind w:left="344"/>
              <w:rPr>
                <w:sz w:val="18"/>
                <w:szCs w:val="18"/>
              </w:rPr>
            </w:pPr>
            <w:r>
              <w:rPr>
                <w:spacing w:val="-4"/>
                <w:sz w:val="18"/>
                <w:szCs w:val="18"/>
              </w:rPr>
              <w:t>西城村</w:t>
            </w:r>
          </w:p>
        </w:tc>
        <w:tc>
          <w:tcPr>
            <w:tcW w:w="1883" w:type="dxa"/>
            <w:vAlign w:val="top"/>
          </w:tcPr>
          <w:p w14:paraId="77FDB29F">
            <w:pPr>
              <w:spacing w:before="78" w:line="192" w:lineRule="auto"/>
              <w:ind w:left="5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17E-03|45</w:t>
            </w:r>
          </w:p>
        </w:tc>
        <w:tc>
          <w:tcPr>
            <w:tcW w:w="994" w:type="dxa"/>
            <w:vAlign w:val="top"/>
          </w:tcPr>
          <w:p w14:paraId="1EFC50C3">
            <w:pPr>
              <w:spacing w:before="81"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0C1ACF3">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E7203E1">
            <w:pPr>
              <w:spacing w:before="81"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0E86707">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5387943">
            <w:pPr>
              <w:spacing w:before="81"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11B33B14">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EC53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5B81198">
            <w:pPr>
              <w:pStyle w:val="6"/>
              <w:spacing w:before="52" w:line="219" w:lineRule="auto"/>
              <w:ind w:left="346"/>
              <w:rPr>
                <w:sz w:val="18"/>
                <w:szCs w:val="18"/>
              </w:rPr>
            </w:pPr>
            <w:r>
              <w:rPr>
                <w:spacing w:val="-5"/>
                <w:sz w:val="18"/>
                <w:szCs w:val="18"/>
              </w:rPr>
              <w:t>东湖村</w:t>
            </w:r>
          </w:p>
        </w:tc>
        <w:tc>
          <w:tcPr>
            <w:tcW w:w="1883" w:type="dxa"/>
            <w:vAlign w:val="top"/>
          </w:tcPr>
          <w:p w14:paraId="12F60E27">
            <w:pPr>
              <w:spacing w:before="77" w:line="192"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5.28E-03|60</w:t>
            </w:r>
          </w:p>
        </w:tc>
        <w:tc>
          <w:tcPr>
            <w:tcW w:w="994" w:type="dxa"/>
            <w:vAlign w:val="top"/>
          </w:tcPr>
          <w:p w14:paraId="7D126FF7">
            <w:pPr>
              <w:spacing w:before="81"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BBB84FB">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8251F69">
            <w:pPr>
              <w:spacing w:before="81"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037B279">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1C0A3B8">
            <w:pPr>
              <w:spacing w:before="81"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21F45BA4">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4805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634F0947">
            <w:pPr>
              <w:pStyle w:val="6"/>
              <w:spacing w:before="51" w:line="219" w:lineRule="auto"/>
              <w:ind w:left="340"/>
              <w:rPr>
                <w:sz w:val="18"/>
                <w:szCs w:val="18"/>
              </w:rPr>
            </w:pPr>
            <w:r>
              <w:rPr>
                <w:spacing w:val="-3"/>
                <w:sz w:val="18"/>
                <w:szCs w:val="18"/>
              </w:rPr>
              <w:t>第一村</w:t>
            </w:r>
          </w:p>
        </w:tc>
        <w:tc>
          <w:tcPr>
            <w:tcW w:w="1883" w:type="dxa"/>
            <w:vAlign w:val="top"/>
          </w:tcPr>
          <w:p w14:paraId="1847EB6B">
            <w:pPr>
              <w:spacing w:before="77" w:line="192"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6.60E-03|50</w:t>
            </w:r>
          </w:p>
        </w:tc>
        <w:tc>
          <w:tcPr>
            <w:tcW w:w="994" w:type="dxa"/>
            <w:vAlign w:val="top"/>
          </w:tcPr>
          <w:p w14:paraId="252EB52C">
            <w:pPr>
              <w:spacing w:before="80"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95CD27B">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8F096BD">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4A39DE3">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9FE3766">
            <w:pPr>
              <w:spacing w:before="8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1C8BBD45">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478B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666505B9">
            <w:pPr>
              <w:pStyle w:val="6"/>
              <w:spacing w:before="52" w:line="219" w:lineRule="auto"/>
              <w:ind w:left="366"/>
              <w:rPr>
                <w:sz w:val="18"/>
                <w:szCs w:val="18"/>
              </w:rPr>
            </w:pPr>
            <w:r>
              <w:rPr>
                <w:spacing w:val="-12"/>
                <w:sz w:val="18"/>
                <w:szCs w:val="18"/>
              </w:rPr>
              <w:t>白沙村</w:t>
            </w:r>
          </w:p>
        </w:tc>
        <w:tc>
          <w:tcPr>
            <w:tcW w:w="1883" w:type="dxa"/>
            <w:vAlign w:val="top"/>
          </w:tcPr>
          <w:p w14:paraId="22ED75DA">
            <w:pPr>
              <w:spacing w:before="78" w:line="192"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1.36E-02|25</w:t>
            </w:r>
          </w:p>
        </w:tc>
        <w:tc>
          <w:tcPr>
            <w:tcW w:w="994" w:type="dxa"/>
            <w:vAlign w:val="top"/>
          </w:tcPr>
          <w:p w14:paraId="7788123C">
            <w:pPr>
              <w:spacing w:before="81"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24BF32E4">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5729623">
            <w:pPr>
              <w:spacing w:before="81"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C231CBA">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291EE45">
            <w:pPr>
              <w:spacing w:before="81"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1.36E-02</w:t>
            </w:r>
          </w:p>
        </w:tc>
        <w:tc>
          <w:tcPr>
            <w:tcW w:w="999" w:type="dxa"/>
            <w:vAlign w:val="top"/>
          </w:tcPr>
          <w:p w14:paraId="4E402C6E">
            <w:pPr>
              <w:spacing w:before="81"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1.36E-02</w:t>
            </w:r>
          </w:p>
        </w:tc>
      </w:tr>
      <w:tr w14:paraId="47C1A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2EABE4C5">
            <w:pPr>
              <w:pStyle w:val="6"/>
              <w:spacing w:before="51" w:line="219" w:lineRule="auto"/>
              <w:ind w:left="249"/>
              <w:rPr>
                <w:sz w:val="18"/>
                <w:szCs w:val="18"/>
              </w:rPr>
            </w:pPr>
            <w:r>
              <w:rPr>
                <w:spacing w:val="-2"/>
                <w:sz w:val="18"/>
                <w:szCs w:val="18"/>
              </w:rPr>
              <w:t>双桂山村</w:t>
            </w:r>
          </w:p>
        </w:tc>
        <w:tc>
          <w:tcPr>
            <w:tcW w:w="1883" w:type="dxa"/>
            <w:vAlign w:val="top"/>
          </w:tcPr>
          <w:p w14:paraId="1751A4C8">
            <w:pPr>
              <w:spacing w:before="80"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7.71E-03|45</w:t>
            </w:r>
          </w:p>
        </w:tc>
        <w:tc>
          <w:tcPr>
            <w:tcW w:w="994" w:type="dxa"/>
            <w:vAlign w:val="top"/>
          </w:tcPr>
          <w:p w14:paraId="6560AC28">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089C35C">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C4A4D63">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4E0B40CF">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3F65B58D">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3E96ED21">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72A8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3AF9F463">
            <w:pPr>
              <w:pStyle w:val="6"/>
              <w:spacing w:before="51" w:line="219" w:lineRule="auto"/>
              <w:ind w:left="250"/>
              <w:rPr>
                <w:sz w:val="18"/>
                <w:szCs w:val="18"/>
              </w:rPr>
            </w:pPr>
            <w:r>
              <w:rPr>
                <w:spacing w:val="-2"/>
                <w:sz w:val="18"/>
                <w:szCs w:val="18"/>
              </w:rPr>
              <w:t>朱厝坑村</w:t>
            </w:r>
          </w:p>
        </w:tc>
        <w:tc>
          <w:tcPr>
            <w:tcW w:w="1883" w:type="dxa"/>
            <w:vAlign w:val="top"/>
          </w:tcPr>
          <w:p w14:paraId="39552909">
            <w:pPr>
              <w:spacing w:before="79" w:line="192"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6.92E-03|50</w:t>
            </w:r>
          </w:p>
        </w:tc>
        <w:tc>
          <w:tcPr>
            <w:tcW w:w="994" w:type="dxa"/>
            <w:vAlign w:val="top"/>
          </w:tcPr>
          <w:p w14:paraId="76ABBF88">
            <w:pPr>
              <w:spacing w:before="83"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3B3551BC">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60C47781">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6DD6227F">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76334EC6">
            <w:pPr>
              <w:spacing w:before="8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68B68FA2">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406E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687AAE54">
            <w:pPr>
              <w:pStyle w:val="6"/>
              <w:spacing w:before="51" w:line="219" w:lineRule="auto"/>
              <w:ind w:left="339"/>
              <w:rPr>
                <w:sz w:val="18"/>
                <w:szCs w:val="18"/>
              </w:rPr>
            </w:pPr>
            <w:r>
              <w:rPr>
                <w:spacing w:val="-3"/>
                <w:sz w:val="18"/>
                <w:szCs w:val="18"/>
              </w:rPr>
              <w:t>河新村</w:t>
            </w:r>
          </w:p>
        </w:tc>
        <w:tc>
          <w:tcPr>
            <w:tcW w:w="1883" w:type="dxa"/>
            <w:vAlign w:val="top"/>
          </w:tcPr>
          <w:p w14:paraId="6EE51A29">
            <w:pPr>
              <w:spacing w:before="79" w:line="192"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1.25E-02|25</w:t>
            </w:r>
          </w:p>
        </w:tc>
        <w:tc>
          <w:tcPr>
            <w:tcW w:w="994" w:type="dxa"/>
            <w:vAlign w:val="top"/>
          </w:tcPr>
          <w:p w14:paraId="6849F051">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2390ED0">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14614B81">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2FDE3E84">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E219929">
            <w:pPr>
              <w:spacing w:before="82"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1.25E-02</w:t>
            </w:r>
          </w:p>
        </w:tc>
        <w:tc>
          <w:tcPr>
            <w:tcW w:w="999" w:type="dxa"/>
            <w:vAlign w:val="top"/>
          </w:tcPr>
          <w:p w14:paraId="76DBC2EC">
            <w:pPr>
              <w:spacing w:before="8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1.25E-02</w:t>
            </w:r>
          </w:p>
        </w:tc>
      </w:tr>
      <w:tr w14:paraId="32F2B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10" w:type="dxa"/>
            <w:vAlign w:val="top"/>
          </w:tcPr>
          <w:p w14:paraId="73848867">
            <w:pPr>
              <w:pStyle w:val="6"/>
              <w:spacing w:before="53" w:line="219" w:lineRule="auto"/>
              <w:ind w:left="341"/>
              <w:rPr>
                <w:sz w:val="18"/>
                <w:szCs w:val="18"/>
              </w:rPr>
            </w:pPr>
            <w:r>
              <w:rPr>
                <w:spacing w:val="-3"/>
                <w:sz w:val="18"/>
                <w:szCs w:val="18"/>
              </w:rPr>
              <w:t>新丰村</w:t>
            </w:r>
          </w:p>
        </w:tc>
        <w:tc>
          <w:tcPr>
            <w:tcW w:w="1883" w:type="dxa"/>
            <w:vAlign w:val="top"/>
          </w:tcPr>
          <w:p w14:paraId="1B032267">
            <w:pPr>
              <w:spacing w:before="78" w:line="192" w:lineRule="auto"/>
              <w:ind w:left="4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4.43E-02|10</w:t>
            </w:r>
          </w:p>
        </w:tc>
        <w:tc>
          <w:tcPr>
            <w:tcW w:w="994" w:type="dxa"/>
            <w:vAlign w:val="top"/>
          </w:tcPr>
          <w:p w14:paraId="6D1CDD85">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6ECB09F">
            <w:pPr>
              <w:spacing w:before="82"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4.43E-02</w:t>
            </w:r>
          </w:p>
        </w:tc>
        <w:tc>
          <w:tcPr>
            <w:tcW w:w="994" w:type="dxa"/>
            <w:vAlign w:val="top"/>
          </w:tcPr>
          <w:p w14:paraId="2D811985">
            <w:pPr>
              <w:spacing w:before="82" w:line="188"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4.43E-02</w:t>
            </w:r>
          </w:p>
        </w:tc>
        <w:tc>
          <w:tcPr>
            <w:tcW w:w="995" w:type="dxa"/>
            <w:vAlign w:val="top"/>
          </w:tcPr>
          <w:p w14:paraId="0BB4A4D0">
            <w:pPr>
              <w:spacing w:before="8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4.43E-02</w:t>
            </w:r>
          </w:p>
        </w:tc>
        <w:tc>
          <w:tcPr>
            <w:tcW w:w="995" w:type="dxa"/>
            <w:vAlign w:val="top"/>
          </w:tcPr>
          <w:p w14:paraId="41DBC734">
            <w:pPr>
              <w:spacing w:before="82"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4.43E-02</w:t>
            </w:r>
          </w:p>
        </w:tc>
        <w:tc>
          <w:tcPr>
            <w:tcW w:w="999" w:type="dxa"/>
            <w:vAlign w:val="top"/>
          </w:tcPr>
          <w:p w14:paraId="4FC2D31A">
            <w:pPr>
              <w:spacing w:before="8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4.43E-02</w:t>
            </w:r>
          </w:p>
        </w:tc>
      </w:tr>
      <w:tr w14:paraId="1C575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10" w:type="dxa"/>
            <w:vAlign w:val="top"/>
          </w:tcPr>
          <w:p w14:paraId="2E2B76BC">
            <w:pPr>
              <w:pStyle w:val="6"/>
              <w:spacing w:before="53" w:line="219" w:lineRule="auto"/>
              <w:ind w:left="250"/>
              <w:rPr>
                <w:sz w:val="18"/>
                <w:szCs w:val="18"/>
              </w:rPr>
            </w:pPr>
            <w:r>
              <w:rPr>
                <w:spacing w:val="-3"/>
                <w:sz w:val="18"/>
                <w:szCs w:val="18"/>
              </w:rPr>
              <w:t>洪宽塘村</w:t>
            </w:r>
          </w:p>
        </w:tc>
        <w:tc>
          <w:tcPr>
            <w:tcW w:w="1883" w:type="dxa"/>
            <w:vAlign w:val="top"/>
          </w:tcPr>
          <w:p w14:paraId="6B5AFFBD">
            <w:pPr>
              <w:spacing w:before="79" w:line="192"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6.08E-02|10</w:t>
            </w:r>
          </w:p>
        </w:tc>
        <w:tc>
          <w:tcPr>
            <w:tcW w:w="994" w:type="dxa"/>
            <w:vAlign w:val="top"/>
          </w:tcPr>
          <w:p w14:paraId="75E2D1B0">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4DD37DF2">
            <w:pPr>
              <w:spacing w:before="8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6.08E-02</w:t>
            </w:r>
          </w:p>
        </w:tc>
        <w:tc>
          <w:tcPr>
            <w:tcW w:w="994" w:type="dxa"/>
            <w:vAlign w:val="top"/>
          </w:tcPr>
          <w:p w14:paraId="4ED3EC96">
            <w:pPr>
              <w:spacing w:before="82" w:line="188"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6.08E-02</w:t>
            </w:r>
          </w:p>
        </w:tc>
        <w:tc>
          <w:tcPr>
            <w:tcW w:w="995" w:type="dxa"/>
            <w:vAlign w:val="top"/>
          </w:tcPr>
          <w:p w14:paraId="6E256109">
            <w:pPr>
              <w:spacing w:before="82"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6.08E-02</w:t>
            </w:r>
          </w:p>
        </w:tc>
        <w:tc>
          <w:tcPr>
            <w:tcW w:w="995" w:type="dxa"/>
            <w:vAlign w:val="top"/>
          </w:tcPr>
          <w:p w14:paraId="248B4270">
            <w:pPr>
              <w:spacing w:before="8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6.08E-02</w:t>
            </w:r>
          </w:p>
        </w:tc>
        <w:tc>
          <w:tcPr>
            <w:tcW w:w="999" w:type="dxa"/>
            <w:vAlign w:val="top"/>
          </w:tcPr>
          <w:p w14:paraId="351F8C8D">
            <w:pPr>
              <w:spacing w:before="82"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6.08E-02</w:t>
            </w:r>
          </w:p>
        </w:tc>
      </w:tr>
      <w:tr w14:paraId="5CE9B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10" w:type="dxa"/>
            <w:vAlign w:val="top"/>
          </w:tcPr>
          <w:p w14:paraId="72536CB6">
            <w:pPr>
              <w:pStyle w:val="6"/>
              <w:spacing w:before="53" w:line="219" w:lineRule="auto"/>
              <w:ind w:left="341"/>
              <w:rPr>
                <w:sz w:val="18"/>
                <w:szCs w:val="18"/>
              </w:rPr>
            </w:pPr>
            <w:r>
              <w:rPr>
                <w:spacing w:val="-3"/>
                <w:sz w:val="18"/>
                <w:szCs w:val="18"/>
              </w:rPr>
              <w:t>新埔村</w:t>
            </w:r>
          </w:p>
        </w:tc>
        <w:tc>
          <w:tcPr>
            <w:tcW w:w="1883" w:type="dxa"/>
            <w:vAlign w:val="top"/>
          </w:tcPr>
          <w:p w14:paraId="6C49214F">
            <w:pPr>
              <w:spacing w:before="79" w:line="192"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3.79E-03|60</w:t>
            </w:r>
          </w:p>
        </w:tc>
        <w:tc>
          <w:tcPr>
            <w:tcW w:w="994" w:type="dxa"/>
            <w:vAlign w:val="top"/>
          </w:tcPr>
          <w:p w14:paraId="1FD86EE2">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0F428B84">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4" w:type="dxa"/>
            <w:vAlign w:val="top"/>
          </w:tcPr>
          <w:p w14:paraId="77210496">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5EFC614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5" w:type="dxa"/>
            <w:vAlign w:val="top"/>
          </w:tcPr>
          <w:p w14:paraId="1221C38E">
            <w:pPr>
              <w:spacing w:before="8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9" w:type="dxa"/>
            <w:vAlign w:val="top"/>
          </w:tcPr>
          <w:p w14:paraId="49C8FE5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bl>
    <w:p w14:paraId="7C914B82">
      <w:pPr>
        <w:spacing w:line="318" w:lineRule="auto"/>
        <w:rPr>
          <w:rFonts w:ascii="Arial"/>
          <w:sz w:val="21"/>
        </w:rPr>
      </w:pPr>
    </w:p>
    <w:p w14:paraId="63F6611F">
      <w:pPr>
        <w:spacing w:before="78" w:line="210" w:lineRule="auto"/>
        <w:ind w:left="366"/>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最不利气象条件下各关心点氢氟酸浓度随时间变化情况（单位：</w:t>
      </w:r>
      <w:r>
        <w:rPr>
          <w:rFonts w:ascii="Times New Roman" w:hAnsi="Times New Roman" w:eastAsia="Times New Roman" w:cs="Times New Roman"/>
          <w:b/>
          <w:bCs/>
          <w:spacing w:val="-2"/>
          <w:sz w:val="24"/>
          <w:szCs w:val="24"/>
        </w:rPr>
        <w:t>mg/m</w:t>
      </w:r>
      <w:r>
        <w:rPr>
          <w:rFonts w:ascii="宋体" w:hAnsi="宋体" w:eastAsia="宋体" w:cs="宋体"/>
          <w:b/>
          <w:bCs/>
          <w:spacing w:val="-2"/>
          <w:sz w:val="24"/>
          <w:szCs w:val="24"/>
        </w:rPr>
        <w:t>³</w:t>
      </w:r>
      <w:r>
        <w:rPr>
          <w:rFonts w:ascii="宋体" w:hAnsi="宋体" w:eastAsia="宋体" w:cs="宋体"/>
          <w:spacing w:val="-85"/>
          <w:sz w:val="24"/>
          <w:szCs w:val="24"/>
        </w:rPr>
        <w:t xml:space="preserve"> </w:t>
      </w:r>
      <w:r>
        <w:rPr>
          <w:rFonts w:ascii="宋体" w:hAnsi="宋体" w:eastAsia="宋体" w:cs="宋体"/>
          <w:b/>
          <w:bCs/>
          <w:spacing w:val="-2"/>
          <w:sz w:val="24"/>
          <w:szCs w:val="24"/>
        </w:rPr>
        <w:t>)</w:t>
      </w:r>
    </w:p>
    <w:p w14:paraId="4D9793CF">
      <w:pPr>
        <w:spacing w:line="157"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7854A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614" w:type="dxa"/>
            <w:vAlign w:val="top"/>
          </w:tcPr>
          <w:p w14:paraId="3046259F">
            <w:pPr>
              <w:pStyle w:val="6"/>
              <w:spacing w:before="60" w:line="220" w:lineRule="auto"/>
              <w:ind w:left="365"/>
              <w:rPr>
                <w:sz w:val="18"/>
                <w:szCs w:val="18"/>
              </w:rPr>
            </w:pPr>
            <w:r>
              <w:rPr>
                <w:spacing w:val="-2"/>
                <w:sz w:val="18"/>
                <w:szCs w:val="18"/>
              </w:rPr>
              <w:t>关心点名称</w:t>
            </w:r>
          </w:p>
        </w:tc>
        <w:tc>
          <w:tcPr>
            <w:tcW w:w="1731" w:type="dxa"/>
            <w:vAlign w:val="top"/>
          </w:tcPr>
          <w:p w14:paraId="178DC9B2">
            <w:pPr>
              <w:pStyle w:val="6"/>
              <w:spacing w:before="59" w:line="210" w:lineRule="auto"/>
              <w:ind w:left="113"/>
              <w:rPr>
                <w:rFonts w:ascii="Times New Roman" w:hAnsi="Times New Roman" w:eastAsia="Times New Roman" w:cs="Times New Roman"/>
                <w:sz w:val="18"/>
                <w:szCs w:val="18"/>
              </w:rPr>
            </w:pPr>
            <w:r>
              <w:rPr>
                <w:spacing w:val="-1"/>
                <w:sz w:val="18"/>
                <w:szCs w:val="18"/>
              </w:rPr>
              <w:t>最大浓度</w:t>
            </w:r>
            <w:r>
              <w:rPr>
                <w:rFonts w:ascii="Times New Roman" w:hAnsi="Times New Roman" w:eastAsia="Times New Roman" w:cs="Times New Roman"/>
                <w:spacing w:val="-1"/>
                <w:sz w:val="18"/>
                <w:szCs w:val="18"/>
              </w:rPr>
              <w:t>|</w:t>
            </w:r>
            <w:r>
              <w:rPr>
                <w:spacing w:val="-1"/>
                <w:sz w:val="18"/>
                <w:szCs w:val="18"/>
              </w:rPr>
              <w:t>时间</w:t>
            </w:r>
            <w:r>
              <w:rPr>
                <w:rFonts w:ascii="Times New Roman" w:hAnsi="Times New Roman" w:eastAsia="Times New Roman" w:cs="Times New Roman"/>
                <w:spacing w:val="-1"/>
                <w:sz w:val="18"/>
                <w:szCs w:val="18"/>
              </w:rPr>
              <w:t>(min)</w:t>
            </w:r>
          </w:p>
        </w:tc>
        <w:tc>
          <w:tcPr>
            <w:tcW w:w="996" w:type="dxa"/>
            <w:vAlign w:val="top"/>
          </w:tcPr>
          <w:p w14:paraId="4FC04E89">
            <w:pPr>
              <w:spacing w:before="85" w:line="192"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5min</w:t>
            </w:r>
          </w:p>
        </w:tc>
        <w:tc>
          <w:tcPr>
            <w:tcW w:w="938" w:type="dxa"/>
            <w:vAlign w:val="top"/>
          </w:tcPr>
          <w:p w14:paraId="56790741">
            <w:pPr>
              <w:spacing w:before="85" w:line="192"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10min</w:t>
            </w:r>
          </w:p>
        </w:tc>
        <w:tc>
          <w:tcPr>
            <w:tcW w:w="997" w:type="dxa"/>
            <w:vAlign w:val="top"/>
          </w:tcPr>
          <w:p w14:paraId="398D3137">
            <w:pPr>
              <w:spacing w:before="85" w:line="192"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15min</w:t>
            </w:r>
          </w:p>
        </w:tc>
        <w:tc>
          <w:tcPr>
            <w:tcW w:w="938" w:type="dxa"/>
            <w:vAlign w:val="top"/>
          </w:tcPr>
          <w:p w14:paraId="6993EDE7">
            <w:pPr>
              <w:spacing w:before="85"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20min</w:t>
            </w:r>
          </w:p>
        </w:tc>
        <w:tc>
          <w:tcPr>
            <w:tcW w:w="923" w:type="dxa"/>
            <w:vAlign w:val="top"/>
          </w:tcPr>
          <w:p w14:paraId="61E29F80">
            <w:pPr>
              <w:spacing w:before="85" w:line="192"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25min</w:t>
            </w:r>
          </w:p>
        </w:tc>
        <w:tc>
          <w:tcPr>
            <w:tcW w:w="927" w:type="dxa"/>
            <w:vAlign w:val="top"/>
          </w:tcPr>
          <w:p w14:paraId="7F5C15C5">
            <w:pPr>
              <w:spacing w:before="85" w:line="192"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30min</w:t>
            </w:r>
          </w:p>
        </w:tc>
      </w:tr>
      <w:tr w14:paraId="2FA22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19442B7">
            <w:pPr>
              <w:pStyle w:val="6"/>
              <w:spacing w:before="48" w:line="219" w:lineRule="auto"/>
              <w:ind w:left="544"/>
              <w:rPr>
                <w:sz w:val="18"/>
                <w:szCs w:val="18"/>
              </w:rPr>
            </w:pPr>
            <w:r>
              <w:rPr>
                <w:spacing w:val="-4"/>
                <w:sz w:val="18"/>
                <w:szCs w:val="18"/>
              </w:rPr>
              <w:t>大嶂村</w:t>
            </w:r>
          </w:p>
        </w:tc>
        <w:tc>
          <w:tcPr>
            <w:tcW w:w="1731" w:type="dxa"/>
            <w:vAlign w:val="top"/>
          </w:tcPr>
          <w:p w14:paraId="5EADCED6">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1.38E-03|60</w:t>
            </w:r>
          </w:p>
        </w:tc>
        <w:tc>
          <w:tcPr>
            <w:tcW w:w="996" w:type="dxa"/>
            <w:vAlign w:val="top"/>
          </w:tcPr>
          <w:p w14:paraId="771F2AD7">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45CEFC1">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520B04A">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DE2C5C0">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4A1DD81">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1C77BF1">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E32D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5BD245B">
            <w:pPr>
              <w:pStyle w:val="6"/>
              <w:spacing w:before="50" w:line="220" w:lineRule="auto"/>
              <w:ind w:left="633"/>
              <w:rPr>
                <w:sz w:val="18"/>
                <w:szCs w:val="18"/>
              </w:rPr>
            </w:pPr>
            <w:r>
              <w:rPr>
                <w:spacing w:val="-5"/>
                <w:sz w:val="18"/>
                <w:szCs w:val="18"/>
              </w:rPr>
              <w:t>兵营</w:t>
            </w:r>
          </w:p>
        </w:tc>
        <w:tc>
          <w:tcPr>
            <w:tcW w:w="1731" w:type="dxa"/>
            <w:vAlign w:val="top"/>
          </w:tcPr>
          <w:p w14:paraId="3427FFB4">
            <w:pPr>
              <w:spacing w:before="75"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3.26E-03|30</w:t>
            </w:r>
          </w:p>
        </w:tc>
        <w:tc>
          <w:tcPr>
            <w:tcW w:w="996" w:type="dxa"/>
            <w:vAlign w:val="top"/>
          </w:tcPr>
          <w:p w14:paraId="56D6DAB6">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F17B25C">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7536DFC">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3C313ED">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726F177">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037C0E1">
            <w:pPr>
              <w:spacing w:before="79"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3.26E-03</w:t>
            </w:r>
          </w:p>
        </w:tc>
      </w:tr>
      <w:tr w14:paraId="630D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0D0B7F81">
            <w:pPr>
              <w:pStyle w:val="6"/>
              <w:spacing w:before="50" w:line="219" w:lineRule="auto"/>
              <w:ind w:left="552"/>
              <w:rPr>
                <w:sz w:val="18"/>
                <w:szCs w:val="18"/>
              </w:rPr>
            </w:pPr>
            <w:r>
              <w:rPr>
                <w:spacing w:val="-6"/>
                <w:sz w:val="18"/>
                <w:szCs w:val="18"/>
              </w:rPr>
              <w:t>陈庄村</w:t>
            </w:r>
          </w:p>
        </w:tc>
        <w:tc>
          <w:tcPr>
            <w:tcW w:w="1731" w:type="dxa"/>
            <w:vAlign w:val="top"/>
          </w:tcPr>
          <w:p w14:paraId="4CFE1A41">
            <w:pPr>
              <w:spacing w:before="76"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2.86E-03|45</w:t>
            </w:r>
          </w:p>
        </w:tc>
        <w:tc>
          <w:tcPr>
            <w:tcW w:w="996" w:type="dxa"/>
            <w:vAlign w:val="top"/>
          </w:tcPr>
          <w:p w14:paraId="285E344C">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A81EFE7">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1CB1CEC">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BA3853F">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33B49B6">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5BC9C1B">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65CC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494B24F">
            <w:pPr>
              <w:pStyle w:val="6"/>
              <w:spacing w:before="51" w:line="219" w:lineRule="auto"/>
              <w:ind w:left="460"/>
              <w:rPr>
                <w:sz w:val="18"/>
                <w:szCs w:val="18"/>
              </w:rPr>
            </w:pPr>
            <w:r>
              <w:rPr>
                <w:spacing w:val="-5"/>
                <w:sz w:val="18"/>
                <w:szCs w:val="18"/>
              </w:rPr>
              <w:t>陈林新村</w:t>
            </w:r>
          </w:p>
        </w:tc>
        <w:tc>
          <w:tcPr>
            <w:tcW w:w="1731" w:type="dxa"/>
            <w:vAlign w:val="top"/>
          </w:tcPr>
          <w:p w14:paraId="4A2BBA0D">
            <w:pPr>
              <w:spacing w:before="77"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2.29E-03|50</w:t>
            </w:r>
          </w:p>
        </w:tc>
        <w:tc>
          <w:tcPr>
            <w:tcW w:w="996" w:type="dxa"/>
            <w:vAlign w:val="top"/>
          </w:tcPr>
          <w:p w14:paraId="567F6220">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86F3D94">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9A4D604">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7DAE059">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8179B5A">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5D9F644">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2E10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DF636B6">
            <w:pPr>
              <w:pStyle w:val="6"/>
              <w:spacing w:before="50" w:line="219" w:lineRule="auto"/>
              <w:ind w:left="452"/>
              <w:rPr>
                <w:sz w:val="18"/>
                <w:szCs w:val="18"/>
              </w:rPr>
            </w:pPr>
            <w:r>
              <w:rPr>
                <w:spacing w:val="-3"/>
                <w:sz w:val="18"/>
                <w:szCs w:val="18"/>
              </w:rPr>
              <w:t>金钱埔村</w:t>
            </w:r>
          </w:p>
        </w:tc>
        <w:tc>
          <w:tcPr>
            <w:tcW w:w="1731" w:type="dxa"/>
            <w:vAlign w:val="top"/>
          </w:tcPr>
          <w:p w14:paraId="168EA5E7">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1.32E-02|15</w:t>
            </w:r>
          </w:p>
        </w:tc>
        <w:tc>
          <w:tcPr>
            <w:tcW w:w="996" w:type="dxa"/>
            <w:vAlign w:val="top"/>
          </w:tcPr>
          <w:p w14:paraId="0615D6E6">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26A5AB0">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B3EA74C">
            <w:pPr>
              <w:spacing w:before="8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1.32E-02</w:t>
            </w:r>
          </w:p>
        </w:tc>
        <w:tc>
          <w:tcPr>
            <w:tcW w:w="938" w:type="dxa"/>
            <w:vAlign w:val="top"/>
          </w:tcPr>
          <w:p w14:paraId="33F928C3">
            <w:pPr>
              <w:spacing w:before="82"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1.32E-02</w:t>
            </w:r>
          </w:p>
        </w:tc>
        <w:tc>
          <w:tcPr>
            <w:tcW w:w="923" w:type="dxa"/>
            <w:vAlign w:val="top"/>
          </w:tcPr>
          <w:p w14:paraId="66CA1596">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1.32E-02</w:t>
            </w:r>
          </w:p>
        </w:tc>
        <w:tc>
          <w:tcPr>
            <w:tcW w:w="927" w:type="dxa"/>
            <w:vAlign w:val="top"/>
          </w:tcPr>
          <w:p w14:paraId="3BDCAC2E">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1.32E-02</w:t>
            </w:r>
          </w:p>
        </w:tc>
      </w:tr>
      <w:tr w14:paraId="1AF66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01CAE91">
            <w:pPr>
              <w:pStyle w:val="6"/>
              <w:spacing w:before="51" w:line="219" w:lineRule="auto"/>
              <w:ind w:left="543"/>
              <w:rPr>
                <w:sz w:val="18"/>
                <w:szCs w:val="18"/>
              </w:rPr>
            </w:pPr>
            <w:r>
              <w:rPr>
                <w:spacing w:val="-3"/>
                <w:sz w:val="18"/>
                <w:szCs w:val="18"/>
              </w:rPr>
              <w:t>罗北村</w:t>
            </w:r>
          </w:p>
        </w:tc>
        <w:tc>
          <w:tcPr>
            <w:tcW w:w="1731" w:type="dxa"/>
            <w:vAlign w:val="top"/>
          </w:tcPr>
          <w:p w14:paraId="1563CF24">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2.05E-03|55</w:t>
            </w:r>
          </w:p>
        </w:tc>
        <w:tc>
          <w:tcPr>
            <w:tcW w:w="996" w:type="dxa"/>
            <w:vAlign w:val="top"/>
          </w:tcPr>
          <w:p w14:paraId="43A33F2A">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0D19902">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71FDC7E">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4083D0A">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1AEB077">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99AC5A6">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923D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0EF2000D">
            <w:pPr>
              <w:pStyle w:val="6"/>
              <w:spacing w:before="51" w:line="219" w:lineRule="auto"/>
              <w:ind w:left="543"/>
              <w:rPr>
                <w:sz w:val="18"/>
                <w:szCs w:val="18"/>
              </w:rPr>
            </w:pPr>
            <w:r>
              <w:rPr>
                <w:spacing w:val="-3"/>
                <w:sz w:val="18"/>
                <w:szCs w:val="18"/>
              </w:rPr>
              <w:t>上乡村</w:t>
            </w:r>
          </w:p>
        </w:tc>
        <w:tc>
          <w:tcPr>
            <w:tcW w:w="1731" w:type="dxa"/>
            <w:vAlign w:val="top"/>
          </w:tcPr>
          <w:p w14:paraId="6E5DFC3E">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18E-03|50</w:t>
            </w:r>
          </w:p>
        </w:tc>
        <w:tc>
          <w:tcPr>
            <w:tcW w:w="996" w:type="dxa"/>
            <w:vAlign w:val="top"/>
          </w:tcPr>
          <w:p w14:paraId="4E7310BD">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75F4407">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B3F4A28">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D4EB81F">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229701F">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DD34D33">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C11D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48E6F4C">
            <w:pPr>
              <w:pStyle w:val="6"/>
              <w:spacing w:before="54" w:line="219" w:lineRule="auto"/>
              <w:ind w:left="541"/>
              <w:rPr>
                <w:sz w:val="18"/>
                <w:szCs w:val="18"/>
              </w:rPr>
            </w:pPr>
            <w:r>
              <w:rPr>
                <w:spacing w:val="-3"/>
                <w:sz w:val="18"/>
                <w:szCs w:val="18"/>
              </w:rPr>
              <w:t>港墘村</w:t>
            </w:r>
          </w:p>
        </w:tc>
        <w:tc>
          <w:tcPr>
            <w:tcW w:w="1731" w:type="dxa"/>
            <w:vAlign w:val="top"/>
          </w:tcPr>
          <w:p w14:paraId="0125ED6F">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2.09E-03|50</w:t>
            </w:r>
          </w:p>
        </w:tc>
        <w:tc>
          <w:tcPr>
            <w:tcW w:w="996" w:type="dxa"/>
            <w:vAlign w:val="top"/>
          </w:tcPr>
          <w:p w14:paraId="7B67DE1A">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BDBC590">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09CC778">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674BB10">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51174E0">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A6D87F0">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642F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B75B537">
            <w:pPr>
              <w:pStyle w:val="6"/>
              <w:spacing w:before="53" w:line="219" w:lineRule="auto"/>
              <w:ind w:left="543"/>
              <w:rPr>
                <w:sz w:val="18"/>
                <w:szCs w:val="18"/>
              </w:rPr>
            </w:pPr>
            <w:r>
              <w:rPr>
                <w:spacing w:val="-3"/>
                <w:sz w:val="18"/>
                <w:szCs w:val="18"/>
              </w:rPr>
              <w:t>罗东村</w:t>
            </w:r>
          </w:p>
        </w:tc>
        <w:tc>
          <w:tcPr>
            <w:tcW w:w="1731" w:type="dxa"/>
            <w:vAlign w:val="top"/>
          </w:tcPr>
          <w:p w14:paraId="60B3BB89">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4.72E-03|25</w:t>
            </w:r>
          </w:p>
        </w:tc>
        <w:tc>
          <w:tcPr>
            <w:tcW w:w="996" w:type="dxa"/>
            <w:vAlign w:val="top"/>
          </w:tcPr>
          <w:p w14:paraId="74F8D53E">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FB34A97">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2DDEB90">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0E7525B">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C3C4114">
            <w:pPr>
              <w:spacing w:before="82"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4.72E-03</w:t>
            </w:r>
          </w:p>
        </w:tc>
        <w:tc>
          <w:tcPr>
            <w:tcW w:w="927" w:type="dxa"/>
            <w:vAlign w:val="top"/>
          </w:tcPr>
          <w:p w14:paraId="00EADFC5">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4.72E-03</w:t>
            </w:r>
          </w:p>
        </w:tc>
      </w:tr>
      <w:tr w14:paraId="721B5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544CB72">
            <w:pPr>
              <w:pStyle w:val="6"/>
              <w:spacing w:before="53" w:line="219" w:lineRule="auto"/>
              <w:ind w:left="363"/>
              <w:rPr>
                <w:sz w:val="18"/>
                <w:szCs w:val="18"/>
              </w:rPr>
            </w:pPr>
            <w:r>
              <w:rPr>
                <w:spacing w:val="-2"/>
                <w:sz w:val="18"/>
                <w:szCs w:val="18"/>
              </w:rPr>
              <w:t>罗北新乡村</w:t>
            </w:r>
          </w:p>
        </w:tc>
        <w:tc>
          <w:tcPr>
            <w:tcW w:w="1731" w:type="dxa"/>
            <w:vAlign w:val="top"/>
          </w:tcPr>
          <w:p w14:paraId="7039394E">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1.49E-03|60</w:t>
            </w:r>
          </w:p>
        </w:tc>
        <w:tc>
          <w:tcPr>
            <w:tcW w:w="996" w:type="dxa"/>
            <w:vAlign w:val="top"/>
          </w:tcPr>
          <w:p w14:paraId="1DDF4B96">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9979730">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7DAF8B0">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D7B5D02">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6C00D0E">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47A05AE">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691B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158DAD7">
            <w:pPr>
              <w:pStyle w:val="6"/>
              <w:spacing w:before="52" w:line="219" w:lineRule="auto"/>
              <w:ind w:left="542"/>
              <w:rPr>
                <w:sz w:val="18"/>
                <w:szCs w:val="18"/>
              </w:rPr>
            </w:pPr>
            <w:r>
              <w:rPr>
                <w:spacing w:val="-3"/>
                <w:sz w:val="18"/>
                <w:szCs w:val="18"/>
              </w:rPr>
              <w:t>长湖村</w:t>
            </w:r>
          </w:p>
        </w:tc>
        <w:tc>
          <w:tcPr>
            <w:tcW w:w="1731" w:type="dxa"/>
            <w:vAlign w:val="top"/>
          </w:tcPr>
          <w:p w14:paraId="0A1F4B1C">
            <w:pPr>
              <w:spacing w:before="81"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1.97E-03|55</w:t>
            </w:r>
          </w:p>
        </w:tc>
        <w:tc>
          <w:tcPr>
            <w:tcW w:w="996" w:type="dxa"/>
            <w:vAlign w:val="top"/>
          </w:tcPr>
          <w:p w14:paraId="39478FF1">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4D6A7A2">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E4535B1">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5CEB279">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3574A81">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DA44663">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EB76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DAFD282">
            <w:pPr>
              <w:pStyle w:val="6"/>
              <w:spacing w:before="52" w:line="219" w:lineRule="auto"/>
              <w:ind w:left="544"/>
              <w:rPr>
                <w:sz w:val="18"/>
                <w:szCs w:val="18"/>
              </w:rPr>
            </w:pPr>
            <w:r>
              <w:rPr>
                <w:spacing w:val="-4"/>
                <w:sz w:val="18"/>
                <w:szCs w:val="18"/>
              </w:rPr>
              <w:t>炉洋村</w:t>
            </w:r>
          </w:p>
        </w:tc>
        <w:tc>
          <w:tcPr>
            <w:tcW w:w="1731" w:type="dxa"/>
            <w:vAlign w:val="top"/>
          </w:tcPr>
          <w:p w14:paraId="2BB51631">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1.59E-03|60</w:t>
            </w:r>
          </w:p>
        </w:tc>
        <w:tc>
          <w:tcPr>
            <w:tcW w:w="996" w:type="dxa"/>
            <w:vAlign w:val="top"/>
          </w:tcPr>
          <w:p w14:paraId="45A9149C">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8FB1B2A">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5B11114">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FB65963">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B2089F2">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99D9649">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731A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B2D0E83">
            <w:pPr>
              <w:pStyle w:val="6"/>
              <w:spacing w:before="52" w:line="219" w:lineRule="auto"/>
              <w:ind w:left="544"/>
              <w:rPr>
                <w:sz w:val="18"/>
                <w:szCs w:val="18"/>
              </w:rPr>
            </w:pPr>
            <w:r>
              <w:rPr>
                <w:spacing w:val="-4"/>
                <w:sz w:val="18"/>
                <w:szCs w:val="18"/>
              </w:rPr>
              <w:t>南笏村</w:t>
            </w:r>
          </w:p>
        </w:tc>
        <w:tc>
          <w:tcPr>
            <w:tcW w:w="1731" w:type="dxa"/>
            <w:vAlign w:val="top"/>
          </w:tcPr>
          <w:p w14:paraId="40F02EF9">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1.67E-03|60</w:t>
            </w:r>
          </w:p>
        </w:tc>
        <w:tc>
          <w:tcPr>
            <w:tcW w:w="996" w:type="dxa"/>
            <w:vAlign w:val="top"/>
          </w:tcPr>
          <w:p w14:paraId="354ABCC5">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475B1D5">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5BA2348">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AA1EB5F">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9A37DC1">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C8EFC86">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D071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6B0EA0B">
            <w:pPr>
              <w:pStyle w:val="6"/>
              <w:spacing w:before="54" w:line="219" w:lineRule="auto"/>
              <w:ind w:left="542"/>
              <w:rPr>
                <w:sz w:val="18"/>
                <w:szCs w:val="18"/>
              </w:rPr>
            </w:pPr>
            <w:r>
              <w:rPr>
                <w:spacing w:val="-3"/>
                <w:sz w:val="18"/>
                <w:szCs w:val="18"/>
              </w:rPr>
              <w:t>新厝村</w:t>
            </w:r>
          </w:p>
        </w:tc>
        <w:tc>
          <w:tcPr>
            <w:tcW w:w="1731" w:type="dxa"/>
            <w:vAlign w:val="top"/>
          </w:tcPr>
          <w:p w14:paraId="19918104">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1.29E-03|60</w:t>
            </w:r>
          </w:p>
        </w:tc>
        <w:tc>
          <w:tcPr>
            <w:tcW w:w="996" w:type="dxa"/>
            <w:vAlign w:val="top"/>
          </w:tcPr>
          <w:p w14:paraId="137AC4C2">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417D460">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D7EEE2A">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2261D52">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9CA04C2">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8FC56A7">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F0AE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9774EE5">
            <w:pPr>
              <w:pStyle w:val="6"/>
              <w:spacing w:before="53" w:line="219" w:lineRule="auto"/>
              <w:ind w:left="543"/>
              <w:rPr>
                <w:sz w:val="18"/>
                <w:szCs w:val="18"/>
              </w:rPr>
            </w:pPr>
            <w:r>
              <w:rPr>
                <w:spacing w:val="-3"/>
                <w:sz w:val="18"/>
                <w:szCs w:val="18"/>
              </w:rPr>
              <w:t>上达村</w:t>
            </w:r>
          </w:p>
        </w:tc>
        <w:tc>
          <w:tcPr>
            <w:tcW w:w="1731" w:type="dxa"/>
            <w:vAlign w:val="top"/>
          </w:tcPr>
          <w:p w14:paraId="4804B1A9">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2.00E-03|55</w:t>
            </w:r>
          </w:p>
        </w:tc>
        <w:tc>
          <w:tcPr>
            <w:tcW w:w="996" w:type="dxa"/>
            <w:vAlign w:val="top"/>
          </w:tcPr>
          <w:p w14:paraId="69B1EF88">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F4C58B6">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9C42B3C">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83F2564">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A93D05B">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D40FB52">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1146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70B7E1C">
            <w:pPr>
              <w:pStyle w:val="6"/>
              <w:spacing w:before="53" w:line="219" w:lineRule="auto"/>
              <w:ind w:left="547"/>
              <w:rPr>
                <w:sz w:val="18"/>
                <w:szCs w:val="18"/>
              </w:rPr>
            </w:pPr>
            <w:r>
              <w:rPr>
                <w:spacing w:val="-5"/>
                <w:sz w:val="18"/>
                <w:szCs w:val="18"/>
              </w:rPr>
              <w:t>下达村</w:t>
            </w:r>
          </w:p>
        </w:tc>
        <w:tc>
          <w:tcPr>
            <w:tcW w:w="1731" w:type="dxa"/>
            <w:vAlign w:val="top"/>
          </w:tcPr>
          <w:p w14:paraId="6D574AED">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1.62E-03|60</w:t>
            </w:r>
          </w:p>
        </w:tc>
        <w:tc>
          <w:tcPr>
            <w:tcW w:w="996" w:type="dxa"/>
            <w:vAlign w:val="top"/>
          </w:tcPr>
          <w:p w14:paraId="254FA280">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6049881">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E97F664">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E581A99">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801C26D">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FF06D3F">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D999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944875F">
            <w:pPr>
              <w:pStyle w:val="6"/>
              <w:spacing w:before="52" w:line="219" w:lineRule="auto"/>
              <w:ind w:left="541"/>
              <w:rPr>
                <w:sz w:val="18"/>
                <w:szCs w:val="18"/>
              </w:rPr>
            </w:pPr>
            <w:r>
              <w:rPr>
                <w:spacing w:val="-3"/>
                <w:sz w:val="18"/>
                <w:szCs w:val="18"/>
              </w:rPr>
              <w:t>仓前村</w:t>
            </w:r>
          </w:p>
        </w:tc>
        <w:tc>
          <w:tcPr>
            <w:tcW w:w="1731" w:type="dxa"/>
            <w:vAlign w:val="top"/>
          </w:tcPr>
          <w:p w14:paraId="2C1C4421">
            <w:pPr>
              <w:spacing w:before="81"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2.49E-03|45</w:t>
            </w:r>
          </w:p>
        </w:tc>
        <w:tc>
          <w:tcPr>
            <w:tcW w:w="996" w:type="dxa"/>
            <w:vAlign w:val="top"/>
          </w:tcPr>
          <w:p w14:paraId="08BCD3DD">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F2F846E">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530BDC3">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8B0AC4D">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08E7F49">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794B20C">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AE10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0A4B3AC">
            <w:pPr>
              <w:pStyle w:val="6"/>
              <w:spacing w:before="52" w:line="219" w:lineRule="auto"/>
              <w:ind w:left="553"/>
              <w:rPr>
                <w:sz w:val="18"/>
                <w:szCs w:val="18"/>
              </w:rPr>
            </w:pPr>
            <w:r>
              <w:rPr>
                <w:spacing w:val="-7"/>
                <w:sz w:val="18"/>
                <w:szCs w:val="18"/>
              </w:rPr>
              <w:t>陇东村</w:t>
            </w:r>
          </w:p>
        </w:tc>
        <w:tc>
          <w:tcPr>
            <w:tcW w:w="1731" w:type="dxa"/>
            <w:vAlign w:val="top"/>
          </w:tcPr>
          <w:p w14:paraId="4EECA890">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1.71E-03|60</w:t>
            </w:r>
          </w:p>
        </w:tc>
        <w:tc>
          <w:tcPr>
            <w:tcW w:w="996" w:type="dxa"/>
            <w:vAlign w:val="top"/>
          </w:tcPr>
          <w:p w14:paraId="38535F33">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ADA5733">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B05E6A7">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7C686CE">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8E05650">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EDC24B6">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FFD7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BBAD4BD">
            <w:pPr>
              <w:pStyle w:val="6"/>
              <w:spacing w:before="52" w:line="219" w:lineRule="auto"/>
              <w:ind w:left="549"/>
              <w:rPr>
                <w:sz w:val="18"/>
                <w:szCs w:val="18"/>
              </w:rPr>
            </w:pPr>
            <w:r>
              <w:rPr>
                <w:spacing w:val="-5"/>
                <w:sz w:val="18"/>
                <w:szCs w:val="18"/>
              </w:rPr>
              <w:t>笏雅村</w:t>
            </w:r>
          </w:p>
        </w:tc>
        <w:tc>
          <w:tcPr>
            <w:tcW w:w="1731" w:type="dxa"/>
            <w:vAlign w:val="top"/>
          </w:tcPr>
          <w:p w14:paraId="5CF5B30A">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1.66E-03|60</w:t>
            </w:r>
          </w:p>
        </w:tc>
        <w:tc>
          <w:tcPr>
            <w:tcW w:w="996" w:type="dxa"/>
            <w:vAlign w:val="top"/>
          </w:tcPr>
          <w:p w14:paraId="6BF61017">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4AA4F5">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AEFC6A7">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4484D88">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584C14D">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2182BE1">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4640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28813BC">
            <w:pPr>
              <w:pStyle w:val="6"/>
              <w:spacing w:before="54" w:line="219" w:lineRule="auto"/>
              <w:ind w:left="548"/>
              <w:rPr>
                <w:sz w:val="18"/>
                <w:szCs w:val="18"/>
              </w:rPr>
            </w:pPr>
            <w:r>
              <w:rPr>
                <w:spacing w:val="-5"/>
                <w:sz w:val="18"/>
                <w:szCs w:val="18"/>
              </w:rPr>
              <w:t>东新村</w:t>
            </w:r>
          </w:p>
        </w:tc>
        <w:tc>
          <w:tcPr>
            <w:tcW w:w="1731" w:type="dxa"/>
            <w:vAlign w:val="top"/>
          </w:tcPr>
          <w:p w14:paraId="491A5DB4">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1.53E-03|60</w:t>
            </w:r>
          </w:p>
        </w:tc>
        <w:tc>
          <w:tcPr>
            <w:tcW w:w="996" w:type="dxa"/>
            <w:vAlign w:val="top"/>
          </w:tcPr>
          <w:p w14:paraId="0F73F951">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ADC8A0B">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08E871E">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7BADCA3">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960F768">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6E1E52B">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BDEF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6EC2F16">
            <w:pPr>
              <w:pStyle w:val="6"/>
              <w:spacing w:before="53" w:line="219" w:lineRule="auto"/>
              <w:ind w:left="542"/>
              <w:rPr>
                <w:sz w:val="18"/>
                <w:szCs w:val="18"/>
              </w:rPr>
            </w:pPr>
            <w:r>
              <w:rPr>
                <w:spacing w:val="-3"/>
                <w:sz w:val="18"/>
                <w:szCs w:val="18"/>
              </w:rPr>
              <w:t>凤山村</w:t>
            </w:r>
          </w:p>
        </w:tc>
        <w:tc>
          <w:tcPr>
            <w:tcW w:w="1731" w:type="dxa"/>
            <w:vAlign w:val="top"/>
          </w:tcPr>
          <w:p w14:paraId="11C9D9BA">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9.39E-03|15</w:t>
            </w:r>
          </w:p>
        </w:tc>
        <w:tc>
          <w:tcPr>
            <w:tcW w:w="996" w:type="dxa"/>
            <w:vAlign w:val="top"/>
          </w:tcPr>
          <w:p w14:paraId="766F1C07">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D9674FB">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3B5E69C">
            <w:pPr>
              <w:spacing w:before="8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9.39E-03</w:t>
            </w:r>
          </w:p>
        </w:tc>
        <w:tc>
          <w:tcPr>
            <w:tcW w:w="938" w:type="dxa"/>
            <w:vAlign w:val="top"/>
          </w:tcPr>
          <w:p w14:paraId="7F608AAD">
            <w:pPr>
              <w:spacing w:before="82"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9.39E-03</w:t>
            </w:r>
          </w:p>
        </w:tc>
        <w:tc>
          <w:tcPr>
            <w:tcW w:w="923" w:type="dxa"/>
            <w:vAlign w:val="top"/>
          </w:tcPr>
          <w:p w14:paraId="0212D1E7">
            <w:pPr>
              <w:spacing w:before="8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9.39E-03</w:t>
            </w:r>
          </w:p>
        </w:tc>
        <w:tc>
          <w:tcPr>
            <w:tcW w:w="927" w:type="dxa"/>
            <w:vAlign w:val="top"/>
          </w:tcPr>
          <w:p w14:paraId="169DCEA2">
            <w:pPr>
              <w:spacing w:before="8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9.39E-03</w:t>
            </w:r>
          </w:p>
        </w:tc>
      </w:tr>
      <w:tr w14:paraId="46A69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2D6DF83">
            <w:pPr>
              <w:pStyle w:val="6"/>
              <w:spacing w:before="53" w:line="219" w:lineRule="auto"/>
              <w:ind w:left="543"/>
              <w:rPr>
                <w:sz w:val="18"/>
                <w:szCs w:val="18"/>
              </w:rPr>
            </w:pPr>
            <w:r>
              <w:rPr>
                <w:spacing w:val="-3"/>
                <w:sz w:val="18"/>
                <w:szCs w:val="18"/>
              </w:rPr>
              <w:t>可塘镇</w:t>
            </w:r>
          </w:p>
        </w:tc>
        <w:tc>
          <w:tcPr>
            <w:tcW w:w="1731" w:type="dxa"/>
            <w:vAlign w:val="top"/>
          </w:tcPr>
          <w:p w14:paraId="23E2008C">
            <w:pPr>
              <w:spacing w:before="79" w:line="192"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2.80E+01|5</w:t>
            </w:r>
          </w:p>
        </w:tc>
        <w:tc>
          <w:tcPr>
            <w:tcW w:w="996" w:type="dxa"/>
            <w:vAlign w:val="top"/>
          </w:tcPr>
          <w:p w14:paraId="17F21CBF">
            <w:pPr>
              <w:spacing w:before="82"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2.80E+01</w:t>
            </w:r>
          </w:p>
        </w:tc>
        <w:tc>
          <w:tcPr>
            <w:tcW w:w="938" w:type="dxa"/>
            <w:vAlign w:val="top"/>
          </w:tcPr>
          <w:p w14:paraId="29CEC529">
            <w:pPr>
              <w:spacing w:before="82"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2.80E+01</w:t>
            </w:r>
          </w:p>
        </w:tc>
        <w:tc>
          <w:tcPr>
            <w:tcW w:w="997" w:type="dxa"/>
            <w:vAlign w:val="top"/>
          </w:tcPr>
          <w:p w14:paraId="44C06539">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2.80E+01</w:t>
            </w:r>
          </w:p>
        </w:tc>
        <w:tc>
          <w:tcPr>
            <w:tcW w:w="938" w:type="dxa"/>
            <w:vAlign w:val="top"/>
          </w:tcPr>
          <w:p w14:paraId="307738FD">
            <w:pPr>
              <w:spacing w:before="82"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2.80E+01</w:t>
            </w:r>
          </w:p>
        </w:tc>
        <w:tc>
          <w:tcPr>
            <w:tcW w:w="923" w:type="dxa"/>
            <w:vAlign w:val="top"/>
          </w:tcPr>
          <w:p w14:paraId="1441A028">
            <w:pPr>
              <w:spacing w:before="82" w:line="188"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2.80E+01</w:t>
            </w:r>
          </w:p>
        </w:tc>
        <w:tc>
          <w:tcPr>
            <w:tcW w:w="927" w:type="dxa"/>
            <w:vAlign w:val="top"/>
          </w:tcPr>
          <w:p w14:paraId="4EC76B7A">
            <w:pPr>
              <w:spacing w:before="82" w:line="188" w:lineRule="auto"/>
              <w:ind w:left="1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2.80E+01</w:t>
            </w:r>
          </w:p>
        </w:tc>
      </w:tr>
      <w:tr w14:paraId="547A8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28E9A9B">
            <w:pPr>
              <w:pStyle w:val="6"/>
              <w:spacing w:before="52" w:line="219" w:lineRule="auto"/>
              <w:ind w:left="548"/>
              <w:rPr>
                <w:sz w:val="18"/>
                <w:szCs w:val="18"/>
              </w:rPr>
            </w:pPr>
            <w:r>
              <w:rPr>
                <w:spacing w:val="-5"/>
                <w:sz w:val="18"/>
                <w:szCs w:val="18"/>
              </w:rPr>
              <w:t>东溪村</w:t>
            </w:r>
          </w:p>
        </w:tc>
        <w:tc>
          <w:tcPr>
            <w:tcW w:w="1731" w:type="dxa"/>
            <w:vAlign w:val="top"/>
          </w:tcPr>
          <w:p w14:paraId="6A8F53B6">
            <w:pPr>
              <w:spacing w:before="81"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2.05E-03|55</w:t>
            </w:r>
          </w:p>
        </w:tc>
        <w:tc>
          <w:tcPr>
            <w:tcW w:w="996" w:type="dxa"/>
            <w:vAlign w:val="top"/>
          </w:tcPr>
          <w:p w14:paraId="2887D2BF">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DDC3085">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48C031B">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B72B4EB">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3B2F588">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766F6E7">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828A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614" w:type="dxa"/>
            <w:vAlign w:val="top"/>
          </w:tcPr>
          <w:p w14:paraId="4EE23355">
            <w:pPr>
              <w:pStyle w:val="6"/>
              <w:spacing w:before="52" w:line="219" w:lineRule="auto"/>
              <w:ind w:left="453"/>
              <w:rPr>
                <w:sz w:val="18"/>
                <w:szCs w:val="18"/>
              </w:rPr>
            </w:pPr>
            <w:r>
              <w:rPr>
                <w:spacing w:val="-3"/>
                <w:sz w:val="18"/>
                <w:szCs w:val="18"/>
              </w:rPr>
              <w:t>君硕围村</w:t>
            </w:r>
          </w:p>
        </w:tc>
        <w:tc>
          <w:tcPr>
            <w:tcW w:w="1731" w:type="dxa"/>
            <w:vAlign w:val="top"/>
          </w:tcPr>
          <w:p w14:paraId="155C501B">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4.02E-03|25</w:t>
            </w:r>
          </w:p>
        </w:tc>
        <w:tc>
          <w:tcPr>
            <w:tcW w:w="996" w:type="dxa"/>
            <w:vAlign w:val="top"/>
          </w:tcPr>
          <w:p w14:paraId="7FD74434">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E3BC9D9">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01298B8">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38C4782">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19B427F">
            <w:pPr>
              <w:spacing w:before="84"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4.02E-03</w:t>
            </w:r>
          </w:p>
        </w:tc>
        <w:tc>
          <w:tcPr>
            <w:tcW w:w="927" w:type="dxa"/>
            <w:vAlign w:val="top"/>
          </w:tcPr>
          <w:p w14:paraId="79A41061">
            <w:pPr>
              <w:spacing w:before="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4.02E-03</w:t>
            </w:r>
          </w:p>
        </w:tc>
      </w:tr>
    </w:tbl>
    <w:p w14:paraId="5AE1BF13">
      <w:pPr>
        <w:rPr>
          <w:rFonts w:ascii="Arial"/>
          <w:sz w:val="21"/>
        </w:rPr>
      </w:pPr>
    </w:p>
    <w:p w14:paraId="291DE7F1">
      <w:pPr>
        <w:rPr>
          <w:rFonts w:ascii="Arial" w:hAnsi="Arial" w:eastAsia="Arial" w:cs="Arial"/>
          <w:sz w:val="21"/>
          <w:szCs w:val="21"/>
        </w:rPr>
        <w:sectPr>
          <w:footerReference r:id="rId152" w:type="default"/>
          <w:pgSz w:w="11906" w:h="16839"/>
          <w:pgMar w:top="400" w:right="1418" w:bottom="1127" w:left="1418" w:header="0" w:footer="965" w:gutter="0"/>
          <w:cols w:space="720" w:num="1"/>
        </w:sectPr>
      </w:pPr>
    </w:p>
    <w:p w14:paraId="1E970F12">
      <w:pPr>
        <w:spacing w:before="19"/>
      </w:pPr>
    </w:p>
    <w:p w14:paraId="26C700D0">
      <w:pPr>
        <w:spacing w:before="19"/>
      </w:pPr>
    </w:p>
    <w:p w14:paraId="52D460E9">
      <w:pPr>
        <w:spacing w:before="19"/>
      </w:pPr>
    </w:p>
    <w:p w14:paraId="52FB5F60">
      <w:pPr>
        <w:spacing w:before="18"/>
      </w:pPr>
    </w:p>
    <w:p w14:paraId="18B74C41">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0DBA2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20886F1B">
            <w:pPr>
              <w:pStyle w:val="6"/>
              <w:spacing w:before="52" w:line="219" w:lineRule="auto"/>
              <w:ind w:left="541"/>
              <w:rPr>
                <w:sz w:val="18"/>
                <w:szCs w:val="18"/>
              </w:rPr>
            </w:pPr>
            <w:r>
              <w:rPr>
                <w:spacing w:val="-3"/>
                <w:sz w:val="18"/>
                <w:szCs w:val="18"/>
              </w:rPr>
              <w:t>低港村</w:t>
            </w:r>
          </w:p>
        </w:tc>
        <w:tc>
          <w:tcPr>
            <w:tcW w:w="1731" w:type="dxa"/>
            <w:vAlign w:val="top"/>
          </w:tcPr>
          <w:p w14:paraId="2D135D4A">
            <w:pPr>
              <w:spacing w:before="81"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3.80E-03|25</w:t>
            </w:r>
          </w:p>
        </w:tc>
        <w:tc>
          <w:tcPr>
            <w:tcW w:w="996" w:type="dxa"/>
            <w:vAlign w:val="top"/>
          </w:tcPr>
          <w:p w14:paraId="642D94F6">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E57E64C">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408F181">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75F5A5C">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4B6600B">
            <w:pPr>
              <w:spacing w:before="84"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3.80E-03</w:t>
            </w:r>
          </w:p>
        </w:tc>
        <w:tc>
          <w:tcPr>
            <w:tcW w:w="927" w:type="dxa"/>
            <w:vAlign w:val="top"/>
          </w:tcPr>
          <w:p w14:paraId="507D953D">
            <w:pPr>
              <w:spacing w:before="84"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3.80E-03</w:t>
            </w:r>
          </w:p>
        </w:tc>
      </w:tr>
      <w:tr w14:paraId="3911D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333E0D7">
            <w:pPr>
              <w:pStyle w:val="6"/>
              <w:spacing w:before="48" w:line="219" w:lineRule="auto"/>
              <w:ind w:left="471"/>
              <w:rPr>
                <w:sz w:val="18"/>
                <w:szCs w:val="18"/>
              </w:rPr>
            </w:pPr>
            <w:r>
              <w:rPr>
                <w:spacing w:val="-7"/>
                <w:sz w:val="18"/>
                <w:szCs w:val="18"/>
              </w:rPr>
              <w:t>尚仁家村</w:t>
            </w:r>
          </w:p>
        </w:tc>
        <w:tc>
          <w:tcPr>
            <w:tcW w:w="1731" w:type="dxa"/>
            <w:vAlign w:val="top"/>
          </w:tcPr>
          <w:p w14:paraId="1D3994F1">
            <w:pPr>
              <w:spacing w:before="76" w:line="192"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8.79E-03|15</w:t>
            </w:r>
          </w:p>
        </w:tc>
        <w:tc>
          <w:tcPr>
            <w:tcW w:w="996" w:type="dxa"/>
            <w:vAlign w:val="top"/>
          </w:tcPr>
          <w:p w14:paraId="554C52D6">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6927C14">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AEB0552">
            <w:pPr>
              <w:spacing w:before="80" w:line="188" w:lineRule="auto"/>
              <w:ind w:left="1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8.79E-03</w:t>
            </w:r>
          </w:p>
        </w:tc>
        <w:tc>
          <w:tcPr>
            <w:tcW w:w="938" w:type="dxa"/>
            <w:vAlign w:val="top"/>
          </w:tcPr>
          <w:p w14:paraId="430AF87B">
            <w:pPr>
              <w:spacing w:before="80" w:line="188"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8.79E-03</w:t>
            </w:r>
          </w:p>
        </w:tc>
        <w:tc>
          <w:tcPr>
            <w:tcW w:w="923" w:type="dxa"/>
            <w:vAlign w:val="top"/>
          </w:tcPr>
          <w:p w14:paraId="4A166944">
            <w:pPr>
              <w:spacing w:before="80"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8.79E-03</w:t>
            </w:r>
          </w:p>
        </w:tc>
        <w:tc>
          <w:tcPr>
            <w:tcW w:w="927" w:type="dxa"/>
            <w:vAlign w:val="top"/>
          </w:tcPr>
          <w:p w14:paraId="54AAA1E3">
            <w:pPr>
              <w:spacing w:before="80"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8.79E-03</w:t>
            </w:r>
          </w:p>
        </w:tc>
      </w:tr>
      <w:tr w14:paraId="6BDC3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9B37194">
            <w:pPr>
              <w:pStyle w:val="6"/>
              <w:spacing w:before="48" w:line="219" w:lineRule="auto"/>
              <w:ind w:left="451"/>
              <w:rPr>
                <w:sz w:val="18"/>
                <w:szCs w:val="18"/>
              </w:rPr>
            </w:pPr>
            <w:r>
              <w:rPr>
                <w:spacing w:val="-2"/>
                <w:sz w:val="18"/>
                <w:szCs w:val="18"/>
              </w:rPr>
              <w:t>埔中央村</w:t>
            </w:r>
          </w:p>
        </w:tc>
        <w:tc>
          <w:tcPr>
            <w:tcW w:w="1731" w:type="dxa"/>
            <w:vAlign w:val="top"/>
          </w:tcPr>
          <w:p w14:paraId="3A1A3BE5">
            <w:pPr>
              <w:spacing w:before="76"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6.21E-03|20</w:t>
            </w:r>
          </w:p>
        </w:tc>
        <w:tc>
          <w:tcPr>
            <w:tcW w:w="996" w:type="dxa"/>
            <w:vAlign w:val="top"/>
          </w:tcPr>
          <w:p w14:paraId="4DCCF7EF">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FB5B78B">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02F68C5">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49A3911">
            <w:pPr>
              <w:spacing w:before="79" w:line="188"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6.21E-03</w:t>
            </w:r>
          </w:p>
        </w:tc>
        <w:tc>
          <w:tcPr>
            <w:tcW w:w="923" w:type="dxa"/>
            <w:vAlign w:val="top"/>
          </w:tcPr>
          <w:p w14:paraId="001AA75E">
            <w:pPr>
              <w:spacing w:before="79"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6.21E-03</w:t>
            </w:r>
          </w:p>
        </w:tc>
        <w:tc>
          <w:tcPr>
            <w:tcW w:w="927" w:type="dxa"/>
            <w:vAlign w:val="top"/>
          </w:tcPr>
          <w:p w14:paraId="3EA20D09">
            <w:pPr>
              <w:spacing w:before="79"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6.21E-03</w:t>
            </w:r>
          </w:p>
        </w:tc>
      </w:tr>
      <w:tr w14:paraId="03CF5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E7E76BE">
            <w:pPr>
              <w:pStyle w:val="6"/>
              <w:spacing w:before="51" w:line="220" w:lineRule="auto"/>
              <w:ind w:left="542"/>
              <w:rPr>
                <w:sz w:val="18"/>
                <w:szCs w:val="18"/>
              </w:rPr>
            </w:pPr>
            <w:r>
              <w:rPr>
                <w:spacing w:val="-3"/>
                <w:sz w:val="18"/>
                <w:szCs w:val="18"/>
              </w:rPr>
              <w:t>庄厝围</w:t>
            </w:r>
          </w:p>
        </w:tc>
        <w:tc>
          <w:tcPr>
            <w:tcW w:w="1731" w:type="dxa"/>
            <w:vAlign w:val="top"/>
          </w:tcPr>
          <w:p w14:paraId="2537CB0F">
            <w:pPr>
              <w:spacing w:before="76"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2.52E-03|45</w:t>
            </w:r>
          </w:p>
        </w:tc>
        <w:tc>
          <w:tcPr>
            <w:tcW w:w="996" w:type="dxa"/>
            <w:vAlign w:val="top"/>
          </w:tcPr>
          <w:p w14:paraId="17C83382">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CCAFF90">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F0218C8">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B19F6EF">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1A9B8AB">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F839728">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B18D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811F69F">
            <w:pPr>
              <w:pStyle w:val="6"/>
              <w:spacing w:before="50" w:line="219" w:lineRule="auto"/>
              <w:ind w:left="545"/>
              <w:rPr>
                <w:sz w:val="18"/>
                <w:szCs w:val="18"/>
              </w:rPr>
            </w:pPr>
            <w:r>
              <w:rPr>
                <w:spacing w:val="-4"/>
                <w:sz w:val="18"/>
                <w:szCs w:val="18"/>
              </w:rPr>
              <w:t>凯南村</w:t>
            </w:r>
          </w:p>
        </w:tc>
        <w:tc>
          <w:tcPr>
            <w:tcW w:w="1731" w:type="dxa"/>
            <w:vAlign w:val="top"/>
          </w:tcPr>
          <w:p w14:paraId="4CF7FD90">
            <w:pPr>
              <w:spacing w:before="76"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17E-03|50</w:t>
            </w:r>
          </w:p>
        </w:tc>
        <w:tc>
          <w:tcPr>
            <w:tcW w:w="996" w:type="dxa"/>
            <w:vAlign w:val="top"/>
          </w:tcPr>
          <w:p w14:paraId="0590D62C">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DE46F92">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36D8A43">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483D04E">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9802E9C">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5E215C3">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F40D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1068C9A">
            <w:pPr>
              <w:pStyle w:val="6"/>
              <w:spacing w:before="50" w:line="219" w:lineRule="auto"/>
              <w:ind w:left="547"/>
              <w:rPr>
                <w:sz w:val="18"/>
                <w:szCs w:val="18"/>
              </w:rPr>
            </w:pPr>
            <w:r>
              <w:rPr>
                <w:spacing w:val="-5"/>
                <w:sz w:val="18"/>
                <w:szCs w:val="18"/>
              </w:rPr>
              <w:t>下许村</w:t>
            </w:r>
          </w:p>
        </w:tc>
        <w:tc>
          <w:tcPr>
            <w:tcW w:w="1731" w:type="dxa"/>
            <w:vAlign w:val="top"/>
          </w:tcPr>
          <w:p w14:paraId="3B52E125">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1.74E-03|60</w:t>
            </w:r>
          </w:p>
        </w:tc>
        <w:tc>
          <w:tcPr>
            <w:tcW w:w="996" w:type="dxa"/>
            <w:vAlign w:val="top"/>
          </w:tcPr>
          <w:p w14:paraId="52191D95">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131265F">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823CAF7">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FFE351B">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6BC2211">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4F1085A">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F081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2942757">
            <w:pPr>
              <w:pStyle w:val="6"/>
              <w:spacing w:before="50" w:line="219" w:lineRule="auto"/>
              <w:ind w:left="547"/>
              <w:rPr>
                <w:sz w:val="18"/>
                <w:szCs w:val="18"/>
              </w:rPr>
            </w:pPr>
            <w:r>
              <w:rPr>
                <w:spacing w:val="-5"/>
                <w:sz w:val="18"/>
                <w:szCs w:val="18"/>
              </w:rPr>
              <w:t>赤箖村</w:t>
            </w:r>
          </w:p>
        </w:tc>
        <w:tc>
          <w:tcPr>
            <w:tcW w:w="1731" w:type="dxa"/>
            <w:vAlign w:val="top"/>
          </w:tcPr>
          <w:p w14:paraId="3B5B2FAA">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1.73E-03|60</w:t>
            </w:r>
          </w:p>
        </w:tc>
        <w:tc>
          <w:tcPr>
            <w:tcW w:w="996" w:type="dxa"/>
            <w:vAlign w:val="top"/>
          </w:tcPr>
          <w:p w14:paraId="73C7430C">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FF5443C">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3CF6D5B">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08E0B25">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40AE27C">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1FCA64B">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D923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96DDA39">
            <w:pPr>
              <w:pStyle w:val="6"/>
              <w:spacing w:before="50" w:line="219" w:lineRule="auto"/>
              <w:ind w:left="477"/>
              <w:rPr>
                <w:sz w:val="18"/>
                <w:szCs w:val="18"/>
              </w:rPr>
            </w:pPr>
            <w:r>
              <w:rPr>
                <w:spacing w:val="-9"/>
                <w:sz w:val="18"/>
                <w:szCs w:val="18"/>
              </w:rPr>
              <w:t>白沙新村</w:t>
            </w:r>
          </w:p>
        </w:tc>
        <w:tc>
          <w:tcPr>
            <w:tcW w:w="1731" w:type="dxa"/>
            <w:vAlign w:val="top"/>
          </w:tcPr>
          <w:p w14:paraId="18E17F4B">
            <w:pPr>
              <w:spacing w:before="78"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4.54E-03|25</w:t>
            </w:r>
          </w:p>
        </w:tc>
        <w:tc>
          <w:tcPr>
            <w:tcW w:w="996" w:type="dxa"/>
            <w:vAlign w:val="top"/>
          </w:tcPr>
          <w:p w14:paraId="55CDDB97">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B749D42">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2091A3E">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FB7D01A">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E4D2C7F">
            <w:pPr>
              <w:spacing w:before="82"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4.54E-03</w:t>
            </w:r>
          </w:p>
        </w:tc>
        <w:tc>
          <w:tcPr>
            <w:tcW w:w="927" w:type="dxa"/>
            <w:vAlign w:val="top"/>
          </w:tcPr>
          <w:p w14:paraId="39B18551">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4.54E-03</w:t>
            </w:r>
          </w:p>
        </w:tc>
      </w:tr>
      <w:tr w14:paraId="5F8F8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250BBD1">
            <w:pPr>
              <w:pStyle w:val="6"/>
              <w:spacing w:before="50" w:line="219" w:lineRule="auto"/>
              <w:ind w:left="546"/>
              <w:rPr>
                <w:sz w:val="18"/>
                <w:szCs w:val="18"/>
              </w:rPr>
            </w:pPr>
            <w:r>
              <w:rPr>
                <w:spacing w:val="-4"/>
                <w:sz w:val="18"/>
                <w:szCs w:val="18"/>
              </w:rPr>
              <w:t>西城村</w:t>
            </w:r>
          </w:p>
        </w:tc>
        <w:tc>
          <w:tcPr>
            <w:tcW w:w="1731" w:type="dxa"/>
            <w:vAlign w:val="top"/>
          </w:tcPr>
          <w:p w14:paraId="16398A77">
            <w:pPr>
              <w:spacing w:before="78"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2.88E-03|40</w:t>
            </w:r>
          </w:p>
        </w:tc>
        <w:tc>
          <w:tcPr>
            <w:tcW w:w="996" w:type="dxa"/>
            <w:vAlign w:val="top"/>
          </w:tcPr>
          <w:p w14:paraId="6A073F82">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4E84CCF">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D1CC663">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0B1A43F">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28AFF37">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CE26DFD">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3895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78C07D2">
            <w:pPr>
              <w:pStyle w:val="6"/>
              <w:spacing w:before="52" w:line="219" w:lineRule="auto"/>
              <w:ind w:left="548"/>
              <w:rPr>
                <w:sz w:val="18"/>
                <w:szCs w:val="18"/>
              </w:rPr>
            </w:pPr>
            <w:r>
              <w:rPr>
                <w:spacing w:val="-5"/>
                <w:sz w:val="18"/>
                <w:szCs w:val="18"/>
              </w:rPr>
              <w:t>东湖村</w:t>
            </w:r>
          </w:p>
        </w:tc>
        <w:tc>
          <w:tcPr>
            <w:tcW w:w="1731" w:type="dxa"/>
            <w:vAlign w:val="top"/>
          </w:tcPr>
          <w:p w14:paraId="5813EC0F">
            <w:pPr>
              <w:spacing w:before="77"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1.86E-03|55</w:t>
            </w:r>
          </w:p>
        </w:tc>
        <w:tc>
          <w:tcPr>
            <w:tcW w:w="996" w:type="dxa"/>
            <w:vAlign w:val="top"/>
          </w:tcPr>
          <w:p w14:paraId="746AD0B1">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4F862AB">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66D3C24">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13160AB">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9FE5E55">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FF52DA5">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970F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4B32F092">
            <w:pPr>
              <w:pStyle w:val="6"/>
              <w:spacing w:before="51" w:line="219" w:lineRule="auto"/>
              <w:ind w:left="542"/>
              <w:rPr>
                <w:sz w:val="18"/>
                <w:szCs w:val="18"/>
              </w:rPr>
            </w:pPr>
            <w:r>
              <w:rPr>
                <w:spacing w:val="-3"/>
                <w:sz w:val="18"/>
                <w:szCs w:val="18"/>
              </w:rPr>
              <w:t>第一村</w:t>
            </w:r>
          </w:p>
        </w:tc>
        <w:tc>
          <w:tcPr>
            <w:tcW w:w="1731" w:type="dxa"/>
            <w:vAlign w:val="top"/>
          </w:tcPr>
          <w:p w14:paraId="48ACF2E7">
            <w:pPr>
              <w:spacing w:before="77"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2.33E-03|50</w:t>
            </w:r>
          </w:p>
        </w:tc>
        <w:tc>
          <w:tcPr>
            <w:tcW w:w="996" w:type="dxa"/>
            <w:vAlign w:val="top"/>
          </w:tcPr>
          <w:p w14:paraId="177509B3">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F812CE5">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244D704">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96402DD">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958BA05">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4753ABF">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F857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822ACEB">
            <w:pPr>
              <w:pStyle w:val="6"/>
              <w:spacing w:before="52" w:line="219" w:lineRule="auto"/>
              <w:ind w:left="568"/>
              <w:rPr>
                <w:sz w:val="18"/>
                <w:szCs w:val="18"/>
              </w:rPr>
            </w:pPr>
            <w:r>
              <w:rPr>
                <w:spacing w:val="-12"/>
                <w:sz w:val="18"/>
                <w:szCs w:val="18"/>
              </w:rPr>
              <w:t>白沙村</w:t>
            </w:r>
          </w:p>
        </w:tc>
        <w:tc>
          <w:tcPr>
            <w:tcW w:w="1731" w:type="dxa"/>
            <w:vAlign w:val="top"/>
          </w:tcPr>
          <w:p w14:paraId="25E4CF58">
            <w:pPr>
              <w:spacing w:before="78"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4.81E-03|25</w:t>
            </w:r>
          </w:p>
        </w:tc>
        <w:tc>
          <w:tcPr>
            <w:tcW w:w="996" w:type="dxa"/>
            <w:vAlign w:val="top"/>
          </w:tcPr>
          <w:p w14:paraId="7BAA6624">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251F8F0">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AD4BC8B">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3B887EF">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5CC81FF">
            <w:pPr>
              <w:spacing w:before="81"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4.81E-03</w:t>
            </w:r>
          </w:p>
        </w:tc>
        <w:tc>
          <w:tcPr>
            <w:tcW w:w="927" w:type="dxa"/>
            <w:vAlign w:val="top"/>
          </w:tcPr>
          <w:p w14:paraId="08082F8E">
            <w:pPr>
              <w:spacing w:before="8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4.81E-03</w:t>
            </w:r>
          </w:p>
        </w:tc>
      </w:tr>
      <w:tr w14:paraId="4194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DF161E0">
            <w:pPr>
              <w:pStyle w:val="6"/>
              <w:spacing w:before="51" w:line="219" w:lineRule="auto"/>
              <w:ind w:left="451"/>
              <w:rPr>
                <w:sz w:val="18"/>
                <w:szCs w:val="18"/>
              </w:rPr>
            </w:pPr>
            <w:r>
              <w:rPr>
                <w:spacing w:val="-2"/>
                <w:sz w:val="18"/>
                <w:szCs w:val="18"/>
              </w:rPr>
              <w:t>双桂山村</w:t>
            </w:r>
          </w:p>
        </w:tc>
        <w:tc>
          <w:tcPr>
            <w:tcW w:w="1731" w:type="dxa"/>
            <w:vAlign w:val="top"/>
          </w:tcPr>
          <w:p w14:paraId="7D984D0D">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2.72E-03|45</w:t>
            </w:r>
          </w:p>
        </w:tc>
        <w:tc>
          <w:tcPr>
            <w:tcW w:w="996" w:type="dxa"/>
            <w:vAlign w:val="top"/>
          </w:tcPr>
          <w:p w14:paraId="42CF2587">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B12FF42">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A692310">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4F8E382">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32D9703">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F626992">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9552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6763BEC">
            <w:pPr>
              <w:pStyle w:val="6"/>
              <w:spacing w:before="51" w:line="219" w:lineRule="auto"/>
              <w:ind w:left="451"/>
              <w:rPr>
                <w:sz w:val="18"/>
                <w:szCs w:val="18"/>
              </w:rPr>
            </w:pPr>
            <w:r>
              <w:rPr>
                <w:spacing w:val="-2"/>
                <w:sz w:val="18"/>
                <w:szCs w:val="18"/>
              </w:rPr>
              <w:t>朱厝坑村</w:t>
            </w:r>
          </w:p>
        </w:tc>
        <w:tc>
          <w:tcPr>
            <w:tcW w:w="1731" w:type="dxa"/>
            <w:vAlign w:val="top"/>
          </w:tcPr>
          <w:p w14:paraId="2ED05BB3">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2.44E-03|45</w:t>
            </w:r>
          </w:p>
        </w:tc>
        <w:tc>
          <w:tcPr>
            <w:tcW w:w="996" w:type="dxa"/>
            <w:vAlign w:val="top"/>
          </w:tcPr>
          <w:p w14:paraId="206B0F72">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BC48CA5">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1339A78">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8045657">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92A134F">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5AD7874">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4EA6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9ECD457">
            <w:pPr>
              <w:pStyle w:val="6"/>
              <w:spacing w:before="51" w:line="219" w:lineRule="auto"/>
              <w:ind w:left="541"/>
              <w:rPr>
                <w:sz w:val="18"/>
                <w:szCs w:val="18"/>
              </w:rPr>
            </w:pPr>
            <w:r>
              <w:rPr>
                <w:spacing w:val="-3"/>
                <w:sz w:val="18"/>
                <w:szCs w:val="18"/>
              </w:rPr>
              <w:t>河新村</w:t>
            </w:r>
          </w:p>
        </w:tc>
        <w:tc>
          <w:tcPr>
            <w:tcW w:w="1731" w:type="dxa"/>
            <w:vAlign w:val="top"/>
          </w:tcPr>
          <w:p w14:paraId="7290E2A0">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4.43E-03|25</w:t>
            </w:r>
          </w:p>
        </w:tc>
        <w:tc>
          <w:tcPr>
            <w:tcW w:w="996" w:type="dxa"/>
            <w:vAlign w:val="top"/>
          </w:tcPr>
          <w:p w14:paraId="64CA422F">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5484666">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0C0DF7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6C27349">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ED144EE">
            <w:pPr>
              <w:spacing w:before="82"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4.43E-03</w:t>
            </w:r>
          </w:p>
        </w:tc>
        <w:tc>
          <w:tcPr>
            <w:tcW w:w="927" w:type="dxa"/>
            <w:vAlign w:val="top"/>
          </w:tcPr>
          <w:p w14:paraId="03DCE9CA">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4.43E-03</w:t>
            </w:r>
          </w:p>
        </w:tc>
      </w:tr>
      <w:tr w14:paraId="1E606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52494A3">
            <w:pPr>
              <w:pStyle w:val="6"/>
              <w:spacing w:before="53" w:line="219" w:lineRule="auto"/>
              <w:ind w:left="542"/>
              <w:rPr>
                <w:sz w:val="18"/>
                <w:szCs w:val="18"/>
              </w:rPr>
            </w:pPr>
            <w:r>
              <w:rPr>
                <w:spacing w:val="-3"/>
                <w:sz w:val="18"/>
                <w:szCs w:val="18"/>
              </w:rPr>
              <w:t>新丰村</w:t>
            </w:r>
          </w:p>
        </w:tc>
        <w:tc>
          <w:tcPr>
            <w:tcW w:w="1731" w:type="dxa"/>
            <w:vAlign w:val="top"/>
          </w:tcPr>
          <w:p w14:paraId="5DAA3965">
            <w:pPr>
              <w:spacing w:before="78"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1.56E-02|10</w:t>
            </w:r>
          </w:p>
        </w:tc>
        <w:tc>
          <w:tcPr>
            <w:tcW w:w="996" w:type="dxa"/>
            <w:vAlign w:val="top"/>
          </w:tcPr>
          <w:p w14:paraId="73E6C89D">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1C42EEE">
            <w:pPr>
              <w:spacing w:before="82"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1.56E-02</w:t>
            </w:r>
          </w:p>
        </w:tc>
        <w:tc>
          <w:tcPr>
            <w:tcW w:w="997" w:type="dxa"/>
            <w:vAlign w:val="top"/>
          </w:tcPr>
          <w:p w14:paraId="6BB5E80A">
            <w:pPr>
              <w:spacing w:before="8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1.56E-02</w:t>
            </w:r>
          </w:p>
        </w:tc>
        <w:tc>
          <w:tcPr>
            <w:tcW w:w="938" w:type="dxa"/>
            <w:vAlign w:val="top"/>
          </w:tcPr>
          <w:p w14:paraId="0BB97636">
            <w:pPr>
              <w:spacing w:before="82"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1.56E-02</w:t>
            </w:r>
          </w:p>
        </w:tc>
        <w:tc>
          <w:tcPr>
            <w:tcW w:w="923" w:type="dxa"/>
            <w:vAlign w:val="top"/>
          </w:tcPr>
          <w:p w14:paraId="6A923615">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1.56E-02</w:t>
            </w:r>
          </w:p>
        </w:tc>
        <w:tc>
          <w:tcPr>
            <w:tcW w:w="927" w:type="dxa"/>
            <w:vAlign w:val="top"/>
          </w:tcPr>
          <w:p w14:paraId="691B7B18">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1.56E-02</w:t>
            </w:r>
          </w:p>
        </w:tc>
      </w:tr>
      <w:tr w14:paraId="4D19B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B8666F8">
            <w:pPr>
              <w:pStyle w:val="6"/>
              <w:spacing w:before="53" w:line="219" w:lineRule="auto"/>
              <w:ind w:left="452"/>
              <w:rPr>
                <w:sz w:val="18"/>
                <w:szCs w:val="18"/>
              </w:rPr>
            </w:pPr>
            <w:r>
              <w:rPr>
                <w:spacing w:val="-3"/>
                <w:sz w:val="18"/>
                <w:szCs w:val="18"/>
              </w:rPr>
              <w:t>洪宽塘村</w:t>
            </w:r>
          </w:p>
        </w:tc>
        <w:tc>
          <w:tcPr>
            <w:tcW w:w="1731" w:type="dxa"/>
            <w:vAlign w:val="top"/>
          </w:tcPr>
          <w:p w14:paraId="05C2E44E">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15E-02|10</w:t>
            </w:r>
          </w:p>
        </w:tc>
        <w:tc>
          <w:tcPr>
            <w:tcW w:w="996" w:type="dxa"/>
            <w:vAlign w:val="top"/>
          </w:tcPr>
          <w:p w14:paraId="50FDB93D">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05FEEF0">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15E-02</w:t>
            </w:r>
          </w:p>
        </w:tc>
        <w:tc>
          <w:tcPr>
            <w:tcW w:w="997" w:type="dxa"/>
            <w:vAlign w:val="top"/>
          </w:tcPr>
          <w:p w14:paraId="4C133BA8">
            <w:pPr>
              <w:spacing w:before="8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4"/>
                <w:sz w:val="18"/>
                <w:szCs w:val="18"/>
              </w:rPr>
              <w:t>15E-02</w:t>
            </w:r>
          </w:p>
        </w:tc>
        <w:tc>
          <w:tcPr>
            <w:tcW w:w="938" w:type="dxa"/>
            <w:vAlign w:val="top"/>
          </w:tcPr>
          <w:p w14:paraId="1CA132F8">
            <w:pPr>
              <w:spacing w:before="82"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5"/>
                <w:sz w:val="18"/>
                <w:szCs w:val="18"/>
              </w:rPr>
              <w:t xml:space="preserve"> </w:t>
            </w:r>
            <w:r>
              <w:rPr>
                <w:rFonts w:ascii="Times New Roman" w:hAnsi="Times New Roman" w:eastAsia="Times New Roman" w:cs="Times New Roman"/>
                <w:spacing w:val="-3"/>
                <w:sz w:val="18"/>
                <w:szCs w:val="18"/>
              </w:rPr>
              <w:t>15E-02</w:t>
            </w:r>
          </w:p>
        </w:tc>
        <w:tc>
          <w:tcPr>
            <w:tcW w:w="923" w:type="dxa"/>
            <w:vAlign w:val="top"/>
          </w:tcPr>
          <w:p w14:paraId="57130175">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15E-02</w:t>
            </w:r>
          </w:p>
        </w:tc>
        <w:tc>
          <w:tcPr>
            <w:tcW w:w="927" w:type="dxa"/>
            <w:vAlign w:val="top"/>
          </w:tcPr>
          <w:p w14:paraId="71E66F18">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15E-02</w:t>
            </w:r>
          </w:p>
        </w:tc>
      </w:tr>
      <w:tr w14:paraId="7DDAA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4C66959B">
            <w:pPr>
              <w:pStyle w:val="6"/>
              <w:spacing w:before="53" w:line="219" w:lineRule="auto"/>
              <w:ind w:left="542"/>
              <w:rPr>
                <w:sz w:val="18"/>
                <w:szCs w:val="18"/>
              </w:rPr>
            </w:pPr>
            <w:r>
              <w:rPr>
                <w:spacing w:val="-3"/>
                <w:sz w:val="18"/>
                <w:szCs w:val="18"/>
              </w:rPr>
              <w:t>新埔村</w:t>
            </w:r>
          </w:p>
        </w:tc>
        <w:tc>
          <w:tcPr>
            <w:tcW w:w="1731" w:type="dxa"/>
            <w:vAlign w:val="top"/>
          </w:tcPr>
          <w:p w14:paraId="6C945A17">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1.34E-03|60</w:t>
            </w:r>
          </w:p>
        </w:tc>
        <w:tc>
          <w:tcPr>
            <w:tcW w:w="996" w:type="dxa"/>
            <w:vAlign w:val="top"/>
          </w:tcPr>
          <w:p w14:paraId="2B604D20">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63A7AAB">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9707824">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B5F716C">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174F85B">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5C65DAD">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bl>
    <w:p w14:paraId="132BF050">
      <w:pPr>
        <w:spacing w:line="318" w:lineRule="auto"/>
        <w:rPr>
          <w:rFonts w:ascii="Arial"/>
          <w:sz w:val="21"/>
        </w:rPr>
      </w:pPr>
    </w:p>
    <w:p w14:paraId="4080A194">
      <w:pPr>
        <w:spacing w:before="78" w:line="210" w:lineRule="auto"/>
        <w:ind w:left="486"/>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b/>
          <w:bCs/>
          <w:spacing w:val="-2"/>
          <w:sz w:val="24"/>
          <w:szCs w:val="24"/>
        </w:rPr>
        <w:t xml:space="preserve">34  </w:t>
      </w:r>
      <w:r>
        <w:rPr>
          <w:rFonts w:ascii="宋体" w:hAnsi="宋体" w:eastAsia="宋体" w:cs="宋体"/>
          <w:b/>
          <w:bCs/>
          <w:spacing w:val="-2"/>
          <w:sz w:val="24"/>
          <w:szCs w:val="24"/>
        </w:rPr>
        <w:t>最不利气象条件下各关心点硫酸浓度随时间变化情况（单位：</w:t>
      </w:r>
      <w:r>
        <w:rPr>
          <w:rFonts w:ascii="Times New Roman" w:hAnsi="Times New Roman" w:eastAsia="Times New Roman" w:cs="Times New Roman"/>
          <w:b/>
          <w:bCs/>
          <w:spacing w:val="-2"/>
          <w:sz w:val="24"/>
          <w:szCs w:val="24"/>
        </w:rPr>
        <w:t>mg/m</w:t>
      </w:r>
      <w:r>
        <w:rPr>
          <w:rFonts w:ascii="宋体" w:hAnsi="宋体" w:eastAsia="宋体" w:cs="宋体"/>
          <w:b/>
          <w:bCs/>
          <w:spacing w:val="-2"/>
          <w:sz w:val="24"/>
          <w:szCs w:val="24"/>
        </w:rPr>
        <w:t>³</w:t>
      </w:r>
      <w:r>
        <w:rPr>
          <w:rFonts w:ascii="宋体" w:hAnsi="宋体" w:eastAsia="宋体" w:cs="宋体"/>
          <w:spacing w:val="-85"/>
          <w:sz w:val="24"/>
          <w:szCs w:val="24"/>
        </w:rPr>
        <w:t xml:space="preserve"> </w:t>
      </w:r>
      <w:r>
        <w:rPr>
          <w:rFonts w:ascii="宋体" w:hAnsi="宋体" w:eastAsia="宋体" w:cs="宋体"/>
          <w:b/>
          <w:bCs/>
          <w:spacing w:val="-2"/>
          <w:sz w:val="24"/>
          <w:szCs w:val="24"/>
        </w:rPr>
        <w:t>)</w:t>
      </w:r>
    </w:p>
    <w:p w14:paraId="7B7FFEB3">
      <w:pPr>
        <w:spacing w:line="157"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2E590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614" w:type="dxa"/>
            <w:vAlign w:val="top"/>
          </w:tcPr>
          <w:p w14:paraId="33CFC093">
            <w:pPr>
              <w:pStyle w:val="6"/>
              <w:spacing w:before="60" w:line="220" w:lineRule="auto"/>
              <w:ind w:left="365"/>
              <w:rPr>
                <w:sz w:val="18"/>
                <w:szCs w:val="18"/>
              </w:rPr>
            </w:pPr>
            <w:r>
              <w:rPr>
                <w:spacing w:val="-2"/>
                <w:sz w:val="18"/>
                <w:szCs w:val="18"/>
              </w:rPr>
              <w:t>关心点名称</w:t>
            </w:r>
          </w:p>
        </w:tc>
        <w:tc>
          <w:tcPr>
            <w:tcW w:w="1731" w:type="dxa"/>
            <w:vAlign w:val="top"/>
          </w:tcPr>
          <w:p w14:paraId="5FC86BE3">
            <w:pPr>
              <w:pStyle w:val="6"/>
              <w:spacing w:before="59" w:line="210" w:lineRule="auto"/>
              <w:ind w:left="113"/>
              <w:rPr>
                <w:rFonts w:ascii="Times New Roman" w:hAnsi="Times New Roman" w:eastAsia="Times New Roman" w:cs="Times New Roman"/>
                <w:sz w:val="18"/>
                <w:szCs w:val="18"/>
              </w:rPr>
            </w:pPr>
            <w:r>
              <w:rPr>
                <w:spacing w:val="-1"/>
                <w:sz w:val="18"/>
                <w:szCs w:val="18"/>
              </w:rPr>
              <w:t>最大浓度</w:t>
            </w:r>
            <w:r>
              <w:rPr>
                <w:rFonts w:ascii="Times New Roman" w:hAnsi="Times New Roman" w:eastAsia="Times New Roman" w:cs="Times New Roman"/>
                <w:spacing w:val="-1"/>
                <w:sz w:val="18"/>
                <w:szCs w:val="18"/>
              </w:rPr>
              <w:t>|</w:t>
            </w:r>
            <w:r>
              <w:rPr>
                <w:spacing w:val="-1"/>
                <w:sz w:val="18"/>
                <w:szCs w:val="18"/>
              </w:rPr>
              <w:t>时间</w:t>
            </w:r>
            <w:r>
              <w:rPr>
                <w:rFonts w:ascii="Times New Roman" w:hAnsi="Times New Roman" w:eastAsia="Times New Roman" w:cs="Times New Roman"/>
                <w:spacing w:val="-1"/>
                <w:sz w:val="18"/>
                <w:szCs w:val="18"/>
              </w:rPr>
              <w:t>(min)</w:t>
            </w:r>
          </w:p>
        </w:tc>
        <w:tc>
          <w:tcPr>
            <w:tcW w:w="996" w:type="dxa"/>
            <w:vAlign w:val="top"/>
          </w:tcPr>
          <w:p w14:paraId="34DC0B75">
            <w:pPr>
              <w:spacing w:before="85" w:line="192"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5min</w:t>
            </w:r>
          </w:p>
        </w:tc>
        <w:tc>
          <w:tcPr>
            <w:tcW w:w="938" w:type="dxa"/>
            <w:vAlign w:val="top"/>
          </w:tcPr>
          <w:p w14:paraId="66D2F000">
            <w:pPr>
              <w:spacing w:before="85" w:line="192"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10min</w:t>
            </w:r>
          </w:p>
        </w:tc>
        <w:tc>
          <w:tcPr>
            <w:tcW w:w="997" w:type="dxa"/>
            <w:vAlign w:val="top"/>
          </w:tcPr>
          <w:p w14:paraId="4CD74776">
            <w:pPr>
              <w:spacing w:before="85" w:line="192"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15min</w:t>
            </w:r>
          </w:p>
        </w:tc>
        <w:tc>
          <w:tcPr>
            <w:tcW w:w="938" w:type="dxa"/>
            <w:vAlign w:val="top"/>
          </w:tcPr>
          <w:p w14:paraId="119E98B6">
            <w:pPr>
              <w:spacing w:before="85"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20min</w:t>
            </w:r>
          </w:p>
        </w:tc>
        <w:tc>
          <w:tcPr>
            <w:tcW w:w="923" w:type="dxa"/>
            <w:vAlign w:val="top"/>
          </w:tcPr>
          <w:p w14:paraId="66D91FB9">
            <w:pPr>
              <w:spacing w:before="85" w:line="192"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25min</w:t>
            </w:r>
          </w:p>
        </w:tc>
        <w:tc>
          <w:tcPr>
            <w:tcW w:w="927" w:type="dxa"/>
            <w:vAlign w:val="top"/>
          </w:tcPr>
          <w:p w14:paraId="17DAF320">
            <w:pPr>
              <w:spacing w:before="85" w:line="192"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30min</w:t>
            </w:r>
          </w:p>
        </w:tc>
      </w:tr>
      <w:tr w14:paraId="20F68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91A5AEE">
            <w:pPr>
              <w:pStyle w:val="6"/>
              <w:spacing w:before="48" w:line="219" w:lineRule="auto"/>
              <w:ind w:left="544"/>
              <w:rPr>
                <w:sz w:val="18"/>
                <w:szCs w:val="18"/>
              </w:rPr>
            </w:pPr>
            <w:r>
              <w:rPr>
                <w:spacing w:val="-4"/>
                <w:sz w:val="18"/>
                <w:szCs w:val="18"/>
              </w:rPr>
              <w:t>大嶂村</w:t>
            </w:r>
          </w:p>
        </w:tc>
        <w:tc>
          <w:tcPr>
            <w:tcW w:w="1731" w:type="dxa"/>
            <w:vAlign w:val="top"/>
          </w:tcPr>
          <w:p w14:paraId="6517BE1D">
            <w:pPr>
              <w:spacing w:before="76"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7.65E-05|60</w:t>
            </w:r>
          </w:p>
        </w:tc>
        <w:tc>
          <w:tcPr>
            <w:tcW w:w="996" w:type="dxa"/>
            <w:vAlign w:val="top"/>
          </w:tcPr>
          <w:p w14:paraId="3147AC95">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8923A8F">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D805B0C">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3673418">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5F2D851">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06EAB0C">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99AB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0548ECF">
            <w:pPr>
              <w:pStyle w:val="6"/>
              <w:spacing w:before="50" w:line="220" w:lineRule="auto"/>
              <w:ind w:left="633"/>
              <w:rPr>
                <w:sz w:val="18"/>
                <w:szCs w:val="18"/>
              </w:rPr>
            </w:pPr>
            <w:r>
              <w:rPr>
                <w:spacing w:val="-5"/>
                <w:sz w:val="18"/>
                <w:szCs w:val="18"/>
              </w:rPr>
              <w:t>兵营</w:t>
            </w:r>
          </w:p>
        </w:tc>
        <w:tc>
          <w:tcPr>
            <w:tcW w:w="1731" w:type="dxa"/>
            <w:vAlign w:val="top"/>
          </w:tcPr>
          <w:p w14:paraId="1B506BAF">
            <w:pPr>
              <w:spacing w:before="75"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1.81E-04|30</w:t>
            </w:r>
          </w:p>
        </w:tc>
        <w:tc>
          <w:tcPr>
            <w:tcW w:w="996" w:type="dxa"/>
            <w:vAlign w:val="top"/>
          </w:tcPr>
          <w:p w14:paraId="3BCB6B83">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D8A1F21">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5DCCE8A">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0167EBF">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F692094">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0254B8F">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1.81E-04</w:t>
            </w:r>
          </w:p>
        </w:tc>
      </w:tr>
      <w:tr w14:paraId="3866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286522D7">
            <w:pPr>
              <w:pStyle w:val="6"/>
              <w:spacing w:before="50" w:line="219" w:lineRule="auto"/>
              <w:ind w:left="552"/>
              <w:rPr>
                <w:sz w:val="18"/>
                <w:szCs w:val="18"/>
              </w:rPr>
            </w:pPr>
            <w:r>
              <w:rPr>
                <w:spacing w:val="-6"/>
                <w:sz w:val="18"/>
                <w:szCs w:val="18"/>
              </w:rPr>
              <w:t>陈庄村</w:t>
            </w:r>
          </w:p>
        </w:tc>
        <w:tc>
          <w:tcPr>
            <w:tcW w:w="1731" w:type="dxa"/>
            <w:vAlign w:val="top"/>
          </w:tcPr>
          <w:p w14:paraId="461AB4D8">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1.59E-04|45</w:t>
            </w:r>
          </w:p>
        </w:tc>
        <w:tc>
          <w:tcPr>
            <w:tcW w:w="996" w:type="dxa"/>
            <w:vAlign w:val="top"/>
          </w:tcPr>
          <w:p w14:paraId="359027D5">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B341A95">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4D5CA9A">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7EF66D5">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7DA2A84">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8FAA2E2">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8D79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64B9242">
            <w:pPr>
              <w:pStyle w:val="6"/>
              <w:spacing w:before="51" w:line="219" w:lineRule="auto"/>
              <w:ind w:left="460"/>
              <w:rPr>
                <w:sz w:val="18"/>
                <w:szCs w:val="18"/>
              </w:rPr>
            </w:pPr>
            <w:r>
              <w:rPr>
                <w:spacing w:val="-5"/>
                <w:sz w:val="18"/>
                <w:szCs w:val="18"/>
              </w:rPr>
              <w:t>陈林新村</w:t>
            </w:r>
          </w:p>
        </w:tc>
        <w:tc>
          <w:tcPr>
            <w:tcW w:w="1731" w:type="dxa"/>
            <w:vAlign w:val="top"/>
          </w:tcPr>
          <w:p w14:paraId="302FEDF8">
            <w:pPr>
              <w:spacing w:before="77"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1.27E-04|50</w:t>
            </w:r>
          </w:p>
        </w:tc>
        <w:tc>
          <w:tcPr>
            <w:tcW w:w="996" w:type="dxa"/>
            <w:vAlign w:val="top"/>
          </w:tcPr>
          <w:p w14:paraId="453DEFAB">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A6A0861">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CE7693D">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52B2731">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9669C49">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E9A283F">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DAED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4D38EEA">
            <w:pPr>
              <w:pStyle w:val="6"/>
              <w:spacing w:before="50" w:line="219" w:lineRule="auto"/>
              <w:ind w:left="452"/>
              <w:rPr>
                <w:sz w:val="18"/>
                <w:szCs w:val="18"/>
              </w:rPr>
            </w:pPr>
            <w:r>
              <w:rPr>
                <w:spacing w:val="-3"/>
                <w:sz w:val="18"/>
                <w:szCs w:val="18"/>
              </w:rPr>
              <w:t>金钱埔村</w:t>
            </w:r>
          </w:p>
        </w:tc>
        <w:tc>
          <w:tcPr>
            <w:tcW w:w="1731" w:type="dxa"/>
            <w:vAlign w:val="top"/>
          </w:tcPr>
          <w:p w14:paraId="38A270C0">
            <w:pPr>
              <w:spacing w:before="79"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7.32E-04|15</w:t>
            </w:r>
          </w:p>
        </w:tc>
        <w:tc>
          <w:tcPr>
            <w:tcW w:w="996" w:type="dxa"/>
            <w:vAlign w:val="top"/>
          </w:tcPr>
          <w:p w14:paraId="35A134A0">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B7D8B53">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C24BA02">
            <w:pPr>
              <w:spacing w:before="82" w:line="188"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7.32E-04</w:t>
            </w:r>
          </w:p>
        </w:tc>
        <w:tc>
          <w:tcPr>
            <w:tcW w:w="938" w:type="dxa"/>
            <w:vAlign w:val="top"/>
          </w:tcPr>
          <w:p w14:paraId="082E9222">
            <w:pPr>
              <w:spacing w:before="82"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7.32E-04</w:t>
            </w:r>
          </w:p>
        </w:tc>
        <w:tc>
          <w:tcPr>
            <w:tcW w:w="923" w:type="dxa"/>
            <w:vAlign w:val="top"/>
          </w:tcPr>
          <w:p w14:paraId="3AC35E11">
            <w:pPr>
              <w:spacing w:before="8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7.32E-04</w:t>
            </w:r>
          </w:p>
        </w:tc>
        <w:tc>
          <w:tcPr>
            <w:tcW w:w="927" w:type="dxa"/>
            <w:vAlign w:val="top"/>
          </w:tcPr>
          <w:p w14:paraId="330B5B86">
            <w:pPr>
              <w:spacing w:before="8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7.32E-04</w:t>
            </w:r>
          </w:p>
        </w:tc>
      </w:tr>
      <w:tr w14:paraId="5904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07DA901">
            <w:pPr>
              <w:pStyle w:val="6"/>
              <w:spacing w:before="51" w:line="219" w:lineRule="auto"/>
              <w:ind w:left="543"/>
              <w:rPr>
                <w:sz w:val="18"/>
                <w:szCs w:val="18"/>
              </w:rPr>
            </w:pPr>
            <w:r>
              <w:rPr>
                <w:spacing w:val="-3"/>
                <w:sz w:val="18"/>
                <w:szCs w:val="18"/>
              </w:rPr>
              <w:t>罗北村</w:t>
            </w:r>
          </w:p>
        </w:tc>
        <w:tc>
          <w:tcPr>
            <w:tcW w:w="1731" w:type="dxa"/>
            <w:vAlign w:val="top"/>
          </w:tcPr>
          <w:p w14:paraId="22905D80">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14E-04|50</w:t>
            </w:r>
          </w:p>
        </w:tc>
        <w:tc>
          <w:tcPr>
            <w:tcW w:w="996" w:type="dxa"/>
            <w:vAlign w:val="top"/>
          </w:tcPr>
          <w:p w14:paraId="3A884127">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31E9FB0">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E04DC2B">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A7C1FBA">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6100D1D">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9282068">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F2A6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4D0A514">
            <w:pPr>
              <w:pStyle w:val="6"/>
              <w:spacing w:before="51" w:line="219" w:lineRule="auto"/>
              <w:ind w:left="543"/>
              <w:rPr>
                <w:sz w:val="18"/>
                <w:szCs w:val="18"/>
              </w:rPr>
            </w:pPr>
            <w:r>
              <w:rPr>
                <w:spacing w:val="-3"/>
                <w:sz w:val="18"/>
                <w:szCs w:val="18"/>
              </w:rPr>
              <w:t>上乡村</w:t>
            </w:r>
          </w:p>
        </w:tc>
        <w:tc>
          <w:tcPr>
            <w:tcW w:w="1731" w:type="dxa"/>
            <w:vAlign w:val="top"/>
          </w:tcPr>
          <w:p w14:paraId="5592C615">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1.21E-04|50</w:t>
            </w:r>
          </w:p>
        </w:tc>
        <w:tc>
          <w:tcPr>
            <w:tcW w:w="996" w:type="dxa"/>
            <w:vAlign w:val="top"/>
          </w:tcPr>
          <w:p w14:paraId="065186FA">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470C23F">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37E5C61">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DB34CD4">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EF37814">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67FEB73">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7C80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7549172">
            <w:pPr>
              <w:pStyle w:val="6"/>
              <w:spacing w:before="54" w:line="219" w:lineRule="auto"/>
              <w:ind w:left="541"/>
              <w:rPr>
                <w:sz w:val="18"/>
                <w:szCs w:val="18"/>
              </w:rPr>
            </w:pPr>
            <w:r>
              <w:rPr>
                <w:spacing w:val="-3"/>
                <w:sz w:val="18"/>
                <w:szCs w:val="18"/>
              </w:rPr>
              <w:t>港墘村</w:t>
            </w:r>
          </w:p>
        </w:tc>
        <w:tc>
          <w:tcPr>
            <w:tcW w:w="1731" w:type="dxa"/>
            <w:vAlign w:val="top"/>
          </w:tcPr>
          <w:p w14:paraId="31F10AB0">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16E-04|50</w:t>
            </w:r>
          </w:p>
        </w:tc>
        <w:tc>
          <w:tcPr>
            <w:tcW w:w="996" w:type="dxa"/>
            <w:vAlign w:val="top"/>
          </w:tcPr>
          <w:p w14:paraId="678BE83D">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D150F29">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DB4E770">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C8C946E">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3A7E66B">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CD4C1E0">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8560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8CF6394">
            <w:pPr>
              <w:pStyle w:val="6"/>
              <w:spacing w:before="53" w:line="219" w:lineRule="auto"/>
              <w:ind w:left="543"/>
              <w:rPr>
                <w:sz w:val="18"/>
                <w:szCs w:val="18"/>
              </w:rPr>
            </w:pPr>
            <w:r>
              <w:rPr>
                <w:spacing w:val="-3"/>
                <w:sz w:val="18"/>
                <w:szCs w:val="18"/>
              </w:rPr>
              <w:t>罗东村</w:t>
            </w:r>
          </w:p>
        </w:tc>
        <w:tc>
          <w:tcPr>
            <w:tcW w:w="1731" w:type="dxa"/>
            <w:vAlign w:val="top"/>
          </w:tcPr>
          <w:p w14:paraId="4AA875C9">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2.62E-04|25</w:t>
            </w:r>
          </w:p>
        </w:tc>
        <w:tc>
          <w:tcPr>
            <w:tcW w:w="996" w:type="dxa"/>
            <w:vAlign w:val="top"/>
          </w:tcPr>
          <w:p w14:paraId="588265B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980F14A">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1E7E54C">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23951C0">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8DC2A98">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2.62E-04</w:t>
            </w:r>
          </w:p>
        </w:tc>
        <w:tc>
          <w:tcPr>
            <w:tcW w:w="927" w:type="dxa"/>
            <w:vAlign w:val="top"/>
          </w:tcPr>
          <w:p w14:paraId="51C076BD">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2.62E-04</w:t>
            </w:r>
          </w:p>
        </w:tc>
      </w:tr>
      <w:tr w14:paraId="1A5EB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FAB3B8E">
            <w:pPr>
              <w:pStyle w:val="6"/>
              <w:spacing w:before="53" w:line="219" w:lineRule="auto"/>
              <w:ind w:left="363"/>
              <w:rPr>
                <w:sz w:val="18"/>
                <w:szCs w:val="18"/>
              </w:rPr>
            </w:pPr>
            <w:r>
              <w:rPr>
                <w:spacing w:val="-2"/>
                <w:sz w:val="18"/>
                <w:szCs w:val="18"/>
              </w:rPr>
              <w:t>罗北新乡村</w:t>
            </w:r>
          </w:p>
        </w:tc>
        <w:tc>
          <w:tcPr>
            <w:tcW w:w="1731" w:type="dxa"/>
            <w:vAlign w:val="top"/>
          </w:tcPr>
          <w:p w14:paraId="70B3A326">
            <w:pPr>
              <w:spacing w:before="79" w:line="192"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8.30E-05|60</w:t>
            </w:r>
          </w:p>
        </w:tc>
        <w:tc>
          <w:tcPr>
            <w:tcW w:w="996" w:type="dxa"/>
            <w:vAlign w:val="top"/>
          </w:tcPr>
          <w:p w14:paraId="4B4608D9">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D49810D">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3D43E0C">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B9182F3">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F274248">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0596414">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E03F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E60CFFA">
            <w:pPr>
              <w:pStyle w:val="6"/>
              <w:spacing w:before="52" w:line="219" w:lineRule="auto"/>
              <w:ind w:left="542"/>
              <w:rPr>
                <w:sz w:val="18"/>
                <w:szCs w:val="18"/>
              </w:rPr>
            </w:pPr>
            <w:r>
              <w:rPr>
                <w:spacing w:val="-3"/>
                <w:sz w:val="18"/>
                <w:szCs w:val="18"/>
              </w:rPr>
              <w:t>长湖村</w:t>
            </w:r>
          </w:p>
        </w:tc>
        <w:tc>
          <w:tcPr>
            <w:tcW w:w="1731" w:type="dxa"/>
            <w:vAlign w:val="top"/>
          </w:tcPr>
          <w:p w14:paraId="7023A835">
            <w:pPr>
              <w:spacing w:before="81"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10E-04|60</w:t>
            </w:r>
          </w:p>
        </w:tc>
        <w:tc>
          <w:tcPr>
            <w:tcW w:w="996" w:type="dxa"/>
            <w:vAlign w:val="top"/>
          </w:tcPr>
          <w:p w14:paraId="5E84A034">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721562E">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01D1525">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DA51E3A">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B3F936B">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4A7DAB2">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773D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05F77F8">
            <w:pPr>
              <w:pStyle w:val="6"/>
              <w:spacing w:before="52" w:line="219" w:lineRule="auto"/>
              <w:ind w:left="544"/>
              <w:rPr>
                <w:sz w:val="18"/>
                <w:szCs w:val="18"/>
              </w:rPr>
            </w:pPr>
            <w:r>
              <w:rPr>
                <w:spacing w:val="-4"/>
                <w:sz w:val="18"/>
                <w:szCs w:val="18"/>
              </w:rPr>
              <w:t>炉洋村</w:t>
            </w:r>
          </w:p>
        </w:tc>
        <w:tc>
          <w:tcPr>
            <w:tcW w:w="1731" w:type="dxa"/>
            <w:vAlign w:val="top"/>
          </w:tcPr>
          <w:p w14:paraId="62E82FA9">
            <w:pPr>
              <w:spacing w:before="80" w:line="192"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8.81E-05|60</w:t>
            </w:r>
          </w:p>
        </w:tc>
        <w:tc>
          <w:tcPr>
            <w:tcW w:w="996" w:type="dxa"/>
            <w:vAlign w:val="top"/>
          </w:tcPr>
          <w:p w14:paraId="1A29EDDA">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813C192">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FCAB37A">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B929E76">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EE1F25A">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08039D8">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6EA8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7377894">
            <w:pPr>
              <w:pStyle w:val="6"/>
              <w:spacing w:before="52" w:line="219" w:lineRule="auto"/>
              <w:ind w:left="544"/>
              <w:rPr>
                <w:sz w:val="18"/>
                <w:szCs w:val="18"/>
              </w:rPr>
            </w:pPr>
            <w:r>
              <w:rPr>
                <w:spacing w:val="-4"/>
                <w:sz w:val="18"/>
                <w:szCs w:val="18"/>
              </w:rPr>
              <w:t>南笏村</w:t>
            </w:r>
          </w:p>
        </w:tc>
        <w:tc>
          <w:tcPr>
            <w:tcW w:w="1731" w:type="dxa"/>
            <w:vAlign w:val="top"/>
          </w:tcPr>
          <w:p w14:paraId="3A026AED">
            <w:pPr>
              <w:spacing w:before="80"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9.29E-05|60</w:t>
            </w:r>
          </w:p>
        </w:tc>
        <w:tc>
          <w:tcPr>
            <w:tcW w:w="996" w:type="dxa"/>
            <w:vAlign w:val="top"/>
          </w:tcPr>
          <w:p w14:paraId="325BFF7E">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5EDB9C7">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DF24323">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5F557FF">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84EF65F">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336FB87">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8FCB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9802CB7">
            <w:pPr>
              <w:pStyle w:val="6"/>
              <w:spacing w:before="54" w:line="219" w:lineRule="auto"/>
              <w:ind w:left="542"/>
              <w:rPr>
                <w:sz w:val="18"/>
                <w:szCs w:val="18"/>
              </w:rPr>
            </w:pPr>
            <w:r>
              <w:rPr>
                <w:spacing w:val="-3"/>
                <w:sz w:val="18"/>
                <w:szCs w:val="18"/>
              </w:rPr>
              <w:t>新厝村</w:t>
            </w:r>
          </w:p>
        </w:tc>
        <w:tc>
          <w:tcPr>
            <w:tcW w:w="1731" w:type="dxa"/>
            <w:vAlign w:val="top"/>
          </w:tcPr>
          <w:p w14:paraId="3B4AE471">
            <w:pPr>
              <w:spacing w:before="79"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18E-05|60</w:t>
            </w:r>
          </w:p>
        </w:tc>
        <w:tc>
          <w:tcPr>
            <w:tcW w:w="996" w:type="dxa"/>
            <w:vAlign w:val="top"/>
          </w:tcPr>
          <w:p w14:paraId="07A3659A">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979DAAB">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155B593">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759980B">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AFAB027">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A6F8AA3">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631F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74F2FF8">
            <w:pPr>
              <w:pStyle w:val="6"/>
              <w:spacing w:before="53" w:line="219" w:lineRule="auto"/>
              <w:ind w:left="543"/>
              <w:rPr>
                <w:sz w:val="18"/>
                <w:szCs w:val="18"/>
              </w:rPr>
            </w:pPr>
            <w:r>
              <w:rPr>
                <w:spacing w:val="-3"/>
                <w:sz w:val="18"/>
                <w:szCs w:val="18"/>
              </w:rPr>
              <w:t>上达村</w:t>
            </w:r>
          </w:p>
        </w:tc>
        <w:tc>
          <w:tcPr>
            <w:tcW w:w="1731" w:type="dxa"/>
            <w:vAlign w:val="top"/>
          </w:tcPr>
          <w:p w14:paraId="2D5BFB3C">
            <w:pPr>
              <w:spacing w:before="79" w:line="192" w:lineRule="auto"/>
              <w:ind w:left="44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5"/>
                <w:sz w:val="18"/>
                <w:szCs w:val="18"/>
              </w:rPr>
              <w:t>11E-04|55</w:t>
            </w:r>
          </w:p>
        </w:tc>
        <w:tc>
          <w:tcPr>
            <w:tcW w:w="996" w:type="dxa"/>
            <w:vAlign w:val="top"/>
          </w:tcPr>
          <w:p w14:paraId="1B1A5201">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F7A93A2">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20DD90E">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C527045">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C7DA43B">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4B97E67">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112F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30FD520">
            <w:pPr>
              <w:pStyle w:val="6"/>
              <w:spacing w:before="53" w:line="219" w:lineRule="auto"/>
              <w:ind w:left="547"/>
              <w:rPr>
                <w:sz w:val="18"/>
                <w:szCs w:val="18"/>
              </w:rPr>
            </w:pPr>
            <w:r>
              <w:rPr>
                <w:spacing w:val="-5"/>
                <w:sz w:val="18"/>
                <w:szCs w:val="18"/>
              </w:rPr>
              <w:t>下达村</w:t>
            </w:r>
          </w:p>
        </w:tc>
        <w:tc>
          <w:tcPr>
            <w:tcW w:w="1731" w:type="dxa"/>
            <w:vAlign w:val="top"/>
          </w:tcPr>
          <w:p w14:paraId="176ECB2E">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9.03E-05|60</w:t>
            </w:r>
          </w:p>
        </w:tc>
        <w:tc>
          <w:tcPr>
            <w:tcW w:w="996" w:type="dxa"/>
            <w:vAlign w:val="top"/>
          </w:tcPr>
          <w:p w14:paraId="7370F734">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8BDC18C">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E740CED">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1E7BE9D">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D91E4A2">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8955B1E">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77B9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E76D66D">
            <w:pPr>
              <w:pStyle w:val="6"/>
              <w:spacing w:before="52" w:line="219" w:lineRule="auto"/>
              <w:ind w:left="541"/>
              <w:rPr>
                <w:sz w:val="18"/>
                <w:szCs w:val="18"/>
              </w:rPr>
            </w:pPr>
            <w:r>
              <w:rPr>
                <w:spacing w:val="-3"/>
                <w:sz w:val="18"/>
                <w:szCs w:val="18"/>
              </w:rPr>
              <w:t>仓前村</w:t>
            </w:r>
          </w:p>
        </w:tc>
        <w:tc>
          <w:tcPr>
            <w:tcW w:w="1731" w:type="dxa"/>
            <w:vAlign w:val="top"/>
          </w:tcPr>
          <w:p w14:paraId="5CB57E90">
            <w:pPr>
              <w:spacing w:before="81"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1.38E-04|45</w:t>
            </w:r>
          </w:p>
        </w:tc>
        <w:tc>
          <w:tcPr>
            <w:tcW w:w="996" w:type="dxa"/>
            <w:vAlign w:val="top"/>
          </w:tcPr>
          <w:p w14:paraId="4CD3BF2E">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3BFA143">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E5AEB95">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A9A9092">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2F1074A">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3318B9C">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AF87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1157D9D">
            <w:pPr>
              <w:pStyle w:val="6"/>
              <w:spacing w:before="52" w:line="219" w:lineRule="auto"/>
              <w:ind w:left="553"/>
              <w:rPr>
                <w:sz w:val="18"/>
                <w:szCs w:val="18"/>
              </w:rPr>
            </w:pPr>
            <w:r>
              <w:rPr>
                <w:spacing w:val="-7"/>
                <w:sz w:val="18"/>
                <w:szCs w:val="18"/>
              </w:rPr>
              <w:t>陇东村</w:t>
            </w:r>
          </w:p>
        </w:tc>
        <w:tc>
          <w:tcPr>
            <w:tcW w:w="1731" w:type="dxa"/>
            <w:vAlign w:val="top"/>
          </w:tcPr>
          <w:p w14:paraId="45C17450">
            <w:pPr>
              <w:spacing w:before="80"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9.53E-05|60</w:t>
            </w:r>
          </w:p>
        </w:tc>
        <w:tc>
          <w:tcPr>
            <w:tcW w:w="996" w:type="dxa"/>
            <w:vAlign w:val="top"/>
          </w:tcPr>
          <w:p w14:paraId="72D95BCA">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4C32818">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8206B9E">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3F39F33">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8047B89">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9F47207">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BF97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BC94751">
            <w:pPr>
              <w:pStyle w:val="6"/>
              <w:spacing w:before="52" w:line="219" w:lineRule="auto"/>
              <w:ind w:left="549"/>
              <w:rPr>
                <w:sz w:val="18"/>
                <w:szCs w:val="18"/>
              </w:rPr>
            </w:pPr>
            <w:r>
              <w:rPr>
                <w:spacing w:val="-5"/>
                <w:sz w:val="18"/>
                <w:szCs w:val="18"/>
              </w:rPr>
              <w:t>笏雅村</w:t>
            </w:r>
          </w:p>
        </w:tc>
        <w:tc>
          <w:tcPr>
            <w:tcW w:w="1731" w:type="dxa"/>
            <w:vAlign w:val="top"/>
          </w:tcPr>
          <w:p w14:paraId="5591FD8D">
            <w:pPr>
              <w:spacing w:before="80"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9.20E-05|60</w:t>
            </w:r>
          </w:p>
        </w:tc>
        <w:tc>
          <w:tcPr>
            <w:tcW w:w="996" w:type="dxa"/>
            <w:vAlign w:val="top"/>
          </w:tcPr>
          <w:p w14:paraId="40675CA9">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3CB9BC1">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35ED121">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A6B2368">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ADB4309">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3808540">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18D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178671C">
            <w:pPr>
              <w:pStyle w:val="6"/>
              <w:spacing w:before="54" w:line="219" w:lineRule="auto"/>
              <w:ind w:left="548"/>
              <w:rPr>
                <w:sz w:val="18"/>
                <w:szCs w:val="18"/>
              </w:rPr>
            </w:pPr>
            <w:r>
              <w:rPr>
                <w:spacing w:val="-5"/>
                <w:sz w:val="18"/>
                <w:szCs w:val="18"/>
              </w:rPr>
              <w:t>东新村</w:t>
            </w:r>
          </w:p>
        </w:tc>
        <w:tc>
          <w:tcPr>
            <w:tcW w:w="1731" w:type="dxa"/>
            <w:vAlign w:val="top"/>
          </w:tcPr>
          <w:p w14:paraId="43D62683">
            <w:pPr>
              <w:spacing w:before="79" w:line="192"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8.52E-05|60</w:t>
            </w:r>
          </w:p>
        </w:tc>
        <w:tc>
          <w:tcPr>
            <w:tcW w:w="996" w:type="dxa"/>
            <w:vAlign w:val="top"/>
          </w:tcPr>
          <w:p w14:paraId="42BAD62A">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EB403B7">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395C8F6">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3B39EC4">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D6B0C66">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A955085">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37E6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2C2743A">
            <w:pPr>
              <w:pStyle w:val="6"/>
              <w:spacing w:before="53" w:line="219" w:lineRule="auto"/>
              <w:ind w:left="542"/>
              <w:rPr>
                <w:sz w:val="18"/>
                <w:szCs w:val="18"/>
              </w:rPr>
            </w:pPr>
            <w:r>
              <w:rPr>
                <w:spacing w:val="-3"/>
                <w:sz w:val="18"/>
                <w:szCs w:val="18"/>
              </w:rPr>
              <w:t>凤山村</w:t>
            </w:r>
          </w:p>
        </w:tc>
        <w:tc>
          <w:tcPr>
            <w:tcW w:w="1731" w:type="dxa"/>
            <w:vAlign w:val="top"/>
          </w:tcPr>
          <w:p w14:paraId="42D2F5C6">
            <w:pPr>
              <w:spacing w:before="79" w:line="192"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5.22E-04|15</w:t>
            </w:r>
          </w:p>
        </w:tc>
        <w:tc>
          <w:tcPr>
            <w:tcW w:w="996" w:type="dxa"/>
            <w:vAlign w:val="top"/>
          </w:tcPr>
          <w:p w14:paraId="504D424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6D2983D">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9D68E81">
            <w:pPr>
              <w:spacing w:before="82"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5.22E-04</w:t>
            </w:r>
          </w:p>
        </w:tc>
        <w:tc>
          <w:tcPr>
            <w:tcW w:w="938" w:type="dxa"/>
            <w:vAlign w:val="top"/>
          </w:tcPr>
          <w:p w14:paraId="38E27E52">
            <w:pPr>
              <w:spacing w:before="82"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5.22E-04</w:t>
            </w:r>
          </w:p>
        </w:tc>
        <w:tc>
          <w:tcPr>
            <w:tcW w:w="923" w:type="dxa"/>
            <w:vAlign w:val="top"/>
          </w:tcPr>
          <w:p w14:paraId="3373B13A">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5.22E-04</w:t>
            </w:r>
          </w:p>
        </w:tc>
        <w:tc>
          <w:tcPr>
            <w:tcW w:w="927" w:type="dxa"/>
            <w:vAlign w:val="top"/>
          </w:tcPr>
          <w:p w14:paraId="51161F16">
            <w:pPr>
              <w:spacing w:before="8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5.22E-04</w:t>
            </w:r>
          </w:p>
        </w:tc>
      </w:tr>
      <w:tr w14:paraId="3DFA4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4C88201">
            <w:pPr>
              <w:pStyle w:val="6"/>
              <w:spacing w:before="53" w:line="219" w:lineRule="auto"/>
              <w:ind w:left="543"/>
              <w:rPr>
                <w:sz w:val="18"/>
                <w:szCs w:val="18"/>
              </w:rPr>
            </w:pPr>
            <w:r>
              <w:rPr>
                <w:spacing w:val="-3"/>
                <w:sz w:val="18"/>
                <w:szCs w:val="18"/>
              </w:rPr>
              <w:t>可塘镇</w:t>
            </w:r>
          </w:p>
        </w:tc>
        <w:tc>
          <w:tcPr>
            <w:tcW w:w="1731" w:type="dxa"/>
            <w:vAlign w:val="top"/>
          </w:tcPr>
          <w:p w14:paraId="76A5C873">
            <w:pPr>
              <w:spacing w:before="79" w:line="192" w:lineRule="auto"/>
              <w:ind w:left="4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1.56E+00|5</w:t>
            </w:r>
          </w:p>
        </w:tc>
        <w:tc>
          <w:tcPr>
            <w:tcW w:w="996" w:type="dxa"/>
            <w:vAlign w:val="top"/>
          </w:tcPr>
          <w:p w14:paraId="5838FEE3">
            <w:pPr>
              <w:spacing w:before="82"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1.56E+00</w:t>
            </w:r>
          </w:p>
        </w:tc>
        <w:tc>
          <w:tcPr>
            <w:tcW w:w="938" w:type="dxa"/>
            <w:vAlign w:val="top"/>
          </w:tcPr>
          <w:p w14:paraId="6E1C7947">
            <w:pPr>
              <w:spacing w:before="8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1.56E+00</w:t>
            </w:r>
          </w:p>
        </w:tc>
        <w:tc>
          <w:tcPr>
            <w:tcW w:w="997" w:type="dxa"/>
            <w:vAlign w:val="top"/>
          </w:tcPr>
          <w:p w14:paraId="58C34BD2">
            <w:pPr>
              <w:spacing w:before="82"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1.56E+00</w:t>
            </w:r>
          </w:p>
        </w:tc>
        <w:tc>
          <w:tcPr>
            <w:tcW w:w="938" w:type="dxa"/>
            <w:vAlign w:val="top"/>
          </w:tcPr>
          <w:p w14:paraId="500EE60D">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1.56E+00</w:t>
            </w:r>
          </w:p>
        </w:tc>
        <w:tc>
          <w:tcPr>
            <w:tcW w:w="923" w:type="dxa"/>
            <w:vAlign w:val="top"/>
          </w:tcPr>
          <w:p w14:paraId="6F7B5697">
            <w:pPr>
              <w:spacing w:before="82"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1.56E+00</w:t>
            </w:r>
          </w:p>
        </w:tc>
        <w:tc>
          <w:tcPr>
            <w:tcW w:w="927" w:type="dxa"/>
            <w:vAlign w:val="top"/>
          </w:tcPr>
          <w:p w14:paraId="0529A75A">
            <w:pPr>
              <w:spacing w:before="82"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1.56E+00</w:t>
            </w:r>
          </w:p>
        </w:tc>
      </w:tr>
      <w:tr w14:paraId="29275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C55764E">
            <w:pPr>
              <w:pStyle w:val="6"/>
              <w:spacing w:before="52" w:line="219" w:lineRule="auto"/>
              <w:ind w:left="548"/>
              <w:rPr>
                <w:sz w:val="18"/>
                <w:szCs w:val="18"/>
              </w:rPr>
            </w:pPr>
            <w:r>
              <w:rPr>
                <w:spacing w:val="-5"/>
                <w:sz w:val="18"/>
                <w:szCs w:val="18"/>
              </w:rPr>
              <w:t>东溪村</w:t>
            </w:r>
          </w:p>
        </w:tc>
        <w:tc>
          <w:tcPr>
            <w:tcW w:w="1731" w:type="dxa"/>
            <w:vAlign w:val="top"/>
          </w:tcPr>
          <w:p w14:paraId="4D0C655E">
            <w:pPr>
              <w:spacing w:before="81"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14E-04|55</w:t>
            </w:r>
          </w:p>
        </w:tc>
        <w:tc>
          <w:tcPr>
            <w:tcW w:w="996" w:type="dxa"/>
            <w:vAlign w:val="top"/>
          </w:tcPr>
          <w:p w14:paraId="3AF86EEF">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EFFF6ED">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88E1BB3">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CA61DB0">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B6647D7">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43747D5">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2E4F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614" w:type="dxa"/>
            <w:vAlign w:val="top"/>
          </w:tcPr>
          <w:p w14:paraId="37C5CE73">
            <w:pPr>
              <w:pStyle w:val="6"/>
              <w:spacing w:before="52" w:line="219" w:lineRule="auto"/>
              <w:ind w:left="453"/>
              <w:rPr>
                <w:sz w:val="18"/>
                <w:szCs w:val="18"/>
              </w:rPr>
            </w:pPr>
            <w:r>
              <w:rPr>
                <w:spacing w:val="-3"/>
                <w:sz w:val="18"/>
                <w:szCs w:val="18"/>
              </w:rPr>
              <w:t>君硕围村</w:t>
            </w:r>
          </w:p>
        </w:tc>
        <w:tc>
          <w:tcPr>
            <w:tcW w:w="1731" w:type="dxa"/>
            <w:vAlign w:val="top"/>
          </w:tcPr>
          <w:p w14:paraId="5665C322">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2.23E-04|25</w:t>
            </w:r>
          </w:p>
        </w:tc>
        <w:tc>
          <w:tcPr>
            <w:tcW w:w="996" w:type="dxa"/>
            <w:vAlign w:val="top"/>
          </w:tcPr>
          <w:p w14:paraId="026C3157">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DA34E7">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6B05E77">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DFD3E98">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DBA6286">
            <w:pPr>
              <w:spacing w:before="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2.23E-04</w:t>
            </w:r>
          </w:p>
        </w:tc>
        <w:tc>
          <w:tcPr>
            <w:tcW w:w="927" w:type="dxa"/>
            <w:vAlign w:val="top"/>
          </w:tcPr>
          <w:p w14:paraId="0D1054FB">
            <w:pPr>
              <w:spacing w:before="84"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2.23E-04</w:t>
            </w:r>
          </w:p>
        </w:tc>
      </w:tr>
    </w:tbl>
    <w:p w14:paraId="2ADCEE59">
      <w:pPr>
        <w:rPr>
          <w:rFonts w:ascii="Arial"/>
          <w:sz w:val="21"/>
        </w:rPr>
      </w:pPr>
    </w:p>
    <w:p w14:paraId="3A7FBC44">
      <w:pPr>
        <w:rPr>
          <w:rFonts w:ascii="Arial" w:hAnsi="Arial" w:eastAsia="Arial" w:cs="Arial"/>
          <w:sz w:val="21"/>
          <w:szCs w:val="21"/>
        </w:rPr>
        <w:sectPr>
          <w:footerReference r:id="rId153" w:type="default"/>
          <w:pgSz w:w="11906" w:h="16839"/>
          <w:pgMar w:top="400" w:right="1418" w:bottom="1127" w:left="1418" w:header="0" w:footer="965" w:gutter="0"/>
          <w:cols w:space="720" w:num="1"/>
        </w:sectPr>
      </w:pPr>
    </w:p>
    <w:p w14:paraId="47916379">
      <w:pPr>
        <w:spacing w:before="19"/>
      </w:pPr>
    </w:p>
    <w:p w14:paraId="21E63261">
      <w:pPr>
        <w:spacing w:before="19"/>
      </w:pPr>
    </w:p>
    <w:p w14:paraId="45117279">
      <w:pPr>
        <w:spacing w:before="19"/>
      </w:pPr>
    </w:p>
    <w:p w14:paraId="3A76DAFC">
      <w:pPr>
        <w:spacing w:before="18"/>
      </w:pPr>
    </w:p>
    <w:p w14:paraId="442D605D">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5A846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626DE859">
            <w:pPr>
              <w:pStyle w:val="6"/>
              <w:spacing w:before="52" w:line="219" w:lineRule="auto"/>
              <w:ind w:left="541"/>
              <w:rPr>
                <w:sz w:val="18"/>
                <w:szCs w:val="18"/>
              </w:rPr>
            </w:pPr>
            <w:r>
              <w:rPr>
                <w:spacing w:val="-3"/>
                <w:sz w:val="18"/>
                <w:szCs w:val="18"/>
              </w:rPr>
              <w:t>低港村</w:t>
            </w:r>
          </w:p>
        </w:tc>
        <w:tc>
          <w:tcPr>
            <w:tcW w:w="1731" w:type="dxa"/>
            <w:vAlign w:val="top"/>
          </w:tcPr>
          <w:p w14:paraId="3EA63FC4">
            <w:pPr>
              <w:spacing w:before="81"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11E-04|25</w:t>
            </w:r>
          </w:p>
        </w:tc>
        <w:tc>
          <w:tcPr>
            <w:tcW w:w="996" w:type="dxa"/>
            <w:vAlign w:val="top"/>
          </w:tcPr>
          <w:p w14:paraId="020BC680">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625FE56">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010163A">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77DDE2B">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80FBF62">
            <w:pPr>
              <w:spacing w:before="84"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4"/>
                <w:sz w:val="18"/>
                <w:szCs w:val="18"/>
              </w:rPr>
              <w:t>11E-04</w:t>
            </w:r>
          </w:p>
        </w:tc>
        <w:tc>
          <w:tcPr>
            <w:tcW w:w="927" w:type="dxa"/>
            <w:vAlign w:val="top"/>
          </w:tcPr>
          <w:p w14:paraId="418439C8">
            <w:pPr>
              <w:spacing w:before="84"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4"/>
                <w:sz w:val="18"/>
                <w:szCs w:val="18"/>
              </w:rPr>
              <w:t>11E-04</w:t>
            </w:r>
          </w:p>
        </w:tc>
      </w:tr>
      <w:tr w14:paraId="30BCD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21862AF">
            <w:pPr>
              <w:pStyle w:val="6"/>
              <w:spacing w:before="48" w:line="219" w:lineRule="auto"/>
              <w:ind w:left="471"/>
              <w:rPr>
                <w:sz w:val="18"/>
                <w:szCs w:val="18"/>
              </w:rPr>
            </w:pPr>
            <w:r>
              <w:rPr>
                <w:spacing w:val="-7"/>
                <w:sz w:val="18"/>
                <w:szCs w:val="18"/>
              </w:rPr>
              <w:t>尚仁家村</w:t>
            </w:r>
          </w:p>
        </w:tc>
        <w:tc>
          <w:tcPr>
            <w:tcW w:w="1731" w:type="dxa"/>
            <w:vAlign w:val="top"/>
          </w:tcPr>
          <w:p w14:paraId="50BF7C47">
            <w:pPr>
              <w:spacing w:before="76"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4.89E-04|15</w:t>
            </w:r>
          </w:p>
        </w:tc>
        <w:tc>
          <w:tcPr>
            <w:tcW w:w="996" w:type="dxa"/>
            <w:vAlign w:val="top"/>
          </w:tcPr>
          <w:p w14:paraId="0BED36E9">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47AC9B3">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4CD1FA2">
            <w:pPr>
              <w:spacing w:before="80"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4.89E-04</w:t>
            </w:r>
          </w:p>
        </w:tc>
        <w:tc>
          <w:tcPr>
            <w:tcW w:w="938" w:type="dxa"/>
            <w:vAlign w:val="top"/>
          </w:tcPr>
          <w:p w14:paraId="29CD8C63">
            <w:pPr>
              <w:spacing w:before="80"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4.89E-04</w:t>
            </w:r>
          </w:p>
        </w:tc>
        <w:tc>
          <w:tcPr>
            <w:tcW w:w="923" w:type="dxa"/>
            <w:vAlign w:val="top"/>
          </w:tcPr>
          <w:p w14:paraId="04B44549">
            <w:pPr>
              <w:spacing w:before="80"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4.89E-04</w:t>
            </w:r>
          </w:p>
        </w:tc>
        <w:tc>
          <w:tcPr>
            <w:tcW w:w="927" w:type="dxa"/>
            <w:vAlign w:val="top"/>
          </w:tcPr>
          <w:p w14:paraId="04BD30ED">
            <w:pPr>
              <w:spacing w:before="8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4.89E-04</w:t>
            </w:r>
          </w:p>
        </w:tc>
      </w:tr>
      <w:tr w14:paraId="72B98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3519C5B">
            <w:pPr>
              <w:pStyle w:val="6"/>
              <w:spacing w:before="48" w:line="219" w:lineRule="auto"/>
              <w:ind w:left="451"/>
              <w:rPr>
                <w:sz w:val="18"/>
                <w:szCs w:val="18"/>
              </w:rPr>
            </w:pPr>
            <w:r>
              <w:rPr>
                <w:spacing w:val="-2"/>
                <w:sz w:val="18"/>
                <w:szCs w:val="18"/>
              </w:rPr>
              <w:t>埔中央村</w:t>
            </w:r>
          </w:p>
        </w:tc>
        <w:tc>
          <w:tcPr>
            <w:tcW w:w="1731" w:type="dxa"/>
            <w:vAlign w:val="top"/>
          </w:tcPr>
          <w:p w14:paraId="6073C7C4">
            <w:pPr>
              <w:spacing w:before="76"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3.45E-04|20</w:t>
            </w:r>
          </w:p>
        </w:tc>
        <w:tc>
          <w:tcPr>
            <w:tcW w:w="996" w:type="dxa"/>
            <w:vAlign w:val="top"/>
          </w:tcPr>
          <w:p w14:paraId="0FBA310A">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22EF892">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9C30E10">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1AF37F5">
            <w:pPr>
              <w:spacing w:before="79" w:line="188"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3.45E-04</w:t>
            </w:r>
          </w:p>
        </w:tc>
        <w:tc>
          <w:tcPr>
            <w:tcW w:w="923" w:type="dxa"/>
            <w:vAlign w:val="top"/>
          </w:tcPr>
          <w:p w14:paraId="0F6D4130">
            <w:pPr>
              <w:spacing w:before="79"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3.45E-04</w:t>
            </w:r>
          </w:p>
        </w:tc>
        <w:tc>
          <w:tcPr>
            <w:tcW w:w="927" w:type="dxa"/>
            <w:vAlign w:val="top"/>
          </w:tcPr>
          <w:p w14:paraId="11523BAA">
            <w:pPr>
              <w:spacing w:before="79"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3.45E-04</w:t>
            </w:r>
          </w:p>
        </w:tc>
      </w:tr>
      <w:tr w14:paraId="3F819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7B5387E">
            <w:pPr>
              <w:pStyle w:val="6"/>
              <w:spacing w:before="51" w:line="220" w:lineRule="auto"/>
              <w:ind w:left="542"/>
              <w:rPr>
                <w:sz w:val="18"/>
                <w:szCs w:val="18"/>
              </w:rPr>
            </w:pPr>
            <w:r>
              <w:rPr>
                <w:spacing w:val="-3"/>
                <w:sz w:val="18"/>
                <w:szCs w:val="18"/>
              </w:rPr>
              <w:t>庄厝围</w:t>
            </w:r>
          </w:p>
        </w:tc>
        <w:tc>
          <w:tcPr>
            <w:tcW w:w="1731" w:type="dxa"/>
            <w:vAlign w:val="top"/>
          </w:tcPr>
          <w:p w14:paraId="2DB42F33">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1.40E-04|45</w:t>
            </w:r>
          </w:p>
        </w:tc>
        <w:tc>
          <w:tcPr>
            <w:tcW w:w="996" w:type="dxa"/>
            <w:vAlign w:val="top"/>
          </w:tcPr>
          <w:p w14:paraId="175B1997">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51C30E0">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75FDAEE">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2997007">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5FE5BF8">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FAEC4B0">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48E3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8213569">
            <w:pPr>
              <w:pStyle w:val="6"/>
              <w:spacing w:before="50" w:line="219" w:lineRule="auto"/>
              <w:ind w:left="545"/>
              <w:rPr>
                <w:sz w:val="18"/>
                <w:szCs w:val="18"/>
              </w:rPr>
            </w:pPr>
            <w:r>
              <w:rPr>
                <w:spacing w:val="-4"/>
                <w:sz w:val="18"/>
                <w:szCs w:val="18"/>
              </w:rPr>
              <w:t>凯南村</w:t>
            </w:r>
          </w:p>
        </w:tc>
        <w:tc>
          <w:tcPr>
            <w:tcW w:w="1731" w:type="dxa"/>
            <w:vAlign w:val="top"/>
          </w:tcPr>
          <w:p w14:paraId="36103B47">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1.20E-04|50</w:t>
            </w:r>
          </w:p>
        </w:tc>
        <w:tc>
          <w:tcPr>
            <w:tcW w:w="996" w:type="dxa"/>
            <w:vAlign w:val="top"/>
          </w:tcPr>
          <w:p w14:paraId="218CC627">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3D8E03C">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7059B84">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8AC378">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B71D147">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3D0BFA6">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711A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0695295">
            <w:pPr>
              <w:pStyle w:val="6"/>
              <w:spacing w:before="50" w:line="219" w:lineRule="auto"/>
              <w:ind w:left="547"/>
              <w:rPr>
                <w:sz w:val="18"/>
                <w:szCs w:val="18"/>
              </w:rPr>
            </w:pPr>
            <w:r>
              <w:rPr>
                <w:spacing w:val="-5"/>
                <w:sz w:val="18"/>
                <w:szCs w:val="18"/>
              </w:rPr>
              <w:t>下许村</w:t>
            </w:r>
          </w:p>
        </w:tc>
        <w:tc>
          <w:tcPr>
            <w:tcW w:w="1731" w:type="dxa"/>
            <w:vAlign w:val="top"/>
          </w:tcPr>
          <w:p w14:paraId="45FF0451">
            <w:pPr>
              <w:spacing w:before="76"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9.68E-05|60</w:t>
            </w:r>
          </w:p>
        </w:tc>
        <w:tc>
          <w:tcPr>
            <w:tcW w:w="996" w:type="dxa"/>
            <w:vAlign w:val="top"/>
          </w:tcPr>
          <w:p w14:paraId="781DD3C5">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1453115">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FE1EF7D">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B10B93A">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9161345">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A2B911B">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2A08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74E625F">
            <w:pPr>
              <w:pStyle w:val="6"/>
              <w:spacing w:before="50" w:line="219" w:lineRule="auto"/>
              <w:ind w:left="547"/>
              <w:rPr>
                <w:sz w:val="18"/>
                <w:szCs w:val="18"/>
              </w:rPr>
            </w:pPr>
            <w:r>
              <w:rPr>
                <w:spacing w:val="-5"/>
                <w:sz w:val="18"/>
                <w:szCs w:val="18"/>
              </w:rPr>
              <w:t>赤箖村</w:t>
            </w:r>
          </w:p>
        </w:tc>
        <w:tc>
          <w:tcPr>
            <w:tcW w:w="1731" w:type="dxa"/>
            <w:vAlign w:val="top"/>
          </w:tcPr>
          <w:p w14:paraId="1EBADC94">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9.61E-05|60</w:t>
            </w:r>
          </w:p>
        </w:tc>
        <w:tc>
          <w:tcPr>
            <w:tcW w:w="996" w:type="dxa"/>
            <w:vAlign w:val="top"/>
          </w:tcPr>
          <w:p w14:paraId="26B7FF9D">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32300C3">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20C66E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794F009">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5FB0628">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1DE8BEA">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9615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CF084E7">
            <w:pPr>
              <w:pStyle w:val="6"/>
              <w:spacing w:before="50" w:line="219" w:lineRule="auto"/>
              <w:ind w:left="477"/>
              <w:rPr>
                <w:sz w:val="18"/>
                <w:szCs w:val="18"/>
              </w:rPr>
            </w:pPr>
            <w:r>
              <w:rPr>
                <w:spacing w:val="-9"/>
                <w:sz w:val="18"/>
                <w:szCs w:val="18"/>
              </w:rPr>
              <w:t>白沙新村</w:t>
            </w:r>
          </w:p>
        </w:tc>
        <w:tc>
          <w:tcPr>
            <w:tcW w:w="1731" w:type="dxa"/>
            <w:vAlign w:val="top"/>
          </w:tcPr>
          <w:p w14:paraId="31F46FB1">
            <w:pPr>
              <w:spacing w:before="78"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2.52E-04|25</w:t>
            </w:r>
          </w:p>
        </w:tc>
        <w:tc>
          <w:tcPr>
            <w:tcW w:w="996" w:type="dxa"/>
            <w:vAlign w:val="top"/>
          </w:tcPr>
          <w:p w14:paraId="78308C1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B1040AE">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A1EC502">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0B74435">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02B300F">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2.52E-04</w:t>
            </w:r>
          </w:p>
        </w:tc>
        <w:tc>
          <w:tcPr>
            <w:tcW w:w="927" w:type="dxa"/>
            <w:vAlign w:val="top"/>
          </w:tcPr>
          <w:p w14:paraId="56DD9712">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2.52E-04</w:t>
            </w:r>
          </w:p>
        </w:tc>
      </w:tr>
      <w:tr w14:paraId="2EB8E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DBF79BA">
            <w:pPr>
              <w:pStyle w:val="6"/>
              <w:spacing w:before="50" w:line="219" w:lineRule="auto"/>
              <w:ind w:left="546"/>
              <w:rPr>
                <w:sz w:val="18"/>
                <w:szCs w:val="18"/>
              </w:rPr>
            </w:pPr>
            <w:r>
              <w:rPr>
                <w:spacing w:val="-4"/>
                <w:sz w:val="18"/>
                <w:szCs w:val="18"/>
              </w:rPr>
              <w:t>西城村</w:t>
            </w:r>
          </w:p>
        </w:tc>
        <w:tc>
          <w:tcPr>
            <w:tcW w:w="1731" w:type="dxa"/>
            <w:vAlign w:val="top"/>
          </w:tcPr>
          <w:p w14:paraId="0BE5B137">
            <w:pPr>
              <w:spacing w:before="78"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1.60E-04|40</w:t>
            </w:r>
          </w:p>
        </w:tc>
        <w:tc>
          <w:tcPr>
            <w:tcW w:w="996" w:type="dxa"/>
            <w:vAlign w:val="top"/>
          </w:tcPr>
          <w:p w14:paraId="433CACF8">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5A25E14">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C3BB21A">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D5D4B94">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9BA4677">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BE1F445">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B99E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A7C9AF9">
            <w:pPr>
              <w:pStyle w:val="6"/>
              <w:spacing w:before="52" w:line="219" w:lineRule="auto"/>
              <w:ind w:left="548"/>
              <w:rPr>
                <w:sz w:val="18"/>
                <w:szCs w:val="18"/>
              </w:rPr>
            </w:pPr>
            <w:r>
              <w:rPr>
                <w:spacing w:val="-5"/>
                <w:sz w:val="18"/>
                <w:szCs w:val="18"/>
              </w:rPr>
              <w:t>东湖村</w:t>
            </w:r>
          </w:p>
        </w:tc>
        <w:tc>
          <w:tcPr>
            <w:tcW w:w="1731" w:type="dxa"/>
            <w:vAlign w:val="top"/>
          </w:tcPr>
          <w:p w14:paraId="16591184">
            <w:pPr>
              <w:spacing w:before="77"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1.03E-04|55</w:t>
            </w:r>
          </w:p>
        </w:tc>
        <w:tc>
          <w:tcPr>
            <w:tcW w:w="996" w:type="dxa"/>
            <w:vAlign w:val="top"/>
          </w:tcPr>
          <w:p w14:paraId="1927EEB4">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BD52C56">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D0427F5">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C6F18EA">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8143D2D">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063EF84">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5BDF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6FC5AAEC">
            <w:pPr>
              <w:pStyle w:val="6"/>
              <w:spacing w:before="51" w:line="219" w:lineRule="auto"/>
              <w:ind w:left="542"/>
              <w:rPr>
                <w:sz w:val="18"/>
                <w:szCs w:val="18"/>
              </w:rPr>
            </w:pPr>
            <w:r>
              <w:rPr>
                <w:spacing w:val="-3"/>
                <w:sz w:val="18"/>
                <w:szCs w:val="18"/>
              </w:rPr>
              <w:t>第一村</w:t>
            </w:r>
          </w:p>
        </w:tc>
        <w:tc>
          <w:tcPr>
            <w:tcW w:w="1731" w:type="dxa"/>
            <w:vAlign w:val="top"/>
          </w:tcPr>
          <w:p w14:paraId="3A21CE0D">
            <w:pPr>
              <w:spacing w:before="77"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1.29E-04|50</w:t>
            </w:r>
          </w:p>
        </w:tc>
        <w:tc>
          <w:tcPr>
            <w:tcW w:w="996" w:type="dxa"/>
            <w:vAlign w:val="top"/>
          </w:tcPr>
          <w:p w14:paraId="218B57D0">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EC755BA">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E6A0DC9">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DDC270D">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964B75C">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1053B05">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4349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836ECA0">
            <w:pPr>
              <w:pStyle w:val="6"/>
              <w:spacing w:before="52" w:line="219" w:lineRule="auto"/>
              <w:ind w:left="568"/>
              <w:rPr>
                <w:sz w:val="18"/>
                <w:szCs w:val="18"/>
              </w:rPr>
            </w:pPr>
            <w:r>
              <w:rPr>
                <w:spacing w:val="-12"/>
                <w:sz w:val="18"/>
                <w:szCs w:val="18"/>
              </w:rPr>
              <w:t>白沙村</w:t>
            </w:r>
          </w:p>
        </w:tc>
        <w:tc>
          <w:tcPr>
            <w:tcW w:w="1731" w:type="dxa"/>
            <w:vAlign w:val="top"/>
          </w:tcPr>
          <w:p w14:paraId="08056A71">
            <w:pPr>
              <w:spacing w:before="78"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2.67E-04|25</w:t>
            </w:r>
          </w:p>
        </w:tc>
        <w:tc>
          <w:tcPr>
            <w:tcW w:w="996" w:type="dxa"/>
            <w:vAlign w:val="top"/>
          </w:tcPr>
          <w:p w14:paraId="258F6B6C">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F995A37">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E7541F4">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61BDF2A">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EDCD344">
            <w:pPr>
              <w:spacing w:before="8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2.67E-04</w:t>
            </w:r>
          </w:p>
        </w:tc>
        <w:tc>
          <w:tcPr>
            <w:tcW w:w="927" w:type="dxa"/>
            <w:vAlign w:val="top"/>
          </w:tcPr>
          <w:p w14:paraId="2B1F5635">
            <w:pPr>
              <w:spacing w:before="81"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2.67E-04</w:t>
            </w:r>
          </w:p>
        </w:tc>
      </w:tr>
      <w:tr w14:paraId="0EEB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6C6C1F3">
            <w:pPr>
              <w:pStyle w:val="6"/>
              <w:spacing w:before="51" w:line="219" w:lineRule="auto"/>
              <w:ind w:left="451"/>
              <w:rPr>
                <w:sz w:val="18"/>
                <w:szCs w:val="18"/>
              </w:rPr>
            </w:pPr>
            <w:r>
              <w:rPr>
                <w:spacing w:val="-2"/>
                <w:sz w:val="18"/>
                <w:szCs w:val="18"/>
              </w:rPr>
              <w:t>双桂山村</w:t>
            </w:r>
          </w:p>
        </w:tc>
        <w:tc>
          <w:tcPr>
            <w:tcW w:w="1731" w:type="dxa"/>
            <w:vAlign w:val="top"/>
          </w:tcPr>
          <w:p w14:paraId="427D6A52">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1.51E-04|45</w:t>
            </w:r>
          </w:p>
        </w:tc>
        <w:tc>
          <w:tcPr>
            <w:tcW w:w="996" w:type="dxa"/>
            <w:vAlign w:val="top"/>
          </w:tcPr>
          <w:p w14:paraId="4D7688DA">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31D1464">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39B1555">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8CACD57">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7215038">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8BD9539">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8CAA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34ADBE8">
            <w:pPr>
              <w:pStyle w:val="6"/>
              <w:spacing w:before="51" w:line="219" w:lineRule="auto"/>
              <w:ind w:left="451"/>
              <w:rPr>
                <w:sz w:val="18"/>
                <w:szCs w:val="18"/>
              </w:rPr>
            </w:pPr>
            <w:r>
              <w:rPr>
                <w:spacing w:val="-2"/>
                <w:sz w:val="18"/>
                <w:szCs w:val="18"/>
              </w:rPr>
              <w:t>朱厝坑村</w:t>
            </w:r>
          </w:p>
        </w:tc>
        <w:tc>
          <w:tcPr>
            <w:tcW w:w="1731" w:type="dxa"/>
            <w:vAlign w:val="top"/>
          </w:tcPr>
          <w:p w14:paraId="708ACEB1">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1.36E-04|50</w:t>
            </w:r>
          </w:p>
        </w:tc>
        <w:tc>
          <w:tcPr>
            <w:tcW w:w="996" w:type="dxa"/>
            <w:vAlign w:val="top"/>
          </w:tcPr>
          <w:p w14:paraId="3BFAC4C5">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D44B9FF">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0EEDF7C">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28D0794">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D47AC77">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37125FC">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0989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B5AC55A">
            <w:pPr>
              <w:pStyle w:val="6"/>
              <w:spacing w:before="51" w:line="219" w:lineRule="auto"/>
              <w:ind w:left="541"/>
              <w:rPr>
                <w:sz w:val="18"/>
                <w:szCs w:val="18"/>
              </w:rPr>
            </w:pPr>
            <w:r>
              <w:rPr>
                <w:spacing w:val="-3"/>
                <w:sz w:val="18"/>
                <w:szCs w:val="18"/>
              </w:rPr>
              <w:t>河新村</w:t>
            </w:r>
          </w:p>
        </w:tc>
        <w:tc>
          <w:tcPr>
            <w:tcW w:w="1731" w:type="dxa"/>
            <w:vAlign w:val="top"/>
          </w:tcPr>
          <w:p w14:paraId="1A8E63B2">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2.46E-04|25</w:t>
            </w:r>
          </w:p>
        </w:tc>
        <w:tc>
          <w:tcPr>
            <w:tcW w:w="996" w:type="dxa"/>
            <w:vAlign w:val="top"/>
          </w:tcPr>
          <w:p w14:paraId="23646EB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D781433">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2B3CE19">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989D0A4">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57E543F">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2.46E-04</w:t>
            </w:r>
          </w:p>
        </w:tc>
        <w:tc>
          <w:tcPr>
            <w:tcW w:w="927" w:type="dxa"/>
            <w:vAlign w:val="top"/>
          </w:tcPr>
          <w:p w14:paraId="12ACD850">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2.46E-04</w:t>
            </w:r>
          </w:p>
        </w:tc>
      </w:tr>
      <w:tr w14:paraId="6E16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5DA4B40C">
            <w:pPr>
              <w:pStyle w:val="6"/>
              <w:spacing w:before="53" w:line="219" w:lineRule="auto"/>
              <w:ind w:left="542"/>
              <w:rPr>
                <w:sz w:val="18"/>
                <w:szCs w:val="18"/>
              </w:rPr>
            </w:pPr>
            <w:r>
              <w:rPr>
                <w:spacing w:val="-3"/>
                <w:sz w:val="18"/>
                <w:szCs w:val="18"/>
              </w:rPr>
              <w:t>新丰村</w:t>
            </w:r>
          </w:p>
        </w:tc>
        <w:tc>
          <w:tcPr>
            <w:tcW w:w="1731" w:type="dxa"/>
            <w:vAlign w:val="top"/>
          </w:tcPr>
          <w:p w14:paraId="183190C5">
            <w:pPr>
              <w:spacing w:before="78" w:line="192"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8.68E-04|10</w:t>
            </w:r>
          </w:p>
        </w:tc>
        <w:tc>
          <w:tcPr>
            <w:tcW w:w="996" w:type="dxa"/>
            <w:vAlign w:val="top"/>
          </w:tcPr>
          <w:p w14:paraId="2E0A1BCA">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816CAE7">
            <w:pPr>
              <w:spacing w:before="82"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8.68E-04</w:t>
            </w:r>
          </w:p>
        </w:tc>
        <w:tc>
          <w:tcPr>
            <w:tcW w:w="997" w:type="dxa"/>
            <w:vAlign w:val="top"/>
          </w:tcPr>
          <w:p w14:paraId="459D85AF">
            <w:pPr>
              <w:spacing w:before="82" w:line="188" w:lineRule="auto"/>
              <w:ind w:left="1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8.68E-04</w:t>
            </w:r>
          </w:p>
        </w:tc>
        <w:tc>
          <w:tcPr>
            <w:tcW w:w="938" w:type="dxa"/>
            <w:vAlign w:val="top"/>
          </w:tcPr>
          <w:p w14:paraId="4CE62E21">
            <w:pPr>
              <w:spacing w:before="82" w:line="188"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8.68E-04</w:t>
            </w:r>
          </w:p>
        </w:tc>
        <w:tc>
          <w:tcPr>
            <w:tcW w:w="923" w:type="dxa"/>
            <w:vAlign w:val="top"/>
          </w:tcPr>
          <w:p w14:paraId="5990D22A">
            <w:pPr>
              <w:spacing w:before="8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8.68E-04</w:t>
            </w:r>
          </w:p>
        </w:tc>
        <w:tc>
          <w:tcPr>
            <w:tcW w:w="927" w:type="dxa"/>
            <w:vAlign w:val="top"/>
          </w:tcPr>
          <w:p w14:paraId="5BEDCEBD">
            <w:pPr>
              <w:spacing w:before="82"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8.68E-04</w:t>
            </w:r>
          </w:p>
        </w:tc>
      </w:tr>
      <w:tr w14:paraId="0DD2F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BF10111">
            <w:pPr>
              <w:pStyle w:val="6"/>
              <w:spacing w:before="53" w:line="219" w:lineRule="auto"/>
              <w:ind w:left="452"/>
              <w:rPr>
                <w:sz w:val="18"/>
                <w:szCs w:val="18"/>
              </w:rPr>
            </w:pPr>
            <w:r>
              <w:rPr>
                <w:spacing w:val="-3"/>
                <w:sz w:val="18"/>
                <w:szCs w:val="18"/>
              </w:rPr>
              <w:t>洪宽塘村</w:t>
            </w:r>
          </w:p>
        </w:tc>
        <w:tc>
          <w:tcPr>
            <w:tcW w:w="1731" w:type="dxa"/>
            <w:vAlign w:val="top"/>
          </w:tcPr>
          <w:p w14:paraId="26508788">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19E-03|10</w:t>
            </w:r>
          </w:p>
        </w:tc>
        <w:tc>
          <w:tcPr>
            <w:tcW w:w="996" w:type="dxa"/>
            <w:vAlign w:val="top"/>
          </w:tcPr>
          <w:p w14:paraId="78E4E259">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C6C4B47">
            <w:pPr>
              <w:spacing w:before="82"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6"/>
                <w:sz w:val="18"/>
                <w:szCs w:val="18"/>
              </w:rPr>
              <w:t>19E-03</w:t>
            </w:r>
          </w:p>
        </w:tc>
        <w:tc>
          <w:tcPr>
            <w:tcW w:w="997" w:type="dxa"/>
            <w:vAlign w:val="top"/>
          </w:tcPr>
          <w:p w14:paraId="4FFB7C0D">
            <w:pPr>
              <w:spacing w:before="8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6"/>
                <w:sz w:val="18"/>
                <w:szCs w:val="18"/>
              </w:rPr>
              <w:t>19E-03</w:t>
            </w:r>
          </w:p>
        </w:tc>
        <w:tc>
          <w:tcPr>
            <w:tcW w:w="938" w:type="dxa"/>
            <w:vAlign w:val="top"/>
          </w:tcPr>
          <w:p w14:paraId="7DE5FBCC">
            <w:pPr>
              <w:spacing w:before="82"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5"/>
                <w:sz w:val="18"/>
                <w:szCs w:val="18"/>
              </w:rPr>
              <w:t>19E-03</w:t>
            </w:r>
          </w:p>
        </w:tc>
        <w:tc>
          <w:tcPr>
            <w:tcW w:w="923" w:type="dxa"/>
            <w:vAlign w:val="top"/>
          </w:tcPr>
          <w:p w14:paraId="1CB29F86">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6"/>
                <w:sz w:val="18"/>
                <w:szCs w:val="18"/>
              </w:rPr>
              <w:t>19E-03</w:t>
            </w:r>
          </w:p>
        </w:tc>
        <w:tc>
          <w:tcPr>
            <w:tcW w:w="927" w:type="dxa"/>
            <w:vAlign w:val="top"/>
          </w:tcPr>
          <w:p w14:paraId="7F5731D2">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6"/>
                <w:sz w:val="18"/>
                <w:szCs w:val="18"/>
              </w:rPr>
              <w:t>19E-03</w:t>
            </w:r>
          </w:p>
        </w:tc>
      </w:tr>
      <w:tr w14:paraId="383C7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53CA1335">
            <w:pPr>
              <w:pStyle w:val="6"/>
              <w:spacing w:before="53" w:line="219" w:lineRule="auto"/>
              <w:ind w:left="542"/>
              <w:rPr>
                <w:sz w:val="18"/>
                <w:szCs w:val="18"/>
              </w:rPr>
            </w:pPr>
            <w:r>
              <w:rPr>
                <w:spacing w:val="-3"/>
                <w:sz w:val="18"/>
                <w:szCs w:val="18"/>
              </w:rPr>
              <w:t>新埔村</w:t>
            </w:r>
          </w:p>
        </w:tc>
        <w:tc>
          <w:tcPr>
            <w:tcW w:w="1731" w:type="dxa"/>
            <w:vAlign w:val="top"/>
          </w:tcPr>
          <w:p w14:paraId="22877DBF">
            <w:pPr>
              <w:spacing w:before="79"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7.43E-05|60</w:t>
            </w:r>
          </w:p>
        </w:tc>
        <w:tc>
          <w:tcPr>
            <w:tcW w:w="996" w:type="dxa"/>
            <w:vAlign w:val="top"/>
          </w:tcPr>
          <w:p w14:paraId="2CD8F2F3">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72BD44D">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002DF75">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56A35EE">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F51A929">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D9F8DB2">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bl>
    <w:p w14:paraId="5DCD810B">
      <w:pPr>
        <w:spacing w:line="318" w:lineRule="auto"/>
        <w:rPr>
          <w:rFonts w:ascii="Arial"/>
          <w:sz w:val="21"/>
        </w:rPr>
      </w:pPr>
    </w:p>
    <w:p w14:paraId="4C2ED514">
      <w:pPr>
        <w:spacing w:before="78" w:line="210" w:lineRule="auto"/>
        <w:ind w:left="426"/>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2"/>
          <w:sz w:val="24"/>
          <w:szCs w:val="24"/>
        </w:rPr>
        <w:t xml:space="preserve">35    </w:t>
      </w:r>
      <w:r>
        <w:rPr>
          <w:rFonts w:ascii="宋体" w:hAnsi="宋体" w:eastAsia="宋体" w:cs="宋体"/>
          <w:b/>
          <w:bCs/>
          <w:spacing w:val="-2"/>
          <w:sz w:val="24"/>
          <w:szCs w:val="24"/>
        </w:rPr>
        <w:t>最不利气象条件下各关心点硝酸浓度随时间变化情况（单位：</w:t>
      </w:r>
      <w:r>
        <w:rPr>
          <w:rFonts w:ascii="Times New Roman" w:hAnsi="Times New Roman" w:eastAsia="Times New Roman" w:cs="Times New Roman"/>
          <w:b/>
          <w:bCs/>
          <w:spacing w:val="-2"/>
          <w:sz w:val="24"/>
          <w:szCs w:val="24"/>
        </w:rPr>
        <w:t>mg/m</w:t>
      </w:r>
      <w:r>
        <w:rPr>
          <w:rFonts w:ascii="宋体" w:hAnsi="宋体" w:eastAsia="宋体" w:cs="宋体"/>
          <w:b/>
          <w:bCs/>
          <w:spacing w:val="-2"/>
          <w:sz w:val="24"/>
          <w:szCs w:val="24"/>
        </w:rPr>
        <w:t>³</w:t>
      </w:r>
      <w:r>
        <w:rPr>
          <w:rFonts w:ascii="宋体" w:hAnsi="宋体" w:eastAsia="宋体" w:cs="宋体"/>
          <w:spacing w:val="-85"/>
          <w:sz w:val="24"/>
          <w:szCs w:val="24"/>
        </w:rPr>
        <w:t xml:space="preserve"> </w:t>
      </w:r>
      <w:r>
        <w:rPr>
          <w:rFonts w:ascii="宋体" w:hAnsi="宋体" w:eastAsia="宋体" w:cs="宋体"/>
          <w:b/>
          <w:bCs/>
          <w:spacing w:val="-2"/>
          <w:sz w:val="24"/>
          <w:szCs w:val="24"/>
        </w:rPr>
        <w:t>)</w:t>
      </w:r>
    </w:p>
    <w:p w14:paraId="5930DC11">
      <w:pPr>
        <w:spacing w:line="157"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2B124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614" w:type="dxa"/>
            <w:vAlign w:val="top"/>
          </w:tcPr>
          <w:p w14:paraId="33C69AA3">
            <w:pPr>
              <w:pStyle w:val="6"/>
              <w:spacing w:before="60" w:line="220" w:lineRule="auto"/>
              <w:ind w:left="365"/>
              <w:rPr>
                <w:sz w:val="18"/>
                <w:szCs w:val="18"/>
              </w:rPr>
            </w:pPr>
            <w:r>
              <w:rPr>
                <w:spacing w:val="-2"/>
                <w:sz w:val="18"/>
                <w:szCs w:val="18"/>
              </w:rPr>
              <w:t>关心点名称</w:t>
            </w:r>
          </w:p>
        </w:tc>
        <w:tc>
          <w:tcPr>
            <w:tcW w:w="1731" w:type="dxa"/>
            <w:vAlign w:val="top"/>
          </w:tcPr>
          <w:p w14:paraId="03C34A91">
            <w:pPr>
              <w:pStyle w:val="6"/>
              <w:spacing w:before="59" w:line="210" w:lineRule="auto"/>
              <w:ind w:left="113"/>
              <w:rPr>
                <w:rFonts w:ascii="Times New Roman" w:hAnsi="Times New Roman" w:eastAsia="Times New Roman" w:cs="Times New Roman"/>
                <w:sz w:val="18"/>
                <w:szCs w:val="18"/>
              </w:rPr>
            </w:pPr>
            <w:r>
              <w:rPr>
                <w:spacing w:val="-1"/>
                <w:sz w:val="18"/>
                <w:szCs w:val="18"/>
              </w:rPr>
              <w:t>最大浓度</w:t>
            </w:r>
            <w:r>
              <w:rPr>
                <w:rFonts w:ascii="Times New Roman" w:hAnsi="Times New Roman" w:eastAsia="Times New Roman" w:cs="Times New Roman"/>
                <w:spacing w:val="-1"/>
                <w:sz w:val="18"/>
                <w:szCs w:val="18"/>
              </w:rPr>
              <w:t>|</w:t>
            </w:r>
            <w:r>
              <w:rPr>
                <w:spacing w:val="-1"/>
                <w:sz w:val="18"/>
                <w:szCs w:val="18"/>
              </w:rPr>
              <w:t>时间</w:t>
            </w:r>
            <w:r>
              <w:rPr>
                <w:rFonts w:ascii="Times New Roman" w:hAnsi="Times New Roman" w:eastAsia="Times New Roman" w:cs="Times New Roman"/>
                <w:spacing w:val="-1"/>
                <w:sz w:val="18"/>
                <w:szCs w:val="18"/>
              </w:rPr>
              <w:t>(min)</w:t>
            </w:r>
          </w:p>
        </w:tc>
        <w:tc>
          <w:tcPr>
            <w:tcW w:w="996" w:type="dxa"/>
            <w:vAlign w:val="top"/>
          </w:tcPr>
          <w:p w14:paraId="5D6F16DD">
            <w:pPr>
              <w:spacing w:before="85" w:line="192"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5min</w:t>
            </w:r>
          </w:p>
        </w:tc>
        <w:tc>
          <w:tcPr>
            <w:tcW w:w="938" w:type="dxa"/>
            <w:vAlign w:val="top"/>
          </w:tcPr>
          <w:p w14:paraId="18ED3178">
            <w:pPr>
              <w:spacing w:before="85" w:line="192"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10min</w:t>
            </w:r>
          </w:p>
        </w:tc>
        <w:tc>
          <w:tcPr>
            <w:tcW w:w="997" w:type="dxa"/>
            <w:vAlign w:val="top"/>
          </w:tcPr>
          <w:p w14:paraId="339945AC">
            <w:pPr>
              <w:spacing w:before="85" w:line="192"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15min</w:t>
            </w:r>
          </w:p>
        </w:tc>
        <w:tc>
          <w:tcPr>
            <w:tcW w:w="938" w:type="dxa"/>
            <w:vAlign w:val="top"/>
          </w:tcPr>
          <w:p w14:paraId="57F8DC75">
            <w:pPr>
              <w:spacing w:before="85"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20min</w:t>
            </w:r>
          </w:p>
        </w:tc>
        <w:tc>
          <w:tcPr>
            <w:tcW w:w="923" w:type="dxa"/>
            <w:vAlign w:val="top"/>
          </w:tcPr>
          <w:p w14:paraId="2DD01EE5">
            <w:pPr>
              <w:spacing w:before="85" w:line="192"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25min</w:t>
            </w:r>
          </w:p>
        </w:tc>
        <w:tc>
          <w:tcPr>
            <w:tcW w:w="927" w:type="dxa"/>
            <w:vAlign w:val="top"/>
          </w:tcPr>
          <w:p w14:paraId="2F35DB4E">
            <w:pPr>
              <w:spacing w:before="85" w:line="192"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30min</w:t>
            </w:r>
          </w:p>
        </w:tc>
      </w:tr>
      <w:tr w14:paraId="6D9F0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2C15702">
            <w:pPr>
              <w:pStyle w:val="6"/>
              <w:spacing w:before="48" w:line="219" w:lineRule="auto"/>
              <w:ind w:left="544"/>
              <w:rPr>
                <w:sz w:val="18"/>
                <w:szCs w:val="18"/>
              </w:rPr>
            </w:pPr>
            <w:r>
              <w:rPr>
                <w:spacing w:val="-4"/>
                <w:sz w:val="18"/>
                <w:szCs w:val="18"/>
              </w:rPr>
              <w:t>大嶂村</w:t>
            </w:r>
          </w:p>
        </w:tc>
        <w:tc>
          <w:tcPr>
            <w:tcW w:w="1731" w:type="dxa"/>
            <w:vAlign w:val="top"/>
          </w:tcPr>
          <w:p w14:paraId="21B87CF5">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1.89E-02|55</w:t>
            </w:r>
          </w:p>
        </w:tc>
        <w:tc>
          <w:tcPr>
            <w:tcW w:w="996" w:type="dxa"/>
            <w:vAlign w:val="top"/>
          </w:tcPr>
          <w:p w14:paraId="3859EEAA">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2960EED">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8B83C11">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B7195F6">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145D21A">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59CED74">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4735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430BBAE">
            <w:pPr>
              <w:pStyle w:val="6"/>
              <w:spacing w:before="50" w:line="220" w:lineRule="auto"/>
              <w:ind w:left="633"/>
              <w:rPr>
                <w:sz w:val="18"/>
                <w:szCs w:val="18"/>
              </w:rPr>
            </w:pPr>
            <w:r>
              <w:rPr>
                <w:spacing w:val="-5"/>
                <w:sz w:val="18"/>
                <w:szCs w:val="18"/>
              </w:rPr>
              <w:t>兵营</w:t>
            </w:r>
          </w:p>
        </w:tc>
        <w:tc>
          <w:tcPr>
            <w:tcW w:w="1731" w:type="dxa"/>
            <w:vAlign w:val="top"/>
          </w:tcPr>
          <w:p w14:paraId="54780E90">
            <w:pPr>
              <w:spacing w:before="75"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3"/>
                <w:sz w:val="18"/>
                <w:szCs w:val="18"/>
              </w:rPr>
              <w:t>18E-02|30</w:t>
            </w:r>
          </w:p>
        </w:tc>
        <w:tc>
          <w:tcPr>
            <w:tcW w:w="996" w:type="dxa"/>
            <w:vAlign w:val="top"/>
          </w:tcPr>
          <w:p w14:paraId="69BE2E8E">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F1B9CB7">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A1AC346">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9159CB8">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C3008AF">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878EA2A">
            <w:pPr>
              <w:spacing w:before="79"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18E-02</w:t>
            </w:r>
          </w:p>
        </w:tc>
      </w:tr>
      <w:tr w14:paraId="21854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16631D78">
            <w:pPr>
              <w:pStyle w:val="6"/>
              <w:spacing w:before="50" w:line="219" w:lineRule="auto"/>
              <w:ind w:left="552"/>
              <w:rPr>
                <w:sz w:val="18"/>
                <w:szCs w:val="18"/>
              </w:rPr>
            </w:pPr>
            <w:r>
              <w:rPr>
                <w:spacing w:val="-6"/>
                <w:sz w:val="18"/>
                <w:szCs w:val="18"/>
              </w:rPr>
              <w:t>陈庄村</w:t>
            </w:r>
          </w:p>
        </w:tc>
        <w:tc>
          <w:tcPr>
            <w:tcW w:w="1731" w:type="dxa"/>
            <w:vAlign w:val="top"/>
          </w:tcPr>
          <w:p w14:paraId="4BFCE5B8">
            <w:pPr>
              <w:spacing w:before="76"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3.66E-02|35</w:t>
            </w:r>
          </w:p>
        </w:tc>
        <w:tc>
          <w:tcPr>
            <w:tcW w:w="996" w:type="dxa"/>
            <w:vAlign w:val="top"/>
          </w:tcPr>
          <w:p w14:paraId="6CC98276">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F8DBED9">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E47CEF0">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C11B827">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A82131C">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C20FC55">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90F8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7368033">
            <w:pPr>
              <w:pStyle w:val="6"/>
              <w:spacing w:before="51" w:line="219" w:lineRule="auto"/>
              <w:ind w:left="460"/>
              <w:rPr>
                <w:sz w:val="18"/>
                <w:szCs w:val="18"/>
              </w:rPr>
            </w:pPr>
            <w:r>
              <w:rPr>
                <w:spacing w:val="-5"/>
                <w:sz w:val="18"/>
                <w:szCs w:val="18"/>
              </w:rPr>
              <w:t>陈林新村</w:t>
            </w:r>
          </w:p>
        </w:tc>
        <w:tc>
          <w:tcPr>
            <w:tcW w:w="1731" w:type="dxa"/>
            <w:vAlign w:val="top"/>
          </w:tcPr>
          <w:p w14:paraId="78AC0CE3">
            <w:pPr>
              <w:spacing w:before="77"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2.94E-02|40</w:t>
            </w:r>
          </w:p>
        </w:tc>
        <w:tc>
          <w:tcPr>
            <w:tcW w:w="996" w:type="dxa"/>
            <w:vAlign w:val="top"/>
          </w:tcPr>
          <w:p w14:paraId="4EDD56EC">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AA4E6C4">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6F55CBC">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D3773B8">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3C96B56">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F03849D">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3A9F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AC49D63">
            <w:pPr>
              <w:pStyle w:val="6"/>
              <w:spacing w:before="50" w:line="219" w:lineRule="auto"/>
              <w:ind w:left="452"/>
              <w:rPr>
                <w:sz w:val="18"/>
                <w:szCs w:val="18"/>
              </w:rPr>
            </w:pPr>
            <w:r>
              <w:rPr>
                <w:spacing w:val="-3"/>
                <w:sz w:val="18"/>
                <w:szCs w:val="18"/>
              </w:rPr>
              <w:t>金钱埔村</w:t>
            </w:r>
          </w:p>
        </w:tc>
        <w:tc>
          <w:tcPr>
            <w:tcW w:w="1731" w:type="dxa"/>
            <w:vAlign w:val="top"/>
          </w:tcPr>
          <w:p w14:paraId="668C7917">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1.68E-01|15</w:t>
            </w:r>
          </w:p>
        </w:tc>
        <w:tc>
          <w:tcPr>
            <w:tcW w:w="996" w:type="dxa"/>
            <w:vAlign w:val="top"/>
          </w:tcPr>
          <w:p w14:paraId="0F22A740">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FC6C591">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21595D3">
            <w:pPr>
              <w:spacing w:before="8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1.68E-01</w:t>
            </w:r>
          </w:p>
        </w:tc>
        <w:tc>
          <w:tcPr>
            <w:tcW w:w="938" w:type="dxa"/>
            <w:vAlign w:val="top"/>
          </w:tcPr>
          <w:p w14:paraId="0B2DAB31">
            <w:pPr>
              <w:spacing w:before="82"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1.68E-01</w:t>
            </w:r>
          </w:p>
        </w:tc>
        <w:tc>
          <w:tcPr>
            <w:tcW w:w="923" w:type="dxa"/>
            <w:vAlign w:val="top"/>
          </w:tcPr>
          <w:p w14:paraId="4DE97C83">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1.68E-01</w:t>
            </w:r>
          </w:p>
        </w:tc>
        <w:tc>
          <w:tcPr>
            <w:tcW w:w="927" w:type="dxa"/>
            <w:vAlign w:val="top"/>
          </w:tcPr>
          <w:p w14:paraId="6D2D82CF">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1.68E-01</w:t>
            </w:r>
          </w:p>
        </w:tc>
      </w:tr>
      <w:tr w14:paraId="1F0D9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514E800">
            <w:pPr>
              <w:pStyle w:val="6"/>
              <w:spacing w:before="51" w:line="219" w:lineRule="auto"/>
              <w:ind w:left="543"/>
              <w:rPr>
                <w:sz w:val="18"/>
                <w:szCs w:val="18"/>
              </w:rPr>
            </w:pPr>
            <w:r>
              <w:rPr>
                <w:spacing w:val="-3"/>
                <w:sz w:val="18"/>
                <w:szCs w:val="18"/>
              </w:rPr>
              <w:t>罗北村</w:t>
            </w:r>
          </w:p>
        </w:tc>
        <w:tc>
          <w:tcPr>
            <w:tcW w:w="1731" w:type="dxa"/>
            <w:vAlign w:val="top"/>
          </w:tcPr>
          <w:p w14:paraId="75D65F57">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2.63E-02|40</w:t>
            </w:r>
          </w:p>
        </w:tc>
        <w:tc>
          <w:tcPr>
            <w:tcW w:w="996" w:type="dxa"/>
            <w:vAlign w:val="top"/>
          </w:tcPr>
          <w:p w14:paraId="6258F735">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AEF433B">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E5DEC44">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B69E2B1">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A7F4975">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FC61482">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E30B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2A7314EE">
            <w:pPr>
              <w:pStyle w:val="6"/>
              <w:spacing w:before="51" w:line="219" w:lineRule="auto"/>
              <w:ind w:left="543"/>
              <w:rPr>
                <w:sz w:val="18"/>
                <w:szCs w:val="18"/>
              </w:rPr>
            </w:pPr>
            <w:r>
              <w:rPr>
                <w:spacing w:val="-3"/>
                <w:sz w:val="18"/>
                <w:szCs w:val="18"/>
              </w:rPr>
              <w:t>上乡村</w:t>
            </w:r>
          </w:p>
        </w:tc>
        <w:tc>
          <w:tcPr>
            <w:tcW w:w="1731" w:type="dxa"/>
            <w:vAlign w:val="top"/>
          </w:tcPr>
          <w:p w14:paraId="3692AA59">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2.79E-02|40</w:t>
            </w:r>
          </w:p>
        </w:tc>
        <w:tc>
          <w:tcPr>
            <w:tcW w:w="996" w:type="dxa"/>
            <w:vAlign w:val="top"/>
          </w:tcPr>
          <w:p w14:paraId="7EA11E39">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0EF4295">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74C1FB2">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54B6B12">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B104980">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54EBE4B">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702E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84C209F">
            <w:pPr>
              <w:pStyle w:val="6"/>
              <w:spacing w:before="54" w:line="219" w:lineRule="auto"/>
              <w:ind w:left="541"/>
              <w:rPr>
                <w:sz w:val="18"/>
                <w:szCs w:val="18"/>
              </w:rPr>
            </w:pPr>
            <w:r>
              <w:rPr>
                <w:spacing w:val="-3"/>
                <w:sz w:val="18"/>
                <w:szCs w:val="18"/>
              </w:rPr>
              <w:t>港墘村</w:t>
            </w:r>
          </w:p>
        </w:tc>
        <w:tc>
          <w:tcPr>
            <w:tcW w:w="1731" w:type="dxa"/>
            <w:vAlign w:val="top"/>
          </w:tcPr>
          <w:p w14:paraId="2A87CD5D">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2.68E-02|40</w:t>
            </w:r>
          </w:p>
        </w:tc>
        <w:tc>
          <w:tcPr>
            <w:tcW w:w="996" w:type="dxa"/>
            <w:vAlign w:val="top"/>
          </w:tcPr>
          <w:p w14:paraId="0A1680E2">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76C8A3B">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41F26BC">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4C9F79C">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6461100">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5300316">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221A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28B75F6">
            <w:pPr>
              <w:pStyle w:val="6"/>
              <w:spacing w:before="53" w:line="219" w:lineRule="auto"/>
              <w:ind w:left="543"/>
              <w:rPr>
                <w:sz w:val="18"/>
                <w:szCs w:val="18"/>
              </w:rPr>
            </w:pPr>
            <w:r>
              <w:rPr>
                <w:spacing w:val="-3"/>
                <w:sz w:val="18"/>
                <w:szCs w:val="18"/>
              </w:rPr>
              <w:t>罗东村</w:t>
            </w:r>
          </w:p>
        </w:tc>
        <w:tc>
          <w:tcPr>
            <w:tcW w:w="1731" w:type="dxa"/>
            <w:vAlign w:val="top"/>
          </w:tcPr>
          <w:p w14:paraId="6AC71A3B">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6.04E-02|25</w:t>
            </w:r>
          </w:p>
        </w:tc>
        <w:tc>
          <w:tcPr>
            <w:tcW w:w="996" w:type="dxa"/>
            <w:vAlign w:val="top"/>
          </w:tcPr>
          <w:p w14:paraId="3D03B83E">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637647A">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6813F60">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75DE058">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7D7AF92">
            <w:pPr>
              <w:spacing w:before="8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6.04E-02</w:t>
            </w:r>
          </w:p>
        </w:tc>
        <w:tc>
          <w:tcPr>
            <w:tcW w:w="927" w:type="dxa"/>
            <w:vAlign w:val="top"/>
          </w:tcPr>
          <w:p w14:paraId="77F088E7">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6.04E-02</w:t>
            </w:r>
          </w:p>
        </w:tc>
      </w:tr>
      <w:tr w14:paraId="2BAEF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A1083BA">
            <w:pPr>
              <w:pStyle w:val="6"/>
              <w:spacing w:before="53" w:line="219" w:lineRule="auto"/>
              <w:ind w:left="363"/>
              <w:rPr>
                <w:sz w:val="18"/>
                <w:szCs w:val="18"/>
              </w:rPr>
            </w:pPr>
            <w:r>
              <w:rPr>
                <w:spacing w:val="-2"/>
                <w:sz w:val="18"/>
                <w:szCs w:val="18"/>
              </w:rPr>
              <w:t>罗北新乡村</w:t>
            </w:r>
          </w:p>
        </w:tc>
        <w:tc>
          <w:tcPr>
            <w:tcW w:w="1731" w:type="dxa"/>
            <w:vAlign w:val="top"/>
          </w:tcPr>
          <w:p w14:paraId="1B157917">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1.96E-02|50</w:t>
            </w:r>
          </w:p>
        </w:tc>
        <w:tc>
          <w:tcPr>
            <w:tcW w:w="996" w:type="dxa"/>
            <w:vAlign w:val="top"/>
          </w:tcPr>
          <w:p w14:paraId="2978DD67">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41C3263">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628BF8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8C4C541">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01EADBB">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2118CC3">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0EA7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CB7BA47">
            <w:pPr>
              <w:pStyle w:val="6"/>
              <w:spacing w:before="52" w:line="219" w:lineRule="auto"/>
              <w:ind w:left="542"/>
              <w:rPr>
                <w:sz w:val="18"/>
                <w:szCs w:val="18"/>
              </w:rPr>
            </w:pPr>
            <w:r>
              <w:rPr>
                <w:spacing w:val="-3"/>
                <w:sz w:val="18"/>
                <w:szCs w:val="18"/>
              </w:rPr>
              <w:t>长湖村</w:t>
            </w:r>
          </w:p>
        </w:tc>
        <w:tc>
          <w:tcPr>
            <w:tcW w:w="1731" w:type="dxa"/>
            <w:vAlign w:val="top"/>
          </w:tcPr>
          <w:p w14:paraId="377730E7">
            <w:pPr>
              <w:spacing w:before="81"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2.53E-02|45</w:t>
            </w:r>
          </w:p>
        </w:tc>
        <w:tc>
          <w:tcPr>
            <w:tcW w:w="996" w:type="dxa"/>
            <w:vAlign w:val="top"/>
          </w:tcPr>
          <w:p w14:paraId="73C0478E">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7588E35">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D6394AB">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DBF2981">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CF1F45B">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5F3740F">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2AE7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95061D8">
            <w:pPr>
              <w:pStyle w:val="6"/>
              <w:spacing w:before="52" w:line="219" w:lineRule="auto"/>
              <w:ind w:left="544"/>
              <w:rPr>
                <w:sz w:val="18"/>
                <w:szCs w:val="18"/>
              </w:rPr>
            </w:pPr>
            <w:r>
              <w:rPr>
                <w:spacing w:val="-4"/>
                <w:sz w:val="18"/>
                <w:szCs w:val="18"/>
              </w:rPr>
              <w:t>炉洋村</w:t>
            </w:r>
          </w:p>
        </w:tc>
        <w:tc>
          <w:tcPr>
            <w:tcW w:w="1731" w:type="dxa"/>
            <w:vAlign w:val="top"/>
          </w:tcPr>
          <w:p w14:paraId="3D6925F0">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2.05E-02|50</w:t>
            </w:r>
          </w:p>
        </w:tc>
        <w:tc>
          <w:tcPr>
            <w:tcW w:w="996" w:type="dxa"/>
            <w:vAlign w:val="top"/>
          </w:tcPr>
          <w:p w14:paraId="7C3043E9">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DD810A3">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3A53AA0">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C7B1257">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CFE9318">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AC05351">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7C46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879821A">
            <w:pPr>
              <w:pStyle w:val="6"/>
              <w:spacing w:before="52" w:line="219" w:lineRule="auto"/>
              <w:ind w:left="544"/>
              <w:rPr>
                <w:sz w:val="18"/>
                <w:szCs w:val="18"/>
              </w:rPr>
            </w:pPr>
            <w:r>
              <w:rPr>
                <w:spacing w:val="-4"/>
                <w:sz w:val="18"/>
                <w:szCs w:val="18"/>
              </w:rPr>
              <w:t>南笏村</w:t>
            </w:r>
          </w:p>
        </w:tc>
        <w:tc>
          <w:tcPr>
            <w:tcW w:w="1731" w:type="dxa"/>
            <w:vAlign w:val="top"/>
          </w:tcPr>
          <w:p w14:paraId="6370CD75">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15E-02|50</w:t>
            </w:r>
          </w:p>
        </w:tc>
        <w:tc>
          <w:tcPr>
            <w:tcW w:w="996" w:type="dxa"/>
            <w:vAlign w:val="top"/>
          </w:tcPr>
          <w:p w14:paraId="33233A84">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BE57C8D">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C1D34B6">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A2A4917">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3FB4AC8">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6104330">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6DD8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B409065">
            <w:pPr>
              <w:pStyle w:val="6"/>
              <w:spacing w:before="54" w:line="219" w:lineRule="auto"/>
              <w:ind w:left="542"/>
              <w:rPr>
                <w:sz w:val="18"/>
                <w:szCs w:val="18"/>
              </w:rPr>
            </w:pPr>
            <w:r>
              <w:rPr>
                <w:spacing w:val="-3"/>
                <w:sz w:val="18"/>
                <w:szCs w:val="18"/>
              </w:rPr>
              <w:t>新厝村</w:t>
            </w:r>
          </w:p>
        </w:tc>
        <w:tc>
          <w:tcPr>
            <w:tcW w:w="1731" w:type="dxa"/>
            <w:vAlign w:val="top"/>
          </w:tcPr>
          <w:p w14:paraId="1E606035">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1.85E-02|55</w:t>
            </w:r>
          </w:p>
        </w:tc>
        <w:tc>
          <w:tcPr>
            <w:tcW w:w="996" w:type="dxa"/>
            <w:vAlign w:val="top"/>
          </w:tcPr>
          <w:p w14:paraId="19BE19D9">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40E038C">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126AA4E">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CF19335">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0F3D186">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79287C8">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C5B4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0606510">
            <w:pPr>
              <w:pStyle w:val="6"/>
              <w:spacing w:before="53" w:line="219" w:lineRule="auto"/>
              <w:ind w:left="543"/>
              <w:rPr>
                <w:sz w:val="18"/>
                <w:szCs w:val="18"/>
              </w:rPr>
            </w:pPr>
            <w:r>
              <w:rPr>
                <w:spacing w:val="-3"/>
                <w:sz w:val="18"/>
                <w:szCs w:val="18"/>
              </w:rPr>
              <w:t>上达村</w:t>
            </w:r>
          </w:p>
        </w:tc>
        <w:tc>
          <w:tcPr>
            <w:tcW w:w="1731" w:type="dxa"/>
            <w:vAlign w:val="top"/>
          </w:tcPr>
          <w:p w14:paraId="11868FE4">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2.56E-02|45</w:t>
            </w:r>
          </w:p>
        </w:tc>
        <w:tc>
          <w:tcPr>
            <w:tcW w:w="996" w:type="dxa"/>
            <w:vAlign w:val="top"/>
          </w:tcPr>
          <w:p w14:paraId="2EFD20BD">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7EAA942">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93694BC">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50189E3">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8B53CA3">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65613E9">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194C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D6E7402">
            <w:pPr>
              <w:pStyle w:val="6"/>
              <w:spacing w:before="53" w:line="219" w:lineRule="auto"/>
              <w:ind w:left="547"/>
              <w:rPr>
                <w:sz w:val="18"/>
                <w:szCs w:val="18"/>
              </w:rPr>
            </w:pPr>
            <w:r>
              <w:rPr>
                <w:spacing w:val="-5"/>
                <w:sz w:val="18"/>
                <w:szCs w:val="18"/>
              </w:rPr>
              <w:t>下达村</w:t>
            </w:r>
          </w:p>
        </w:tc>
        <w:tc>
          <w:tcPr>
            <w:tcW w:w="1731" w:type="dxa"/>
            <w:vAlign w:val="top"/>
          </w:tcPr>
          <w:p w14:paraId="041F3949">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2.09E-02|50</w:t>
            </w:r>
          </w:p>
        </w:tc>
        <w:tc>
          <w:tcPr>
            <w:tcW w:w="996" w:type="dxa"/>
            <w:vAlign w:val="top"/>
          </w:tcPr>
          <w:p w14:paraId="610B999A">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829C46F">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9E42980">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1C2BF0E">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DD9C126">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5DB8F65">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A140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72A00E0">
            <w:pPr>
              <w:pStyle w:val="6"/>
              <w:spacing w:before="52" w:line="219" w:lineRule="auto"/>
              <w:ind w:left="541"/>
              <w:rPr>
                <w:sz w:val="18"/>
                <w:szCs w:val="18"/>
              </w:rPr>
            </w:pPr>
            <w:r>
              <w:rPr>
                <w:spacing w:val="-3"/>
                <w:sz w:val="18"/>
                <w:szCs w:val="18"/>
              </w:rPr>
              <w:t>仓前村</w:t>
            </w:r>
          </w:p>
        </w:tc>
        <w:tc>
          <w:tcPr>
            <w:tcW w:w="1731" w:type="dxa"/>
            <w:vAlign w:val="top"/>
          </w:tcPr>
          <w:p w14:paraId="2DBBC987">
            <w:pPr>
              <w:spacing w:before="81"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19E-02|35</w:t>
            </w:r>
          </w:p>
        </w:tc>
        <w:tc>
          <w:tcPr>
            <w:tcW w:w="996" w:type="dxa"/>
            <w:vAlign w:val="top"/>
          </w:tcPr>
          <w:p w14:paraId="0648C2AE">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A1D1B55">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E21451F">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EA9F3D8">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1DE60DE">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7477CBC">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20FF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A1F564C">
            <w:pPr>
              <w:pStyle w:val="6"/>
              <w:spacing w:before="52" w:line="219" w:lineRule="auto"/>
              <w:ind w:left="553"/>
              <w:rPr>
                <w:sz w:val="18"/>
                <w:szCs w:val="18"/>
              </w:rPr>
            </w:pPr>
            <w:r>
              <w:rPr>
                <w:spacing w:val="-7"/>
                <w:sz w:val="18"/>
                <w:szCs w:val="18"/>
              </w:rPr>
              <w:t>陇东村</w:t>
            </w:r>
          </w:p>
        </w:tc>
        <w:tc>
          <w:tcPr>
            <w:tcW w:w="1731" w:type="dxa"/>
            <w:vAlign w:val="top"/>
          </w:tcPr>
          <w:p w14:paraId="715CD353">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2.20E-02|45</w:t>
            </w:r>
          </w:p>
        </w:tc>
        <w:tc>
          <w:tcPr>
            <w:tcW w:w="996" w:type="dxa"/>
            <w:vAlign w:val="top"/>
          </w:tcPr>
          <w:p w14:paraId="28648AF2">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C2ADD35">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C4BE12B">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DDBAA62">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8AF1E15">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04EF713">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CA3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2C87DFC">
            <w:pPr>
              <w:pStyle w:val="6"/>
              <w:spacing w:before="52" w:line="219" w:lineRule="auto"/>
              <w:ind w:left="549"/>
              <w:rPr>
                <w:sz w:val="18"/>
                <w:szCs w:val="18"/>
              </w:rPr>
            </w:pPr>
            <w:r>
              <w:rPr>
                <w:spacing w:val="-5"/>
                <w:sz w:val="18"/>
                <w:szCs w:val="18"/>
              </w:rPr>
              <w:t>笏雅村</w:t>
            </w:r>
          </w:p>
        </w:tc>
        <w:tc>
          <w:tcPr>
            <w:tcW w:w="1731" w:type="dxa"/>
            <w:vAlign w:val="top"/>
          </w:tcPr>
          <w:p w14:paraId="0CD171D0">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13E-02|50</w:t>
            </w:r>
          </w:p>
        </w:tc>
        <w:tc>
          <w:tcPr>
            <w:tcW w:w="996" w:type="dxa"/>
            <w:vAlign w:val="top"/>
          </w:tcPr>
          <w:p w14:paraId="596D9C30">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32593E3">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C125526">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C030D0B">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A66B809">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97A4F02">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54E7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741AC88">
            <w:pPr>
              <w:pStyle w:val="6"/>
              <w:spacing w:before="54" w:line="219" w:lineRule="auto"/>
              <w:ind w:left="548"/>
              <w:rPr>
                <w:sz w:val="18"/>
                <w:szCs w:val="18"/>
              </w:rPr>
            </w:pPr>
            <w:r>
              <w:rPr>
                <w:spacing w:val="-5"/>
                <w:sz w:val="18"/>
                <w:szCs w:val="18"/>
              </w:rPr>
              <w:t>东新村</w:t>
            </w:r>
          </w:p>
        </w:tc>
        <w:tc>
          <w:tcPr>
            <w:tcW w:w="1731" w:type="dxa"/>
            <w:vAlign w:val="top"/>
          </w:tcPr>
          <w:p w14:paraId="080804C6">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1.99E-02|50</w:t>
            </w:r>
          </w:p>
        </w:tc>
        <w:tc>
          <w:tcPr>
            <w:tcW w:w="996" w:type="dxa"/>
            <w:vAlign w:val="top"/>
          </w:tcPr>
          <w:p w14:paraId="42EF9D0F">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00F437D">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8B2EC3F">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0E05CF8">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3FFC217">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EBCEAA7">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43CE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38E3931">
            <w:pPr>
              <w:pStyle w:val="6"/>
              <w:spacing w:before="53" w:line="219" w:lineRule="auto"/>
              <w:ind w:left="542"/>
              <w:rPr>
                <w:sz w:val="18"/>
                <w:szCs w:val="18"/>
              </w:rPr>
            </w:pPr>
            <w:r>
              <w:rPr>
                <w:spacing w:val="-3"/>
                <w:sz w:val="18"/>
                <w:szCs w:val="18"/>
              </w:rPr>
              <w:t>凤山村</w:t>
            </w:r>
          </w:p>
        </w:tc>
        <w:tc>
          <w:tcPr>
            <w:tcW w:w="1731" w:type="dxa"/>
            <w:vAlign w:val="top"/>
          </w:tcPr>
          <w:p w14:paraId="3FB5D2F6">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1.20E-01|15</w:t>
            </w:r>
          </w:p>
        </w:tc>
        <w:tc>
          <w:tcPr>
            <w:tcW w:w="996" w:type="dxa"/>
            <w:vAlign w:val="top"/>
          </w:tcPr>
          <w:p w14:paraId="65CAFAAC">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891EDA">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B7449B3">
            <w:pPr>
              <w:spacing w:before="8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1.20E-01</w:t>
            </w:r>
          </w:p>
        </w:tc>
        <w:tc>
          <w:tcPr>
            <w:tcW w:w="938" w:type="dxa"/>
            <w:vAlign w:val="top"/>
          </w:tcPr>
          <w:p w14:paraId="6A503838">
            <w:pPr>
              <w:spacing w:before="82"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1.20E-01</w:t>
            </w:r>
          </w:p>
        </w:tc>
        <w:tc>
          <w:tcPr>
            <w:tcW w:w="923" w:type="dxa"/>
            <w:vAlign w:val="top"/>
          </w:tcPr>
          <w:p w14:paraId="62E8AA8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1.20E-01</w:t>
            </w:r>
          </w:p>
        </w:tc>
        <w:tc>
          <w:tcPr>
            <w:tcW w:w="927" w:type="dxa"/>
            <w:vAlign w:val="top"/>
          </w:tcPr>
          <w:p w14:paraId="55A4646D">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1.20E-01</w:t>
            </w:r>
          </w:p>
        </w:tc>
      </w:tr>
      <w:tr w14:paraId="616D3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41603CA">
            <w:pPr>
              <w:pStyle w:val="6"/>
              <w:spacing w:before="53" w:line="219" w:lineRule="auto"/>
              <w:ind w:left="543"/>
              <w:rPr>
                <w:sz w:val="18"/>
                <w:szCs w:val="18"/>
              </w:rPr>
            </w:pPr>
            <w:r>
              <w:rPr>
                <w:spacing w:val="-3"/>
                <w:sz w:val="18"/>
                <w:szCs w:val="18"/>
              </w:rPr>
              <w:t>可塘镇</w:t>
            </w:r>
          </w:p>
        </w:tc>
        <w:tc>
          <w:tcPr>
            <w:tcW w:w="1731" w:type="dxa"/>
            <w:vAlign w:val="top"/>
          </w:tcPr>
          <w:p w14:paraId="1029A490">
            <w:pPr>
              <w:spacing w:before="79" w:line="192"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2.78E+02|5</w:t>
            </w:r>
          </w:p>
        </w:tc>
        <w:tc>
          <w:tcPr>
            <w:tcW w:w="996" w:type="dxa"/>
            <w:vAlign w:val="top"/>
          </w:tcPr>
          <w:p w14:paraId="2B843BF0">
            <w:pPr>
              <w:spacing w:before="82"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w:t>
            </w:r>
          </w:p>
        </w:tc>
        <w:tc>
          <w:tcPr>
            <w:tcW w:w="938" w:type="dxa"/>
            <w:vAlign w:val="top"/>
          </w:tcPr>
          <w:p w14:paraId="295C2DBE">
            <w:pPr>
              <w:spacing w:before="82"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w:t>
            </w:r>
          </w:p>
        </w:tc>
        <w:tc>
          <w:tcPr>
            <w:tcW w:w="997" w:type="dxa"/>
            <w:vAlign w:val="top"/>
          </w:tcPr>
          <w:p w14:paraId="325F2D11">
            <w:pPr>
              <w:spacing w:before="8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w:t>
            </w:r>
          </w:p>
        </w:tc>
        <w:tc>
          <w:tcPr>
            <w:tcW w:w="938" w:type="dxa"/>
            <w:vAlign w:val="top"/>
          </w:tcPr>
          <w:p w14:paraId="2CFA4E70">
            <w:pPr>
              <w:spacing w:before="82"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w:t>
            </w:r>
          </w:p>
        </w:tc>
        <w:tc>
          <w:tcPr>
            <w:tcW w:w="923" w:type="dxa"/>
            <w:vAlign w:val="top"/>
          </w:tcPr>
          <w:p w14:paraId="007B7779">
            <w:pPr>
              <w:spacing w:before="82" w:line="188"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w:t>
            </w:r>
          </w:p>
        </w:tc>
        <w:tc>
          <w:tcPr>
            <w:tcW w:w="927" w:type="dxa"/>
            <w:vAlign w:val="top"/>
          </w:tcPr>
          <w:p w14:paraId="08523905">
            <w:pPr>
              <w:spacing w:before="82" w:line="188" w:lineRule="auto"/>
              <w:ind w:left="1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w:t>
            </w:r>
          </w:p>
        </w:tc>
      </w:tr>
      <w:tr w14:paraId="2519A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42F896C">
            <w:pPr>
              <w:pStyle w:val="6"/>
              <w:spacing w:before="52" w:line="219" w:lineRule="auto"/>
              <w:ind w:left="548"/>
              <w:rPr>
                <w:sz w:val="18"/>
                <w:szCs w:val="18"/>
              </w:rPr>
            </w:pPr>
            <w:r>
              <w:rPr>
                <w:spacing w:val="-5"/>
                <w:sz w:val="18"/>
                <w:szCs w:val="18"/>
              </w:rPr>
              <w:t>东溪村</w:t>
            </w:r>
          </w:p>
        </w:tc>
        <w:tc>
          <w:tcPr>
            <w:tcW w:w="1731" w:type="dxa"/>
            <w:vAlign w:val="top"/>
          </w:tcPr>
          <w:p w14:paraId="6C3A5B31">
            <w:pPr>
              <w:spacing w:before="81"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2.63E-02|40</w:t>
            </w:r>
          </w:p>
        </w:tc>
        <w:tc>
          <w:tcPr>
            <w:tcW w:w="996" w:type="dxa"/>
            <w:vAlign w:val="top"/>
          </w:tcPr>
          <w:p w14:paraId="517E95F2">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5F0B276">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ADC38C5">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4550218">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ED38DA8">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58928D3">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30FE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614" w:type="dxa"/>
            <w:vAlign w:val="top"/>
          </w:tcPr>
          <w:p w14:paraId="157D311C">
            <w:pPr>
              <w:pStyle w:val="6"/>
              <w:spacing w:before="52" w:line="219" w:lineRule="auto"/>
              <w:ind w:left="453"/>
              <w:rPr>
                <w:sz w:val="18"/>
                <w:szCs w:val="18"/>
              </w:rPr>
            </w:pPr>
            <w:r>
              <w:rPr>
                <w:spacing w:val="-3"/>
                <w:sz w:val="18"/>
                <w:szCs w:val="18"/>
              </w:rPr>
              <w:t>君硕围村</w:t>
            </w:r>
          </w:p>
        </w:tc>
        <w:tc>
          <w:tcPr>
            <w:tcW w:w="1731" w:type="dxa"/>
            <w:vAlign w:val="top"/>
          </w:tcPr>
          <w:p w14:paraId="331F2947">
            <w:pPr>
              <w:spacing w:before="80" w:line="192"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15E-02|25</w:t>
            </w:r>
          </w:p>
        </w:tc>
        <w:tc>
          <w:tcPr>
            <w:tcW w:w="996" w:type="dxa"/>
            <w:vAlign w:val="top"/>
          </w:tcPr>
          <w:p w14:paraId="04F89257">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907F8A5">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4BB6FE0">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02DFAE1">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7AACE98">
            <w:pPr>
              <w:spacing w:before="84"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4"/>
                <w:sz w:val="18"/>
                <w:szCs w:val="18"/>
              </w:rPr>
              <w:t>15E-02</w:t>
            </w:r>
          </w:p>
        </w:tc>
        <w:tc>
          <w:tcPr>
            <w:tcW w:w="927" w:type="dxa"/>
            <w:vAlign w:val="top"/>
          </w:tcPr>
          <w:p w14:paraId="46A500C4">
            <w:pPr>
              <w:spacing w:before="8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4"/>
                <w:sz w:val="18"/>
                <w:szCs w:val="18"/>
              </w:rPr>
              <w:t>15E-02</w:t>
            </w:r>
          </w:p>
        </w:tc>
      </w:tr>
    </w:tbl>
    <w:p w14:paraId="4B317B4D">
      <w:pPr>
        <w:rPr>
          <w:rFonts w:ascii="Arial"/>
          <w:sz w:val="21"/>
        </w:rPr>
      </w:pPr>
    </w:p>
    <w:p w14:paraId="43E2505A">
      <w:pPr>
        <w:rPr>
          <w:rFonts w:ascii="Arial" w:hAnsi="Arial" w:eastAsia="Arial" w:cs="Arial"/>
          <w:sz w:val="21"/>
          <w:szCs w:val="21"/>
        </w:rPr>
        <w:sectPr>
          <w:footerReference r:id="rId154" w:type="default"/>
          <w:pgSz w:w="11906" w:h="16839"/>
          <w:pgMar w:top="400" w:right="1418" w:bottom="1127" w:left="1418" w:header="0" w:footer="965" w:gutter="0"/>
          <w:cols w:space="720" w:num="1"/>
        </w:sectPr>
      </w:pPr>
    </w:p>
    <w:p w14:paraId="0C434F70">
      <w:pPr>
        <w:spacing w:before="19"/>
      </w:pPr>
    </w:p>
    <w:p w14:paraId="6B60FF0B">
      <w:pPr>
        <w:spacing w:before="19"/>
      </w:pPr>
    </w:p>
    <w:p w14:paraId="66ED9AFC">
      <w:pPr>
        <w:spacing w:before="19"/>
      </w:pPr>
    </w:p>
    <w:p w14:paraId="12404B23">
      <w:pPr>
        <w:spacing w:before="18"/>
      </w:pPr>
    </w:p>
    <w:p w14:paraId="450F9B7F">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09AB5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4212347C">
            <w:pPr>
              <w:pStyle w:val="6"/>
              <w:spacing w:before="52" w:line="219" w:lineRule="auto"/>
              <w:ind w:left="541"/>
              <w:rPr>
                <w:sz w:val="18"/>
                <w:szCs w:val="18"/>
              </w:rPr>
            </w:pPr>
            <w:r>
              <w:rPr>
                <w:spacing w:val="-3"/>
                <w:sz w:val="18"/>
                <w:szCs w:val="18"/>
              </w:rPr>
              <w:t>低港村</w:t>
            </w:r>
          </w:p>
        </w:tc>
        <w:tc>
          <w:tcPr>
            <w:tcW w:w="1731" w:type="dxa"/>
            <w:vAlign w:val="top"/>
          </w:tcPr>
          <w:p w14:paraId="0ED79929">
            <w:pPr>
              <w:spacing w:before="81"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4.87E-02|25</w:t>
            </w:r>
          </w:p>
        </w:tc>
        <w:tc>
          <w:tcPr>
            <w:tcW w:w="996" w:type="dxa"/>
            <w:vAlign w:val="top"/>
          </w:tcPr>
          <w:p w14:paraId="400BF4E3">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FF12185">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309F8FE">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0D4076E">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031B8FC">
            <w:pPr>
              <w:spacing w:before="84"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4.87E-02</w:t>
            </w:r>
          </w:p>
        </w:tc>
        <w:tc>
          <w:tcPr>
            <w:tcW w:w="927" w:type="dxa"/>
            <w:vAlign w:val="top"/>
          </w:tcPr>
          <w:p w14:paraId="4B4C40BA">
            <w:pPr>
              <w:spacing w:before="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4.87E-02</w:t>
            </w:r>
          </w:p>
        </w:tc>
      </w:tr>
      <w:tr w14:paraId="40A54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42942B2">
            <w:pPr>
              <w:pStyle w:val="6"/>
              <w:spacing w:before="48" w:line="219" w:lineRule="auto"/>
              <w:ind w:left="471"/>
              <w:rPr>
                <w:sz w:val="18"/>
                <w:szCs w:val="18"/>
              </w:rPr>
            </w:pPr>
            <w:r>
              <w:rPr>
                <w:spacing w:val="-7"/>
                <w:sz w:val="18"/>
                <w:szCs w:val="18"/>
              </w:rPr>
              <w:t>尚仁家村</w:t>
            </w:r>
          </w:p>
        </w:tc>
        <w:tc>
          <w:tcPr>
            <w:tcW w:w="1731" w:type="dxa"/>
            <w:vAlign w:val="top"/>
          </w:tcPr>
          <w:p w14:paraId="2ACCE80C">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13E-01|15</w:t>
            </w:r>
          </w:p>
        </w:tc>
        <w:tc>
          <w:tcPr>
            <w:tcW w:w="996" w:type="dxa"/>
            <w:vAlign w:val="top"/>
          </w:tcPr>
          <w:p w14:paraId="12186FB5">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EBF86B4">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D873CA5">
            <w:pPr>
              <w:spacing w:before="80"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6"/>
                <w:sz w:val="18"/>
                <w:szCs w:val="18"/>
              </w:rPr>
              <w:t>13E-01</w:t>
            </w:r>
          </w:p>
        </w:tc>
        <w:tc>
          <w:tcPr>
            <w:tcW w:w="938" w:type="dxa"/>
            <w:vAlign w:val="top"/>
          </w:tcPr>
          <w:p w14:paraId="20A43ABC">
            <w:pPr>
              <w:spacing w:before="80"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5"/>
                <w:sz w:val="18"/>
                <w:szCs w:val="18"/>
              </w:rPr>
              <w:t>13E-01</w:t>
            </w:r>
          </w:p>
        </w:tc>
        <w:tc>
          <w:tcPr>
            <w:tcW w:w="923" w:type="dxa"/>
            <w:vAlign w:val="top"/>
          </w:tcPr>
          <w:p w14:paraId="2D309475">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6"/>
                <w:sz w:val="18"/>
                <w:szCs w:val="18"/>
              </w:rPr>
              <w:t>13E-01</w:t>
            </w:r>
          </w:p>
        </w:tc>
        <w:tc>
          <w:tcPr>
            <w:tcW w:w="927" w:type="dxa"/>
            <w:vAlign w:val="top"/>
          </w:tcPr>
          <w:p w14:paraId="10656024">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6"/>
                <w:sz w:val="18"/>
                <w:szCs w:val="18"/>
              </w:rPr>
              <w:t>13E-01</w:t>
            </w:r>
          </w:p>
        </w:tc>
      </w:tr>
      <w:tr w14:paraId="1C2E7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48BA65B">
            <w:pPr>
              <w:pStyle w:val="6"/>
              <w:spacing w:before="48" w:line="219" w:lineRule="auto"/>
              <w:ind w:left="451"/>
              <w:rPr>
                <w:sz w:val="18"/>
                <w:szCs w:val="18"/>
              </w:rPr>
            </w:pPr>
            <w:r>
              <w:rPr>
                <w:spacing w:val="-2"/>
                <w:sz w:val="18"/>
                <w:szCs w:val="18"/>
              </w:rPr>
              <w:t>埔中央村</w:t>
            </w:r>
          </w:p>
        </w:tc>
        <w:tc>
          <w:tcPr>
            <w:tcW w:w="1731" w:type="dxa"/>
            <w:vAlign w:val="top"/>
          </w:tcPr>
          <w:p w14:paraId="7CF4B4DE">
            <w:pPr>
              <w:spacing w:before="76"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7.96E-02|20</w:t>
            </w:r>
          </w:p>
        </w:tc>
        <w:tc>
          <w:tcPr>
            <w:tcW w:w="996" w:type="dxa"/>
            <w:vAlign w:val="top"/>
          </w:tcPr>
          <w:p w14:paraId="60F1DEAD">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06A63F1">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985CD79">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5F62F99">
            <w:pPr>
              <w:spacing w:before="79"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7.96E-02</w:t>
            </w:r>
          </w:p>
        </w:tc>
        <w:tc>
          <w:tcPr>
            <w:tcW w:w="923" w:type="dxa"/>
            <w:vAlign w:val="top"/>
          </w:tcPr>
          <w:p w14:paraId="4700AE0F">
            <w:pPr>
              <w:spacing w:before="79"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7.96E-02</w:t>
            </w:r>
          </w:p>
        </w:tc>
        <w:tc>
          <w:tcPr>
            <w:tcW w:w="927" w:type="dxa"/>
            <w:vAlign w:val="top"/>
          </w:tcPr>
          <w:p w14:paraId="27CE28A2">
            <w:pPr>
              <w:spacing w:before="79"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7.96E-02</w:t>
            </w:r>
          </w:p>
        </w:tc>
      </w:tr>
      <w:tr w14:paraId="0789E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67BD638">
            <w:pPr>
              <w:pStyle w:val="6"/>
              <w:spacing w:before="51" w:line="220" w:lineRule="auto"/>
              <w:ind w:left="542"/>
              <w:rPr>
                <w:sz w:val="18"/>
                <w:szCs w:val="18"/>
              </w:rPr>
            </w:pPr>
            <w:r>
              <w:rPr>
                <w:spacing w:val="-3"/>
                <w:sz w:val="18"/>
                <w:szCs w:val="18"/>
              </w:rPr>
              <w:t>庄厝围</w:t>
            </w:r>
          </w:p>
        </w:tc>
        <w:tc>
          <w:tcPr>
            <w:tcW w:w="1731" w:type="dxa"/>
            <w:vAlign w:val="top"/>
          </w:tcPr>
          <w:p w14:paraId="44F2934D">
            <w:pPr>
              <w:spacing w:before="76"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3.23E-02|35</w:t>
            </w:r>
          </w:p>
        </w:tc>
        <w:tc>
          <w:tcPr>
            <w:tcW w:w="996" w:type="dxa"/>
            <w:vAlign w:val="top"/>
          </w:tcPr>
          <w:p w14:paraId="39F1AC22">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4B5E24E">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604E3EF">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031F8A6">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5108059">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B7685C9">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34AC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04A07F3">
            <w:pPr>
              <w:pStyle w:val="6"/>
              <w:spacing w:before="50" w:line="219" w:lineRule="auto"/>
              <w:ind w:left="545"/>
              <w:rPr>
                <w:sz w:val="18"/>
                <w:szCs w:val="18"/>
              </w:rPr>
            </w:pPr>
            <w:r>
              <w:rPr>
                <w:spacing w:val="-4"/>
                <w:sz w:val="18"/>
                <w:szCs w:val="18"/>
              </w:rPr>
              <w:t>凯南村</w:t>
            </w:r>
          </w:p>
        </w:tc>
        <w:tc>
          <w:tcPr>
            <w:tcW w:w="1731" w:type="dxa"/>
            <w:vAlign w:val="top"/>
          </w:tcPr>
          <w:p w14:paraId="168C775E">
            <w:pPr>
              <w:spacing w:before="76"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2.78E-02|40</w:t>
            </w:r>
          </w:p>
        </w:tc>
        <w:tc>
          <w:tcPr>
            <w:tcW w:w="996" w:type="dxa"/>
            <w:vAlign w:val="top"/>
          </w:tcPr>
          <w:p w14:paraId="755121D8">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4279E76">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2F24ABA">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74D0DAB">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CB4C0C7">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7C1C068">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08FA1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4081B7E">
            <w:pPr>
              <w:pStyle w:val="6"/>
              <w:spacing w:before="50" w:line="219" w:lineRule="auto"/>
              <w:ind w:left="547"/>
              <w:rPr>
                <w:sz w:val="18"/>
                <w:szCs w:val="18"/>
              </w:rPr>
            </w:pPr>
            <w:r>
              <w:rPr>
                <w:spacing w:val="-5"/>
                <w:sz w:val="18"/>
                <w:szCs w:val="18"/>
              </w:rPr>
              <w:t>下许村</w:t>
            </w:r>
          </w:p>
        </w:tc>
        <w:tc>
          <w:tcPr>
            <w:tcW w:w="1731" w:type="dxa"/>
            <w:vAlign w:val="top"/>
          </w:tcPr>
          <w:p w14:paraId="73A67064">
            <w:pPr>
              <w:spacing w:before="76"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2.23E-02|45</w:t>
            </w:r>
          </w:p>
        </w:tc>
        <w:tc>
          <w:tcPr>
            <w:tcW w:w="996" w:type="dxa"/>
            <w:vAlign w:val="top"/>
          </w:tcPr>
          <w:p w14:paraId="281D716B">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2D12EC1">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078F4A2">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6754E8D">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B27D465">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D4EE1D7">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83F8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20C7F2C">
            <w:pPr>
              <w:pStyle w:val="6"/>
              <w:spacing w:before="50" w:line="219" w:lineRule="auto"/>
              <w:ind w:left="547"/>
              <w:rPr>
                <w:sz w:val="18"/>
                <w:szCs w:val="18"/>
              </w:rPr>
            </w:pPr>
            <w:r>
              <w:rPr>
                <w:spacing w:val="-5"/>
                <w:sz w:val="18"/>
                <w:szCs w:val="18"/>
              </w:rPr>
              <w:t>赤箖村</w:t>
            </w:r>
          </w:p>
        </w:tc>
        <w:tc>
          <w:tcPr>
            <w:tcW w:w="1731" w:type="dxa"/>
            <w:vAlign w:val="top"/>
          </w:tcPr>
          <w:p w14:paraId="54304397">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2.22E-02|45</w:t>
            </w:r>
          </w:p>
        </w:tc>
        <w:tc>
          <w:tcPr>
            <w:tcW w:w="996" w:type="dxa"/>
            <w:vAlign w:val="top"/>
          </w:tcPr>
          <w:p w14:paraId="52C5B9B6">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9B4F7FF">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B68A5C0">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9FF4784">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C042EE6">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89F6747">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938B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8B379FA">
            <w:pPr>
              <w:pStyle w:val="6"/>
              <w:spacing w:before="50" w:line="219" w:lineRule="auto"/>
              <w:ind w:left="477"/>
              <w:rPr>
                <w:sz w:val="18"/>
                <w:szCs w:val="18"/>
              </w:rPr>
            </w:pPr>
            <w:r>
              <w:rPr>
                <w:spacing w:val="-9"/>
                <w:sz w:val="18"/>
                <w:szCs w:val="18"/>
              </w:rPr>
              <w:t>白沙新村</w:t>
            </w:r>
          </w:p>
        </w:tc>
        <w:tc>
          <w:tcPr>
            <w:tcW w:w="1731" w:type="dxa"/>
            <w:vAlign w:val="top"/>
          </w:tcPr>
          <w:p w14:paraId="1345DDE2">
            <w:pPr>
              <w:spacing w:before="78" w:line="192"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5.82E-02|25</w:t>
            </w:r>
          </w:p>
        </w:tc>
        <w:tc>
          <w:tcPr>
            <w:tcW w:w="996" w:type="dxa"/>
            <w:vAlign w:val="top"/>
          </w:tcPr>
          <w:p w14:paraId="18B9D3DA">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41C9E5A">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181BD6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86AD8B7">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1DE1EB8">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5.82E-02</w:t>
            </w:r>
          </w:p>
        </w:tc>
        <w:tc>
          <w:tcPr>
            <w:tcW w:w="927" w:type="dxa"/>
            <w:vAlign w:val="top"/>
          </w:tcPr>
          <w:p w14:paraId="5504855F">
            <w:pPr>
              <w:spacing w:before="8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5.82E-02</w:t>
            </w:r>
          </w:p>
        </w:tc>
      </w:tr>
      <w:tr w14:paraId="02C32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95A23E8">
            <w:pPr>
              <w:pStyle w:val="6"/>
              <w:spacing w:before="50" w:line="219" w:lineRule="auto"/>
              <w:ind w:left="546"/>
              <w:rPr>
                <w:sz w:val="18"/>
                <w:szCs w:val="18"/>
              </w:rPr>
            </w:pPr>
            <w:r>
              <w:rPr>
                <w:spacing w:val="-4"/>
                <w:sz w:val="18"/>
                <w:szCs w:val="18"/>
              </w:rPr>
              <w:t>西城村</w:t>
            </w:r>
          </w:p>
        </w:tc>
        <w:tc>
          <w:tcPr>
            <w:tcW w:w="1731" w:type="dxa"/>
            <w:vAlign w:val="top"/>
          </w:tcPr>
          <w:p w14:paraId="679F0876">
            <w:pPr>
              <w:spacing w:before="78"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3.69E-02|35</w:t>
            </w:r>
          </w:p>
        </w:tc>
        <w:tc>
          <w:tcPr>
            <w:tcW w:w="996" w:type="dxa"/>
            <w:vAlign w:val="top"/>
          </w:tcPr>
          <w:p w14:paraId="7021AAE1">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631B0EB">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250A785">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40F4275">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2329B9F">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21A2622">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1197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A6B4D02">
            <w:pPr>
              <w:pStyle w:val="6"/>
              <w:spacing w:before="52" w:line="219" w:lineRule="auto"/>
              <w:ind w:left="548"/>
              <w:rPr>
                <w:sz w:val="18"/>
                <w:szCs w:val="18"/>
              </w:rPr>
            </w:pPr>
            <w:r>
              <w:rPr>
                <w:spacing w:val="-5"/>
                <w:sz w:val="18"/>
                <w:szCs w:val="18"/>
              </w:rPr>
              <w:t>东湖村</w:t>
            </w:r>
          </w:p>
        </w:tc>
        <w:tc>
          <w:tcPr>
            <w:tcW w:w="1731" w:type="dxa"/>
            <w:vAlign w:val="top"/>
          </w:tcPr>
          <w:p w14:paraId="247D431D">
            <w:pPr>
              <w:spacing w:before="77"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2.39E-02|45</w:t>
            </w:r>
          </w:p>
        </w:tc>
        <w:tc>
          <w:tcPr>
            <w:tcW w:w="996" w:type="dxa"/>
            <w:vAlign w:val="top"/>
          </w:tcPr>
          <w:p w14:paraId="1BA24732">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2F858E5">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594ACCC">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73D4B7B">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5C6601B">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30CA5F6">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D982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6F611CB">
            <w:pPr>
              <w:pStyle w:val="6"/>
              <w:spacing w:before="51" w:line="219" w:lineRule="auto"/>
              <w:ind w:left="542"/>
              <w:rPr>
                <w:sz w:val="18"/>
                <w:szCs w:val="18"/>
              </w:rPr>
            </w:pPr>
            <w:r>
              <w:rPr>
                <w:spacing w:val="-3"/>
                <w:sz w:val="18"/>
                <w:szCs w:val="18"/>
              </w:rPr>
              <w:t>第一村</w:t>
            </w:r>
          </w:p>
        </w:tc>
        <w:tc>
          <w:tcPr>
            <w:tcW w:w="1731" w:type="dxa"/>
            <w:vAlign w:val="top"/>
          </w:tcPr>
          <w:p w14:paraId="52FEE511">
            <w:pPr>
              <w:spacing w:before="77"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2.99E-02|40</w:t>
            </w:r>
          </w:p>
        </w:tc>
        <w:tc>
          <w:tcPr>
            <w:tcW w:w="996" w:type="dxa"/>
            <w:vAlign w:val="top"/>
          </w:tcPr>
          <w:p w14:paraId="1648E470">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64BC792">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5E99787">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9280359">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A226FAC">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82EFC3A">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08BB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36ADB57">
            <w:pPr>
              <w:pStyle w:val="6"/>
              <w:spacing w:before="52" w:line="219" w:lineRule="auto"/>
              <w:ind w:left="568"/>
              <w:rPr>
                <w:sz w:val="18"/>
                <w:szCs w:val="18"/>
              </w:rPr>
            </w:pPr>
            <w:r>
              <w:rPr>
                <w:spacing w:val="-12"/>
                <w:sz w:val="18"/>
                <w:szCs w:val="18"/>
              </w:rPr>
              <w:t>白沙村</w:t>
            </w:r>
          </w:p>
        </w:tc>
        <w:tc>
          <w:tcPr>
            <w:tcW w:w="1731" w:type="dxa"/>
            <w:vAlign w:val="top"/>
          </w:tcPr>
          <w:p w14:paraId="0BC72852">
            <w:pPr>
              <w:spacing w:before="78"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17E-02|25</w:t>
            </w:r>
          </w:p>
        </w:tc>
        <w:tc>
          <w:tcPr>
            <w:tcW w:w="996" w:type="dxa"/>
            <w:vAlign w:val="top"/>
          </w:tcPr>
          <w:p w14:paraId="58FA0301">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B94F6E">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2792B10">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CB1DB2A">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69BBA08">
            <w:pPr>
              <w:spacing w:before="81"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17E-02</w:t>
            </w:r>
          </w:p>
        </w:tc>
        <w:tc>
          <w:tcPr>
            <w:tcW w:w="927" w:type="dxa"/>
            <w:vAlign w:val="top"/>
          </w:tcPr>
          <w:p w14:paraId="513C24FE">
            <w:pPr>
              <w:spacing w:before="81"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17E-02</w:t>
            </w:r>
          </w:p>
        </w:tc>
      </w:tr>
      <w:tr w14:paraId="55536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A769783">
            <w:pPr>
              <w:pStyle w:val="6"/>
              <w:spacing w:before="51" w:line="219" w:lineRule="auto"/>
              <w:ind w:left="451"/>
              <w:rPr>
                <w:sz w:val="18"/>
                <w:szCs w:val="18"/>
              </w:rPr>
            </w:pPr>
            <w:r>
              <w:rPr>
                <w:spacing w:val="-2"/>
                <w:sz w:val="18"/>
                <w:szCs w:val="18"/>
              </w:rPr>
              <w:t>双桂山村</w:t>
            </w:r>
          </w:p>
        </w:tc>
        <w:tc>
          <w:tcPr>
            <w:tcW w:w="1731" w:type="dxa"/>
            <w:vAlign w:val="top"/>
          </w:tcPr>
          <w:p w14:paraId="68E44D02">
            <w:pPr>
              <w:spacing w:before="80"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3.49E-02|35</w:t>
            </w:r>
          </w:p>
        </w:tc>
        <w:tc>
          <w:tcPr>
            <w:tcW w:w="996" w:type="dxa"/>
            <w:vAlign w:val="top"/>
          </w:tcPr>
          <w:p w14:paraId="6DFF4FE9">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DB6ED5D">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A3CD05A">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3B6C37F">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33A5707">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D3FD6A2">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E6AB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0FE61D8">
            <w:pPr>
              <w:pStyle w:val="6"/>
              <w:spacing w:before="51" w:line="219" w:lineRule="auto"/>
              <w:ind w:left="451"/>
              <w:rPr>
                <w:sz w:val="18"/>
                <w:szCs w:val="18"/>
              </w:rPr>
            </w:pPr>
            <w:r>
              <w:rPr>
                <w:spacing w:val="-2"/>
                <w:sz w:val="18"/>
                <w:szCs w:val="18"/>
              </w:rPr>
              <w:t>朱厝坑村</w:t>
            </w:r>
          </w:p>
        </w:tc>
        <w:tc>
          <w:tcPr>
            <w:tcW w:w="1731" w:type="dxa"/>
            <w:vAlign w:val="top"/>
          </w:tcPr>
          <w:p w14:paraId="47751FE0">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13E-02|35</w:t>
            </w:r>
          </w:p>
        </w:tc>
        <w:tc>
          <w:tcPr>
            <w:tcW w:w="996" w:type="dxa"/>
            <w:vAlign w:val="top"/>
          </w:tcPr>
          <w:p w14:paraId="2AD5FB9B">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60E63B2">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4CF4911">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4544BA6">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9E3AAF2">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0853043">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32EE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F50FD71">
            <w:pPr>
              <w:pStyle w:val="6"/>
              <w:spacing w:before="51" w:line="219" w:lineRule="auto"/>
              <w:ind w:left="541"/>
              <w:rPr>
                <w:sz w:val="18"/>
                <w:szCs w:val="18"/>
              </w:rPr>
            </w:pPr>
            <w:r>
              <w:rPr>
                <w:spacing w:val="-3"/>
                <w:sz w:val="18"/>
                <w:szCs w:val="18"/>
              </w:rPr>
              <w:t>河新村</w:t>
            </w:r>
          </w:p>
        </w:tc>
        <w:tc>
          <w:tcPr>
            <w:tcW w:w="1731" w:type="dxa"/>
            <w:vAlign w:val="top"/>
          </w:tcPr>
          <w:p w14:paraId="19BECD5D">
            <w:pPr>
              <w:spacing w:before="79" w:line="192"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5.67E-02|25</w:t>
            </w:r>
          </w:p>
        </w:tc>
        <w:tc>
          <w:tcPr>
            <w:tcW w:w="996" w:type="dxa"/>
            <w:vAlign w:val="top"/>
          </w:tcPr>
          <w:p w14:paraId="69B6D6C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E4688CD">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F960BC1">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DDBFB57">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0F35F54">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5.67E-02</w:t>
            </w:r>
          </w:p>
        </w:tc>
        <w:tc>
          <w:tcPr>
            <w:tcW w:w="927" w:type="dxa"/>
            <w:vAlign w:val="top"/>
          </w:tcPr>
          <w:p w14:paraId="1FA77EEE">
            <w:pPr>
              <w:spacing w:before="8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5.67E-02</w:t>
            </w:r>
          </w:p>
        </w:tc>
      </w:tr>
      <w:tr w14:paraId="5B8DD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735AE187">
            <w:pPr>
              <w:pStyle w:val="6"/>
              <w:spacing w:before="53" w:line="219" w:lineRule="auto"/>
              <w:ind w:left="542"/>
              <w:rPr>
                <w:sz w:val="18"/>
                <w:szCs w:val="18"/>
              </w:rPr>
            </w:pPr>
            <w:r>
              <w:rPr>
                <w:spacing w:val="-3"/>
                <w:sz w:val="18"/>
                <w:szCs w:val="18"/>
              </w:rPr>
              <w:t>新丰村</w:t>
            </w:r>
          </w:p>
        </w:tc>
        <w:tc>
          <w:tcPr>
            <w:tcW w:w="1731" w:type="dxa"/>
            <w:vAlign w:val="top"/>
          </w:tcPr>
          <w:p w14:paraId="0C8B0AD1">
            <w:pPr>
              <w:spacing w:before="78"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2.00E-01|10</w:t>
            </w:r>
          </w:p>
        </w:tc>
        <w:tc>
          <w:tcPr>
            <w:tcW w:w="996" w:type="dxa"/>
            <w:vAlign w:val="top"/>
          </w:tcPr>
          <w:p w14:paraId="6578CC4C">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4E35ADB">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2.00E-01</w:t>
            </w:r>
          </w:p>
        </w:tc>
        <w:tc>
          <w:tcPr>
            <w:tcW w:w="997" w:type="dxa"/>
            <w:vAlign w:val="top"/>
          </w:tcPr>
          <w:p w14:paraId="3C252F17">
            <w:pPr>
              <w:spacing w:before="8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2.00E-01</w:t>
            </w:r>
          </w:p>
        </w:tc>
        <w:tc>
          <w:tcPr>
            <w:tcW w:w="938" w:type="dxa"/>
            <w:vAlign w:val="top"/>
          </w:tcPr>
          <w:p w14:paraId="13C5D694">
            <w:pPr>
              <w:spacing w:before="82"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2.00E-01</w:t>
            </w:r>
          </w:p>
        </w:tc>
        <w:tc>
          <w:tcPr>
            <w:tcW w:w="923" w:type="dxa"/>
            <w:vAlign w:val="top"/>
          </w:tcPr>
          <w:p w14:paraId="3F8E4597">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2.00E-01</w:t>
            </w:r>
          </w:p>
        </w:tc>
        <w:tc>
          <w:tcPr>
            <w:tcW w:w="927" w:type="dxa"/>
            <w:vAlign w:val="top"/>
          </w:tcPr>
          <w:p w14:paraId="542675E5">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2.00E-01</w:t>
            </w:r>
          </w:p>
        </w:tc>
      </w:tr>
      <w:tr w14:paraId="0922B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F93DE58">
            <w:pPr>
              <w:pStyle w:val="6"/>
              <w:spacing w:before="53" w:line="219" w:lineRule="auto"/>
              <w:ind w:left="452"/>
              <w:rPr>
                <w:sz w:val="18"/>
                <w:szCs w:val="18"/>
              </w:rPr>
            </w:pPr>
            <w:r>
              <w:rPr>
                <w:spacing w:val="-3"/>
                <w:sz w:val="18"/>
                <w:szCs w:val="18"/>
              </w:rPr>
              <w:t>洪宽塘村</w:t>
            </w:r>
          </w:p>
        </w:tc>
        <w:tc>
          <w:tcPr>
            <w:tcW w:w="1731" w:type="dxa"/>
            <w:vAlign w:val="top"/>
          </w:tcPr>
          <w:p w14:paraId="7EA27D32">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2.74E-01|10</w:t>
            </w:r>
          </w:p>
        </w:tc>
        <w:tc>
          <w:tcPr>
            <w:tcW w:w="996" w:type="dxa"/>
            <w:vAlign w:val="top"/>
          </w:tcPr>
          <w:p w14:paraId="4677553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E0EB6A4">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2.74E-01</w:t>
            </w:r>
          </w:p>
        </w:tc>
        <w:tc>
          <w:tcPr>
            <w:tcW w:w="997" w:type="dxa"/>
            <w:vAlign w:val="top"/>
          </w:tcPr>
          <w:p w14:paraId="027E16C1">
            <w:pPr>
              <w:spacing w:before="8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2.74E-01</w:t>
            </w:r>
          </w:p>
        </w:tc>
        <w:tc>
          <w:tcPr>
            <w:tcW w:w="938" w:type="dxa"/>
            <w:vAlign w:val="top"/>
          </w:tcPr>
          <w:p w14:paraId="31D9D011">
            <w:pPr>
              <w:spacing w:before="82"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2.74E-01</w:t>
            </w:r>
          </w:p>
        </w:tc>
        <w:tc>
          <w:tcPr>
            <w:tcW w:w="923" w:type="dxa"/>
            <w:vAlign w:val="top"/>
          </w:tcPr>
          <w:p w14:paraId="469A0DB8">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2.74E-01</w:t>
            </w:r>
          </w:p>
        </w:tc>
        <w:tc>
          <w:tcPr>
            <w:tcW w:w="927" w:type="dxa"/>
            <w:vAlign w:val="top"/>
          </w:tcPr>
          <w:p w14:paraId="5543ECC8">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2.74E-01</w:t>
            </w:r>
          </w:p>
        </w:tc>
      </w:tr>
      <w:tr w14:paraId="0149E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2D5B8621">
            <w:pPr>
              <w:pStyle w:val="6"/>
              <w:spacing w:before="53" w:line="219" w:lineRule="auto"/>
              <w:ind w:left="542"/>
              <w:rPr>
                <w:sz w:val="18"/>
                <w:szCs w:val="18"/>
              </w:rPr>
            </w:pPr>
            <w:r>
              <w:rPr>
                <w:spacing w:val="-3"/>
                <w:sz w:val="18"/>
                <w:szCs w:val="18"/>
              </w:rPr>
              <w:t>新埔村</w:t>
            </w:r>
          </w:p>
        </w:tc>
        <w:tc>
          <w:tcPr>
            <w:tcW w:w="1731" w:type="dxa"/>
            <w:vAlign w:val="top"/>
          </w:tcPr>
          <w:p w14:paraId="6AD25E76">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1.87E-02|55</w:t>
            </w:r>
          </w:p>
        </w:tc>
        <w:tc>
          <w:tcPr>
            <w:tcW w:w="996" w:type="dxa"/>
            <w:vAlign w:val="top"/>
          </w:tcPr>
          <w:p w14:paraId="612260F2">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694B8E2">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3DB79C2">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65F300E">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1D43649">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347735C">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bl>
    <w:p w14:paraId="4E0D44B9">
      <w:pPr>
        <w:spacing w:line="318" w:lineRule="auto"/>
        <w:rPr>
          <w:rFonts w:ascii="Arial"/>
          <w:sz w:val="21"/>
        </w:rPr>
      </w:pPr>
    </w:p>
    <w:p w14:paraId="2CCB1287">
      <w:pPr>
        <w:spacing w:before="78" w:line="210" w:lineRule="auto"/>
        <w:ind w:left="426"/>
        <w:outlineLvl w:val="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2"/>
          <w:sz w:val="24"/>
          <w:szCs w:val="24"/>
        </w:rPr>
        <w:t xml:space="preserve">36    </w:t>
      </w:r>
      <w:r>
        <w:rPr>
          <w:rFonts w:ascii="宋体" w:hAnsi="宋体" w:eastAsia="宋体" w:cs="宋体"/>
          <w:b/>
          <w:bCs/>
          <w:spacing w:val="-2"/>
          <w:sz w:val="24"/>
          <w:szCs w:val="24"/>
        </w:rPr>
        <w:t>最不利气象条件下各关心点丙酮浓度随时间变化情况（单位：</w:t>
      </w:r>
      <w:r>
        <w:rPr>
          <w:rFonts w:ascii="Times New Roman" w:hAnsi="Times New Roman" w:eastAsia="Times New Roman" w:cs="Times New Roman"/>
          <w:b/>
          <w:bCs/>
          <w:spacing w:val="-2"/>
          <w:sz w:val="24"/>
          <w:szCs w:val="24"/>
        </w:rPr>
        <w:t>mg/m</w:t>
      </w:r>
      <w:r>
        <w:rPr>
          <w:rFonts w:ascii="宋体" w:hAnsi="宋体" w:eastAsia="宋体" w:cs="宋体"/>
          <w:b/>
          <w:bCs/>
          <w:spacing w:val="-2"/>
          <w:sz w:val="24"/>
          <w:szCs w:val="24"/>
        </w:rPr>
        <w:t>³</w:t>
      </w:r>
      <w:r>
        <w:rPr>
          <w:rFonts w:ascii="宋体" w:hAnsi="宋体" w:eastAsia="宋体" w:cs="宋体"/>
          <w:spacing w:val="-85"/>
          <w:sz w:val="24"/>
          <w:szCs w:val="24"/>
        </w:rPr>
        <w:t xml:space="preserve"> </w:t>
      </w:r>
      <w:r>
        <w:rPr>
          <w:rFonts w:ascii="宋体" w:hAnsi="宋体" w:eastAsia="宋体" w:cs="宋体"/>
          <w:b/>
          <w:bCs/>
          <w:spacing w:val="-2"/>
          <w:sz w:val="24"/>
          <w:szCs w:val="24"/>
        </w:rPr>
        <w:t>)</w:t>
      </w:r>
    </w:p>
    <w:p w14:paraId="76D4EEB4">
      <w:pPr>
        <w:spacing w:line="157"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523D3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614" w:type="dxa"/>
            <w:vAlign w:val="top"/>
          </w:tcPr>
          <w:p w14:paraId="1DCA386C">
            <w:pPr>
              <w:pStyle w:val="6"/>
              <w:spacing w:before="60" w:line="220" w:lineRule="auto"/>
              <w:ind w:left="365"/>
              <w:rPr>
                <w:sz w:val="18"/>
                <w:szCs w:val="18"/>
              </w:rPr>
            </w:pPr>
            <w:r>
              <w:rPr>
                <w:spacing w:val="-2"/>
                <w:sz w:val="18"/>
                <w:szCs w:val="18"/>
              </w:rPr>
              <w:t>关心点名称</w:t>
            </w:r>
          </w:p>
        </w:tc>
        <w:tc>
          <w:tcPr>
            <w:tcW w:w="1731" w:type="dxa"/>
            <w:vAlign w:val="top"/>
          </w:tcPr>
          <w:p w14:paraId="31BA2A44">
            <w:pPr>
              <w:pStyle w:val="6"/>
              <w:spacing w:before="59" w:line="210" w:lineRule="auto"/>
              <w:ind w:left="113"/>
              <w:rPr>
                <w:rFonts w:ascii="Times New Roman" w:hAnsi="Times New Roman" w:eastAsia="Times New Roman" w:cs="Times New Roman"/>
                <w:sz w:val="18"/>
                <w:szCs w:val="18"/>
              </w:rPr>
            </w:pPr>
            <w:r>
              <w:rPr>
                <w:spacing w:val="-1"/>
                <w:sz w:val="18"/>
                <w:szCs w:val="18"/>
              </w:rPr>
              <w:t>最大浓度</w:t>
            </w:r>
            <w:r>
              <w:rPr>
                <w:rFonts w:ascii="Times New Roman" w:hAnsi="Times New Roman" w:eastAsia="Times New Roman" w:cs="Times New Roman"/>
                <w:spacing w:val="-1"/>
                <w:sz w:val="18"/>
                <w:szCs w:val="18"/>
              </w:rPr>
              <w:t>|</w:t>
            </w:r>
            <w:r>
              <w:rPr>
                <w:spacing w:val="-1"/>
                <w:sz w:val="18"/>
                <w:szCs w:val="18"/>
              </w:rPr>
              <w:t>时间</w:t>
            </w:r>
            <w:r>
              <w:rPr>
                <w:rFonts w:ascii="Times New Roman" w:hAnsi="Times New Roman" w:eastAsia="Times New Roman" w:cs="Times New Roman"/>
                <w:spacing w:val="-1"/>
                <w:sz w:val="18"/>
                <w:szCs w:val="18"/>
              </w:rPr>
              <w:t>(min)</w:t>
            </w:r>
          </w:p>
        </w:tc>
        <w:tc>
          <w:tcPr>
            <w:tcW w:w="996" w:type="dxa"/>
            <w:vAlign w:val="top"/>
          </w:tcPr>
          <w:p w14:paraId="76F63085">
            <w:pPr>
              <w:spacing w:before="85" w:line="192"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5min</w:t>
            </w:r>
          </w:p>
        </w:tc>
        <w:tc>
          <w:tcPr>
            <w:tcW w:w="938" w:type="dxa"/>
            <w:vAlign w:val="top"/>
          </w:tcPr>
          <w:p w14:paraId="1E044A4C">
            <w:pPr>
              <w:spacing w:before="85" w:line="192"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10min</w:t>
            </w:r>
          </w:p>
        </w:tc>
        <w:tc>
          <w:tcPr>
            <w:tcW w:w="997" w:type="dxa"/>
            <w:vAlign w:val="top"/>
          </w:tcPr>
          <w:p w14:paraId="201ECE6E">
            <w:pPr>
              <w:spacing w:before="85" w:line="192"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15min</w:t>
            </w:r>
          </w:p>
        </w:tc>
        <w:tc>
          <w:tcPr>
            <w:tcW w:w="938" w:type="dxa"/>
            <w:vAlign w:val="top"/>
          </w:tcPr>
          <w:p w14:paraId="3470EF4C">
            <w:pPr>
              <w:spacing w:before="85"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20min</w:t>
            </w:r>
          </w:p>
        </w:tc>
        <w:tc>
          <w:tcPr>
            <w:tcW w:w="923" w:type="dxa"/>
            <w:vAlign w:val="top"/>
          </w:tcPr>
          <w:p w14:paraId="398D130C">
            <w:pPr>
              <w:spacing w:before="85" w:line="192"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25min</w:t>
            </w:r>
          </w:p>
        </w:tc>
        <w:tc>
          <w:tcPr>
            <w:tcW w:w="927" w:type="dxa"/>
            <w:vAlign w:val="top"/>
          </w:tcPr>
          <w:p w14:paraId="3798F43E">
            <w:pPr>
              <w:spacing w:before="85" w:line="192"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30min</w:t>
            </w:r>
          </w:p>
        </w:tc>
      </w:tr>
      <w:tr w14:paraId="2056D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19099BE">
            <w:pPr>
              <w:pStyle w:val="6"/>
              <w:spacing w:before="48" w:line="219" w:lineRule="auto"/>
              <w:ind w:left="544"/>
              <w:rPr>
                <w:sz w:val="18"/>
                <w:szCs w:val="18"/>
              </w:rPr>
            </w:pPr>
            <w:r>
              <w:rPr>
                <w:spacing w:val="-4"/>
                <w:sz w:val="18"/>
                <w:szCs w:val="18"/>
              </w:rPr>
              <w:t>大嶂村</w:t>
            </w:r>
          </w:p>
        </w:tc>
        <w:tc>
          <w:tcPr>
            <w:tcW w:w="1731" w:type="dxa"/>
            <w:vAlign w:val="top"/>
          </w:tcPr>
          <w:p w14:paraId="0A43425A">
            <w:pPr>
              <w:pStyle w:val="6"/>
              <w:spacing w:before="48" w:line="212" w:lineRule="auto"/>
              <w:ind w:left="113"/>
              <w:rPr>
                <w:rFonts w:ascii="Times New Roman" w:hAnsi="Times New Roman" w:eastAsia="Times New Roman" w:cs="Times New Roman"/>
                <w:sz w:val="18"/>
                <w:szCs w:val="18"/>
              </w:rPr>
            </w:pPr>
            <w:r>
              <w:rPr>
                <w:spacing w:val="-1"/>
                <w:sz w:val="18"/>
                <w:szCs w:val="18"/>
              </w:rPr>
              <w:t>最大浓度</w:t>
            </w:r>
            <w:r>
              <w:rPr>
                <w:rFonts w:ascii="Times New Roman" w:hAnsi="Times New Roman" w:eastAsia="Times New Roman" w:cs="Times New Roman"/>
                <w:spacing w:val="-1"/>
                <w:sz w:val="18"/>
                <w:szCs w:val="18"/>
              </w:rPr>
              <w:t>|</w:t>
            </w:r>
            <w:r>
              <w:rPr>
                <w:spacing w:val="-1"/>
                <w:sz w:val="18"/>
                <w:szCs w:val="18"/>
              </w:rPr>
              <w:t>时间</w:t>
            </w:r>
            <w:r>
              <w:rPr>
                <w:rFonts w:ascii="Times New Roman" w:hAnsi="Times New Roman" w:eastAsia="Times New Roman" w:cs="Times New Roman"/>
                <w:spacing w:val="-1"/>
                <w:sz w:val="18"/>
                <w:szCs w:val="18"/>
              </w:rPr>
              <w:t>(min)</w:t>
            </w:r>
          </w:p>
        </w:tc>
        <w:tc>
          <w:tcPr>
            <w:tcW w:w="996" w:type="dxa"/>
            <w:vAlign w:val="top"/>
          </w:tcPr>
          <w:p w14:paraId="25193A84">
            <w:pPr>
              <w:spacing w:before="76" w:line="192"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5min</w:t>
            </w:r>
          </w:p>
        </w:tc>
        <w:tc>
          <w:tcPr>
            <w:tcW w:w="938" w:type="dxa"/>
            <w:vAlign w:val="top"/>
          </w:tcPr>
          <w:p w14:paraId="57F69684">
            <w:pPr>
              <w:spacing w:before="76" w:line="192"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10min</w:t>
            </w:r>
          </w:p>
        </w:tc>
        <w:tc>
          <w:tcPr>
            <w:tcW w:w="997" w:type="dxa"/>
            <w:vAlign w:val="top"/>
          </w:tcPr>
          <w:p w14:paraId="40F99EBF">
            <w:pPr>
              <w:spacing w:before="76" w:line="192"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15min</w:t>
            </w:r>
          </w:p>
        </w:tc>
        <w:tc>
          <w:tcPr>
            <w:tcW w:w="938" w:type="dxa"/>
            <w:vAlign w:val="top"/>
          </w:tcPr>
          <w:p w14:paraId="051CA3EB">
            <w:pPr>
              <w:spacing w:before="76"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20min</w:t>
            </w:r>
          </w:p>
        </w:tc>
        <w:tc>
          <w:tcPr>
            <w:tcW w:w="923" w:type="dxa"/>
            <w:vAlign w:val="top"/>
          </w:tcPr>
          <w:p w14:paraId="2DADCC14">
            <w:pPr>
              <w:spacing w:before="76" w:line="192"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25min</w:t>
            </w:r>
          </w:p>
        </w:tc>
        <w:tc>
          <w:tcPr>
            <w:tcW w:w="927" w:type="dxa"/>
            <w:vAlign w:val="top"/>
          </w:tcPr>
          <w:p w14:paraId="6E2765DC">
            <w:pPr>
              <w:spacing w:before="76" w:line="192"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30min</w:t>
            </w:r>
          </w:p>
        </w:tc>
      </w:tr>
      <w:tr w14:paraId="5F4DE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8D21AE0">
            <w:pPr>
              <w:pStyle w:val="6"/>
              <w:spacing w:before="50" w:line="220" w:lineRule="auto"/>
              <w:ind w:left="633"/>
              <w:rPr>
                <w:sz w:val="18"/>
                <w:szCs w:val="18"/>
              </w:rPr>
            </w:pPr>
            <w:r>
              <w:rPr>
                <w:spacing w:val="-5"/>
                <w:sz w:val="18"/>
                <w:szCs w:val="18"/>
              </w:rPr>
              <w:t>兵营</w:t>
            </w:r>
          </w:p>
        </w:tc>
        <w:tc>
          <w:tcPr>
            <w:tcW w:w="1731" w:type="dxa"/>
            <w:vAlign w:val="top"/>
          </w:tcPr>
          <w:p w14:paraId="29E3CBF2">
            <w:pPr>
              <w:spacing w:before="75" w:line="192"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5.34E-01|15</w:t>
            </w:r>
          </w:p>
        </w:tc>
        <w:tc>
          <w:tcPr>
            <w:tcW w:w="996" w:type="dxa"/>
            <w:vAlign w:val="top"/>
          </w:tcPr>
          <w:p w14:paraId="7FF10002">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35BC94D">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7E0AD38">
            <w:pPr>
              <w:spacing w:before="79"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5.34E-01</w:t>
            </w:r>
          </w:p>
        </w:tc>
        <w:tc>
          <w:tcPr>
            <w:tcW w:w="938" w:type="dxa"/>
            <w:vAlign w:val="top"/>
          </w:tcPr>
          <w:p w14:paraId="5117DC09">
            <w:pPr>
              <w:spacing w:before="79"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5.34E-01</w:t>
            </w:r>
          </w:p>
        </w:tc>
        <w:tc>
          <w:tcPr>
            <w:tcW w:w="923" w:type="dxa"/>
            <w:vAlign w:val="top"/>
          </w:tcPr>
          <w:p w14:paraId="3CDA9019">
            <w:pPr>
              <w:spacing w:before="79"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5.34E-01</w:t>
            </w:r>
          </w:p>
        </w:tc>
        <w:tc>
          <w:tcPr>
            <w:tcW w:w="927" w:type="dxa"/>
            <w:vAlign w:val="top"/>
          </w:tcPr>
          <w:p w14:paraId="3D0A5739">
            <w:pPr>
              <w:spacing w:before="79"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5.34E-01</w:t>
            </w:r>
          </w:p>
        </w:tc>
      </w:tr>
      <w:tr w14:paraId="0BF0E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61635F9B">
            <w:pPr>
              <w:pStyle w:val="6"/>
              <w:spacing w:before="50" w:line="219" w:lineRule="auto"/>
              <w:ind w:left="552"/>
              <w:rPr>
                <w:sz w:val="18"/>
                <w:szCs w:val="18"/>
              </w:rPr>
            </w:pPr>
            <w:r>
              <w:rPr>
                <w:spacing w:val="-6"/>
                <w:sz w:val="18"/>
                <w:szCs w:val="18"/>
              </w:rPr>
              <w:t>陈庄村</w:t>
            </w:r>
          </w:p>
        </w:tc>
        <w:tc>
          <w:tcPr>
            <w:tcW w:w="1731" w:type="dxa"/>
            <w:vAlign w:val="top"/>
          </w:tcPr>
          <w:p w14:paraId="4DFC469E">
            <w:pPr>
              <w:spacing w:before="76" w:line="192" w:lineRule="auto"/>
              <w:ind w:left="4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1.65E+04|5</w:t>
            </w:r>
          </w:p>
        </w:tc>
        <w:tc>
          <w:tcPr>
            <w:tcW w:w="996" w:type="dxa"/>
            <w:vAlign w:val="top"/>
          </w:tcPr>
          <w:p w14:paraId="0333E9E2">
            <w:pPr>
              <w:spacing w:before="79"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1.65E+04</w:t>
            </w:r>
          </w:p>
        </w:tc>
        <w:tc>
          <w:tcPr>
            <w:tcW w:w="938" w:type="dxa"/>
            <w:vAlign w:val="top"/>
          </w:tcPr>
          <w:p w14:paraId="65AAB686">
            <w:pPr>
              <w:spacing w:before="79"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1.65E+04</w:t>
            </w:r>
          </w:p>
        </w:tc>
        <w:tc>
          <w:tcPr>
            <w:tcW w:w="997" w:type="dxa"/>
            <w:vAlign w:val="top"/>
          </w:tcPr>
          <w:p w14:paraId="10411A13">
            <w:pPr>
              <w:spacing w:before="79"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1.65E+04</w:t>
            </w:r>
          </w:p>
        </w:tc>
        <w:tc>
          <w:tcPr>
            <w:tcW w:w="938" w:type="dxa"/>
            <w:vAlign w:val="top"/>
          </w:tcPr>
          <w:p w14:paraId="5F29266C">
            <w:pPr>
              <w:spacing w:before="79"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1.65E+04</w:t>
            </w:r>
          </w:p>
        </w:tc>
        <w:tc>
          <w:tcPr>
            <w:tcW w:w="923" w:type="dxa"/>
            <w:vAlign w:val="top"/>
          </w:tcPr>
          <w:p w14:paraId="17D559E0">
            <w:pPr>
              <w:spacing w:before="79"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1.65E+04</w:t>
            </w:r>
          </w:p>
        </w:tc>
        <w:tc>
          <w:tcPr>
            <w:tcW w:w="927" w:type="dxa"/>
            <w:vAlign w:val="top"/>
          </w:tcPr>
          <w:p w14:paraId="4CD3A211">
            <w:pPr>
              <w:spacing w:before="79"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1.65E+04</w:t>
            </w:r>
          </w:p>
        </w:tc>
      </w:tr>
      <w:tr w14:paraId="76A75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C498174">
            <w:pPr>
              <w:pStyle w:val="6"/>
              <w:spacing w:before="51" w:line="219" w:lineRule="auto"/>
              <w:ind w:left="460"/>
              <w:rPr>
                <w:sz w:val="18"/>
                <w:szCs w:val="18"/>
              </w:rPr>
            </w:pPr>
            <w:r>
              <w:rPr>
                <w:spacing w:val="-5"/>
                <w:sz w:val="18"/>
                <w:szCs w:val="18"/>
              </w:rPr>
              <w:t>陈林新村</w:t>
            </w:r>
          </w:p>
        </w:tc>
        <w:tc>
          <w:tcPr>
            <w:tcW w:w="1731" w:type="dxa"/>
            <w:vAlign w:val="top"/>
          </w:tcPr>
          <w:p w14:paraId="1886BFA9">
            <w:pPr>
              <w:spacing w:before="77"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9.93E-01|10</w:t>
            </w:r>
          </w:p>
        </w:tc>
        <w:tc>
          <w:tcPr>
            <w:tcW w:w="996" w:type="dxa"/>
            <w:vAlign w:val="top"/>
          </w:tcPr>
          <w:p w14:paraId="21712008">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699B849">
            <w:pPr>
              <w:spacing w:before="80"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9.93E-01</w:t>
            </w:r>
          </w:p>
        </w:tc>
        <w:tc>
          <w:tcPr>
            <w:tcW w:w="997" w:type="dxa"/>
            <w:vAlign w:val="top"/>
          </w:tcPr>
          <w:p w14:paraId="235992EC">
            <w:pPr>
              <w:spacing w:before="80"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9.93E-01</w:t>
            </w:r>
          </w:p>
        </w:tc>
        <w:tc>
          <w:tcPr>
            <w:tcW w:w="938" w:type="dxa"/>
            <w:vAlign w:val="top"/>
          </w:tcPr>
          <w:p w14:paraId="2F3E1CFD">
            <w:pPr>
              <w:spacing w:before="80"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9.93E-01</w:t>
            </w:r>
          </w:p>
        </w:tc>
        <w:tc>
          <w:tcPr>
            <w:tcW w:w="923" w:type="dxa"/>
            <w:vAlign w:val="top"/>
          </w:tcPr>
          <w:p w14:paraId="266270C6">
            <w:pPr>
              <w:spacing w:before="80"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9.93E-01</w:t>
            </w:r>
          </w:p>
        </w:tc>
        <w:tc>
          <w:tcPr>
            <w:tcW w:w="927" w:type="dxa"/>
            <w:vAlign w:val="top"/>
          </w:tcPr>
          <w:p w14:paraId="2C4B9098">
            <w:pPr>
              <w:spacing w:before="80"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9.93E-01</w:t>
            </w:r>
          </w:p>
        </w:tc>
      </w:tr>
      <w:tr w14:paraId="7702C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04FA074E">
            <w:pPr>
              <w:pStyle w:val="6"/>
              <w:spacing w:before="50" w:line="219" w:lineRule="auto"/>
              <w:ind w:left="452"/>
              <w:rPr>
                <w:sz w:val="18"/>
                <w:szCs w:val="18"/>
              </w:rPr>
            </w:pPr>
            <w:r>
              <w:rPr>
                <w:spacing w:val="-3"/>
                <w:sz w:val="18"/>
                <w:szCs w:val="18"/>
              </w:rPr>
              <w:t>金钱埔村</w:t>
            </w:r>
          </w:p>
        </w:tc>
        <w:tc>
          <w:tcPr>
            <w:tcW w:w="1731" w:type="dxa"/>
            <w:vAlign w:val="top"/>
          </w:tcPr>
          <w:p w14:paraId="0F513EA7">
            <w:pPr>
              <w:spacing w:before="79"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13E-01|15</w:t>
            </w:r>
          </w:p>
        </w:tc>
        <w:tc>
          <w:tcPr>
            <w:tcW w:w="996" w:type="dxa"/>
            <w:vAlign w:val="top"/>
          </w:tcPr>
          <w:p w14:paraId="2A66E98E">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158BAA2">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A619B5D">
            <w:pPr>
              <w:spacing w:before="82" w:line="188"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13E-01</w:t>
            </w:r>
          </w:p>
        </w:tc>
        <w:tc>
          <w:tcPr>
            <w:tcW w:w="938" w:type="dxa"/>
            <w:vAlign w:val="top"/>
          </w:tcPr>
          <w:p w14:paraId="6B3992D6">
            <w:pPr>
              <w:spacing w:before="82"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13E-01</w:t>
            </w:r>
          </w:p>
        </w:tc>
        <w:tc>
          <w:tcPr>
            <w:tcW w:w="923" w:type="dxa"/>
            <w:vAlign w:val="top"/>
          </w:tcPr>
          <w:p w14:paraId="1D466DF4">
            <w:pPr>
              <w:spacing w:before="8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4"/>
                <w:sz w:val="18"/>
                <w:szCs w:val="18"/>
              </w:rPr>
              <w:t>13E-01</w:t>
            </w:r>
          </w:p>
        </w:tc>
        <w:tc>
          <w:tcPr>
            <w:tcW w:w="927" w:type="dxa"/>
            <w:vAlign w:val="top"/>
          </w:tcPr>
          <w:p w14:paraId="4186305B">
            <w:pPr>
              <w:spacing w:before="8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4"/>
                <w:sz w:val="18"/>
                <w:szCs w:val="18"/>
              </w:rPr>
              <w:t>13E-01</w:t>
            </w:r>
          </w:p>
        </w:tc>
      </w:tr>
      <w:tr w14:paraId="59A2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C07BF31">
            <w:pPr>
              <w:pStyle w:val="6"/>
              <w:spacing w:before="51" w:line="219" w:lineRule="auto"/>
              <w:ind w:left="543"/>
              <w:rPr>
                <w:sz w:val="18"/>
                <w:szCs w:val="18"/>
              </w:rPr>
            </w:pPr>
            <w:r>
              <w:rPr>
                <w:spacing w:val="-3"/>
                <w:sz w:val="18"/>
                <w:szCs w:val="18"/>
              </w:rPr>
              <w:t>罗北村</w:t>
            </w:r>
          </w:p>
        </w:tc>
        <w:tc>
          <w:tcPr>
            <w:tcW w:w="1731" w:type="dxa"/>
            <w:vAlign w:val="top"/>
          </w:tcPr>
          <w:p w14:paraId="45DA2BE6">
            <w:pPr>
              <w:spacing w:before="79" w:line="192" w:lineRule="auto"/>
              <w:ind w:left="4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1.22E+00|10</w:t>
            </w:r>
          </w:p>
        </w:tc>
        <w:tc>
          <w:tcPr>
            <w:tcW w:w="996" w:type="dxa"/>
            <w:vAlign w:val="top"/>
          </w:tcPr>
          <w:p w14:paraId="2541CB1D">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7CF7EB5">
            <w:pPr>
              <w:spacing w:before="83"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1.22E+00</w:t>
            </w:r>
          </w:p>
        </w:tc>
        <w:tc>
          <w:tcPr>
            <w:tcW w:w="997" w:type="dxa"/>
            <w:vAlign w:val="top"/>
          </w:tcPr>
          <w:p w14:paraId="0F089CA5">
            <w:pPr>
              <w:spacing w:before="83"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1.22E+00</w:t>
            </w:r>
          </w:p>
        </w:tc>
        <w:tc>
          <w:tcPr>
            <w:tcW w:w="938" w:type="dxa"/>
            <w:vAlign w:val="top"/>
          </w:tcPr>
          <w:p w14:paraId="3CDB1B05">
            <w:pPr>
              <w:spacing w:before="83"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1.22E+00</w:t>
            </w:r>
          </w:p>
        </w:tc>
        <w:tc>
          <w:tcPr>
            <w:tcW w:w="923" w:type="dxa"/>
            <w:vAlign w:val="top"/>
          </w:tcPr>
          <w:p w14:paraId="721F826F">
            <w:pPr>
              <w:spacing w:before="8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1.22E+00</w:t>
            </w:r>
          </w:p>
        </w:tc>
        <w:tc>
          <w:tcPr>
            <w:tcW w:w="927" w:type="dxa"/>
            <w:vAlign w:val="top"/>
          </w:tcPr>
          <w:p w14:paraId="6C5C6E31">
            <w:pPr>
              <w:spacing w:before="83"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1.22E+00</w:t>
            </w:r>
          </w:p>
        </w:tc>
      </w:tr>
      <w:tr w14:paraId="25B39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3BE071F9">
            <w:pPr>
              <w:pStyle w:val="6"/>
              <w:spacing w:before="51" w:line="219" w:lineRule="auto"/>
              <w:ind w:left="543"/>
              <w:rPr>
                <w:sz w:val="18"/>
                <w:szCs w:val="18"/>
              </w:rPr>
            </w:pPr>
            <w:r>
              <w:rPr>
                <w:spacing w:val="-3"/>
                <w:sz w:val="18"/>
                <w:szCs w:val="18"/>
              </w:rPr>
              <w:t>上乡村</w:t>
            </w:r>
          </w:p>
        </w:tc>
        <w:tc>
          <w:tcPr>
            <w:tcW w:w="1731" w:type="dxa"/>
            <w:vAlign w:val="top"/>
          </w:tcPr>
          <w:p w14:paraId="53746A03">
            <w:pPr>
              <w:spacing w:before="79" w:line="192"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8.88E-01|10</w:t>
            </w:r>
          </w:p>
        </w:tc>
        <w:tc>
          <w:tcPr>
            <w:tcW w:w="996" w:type="dxa"/>
            <w:vAlign w:val="top"/>
          </w:tcPr>
          <w:p w14:paraId="45D5F628">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86B9964">
            <w:pPr>
              <w:spacing w:before="82"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8.88E-01</w:t>
            </w:r>
          </w:p>
        </w:tc>
        <w:tc>
          <w:tcPr>
            <w:tcW w:w="997" w:type="dxa"/>
            <w:vAlign w:val="top"/>
          </w:tcPr>
          <w:p w14:paraId="02CEC037">
            <w:pPr>
              <w:spacing w:before="82" w:line="188" w:lineRule="auto"/>
              <w:ind w:left="1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8.88E-01</w:t>
            </w:r>
          </w:p>
        </w:tc>
        <w:tc>
          <w:tcPr>
            <w:tcW w:w="938" w:type="dxa"/>
            <w:vAlign w:val="top"/>
          </w:tcPr>
          <w:p w14:paraId="40F974C0">
            <w:pPr>
              <w:spacing w:before="82" w:line="188"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8.88E-01</w:t>
            </w:r>
          </w:p>
        </w:tc>
        <w:tc>
          <w:tcPr>
            <w:tcW w:w="923" w:type="dxa"/>
            <w:vAlign w:val="top"/>
          </w:tcPr>
          <w:p w14:paraId="409D2CB8">
            <w:pPr>
              <w:spacing w:before="8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8.88E-01</w:t>
            </w:r>
          </w:p>
        </w:tc>
        <w:tc>
          <w:tcPr>
            <w:tcW w:w="927" w:type="dxa"/>
            <w:vAlign w:val="top"/>
          </w:tcPr>
          <w:p w14:paraId="2311E483">
            <w:pPr>
              <w:spacing w:before="82"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8.88E-01</w:t>
            </w:r>
          </w:p>
        </w:tc>
      </w:tr>
      <w:tr w14:paraId="0F39F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5788207">
            <w:pPr>
              <w:pStyle w:val="6"/>
              <w:spacing w:before="54" w:line="219" w:lineRule="auto"/>
              <w:ind w:left="541"/>
              <w:rPr>
                <w:sz w:val="18"/>
                <w:szCs w:val="18"/>
              </w:rPr>
            </w:pPr>
            <w:r>
              <w:rPr>
                <w:spacing w:val="-3"/>
                <w:sz w:val="18"/>
                <w:szCs w:val="18"/>
              </w:rPr>
              <w:t>港墘村</w:t>
            </w:r>
          </w:p>
        </w:tc>
        <w:tc>
          <w:tcPr>
            <w:tcW w:w="1731" w:type="dxa"/>
            <w:vAlign w:val="top"/>
          </w:tcPr>
          <w:p w14:paraId="6C298B6B">
            <w:pPr>
              <w:spacing w:before="79" w:line="192" w:lineRule="auto"/>
              <w:ind w:left="4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1.66E+00|10</w:t>
            </w:r>
          </w:p>
        </w:tc>
        <w:tc>
          <w:tcPr>
            <w:tcW w:w="996" w:type="dxa"/>
            <w:vAlign w:val="top"/>
          </w:tcPr>
          <w:p w14:paraId="16D74674">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5662A7B">
            <w:pPr>
              <w:spacing w:before="83"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1.66E+00</w:t>
            </w:r>
          </w:p>
        </w:tc>
        <w:tc>
          <w:tcPr>
            <w:tcW w:w="997" w:type="dxa"/>
            <w:vAlign w:val="top"/>
          </w:tcPr>
          <w:p w14:paraId="2C9605E6">
            <w:pPr>
              <w:spacing w:before="83"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1.66E+00</w:t>
            </w:r>
          </w:p>
        </w:tc>
        <w:tc>
          <w:tcPr>
            <w:tcW w:w="938" w:type="dxa"/>
            <w:vAlign w:val="top"/>
          </w:tcPr>
          <w:p w14:paraId="5B7F34F5">
            <w:pPr>
              <w:spacing w:before="83"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1.66E+00</w:t>
            </w:r>
          </w:p>
        </w:tc>
        <w:tc>
          <w:tcPr>
            <w:tcW w:w="923" w:type="dxa"/>
            <w:vAlign w:val="top"/>
          </w:tcPr>
          <w:p w14:paraId="34A17476">
            <w:pPr>
              <w:spacing w:before="83" w:line="188" w:lineRule="auto"/>
              <w:ind w:left="1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1.66E+00</w:t>
            </w:r>
          </w:p>
        </w:tc>
        <w:tc>
          <w:tcPr>
            <w:tcW w:w="927" w:type="dxa"/>
            <w:vAlign w:val="top"/>
          </w:tcPr>
          <w:p w14:paraId="4B6AAF45">
            <w:pPr>
              <w:spacing w:before="83"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1.66E+00</w:t>
            </w:r>
          </w:p>
        </w:tc>
      </w:tr>
      <w:tr w14:paraId="797C5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C1BC4C6">
            <w:pPr>
              <w:pStyle w:val="6"/>
              <w:spacing w:before="53" w:line="219" w:lineRule="auto"/>
              <w:ind w:left="543"/>
              <w:rPr>
                <w:sz w:val="18"/>
                <w:szCs w:val="18"/>
              </w:rPr>
            </w:pPr>
            <w:r>
              <w:rPr>
                <w:spacing w:val="-3"/>
                <w:sz w:val="18"/>
                <w:szCs w:val="18"/>
              </w:rPr>
              <w:t>罗东村</w:t>
            </w:r>
          </w:p>
        </w:tc>
        <w:tc>
          <w:tcPr>
            <w:tcW w:w="1731" w:type="dxa"/>
            <w:vAlign w:val="top"/>
          </w:tcPr>
          <w:p w14:paraId="103D3317">
            <w:pPr>
              <w:spacing w:before="79" w:line="192"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5.27E-01|15</w:t>
            </w:r>
          </w:p>
        </w:tc>
        <w:tc>
          <w:tcPr>
            <w:tcW w:w="996" w:type="dxa"/>
            <w:vAlign w:val="top"/>
          </w:tcPr>
          <w:p w14:paraId="6CDEBBBE">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5BE1CA2">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7D5AC5E">
            <w:pPr>
              <w:spacing w:before="82"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5.27E-01</w:t>
            </w:r>
          </w:p>
        </w:tc>
        <w:tc>
          <w:tcPr>
            <w:tcW w:w="938" w:type="dxa"/>
            <w:vAlign w:val="top"/>
          </w:tcPr>
          <w:p w14:paraId="11E9A0B9">
            <w:pPr>
              <w:spacing w:before="82"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5.27E-01</w:t>
            </w:r>
          </w:p>
        </w:tc>
        <w:tc>
          <w:tcPr>
            <w:tcW w:w="923" w:type="dxa"/>
            <w:vAlign w:val="top"/>
          </w:tcPr>
          <w:p w14:paraId="78306E9D">
            <w:pPr>
              <w:spacing w:before="8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5.27E-01</w:t>
            </w:r>
          </w:p>
        </w:tc>
        <w:tc>
          <w:tcPr>
            <w:tcW w:w="927" w:type="dxa"/>
            <w:vAlign w:val="top"/>
          </w:tcPr>
          <w:p w14:paraId="0FCE7881">
            <w:pPr>
              <w:spacing w:before="82"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5.27E-01</w:t>
            </w:r>
          </w:p>
        </w:tc>
      </w:tr>
      <w:tr w14:paraId="15436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8C2FE71">
            <w:pPr>
              <w:pStyle w:val="6"/>
              <w:spacing w:before="53" w:line="219" w:lineRule="auto"/>
              <w:ind w:left="363"/>
              <w:rPr>
                <w:sz w:val="18"/>
                <w:szCs w:val="18"/>
              </w:rPr>
            </w:pPr>
            <w:r>
              <w:rPr>
                <w:spacing w:val="-2"/>
                <w:sz w:val="18"/>
                <w:szCs w:val="18"/>
              </w:rPr>
              <w:t>罗北新乡村</w:t>
            </w:r>
          </w:p>
        </w:tc>
        <w:tc>
          <w:tcPr>
            <w:tcW w:w="1731" w:type="dxa"/>
            <w:vAlign w:val="top"/>
          </w:tcPr>
          <w:p w14:paraId="61A7DF1E">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3.56E-01|20</w:t>
            </w:r>
          </w:p>
        </w:tc>
        <w:tc>
          <w:tcPr>
            <w:tcW w:w="996" w:type="dxa"/>
            <w:vAlign w:val="top"/>
          </w:tcPr>
          <w:p w14:paraId="0A8EB360">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55A0EF3">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0FD7796">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DBB7C09">
            <w:pPr>
              <w:spacing w:before="82" w:line="188"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3.56E-01</w:t>
            </w:r>
          </w:p>
        </w:tc>
        <w:tc>
          <w:tcPr>
            <w:tcW w:w="923" w:type="dxa"/>
            <w:vAlign w:val="top"/>
          </w:tcPr>
          <w:p w14:paraId="170FC98A">
            <w:pPr>
              <w:spacing w:before="8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3.56E-01</w:t>
            </w:r>
          </w:p>
        </w:tc>
        <w:tc>
          <w:tcPr>
            <w:tcW w:w="927" w:type="dxa"/>
            <w:vAlign w:val="top"/>
          </w:tcPr>
          <w:p w14:paraId="498632BC">
            <w:pPr>
              <w:spacing w:before="8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3.56E-01</w:t>
            </w:r>
          </w:p>
        </w:tc>
      </w:tr>
      <w:tr w14:paraId="1E216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76EFA4D">
            <w:pPr>
              <w:pStyle w:val="6"/>
              <w:spacing w:before="52" w:line="219" w:lineRule="auto"/>
              <w:ind w:left="542"/>
              <w:rPr>
                <w:sz w:val="18"/>
                <w:szCs w:val="18"/>
              </w:rPr>
            </w:pPr>
            <w:r>
              <w:rPr>
                <w:spacing w:val="-3"/>
                <w:sz w:val="18"/>
                <w:szCs w:val="18"/>
              </w:rPr>
              <w:t>长湖村</w:t>
            </w:r>
          </w:p>
        </w:tc>
        <w:tc>
          <w:tcPr>
            <w:tcW w:w="1731" w:type="dxa"/>
            <w:vAlign w:val="top"/>
          </w:tcPr>
          <w:p w14:paraId="0E83F923">
            <w:pPr>
              <w:spacing w:before="81" w:line="192"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5.87E-01|15</w:t>
            </w:r>
          </w:p>
        </w:tc>
        <w:tc>
          <w:tcPr>
            <w:tcW w:w="996" w:type="dxa"/>
            <w:vAlign w:val="top"/>
          </w:tcPr>
          <w:p w14:paraId="2A2F8097">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0861371">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E2E7F43">
            <w:pPr>
              <w:spacing w:before="84"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5.87E-01</w:t>
            </w:r>
          </w:p>
        </w:tc>
        <w:tc>
          <w:tcPr>
            <w:tcW w:w="938" w:type="dxa"/>
            <w:vAlign w:val="top"/>
          </w:tcPr>
          <w:p w14:paraId="1565BB81">
            <w:pPr>
              <w:spacing w:before="84"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5.87E-01</w:t>
            </w:r>
          </w:p>
        </w:tc>
        <w:tc>
          <w:tcPr>
            <w:tcW w:w="923" w:type="dxa"/>
            <w:vAlign w:val="top"/>
          </w:tcPr>
          <w:p w14:paraId="409FB74D">
            <w:pPr>
              <w:spacing w:before="84"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5.87E-01</w:t>
            </w:r>
          </w:p>
        </w:tc>
        <w:tc>
          <w:tcPr>
            <w:tcW w:w="927" w:type="dxa"/>
            <w:vAlign w:val="top"/>
          </w:tcPr>
          <w:p w14:paraId="15807705">
            <w:pPr>
              <w:spacing w:before="8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5.87E-01</w:t>
            </w:r>
          </w:p>
        </w:tc>
      </w:tr>
      <w:tr w14:paraId="1BAE0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8689E2F">
            <w:pPr>
              <w:pStyle w:val="6"/>
              <w:spacing w:before="52" w:line="219" w:lineRule="auto"/>
              <w:ind w:left="544"/>
              <w:rPr>
                <w:sz w:val="18"/>
                <w:szCs w:val="18"/>
              </w:rPr>
            </w:pPr>
            <w:r>
              <w:rPr>
                <w:spacing w:val="-4"/>
                <w:sz w:val="18"/>
                <w:szCs w:val="18"/>
              </w:rPr>
              <w:t>炉洋村</w:t>
            </w:r>
          </w:p>
        </w:tc>
        <w:tc>
          <w:tcPr>
            <w:tcW w:w="1731" w:type="dxa"/>
            <w:vAlign w:val="top"/>
          </w:tcPr>
          <w:p w14:paraId="5BFA92F4">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2.50E-01|25</w:t>
            </w:r>
          </w:p>
        </w:tc>
        <w:tc>
          <w:tcPr>
            <w:tcW w:w="996" w:type="dxa"/>
            <w:vAlign w:val="top"/>
          </w:tcPr>
          <w:p w14:paraId="5F2ADEFC">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355EBB8">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F901ADD">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2E579EB">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8CEC5F7">
            <w:pPr>
              <w:spacing w:before="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2.50E-01</w:t>
            </w:r>
          </w:p>
        </w:tc>
        <w:tc>
          <w:tcPr>
            <w:tcW w:w="927" w:type="dxa"/>
            <w:vAlign w:val="top"/>
          </w:tcPr>
          <w:p w14:paraId="5EE10C1A">
            <w:pPr>
              <w:spacing w:before="84"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2.50E-01</w:t>
            </w:r>
          </w:p>
        </w:tc>
      </w:tr>
      <w:tr w14:paraId="7A800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2B20D89">
            <w:pPr>
              <w:pStyle w:val="6"/>
              <w:spacing w:before="52" w:line="219" w:lineRule="auto"/>
              <w:ind w:left="544"/>
              <w:rPr>
                <w:sz w:val="18"/>
                <w:szCs w:val="18"/>
              </w:rPr>
            </w:pPr>
            <w:r>
              <w:rPr>
                <w:spacing w:val="-4"/>
                <w:sz w:val="18"/>
                <w:szCs w:val="18"/>
              </w:rPr>
              <w:t>南笏村</w:t>
            </w:r>
          </w:p>
        </w:tc>
        <w:tc>
          <w:tcPr>
            <w:tcW w:w="1731" w:type="dxa"/>
            <w:vAlign w:val="top"/>
          </w:tcPr>
          <w:p w14:paraId="72C6562A">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1.40E-01|50</w:t>
            </w:r>
          </w:p>
        </w:tc>
        <w:tc>
          <w:tcPr>
            <w:tcW w:w="996" w:type="dxa"/>
            <w:vAlign w:val="top"/>
          </w:tcPr>
          <w:p w14:paraId="04E08FA9">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7CDE3F6">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2B889F7">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E4C2C3F">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FE8A713">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40DB4FB">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D90C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2DDA4187">
            <w:pPr>
              <w:pStyle w:val="6"/>
              <w:spacing w:before="54" w:line="219" w:lineRule="auto"/>
              <w:ind w:left="542"/>
              <w:rPr>
                <w:sz w:val="18"/>
                <w:szCs w:val="18"/>
              </w:rPr>
            </w:pPr>
            <w:r>
              <w:rPr>
                <w:spacing w:val="-3"/>
                <w:sz w:val="18"/>
                <w:szCs w:val="18"/>
              </w:rPr>
              <w:t>新厝村</w:t>
            </w:r>
          </w:p>
        </w:tc>
        <w:tc>
          <w:tcPr>
            <w:tcW w:w="1731" w:type="dxa"/>
            <w:vAlign w:val="top"/>
          </w:tcPr>
          <w:p w14:paraId="17C3026B">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1.74E-01|30</w:t>
            </w:r>
          </w:p>
        </w:tc>
        <w:tc>
          <w:tcPr>
            <w:tcW w:w="996" w:type="dxa"/>
            <w:vAlign w:val="top"/>
          </w:tcPr>
          <w:p w14:paraId="545FEECB">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EC927CF">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72B36CC">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25CB1E3">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9FE3BB4">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C9F1B0C">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1.74E-01</w:t>
            </w:r>
          </w:p>
        </w:tc>
      </w:tr>
      <w:tr w14:paraId="7DD93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71A876DD">
            <w:pPr>
              <w:pStyle w:val="6"/>
              <w:spacing w:before="53" w:line="219" w:lineRule="auto"/>
              <w:ind w:left="543"/>
              <w:rPr>
                <w:sz w:val="18"/>
                <w:szCs w:val="18"/>
              </w:rPr>
            </w:pPr>
            <w:r>
              <w:rPr>
                <w:spacing w:val="-3"/>
                <w:sz w:val="18"/>
                <w:szCs w:val="18"/>
              </w:rPr>
              <w:t>上达村</w:t>
            </w:r>
          </w:p>
        </w:tc>
        <w:tc>
          <w:tcPr>
            <w:tcW w:w="1731" w:type="dxa"/>
            <w:vAlign w:val="top"/>
          </w:tcPr>
          <w:p w14:paraId="299A1F4D">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2.57E-01|25</w:t>
            </w:r>
          </w:p>
        </w:tc>
        <w:tc>
          <w:tcPr>
            <w:tcW w:w="996" w:type="dxa"/>
            <w:vAlign w:val="top"/>
          </w:tcPr>
          <w:p w14:paraId="77A2CB86">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5501314">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989961B">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D59E6E7">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1A97619">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2.57E-01</w:t>
            </w:r>
          </w:p>
        </w:tc>
        <w:tc>
          <w:tcPr>
            <w:tcW w:w="927" w:type="dxa"/>
            <w:vAlign w:val="top"/>
          </w:tcPr>
          <w:p w14:paraId="29E676A7">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2.57E-01</w:t>
            </w:r>
          </w:p>
        </w:tc>
      </w:tr>
      <w:tr w14:paraId="19254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CAA4531">
            <w:pPr>
              <w:pStyle w:val="6"/>
              <w:spacing w:before="53" w:line="219" w:lineRule="auto"/>
              <w:ind w:left="547"/>
              <w:rPr>
                <w:sz w:val="18"/>
                <w:szCs w:val="18"/>
              </w:rPr>
            </w:pPr>
            <w:r>
              <w:rPr>
                <w:spacing w:val="-5"/>
                <w:sz w:val="18"/>
                <w:szCs w:val="18"/>
              </w:rPr>
              <w:t>下达村</w:t>
            </w:r>
          </w:p>
        </w:tc>
        <w:tc>
          <w:tcPr>
            <w:tcW w:w="1731" w:type="dxa"/>
            <w:vAlign w:val="top"/>
          </w:tcPr>
          <w:p w14:paraId="772D3538">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2.63E-01|25</w:t>
            </w:r>
          </w:p>
        </w:tc>
        <w:tc>
          <w:tcPr>
            <w:tcW w:w="996" w:type="dxa"/>
            <w:vAlign w:val="top"/>
          </w:tcPr>
          <w:p w14:paraId="6D4CE6F8">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6D285F3">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2AAD0B0">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6D3E542">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D8050EF">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2.63E-01</w:t>
            </w:r>
          </w:p>
        </w:tc>
        <w:tc>
          <w:tcPr>
            <w:tcW w:w="927" w:type="dxa"/>
            <w:vAlign w:val="top"/>
          </w:tcPr>
          <w:p w14:paraId="21496CE1">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2.63E-01</w:t>
            </w:r>
          </w:p>
        </w:tc>
      </w:tr>
      <w:tr w14:paraId="1E97B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C4717D5">
            <w:pPr>
              <w:pStyle w:val="6"/>
              <w:spacing w:before="52" w:line="219" w:lineRule="auto"/>
              <w:ind w:left="541"/>
              <w:rPr>
                <w:sz w:val="18"/>
                <w:szCs w:val="18"/>
              </w:rPr>
            </w:pPr>
            <w:r>
              <w:rPr>
                <w:spacing w:val="-3"/>
                <w:sz w:val="18"/>
                <w:szCs w:val="18"/>
              </w:rPr>
              <w:t>仓前村</w:t>
            </w:r>
          </w:p>
        </w:tc>
        <w:tc>
          <w:tcPr>
            <w:tcW w:w="1731" w:type="dxa"/>
            <w:vAlign w:val="top"/>
          </w:tcPr>
          <w:p w14:paraId="061141A0">
            <w:pPr>
              <w:spacing w:before="81"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2.29E-01|25</w:t>
            </w:r>
          </w:p>
        </w:tc>
        <w:tc>
          <w:tcPr>
            <w:tcW w:w="996" w:type="dxa"/>
            <w:vAlign w:val="top"/>
          </w:tcPr>
          <w:p w14:paraId="4B5C3BE9">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527D40D">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69D4695">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8358A66">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F71B77C">
            <w:pPr>
              <w:spacing w:before="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2.29E-01</w:t>
            </w:r>
          </w:p>
        </w:tc>
        <w:tc>
          <w:tcPr>
            <w:tcW w:w="927" w:type="dxa"/>
            <w:vAlign w:val="top"/>
          </w:tcPr>
          <w:p w14:paraId="2D390B93">
            <w:pPr>
              <w:spacing w:before="84"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2.29E-01</w:t>
            </w:r>
          </w:p>
        </w:tc>
      </w:tr>
      <w:tr w14:paraId="6E7E2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51E2B0B">
            <w:pPr>
              <w:pStyle w:val="6"/>
              <w:spacing w:before="52" w:line="219" w:lineRule="auto"/>
              <w:ind w:left="553"/>
              <w:rPr>
                <w:sz w:val="18"/>
                <w:szCs w:val="18"/>
              </w:rPr>
            </w:pPr>
            <w:r>
              <w:rPr>
                <w:spacing w:val="-7"/>
                <w:sz w:val="18"/>
                <w:szCs w:val="18"/>
              </w:rPr>
              <w:t>陇东村</w:t>
            </w:r>
          </w:p>
        </w:tc>
        <w:tc>
          <w:tcPr>
            <w:tcW w:w="1731" w:type="dxa"/>
            <w:vAlign w:val="top"/>
          </w:tcPr>
          <w:p w14:paraId="3862E32E">
            <w:pPr>
              <w:spacing w:before="80"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15E-01|25</w:t>
            </w:r>
          </w:p>
        </w:tc>
        <w:tc>
          <w:tcPr>
            <w:tcW w:w="996" w:type="dxa"/>
            <w:vAlign w:val="top"/>
          </w:tcPr>
          <w:p w14:paraId="4D295F73">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806AA99">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638018B">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F245E0A">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ECD8AC1">
            <w:pPr>
              <w:spacing w:before="8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15E-01</w:t>
            </w:r>
          </w:p>
        </w:tc>
        <w:tc>
          <w:tcPr>
            <w:tcW w:w="927" w:type="dxa"/>
            <w:vAlign w:val="top"/>
          </w:tcPr>
          <w:p w14:paraId="28E9FDD4">
            <w:pPr>
              <w:spacing w:before="84"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15E-01</w:t>
            </w:r>
          </w:p>
        </w:tc>
      </w:tr>
      <w:tr w14:paraId="24CD7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5000D172">
            <w:pPr>
              <w:pStyle w:val="6"/>
              <w:spacing w:before="52" w:line="219" w:lineRule="auto"/>
              <w:ind w:left="549"/>
              <w:rPr>
                <w:sz w:val="18"/>
                <w:szCs w:val="18"/>
              </w:rPr>
            </w:pPr>
            <w:r>
              <w:rPr>
                <w:spacing w:val="-5"/>
                <w:sz w:val="18"/>
                <w:szCs w:val="18"/>
              </w:rPr>
              <w:t>笏雅村</w:t>
            </w:r>
          </w:p>
        </w:tc>
        <w:tc>
          <w:tcPr>
            <w:tcW w:w="1731" w:type="dxa"/>
            <w:vAlign w:val="top"/>
          </w:tcPr>
          <w:p w14:paraId="503D2D3A">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1.44E-01|45</w:t>
            </w:r>
          </w:p>
        </w:tc>
        <w:tc>
          <w:tcPr>
            <w:tcW w:w="996" w:type="dxa"/>
            <w:vAlign w:val="top"/>
          </w:tcPr>
          <w:p w14:paraId="0DE45D67">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83E82D5">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5565DC1">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A4FCC90">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38E059F">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F882B5D">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6CD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226D1C5">
            <w:pPr>
              <w:pStyle w:val="6"/>
              <w:spacing w:before="54" w:line="219" w:lineRule="auto"/>
              <w:ind w:left="548"/>
              <w:rPr>
                <w:sz w:val="18"/>
                <w:szCs w:val="18"/>
              </w:rPr>
            </w:pPr>
            <w:r>
              <w:rPr>
                <w:spacing w:val="-5"/>
                <w:sz w:val="18"/>
                <w:szCs w:val="18"/>
              </w:rPr>
              <w:t>东新村</w:t>
            </w:r>
          </w:p>
        </w:tc>
        <w:tc>
          <w:tcPr>
            <w:tcW w:w="1731" w:type="dxa"/>
            <w:vAlign w:val="top"/>
          </w:tcPr>
          <w:p w14:paraId="5977D890">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1.25E-01|50</w:t>
            </w:r>
          </w:p>
        </w:tc>
        <w:tc>
          <w:tcPr>
            <w:tcW w:w="996" w:type="dxa"/>
            <w:vAlign w:val="top"/>
          </w:tcPr>
          <w:p w14:paraId="192F52AB">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F0333C9">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ADD4981">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716D725">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2FC1847">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0CC5C76">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36BE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DD79833">
            <w:pPr>
              <w:pStyle w:val="6"/>
              <w:spacing w:before="53" w:line="219" w:lineRule="auto"/>
              <w:ind w:left="542"/>
              <w:rPr>
                <w:sz w:val="18"/>
                <w:szCs w:val="18"/>
              </w:rPr>
            </w:pPr>
            <w:r>
              <w:rPr>
                <w:spacing w:val="-3"/>
                <w:sz w:val="18"/>
                <w:szCs w:val="18"/>
              </w:rPr>
              <w:t>凤山村</w:t>
            </w:r>
          </w:p>
        </w:tc>
        <w:tc>
          <w:tcPr>
            <w:tcW w:w="1731" w:type="dxa"/>
            <w:vAlign w:val="top"/>
          </w:tcPr>
          <w:p w14:paraId="62066921">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9.89E-02|60</w:t>
            </w:r>
          </w:p>
        </w:tc>
        <w:tc>
          <w:tcPr>
            <w:tcW w:w="996" w:type="dxa"/>
            <w:vAlign w:val="top"/>
          </w:tcPr>
          <w:p w14:paraId="352E29C2">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072ED6">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BC5D308">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C2F07FC">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482FA7C">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3B4EEAE">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84B9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FDADCEF">
            <w:pPr>
              <w:pStyle w:val="6"/>
              <w:spacing w:before="53" w:line="219" w:lineRule="auto"/>
              <w:ind w:left="543"/>
              <w:rPr>
                <w:sz w:val="18"/>
                <w:szCs w:val="18"/>
              </w:rPr>
            </w:pPr>
            <w:r>
              <w:rPr>
                <w:spacing w:val="-3"/>
                <w:sz w:val="18"/>
                <w:szCs w:val="18"/>
              </w:rPr>
              <w:t>可塘镇</w:t>
            </w:r>
          </w:p>
        </w:tc>
        <w:tc>
          <w:tcPr>
            <w:tcW w:w="1731" w:type="dxa"/>
            <w:vAlign w:val="top"/>
          </w:tcPr>
          <w:p w14:paraId="3265C501">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17E-01|50</w:t>
            </w:r>
          </w:p>
        </w:tc>
        <w:tc>
          <w:tcPr>
            <w:tcW w:w="996" w:type="dxa"/>
            <w:vAlign w:val="top"/>
          </w:tcPr>
          <w:p w14:paraId="67E5708E">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6569949">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806CA1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A657943">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8290F64">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07DE78F">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A1C2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EEE5D77">
            <w:pPr>
              <w:pStyle w:val="6"/>
              <w:spacing w:before="52" w:line="219" w:lineRule="auto"/>
              <w:ind w:left="548"/>
              <w:rPr>
                <w:sz w:val="18"/>
                <w:szCs w:val="18"/>
              </w:rPr>
            </w:pPr>
            <w:r>
              <w:rPr>
                <w:spacing w:val="-5"/>
                <w:sz w:val="18"/>
                <w:szCs w:val="18"/>
              </w:rPr>
              <w:t>东溪村</w:t>
            </w:r>
          </w:p>
        </w:tc>
        <w:tc>
          <w:tcPr>
            <w:tcW w:w="1731" w:type="dxa"/>
            <w:vAlign w:val="top"/>
          </w:tcPr>
          <w:p w14:paraId="4E90D31E">
            <w:pPr>
              <w:spacing w:before="81" w:line="192"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8.34E-02|60</w:t>
            </w:r>
          </w:p>
        </w:tc>
        <w:tc>
          <w:tcPr>
            <w:tcW w:w="996" w:type="dxa"/>
            <w:vAlign w:val="top"/>
          </w:tcPr>
          <w:p w14:paraId="1EEC5497">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6AC9F98">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98585BA">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27890EB">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B51A582">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601DF4AD">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110F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614" w:type="dxa"/>
            <w:vAlign w:val="top"/>
          </w:tcPr>
          <w:p w14:paraId="4E53E71B">
            <w:pPr>
              <w:pStyle w:val="6"/>
              <w:spacing w:before="52" w:line="219" w:lineRule="auto"/>
              <w:ind w:left="453"/>
              <w:rPr>
                <w:sz w:val="18"/>
                <w:szCs w:val="18"/>
              </w:rPr>
            </w:pPr>
            <w:r>
              <w:rPr>
                <w:spacing w:val="-3"/>
                <w:sz w:val="18"/>
                <w:szCs w:val="18"/>
              </w:rPr>
              <w:t>君硕围村</w:t>
            </w:r>
          </w:p>
        </w:tc>
        <w:tc>
          <w:tcPr>
            <w:tcW w:w="1731" w:type="dxa"/>
            <w:vAlign w:val="top"/>
          </w:tcPr>
          <w:p w14:paraId="46E41679">
            <w:pPr>
              <w:spacing w:before="80"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9.41E-02|60</w:t>
            </w:r>
          </w:p>
        </w:tc>
        <w:tc>
          <w:tcPr>
            <w:tcW w:w="996" w:type="dxa"/>
            <w:vAlign w:val="top"/>
          </w:tcPr>
          <w:p w14:paraId="4FDF22C3">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B86BEC2">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5015770">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296DEC5">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CCC4697">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1DBDCAA">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bl>
    <w:p w14:paraId="32204463">
      <w:pPr>
        <w:rPr>
          <w:rFonts w:ascii="Arial"/>
          <w:sz w:val="21"/>
        </w:rPr>
      </w:pPr>
    </w:p>
    <w:p w14:paraId="10788529">
      <w:pPr>
        <w:rPr>
          <w:rFonts w:ascii="Arial" w:hAnsi="Arial" w:eastAsia="Arial" w:cs="Arial"/>
          <w:sz w:val="21"/>
          <w:szCs w:val="21"/>
        </w:rPr>
        <w:sectPr>
          <w:footerReference r:id="rId155" w:type="default"/>
          <w:pgSz w:w="11906" w:h="16839"/>
          <w:pgMar w:top="400" w:right="1418" w:bottom="1127" w:left="1418" w:header="0" w:footer="965" w:gutter="0"/>
          <w:cols w:space="720" w:num="1"/>
        </w:sectPr>
      </w:pPr>
    </w:p>
    <w:p w14:paraId="23137B36">
      <w:pPr>
        <w:spacing w:before="19"/>
      </w:pPr>
    </w:p>
    <w:p w14:paraId="6215A430">
      <w:pPr>
        <w:spacing w:before="19"/>
      </w:pPr>
    </w:p>
    <w:p w14:paraId="21762106">
      <w:pPr>
        <w:spacing w:before="19"/>
      </w:pPr>
    </w:p>
    <w:p w14:paraId="70FE7F3C">
      <w:pPr>
        <w:spacing w:before="18"/>
      </w:pPr>
    </w:p>
    <w:p w14:paraId="17460CF6">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1731"/>
        <w:gridCol w:w="996"/>
        <w:gridCol w:w="938"/>
        <w:gridCol w:w="997"/>
        <w:gridCol w:w="938"/>
        <w:gridCol w:w="923"/>
        <w:gridCol w:w="927"/>
      </w:tblGrid>
      <w:tr w14:paraId="11299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78164F21">
            <w:pPr>
              <w:pStyle w:val="6"/>
              <w:spacing w:before="52" w:line="219" w:lineRule="auto"/>
              <w:ind w:left="541"/>
              <w:rPr>
                <w:sz w:val="18"/>
                <w:szCs w:val="18"/>
              </w:rPr>
            </w:pPr>
            <w:r>
              <w:rPr>
                <w:spacing w:val="-3"/>
                <w:sz w:val="18"/>
                <w:szCs w:val="18"/>
              </w:rPr>
              <w:t>低港村</w:t>
            </w:r>
          </w:p>
        </w:tc>
        <w:tc>
          <w:tcPr>
            <w:tcW w:w="1731" w:type="dxa"/>
            <w:vAlign w:val="top"/>
          </w:tcPr>
          <w:p w14:paraId="4FD91176">
            <w:pPr>
              <w:spacing w:before="81"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9.74E-02|60</w:t>
            </w:r>
          </w:p>
        </w:tc>
        <w:tc>
          <w:tcPr>
            <w:tcW w:w="996" w:type="dxa"/>
            <w:vAlign w:val="top"/>
          </w:tcPr>
          <w:p w14:paraId="3B92EEB9">
            <w:pPr>
              <w:spacing w:before="84"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4BD2E4C">
            <w:pPr>
              <w:spacing w:before="84"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D39941B">
            <w:pPr>
              <w:spacing w:before="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350FF80">
            <w:pPr>
              <w:spacing w:before="84"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4878DA3">
            <w:pPr>
              <w:spacing w:before="8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AA3E64A">
            <w:pPr>
              <w:spacing w:before="84"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2F6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9F67865">
            <w:pPr>
              <w:pStyle w:val="6"/>
              <w:spacing w:before="48" w:line="219" w:lineRule="auto"/>
              <w:ind w:left="471"/>
              <w:rPr>
                <w:sz w:val="18"/>
                <w:szCs w:val="18"/>
              </w:rPr>
            </w:pPr>
            <w:r>
              <w:rPr>
                <w:spacing w:val="-7"/>
                <w:sz w:val="18"/>
                <w:szCs w:val="18"/>
              </w:rPr>
              <w:t>尚仁家村</w:t>
            </w:r>
          </w:p>
        </w:tc>
        <w:tc>
          <w:tcPr>
            <w:tcW w:w="1731" w:type="dxa"/>
            <w:vAlign w:val="top"/>
          </w:tcPr>
          <w:p w14:paraId="4C308E6B">
            <w:pPr>
              <w:spacing w:before="76"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9.29E-02|60</w:t>
            </w:r>
          </w:p>
        </w:tc>
        <w:tc>
          <w:tcPr>
            <w:tcW w:w="996" w:type="dxa"/>
            <w:vAlign w:val="top"/>
          </w:tcPr>
          <w:p w14:paraId="7FFAD525">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E60C32F">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E9BC82F">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67B650B">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5237E0E">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CDED804">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590E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25CF5B7B">
            <w:pPr>
              <w:pStyle w:val="6"/>
              <w:spacing w:before="48" w:line="219" w:lineRule="auto"/>
              <w:ind w:left="451"/>
              <w:rPr>
                <w:sz w:val="18"/>
                <w:szCs w:val="18"/>
              </w:rPr>
            </w:pPr>
            <w:r>
              <w:rPr>
                <w:spacing w:val="-2"/>
                <w:sz w:val="18"/>
                <w:szCs w:val="18"/>
              </w:rPr>
              <w:t>埔中央村</w:t>
            </w:r>
          </w:p>
        </w:tc>
        <w:tc>
          <w:tcPr>
            <w:tcW w:w="1731" w:type="dxa"/>
            <w:vAlign w:val="top"/>
          </w:tcPr>
          <w:p w14:paraId="29FE3EC7">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1.20E-01|55</w:t>
            </w:r>
          </w:p>
        </w:tc>
        <w:tc>
          <w:tcPr>
            <w:tcW w:w="996" w:type="dxa"/>
            <w:vAlign w:val="top"/>
          </w:tcPr>
          <w:p w14:paraId="5D3256E2">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BAACC27">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DDDCAE2">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7E76E04">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38256F3">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F2FB51F">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56AD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D3707FB">
            <w:pPr>
              <w:pStyle w:val="6"/>
              <w:spacing w:before="51" w:line="220" w:lineRule="auto"/>
              <w:ind w:left="542"/>
              <w:rPr>
                <w:sz w:val="18"/>
                <w:szCs w:val="18"/>
              </w:rPr>
            </w:pPr>
            <w:r>
              <w:rPr>
                <w:spacing w:val="-3"/>
                <w:sz w:val="18"/>
                <w:szCs w:val="18"/>
              </w:rPr>
              <w:t>庄厝围</w:t>
            </w:r>
          </w:p>
        </w:tc>
        <w:tc>
          <w:tcPr>
            <w:tcW w:w="1731" w:type="dxa"/>
            <w:vAlign w:val="top"/>
          </w:tcPr>
          <w:p w14:paraId="402A182F">
            <w:pPr>
              <w:spacing w:before="76"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1.42E-01|45</w:t>
            </w:r>
          </w:p>
        </w:tc>
        <w:tc>
          <w:tcPr>
            <w:tcW w:w="996" w:type="dxa"/>
            <w:vAlign w:val="top"/>
          </w:tcPr>
          <w:p w14:paraId="24BE570C">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2935EA2">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31B354AC">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57BBD7F">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3990F4DF">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AFC4D98">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F37F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45EEC231">
            <w:pPr>
              <w:pStyle w:val="6"/>
              <w:spacing w:before="50" w:line="219" w:lineRule="auto"/>
              <w:ind w:left="545"/>
              <w:rPr>
                <w:sz w:val="18"/>
                <w:szCs w:val="18"/>
              </w:rPr>
            </w:pPr>
            <w:r>
              <w:rPr>
                <w:spacing w:val="-4"/>
                <w:sz w:val="18"/>
                <w:szCs w:val="18"/>
              </w:rPr>
              <w:t>凯南村</w:t>
            </w:r>
          </w:p>
        </w:tc>
        <w:tc>
          <w:tcPr>
            <w:tcW w:w="1731" w:type="dxa"/>
            <w:vAlign w:val="top"/>
          </w:tcPr>
          <w:p w14:paraId="1C5025DA">
            <w:pPr>
              <w:spacing w:before="76" w:line="192"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7.23E-02|60</w:t>
            </w:r>
          </w:p>
        </w:tc>
        <w:tc>
          <w:tcPr>
            <w:tcW w:w="996" w:type="dxa"/>
            <w:vAlign w:val="top"/>
          </w:tcPr>
          <w:p w14:paraId="579AFD38">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21A21BA">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B75DDA6">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F41445">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5A28E2E">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82AE008">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C167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192BC30E">
            <w:pPr>
              <w:pStyle w:val="6"/>
              <w:spacing w:before="50" w:line="219" w:lineRule="auto"/>
              <w:ind w:left="547"/>
              <w:rPr>
                <w:sz w:val="18"/>
                <w:szCs w:val="18"/>
              </w:rPr>
            </w:pPr>
            <w:r>
              <w:rPr>
                <w:spacing w:val="-5"/>
                <w:sz w:val="18"/>
                <w:szCs w:val="18"/>
              </w:rPr>
              <w:t>下许村</w:t>
            </w:r>
          </w:p>
        </w:tc>
        <w:tc>
          <w:tcPr>
            <w:tcW w:w="1731" w:type="dxa"/>
            <w:vAlign w:val="top"/>
          </w:tcPr>
          <w:p w14:paraId="2D469BB9">
            <w:pPr>
              <w:spacing w:before="76"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9.59E-02|60</w:t>
            </w:r>
          </w:p>
        </w:tc>
        <w:tc>
          <w:tcPr>
            <w:tcW w:w="996" w:type="dxa"/>
            <w:vAlign w:val="top"/>
          </w:tcPr>
          <w:p w14:paraId="421D9203">
            <w:pPr>
              <w:spacing w:before="79"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108ED0D">
            <w:pPr>
              <w:spacing w:before="7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4B29F022">
            <w:pPr>
              <w:spacing w:before="79"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413B3F8">
            <w:pPr>
              <w:spacing w:before="79"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55AEEE96">
            <w:pPr>
              <w:spacing w:before="79"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880A8FE">
            <w:pPr>
              <w:spacing w:before="79"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24883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1A802AF">
            <w:pPr>
              <w:pStyle w:val="6"/>
              <w:spacing w:before="50" w:line="219" w:lineRule="auto"/>
              <w:ind w:left="547"/>
              <w:rPr>
                <w:sz w:val="18"/>
                <w:szCs w:val="18"/>
              </w:rPr>
            </w:pPr>
            <w:r>
              <w:rPr>
                <w:spacing w:val="-5"/>
                <w:sz w:val="18"/>
                <w:szCs w:val="18"/>
              </w:rPr>
              <w:t>赤箖村</w:t>
            </w:r>
          </w:p>
        </w:tc>
        <w:tc>
          <w:tcPr>
            <w:tcW w:w="1731" w:type="dxa"/>
            <w:vAlign w:val="top"/>
          </w:tcPr>
          <w:p w14:paraId="4DE2F95E">
            <w:pPr>
              <w:spacing w:before="7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9.04E-02|60</w:t>
            </w:r>
          </w:p>
        </w:tc>
        <w:tc>
          <w:tcPr>
            <w:tcW w:w="996" w:type="dxa"/>
            <w:vAlign w:val="top"/>
          </w:tcPr>
          <w:p w14:paraId="5C2567C1">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75025EA">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CF9EDD8">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F8D2891">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4D63B58">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9791E87">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31633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154BE147">
            <w:pPr>
              <w:pStyle w:val="6"/>
              <w:spacing w:before="50" w:line="219" w:lineRule="auto"/>
              <w:ind w:left="477"/>
              <w:rPr>
                <w:sz w:val="18"/>
                <w:szCs w:val="18"/>
              </w:rPr>
            </w:pPr>
            <w:r>
              <w:rPr>
                <w:spacing w:val="-9"/>
                <w:sz w:val="18"/>
                <w:szCs w:val="18"/>
              </w:rPr>
              <w:t>白沙新村</w:t>
            </w:r>
          </w:p>
        </w:tc>
        <w:tc>
          <w:tcPr>
            <w:tcW w:w="1731" w:type="dxa"/>
            <w:vAlign w:val="top"/>
          </w:tcPr>
          <w:p w14:paraId="59A2B944">
            <w:pPr>
              <w:spacing w:before="78"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5"/>
                <w:sz w:val="18"/>
                <w:szCs w:val="18"/>
              </w:rPr>
              <w:t>12E-01|55</w:t>
            </w:r>
          </w:p>
        </w:tc>
        <w:tc>
          <w:tcPr>
            <w:tcW w:w="996" w:type="dxa"/>
            <w:vAlign w:val="top"/>
          </w:tcPr>
          <w:p w14:paraId="66C01DB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445E4E3">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65A3252D">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B3A98D5">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02606B40">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5221764">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92CA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4A1000B">
            <w:pPr>
              <w:pStyle w:val="6"/>
              <w:spacing w:before="50" w:line="219" w:lineRule="auto"/>
              <w:ind w:left="546"/>
              <w:rPr>
                <w:sz w:val="18"/>
                <w:szCs w:val="18"/>
              </w:rPr>
            </w:pPr>
            <w:r>
              <w:rPr>
                <w:spacing w:val="-4"/>
                <w:sz w:val="18"/>
                <w:szCs w:val="18"/>
              </w:rPr>
              <w:t>西城村</w:t>
            </w:r>
          </w:p>
        </w:tc>
        <w:tc>
          <w:tcPr>
            <w:tcW w:w="1731" w:type="dxa"/>
            <w:vAlign w:val="top"/>
          </w:tcPr>
          <w:p w14:paraId="78008368">
            <w:pPr>
              <w:spacing w:before="78"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1.57E-01|45</w:t>
            </w:r>
          </w:p>
        </w:tc>
        <w:tc>
          <w:tcPr>
            <w:tcW w:w="996" w:type="dxa"/>
            <w:vAlign w:val="top"/>
          </w:tcPr>
          <w:p w14:paraId="29FC97D6">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4D6D4F0A">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CDA5E14">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A18CF1C">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91EFD16">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CA94B8F">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1EC42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29AD523">
            <w:pPr>
              <w:pStyle w:val="6"/>
              <w:spacing w:before="52" w:line="219" w:lineRule="auto"/>
              <w:ind w:left="548"/>
              <w:rPr>
                <w:sz w:val="18"/>
                <w:szCs w:val="18"/>
              </w:rPr>
            </w:pPr>
            <w:r>
              <w:rPr>
                <w:spacing w:val="-5"/>
                <w:sz w:val="18"/>
                <w:szCs w:val="18"/>
              </w:rPr>
              <w:t>东湖村</w:t>
            </w:r>
          </w:p>
        </w:tc>
        <w:tc>
          <w:tcPr>
            <w:tcW w:w="1731" w:type="dxa"/>
            <w:vAlign w:val="top"/>
          </w:tcPr>
          <w:p w14:paraId="0CA150D7">
            <w:pPr>
              <w:spacing w:before="77"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2.40E-01|25</w:t>
            </w:r>
          </w:p>
        </w:tc>
        <w:tc>
          <w:tcPr>
            <w:tcW w:w="996" w:type="dxa"/>
            <w:vAlign w:val="top"/>
          </w:tcPr>
          <w:p w14:paraId="675B0ADC">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6A909B2">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1345EAC1">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0A3CEE6">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56FF41A">
            <w:pPr>
              <w:spacing w:before="81"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2.40E-01</w:t>
            </w:r>
          </w:p>
        </w:tc>
        <w:tc>
          <w:tcPr>
            <w:tcW w:w="927" w:type="dxa"/>
            <w:vAlign w:val="top"/>
          </w:tcPr>
          <w:p w14:paraId="3DC873D1">
            <w:pPr>
              <w:spacing w:before="81"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2.40E-01</w:t>
            </w:r>
          </w:p>
        </w:tc>
      </w:tr>
      <w:tr w14:paraId="220C1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14A5B96B">
            <w:pPr>
              <w:pStyle w:val="6"/>
              <w:spacing w:before="51" w:line="219" w:lineRule="auto"/>
              <w:ind w:left="542"/>
              <w:rPr>
                <w:sz w:val="18"/>
                <w:szCs w:val="18"/>
              </w:rPr>
            </w:pPr>
            <w:r>
              <w:rPr>
                <w:spacing w:val="-3"/>
                <w:sz w:val="18"/>
                <w:szCs w:val="18"/>
              </w:rPr>
              <w:t>第一村</w:t>
            </w:r>
          </w:p>
        </w:tc>
        <w:tc>
          <w:tcPr>
            <w:tcW w:w="1731" w:type="dxa"/>
            <w:vAlign w:val="top"/>
          </w:tcPr>
          <w:p w14:paraId="72228EA5">
            <w:pPr>
              <w:spacing w:before="77"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1.50E-01|45</w:t>
            </w:r>
          </w:p>
        </w:tc>
        <w:tc>
          <w:tcPr>
            <w:tcW w:w="996" w:type="dxa"/>
            <w:vAlign w:val="top"/>
          </w:tcPr>
          <w:p w14:paraId="5B2C6FE4">
            <w:pPr>
              <w:spacing w:before="8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B2405A5">
            <w:pPr>
              <w:spacing w:before="8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F1B949B">
            <w:pPr>
              <w:spacing w:before="80"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A90A26B">
            <w:pPr>
              <w:spacing w:before="80"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C414B6A">
            <w:pPr>
              <w:spacing w:before="80"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514B857D">
            <w:pPr>
              <w:spacing w:before="80"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7350A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374EEC0">
            <w:pPr>
              <w:pStyle w:val="6"/>
              <w:spacing w:before="52" w:line="219" w:lineRule="auto"/>
              <w:ind w:left="568"/>
              <w:rPr>
                <w:sz w:val="18"/>
                <w:szCs w:val="18"/>
              </w:rPr>
            </w:pPr>
            <w:r>
              <w:rPr>
                <w:spacing w:val="-12"/>
                <w:sz w:val="18"/>
                <w:szCs w:val="18"/>
              </w:rPr>
              <w:t>白沙村</w:t>
            </w:r>
          </w:p>
        </w:tc>
        <w:tc>
          <w:tcPr>
            <w:tcW w:w="1731" w:type="dxa"/>
            <w:vAlign w:val="top"/>
          </w:tcPr>
          <w:p w14:paraId="3BED9373">
            <w:pPr>
              <w:spacing w:before="78"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1.44E-01|45</w:t>
            </w:r>
          </w:p>
        </w:tc>
        <w:tc>
          <w:tcPr>
            <w:tcW w:w="996" w:type="dxa"/>
            <w:vAlign w:val="top"/>
          </w:tcPr>
          <w:p w14:paraId="54348D87">
            <w:pPr>
              <w:spacing w:before="8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147D2274">
            <w:pPr>
              <w:spacing w:before="81"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6241CA6">
            <w:pPr>
              <w:spacing w:before="8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0971CA8">
            <w:pPr>
              <w:spacing w:before="8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80CAEC6">
            <w:pPr>
              <w:spacing w:before="81"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1D227CED">
            <w:pPr>
              <w:spacing w:before="81"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670A7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6B847FEC">
            <w:pPr>
              <w:pStyle w:val="6"/>
              <w:spacing w:before="51" w:line="219" w:lineRule="auto"/>
              <w:ind w:left="451"/>
              <w:rPr>
                <w:sz w:val="18"/>
                <w:szCs w:val="18"/>
              </w:rPr>
            </w:pPr>
            <w:r>
              <w:rPr>
                <w:spacing w:val="-2"/>
                <w:sz w:val="18"/>
                <w:szCs w:val="18"/>
              </w:rPr>
              <w:t>双桂山村</w:t>
            </w:r>
          </w:p>
        </w:tc>
        <w:tc>
          <w:tcPr>
            <w:tcW w:w="1731" w:type="dxa"/>
            <w:vAlign w:val="top"/>
          </w:tcPr>
          <w:p w14:paraId="245438B8">
            <w:pPr>
              <w:spacing w:before="80"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1.71E-01|30</w:t>
            </w:r>
          </w:p>
        </w:tc>
        <w:tc>
          <w:tcPr>
            <w:tcW w:w="996" w:type="dxa"/>
            <w:vAlign w:val="top"/>
          </w:tcPr>
          <w:p w14:paraId="1617E01C">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25CB9F05">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E101F0A">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CCCE75B">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E80240E">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7D852FC0">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1.71E-01</w:t>
            </w:r>
          </w:p>
        </w:tc>
      </w:tr>
      <w:tr w14:paraId="4F1C9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3EAA7D1E">
            <w:pPr>
              <w:pStyle w:val="6"/>
              <w:spacing w:before="51" w:line="219" w:lineRule="auto"/>
              <w:ind w:left="451"/>
              <w:rPr>
                <w:sz w:val="18"/>
                <w:szCs w:val="18"/>
              </w:rPr>
            </w:pPr>
            <w:r>
              <w:rPr>
                <w:spacing w:val="-2"/>
                <w:sz w:val="18"/>
                <w:szCs w:val="18"/>
              </w:rPr>
              <w:t>朱厝坑村</w:t>
            </w:r>
          </w:p>
        </w:tc>
        <w:tc>
          <w:tcPr>
            <w:tcW w:w="1731" w:type="dxa"/>
            <w:vAlign w:val="top"/>
          </w:tcPr>
          <w:p w14:paraId="28D7D1AF">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1.53E-01|45</w:t>
            </w:r>
          </w:p>
        </w:tc>
        <w:tc>
          <w:tcPr>
            <w:tcW w:w="996" w:type="dxa"/>
            <w:vAlign w:val="top"/>
          </w:tcPr>
          <w:p w14:paraId="6062401D">
            <w:pPr>
              <w:spacing w:before="83"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D822092">
            <w:pPr>
              <w:spacing w:before="8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6B349FB">
            <w:pPr>
              <w:spacing w:before="8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E82D2DC">
            <w:pPr>
              <w:spacing w:before="83"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1378641C">
            <w:pPr>
              <w:spacing w:before="83"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093609D1">
            <w:pPr>
              <w:spacing w:before="83"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1AD7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14" w:type="dxa"/>
            <w:vAlign w:val="top"/>
          </w:tcPr>
          <w:p w14:paraId="0111BA94">
            <w:pPr>
              <w:pStyle w:val="6"/>
              <w:spacing w:before="51" w:line="219" w:lineRule="auto"/>
              <w:ind w:left="541"/>
              <w:rPr>
                <w:sz w:val="18"/>
                <w:szCs w:val="18"/>
              </w:rPr>
            </w:pPr>
            <w:r>
              <w:rPr>
                <w:spacing w:val="-3"/>
                <w:sz w:val="18"/>
                <w:szCs w:val="18"/>
              </w:rPr>
              <w:t>河新村</w:t>
            </w:r>
          </w:p>
        </w:tc>
        <w:tc>
          <w:tcPr>
            <w:tcW w:w="1731" w:type="dxa"/>
            <w:vAlign w:val="top"/>
          </w:tcPr>
          <w:p w14:paraId="4A0E4188">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1.57E-01|45</w:t>
            </w:r>
          </w:p>
        </w:tc>
        <w:tc>
          <w:tcPr>
            <w:tcW w:w="996" w:type="dxa"/>
            <w:vAlign w:val="top"/>
          </w:tcPr>
          <w:p w14:paraId="2BC9154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658E4B7E">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71CEF0BA">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A7E3AB1">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2D9EFC33">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429D4959">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5231B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14" w:type="dxa"/>
            <w:vAlign w:val="top"/>
          </w:tcPr>
          <w:p w14:paraId="5E8BDCE9">
            <w:pPr>
              <w:pStyle w:val="6"/>
              <w:spacing w:before="53" w:line="219" w:lineRule="auto"/>
              <w:ind w:left="542"/>
              <w:rPr>
                <w:sz w:val="18"/>
                <w:szCs w:val="18"/>
              </w:rPr>
            </w:pPr>
            <w:r>
              <w:rPr>
                <w:spacing w:val="-3"/>
                <w:sz w:val="18"/>
                <w:szCs w:val="18"/>
              </w:rPr>
              <w:t>新丰村</w:t>
            </w:r>
          </w:p>
        </w:tc>
        <w:tc>
          <w:tcPr>
            <w:tcW w:w="1731" w:type="dxa"/>
            <w:vAlign w:val="top"/>
          </w:tcPr>
          <w:p w14:paraId="68CD74D0">
            <w:pPr>
              <w:spacing w:before="78"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1.66E-01|45</w:t>
            </w:r>
          </w:p>
        </w:tc>
        <w:tc>
          <w:tcPr>
            <w:tcW w:w="996" w:type="dxa"/>
            <w:vAlign w:val="top"/>
          </w:tcPr>
          <w:p w14:paraId="4C3D3C0C">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DC02DE7">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298E2B8A">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9C0A758">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4D17F0A7">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2738E0DA">
            <w:pPr>
              <w:spacing w:before="8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r>
      <w:tr w14:paraId="412BC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1614" w:type="dxa"/>
            <w:vAlign w:val="top"/>
          </w:tcPr>
          <w:p w14:paraId="00D5B38C">
            <w:pPr>
              <w:pStyle w:val="6"/>
              <w:spacing w:before="53" w:line="219" w:lineRule="auto"/>
              <w:ind w:left="452"/>
              <w:rPr>
                <w:sz w:val="18"/>
                <w:szCs w:val="18"/>
              </w:rPr>
            </w:pPr>
            <w:r>
              <w:rPr>
                <w:spacing w:val="-3"/>
                <w:sz w:val="18"/>
                <w:szCs w:val="18"/>
              </w:rPr>
              <w:t>洪宽塘村</w:t>
            </w:r>
          </w:p>
        </w:tc>
        <w:tc>
          <w:tcPr>
            <w:tcW w:w="1731" w:type="dxa"/>
            <w:vAlign w:val="top"/>
          </w:tcPr>
          <w:p w14:paraId="41BFB9BD">
            <w:pPr>
              <w:spacing w:before="79" w:line="192"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1.89E-01|30</w:t>
            </w:r>
          </w:p>
        </w:tc>
        <w:tc>
          <w:tcPr>
            <w:tcW w:w="996" w:type="dxa"/>
            <w:vAlign w:val="top"/>
          </w:tcPr>
          <w:p w14:paraId="58E40877">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0EE4950E">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07552421">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77242371">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64F40EC4">
            <w:pPr>
              <w:spacing w:before="8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7" w:type="dxa"/>
            <w:vAlign w:val="top"/>
          </w:tcPr>
          <w:p w14:paraId="30F82077">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1.89E-01</w:t>
            </w:r>
          </w:p>
        </w:tc>
      </w:tr>
      <w:tr w14:paraId="7EAE9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14" w:type="dxa"/>
            <w:vAlign w:val="top"/>
          </w:tcPr>
          <w:p w14:paraId="1137F841">
            <w:pPr>
              <w:pStyle w:val="6"/>
              <w:spacing w:before="53" w:line="219" w:lineRule="auto"/>
              <w:ind w:left="542"/>
              <w:rPr>
                <w:sz w:val="18"/>
                <w:szCs w:val="18"/>
              </w:rPr>
            </w:pPr>
            <w:r>
              <w:rPr>
                <w:spacing w:val="-3"/>
                <w:sz w:val="18"/>
                <w:szCs w:val="18"/>
              </w:rPr>
              <w:t>新埔村</w:t>
            </w:r>
          </w:p>
        </w:tc>
        <w:tc>
          <w:tcPr>
            <w:tcW w:w="1731" w:type="dxa"/>
            <w:vAlign w:val="top"/>
          </w:tcPr>
          <w:p w14:paraId="525CC604">
            <w:pPr>
              <w:spacing w:before="79" w:line="192"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2.52E-01|25</w:t>
            </w:r>
          </w:p>
        </w:tc>
        <w:tc>
          <w:tcPr>
            <w:tcW w:w="996" w:type="dxa"/>
            <w:vAlign w:val="top"/>
          </w:tcPr>
          <w:p w14:paraId="374AAA1B">
            <w:pPr>
              <w:spacing w:before="82"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596D9B6E">
            <w:pPr>
              <w:spacing w:before="8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97" w:type="dxa"/>
            <w:vAlign w:val="top"/>
          </w:tcPr>
          <w:p w14:paraId="591EBCBC">
            <w:pPr>
              <w:spacing w:before="8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38" w:type="dxa"/>
            <w:vAlign w:val="top"/>
          </w:tcPr>
          <w:p w14:paraId="315C7F40">
            <w:pPr>
              <w:spacing w:before="8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0.00E+00</w:t>
            </w:r>
          </w:p>
        </w:tc>
        <w:tc>
          <w:tcPr>
            <w:tcW w:w="923" w:type="dxa"/>
            <w:vAlign w:val="top"/>
          </w:tcPr>
          <w:p w14:paraId="7AB9867F">
            <w:pPr>
              <w:spacing w:before="8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2.52E-01</w:t>
            </w:r>
          </w:p>
        </w:tc>
        <w:tc>
          <w:tcPr>
            <w:tcW w:w="927" w:type="dxa"/>
            <w:vAlign w:val="top"/>
          </w:tcPr>
          <w:p w14:paraId="50656EEE">
            <w:pPr>
              <w:spacing w:before="82" w:line="188"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2.52E-01</w:t>
            </w:r>
          </w:p>
        </w:tc>
      </w:tr>
    </w:tbl>
    <w:p w14:paraId="5D679F76">
      <w:pPr>
        <w:spacing w:before="35" w:line="359" w:lineRule="auto"/>
        <w:ind w:left="122" w:right="112" w:firstLine="480"/>
        <w:jc w:val="both"/>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）中的相关规定，对存在</w:t>
      </w:r>
      <w:r>
        <w:rPr>
          <w:rFonts w:ascii="宋体" w:hAnsi="宋体" w:eastAsia="宋体" w:cs="宋体"/>
          <w:spacing w:val="4"/>
          <w:sz w:val="24"/>
          <w:szCs w:val="24"/>
        </w:rPr>
        <w:t xml:space="preserve"> </w:t>
      </w:r>
      <w:r>
        <w:rPr>
          <w:rFonts w:ascii="宋体" w:hAnsi="宋体" w:eastAsia="宋体" w:cs="宋体"/>
          <w:spacing w:val="-1"/>
          <w:sz w:val="24"/>
          <w:szCs w:val="24"/>
        </w:rPr>
        <w:t>极高大气环境风险的建设项目，应开展关心点概率分析，即有</w:t>
      </w:r>
      <w:r>
        <w:rPr>
          <w:rFonts w:ascii="宋体" w:hAnsi="宋体" w:eastAsia="宋体" w:cs="宋体"/>
          <w:spacing w:val="-2"/>
          <w:sz w:val="24"/>
          <w:szCs w:val="24"/>
        </w:rPr>
        <w:t>毒有害气体（物质）剂</w:t>
      </w:r>
      <w:r>
        <w:rPr>
          <w:rFonts w:ascii="宋体" w:hAnsi="宋体" w:eastAsia="宋体" w:cs="宋体"/>
          <w:sz w:val="24"/>
          <w:szCs w:val="24"/>
        </w:rPr>
        <w:t xml:space="preserve"> </w:t>
      </w:r>
      <w:r>
        <w:rPr>
          <w:rFonts w:ascii="宋体" w:hAnsi="宋体" w:eastAsia="宋体" w:cs="宋体"/>
          <w:spacing w:val="-1"/>
          <w:sz w:val="24"/>
          <w:szCs w:val="24"/>
        </w:rPr>
        <w:t>量负荷对个体的大气伤害概率、关心点出气象条件的频率、事</w:t>
      </w:r>
      <w:r>
        <w:rPr>
          <w:rFonts w:ascii="宋体" w:hAnsi="宋体" w:eastAsia="宋体" w:cs="宋体"/>
          <w:spacing w:val="-2"/>
          <w:sz w:val="24"/>
          <w:szCs w:val="24"/>
        </w:rPr>
        <w:t>故发生概率的乘积，以</w:t>
      </w:r>
      <w:r>
        <w:rPr>
          <w:rFonts w:ascii="宋体" w:hAnsi="宋体" w:eastAsia="宋体" w:cs="宋体"/>
          <w:sz w:val="24"/>
          <w:szCs w:val="24"/>
        </w:rPr>
        <w:t xml:space="preserve"> </w:t>
      </w:r>
      <w:r>
        <w:rPr>
          <w:rFonts w:ascii="宋体" w:hAnsi="宋体" w:eastAsia="宋体" w:cs="宋体"/>
          <w:spacing w:val="-1"/>
          <w:sz w:val="24"/>
          <w:szCs w:val="24"/>
        </w:rPr>
        <w:t>反映关心点出人员在无防护措施条件下受到伤害的可能性。</w:t>
      </w:r>
    </w:p>
    <w:p w14:paraId="040BD5E6">
      <w:pPr>
        <w:spacing w:before="1" w:line="359" w:lineRule="auto"/>
        <w:ind w:left="124" w:right="115" w:firstLine="477"/>
        <w:rPr>
          <w:rFonts w:ascii="宋体" w:hAnsi="宋体" w:eastAsia="宋体" w:cs="宋体"/>
          <w:sz w:val="24"/>
          <w:szCs w:val="24"/>
        </w:rPr>
      </w:pPr>
      <w:r>
        <w:rPr>
          <w:rFonts w:ascii="宋体" w:hAnsi="宋体" w:eastAsia="宋体" w:cs="宋体"/>
          <w:spacing w:val="-1"/>
          <w:sz w:val="24"/>
          <w:szCs w:val="24"/>
        </w:rPr>
        <w:t>在最不利气象下，在盐酸桶泄漏、氢氟酸桶泄漏、</w:t>
      </w:r>
      <w:r>
        <w:rPr>
          <w:rFonts w:ascii="宋体" w:hAnsi="宋体" w:eastAsia="宋体" w:cs="宋体"/>
          <w:spacing w:val="-2"/>
          <w:sz w:val="24"/>
          <w:szCs w:val="24"/>
        </w:rPr>
        <w:t>硫酸桶泄漏、硝酸桶泄漏、丙</w:t>
      </w:r>
      <w:r>
        <w:rPr>
          <w:rFonts w:ascii="宋体" w:hAnsi="宋体" w:eastAsia="宋体" w:cs="宋体"/>
          <w:sz w:val="24"/>
          <w:szCs w:val="24"/>
        </w:rPr>
        <w:t xml:space="preserve"> </w:t>
      </w:r>
      <w:r>
        <w:rPr>
          <w:rFonts w:ascii="宋体" w:hAnsi="宋体" w:eastAsia="宋体" w:cs="宋体"/>
          <w:spacing w:val="-1"/>
          <w:sz w:val="24"/>
          <w:szCs w:val="24"/>
        </w:rPr>
        <w:t>酮桶泄漏以及发生火灾的情况下，所有预测因子均未出现超出大气毒性终点浓度</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大气毒性终点浓度</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的情况。</w:t>
      </w:r>
    </w:p>
    <w:p w14:paraId="58D5520C">
      <w:pPr>
        <w:spacing w:before="5" w:line="359" w:lineRule="auto"/>
        <w:ind w:left="123" w:right="32" w:firstLine="478"/>
        <w:jc w:val="both"/>
        <w:rPr>
          <w:rFonts w:ascii="宋体" w:hAnsi="宋体" w:eastAsia="宋体" w:cs="宋体"/>
          <w:sz w:val="24"/>
          <w:szCs w:val="24"/>
        </w:rPr>
      </w:pPr>
      <w:r>
        <w:rPr>
          <w:rFonts w:ascii="宋体" w:hAnsi="宋体" w:eastAsia="宋体" w:cs="宋体"/>
          <w:spacing w:val="-1"/>
          <w:sz w:val="24"/>
          <w:szCs w:val="24"/>
        </w:rPr>
        <w:t>在发生事故的情况下，虽未出现大气毒性终点浓度的情</w:t>
      </w:r>
      <w:r>
        <w:rPr>
          <w:rFonts w:ascii="宋体" w:hAnsi="宋体" w:eastAsia="宋体" w:cs="宋体"/>
          <w:spacing w:val="-2"/>
          <w:sz w:val="24"/>
          <w:szCs w:val="24"/>
        </w:rPr>
        <w:t>况，但是对下风向的敏感</w:t>
      </w:r>
      <w:r>
        <w:rPr>
          <w:rFonts w:ascii="宋体" w:hAnsi="宋体" w:eastAsia="宋体" w:cs="宋体"/>
          <w:sz w:val="24"/>
          <w:szCs w:val="24"/>
        </w:rPr>
        <w:t xml:space="preserve"> </w:t>
      </w:r>
      <w:r>
        <w:rPr>
          <w:rFonts w:ascii="宋体" w:hAnsi="宋体" w:eastAsia="宋体" w:cs="宋体"/>
          <w:spacing w:val="-5"/>
          <w:sz w:val="24"/>
          <w:szCs w:val="24"/>
        </w:rPr>
        <w:t>点也造成了浓度增量影响，因此建议建设单位</w:t>
      </w:r>
      <w:r>
        <w:rPr>
          <w:rFonts w:ascii="宋体" w:hAnsi="宋体" w:eastAsia="宋体" w:cs="宋体"/>
          <w:spacing w:val="-6"/>
          <w:sz w:val="24"/>
          <w:szCs w:val="24"/>
        </w:rPr>
        <w:t>要做好各种防范措施，杜绝事故的发生。</w:t>
      </w:r>
      <w:r>
        <w:rPr>
          <w:rFonts w:ascii="宋体" w:hAnsi="宋体" w:eastAsia="宋体" w:cs="宋体"/>
          <w:sz w:val="24"/>
          <w:szCs w:val="24"/>
        </w:rPr>
        <w:t xml:space="preserve"> </w:t>
      </w:r>
      <w:r>
        <w:rPr>
          <w:rFonts w:ascii="宋体" w:hAnsi="宋体" w:eastAsia="宋体" w:cs="宋体"/>
          <w:spacing w:val="-1"/>
          <w:sz w:val="24"/>
          <w:szCs w:val="24"/>
        </w:rPr>
        <w:t>泄漏事故发生后，根据现场情况及时疏散非应急救援人员和</w:t>
      </w:r>
      <w:r>
        <w:rPr>
          <w:rFonts w:ascii="宋体" w:hAnsi="宋体" w:eastAsia="宋体" w:cs="宋体"/>
          <w:spacing w:val="-2"/>
          <w:sz w:val="24"/>
          <w:szCs w:val="24"/>
        </w:rPr>
        <w:t>居民，疏散过程要根据当</w:t>
      </w:r>
      <w:r>
        <w:rPr>
          <w:rFonts w:ascii="宋体" w:hAnsi="宋体" w:eastAsia="宋体" w:cs="宋体"/>
          <w:sz w:val="24"/>
          <w:szCs w:val="24"/>
        </w:rPr>
        <w:t xml:space="preserve"> </w:t>
      </w:r>
      <w:r>
        <w:rPr>
          <w:rFonts w:ascii="宋体" w:hAnsi="宋体" w:eastAsia="宋体" w:cs="宋体"/>
          <w:spacing w:val="-1"/>
          <w:sz w:val="24"/>
          <w:szCs w:val="24"/>
        </w:rPr>
        <w:t>天天气状况，确定疏散路线，确定疏散点在位于泄漏事故点</w:t>
      </w:r>
      <w:r>
        <w:rPr>
          <w:rFonts w:ascii="宋体" w:hAnsi="宋体" w:eastAsia="宋体" w:cs="宋体"/>
          <w:spacing w:val="-2"/>
          <w:sz w:val="24"/>
          <w:szCs w:val="24"/>
        </w:rPr>
        <w:t>的上风口。同时应立即启</w:t>
      </w:r>
      <w:r>
        <w:rPr>
          <w:rFonts w:ascii="宋体" w:hAnsi="宋体" w:eastAsia="宋体" w:cs="宋体"/>
          <w:sz w:val="24"/>
          <w:szCs w:val="24"/>
        </w:rPr>
        <w:t xml:space="preserve"> </w:t>
      </w:r>
      <w:r>
        <w:rPr>
          <w:rFonts w:ascii="宋体" w:hAnsi="宋体" w:eastAsia="宋体" w:cs="宋体"/>
          <w:spacing w:val="-5"/>
          <w:sz w:val="24"/>
          <w:szCs w:val="24"/>
        </w:rPr>
        <w:t>动应急预案，减轻事故对周围环境及人群的危</w:t>
      </w:r>
      <w:r>
        <w:rPr>
          <w:rFonts w:ascii="宋体" w:hAnsi="宋体" w:eastAsia="宋体" w:cs="宋体"/>
          <w:spacing w:val="-6"/>
          <w:sz w:val="24"/>
          <w:szCs w:val="24"/>
        </w:rPr>
        <w:t>害程度，避免出现人员中毒和伤亡情况。</w:t>
      </w:r>
    </w:p>
    <w:p w14:paraId="7E430A7E">
      <w:pPr>
        <w:spacing w:before="270" w:line="219"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6.2  </w:t>
      </w:r>
      <w:r>
        <w:rPr>
          <w:rFonts w:ascii="宋体" w:hAnsi="宋体" w:eastAsia="宋体" w:cs="宋体"/>
          <w:b/>
          <w:bCs/>
          <w:spacing w:val="-2"/>
          <w:sz w:val="24"/>
          <w:szCs w:val="24"/>
        </w:rPr>
        <w:t>地表水影响风险分析</w:t>
      </w:r>
    </w:p>
    <w:p w14:paraId="548AA50A">
      <w:pPr>
        <w:spacing w:before="183" w:line="219" w:lineRule="auto"/>
        <w:ind w:left="613"/>
        <w:rPr>
          <w:rFonts w:ascii="宋体" w:hAnsi="宋体" w:eastAsia="宋体" w:cs="宋体"/>
          <w:sz w:val="24"/>
          <w:szCs w:val="24"/>
        </w:rPr>
      </w:pPr>
      <w:r>
        <w:rPr>
          <w:rFonts w:ascii="宋体" w:hAnsi="宋体" w:eastAsia="宋体" w:cs="宋体"/>
          <w:spacing w:val="-2"/>
          <w:sz w:val="24"/>
          <w:szCs w:val="24"/>
        </w:rPr>
        <w:t>（一）废水事故排放影响：</w:t>
      </w:r>
    </w:p>
    <w:p w14:paraId="6B7F8F55">
      <w:pPr>
        <w:spacing w:before="182" w:line="360" w:lineRule="auto"/>
        <w:ind w:left="125" w:right="112" w:firstLine="480"/>
        <w:jc w:val="both"/>
        <w:rPr>
          <w:rFonts w:ascii="宋体" w:hAnsi="宋体" w:eastAsia="宋体" w:cs="宋体"/>
          <w:sz w:val="24"/>
          <w:szCs w:val="24"/>
        </w:rPr>
      </w:pPr>
      <w:r>
        <w:rPr>
          <w:rFonts w:ascii="宋体" w:hAnsi="宋体" w:eastAsia="宋体" w:cs="宋体"/>
          <w:spacing w:val="-1"/>
          <w:sz w:val="24"/>
          <w:szCs w:val="24"/>
        </w:rPr>
        <w:t>发生该类事故的可能原因主要有管网设计不</w:t>
      </w:r>
      <w:r>
        <w:rPr>
          <w:rFonts w:ascii="宋体" w:hAnsi="宋体" w:eastAsia="宋体" w:cs="宋体"/>
          <w:spacing w:val="-2"/>
          <w:sz w:val="24"/>
          <w:szCs w:val="24"/>
        </w:rPr>
        <w:t>合理、操作不当、人为往下水道倾倒</w:t>
      </w:r>
      <w:r>
        <w:rPr>
          <w:rFonts w:ascii="宋体" w:hAnsi="宋体" w:eastAsia="宋体" w:cs="宋体"/>
          <w:sz w:val="24"/>
          <w:szCs w:val="24"/>
        </w:rPr>
        <w:t xml:space="preserve"> </w:t>
      </w:r>
      <w:r>
        <w:rPr>
          <w:rFonts w:ascii="宋体" w:hAnsi="宋体" w:eastAsia="宋体" w:cs="宋体"/>
          <w:spacing w:val="-1"/>
          <w:sz w:val="24"/>
          <w:szCs w:val="24"/>
        </w:rPr>
        <w:t>大量废液、废水处理池机械故障及贮池破损等。另外，</w:t>
      </w:r>
      <w:r>
        <w:rPr>
          <w:rFonts w:ascii="宋体" w:hAnsi="宋体" w:eastAsia="宋体" w:cs="宋体"/>
          <w:spacing w:val="-2"/>
          <w:sz w:val="24"/>
          <w:szCs w:val="24"/>
        </w:rPr>
        <w:t>在发生地震时，可能造成废水</w:t>
      </w:r>
      <w:r>
        <w:rPr>
          <w:rFonts w:ascii="宋体" w:hAnsi="宋体" w:eastAsia="宋体" w:cs="宋体"/>
          <w:sz w:val="24"/>
          <w:szCs w:val="24"/>
        </w:rPr>
        <w:t xml:space="preserve"> </w:t>
      </w:r>
      <w:r>
        <w:rPr>
          <w:rFonts w:ascii="宋体" w:hAnsi="宋体" w:eastAsia="宋体" w:cs="宋体"/>
          <w:spacing w:val="-1"/>
          <w:sz w:val="24"/>
          <w:szCs w:val="24"/>
        </w:rPr>
        <w:t>收集系统及废水处理池毁坏或其它事故。当发生该类事</w:t>
      </w:r>
      <w:r>
        <w:rPr>
          <w:rFonts w:ascii="宋体" w:hAnsi="宋体" w:eastAsia="宋体" w:cs="宋体"/>
          <w:spacing w:val="-2"/>
          <w:sz w:val="24"/>
          <w:szCs w:val="24"/>
        </w:rPr>
        <w:t>故时，生产废水外溢直接流入</w:t>
      </w:r>
    </w:p>
    <w:p w14:paraId="0CA053C0">
      <w:pPr>
        <w:spacing w:line="360" w:lineRule="auto"/>
        <w:rPr>
          <w:rFonts w:ascii="宋体" w:hAnsi="宋体" w:eastAsia="宋体" w:cs="宋体"/>
          <w:sz w:val="24"/>
          <w:szCs w:val="24"/>
        </w:rPr>
        <w:sectPr>
          <w:footerReference r:id="rId156" w:type="default"/>
          <w:pgSz w:w="11906" w:h="16839"/>
          <w:pgMar w:top="400" w:right="1418" w:bottom="1127" w:left="1418" w:header="0" w:footer="965" w:gutter="0"/>
          <w:cols w:space="720" w:num="1"/>
        </w:sectPr>
      </w:pPr>
    </w:p>
    <w:p w14:paraId="4DA9D771">
      <w:pPr>
        <w:spacing w:line="250" w:lineRule="auto"/>
        <w:rPr>
          <w:rFonts w:ascii="Arial"/>
          <w:sz w:val="21"/>
        </w:rPr>
      </w:pPr>
    </w:p>
    <w:p w14:paraId="6FE51188">
      <w:pPr>
        <w:spacing w:line="250" w:lineRule="auto"/>
        <w:rPr>
          <w:rFonts w:ascii="Arial"/>
          <w:sz w:val="21"/>
        </w:rPr>
      </w:pPr>
    </w:p>
    <w:p w14:paraId="16ED1390">
      <w:pPr>
        <w:spacing w:line="250" w:lineRule="auto"/>
        <w:rPr>
          <w:rFonts w:ascii="Arial"/>
          <w:sz w:val="21"/>
        </w:rPr>
      </w:pPr>
    </w:p>
    <w:p w14:paraId="772AC950">
      <w:pPr>
        <w:spacing w:line="250" w:lineRule="auto"/>
        <w:rPr>
          <w:rFonts w:ascii="Arial"/>
          <w:sz w:val="21"/>
        </w:rPr>
      </w:pPr>
    </w:p>
    <w:p w14:paraId="6C45C8A8">
      <w:pPr>
        <w:spacing w:line="250" w:lineRule="auto"/>
        <w:rPr>
          <w:rFonts w:ascii="Arial"/>
          <w:sz w:val="21"/>
        </w:rPr>
      </w:pPr>
    </w:p>
    <w:p w14:paraId="29373FEE">
      <w:pPr>
        <w:spacing w:before="78" w:line="219" w:lineRule="auto"/>
        <w:ind w:left="19"/>
        <w:rPr>
          <w:rFonts w:ascii="宋体" w:hAnsi="宋体" w:eastAsia="宋体" w:cs="宋体"/>
          <w:sz w:val="24"/>
          <w:szCs w:val="24"/>
        </w:rPr>
      </w:pPr>
      <w:r>
        <w:rPr>
          <w:rFonts w:ascii="宋体" w:hAnsi="宋体" w:eastAsia="宋体" w:cs="宋体"/>
          <w:spacing w:val="-1"/>
          <w:sz w:val="24"/>
          <w:szCs w:val="24"/>
        </w:rPr>
        <w:t>附近水体或通过管网排入可塘镇，将对水环境产生一定</w:t>
      </w:r>
      <w:r>
        <w:rPr>
          <w:rFonts w:ascii="宋体" w:hAnsi="宋体" w:eastAsia="宋体" w:cs="宋体"/>
          <w:spacing w:val="-2"/>
          <w:sz w:val="24"/>
          <w:szCs w:val="24"/>
        </w:rPr>
        <w:t>影响。</w:t>
      </w:r>
    </w:p>
    <w:p w14:paraId="68A7E5C9">
      <w:pPr>
        <w:spacing w:before="181" w:line="219" w:lineRule="auto"/>
        <w:ind w:left="492"/>
        <w:rPr>
          <w:rFonts w:ascii="宋体" w:hAnsi="宋体" w:eastAsia="宋体" w:cs="宋体"/>
          <w:sz w:val="24"/>
          <w:szCs w:val="24"/>
        </w:rPr>
      </w:pPr>
      <w:r>
        <w:rPr>
          <w:rFonts w:ascii="宋体" w:hAnsi="宋体" w:eastAsia="宋体" w:cs="宋体"/>
          <w:spacing w:val="-2"/>
          <w:sz w:val="24"/>
          <w:szCs w:val="24"/>
        </w:rPr>
        <w:t>（二）消防废水事故排放：</w:t>
      </w:r>
    </w:p>
    <w:p w14:paraId="255E77E7">
      <w:pPr>
        <w:spacing w:before="183" w:line="219" w:lineRule="auto"/>
        <w:ind w:left="499"/>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、消防废水水量计算</w:t>
      </w:r>
    </w:p>
    <w:p w14:paraId="1B96C82F">
      <w:pPr>
        <w:spacing w:before="178" w:line="360" w:lineRule="auto"/>
        <w:ind w:left="3" w:firstLine="477"/>
        <w:rPr>
          <w:rFonts w:ascii="宋体" w:hAnsi="宋体" w:eastAsia="宋体" w:cs="宋体"/>
          <w:sz w:val="24"/>
          <w:szCs w:val="24"/>
        </w:rPr>
      </w:pPr>
      <w:r>
        <w:rPr>
          <w:rFonts w:ascii="宋体" w:hAnsi="宋体" w:eastAsia="宋体" w:cs="宋体"/>
          <w:spacing w:val="-6"/>
          <w:sz w:val="24"/>
          <w:szCs w:val="24"/>
        </w:rPr>
        <w:t>根据《建筑设计防火规范》（</w:t>
      </w:r>
      <w:r>
        <w:rPr>
          <w:rFonts w:ascii="Times New Roman" w:hAnsi="Times New Roman" w:eastAsia="Times New Roman" w:cs="Times New Roman"/>
          <w:spacing w:val="-6"/>
          <w:sz w:val="24"/>
          <w:szCs w:val="24"/>
        </w:rPr>
        <w:t>GB50016-2014</w:t>
      </w:r>
      <w:r>
        <w:rPr>
          <w:rFonts w:ascii="宋体" w:hAnsi="宋体" w:eastAsia="宋体" w:cs="宋体"/>
          <w:spacing w:val="-6"/>
          <w:sz w:val="24"/>
          <w:szCs w:val="24"/>
        </w:rPr>
        <w:t>）、《低倍数泡沫灭火系统设计规范》</w:t>
      </w:r>
      <w:r>
        <w:rPr>
          <w:rFonts w:ascii="宋体" w:hAnsi="宋体" w:eastAsia="宋体" w:cs="宋体"/>
          <w:spacing w:val="17"/>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GB50151-92</w:t>
      </w:r>
      <w:r>
        <w:rPr>
          <w:rFonts w:ascii="宋体" w:hAnsi="宋体" w:eastAsia="宋体" w:cs="宋体"/>
          <w:sz w:val="24"/>
          <w:szCs w:val="24"/>
        </w:rPr>
        <w:t>）和《消防给水及消</w:t>
      </w:r>
      <w:r>
        <w:rPr>
          <w:rFonts w:ascii="宋体" w:hAnsi="宋体" w:eastAsia="宋体" w:cs="宋体"/>
          <w:spacing w:val="-1"/>
          <w:sz w:val="24"/>
          <w:szCs w:val="24"/>
        </w:rPr>
        <w:t>火栓系统技术规范》（</w:t>
      </w:r>
      <w:r>
        <w:rPr>
          <w:rFonts w:ascii="Times New Roman" w:hAnsi="Times New Roman" w:eastAsia="Times New Roman" w:cs="Times New Roman"/>
          <w:spacing w:val="-1"/>
          <w:sz w:val="24"/>
          <w:szCs w:val="24"/>
        </w:rPr>
        <w:t>GB50974-2014</w:t>
      </w:r>
      <w:r>
        <w:rPr>
          <w:rFonts w:ascii="宋体" w:hAnsi="宋体" w:eastAsia="宋体" w:cs="宋体"/>
          <w:spacing w:val="5"/>
          <w:sz w:val="24"/>
          <w:szCs w:val="24"/>
        </w:rPr>
        <w:t>），</w:t>
      </w:r>
      <w:r>
        <w:rPr>
          <w:rFonts w:ascii="宋体" w:hAnsi="宋体" w:eastAsia="宋体" w:cs="宋体"/>
          <w:spacing w:val="-1"/>
          <w:sz w:val="24"/>
          <w:szCs w:val="24"/>
        </w:rPr>
        <w:t>本项目</w:t>
      </w:r>
      <w:r>
        <w:rPr>
          <w:rFonts w:ascii="宋体" w:hAnsi="宋体" w:eastAsia="宋体" w:cs="宋体"/>
          <w:sz w:val="24"/>
          <w:szCs w:val="24"/>
        </w:rPr>
        <w:t xml:space="preserve">  厂房属于戊类厂房，火灾延续时间为</w:t>
      </w:r>
      <w:r>
        <w:rPr>
          <w:rFonts w:ascii="Times New Roman" w:hAnsi="Times New Roman" w:eastAsia="Times New Roman" w:cs="Times New Roman"/>
          <w:sz w:val="24"/>
          <w:szCs w:val="24"/>
        </w:rPr>
        <w:t>2h</w:t>
      </w:r>
      <w:r>
        <w:rPr>
          <w:rFonts w:ascii="宋体" w:hAnsi="宋体" w:eastAsia="宋体" w:cs="宋体"/>
          <w:sz w:val="24"/>
          <w:szCs w:val="24"/>
        </w:rPr>
        <w:t>；项目室外消防栓设计流量为</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20L/s</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 xml:space="preserve">，则需要  </w:t>
      </w:r>
      <w:r>
        <w:rPr>
          <w:rFonts w:ascii="宋体" w:hAnsi="宋体" w:eastAsia="宋体" w:cs="宋体"/>
          <w:spacing w:val="-4"/>
          <w:sz w:val="24"/>
          <w:szCs w:val="24"/>
        </w:rPr>
        <w:t>室外消防用水共为</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44m</w:t>
      </w:r>
      <w:r>
        <w:rPr>
          <w:rFonts w:ascii="宋体" w:hAnsi="宋体" w:eastAsia="宋体" w:cs="宋体"/>
          <w:spacing w:val="-4"/>
          <w:sz w:val="24"/>
          <w:szCs w:val="24"/>
        </w:rPr>
        <w:t>³</w:t>
      </w:r>
      <w:r>
        <w:rPr>
          <w:rFonts w:ascii="宋体" w:hAnsi="宋体" w:eastAsia="宋体" w:cs="宋体"/>
          <w:spacing w:val="-91"/>
          <w:sz w:val="24"/>
          <w:szCs w:val="24"/>
        </w:rPr>
        <w:t xml:space="preserve"> </w:t>
      </w:r>
      <w:r>
        <w:rPr>
          <w:rFonts w:ascii="宋体" w:hAnsi="宋体" w:eastAsia="宋体" w:cs="宋体"/>
          <w:spacing w:val="-4"/>
          <w:sz w:val="24"/>
          <w:szCs w:val="24"/>
        </w:rPr>
        <w:t>,</w:t>
      </w:r>
      <w:r>
        <w:rPr>
          <w:rFonts w:ascii="宋体" w:hAnsi="宋体" w:eastAsia="宋体" w:cs="宋体"/>
          <w:spacing w:val="67"/>
          <w:sz w:val="24"/>
          <w:szCs w:val="24"/>
        </w:rPr>
        <w:t xml:space="preserve"> </w:t>
      </w:r>
      <w:r>
        <w:rPr>
          <w:rFonts w:ascii="宋体" w:hAnsi="宋体" w:eastAsia="宋体" w:cs="宋体"/>
          <w:spacing w:val="-4"/>
          <w:sz w:val="24"/>
          <w:szCs w:val="24"/>
        </w:rPr>
        <w:t>室外消防废水产生量</w:t>
      </w:r>
      <w:r>
        <w:rPr>
          <w:rFonts w:ascii="宋体" w:hAnsi="宋体" w:eastAsia="宋体" w:cs="宋体"/>
          <w:spacing w:val="-5"/>
          <w:sz w:val="24"/>
          <w:szCs w:val="24"/>
        </w:rPr>
        <w:t>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144m³</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；室内消防是设计流量为</w:t>
      </w:r>
    </w:p>
    <w:p w14:paraId="76820F62">
      <w:pPr>
        <w:spacing w:before="2" w:line="358" w:lineRule="auto"/>
        <w:ind w:left="2" w:right="105" w:firstLine="16"/>
        <w:rPr>
          <w:rFonts w:ascii="宋体" w:hAnsi="宋体" w:eastAsia="宋体" w:cs="宋体"/>
          <w:sz w:val="24"/>
          <w:szCs w:val="24"/>
        </w:rPr>
      </w:pPr>
      <w:r>
        <w:rPr>
          <w:rFonts w:ascii="Times New Roman" w:hAnsi="Times New Roman" w:eastAsia="Times New Roman" w:cs="Times New Roman"/>
          <w:spacing w:val="-6"/>
          <w:sz w:val="24"/>
          <w:szCs w:val="24"/>
        </w:rPr>
        <w:t>10L/s</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，同时使用消防枪数为</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支，则需要室内消防用水共为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144m</w:t>
      </w:r>
      <w:r>
        <w:rPr>
          <w:rFonts w:ascii="宋体" w:hAnsi="宋体" w:eastAsia="宋体" w:cs="宋体"/>
          <w:spacing w:val="-6"/>
          <w:sz w:val="24"/>
          <w:szCs w:val="24"/>
        </w:rPr>
        <w:t>³</w:t>
      </w:r>
      <w:r>
        <w:rPr>
          <w:rFonts w:ascii="宋体" w:hAnsi="宋体" w:eastAsia="宋体" w:cs="宋体"/>
          <w:spacing w:val="-91"/>
          <w:sz w:val="24"/>
          <w:szCs w:val="24"/>
        </w:rPr>
        <w:t xml:space="preserve"> </w:t>
      </w:r>
      <w:r>
        <w:rPr>
          <w:rFonts w:ascii="宋体" w:hAnsi="宋体" w:eastAsia="宋体" w:cs="宋体"/>
          <w:spacing w:val="-6"/>
          <w:sz w:val="24"/>
          <w:szCs w:val="24"/>
        </w:rPr>
        <w:t>,</w:t>
      </w:r>
      <w:r>
        <w:rPr>
          <w:rFonts w:ascii="宋体" w:hAnsi="宋体" w:eastAsia="宋体" w:cs="宋体"/>
          <w:spacing w:val="31"/>
          <w:sz w:val="24"/>
          <w:szCs w:val="24"/>
        </w:rPr>
        <w:t xml:space="preserve"> </w:t>
      </w:r>
      <w:r>
        <w:rPr>
          <w:rFonts w:ascii="宋体" w:hAnsi="宋体" w:eastAsia="宋体" w:cs="宋体"/>
          <w:spacing w:val="-6"/>
          <w:sz w:val="24"/>
          <w:szCs w:val="24"/>
        </w:rPr>
        <w:t>室内消防</w:t>
      </w:r>
      <w:r>
        <w:rPr>
          <w:rFonts w:ascii="宋体" w:hAnsi="宋体" w:eastAsia="宋体" w:cs="宋体"/>
          <w:spacing w:val="-7"/>
          <w:sz w:val="24"/>
          <w:szCs w:val="24"/>
        </w:rPr>
        <w:t>废水产</w:t>
      </w:r>
      <w:r>
        <w:rPr>
          <w:rFonts w:ascii="宋体" w:hAnsi="宋体" w:eastAsia="宋体" w:cs="宋体"/>
          <w:sz w:val="24"/>
          <w:szCs w:val="24"/>
        </w:rPr>
        <w:t xml:space="preserve"> </w:t>
      </w:r>
      <w:r>
        <w:rPr>
          <w:rFonts w:ascii="宋体" w:hAnsi="宋体" w:eastAsia="宋体" w:cs="宋体"/>
          <w:spacing w:val="-5"/>
          <w:sz w:val="24"/>
          <w:szCs w:val="24"/>
        </w:rPr>
        <w:t>生量为</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144m³</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。因此项目厂房消防用水量为</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288m</w:t>
      </w:r>
      <w:r>
        <w:rPr>
          <w:rFonts w:ascii="宋体" w:hAnsi="宋体" w:eastAsia="宋体" w:cs="宋体"/>
          <w:spacing w:val="-5"/>
          <w:sz w:val="24"/>
          <w:szCs w:val="24"/>
        </w:rPr>
        <w:t>³</w:t>
      </w:r>
      <w:r>
        <w:rPr>
          <w:rFonts w:ascii="宋体" w:hAnsi="宋体" w:eastAsia="宋体" w:cs="宋体"/>
          <w:spacing w:val="-91"/>
          <w:sz w:val="24"/>
          <w:szCs w:val="24"/>
        </w:rPr>
        <w:t xml:space="preserve"> </w:t>
      </w:r>
      <w:r>
        <w:rPr>
          <w:rFonts w:ascii="宋体" w:hAnsi="宋体" w:eastAsia="宋体" w:cs="宋体"/>
          <w:spacing w:val="-5"/>
          <w:sz w:val="24"/>
          <w:szCs w:val="24"/>
        </w:rPr>
        <w:t>,</w:t>
      </w:r>
      <w:r>
        <w:rPr>
          <w:rFonts w:ascii="宋体" w:hAnsi="宋体" w:eastAsia="宋体" w:cs="宋体"/>
          <w:spacing w:val="66"/>
          <w:sz w:val="24"/>
          <w:szCs w:val="24"/>
        </w:rPr>
        <w:t xml:space="preserve"> </w:t>
      </w:r>
      <w:r>
        <w:rPr>
          <w:rFonts w:ascii="宋体" w:hAnsi="宋体" w:eastAsia="宋体" w:cs="宋体"/>
          <w:spacing w:val="-5"/>
          <w:sz w:val="24"/>
          <w:szCs w:val="24"/>
        </w:rPr>
        <w:t>厂房消防废水产生量为</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288m</w:t>
      </w:r>
      <w:r>
        <w:rPr>
          <w:rFonts w:ascii="宋体" w:hAnsi="宋体" w:eastAsia="宋体" w:cs="宋体"/>
          <w:spacing w:val="-5"/>
          <w:sz w:val="24"/>
          <w:szCs w:val="24"/>
        </w:rPr>
        <w:t>³。</w:t>
      </w:r>
    </w:p>
    <w:p w14:paraId="0CE32369">
      <w:pPr>
        <w:spacing w:line="358" w:lineRule="auto"/>
        <w:ind w:right="105" w:firstLine="481"/>
        <w:rPr>
          <w:rFonts w:ascii="宋体" w:hAnsi="宋体" w:eastAsia="宋体" w:cs="宋体"/>
          <w:sz w:val="24"/>
          <w:szCs w:val="24"/>
        </w:rPr>
      </w:pPr>
      <w:r>
        <w:rPr>
          <w:rFonts w:ascii="宋体" w:hAnsi="宋体" w:eastAsia="宋体" w:cs="宋体"/>
          <w:sz w:val="24"/>
          <w:szCs w:val="24"/>
        </w:rPr>
        <w:t>本项目化学品仓库和危废暂存间，根据《建筑设</w:t>
      </w:r>
      <w:r>
        <w:rPr>
          <w:rFonts w:ascii="宋体" w:hAnsi="宋体" w:eastAsia="宋体" w:cs="宋体"/>
          <w:spacing w:val="-1"/>
          <w:sz w:val="24"/>
          <w:szCs w:val="24"/>
        </w:rPr>
        <w:t>计防火规范》</w:t>
      </w:r>
      <w:r>
        <w:rPr>
          <w:rFonts w:ascii="Times New Roman" w:hAnsi="Times New Roman" w:eastAsia="Times New Roman" w:cs="Times New Roman"/>
          <w:spacing w:val="-1"/>
          <w:sz w:val="24"/>
          <w:szCs w:val="24"/>
        </w:rPr>
        <w:t>(GB50016-2014)</w:t>
      </w:r>
      <w:r>
        <w:rPr>
          <w:rFonts w:ascii="宋体" w:hAnsi="宋体" w:eastAsia="宋体" w:cs="宋体"/>
          <w:spacing w:val="-1"/>
          <w:sz w:val="24"/>
          <w:szCs w:val="24"/>
        </w:rPr>
        <w:t>和</w:t>
      </w:r>
      <w:r>
        <w:rPr>
          <w:rFonts w:ascii="宋体" w:hAnsi="宋体" w:eastAsia="宋体" w:cs="宋体"/>
          <w:sz w:val="24"/>
          <w:szCs w:val="24"/>
        </w:rPr>
        <w:t xml:space="preserve"> </w:t>
      </w:r>
      <w:r>
        <w:rPr>
          <w:rFonts w:ascii="宋体" w:hAnsi="宋体" w:eastAsia="宋体" w:cs="宋体"/>
          <w:spacing w:val="-2"/>
          <w:sz w:val="24"/>
          <w:szCs w:val="24"/>
        </w:rPr>
        <w:t>《消防给水及消防栓系统技术规范》（</w:t>
      </w:r>
      <w:r>
        <w:rPr>
          <w:rFonts w:ascii="Times New Roman" w:hAnsi="Times New Roman" w:eastAsia="Times New Roman" w:cs="Times New Roman"/>
          <w:spacing w:val="-2"/>
          <w:sz w:val="24"/>
          <w:szCs w:val="24"/>
        </w:rPr>
        <w:t>GB50974-2014</w:t>
      </w:r>
      <w:r>
        <w:rPr>
          <w:rFonts w:ascii="宋体" w:hAnsi="宋体" w:eastAsia="宋体" w:cs="宋体"/>
          <w:spacing w:val="-9"/>
          <w:sz w:val="24"/>
          <w:szCs w:val="24"/>
        </w:rPr>
        <w:t>），</w:t>
      </w:r>
      <w:r>
        <w:rPr>
          <w:rFonts w:ascii="宋体" w:hAnsi="宋体" w:eastAsia="宋体" w:cs="宋体"/>
          <w:spacing w:val="-2"/>
          <w:sz w:val="24"/>
          <w:szCs w:val="24"/>
        </w:rPr>
        <w:t>本项目化学品仓库和危废暂</w:t>
      </w:r>
      <w:r>
        <w:rPr>
          <w:rFonts w:ascii="宋体" w:hAnsi="宋体" w:eastAsia="宋体" w:cs="宋体"/>
          <w:spacing w:val="1"/>
          <w:sz w:val="24"/>
          <w:szCs w:val="24"/>
        </w:rPr>
        <w:t xml:space="preserve"> </w:t>
      </w:r>
      <w:r>
        <w:rPr>
          <w:rFonts w:ascii="宋体" w:hAnsi="宋体" w:eastAsia="宋体" w:cs="宋体"/>
          <w:spacing w:val="-2"/>
          <w:sz w:val="24"/>
          <w:szCs w:val="24"/>
        </w:rPr>
        <w:t>存间属于甲类仓库，室外消防栓设计流量为</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15L/s</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，不设室内消防栓，火灾延续时间</w:t>
      </w:r>
      <w:r>
        <w:rPr>
          <w:rFonts w:ascii="宋体" w:hAnsi="宋体" w:eastAsia="宋体" w:cs="宋体"/>
          <w:sz w:val="24"/>
          <w:szCs w:val="24"/>
        </w:rPr>
        <w:t xml:space="preserve"> </w:t>
      </w:r>
      <w:r>
        <w:rPr>
          <w:rFonts w:ascii="宋体" w:hAnsi="宋体" w:eastAsia="宋体" w:cs="宋体"/>
          <w:spacing w:val="-5"/>
          <w:sz w:val="24"/>
          <w:szCs w:val="24"/>
        </w:rPr>
        <w:t>为</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3h</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，则需要室外消防用水共为</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162m³</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w:t>
      </w:r>
      <w:r>
        <w:rPr>
          <w:rFonts w:ascii="宋体" w:hAnsi="宋体" w:eastAsia="宋体" w:cs="宋体"/>
          <w:spacing w:val="67"/>
          <w:sz w:val="24"/>
          <w:szCs w:val="24"/>
        </w:rPr>
        <w:t xml:space="preserve"> </w:t>
      </w:r>
      <w:r>
        <w:rPr>
          <w:rFonts w:ascii="宋体" w:hAnsi="宋体" w:eastAsia="宋体" w:cs="宋体"/>
          <w:spacing w:val="-6"/>
          <w:sz w:val="24"/>
          <w:szCs w:val="24"/>
        </w:rPr>
        <w:t>室外消防废水产生量为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162m³</w:t>
      </w:r>
      <w:r>
        <w:rPr>
          <w:rFonts w:ascii="宋体" w:hAnsi="宋体" w:eastAsia="宋体" w:cs="宋体"/>
          <w:spacing w:val="-6"/>
          <w:sz w:val="24"/>
          <w:szCs w:val="24"/>
        </w:rPr>
        <w:t>。</w:t>
      </w:r>
    </w:p>
    <w:p w14:paraId="49ED955B">
      <w:pPr>
        <w:spacing w:before="6" w:line="359" w:lineRule="auto"/>
        <w:ind w:left="12" w:firstLine="468"/>
        <w:jc w:val="both"/>
        <w:rPr>
          <w:rFonts w:ascii="宋体" w:hAnsi="宋体" w:eastAsia="宋体" w:cs="宋体"/>
          <w:sz w:val="24"/>
          <w:szCs w:val="24"/>
        </w:rPr>
      </w:pPr>
      <w:r>
        <w:rPr>
          <w:rFonts w:ascii="宋体" w:hAnsi="宋体" w:eastAsia="宋体" w:cs="宋体"/>
          <w:spacing w:val="-6"/>
          <w:sz w:val="24"/>
          <w:szCs w:val="24"/>
        </w:rPr>
        <w:t>根据《建筑设计防火规范》（</w:t>
      </w:r>
      <w:r>
        <w:rPr>
          <w:rFonts w:ascii="Times New Roman" w:hAnsi="Times New Roman" w:eastAsia="Times New Roman" w:cs="Times New Roman"/>
          <w:spacing w:val="-6"/>
          <w:sz w:val="24"/>
          <w:szCs w:val="24"/>
        </w:rPr>
        <w:t>GB50016-2014</w:t>
      </w:r>
      <w:r>
        <w:rPr>
          <w:rFonts w:ascii="宋体" w:hAnsi="宋体" w:eastAsia="宋体" w:cs="宋体"/>
          <w:spacing w:val="-6"/>
          <w:sz w:val="24"/>
          <w:szCs w:val="24"/>
        </w:rPr>
        <w:t>）、《低倍数泡沫灭火系统设计规范》</w:t>
      </w:r>
      <w:r>
        <w:rPr>
          <w:rFonts w:ascii="宋体" w:hAnsi="宋体" w:eastAsia="宋体" w:cs="宋体"/>
          <w:spacing w:val="17"/>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GB50151-92</w:t>
      </w:r>
      <w:r>
        <w:rPr>
          <w:rFonts w:ascii="宋体" w:hAnsi="宋体" w:eastAsia="宋体" w:cs="宋体"/>
          <w:spacing w:val="-1"/>
          <w:sz w:val="24"/>
          <w:szCs w:val="24"/>
        </w:rPr>
        <w:t>）和《消防给水及消火栓系统技术规范》（</w:t>
      </w:r>
      <w:r>
        <w:rPr>
          <w:rFonts w:ascii="Times New Roman" w:hAnsi="Times New Roman" w:eastAsia="Times New Roman" w:cs="Times New Roman"/>
          <w:spacing w:val="-1"/>
          <w:sz w:val="24"/>
          <w:szCs w:val="24"/>
        </w:rPr>
        <w:t>GB50974-2014</w:t>
      </w:r>
      <w:r>
        <w:rPr>
          <w:rFonts w:ascii="宋体" w:hAnsi="宋体" w:eastAsia="宋体" w:cs="宋体"/>
          <w:spacing w:val="11"/>
          <w:sz w:val="24"/>
          <w:szCs w:val="24"/>
        </w:rPr>
        <w:t>），</w:t>
      </w:r>
      <w:r>
        <w:rPr>
          <w:rFonts w:ascii="宋体" w:hAnsi="宋体" w:eastAsia="宋体" w:cs="宋体"/>
          <w:spacing w:val="-1"/>
          <w:sz w:val="24"/>
          <w:szCs w:val="24"/>
        </w:rPr>
        <w:t>工厂、</w:t>
      </w:r>
    </w:p>
    <w:p w14:paraId="0BBC0720">
      <w:pPr>
        <w:spacing w:before="3" w:line="358" w:lineRule="auto"/>
        <w:ind w:left="3" w:right="105" w:hanging="2"/>
        <w:jc w:val="both"/>
        <w:rPr>
          <w:rFonts w:ascii="宋体" w:hAnsi="宋体" w:eastAsia="宋体" w:cs="宋体"/>
          <w:sz w:val="24"/>
          <w:szCs w:val="24"/>
        </w:rPr>
      </w:pPr>
      <w:r>
        <w:rPr>
          <w:rFonts w:ascii="宋体" w:hAnsi="宋体" w:eastAsia="宋体" w:cs="宋体"/>
          <w:spacing w:val="-5"/>
          <w:sz w:val="24"/>
          <w:szCs w:val="24"/>
        </w:rPr>
        <w:t>堆场和仓库区等占地面的小于或等于</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100h</w:t>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㎡，且附有居住区人数小于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万人时，同</w:t>
      </w:r>
      <w:r>
        <w:rPr>
          <w:rFonts w:ascii="宋体" w:hAnsi="宋体" w:eastAsia="宋体" w:cs="宋体"/>
          <w:sz w:val="24"/>
          <w:szCs w:val="24"/>
        </w:rPr>
        <w:t xml:space="preserve"> </w:t>
      </w:r>
      <w:r>
        <w:rPr>
          <w:rFonts w:ascii="宋体" w:hAnsi="宋体" w:eastAsia="宋体" w:cs="宋体"/>
          <w:spacing w:val="-5"/>
          <w:sz w:val="24"/>
          <w:szCs w:val="24"/>
        </w:rPr>
        <w:t>一时间内的厂房和仓库的火灾处数为</w:t>
      </w:r>
      <w:r>
        <w:rPr>
          <w:rFonts w:ascii="宋体" w:hAnsi="宋体" w:eastAsia="宋体" w:cs="宋体"/>
          <w:spacing w:val="-15"/>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处。因此项目最大消防用水为</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288m</w:t>
      </w:r>
      <w:r>
        <w:rPr>
          <w:rFonts w:ascii="宋体" w:hAnsi="宋体" w:eastAsia="宋体" w:cs="宋体"/>
          <w:spacing w:val="-5"/>
          <w:sz w:val="24"/>
          <w:szCs w:val="24"/>
        </w:rPr>
        <w:t>³</w:t>
      </w:r>
      <w:r>
        <w:rPr>
          <w:rFonts w:ascii="宋体" w:hAnsi="宋体" w:eastAsia="宋体" w:cs="宋体"/>
          <w:spacing w:val="-91"/>
          <w:sz w:val="24"/>
          <w:szCs w:val="24"/>
        </w:rPr>
        <w:t xml:space="preserve"> </w:t>
      </w:r>
      <w:r>
        <w:rPr>
          <w:rFonts w:ascii="宋体" w:hAnsi="宋体" w:eastAsia="宋体" w:cs="宋体"/>
          <w:spacing w:val="-5"/>
          <w:sz w:val="24"/>
          <w:szCs w:val="24"/>
        </w:rPr>
        <w:t>,</w:t>
      </w:r>
      <w:r>
        <w:rPr>
          <w:rFonts w:ascii="宋体" w:hAnsi="宋体" w:eastAsia="宋体" w:cs="宋体"/>
          <w:spacing w:val="45"/>
          <w:sz w:val="24"/>
          <w:szCs w:val="24"/>
        </w:rPr>
        <w:t xml:space="preserve"> </w:t>
      </w:r>
      <w:r>
        <w:rPr>
          <w:rFonts w:ascii="宋体" w:hAnsi="宋体" w:eastAsia="宋体" w:cs="宋体"/>
          <w:spacing w:val="-5"/>
          <w:sz w:val="24"/>
          <w:szCs w:val="24"/>
        </w:rPr>
        <w:t>最大消</w:t>
      </w:r>
      <w:r>
        <w:rPr>
          <w:rFonts w:ascii="宋体" w:hAnsi="宋体" w:eastAsia="宋体" w:cs="宋体"/>
          <w:sz w:val="24"/>
          <w:szCs w:val="24"/>
        </w:rPr>
        <w:t xml:space="preserve"> </w:t>
      </w:r>
      <w:r>
        <w:rPr>
          <w:rFonts w:ascii="宋体" w:hAnsi="宋体" w:eastAsia="宋体" w:cs="宋体"/>
          <w:spacing w:val="-2"/>
          <w:sz w:val="24"/>
          <w:szCs w:val="24"/>
        </w:rPr>
        <w:t>防废水产生量为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288m³</w:t>
      </w:r>
      <w:r>
        <w:rPr>
          <w:rFonts w:ascii="宋体" w:hAnsi="宋体" w:eastAsia="宋体" w:cs="宋体"/>
          <w:spacing w:val="-2"/>
          <w:sz w:val="24"/>
          <w:szCs w:val="24"/>
        </w:rPr>
        <w:t>。</w:t>
      </w:r>
    </w:p>
    <w:p w14:paraId="60313A95">
      <w:pPr>
        <w:spacing w:line="219" w:lineRule="auto"/>
        <w:ind w:left="476"/>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、消防废水的泄漏对环境的影响</w:t>
      </w:r>
    </w:p>
    <w:p w14:paraId="20A4AA4D">
      <w:pPr>
        <w:spacing w:before="185" w:line="359" w:lineRule="auto"/>
        <w:ind w:right="105" w:firstLine="480"/>
        <w:rPr>
          <w:rFonts w:ascii="宋体" w:hAnsi="宋体" w:eastAsia="宋体" w:cs="宋体"/>
          <w:sz w:val="24"/>
          <w:szCs w:val="24"/>
        </w:rPr>
      </w:pPr>
      <w:r>
        <w:rPr>
          <w:rFonts w:ascii="宋体" w:hAnsi="宋体" w:eastAsia="宋体" w:cs="宋体"/>
          <w:spacing w:val="-1"/>
          <w:sz w:val="24"/>
          <w:szCs w:val="24"/>
        </w:rPr>
        <w:t>若消防废水没有进入污水管线或缓冲池，而是进入</w:t>
      </w:r>
      <w:r>
        <w:rPr>
          <w:rFonts w:ascii="宋体" w:hAnsi="宋体" w:eastAsia="宋体" w:cs="宋体"/>
          <w:spacing w:val="-2"/>
          <w:sz w:val="24"/>
          <w:szCs w:val="24"/>
        </w:rPr>
        <w:t>雨水管线，将因直接流入周边</w:t>
      </w:r>
      <w:r>
        <w:rPr>
          <w:rFonts w:ascii="宋体" w:hAnsi="宋体" w:eastAsia="宋体" w:cs="宋体"/>
          <w:sz w:val="24"/>
          <w:szCs w:val="24"/>
        </w:rPr>
        <w:t xml:space="preserve"> </w:t>
      </w:r>
      <w:r>
        <w:rPr>
          <w:rFonts w:ascii="宋体" w:hAnsi="宋体" w:eastAsia="宋体" w:cs="宋体"/>
          <w:spacing w:val="-1"/>
          <w:sz w:val="24"/>
          <w:szCs w:val="24"/>
        </w:rPr>
        <w:t>水体而造成水体污染。消防废水中的有毒有害物质会随着水体</w:t>
      </w:r>
      <w:r>
        <w:rPr>
          <w:rFonts w:ascii="宋体" w:hAnsi="宋体" w:eastAsia="宋体" w:cs="宋体"/>
          <w:spacing w:val="-2"/>
          <w:sz w:val="24"/>
          <w:szCs w:val="24"/>
        </w:rPr>
        <w:t>的不断流动而对河流的</w:t>
      </w:r>
      <w:r>
        <w:rPr>
          <w:rFonts w:ascii="宋体" w:hAnsi="宋体" w:eastAsia="宋体" w:cs="宋体"/>
          <w:sz w:val="24"/>
          <w:szCs w:val="24"/>
        </w:rPr>
        <w:t xml:space="preserve"> </w:t>
      </w:r>
      <w:r>
        <w:rPr>
          <w:rFonts w:ascii="宋体" w:hAnsi="宋体" w:eastAsia="宋体" w:cs="宋体"/>
          <w:spacing w:val="-1"/>
          <w:sz w:val="24"/>
          <w:szCs w:val="24"/>
        </w:rPr>
        <w:t>两岸以及下游地区造成严重的污染，同时，受污染的地表水下</w:t>
      </w:r>
      <w:r>
        <w:rPr>
          <w:rFonts w:ascii="宋体" w:hAnsi="宋体" w:eastAsia="宋体" w:cs="宋体"/>
          <w:spacing w:val="-2"/>
          <w:sz w:val="24"/>
          <w:szCs w:val="24"/>
        </w:rPr>
        <w:t>渗到地层当中，还会污</w:t>
      </w:r>
      <w:r>
        <w:rPr>
          <w:rFonts w:ascii="宋体" w:hAnsi="宋体" w:eastAsia="宋体" w:cs="宋体"/>
          <w:sz w:val="24"/>
          <w:szCs w:val="24"/>
        </w:rPr>
        <w:t xml:space="preserve"> </w:t>
      </w:r>
      <w:r>
        <w:rPr>
          <w:rFonts w:ascii="宋体" w:hAnsi="宋体" w:eastAsia="宋体" w:cs="宋体"/>
          <w:spacing w:val="-1"/>
          <w:sz w:val="24"/>
          <w:szCs w:val="24"/>
        </w:rPr>
        <w:t>染当地的地下水，导致污染面积不断扩大，危害水生生物的生</w:t>
      </w:r>
      <w:r>
        <w:rPr>
          <w:rFonts w:ascii="宋体" w:hAnsi="宋体" w:eastAsia="宋体" w:cs="宋体"/>
          <w:spacing w:val="-2"/>
          <w:sz w:val="24"/>
          <w:szCs w:val="24"/>
        </w:rPr>
        <w:t>命、破坏水体的生态平</w:t>
      </w:r>
      <w:r>
        <w:rPr>
          <w:rFonts w:ascii="宋体" w:hAnsi="宋体" w:eastAsia="宋体" w:cs="宋体"/>
          <w:sz w:val="24"/>
          <w:szCs w:val="24"/>
        </w:rPr>
        <w:t xml:space="preserve"> </w:t>
      </w:r>
      <w:r>
        <w:rPr>
          <w:rFonts w:ascii="宋体" w:hAnsi="宋体" w:eastAsia="宋体" w:cs="宋体"/>
          <w:spacing w:val="-1"/>
          <w:sz w:val="24"/>
          <w:szCs w:val="24"/>
        </w:rPr>
        <w:t>衡，最终威胁人们生产与生活用水的使用安全。</w:t>
      </w:r>
    </w:p>
    <w:p w14:paraId="7578CC39">
      <w:pPr>
        <w:spacing w:before="1" w:line="220" w:lineRule="auto"/>
        <w:ind w:left="492"/>
        <w:rPr>
          <w:rFonts w:ascii="宋体" w:hAnsi="宋体" w:eastAsia="宋体" w:cs="宋体"/>
          <w:sz w:val="24"/>
          <w:szCs w:val="24"/>
        </w:rPr>
      </w:pPr>
      <w:r>
        <w:rPr>
          <w:rFonts w:ascii="宋体" w:hAnsi="宋体" w:eastAsia="宋体" w:cs="宋体"/>
          <w:spacing w:val="-3"/>
          <w:sz w:val="24"/>
          <w:szCs w:val="24"/>
        </w:rPr>
        <w:t>（三）化学品泄漏</w:t>
      </w:r>
    </w:p>
    <w:p w14:paraId="6E52B417">
      <w:pPr>
        <w:spacing w:before="180" w:line="359" w:lineRule="auto"/>
        <w:ind w:left="3" w:right="105" w:firstLine="506"/>
        <w:jc w:val="both"/>
        <w:rPr>
          <w:rFonts w:ascii="宋体" w:hAnsi="宋体" w:eastAsia="宋体" w:cs="宋体"/>
          <w:sz w:val="24"/>
          <w:szCs w:val="24"/>
        </w:rPr>
      </w:pPr>
      <w:r>
        <w:rPr>
          <w:rFonts w:ascii="宋体" w:hAnsi="宋体" w:eastAsia="宋体" w:cs="宋体"/>
          <w:spacing w:val="-2"/>
          <w:sz w:val="24"/>
          <w:szCs w:val="24"/>
        </w:rPr>
        <w:t>由于在酸碱化学品在使用、暂存中，有可能发生化学品突发泄漏污</w:t>
      </w:r>
      <w:r>
        <w:rPr>
          <w:rFonts w:ascii="宋体" w:hAnsi="宋体" w:eastAsia="宋体" w:cs="宋体"/>
          <w:spacing w:val="-3"/>
          <w:sz w:val="24"/>
          <w:szCs w:val="24"/>
        </w:rPr>
        <w:t>染事故，大量</w:t>
      </w:r>
      <w:r>
        <w:rPr>
          <w:rFonts w:ascii="宋体" w:hAnsi="宋体" w:eastAsia="宋体" w:cs="宋体"/>
          <w:sz w:val="24"/>
          <w:szCs w:val="24"/>
        </w:rPr>
        <w:t xml:space="preserve"> </w:t>
      </w:r>
      <w:r>
        <w:rPr>
          <w:rFonts w:ascii="宋体" w:hAnsi="宋体" w:eastAsia="宋体" w:cs="宋体"/>
          <w:spacing w:val="-1"/>
          <w:sz w:val="24"/>
          <w:szCs w:val="24"/>
        </w:rPr>
        <w:t>高浓度泄漏液体会通过地面窨井进入市政雨水管网，从</w:t>
      </w:r>
      <w:r>
        <w:rPr>
          <w:rFonts w:ascii="宋体" w:hAnsi="宋体" w:eastAsia="宋体" w:cs="宋体"/>
          <w:spacing w:val="-2"/>
          <w:sz w:val="24"/>
          <w:szCs w:val="24"/>
        </w:rPr>
        <w:t>而流入附近的水体，造成地面</w:t>
      </w:r>
      <w:r>
        <w:rPr>
          <w:rFonts w:ascii="宋体" w:hAnsi="宋体" w:eastAsia="宋体" w:cs="宋体"/>
          <w:sz w:val="24"/>
          <w:szCs w:val="24"/>
        </w:rPr>
        <w:t xml:space="preserve"> </w:t>
      </w:r>
      <w:r>
        <w:rPr>
          <w:rFonts w:ascii="宋体" w:hAnsi="宋体" w:eastAsia="宋体" w:cs="宋体"/>
          <w:spacing w:val="-1"/>
          <w:sz w:val="24"/>
          <w:szCs w:val="24"/>
        </w:rPr>
        <w:t>水环境的恶化，应该引起关注和警惕。</w:t>
      </w:r>
    </w:p>
    <w:p w14:paraId="3DAD090B">
      <w:pPr>
        <w:spacing w:line="210" w:lineRule="auto"/>
        <w:ind w:left="484"/>
        <w:rPr>
          <w:rFonts w:ascii="宋体" w:hAnsi="宋体" w:eastAsia="宋体" w:cs="宋体"/>
          <w:sz w:val="24"/>
          <w:szCs w:val="24"/>
        </w:rPr>
      </w:pPr>
      <w:r>
        <w:rPr>
          <w:rFonts w:ascii="宋体" w:hAnsi="宋体" w:eastAsia="宋体" w:cs="宋体"/>
          <w:spacing w:val="1"/>
          <w:sz w:val="24"/>
          <w:szCs w:val="24"/>
        </w:rPr>
        <w:t>项目运营期严格按照《环境影响评价技术导则一地下水环境</w:t>
      </w:r>
      <w:r>
        <w:rPr>
          <w:rFonts w:ascii="宋体" w:hAnsi="宋体" w:eastAsia="宋体" w:cs="宋体"/>
          <w:sz w:val="24"/>
          <w:szCs w:val="24"/>
        </w:rPr>
        <w:t>》</w:t>
      </w:r>
      <w:r>
        <w:rPr>
          <w:rFonts w:ascii="Times New Roman" w:hAnsi="Times New Roman" w:eastAsia="Times New Roman" w:cs="Times New Roman"/>
          <w:sz w:val="24"/>
          <w:szCs w:val="24"/>
        </w:rPr>
        <w:t>(HJ610-2016</w:t>
      </w:r>
      <w:r>
        <w:rPr>
          <w:rFonts w:ascii="Times New Roman" w:hAnsi="Times New Roman" w:eastAsia="Times New Roman" w:cs="Times New Roman"/>
          <w:spacing w:val="34"/>
          <w:w w:val="101"/>
          <w:sz w:val="24"/>
          <w:szCs w:val="24"/>
        </w:rPr>
        <w:t xml:space="preserve"> </w:t>
      </w:r>
      <w:r>
        <w:rPr>
          <w:rFonts w:ascii="宋体" w:hAnsi="宋体" w:eastAsia="宋体" w:cs="宋体"/>
          <w:sz w:val="24"/>
          <w:szCs w:val="24"/>
        </w:rPr>
        <w:t>中的</w:t>
      </w:r>
    </w:p>
    <w:p w14:paraId="671EF81D">
      <w:pPr>
        <w:spacing w:line="210" w:lineRule="auto"/>
        <w:rPr>
          <w:rFonts w:ascii="宋体" w:hAnsi="宋体" w:eastAsia="宋体" w:cs="宋体"/>
          <w:sz w:val="24"/>
          <w:szCs w:val="24"/>
        </w:rPr>
        <w:sectPr>
          <w:footerReference r:id="rId157" w:type="default"/>
          <w:pgSz w:w="11906" w:h="16839"/>
          <w:pgMar w:top="400" w:right="1425" w:bottom="1127" w:left="1539" w:header="0" w:footer="965" w:gutter="0"/>
          <w:cols w:space="720" w:num="1"/>
        </w:sectPr>
      </w:pPr>
    </w:p>
    <w:p w14:paraId="0788455D">
      <w:pPr>
        <w:spacing w:line="250" w:lineRule="auto"/>
        <w:rPr>
          <w:rFonts w:ascii="Arial"/>
          <w:sz w:val="21"/>
        </w:rPr>
      </w:pPr>
    </w:p>
    <w:p w14:paraId="134B2963">
      <w:pPr>
        <w:spacing w:line="250" w:lineRule="auto"/>
        <w:rPr>
          <w:rFonts w:ascii="Arial"/>
          <w:sz w:val="21"/>
        </w:rPr>
      </w:pPr>
    </w:p>
    <w:p w14:paraId="499F6CDF">
      <w:pPr>
        <w:spacing w:line="250" w:lineRule="auto"/>
        <w:rPr>
          <w:rFonts w:ascii="Arial"/>
          <w:sz w:val="21"/>
        </w:rPr>
      </w:pPr>
    </w:p>
    <w:p w14:paraId="1259027D">
      <w:pPr>
        <w:spacing w:line="250" w:lineRule="auto"/>
        <w:rPr>
          <w:rFonts w:ascii="Arial"/>
          <w:sz w:val="21"/>
        </w:rPr>
      </w:pPr>
    </w:p>
    <w:p w14:paraId="09318D9E">
      <w:pPr>
        <w:spacing w:line="251" w:lineRule="auto"/>
        <w:rPr>
          <w:rFonts w:ascii="Arial"/>
          <w:sz w:val="21"/>
        </w:rPr>
      </w:pPr>
    </w:p>
    <w:p w14:paraId="7CCFE690">
      <w:pPr>
        <w:spacing w:before="78" w:line="359" w:lineRule="auto"/>
        <w:ind w:left="3" w:right="61" w:firstLine="12"/>
        <w:jc w:val="both"/>
        <w:rPr>
          <w:rFonts w:ascii="宋体" w:hAnsi="宋体" w:eastAsia="宋体" w:cs="宋体"/>
          <w:sz w:val="24"/>
          <w:szCs w:val="24"/>
        </w:rPr>
      </w:pPr>
      <w:r>
        <w:rPr>
          <w:rFonts w:ascii="宋体" w:hAnsi="宋体" w:eastAsia="宋体" w:cs="宋体"/>
          <w:spacing w:val="-2"/>
          <w:sz w:val="24"/>
          <w:szCs w:val="24"/>
        </w:rPr>
        <w:t>防渗要求进行防渗设计，车间、化学品仓库、危废暂存间、废水处理站、事故水池等</w:t>
      </w:r>
      <w:r>
        <w:rPr>
          <w:rFonts w:ascii="宋体" w:hAnsi="宋体" w:eastAsia="宋体" w:cs="宋体"/>
          <w:spacing w:val="10"/>
          <w:sz w:val="24"/>
          <w:szCs w:val="24"/>
        </w:rPr>
        <w:t xml:space="preserve"> </w:t>
      </w:r>
      <w:r>
        <w:rPr>
          <w:rFonts w:ascii="宋体" w:hAnsi="宋体" w:eastAsia="宋体" w:cs="宋体"/>
          <w:spacing w:val="-1"/>
          <w:sz w:val="24"/>
          <w:szCs w:val="24"/>
        </w:rPr>
        <w:t>区域建设过程中做好污染防渗措施，通过围堰和导流沟</w:t>
      </w:r>
      <w:r>
        <w:rPr>
          <w:rFonts w:ascii="宋体" w:hAnsi="宋体" w:eastAsia="宋体" w:cs="宋体"/>
          <w:spacing w:val="-2"/>
          <w:sz w:val="24"/>
          <w:szCs w:val="24"/>
        </w:rPr>
        <w:t>等措施，将渗漏的液体引入事</w:t>
      </w:r>
      <w:r>
        <w:rPr>
          <w:rFonts w:ascii="宋体" w:hAnsi="宋体" w:eastAsia="宋体" w:cs="宋体"/>
          <w:sz w:val="24"/>
          <w:szCs w:val="24"/>
        </w:rPr>
        <w:t xml:space="preserve"> </w:t>
      </w:r>
      <w:r>
        <w:rPr>
          <w:rFonts w:ascii="宋体" w:hAnsi="宋体" w:eastAsia="宋体" w:cs="宋体"/>
          <w:spacing w:val="-1"/>
          <w:sz w:val="24"/>
          <w:szCs w:val="24"/>
        </w:rPr>
        <w:t>故应急池，按危险废物进行处理，防止污染地表水体和</w:t>
      </w:r>
      <w:r>
        <w:rPr>
          <w:rFonts w:ascii="宋体" w:hAnsi="宋体" w:eastAsia="宋体" w:cs="宋体"/>
          <w:spacing w:val="-2"/>
          <w:sz w:val="24"/>
          <w:szCs w:val="24"/>
        </w:rPr>
        <w:t>土壤，因此事故状态下对周边</w:t>
      </w:r>
      <w:r>
        <w:rPr>
          <w:rFonts w:ascii="宋体" w:hAnsi="宋体" w:eastAsia="宋体" w:cs="宋体"/>
          <w:sz w:val="24"/>
          <w:szCs w:val="24"/>
        </w:rPr>
        <w:t xml:space="preserve"> </w:t>
      </w:r>
      <w:r>
        <w:rPr>
          <w:rFonts w:ascii="宋体" w:hAnsi="宋体" w:eastAsia="宋体" w:cs="宋体"/>
          <w:spacing w:val="-2"/>
          <w:sz w:val="24"/>
          <w:szCs w:val="24"/>
        </w:rPr>
        <w:t>各敏感点的影响较小。</w:t>
      </w:r>
    </w:p>
    <w:p w14:paraId="1F405F68">
      <w:pPr>
        <w:spacing w:line="219" w:lineRule="auto"/>
        <w:ind w:left="492"/>
        <w:rPr>
          <w:rFonts w:ascii="宋体" w:hAnsi="宋体" w:eastAsia="宋体" w:cs="宋体"/>
          <w:sz w:val="24"/>
          <w:szCs w:val="24"/>
        </w:rPr>
      </w:pPr>
      <w:r>
        <w:rPr>
          <w:rFonts w:ascii="宋体" w:hAnsi="宋体" w:eastAsia="宋体" w:cs="宋体"/>
          <w:spacing w:val="-2"/>
          <w:sz w:val="24"/>
          <w:szCs w:val="24"/>
        </w:rPr>
        <w:t>（四）事故应急水池设计</w:t>
      </w:r>
    </w:p>
    <w:p w14:paraId="7A689997">
      <w:pPr>
        <w:spacing w:before="184" w:line="350" w:lineRule="auto"/>
        <w:ind w:right="61" w:firstLine="480"/>
        <w:jc w:val="both"/>
        <w:rPr>
          <w:rFonts w:ascii="宋体" w:hAnsi="宋体" w:eastAsia="宋体" w:cs="宋体"/>
          <w:sz w:val="24"/>
          <w:szCs w:val="24"/>
        </w:rPr>
      </w:pPr>
      <w:r>
        <w:rPr>
          <w:rFonts w:ascii="宋体" w:hAnsi="宋体" w:eastAsia="宋体" w:cs="宋体"/>
          <w:sz w:val="24"/>
          <w:szCs w:val="24"/>
        </w:rPr>
        <w:t>根据《化工建设项目环境保护设计规范》（</w:t>
      </w:r>
      <w:r>
        <w:rPr>
          <w:rFonts w:ascii="Times New Roman" w:hAnsi="Times New Roman" w:eastAsia="Times New Roman" w:cs="Times New Roman"/>
          <w:sz w:val="24"/>
          <w:szCs w:val="24"/>
        </w:rPr>
        <w:t>GBT50483-2019</w:t>
      </w:r>
      <w:r>
        <w:rPr>
          <w:rFonts w:ascii="宋体" w:hAnsi="宋体" w:eastAsia="宋体" w:cs="宋体"/>
          <w:spacing w:val="-1"/>
          <w:sz w:val="24"/>
          <w:szCs w:val="24"/>
        </w:rPr>
        <w:t>）和《事故状态下水</w:t>
      </w:r>
      <w:r>
        <w:rPr>
          <w:rFonts w:ascii="宋体" w:hAnsi="宋体" w:eastAsia="宋体" w:cs="宋体"/>
          <w:sz w:val="24"/>
          <w:szCs w:val="24"/>
        </w:rPr>
        <w:t xml:space="preserve"> </w:t>
      </w:r>
      <w:r>
        <w:rPr>
          <w:rFonts w:ascii="宋体" w:hAnsi="宋体" w:eastAsia="宋体" w:cs="宋体"/>
          <w:spacing w:val="1"/>
          <w:sz w:val="24"/>
          <w:szCs w:val="24"/>
        </w:rPr>
        <w:t>体污染的预防与控制技术要求》（</w:t>
      </w:r>
      <w:r>
        <w:rPr>
          <w:rFonts w:ascii="Times New Roman" w:hAnsi="Times New Roman" w:eastAsia="Times New Roman" w:cs="Times New Roman"/>
          <w:spacing w:val="1"/>
          <w:sz w:val="24"/>
          <w:szCs w:val="24"/>
        </w:rPr>
        <w:t>Q/</w:t>
      </w:r>
      <w:r>
        <w:rPr>
          <w:rFonts w:ascii="Times New Roman" w:hAnsi="Times New Roman" w:eastAsia="Times New Roman" w:cs="Times New Roman"/>
          <w:sz w:val="24"/>
          <w:szCs w:val="24"/>
        </w:rPr>
        <w:t>SY</w:t>
      </w:r>
      <w:r>
        <w:rPr>
          <w:rFonts w:ascii="Times New Roman" w:hAnsi="Times New Roman" w:eastAsia="Times New Roman" w:cs="Times New Roman"/>
          <w:spacing w:val="1"/>
          <w:sz w:val="24"/>
          <w:szCs w:val="24"/>
        </w:rPr>
        <w:t>1190-2013</w:t>
      </w:r>
      <w:r>
        <w:rPr>
          <w:rFonts w:ascii="宋体" w:hAnsi="宋体" w:eastAsia="宋体" w:cs="宋体"/>
          <w:spacing w:val="1"/>
          <w:sz w:val="24"/>
          <w:szCs w:val="24"/>
        </w:rPr>
        <w:t>）中的相关规定设置。事故应急池</w:t>
      </w:r>
      <w:r>
        <w:rPr>
          <w:rFonts w:ascii="宋体" w:hAnsi="宋体" w:eastAsia="宋体" w:cs="宋体"/>
          <w:spacing w:val="5"/>
          <w:sz w:val="24"/>
          <w:szCs w:val="24"/>
        </w:rPr>
        <w:t xml:space="preserve"> </w:t>
      </w:r>
      <w:r>
        <w:rPr>
          <w:rFonts w:ascii="宋体" w:hAnsi="宋体" w:eastAsia="宋体" w:cs="宋体"/>
          <w:spacing w:val="-1"/>
          <w:sz w:val="24"/>
          <w:szCs w:val="24"/>
        </w:rPr>
        <w:t>主要用于区内发生事故或火灾时，控制、收集和存放泄露原辅</w:t>
      </w:r>
      <w:r>
        <w:rPr>
          <w:rFonts w:ascii="宋体" w:hAnsi="宋体" w:eastAsia="宋体" w:cs="宋体"/>
          <w:spacing w:val="-2"/>
          <w:sz w:val="24"/>
          <w:szCs w:val="24"/>
        </w:rPr>
        <w:t>材料、污染事故水（包</w:t>
      </w:r>
      <w:r>
        <w:rPr>
          <w:rFonts w:ascii="宋体" w:hAnsi="宋体" w:eastAsia="宋体" w:cs="宋体"/>
          <w:sz w:val="24"/>
          <w:szCs w:val="24"/>
        </w:rPr>
        <w:t xml:space="preserve"> </w:t>
      </w:r>
      <w:r>
        <w:rPr>
          <w:rFonts w:ascii="宋体" w:hAnsi="宋体" w:eastAsia="宋体" w:cs="宋体"/>
          <w:spacing w:val="-1"/>
          <w:sz w:val="24"/>
          <w:szCs w:val="24"/>
        </w:rPr>
        <w:t>括污染雨水）及污染消防水。事故应急水池容量按下式计算：</w:t>
      </w:r>
    </w:p>
    <w:p w14:paraId="11DFCEB2">
      <w:pPr>
        <w:spacing w:line="322" w:lineRule="exact"/>
        <w:ind w:left="47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V</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总</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r>
        <w:rPr>
          <w:rFonts w:ascii="Times New Roman" w:hAnsi="Times New Roman" w:eastAsia="Times New Roman" w:cs="Times New Roman"/>
          <w:spacing w:val="-1"/>
          <w:sz w:val="24"/>
          <w:szCs w:val="24"/>
        </w:rPr>
        <w:t>V1+V2-V3</w:t>
      </w:r>
      <w:r>
        <w:rPr>
          <w:rFonts w:ascii="宋体" w:hAnsi="宋体" w:eastAsia="宋体" w:cs="宋体"/>
          <w:spacing w:val="-1"/>
          <w:sz w:val="24"/>
          <w:szCs w:val="24"/>
        </w:rPr>
        <w:t>）</w:t>
      </w:r>
      <w:r>
        <w:rPr>
          <w:rFonts w:ascii="Times New Roman" w:hAnsi="Times New Roman" w:eastAsia="Times New Roman" w:cs="Times New Roman"/>
          <w:spacing w:val="-1"/>
          <w:sz w:val="24"/>
          <w:szCs w:val="24"/>
        </w:rPr>
        <w:t>max+V4+V5</w:t>
      </w:r>
    </w:p>
    <w:p w14:paraId="706A8D32">
      <w:pPr>
        <w:spacing w:before="188" w:line="220" w:lineRule="auto"/>
        <w:ind w:left="485"/>
        <w:rPr>
          <w:rFonts w:ascii="宋体" w:hAnsi="宋体" w:eastAsia="宋体" w:cs="宋体"/>
          <w:sz w:val="24"/>
          <w:szCs w:val="24"/>
        </w:rPr>
      </w:pPr>
      <w:r>
        <w:rPr>
          <w:rFonts w:ascii="宋体" w:hAnsi="宋体" w:eastAsia="宋体" w:cs="宋体"/>
          <w:spacing w:val="-5"/>
          <w:sz w:val="24"/>
          <w:szCs w:val="24"/>
        </w:rPr>
        <w:t>式中：</w:t>
      </w:r>
    </w:p>
    <w:p w14:paraId="6D8CD62E">
      <w:pPr>
        <w:spacing w:before="181" w:line="359" w:lineRule="auto"/>
        <w:ind w:left="3" w:firstLine="469"/>
        <w:jc w:val="both"/>
        <w:rPr>
          <w:rFonts w:ascii="宋体" w:hAnsi="宋体" w:eastAsia="宋体" w:cs="宋体"/>
          <w:sz w:val="24"/>
          <w:szCs w:val="24"/>
        </w:rPr>
      </w:pPr>
      <w:r>
        <w:rPr>
          <w:rFonts w:ascii="Times New Roman" w:hAnsi="Times New Roman" w:eastAsia="Times New Roman" w:cs="Times New Roman"/>
          <w:spacing w:val="1"/>
          <w:sz w:val="24"/>
          <w:szCs w:val="24"/>
        </w:rPr>
        <w:t>V1</w:t>
      </w:r>
      <w:r>
        <w:rPr>
          <w:rFonts w:ascii="宋体" w:hAnsi="宋体" w:eastAsia="宋体" w:cs="宋体"/>
          <w:spacing w:val="1"/>
          <w:sz w:val="24"/>
          <w:szCs w:val="24"/>
        </w:rPr>
        <w:t>——收集系统范围内发生事故的物料量，</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宋体" w:hAnsi="宋体" w:eastAsia="宋体" w:cs="宋体"/>
          <w:spacing w:val="-78"/>
          <w:sz w:val="24"/>
          <w:szCs w:val="24"/>
        </w:rPr>
        <w:t xml:space="preserve"> </w:t>
      </w:r>
      <w:r>
        <w:rPr>
          <w:rFonts w:ascii="宋体" w:hAnsi="宋体" w:eastAsia="宋体" w:cs="宋体"/>
          <w:spacing w:val="1"/>
          <w:sz w:val="24"/>
          <w:szCs w:val="24"/>
        </w:rPr>
        <w:t>；项目化学品仓库液态原辅料和</w:t>
      </w:r>
      <w:r>
        <w:rPr>
          <w:rFonts w:ascii="宋体" w:hAnsi="宋体" w:eastAsia="宋体" w:cs="宋体"/>
          <w:sz w:val="24"/>
          <w:szCs w:val="24"/>
        </w:rPr>
        <w:t xml:space="preserve"> </w:t>
      </w:r>
      <w:r>
        <w:rPr>
          <w:rFonts w:ascii="宋体" w:hAnsi="宋体" w:eastAsia="宋体" w:cs="宋体"/>
          <w:spacing w:val="-7"/>
          <w:sz w:val="24"/>
          <w:szCs w:val="24"/>
        </w:rPr>
        <w:t>危废暂存间危废最大暂存量分别为盐酸</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50t</w:t>
      </w:r>
      <w:r>
        <w:rPr>
          <w:rFonts w:ascii="宋体" w:hAnsi="宋体" w:eastAsia="宋体" w:cs="宋体"/>
          <w:spacing w:val="-7"/>
          <w:sz w:val="24"/>
          <w:szCs w:val="24"/>
        </w:rPr>
        <w:t>，氢氟酸</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5t</w:t>
      </w:r>
      <w:r>
        <w:rPr>
          <w:rFonts w:ascii="宋体" w:hAnsi="宋体" w:eastAsia="宋体" w:cs="宋体"/>
          <w:spacing w:val="-8"/>
          <w:sz w:val="24"/>
          <w:szCs w:val="24"/>
        </w:rPr>
        <w:t>，硫酸</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1t</w:t>
      </w:r>
      <w:r>
        <w:rPr>
          <w:rFonts w:ascii="宋体" w:hAnsi="宋体" w:eastAsia="宋体" w:cs="宋体"/>
          <w:spacing w:val="-8"/>
          <w:sz w:val="24"/>
          <w:szCs w:val="24"/>
        </w:rPr>
        <w:t>，硝酸</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1t</w:t>
      </w:r>
      <w:r>
        <w:rPr>
          <w:rFonts w:ascii="Times New Roman" w:hAnsi="Times New Roman" w:eastAsia="Times New Roman" w:cs="Times New Roman"/>
          <w:spacing w:val="-30"/>
          <w:sz w:val="24"/>
          <w:szCs w:val="24"/>
        </w:rPr>
        <w:t xml:space="preserve"> </w:t>
      </w:r>
      <w:r>
        <w:rPr>
          <w:rFonts w:ascii="宋体" w:hAnsi="宋体" w:eastAsia="宋体" w:cs="宋体"/>
          <w:spacing w:val="-8"/>
          <w:sz w:val="24"/>
          <w:szCs w:val="24"/>
        </w:rPr>
        <w:t>，乙醇</w:t>
      </w:r>
      <w:r>
        <w:rPr>
          <w:rFonts w:ascii="宋体" w:hAnsi="宋体" w:eastAsia="宋体" w:cs="宋体"/>
          <w:spacing w:val="-52"/>
          <w:sz w:val="24"/>
          <w:szCs w:val="24"/>
        </w:rPr>
        <w:t xml:space="preserve"> </w:t>
      </w:r>
      <w:r>
        <w:rPr>
          <w:rFonts w:ascii="Times New Roman" w:hAnsi="Times New Roman" w:eastAsia="Times New Roman" w:cs="Times New Roman"/>
          <w:spacing w:val="-8"/>
          <w:sz w:val="24"/>
          <w:szCs w:val="24"/>
        </w:rPr>
        <w:t>0.2t</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4"/>
          <w:sz w:val="24"/>
          <w:szCs w:val="24"/>
        </w:rPr>
        <w:t>丙酮</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0.2t</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，总共</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67.4t</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，约合</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67.</w:t>
      </w:r>
      <w:r>
        <w:rPr>
          <w:rFonts w:ascii="Times New Roman" w:hAnsi="Times New Roman" w:eastAsia="Times New Roman" w:cs="Times New Roman"/>
          <w:spacing w:val="-5"/>
          <w:sz w:val="24"/>
          <w:szCs w:val="24"/>
        </w:rPr>
        <w:t>4m</w:t>
      </w:r>
      <w:r>
        <w:rPr>
          <w:rFonts w:ascii="宋体" w:hAnsi="宋体" w:eastAsia="宋体" w:cs="宋体"/>
          <w:spacing w:val="-5"/>
          <w:sz w:val="24"/>
          <w:szCs w:val="24"/>
        </w:rPr>
        <w:t>³。</w:t>
      </w:r>
    </w:p>
    <w:p w14:paraId="0E87A0F9">
      <w:pPr>
        <w:spacing w:line="360" w:lineRule="auto"/>
        <w:ind w:left="3" w:right="61" w:firstLine="469"/>
        <w:rPr>
          <w:rFonts w:ascii="宋体" w:hAnsi="宋体" w:eastAsia="宋体" w:cs="宋体"/>
          <w:sz w:val="24"/>
          <w:szCs w:val="24"/>
        </w:rPr>
      </w:pPr>
      <w:r>
        <w:rPr>
          <w:rFonts w:ascii="Times New Roman" w:hAnsi="Times New Roman" w:eastAsia="Times New Roman" w:cs="Times New Roman"/>
          <w:spacing w:val="1"/>
          <w:sz w:val="24"/>
          <w:szCs w:val="24"/>
        </w:rPr>
        <w:t>V2</w:t>
      </w:r>
      <w:r>
        <w:rPr>
          <w:rFonts w:ascii="宋体" w:hAnsi="宋体" w:eastAsia="宋体" w:cs="宋体"/>
          <w:spacing w:val="1"/>
          <w:sz w:val="24"/>
          <w:szCs w:val="24"/>
        </w:rPr>
        <w:t>——发生事故的储罐、装置或铁路、汽车装卸区的消防水量，</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宋体" w:hAnsi="宋体" w:eastAsia="宋体" w:cs="宋体"/>
          <w:spacing w:val="-76"/>
          <w:sz w:val="24"/>
          <w:szCs w:val="24"/>
        </w:rPr>
        <w:t xml:space="preserve"> </w:t>
      </w:r>
      <w:r>
        <w:rPr>
          <w:rFonts w:ascii="宋体" w:hAnsi="宋体" w:eastAsia="宋体" w:cs="宋体"/>
          <w:spacing w:val="1"/>
          <w:sz w:val="24"/>
          <w:szCs w:val="24"/>
        </w:rPr>
        <w:t>；本项目最</w:t>
      </w:r>
      <w:r>
        <w:rPr>
          <w:rFonts w:ascii="宋体" w:hAnsi="宋体" w:eastAsia="宋体" w:cs="宋体"/>
          <w:sz w:val="24"/>
          <w:szCs w:val="24"/>
        </w:rPr>
        <w:t xml:space="preserve"> </w:t>
      </w:r>
      <w:r>
        <w:rPr>
          <w:rFonts w:ascii="宋体" w:hAnsi="宋体" w:eastAsia="宋体" w:cs="宋体"/>
          <w:spacing w:val="-2"/>
          <w:sz w:val="24"/>
          <w:szCs w:val="24"/>
        </w:rPr>
        <w:t>大消防用水量约为</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288m</w:t>
      </w:r>
      <w:r>
        <w:rPr>
          <w:rFonts w:ascii="宋体" w:hAnsi="宋体" w:eastAsia="宋体" w:cs="宋体"/>
          <w:spacing w:val="-2"/>
          <w:sz w:val="24"/>
          <w:szCs w:val="24"/>
        </w:rPr>
        <w:t>³</w:t>
      </w:r>
      <w:r>
        <w:rPr>
          <w:rFonts w:ascii="宋体" w:hAnsi="宋体" w:eastAsia="宋体" w:cs="宋体"/>
          <w:spacing w:val="-90"/>
          <w:sz w:val="24"/>
          <w:szCs w:val="24"/>
        </w:rPr>
        <w:t xml:space="preserve"> </w:t>
      </w:r>
      <w:r>
        <w:rPr>
          <w:rFonts w:ascii="宋体" w:hAnsi="宋体" w:eastAsia="宋体" w:cs="宋体"/>
          <w:spacing w:val="-2"/>
          <w:sz w:val="24"/>
          <w:szCs w:val="24"/>
        </w:rPr>
        <w:t>;</w:t>
      </w:r>
    </w:p>
    <w:p w14:paraId="07F45DA0">
      <w:pPr>
        <w:spacing w:line="219" w:lineRule="auto"/>
        <w:ind w:left="473"/>
        <w:rPr>
          <w:rFonts w:ascii="宋体" w:hAnsi="宋体" w:eastAsia="宋体" w:cs="宋体"/>
          <w:sz w:val="24"/>
          <w:szCs w:val="24"/>
        </w:rPr>
      </w:pPr>
      <w:r>
        <w:rPr>
          <w:rFonts w:ascii="Times New Roman" w:hAnsi="Times New Roman" w:eastAsia="Times New Roman" w:cs="Times New Roman"/>
          <w:sz w:val="24"/>
          <w:szCs w:val="24"/>
        </w:rPr>
        <w:t>V3</w:t>
      </w:r>
      <w:r>
        <w:rPr>
          <w:rFonts w:ascii="宋体" w:hAnsi="宋体" w:eastAsia="宋体" w:cs="宋体"/>
          <w:sz w:val="24"/>
          <w:szCs w:val="24"/>
        </w:rPr>
        <w:t>——发生事故时可以转输到其他储存或处理设施的物料量</w:t>
      </w:r>
      <w:r>
        <w:rPr>
          <w:rFonts w:ascii="宋体" w:hAnsi="宋体" w:eastAsia="宋体" w:cs="宋体"/>
          <w:spacing w:val="-1"/>
          <w:sz w:val="24"/>
          <w:szCs w:val="24"/>
        </w:rPr>
        <w:t>，</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宋体" w:hAnsi="宋体" w:eastAsia="宋体" w:cs="宋体"/>
          <w:spacing w:val="-90"/>
          <w:sz w:val="24"/>
          <w:szCs w:val="24"/>
        </w:rPr>
        <w:t xml:space="preserve"> </w:t>
      </w:r>
      <w:r>
        <w:rPr>
          <w:rFonts w:ascii="宋体" w:hAnsi="宋体" w:eastAsia="宋体" w:cs="宋体"/>
          <w:spacing w:val="-1"/>
          <w:sz w:val="24"/>
          <w:szCs w:val="24"/>
        </w:rPr>
        <w:t>;</w:t>
      </w:r>
    </w:p>
    <w:p w14:paraId="056F6468">
      <w:pPr>
        <w:spacing w:before="181" w:line="359" w:lineRule="auto"/>
        <w:ind w:left="22" w:right="61" w:firstLine="462"/>
        <w:rPr>
          <w:rFonts w:ascii="宋体" w:hAnsi="宋体" w:eastAsia="宋体" w:cs="宋体"/>
          <w:sz w:val="24"/>
          <w:szCs w:val="24"/>
        </w:rPr>
      </w:pPr>
      <w:r>
        <w:rPr>
          <w:rFonts w:ascii="宋体" w:hAnsi="宋体" w:eastAsia="宋体" w:cs="宋体"/>
          <w:spacing w:val="-5"/>
          <w:sz w:val="24"/>
          <w:szCs w:val="24"/>
        </w:rPr>
        <w:t>项目两栋厂房总占地面积</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2932</w:t>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㎡，如在一楼车间门口利用沙包设置约</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10cm</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高的</w:t>
      </w:r>
      <w:r>
        <w:rPr>
          <w:rFonts w:ascii="宋体" w:hAnsi="宋体" w:eastAsia="宋体" w:cs="宋体"/>
          <w:sz w:val="24"/>
          <w:szCs w:val="24"/>
        </w:rPr>
        <w:t xml:space="preserve"> </w:t>
      </w:r>
      <w:r>
        <w:rPr>
          <w:rFonts w:ascii="宋体" w:hAnsi="宋体" w:eastAsia="宋体" w:cs="宋体"/>
          <w:spacing w:val="-3"/>
          <w:sz w:val="24"/>
          <w:szCs w:val="24"/>
        </w:rPr>
        <w:t>围堰，可收集有效容积</w:t>
      </w:r>
      <w:r>
        <w:rPr>
          <w:rFonts w:ascii="Times New Roman" w:hAnsi="Times New Roman" w:eastAsia="Times New Roman" w:cs="Times New Roman"/>
          <w:spacing w:val="-3"/>
          <w:sz w:val="24"/>
          <w:szCs w:val="24"/>
        </w:rPr>
        <w:t>=2932</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1m=293.2m</w:t>
      </w:r>
      <w:r>
        <w:rPr>
          <w:rFonts w:ascii="宋体" w:hAnsi="宋体" w:eastAsia="宋体" w:cs="宋体"/>
          <w:spacing w:val="-3"/>
          <w:sz w:val="24"/>
          <w:szCs w:val="24"/>
        </w:rPr>
        <w:t>³</w:t>
      </w:r>
      <w:r>
        <w:rPr>
          <w:rFonts w:ascii="宋体" w:hAnsi="宋体" w:eastAsia="宋体" w:cs="宋体"/>
          <w:spacing w:val="-90"/>
          <w:sz w:val="24"/>
          <w:szCs w:val="24"/>
        </w:rPr>
        <w:t xml:space="preserve"> </w:t>
      </w:r>
      <w:r>
        <w:rPr>
          <w:rFonts w:ascii="宋体" w:hAnsi="宋体" w:eastAsia="宋体" w:cs="宋体"/>
          <w:spacing w:val="-3"/>
          <w:sz w:val="24"/>
          <w:szCs w:val="24"/>
        </w:rPr>
        <w:t>;</w:t>
      </w:r>
    </w:p>
    <w:p w14:paraId="6D125E8A">
      <w:pPr>
        <w:spacing w:line="359" w:lineRule="auto"/>
        <w:ind w:right="61" w:firstLine="484"/>
        <w:rPr>
          <w:rFonts w:ascii="宋体" w:hAnsi="宋体" w:eastAsia="宋体" w:cs="宋体"/>
          <w:sz w:val="24"/>
          <w:szCs w:val="24"/>
        </w:rPr>
      </w:pPr>
      <w:r>
        <w:rPr>
          <w:rFonts w:ascii="宋体" w:hAnsi="宋体" w:eastAsia="宋体" w:cs="宋体"/>
          <w:spacing w:val="-3"/>
          <w:sz w:val="24"/>
          <w:szCs w:val="24"/>
        </w:rPr>
        <w:t>项目化学品仓库和危废暂存间总占地面积</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180</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㎡，如分别在化学品仓库和危废暂</w:t>
      </w:r>
      <w:r>
        <w:rPr>
          <w:rFonts w:ascii="宋体" w:hAnsi="宋体" w:eastAsia="宋体" w:cs="宋体"/>
          <w:sz w:val="24"/>
          <w:szCs w:val="24"/>
        </w:rPr>
        <w:t xml:space="preserve"> </w:t>
      </w:r>
      <w:r>
        <w:rPr>
          <w:rFonts w:ascii="宋体" w:hAnsi="宋体" w:eastAsia="宋体" w:cs="宋体"/>
          <w:spacing w:val="-3"/>
          <w:sz w:val="24"/>
          <w:szCs w:val="24"/>
        </w:rPr>
        <w:t>存间出入口设置</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高的围堰，在发生事故时，可有效收集约</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18m</w:t>
      </w:r>
      <w:r>
        <w:rPr>
          <w:rFonts w:ascii="宋体" w:hAnsi="宋体" w:eastAsia="宋体" w:cs="宋体"/>
          <w:spacing w:val="-3"/>
          <w:sz w:val="24"/>
          <w:szCs w:val="24"/>
        </w:rPr>
        <w:t>³</w:t>
      </w:r>
      <w:r>
        <w:rPr>
          <w:rFonts w:ascii="宋体" w:hAnsi="宋体" w:eastAsia="宋体" w:cs="宋体"/>
          <w:spacing w:val="-91"/>
          <w:sz w:val="24"/>
          <w:szCs w:val="24"/>
        </w:rPr>
        <w:t xml:space="preserve"> </w:t>
      </w:r>
      <w:r>
        <w:rPr>
          <w:rFonts w:ascii="宋体" w:hAnsi="宋体" w:eastAsia="宋体" w:cs="宋体"/>
          <w:spacing w:val="-3"/>
          <w:sz w:val="24"/>
          <w:szCs w:val="24"/>
        </w:rPr>
        <w:t>的</w:t>
      </w:r>
      <w:r>
        <w:rPr>
          <w:rFonts w:ascii="宋体" w:hAnsi="宋体" w:eastAsia="宋体" w:cs="宋体"/>
          <w:spacing w:val="-4"/>
          <w:sz w:val="24"/>
          <w:szCs w:val="24"/>
        </w:rPr>
        <w:t>废液。</w:t>
      </w:r>
    </w:p>
    <w:p w14:paraId="6A215DF3">
      <w:pPr>
        <w:spacing w:before="1" w:line="219" w:lineRule="auto"/>
        <w:ind w:left="499"/>
        <w:rPr>
          <w:rFonts w:ascii="宋体" w:hAnsi="宋体" w:eastAsia="宋体" w:cs="宋体"/>
          <w:sz w:val="24"/>
          <w:szCs w:val="24"/>
        </w:rPr>
      </w:pPr>
      <w:r>
        <w:rPr>
          <w:rFonts w:ascii="宋体" w:hAnsi="宋体" w:eastAsia="宋体" w:cs="宋体"/>
          <w:spacing w:val="-3"/>
          <w:sz w:val="24"/>
          <w:szCs w:val="24"/>
        </w:rPr>
        <w:t>因此项目车间、仓库、暂存间可临时储存</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311.2m</w:t>
      </w:r>
      <w:r>
        <w:rPr>
          <w:rFonts w:ascii="宋体" w:hAnsi="宋体" w:eastAsia="宋体" w:cs="宋体"/>
          <w:spacing w:val="-3"/>
          <w:sz w:val="24"/>
          <w:szCs w:val="24"/>
        </w:rPr>
        <w:t>³</w:t>
      </w:r>
      <w:r>
        <w:rPr>
          <w:rFonts w:ascii="宋体" w:hAnsi="宋体" w:eastAsia="宋体" w:cs="宋体"/>
          <w:spacing w:val="-91"/>
          <w:sz w:val="24"/>
          <w:szCs w:val="24"/>
        </w:rPr>
        <w:t xml:space="preserve"> </w:t>
      </w:r>
      <w:r>
        <w:rPr>
          <w:rFonts w:ascii="宋体" w:hAnsi="宋体" w:eastAsia="宋体" w:cs="宋体"/>
          <w:spacing w:val="-3"/>
          <w:sz w:val="24"/>
          <w:szCs w:val="24"/>
        </w:rPr>
        <w:t>的废液和物料。</w:t>
      </w:r>
    </w:p>
    <w:p w14:paraId="3BA17BEB">
      <w:pPr>
        <w:spacing w:before="182" w:line="359" w:lineRule="auto"/>
        <w:ind w:left="1" w:right="61" w:firstLine="471"/>
        <w:rPr>
          <w:rFonts w:ascii="宋体" w:hAnsi="宋体" w:eastAsia="宋体" w:cs="宋体"/>
          <w:sz w:val="24"/>
          <w:szCs w:val="24"/>
        </w:rPr>
      </w:pPr>
      <w:r>
        <w:rPr>
          <w:rFonts w:ascii="Times New Roman" w:hAnsi="Times New Roman" w:eastAsia="Times New Roman" w:cs="Times New Roman"/>
          <w:spacing w:val="1"/>
          <w:sz w:val="24"/>
          <w:szCs w:val="24"/>
        </w:rPr>
        <w:t>V4</w:t>
      </w:r>
      <w:r>
        <w:rPr>
          <w:rFonts w:ascii="宋体" w:hAnsi="宋体" w:eastAsia="宋体" w:cs="宋体"/>
          <w:spacing w:val="1"/>
          <w:sz w:val="24"/>
          <w:szCs w:val="24"/>
        </w:rPr>
        <w:t>——发生事故时仍必须进入该收集系统的生产废水量，</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宋体" w:hAnsi="宋体" w:eastAsia="宋体" w:cs="宋体"/>
          <w:spacing w:val="-78"/>
          <w:sz w:val="24"/>
          <w:szCs w:val="24"/>
        </w:rPr>
        <w:t xml:space="preserve"> </w:t>
      </w:r>
      <w:r>
        <w:rPr>
          <w:rFonts w:ascii="宋体" w:hAnsi="宋体" w:eastAsia="宋体" w:cs="宋体"/>
          <w:spacing w:val="1"/>
          <w:sz w:val="24"/>
          <w:szCs w:val="24"/>
        </w:rPr>
        <w:t>；本项目废水处理</w:t>
      </w:r>
      <w:r>
        <w:rPr>
          <w:rFonts w:ascii="宋体" w:hAnsi="宋体" w:eastAsia="宋体" w:cs="宋体"/>
          <w:sz w:val="24"/>
          <w:szCs w:val="24"/>
        </w:rPr>
        <w:t xml:space="preserve"> </w:t>
      </w:r>
      <w:r>
        <w:rPr>
          <w:rFonts w:ascii="宋体" w:hAnsi="宋体" w:eastAsia="宋体" w:cs="宋体"/>
          <w:spacing w:val="-1"/>
          <w:sz w:val="24"/>
          <w:szCs w:val="24"/>
        </w:rPr>
        <w:t>站处理能力为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600t/d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，事故时间以一天算，超一天则需停产维修。因此能进入事故应</w:t>
      </w:r>
      <w:r>
        <w:rPr>
          <w:rFonts w:ascii="宋体" w:hAnsi="宋体" w:eastAsia="宋体" w:cs="宋体"/>
          <w:sz w:val="24"/>
          <w:szCs w:val="24"/>
        </w:rPr>
        <w:t xml:space="preserve"> </w:t>
      </w:r>
      <w:r>
        <w:rPr>
          <w:rFonts w:ascii="宋体" w:hAnsi="宋体" w:eastAsia="宋体" w:cs="宋体"/>
          <w:spacing w:val="-2"/>
          <w:sz w:val="24"/>
          <w:szCs w:val="24"/>
        </w:rPr>
        <w:t>急池的最大生产废水量为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600m</w:t>
      </w:r>
      <w:r>
        <w:rPr>
          <w:rFonts w:ascii="宋体" w:hAnsi="宋体" w:eastAsia="宋体" w:cs="宋体"/>
          <w:spacing w:val="-2"/>
          <w:sz w:val="24"/>
          <w:szCs w:val="24"/>
        </w:rPr>
        <w:t>³</w:t>
      </w:r>
      <w:r>
        <w:rPr>
          <w:rFonts w:ascii="宋体" w:hAnsi="宋体" w:eastAsia="宋体" w:cs="宋体"/>
          <w:spacing w:val="-90"/>
          <w:sz w:val="24"/>
          <w:szCs w:val="24"/>
        </w:rPr>
        <w:t xml:space="preserve"> </w:t>
      </w:r>
      <w:r>
        <w:rPr>
          <w:rFonts w:ascii="宋体" w:hAnsi="宋体" w:eastAsia="宋体" w:cs="宋体"/>
          <w:spacing w:val="-2"/>
          <w:sz w:val="24"/>
          <w:szCs w:val="24"/>
        </w:rPr>
        <w:t>;</w:t>
      </w:r>
    </w:p>
    <w:p w14:paraId="643ADB6B">
      <w:pPr>
        <w:spacing w:line="355" w:lineRule="auto"/>
        <w:ind w:left="5" w:right="63" w:firstLine="4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V5</w:t>
      </w:r>
      <w:r>
        <w:rPr>
          <w:rFonts w:ascii="宋体" w:hAnsi="宋体" w:eastAsia="宋体" w:cs="宋体"/>
          <w:spacing w:val="1"/>
          <w:sz w:val="24"/>
          <w:szCs w:val="24"/>
        </w:rPr>
        <w:t>——发生事故时可能进入该收集系统的降雨量，</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宋体" w:hAnsi="宋体" w:eastAsia="宋体" w:cs="宋体"/>
          <w:spacing w:val="-78"/>
          <w:sz w:val="24"/>
          <w:szCs w:val="24"/>
        </w:rPr>
        <w:t xml:space="preserve"> </w:t>
      </w:r>
      <w:r>
        <w:rPr>
          <w:rFonts w:ascii="宋体" w:hAnsi="宋体" w:eastAsia="宋体" w:cs="宋体"/>
          <w:spacing w:val="1"/>
          <w:sz w:val="24"/>
          <w:szCs w:val="24"/>
        </w:rPr>
        <w:t>；雨水设计流量按下列公</w:t>
      </w:r>
      <w:r>
        <w:rPr>
          <w:rFonts w:ascii="宋体" w:hAnsi="宋体" w:eastAsia="宋体" w:cs="宋体"/>
          <w:sz w:val="24"/>
          <w:szCs w:val="24"/>
        </w:rPr>
        <w:t xml:space="preserve"> 式计算：              </w:t>
      </w:r>
      <w:r>
        <w:rPr>
          <w:rFonts w:ascii="Times New Roman" w:hAnsi="Times New Roman" w:eastAsia="Times New Roman" w:cs="Times New Roman"/>
          <w:sz w:val="24"/>
          <w:szCs w:val="24"/>
        </w:rPr>
        <w:t xml:space="preserve">Q=Ψ </w:t>
      </w:r>
      <w:r>
        <w:rPr>
          <w:rFonts w:ascii="MS UI Gothic" w:hAnsi="MS UI Gothic" w:eastAsia="MS UI Gothic" w:cs="MS UI Gothic"/>
          <w:sz w:val="24"/>
          <w:szCs w:val="24"/>
        </w:rPr>
        <w:t>.</w:t>
      </w:r>
      <w:r>
        <w:rPr>
          <w:rFonts w:ascii="MS UI Gothic" w:hAnsi="MS UI Gothic" w:eastAsia="MS UI Gothic" w:cs="MS UI Gothic"/>
          <w:spacing w:val="55"/>
          <w:sz w:val="24"/>
          <w:szCs w:val="24"/>
        </w:rPr>
        <w:t xml:space="preserve"> </w:t>
      </w:r>
      <w:r>
        <w:rPr>
          <w:rFonts w:ascii="Times New Roman" w:hAnsi="Times New Roman" w:eastAsia="Times New Roman" w:cs="Times New Roman"/>
          <w:sz w:val="24"/>
          <w:szCs w:val="24"/>
        </w:rPr>
        <w:t xml:space="preserve">q </w:t>
      </w:r>
      <w:r>
        <w:rPr>
          <w:rFonts w:ascii="MS UI Gothic" w:hAnsi="MS UI Gothic" w:eastAsia="MS UI Gothic" w:cs="MS UI Gothic"/>
          <w:spacing w:val="-1"/>
          <w:sz w:val="24"/>
          <w:szCs w:val="24"/>
        </w:rPr>
        <w:t>.</w:t>
      </w:r>
      <w:r>
        <w:rPr>
          <w:rFonts w:ascii="MS UI Gothic" w:hAnsi="MS UI Gothic" w:eastAsia="MS UI Gothic" w:cs="MS UI Gothic"/>
          <w:spacing w:val="49"/>
          <w:sz w:val="24"/>
          <w:szCs w:val="24"/>
        </w:rPr>
        <w:t xml:space="preserve"> </w:t>
      </w:r>
      <w:r>
        <w:rPr>
          <w:rFonts w:ascii="Times New Roman" w:hAnsi="Times New Roman" w:eastAsia="Times New Roman" w:cs="Times New Roman"/>
          <w:spacing w:val="-1"/>
          <w:sz w:val="24"/>
          <w:szCs w:val="24"/>
        </w:rPr>
        <w:t>A</w:t>
      </w:r>
    </w:p>
    <w:p w14:paraId="575F2068">
      <w:pPr>
        <w:spacing w:before="10" w:line="220" w:lineRule="auto"/>
        <w:ind w:left="485"/>
        <w:rPr>
          <w:rFonts w:ascii="宋体" w:hAnsi="宋体" w:eastAsia="宋体" w:cs="宋体"/>
          <w:sz w:val="24"/>
          <w:szCs w:val="24"/>
        </w:rPr>
      </w:pPr>
      <w:r>
        <w:rPr>
          <w:rFonts w:ascii="宋体" w:hAnsi="宋体" w:eastAsia="宋体" w:cs="宋体"/>
          <w:spacing w:val="-5"/>
          <w:sz w:val="24"/>
          <w:szCs w:val="24"/>
        </w:rPr>
        <w:t>式中：</w:t>
      </w:r>
    </w:p>
    <w:p w14:paraId="15BDFB4A">
      <w:pPr>
        <w:spacing w:before="182" w:line="210" w:lineRule="auto"/>
        <w:ind w:left="480"/>
        <w:rPr>
          <w:rFonts w:ascii="宋体" w:hAnsi="宋体" w:eastAsia="宋体" w:cs="宋体"/>
          <w:sz w:val="24"/>
          <w:szCs w:val="24"/>
        </w:rPr>
      </w:pPr>
      <w:r>
        <w:rPr>
          <w:rFonts w:ascii="Times New Roman" w:hAnsi="Times New Roman" w:eastAsia="Times New Roman" w:cs="Times New Roman"/>
          <w:spacing w:val="-1"/>
          <w:sz w:val="24"/>
          <w:szCs w:val="24"/>
        </w:rPr>
        <w:t>Q</w:t>
      </w:r>
      <w:r>
        <w:rPr>
          <w:rFonts w:ascii="宋体" w:hAnsi="宋体" w:eastAsia="宋体" w:cs="宋体"/>
          <w:spacing w:val="-1"/>
          <w:sz w:val="24"/>
          <w:szCs w:val="24"/>
        </w:rPr>
        <w:t>：雨水设计流量，</w:t>
      </w:r>
      <w:r>
        <w:rPr>
          <w:rFonts w:ascii="Times New Roman" w:hAnsi="Times New Roman" w:eastAsia="Times New Roman" w:cs="Times New Roman"/>
          <w:spacing w:val="-1"/>
          <w:sz w:val="24"/>
          <w:szCs w:val="24"/>
        </w:rPr>
        <w:t>L/s</w:t>
      </w:r>
      <w:r>
        <w:rPr>
          <w:rFonts w:ascii="宋体" w:hAnsi="宋体" w:eastAsia="宋体" w:cs="宋体"/>
          <w:spacing w:val="-1"/>
          <w:sz w:val="24"/>
          <w:szCs w:val="24"/>
        </w:rPr>
        <w:t>；</w:t>
      </w:r>
    </w:p>
    <w:p w14:paraId="326A07C7">
      <w:pPr>
        <w:spacing w:line="210" w:lineRule="auto"/>
        <w:rPr>
          <w:rFonts w:ascii="宋体" w:hAnsi="宋体" w:eastAsia="宋体" w:cs="宋体"/>
          <w:sz w:val="24"/>
          <w:szCs w:val="24"/>
        </w:rPr>
        <w:sectPr>
          <w:footerReference r:id="rId158" w:type="default"/>
          <w:pgSz w:w="11906" w:h="16839"/>
          <w:pgMar w:top="400" w:right="1469" w:bottom="1127" w:left="1539" w:header="0" w:footer="965" w:gutter="0"/>
          <w:cols w:space="720" w:num="1"/>
        </w:sectPr>
      </w:pPr>
    </w:p>
    <w:p w14:paraId="7A0F5723">
      <w:pPr>
        <w:spacing w:line="250" w:lineRule="auto"/>
        <w:rPr>
          <w:rFonts w:ascii="Arial"/>
          <w:sz w:val="21"/>
        </w:rPr>
      </w:pPr>
    </w:p>
    <w:p w14:paraId="0477051B">
      <w:pPr>
        <w:spacing w:line="250" w:lineRule="auto"/>
        <w:rPr>
          <w:rFonts w:ascii="Arial"/>
          <w:sz w:val="21"/>
        </w:rPr>
      </w:pPr>
    </w:p>
    <w:p w14:paraId="696E21E7">
      <w:pPr>
        <w:spacing w:line="250" w:lineRule="auto"/>
        <w:rPr>
          <w:rFonts w:ascii="Arial"/>
          <w:sz w:val="21"/>
        </w:rPr>
      </w:pPr>
    </w:p>
    <w:p w14:paraId="3042E867">
      <w:pPr>
        <w:spacing w:line="250" w:lineRule="auto"/>
        <w:rPr>
          <w:rFonts w:ascii="Arial"/>
          <w:sz w:val="21"/>
        </w:rPr>
      </w:pPr>
    </w:p>
    <w:p w14:paraId="70140697">
      <w:pPr>
        <w:spacing w:line="251" w:lineRule="auto"/>
        <w:rPr>
          <w:rFonts w:ascii="Arial"/>
          <w:sz w:val="21"/>
        </w:rPr>
      </w:pPr>
    </w:p>
    <w:p w14:paraId="78E821B8">
      <w:pPr>
        <w:spacing w:before="78" w:line="219" w:lineRule="auto"/>
        <w:ind w:left="508"/>
        <w:rPr>
          <w:rFonts w:ascii="宋体" w:hAnsi="宋体" w:eastAsia="宋体" w:cs="宋体"/>
          <w:sz w:val="24"/>
          <w:szCs w:val="24"/>
        </w:rPr>
      </w:pPr>
      <w:r>
        <w:rPr>
          <w:rFonts w:ascii="宋体" w:hAnsi="宋体" w:eastAsia="宋体" w:cs="宋体"/>
          <w:spacing w:val="-7"/>
          <w:sz w:val="24"/>
          <w:szCs w:val="24"/>
        </w:rPr>
        <w:t>Ψ</w:t>
      </w:r>
      <w:r>
        <w:rPr>
          <w:rFonts w:ascii="宋体" w:hAnsi="宋体" w:eastAsia="宋体" w:cs="宋体"/>
          <w:spacing w:val="-87"/>
          <w:sz w:val="24"/>
          <w:szCs w:val="24"/>
        </w:rPr>
        <w:t xml:space="preserve"> </w:t>
      </w:r>
      <w:r>
        <w:rPr>
          <w:rFonts w:ascii="宋体" w:hAnsi="宋体" w:eastAsia="宋体" w:cs="宋体"/>
          <w:spacing w:val="-7"/>
          <w:sz w:val="24"/>
          <w:szCs w:val="24"/>
        </w:rPr>
        <w:t>：径流系数，其数值小于</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p>
    <w:p w14:paraId="4F85DD39">
      <w:pPr>
        <w:spacing w:before="180" w:line="212" w:lineRule="auto"/>
        <w:ind w:left="480"/>
        <w:rPr>
          <w:rFonts w:ascii="宋体" w:hAnsi="宋体" w:eastAsia="宋体" w:cs="宋体"/>
          <w:sz w:val="24"/>
          <w:szCs w:val="24"/>
        </w:rPr>
      </w:pPr>
      <w:r>
        <w:rPr>
          <w:rFonts w:ascii="Times New Roman" w:hAnsi="Times New Roman" w:eastAsia="Times New Roman" w:cs="Times New Roman"/>
          <w:spacing w:val="-1"/>
          <w:sz w:val="24"/>
          <w:szCs w:val="24"/>
        </w:rPr>
        <w:t>q</w:t>
      </w:r>
      <w:r>
        <w:rPr>
          <w:rFonts w:ascii="宋体" w:hAnsi="宋体" w:eastAsia="宋体" w:cs="宋体"/>
          <w:spacing w:val="-1"/>
          <w:sz w:val="24"/>
          <w:szCs w:val="24"/>
        </w:rPr>
        <w:t>：设计暴雨强度，</w:t>
      </w:r>
      <w:r>
        <w:rPr>
          <w:rFonts w:ascii="Times New Roman" w:hAnsi="Times New Roman" w:eastAsia="Times New Roman" w:cs="Times New Roman"/>
          <w:spacing w:val="-1"/>
          <w:sz w:val="24"/>
          <w:szCs w:val="24"/>
        </w:rPr>
        <w:t>L/</w:t>
      </w:r>
      <w:r>
        <w:rPr>
          <w:rFonts w:ascii="宋体" w:hAnsi="宋体" w:eastAsia="宋体" w:cs="宋体"/>
          <w:spacing w:val="-1"/>
          <w:sz w:val="24"/>
          <w:szCs w:val="24"/>
        </w:rPr>
        <w:t>（</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r>
        <w:rPr>
          <w:rFonts w:ascii="Times New Roman" w:hAnsi="Times New Roman" w:eastAsia="Times New Roman" w:cs="Times New Roman"/>
          <w:spacing w:val="-1"/>
          <w:sz w:val="24"/>
          <w:szCs w:val="24"/>
        </w:rPr>
        <w:t>ha</w:t>
      </w:r>
      <w:r>
        <w:rPr>
          <w:rFonts w:ascii="宋体" w:hAnsi="宋体" w:eastAsia="宋体" w:cs="宋体"/>
          <w:spacing w:val="2"/>
          <w:sz w:val="24"/>
          <w:szCs w:val="24"/>
        </w:rPr>
        <w:t>）；</w:t>
      </w:r>
    </w:p>
    <w:p w14:paraId="215800EC">
      <w:pPr>
        <w:spacing w:before="192" w:line="219" w:lineRule="auto"/>
        <w:ind w:left="474"/>
        <w:rPr>
          <w:rFonts w:ascii="宋体" w:hAnsi="宋体" w:eastAsia="宋体" w:cs="宋体"/>
          <w:sz w:val="24"/>
          <w:szCs w:val="24"/>
        </w:rPr>
      </w:pPr>
      <w:r>
        <w:rPr>
          <w:rFonts w:ascii="Times New Roman" w:hAnsi="Times New Roman" w:eastAsia="Times New Roman" w:cs="Times New Roman"/>
          <w:sz w:val="24"/>
          <w:szCs w:val="24"/>
        </w:rPr>
        <w:t>A</w:t>
      </w:r>
      <w:r>
        <w:rPr>
          <w:rFonts w:ascii="宋体" w:hAnsi="宋体" w:eastAsia="宋体" w:cs="宋体"/>
          <w:sz w:val="24"/>
          <w:szCs w:val="24"/>
        </w:rPr>
        <w:t>：必须进入事故废水收集系统的雨水汇水面积</w:t>
      </w:r>
      <w:r>
        <w:rPr>
          <w:rFonts w:ascii="宋体" w:hAnsi="宋体" w:eastAsia="宋体" w:cs="宋体"/>
          <w:spacing w:val="-1"/>
          <w:sz w:val="24"/>
          <w:szCs w:val="24"/>
        </w:rPr>
        <w:t>，</w:t>
      </w:r>
      <w:r>
        <w:rPr>
          <w:rFonts w:ascii="Times New Roman" w:hAnsi="Times New Roman" w:eastAsia="Times New Roman" w:cs="Times New Roman"/>
          <w:spacing w:val="-1"/>
          <w:sz w:val="24"/>
          <w:szCs w:val="24"/>
        </w:rPr>
        <w:t>ha</w:t>
      </w:r>
      <w:r>
        <w:rPr>
          <w:rFonts w:ascii="宋体" w:hAnsi="宋体" w:eastAsia="宋体" w:cs="宋体"/>
          <w:spacing w:val="-1"/>
          <w:sz w:val="24"/>
          <w:szCs w:val="24"/>
        </w:rPr>
        <w:t>。</w:t>
      </w:r>
    </w:p>
    <w:p w14:paraId="0D3087D2">
      <w:pPr>
        <w:spacing w:before="179" w:line="346" w:lineRule="auto"/>
        <w:ind w:left="12" w:firstLine="473"/>
        <w:rPr>
          <w:rFonts w:ascii="宋体" w:hAnsi="宋体" w:eastAsia="宋体" w:cs="宋体"/>
          <w:sz w:val="24"/>
          <w:szCs w:val="24"/>
        </w:rPr>
      </w:pPr>
      <w:r>
        <w:rPr>
          <w:rFonts w:ascii="宋体" w:hAnsi="宋体" w:eastAsia="宋体" w:cs="宋体"/>
          <w:spacing w:val="-1"/>
          <w:sz w:val="24"/>
          <w:szCs w:val="24"/>
        </w:rPr>
        <w:t>一次最大初期雨水量根据暴雨强度公式如下</w:t>
      </w:r>
      <w:r>
        <w:rPr>
          <w:rFonts w:ascii="宋体" w:hAnsi="宋体" w:eastAsia="宋体" w:cs="宋体"/>
          <w:spacing w:val="-2"/>
          <w:sz w:val="24"/>
          <w:szCs w:val="24"/>
        </w:rPr>
        <w:t>（因汕尾市没有暴雨强度公式，参照</w:t>
      </w:r>
      <w:r>
        <w:rPr>
          <w:rFonts w:ascii="宋体" w:hAnsi="宋体" w:eastAsia="宋体" w:cs="宋体"/>
          <w:sz w:val="24"/>
          <w:szCs w:val="24"/>
        </w:rPr>
        <w:t xml:space="preserve"> </w:t>
      </w:r>
      <w:r>
        <w:rPr>
          <w:rFonts w:ascii="宋体" w:hAnsi="宋体" w:eastAsia="宋体" w:cs="宋体"/>
          <w:spacing w:val="-1"/>
          <w:sz w:val="24"/>
          <w:szCs w:val="24"/>
        </w:rPr>
        <w:t>惠州市的暴雨强度公式，公式来源《给排水视界，中国暴雨强度公式汇总》资料</w:t>
      </w:r>
      <w:r>
        <w:rPr>
          <w:rFonts w:ascii="宋体" w:hAnsi="宋体" w:eastAsia="宋体" w:cs="宋体"/>
          <w:spacing w:val="-21"/>
          <w:sz w:val="24"/>
          <w:szCs w:val="24"/>
        </w:rPr>
        <w:t>）：</w:t>
      </w:r>
    </w:p>
    <w:p w14:paraId="48771812">
      <w:pPr>
        <w:spacing w:line="986" w:lineRule="exact"/>
        <w:ind w:firstLine="412"/>
      </w:pPr>
      <w:r>
        <w:rPr>
          <w:position w:val="-19"/>
        </w:rPr>
        <w:drawing>
          <wp:inline distT="0" distB="0" distL="0" distR="0">
            <wp:extent cx="2412365" cy="62611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25"/>
                    <a:stretch>
                      <a:fillRect/>
                    </a:stretch>
                  </pic:blipFill>
                  <pic:spPr>
                    <a:xfrm>
                      <a:off x="0" y="0"/>
                      <a:ext cx="2412491" cy="626364"/>
                    </a:xfrm>
                    <a:prstGeom prst="rect">
                      <a:avLst/>
                    </a:prstGeom>
                  </pic:spPr>
                </pic:pic>
              </a:graphicData>
            </a:graphic>
          </wp:inline>
        </w:drawing>
      </w:r>
    </w:p>
    <w:p w14:paraId="0D0D40BB">
      <w:pPr>
        <w:spacing w:before="174" w:line="212" w:lineRule="auto"/>
        <w:ind w:left="486"/>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q</w:t>
      </w:r>
      <w:r>
        <w:rPr>
          <w:rFonts w:ascii="宋体" w:hAnsi="宋体" w:eastAsia="宋体" w:cs="宋体"/>
          <w:spacing w:val="-1"/>
          <w:sz w:val="24"/>
          <w:szCs w:val="24"/>
        </w:rPr>
        <w:t>：设计暴雨强度，</w:t>
      </w:r>
      <w:r>
        <w:rPr>
          <w:rFonts w:ascii="Times New Roman" w:hAnsi="Times New Roman" w:eastAsia="Times New Roman" w:cs="Times New Roman"/>
          <w:spacing w:val="-1"/>
          <w:sz w:val="24"/>
          <w:szCs w:val="24"/>
        </w:rPr>
        <w:t>L/</w:t>
      </w:r>
      <w:r>
        <w:rPr>
          <w:rFonts w:ascii="宋体" w:hAnsi="宋体" w:eastAsia="宋体" w:cs="宋体"/>
          <w:spacing w:val="-1"/>
          <w:sz w:val="24"/>
          <w:szCs w:val="24"/>
        </w:rPr>
        <w:t>（</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r>
        <w:rPr>
          <w:rFonts w:ascii="Times New Roman" w:hAnsi="Times New Roman" w:eastAsia="Times New Roman" w:cs="Times New Roman"/>
          <w:spacing w:val="-1"/>
          <w:sz w:val="24"/>
          <w:szCs w:val="24"/>
        </w:rPr>
        <w:t>ha</w:t>
      </w:r>
      <w:r>
        <w:rPr>
          <w:rFonts w:ascii="宋体" w:hAnsi="宋体" w:eastAsia="宋体" w:cs="宋体"/>
          <w:sz w:val="24"/>
          <w:szCs w:val="24"/>
        </w:rPr>
        <w:t>）；</w:t>
      </w:r>
    </w:p>
    <w:p w14:paraId="6CF548F3">
      <w:pPr>
        <w:spacing w:before="193" w:line="219" w:lineRule="auto"/>
        <w:ind w:left="474"/>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：降雨历时，</w:t>
      </w:r>
      <w:r>
        <w:rPr>
          <w:rFonts w:ascii="Times New Roman" w:hAnsi="Times New Roman" w:eastAsia="Times New Roman" w:cs="Times New Roman"/>
          <w:spacing w:val="-1"/>
          <w:sz w:val="24"/>
          <w:szCs w:val="24"/>
        </w:rPr>
        <w:t>min</w:t>
      </w:r>
      <w:r>
        <w:rPr>
          <w:rFonts w:ascii="宋体" w:hAnsi="宋体" w:eastAsia="宋体" w:cs="宋体"/>
          <w:spacing w:val="-1"/>
          <w:sz w:val="24"/>
          <w:szCs w:val="24"/>
        </w:rPr>
        <w:t>；</w:t>
      </w:r>
    </w:p>
    <w:p w14:paraId="052C9CA9">
      <w:pPr>
        <w:spacing w:before="183" w:line="219" w:lineRule="auto"/>
        <w:ind w:left="476"/>
        <w:rPr>
          <w:rFonts w:ascii="宋体" w:hAnsi="宋体" w:eastAsia="宋体" w:cs="宋体"/>
          <w:sz w:val="24"/>
          <w:szCs w:val="24"/>
        </w:rPr>
      </w:pPr>
      <w:r>
        <w:rPr>
          <w:rFonts w:ascii="Times New Roman" w:hAnsi="Times New Roman" w:eastAsia="Times New Roman" w:cs="Times New Roman"/>
          <w:spacing w:val="-1"/>
          <w:sz w:val="24"/>
          <w:szCs w:val="24"/>
        </w:rPr>
        <w:t>P</w:t>
      </w:r>
      <w:r>
        <w:rPr>
          <w:rFonts w:ascii="宋体" w:hAnsi="宋体" w:eastAsia="宋体" w:cs="宋体"/>
          <w:spacing w:val="-1"/>
          <w:sz w:val="24"/>
          <w:szCs w:val="24"/>
        </w:rPr>
        <w:t>：设计重现期，年。</w:t>
      </w:r>
    </w:p>
    <w:p w14:paraId="4DF6B001">
      <w:pPr>
        <w:spacing w:before="181" w:line="359" w:lineRule="auto"/>
        <w:ind w:left="22" w:right="2" w:firstLine="460"/>
        <w:rPr>
          <w:rFonts w:ascii="宋体" w:hAnsi="宋体" w:eastAsia="宋体" w:cs="宋体"/>
          <w:sz w:val="24"/>
          <w:szCs w:val="24"/>
        </w:rPr>
      </w:pPr>
      <w:r>
        <w:rPr>
          <w:rFonts w:ascii="宋体" w:hAnsi="宋体" w:eastAsia="宋体" w:cs="宋体"/>
          <w:spacing w:val="-8"/>
          <w:sz w:val="24"/>
          <w:szCs w:val="24"/>
        </w:rPr>
        <w:t>重现期</w:t>
      </w:r>
      <w:r>
        <w:rPr>
          <w:rFonts w:ascii="宋体" w:hAnsi="宋体" w:eastAsia="宋体" w:cs="宋体"/>
          <w:spacing w:val="-54"/>
          <w:sz w:val="24"/>
          <w:szCs w:val="24"/>
        </w:rPr>
        <w:t xml:space="preserve"> </w:t>
      </w:r>
      <w:r>
        <w:rPr>
          <w:rFonts w:ascii="Times New Roman" w:hAnsi="Times New Roman" w:eastAsia="Times New Roman" w:cs="Times New Roman"/>
          <w:spacing w:val="-8"/>
          <w:sz w:val="24"/>
          <w:szCs w:val="24"/>
        </w:rPr>
        <w:t xml:space="preserve">P </w:t>
      </w:r>
      <w:r>
        <w:rPr>
          <w:rFonts w:ascii="宋体" w:hAnsi="宋体" w:eastAsia="宋体" w:cs="宋体"/>
          <w:spacing w:val="-8"/>
          <w:sz w:val="24"/>
          <w:szCs w:val="24"/>
        </w:rPr>
        <w:t>取</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年，降雨历时取</w:t>
      </w:r>
      <w:r>
        <w:rPr>
          <w:rFonts w:ascii="宋体" w:hAnsi="宋体" w:eastAsia="宋体" w:cs="宋体"/>
          <w:spacing w:val="-57"/>
          <w:sz w:val="24"/>
          <w:szCs w:val="24"/>
        </w:rPr>
        <w:t xml:space="preserve"> </w:t>
      </w:r>
      <w:r>
        <w:rPr>
          <w:rFonts w:ascii="Times New Roman" w:hAnsi="Times New Roman" w:eastAsia="Times New Roman" w:cs="Times New Roman"/>
          <w:spacing w:val="-8"/>
          <w:sz w:val="24"/>
          <w:szCs w:val="24"/>
        </w:rPr>
        <w:t>2h</w:t>
      </w:r>
      <w:r>
        <w:rPr>
          <w:rFonts w:ascii="宋体" w:hAnsi="宋体" w:eastAsia="宋体" w:cs="宋体"/>
          <w:spacing w:val="-8"/>
          <w:sz w:val="24"/>
          <w:szCs w:val="24"/>
        </w:rPr>
        <w:t>（即</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120min</w:t>
      </w:r>
      <w:r>
        <w:rPr>
          <w:rFonts w:ascii="宋体" w:hAnsi="宋体" w:eastAsia="宋体" w:cs="宋体"/>
          <w:spacing w:val="-44"/>
          <w:w w:val="69"/>
          <w:sz w:val="24"/>
          <w:szCs w:val="24"/>
        </w:rPr>
        <w:t>），</w:t>
      </w:r>
      <w:r>
        <w:rPr>
          <w:rFonts w:ascii="宋体" w:hAnsi="宋体" w:eastAsia="宋体" w:cs="宋体"/>
          <w:spacing w:val="-8"/>
          <w:sz w:val="24"/>
          <w:szCs w:val="24"/>
        </w:rPr>
        <w:t>计算得汕尾市暴雨强度为</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103.08L/s</w:t>
      </w:r>
      <w:r>
        <w:rPr>
          <w:rFonts w:ascii="Times New Roman" w:hAnsi="Times New Roman" w:eastAsia="Times New Roman" w:cs="Times New Roman"/>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ha</w:t>
      </w:r>
      <w:r>
        <w:rPr>
          <w:rFonts w:ascii="宋体" w:hAnsi="宋体" w:eastAsia="宋体" w:cs="宋体"/>
          <w:spacing w:val="-8"/>
          <w:sz w:val="24"/>
          <w:szCs w:val="24"/>
        </w:rPr>
        <w:t>。</w:t>
      </w:r>
    </w:p>
    <w:p w14:paraId="0E1E90AE">
      <w:pPr>
        <w:spacing w:before="3" w:line="347" w:lineRule="auto"/>
        <w:ind w:left="4" w:firstLine="480"/>
        <w:jc w:val="both"/>
        <w:rPr>
          <w:rFonts w:ascii="宋体" w:hAnsi="宋体" w:eastAsia="宋体" w:cs="宋体"/>
          <w:sz w:val="24"/>
          <w:szCs w:val="24"/>
        </w:rPr>
      </w:pPr>
      <w:r>
        <w:rPr>
          <w:rFonts w:ascii="宋体" w:hAnsi="宋体" w:eastAsia="宋体" w:cs="宋体"/>
          <w:spacing w:val="-3"/>
          <w:sz w:val="24"/>
          <w:szCs w:val="24"/>
        </w:rPr>
        <w:t>项目所在厂区总占地面积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12625</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㎡为汇水面积，取前</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15min</w:t>
      </w:r>
      <w:r>
        <w:rPr>
          <w:rFonts w:ascii="宋体" w:hAnsi="宋体" w:eastAsia="宋体" w:cs="宋体"/>
          <w:spacing w:val="-3"/>
          <w:sz w:val="24"/>
          <w:szCs w:val="24"/>
        </w:rPr>
        <w:t>（即</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900s</w:t>
      </w:r>
      <w:r>
        <w:rPr>
          <w:rFonts w:ascii="宋体" w:hAnsi="宋体" w:eastAsia="宋体" w:cs="宋体"/>
          <w:spacing w:val="-3"/>
          <w:sz w:val="24"/>
          <w:szCs w:val="24"/>
        </w:rPr>
        <w:t>）的雨水全</w:t>
      </w:r>
      <w:r>
        <w:rPr>
          <w:rFonts w:ascii="宋体" w:hAnsi="宋体" w:eastAsia="宋体" w:cs="宋体"/>
          <w:sz w:val="24"/>
          <w:szCs w:val="24"/>
        </w:rPr>
        <w:t xml:space="preserve"> </w:t>
      </w:r>
      <w:r>
        <w:rPr>
          <w:rFonts w:ascii="宋体" w:hAnsi="宋体" w:eastAsia="宋体" w:cs="宋体"/>
          <w:spacing w:val="-4"/>
          <w:sz w:val="24"/>
          <w:szCs w:val="24"/>
        </w:rPr>
        <w:t>部作为事件期间的暴雨水，求得产生量为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12m</w:t>
      </w:r>
      <w:r>
        <w:rPr>
          <w:rFonts w:ascii="宋体" w:hAnsi="宋体" w:eastAsia="宋体" w:cs="宋体"/>
          <w:spacing w:val="-4"/>
          <w:sz w:val="24"/>
          <w:szCs w:val="24"/>
        </w:rPr>
        <w:t>³；项目应</w:t>
      </w:r>
      <w:r>
        <w:rPr>
          <w:rFonts w:ascii="宋体" w:hAnsi="宋体" w:eastAsia="宋体" w:cs="宋体"/>
          <w:spacing w:val="-5"/>
          <w:sz w:val="24"/>
          <w:szCs w:val="24"/>
        </w:rPr>
        <w:t>在用地范围雨水排放口前</w:t>
      </w:r>
      <w:r>
        <w:rPr>
          <w:rFonts w:ascii="宋体" w:hAnsi="宋体" w:eastAsia="宋体" w:cs="宋体"/>
          <w:sz w:val="24"/>
          <w:szCs w:val="24"/>
        </w:rPr>
        <w:t xml:space="preserve"> </w:t>
      </w:r>
      <w:r>
        <w:rPr>
          <w:rFonts w:ascii="宋体" w:hAnsi="宋体" w:eastAsia="宋体" w:cs="宋体"/>
          <w:spacing w:val="-1"/>
          <w:sz w:val="24"/>
          <w:szCs w:val="24"/>
        </w:rPr>
        <w:t>设置截止阀，将事故发生时的雨水截流进入项目事故应急池。</w:t>
      </w:r>
    </w:p>
    <w:p w14:paraId="55494665">
      <w:pPr>
        <w:spacing w:before="3" w:line="366" w:lineRule="auto"/>
        <w:ind w:left="2" w:firstLine="481"/>
        <w:jc w:val="both"/>
        <w:rPr>
          <w:rFonts w:ascii="宋体" w:hAnsi="宋体" w:eastAsia="宋体" w:cs="宋体"/>
          <w:sz w:val="24"/>
          <w:szCs w:val="24"/>
        </w:rPr>
      </w:pPr>
      <w:r>
        <w:rPr>
          <w:rFonts w:ascii="宋体" w:hAnsi="宋体" w:eastAsia="宋体" w:cs="宋体"/>
          <w:sz w:val="24"/>
          <w:szCs w:val="24"/>
        </w:rPr>
        <w:t>综上分析，</w:t>
      </w:r>
      <w:r>
        <w:rPr>
          <w:rFonts w:ascii="Times New Roman" w:hAnsi="Times New Roman" w:eastAsia="Times New Roman" w:cs="Times New Roman"/>
          <w:sz w:val="24"/>
          <w:szCs w:val="24"/>
        </w:rPr>
        <w:t>V</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总</w:t>
      </w:r>
      <w:r>
        <w:rPr>
          <w:rFonts w:ascii="Times New Roman" w:hAnsi="Times New Roman" w:eastAsia="Times New Roman" w:cs="Times New Roman"/>
          <w:sz w:val="24"/>
          <w:szCs w:val="24"/>
        </w:rPr>
        <w:t>=</w:t>
      </w:r>
      <w:r>
        <w:rPr>
          <w:rFonts w:ascii="宋体" w:hAnsi="宋体" w:eastAsia="宋体" w:cs="宋体"/>
          <w:sz w:val="24"/>
          <w:szCs w:val="24"/>
        </w:rPr>
        <w:t>（</w:t>
      </w:r>
      <w:r>
        <w:rPr>
          <w:rFonts w:ascii="Times New Roman" w:hAnsi="Times New Roman" w:eastAsia="Times New Roman" w:cs="Times New Roman"/>
          <w:sz w:val="24"/>
          <w:szCs w:val="24"/>
        </w:rPr>
        <w:t>67.4+288-311.2</w:t>
      </w:r>
      <w:r>
        <w:rPr>
          <w:rFonts w:ascii="宋体" w:hAnsi="宋体" w:eastAsia="宋体" w:cs="宋体"/>
          <w:sz w:val="24"/>
          <w:szCs w:val="24"/>
        </w:rPr>
        <w:t>）</w:t>
      </w:r>
      <w:r>
        <w:rPr>
          <w:rFonts w:ascii="Times New Roman" w:hAnsi="Times New Roman" w:eastAsia="Times New Roman" w:cs="Times New Roman"/>
          <w:sz w:val="24"/>
          <w:szCs w:val="24"/>
        </w:rPr>
        <w:t>max+600+11</w:t>
      </w:r>
      <w:r>
        <w:rPr>
          <w:rFonts w:ascii="Times New Roman" w:hAnsi="Times New Roman" w:eastAsia="Times New Roman" w:cs="Times New Roman"/>
          <w:spacing w:val="-1"/>
          <w:sz w:val="24"/>
          <w:szCs w:val="24"/>
        </w:rPr>
        <w:t>7.12=761.32m</w:t>
      </w:r>
      <w:r>
        <w:rPr>
          <w:rFonts w:ascii="宋体" w:hAnsi="宋体" w:eastAsia="宋体" w:cs="宋体"/>
          <w:spacing w:val="-1"/>
          <w:sz w:val="24"/>
          <w:szCs w:val="24"/>
        </w:rPr>
        <w:t>³</w:t>
      </w:r>
      <w:r>
        <w:rPr>
          <w:rFonts w:ascii="宋体" w:hAnsi="宋体" w:eastAsia="宋体" w:cs="宋体"/>
          <w:spacing w:val="-85"/>
          <w:sz w:val="24"/>
          <w:szCs w:val="24"/>
        </w:rPr>
        <w:t xml:space="preserve"> </w:t>
      </w:r>
      <w:r>
        <w:rPr>
          <w:rFonts w:ascii="宋体" w:hAnsi="宋体" w:eastAsia="宋体" w:cs="宋体"/>
          <w:spacing w:val="-1"/>
          <w:sz w:val="24"/>
          <w:szCs w:val="24"/>
        </w:rPr>
        <w:t>。本项目需配套</w:t>
      </w:r>
      <w:r>
        <w:rPr>
          <w:rFonts w:ascii="宋体" w:hAnsi="宋体" w:eastAsia="宋体" w:cs="宋体"/>
          <w:sz w:val="24"/>
          <w:szCs w:val="24"/>
        </w:rPr>
        <w:t xml:space="preserve"> </w:t>
      </w:r>
      <w:r>
        <w:rPr>
          <w:rFonts w:ascii="宋体" w:hAnsi="宋体" w:eastAsia="宋体" w:cs="宋体"/>
          <w:spacing w:val="-2"/>
          <w:sz w:val="24"/>
          <w:szCs w:val="24"/>
        </w:rPr>
        <w:t>建设有效容积</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800m</w:t>
      </w:r>
      <w:r>
        <w:rPr>
          <w:rFonts w:ascii="宋体" w:hAnsi="宋体" w:eastAsia="宋体" w:cs="宋体"/>
          <w:spacing w:val="-2"/>
          <w:sz w:val="24"/>
          <w:szCs w:val="24"/>
        </w:rPr>
        <w:t>³</w:t>
      </w:r>
      <w:r>
        <w:rPr>
          <w:rFonts w:ascii="宋体" w:hAnsi="宋体" w:eastAsia="宋体" w:cs="宋体"/>
          <w:spacing w:val="-90"/>
          <w:sz w:val="24"/>
          <w:szCs w:val="24"/>
        </w:rPr>
        <w:t xml:space="preserve"> </w:t>
      </w:r>
      <w:r>
        <w:rPr>
          <w:rFonts w:ascii="宋体" w:hAnsi="宋体" w:eastAsia="宋体" w:cs="宋体"/>
          <w:spacing w:val="-2"/>
          <w:sz w:val="24"/>
          <w:szCs w:val="24"/>
        </w:rPr>
        <w:t>的事故应急池，位</w:t>
      </w:r>
      <w:r>
        <w:rPr>
          <w:rFonts w:ascii="宋体" w:hAnsi="宋体" w:eastAsia="宋体" w:cs="宋体"/>
          <w:spacing w:val="-3"/>
          <w:sz w:val="24"/>
          <w:szCs w:val="24"/>
        </w:rPr>
        <w:t>于负一层，车间和化学品仓库的水和泄漏液均</w:t>
      </w:r>
      <w:r>
        <w:rPr>
          <w:rFonts w:ascii="宋体" w:hAnsi="宋体" w:eastAsia="宋体" w:cs="宋体"/>
          <w:sz w:val="24"/>
          <w:szCs w:val="24"/>
        </w:rPr>
        <w:t xml:space="preserve"> </w:t>
      </w:r>
      <w:r>
        <w:rPr>
          <w:rFonts w:ascii="宋体" w:hAnsi="宋体" w:eastAsia="宋体" w:cs="宋体"/>
          <w:spacing w:val="-1"/>
          <w:sz w:val="24"/>
          <w:szCs w:val="24"/>
        </w:rPr>
        <w:t>可通过重力流，汇入应急池。因此，本项目的应急池，</w:t>
      </w:r>
      <w:r>
        <w:rPr>
          <w:rFonts w:ascii="宋体" w:hAnsi="宋体" w:eastAsia="宋体" w:cs="宋体"/>
          <w:spacing w:val="-2"/>
          <w:sz w:val="24"/>
          <w:szCs w:val="24"/>
        </w:rPr>
        <w:t>从池体大小、防腐措施和收集</w:t>
      </w:r>
      <w:r>
        <w:rPr>
          <w:rFonts w:ascii="宋体" w:hAnsi="宋体" w:eastAsia="宋体" w:cs="宋体"/>
          <w:sz w:val="24"/>
          <w:szCs w:val="24"/>
        </w:rPr>
        <w:t xml:space="preserve"> </w:t>
      </w:r>
      <w:r>
        <w:rPr>
          <w:rFonts w:ascii="宋体" w:hAnsi="宋体" w:eastAsia="宋体" w:cs="宋体"/>
          <w:spacing w:val="-2"/>
          <w:sz w:val="24"/>
          <w:szCs w:val="24"/>
        </w:rPr>
        <w:t>方式，均合理可行。</w:t>
      </w:r>
    </w:p>
    <w:p w14:paraId="50DBAFA2">
      <w:pPr>
        <w:spacing w:before="7" w:line="219" w:lineRule="auto"/>
        <w:ind w:left="1"/>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6.3 </w:t>
      </w:r>
      <w:r>
        <w:rPr>
          <w:rFonts w:ascii="宋体" w:hAnsi="宋体" w:eastAsia="宋体" w:cs="宋体"/>
          <w:b/>
          <w:bCs/>
          <w:spacing w:val="-2"/>
          <w:sz w:val="24"/>
          <w:szCs w:val="24"/>
        </w:rPr>
        <w:t>地下水环境影响风险分析</w:t>
      </w:r>
    </w:p>
    <w:p w14:paraId="27E0BF99">
      <w:pPr>
        <w:spacing w:before="177" w:line="360" w:lineRule="auto"/>
        <w:ind w:firstLine="485"/>
        <w:jc w:val="both"/>
        <w:rPr>
          <w:rFonts w:ascii="宋体" w:hAnsi="宋体" w:eastAsia="宋体" w:cs="宋体"/>
          <w:sz w:val="24"/>
          <w:szCs w:val="24"/>
        </w:rPr>
      </w:pPr>
      <w:r>
        <w:rPr>
          <w:rFonts w:ascii="宋体" w:hAnsi="宋体" w:eastAsia="宋体" w:cs="宋体"/>
          <w:spacing w:val="-1"/>
          <w:sz w:val="24"/>
          <w:szCs w:val="24"/>
        </w:rPr>
        <w:t>项目生产车间、化学品仓库和危废暂存间按</w:t>
      </w:r>
      <w:r>
        <w:rPr>
          <w:rFonts w:ascii="宋体" w:hAnsi="宋体" w:eastAsia="宋体" w:cs="宋体"/>
          <w:spacing w:val="-2"/>
          <w:sz w:val="24"/>
          <w:szCs w:val="24"/>
        </w:rPr>
        <w:t>照堆存固废的性质严格按照《危险废</w:t>
      </w:r>
      <w:r>
        <w:rPr>
          <w:rFonts w:ascii="宋体" w:hAnsi="宋体" w:eastAsia="宋体" w:cs="宋体"/>
          <w:sz w:val="24"/>
          <w:szCs w:val="24"/>
        </w:rPr>
        <w:t xml:space="preserve"> 物贮存污染控制标准》（</w:t>
      </w:r>
      <w:r>
        <w:rPr>
          <w:rFonts w:ascii="Times New Roman" w:hAnsi="Times New Roman" w:eastAsia="Times New Roman" w:cs="Times New Roman"/>
          <w:sz w:val="24"/>
          <w:szCs w:val="24"/>
        </w:rPr>
        <w:t>GB18597</w:t>
      </w:r>
      <w:r>
        <w:rPr>
          <w:rFonts w:ascii="宋体" w:hAnsi="宋体" w:eastAsia="宋体" w:cs="宋体"/>
          <w:sz w:val="24"/>
          <w:szCs w:val="24"/>
        </w:rPr>
        <w:t>—</w:t>
      </w:r>
      <w:r>
        <w:rPr>
          <w:rFonts w:ascii="Times New Roman" w:hAnsi="Times New Roman" w:eastAsia="Times New Roman" w:cs="Times New Roman"/>
          <w:sz w:val="24"/>
          <w:szCs w:val="24"/>
        </w:rPr>
        <w:t>20</w:t>
      </w:r>
      <w:r>
        <w:rPr>
          <w:rFonts w:ascii="Times New Roman" w:hAnsi="Times New Roman" w:eastAsia="Times New Roman" w:cs="Times New Roman"/>
          <w:spacing w:val="-1"/>
          <w:sz w:val="24"/>
          <w:szCs w:val="24"/>
        </w:rPr>
        <w:t>23</w:t>
      </w:r>
      <w:r>
        <w:rPr>
          <w:rFonts w:ascii="宋体" w:hAnsi="宋体" w:eastAsia="宋体" w:cs="宋体"/>
          <w:spacing w:val="-1"/>
          <w:sz w:val="24"/>
          <w:szCs w:val="24"/>
        </w:rPr>
        <w:t>）或《一般工业固体废物贮存、处理场污染</w:t>
      </w:r>
      <w:r>
        <w:rPr>
          <w:rFonts w:ascii="宋体" w:hAnsi="宋体" w:eastAsia="宋体" w:cs="宋体"/>
          <w:sz w:val="24"/>
          <w:szCs w:val="24"/>
        </w:rPr>
        <w:t xml:space="preserve"> 控制标准》（</w:t>
      </w:r>
      <w:r>
        <w:rPr>
          <w:rFonts w:ascii="Times New Roman" w:hAnsi="Times New Roman" w:eastAsia="Times New Roman" w:cs="Times New Roman"/>
          <w:sz w:val="24"/>
          <w:szCs w:val="24"/>
        </w:rPr>
        <w:t>GB18599-2013</w:t>
      </w:r>
      <w:r>
        <w:rPr>
          <w:rFonts w:ascii="宋体" w:hAnsi="宋体" w:eastAsia="宋体" w:cs="宋体"/>
          <w:sz w:val="24"/>
          <w:szCs w:val="24"/>
        </w:rPr>
        <w:t>）及修改单以及《关于发布</w:t>
      </w:r>
      <w:r>
        <w:rPr>
          <w:rFonts w:ascii="Times New Roman" w:hAnsi="Times New Roman" w:eastAsia="Times New Roman" w:cs="Times New Roman"/>
          <w:sz w:val="24"/>
          <w:szCs w:val="24"/>
        </w:rPr>
        <w:t>&lt;</w:t>
      </w:r>
      <w:r>
        <w:rPr>
          <w:rFonts w:ascii="宋体" w:hAnsi="宋体" w:eastAsia="宋体" w:cs="宋体"/>
          <w:sz w:val="24"/>
          <w:szCs w:val="24"/>
        </w:rPr>
        <w:t>一般工业固体废物贮存、处</w:t>
      </w:r>
      <w:r>
        <w:rPr>
          <w:rFonts w:ascii="宋体" w:hAnsi="宋体" w:eastAsia="宋体" w:cs="宋体"/>
          <w:spacing w:val="4"/>
          <w:sz w:val="24"/>
          <w:szCs w:val="24"/>
        </w:rPr>
        <w:t xml:space="preserve"> </w:t>
      </w:r>
      <w:r>
        <w:rPr>
          <w:rFonts w:ascii="宋体" w:hAnsi="宋体" w:eastAsia="宋体" w:cs="宋体"/>
          <w:spacing w:val="-6"/>
          <w:sz w:val="24"/>
          <w:szCs w:val="24"/>
        </w:rPr>
        <w:t>置场污染控制标准</w:t>
      </w:r>
      <w:r>
        <w:rPr>
          <w:rFonts w:ascii="Times New Roman" w:hAnsi="Times New Roman" w:eastAsia="Times New Roman" w:cs="Times New Roman"/>
          <w:spacing w:val="-6"/>
          <w:sz w:val="24"/>
          <w:szCs w:val="24"/>
        </w:rPr>
        <w:t>&gt;</w:t>
      </w:r>
      <w:r>
        <w:rPr>
          <w:rFonts w:ascii="宋体" w:hAnsi="宋体" w:eastAsia="宋体" w:cs="宋体"/>
          <w:spacing w:val="-6"/>
          <w:sz w:val="24"/>
          <w:szCs w:val="24"/>
        </w:rPr>
        <w:t>（</w:t>
      </w:r>
      <w:r>
        <w:rPr>
          <w:rFonts w:ascii="Times New Roman" w:hAnsi="Times New Roman" w:eastAsia="Times New Roman" w:cs="Times New Roman"/>
          <w:spacing w:val="-6"/>
          <w:sz w:val="24"/>
          <w:szCs w:val="24"/>
        </w:rPr>
        <w:t>GB18599-2001</w:t>
      </w:r>
      <w:r>
        <w:rPr>
          <w:rFonts w:ascii="宋体" w:hAnsi="宋体" w:eastAsia="宋体" w:cs="宋体"/>
          <w:spacing w:val="-6"/>
          <w:sz w:val="24"/>
          <w:szCs w:val="24"/>
        </w:rPr>
        <w:t>）等</w:t>
      </w:r>
      <w:r>
        <w:rPr>
          <w:rFonts w:ascii="宋体" w:hAnsi="宋体" w:eastAsia="宋体" w:cs="宋体"/>
          <w:spacing w:val="-43"/>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项国家污染物控制标准修改单的公告》（环</w:t>
      </w:r>
      <w:r>
        <w:rPr>
          <w:rFonts w:ascii="宋体" w:hAnsi="宋体" w:eastAsia="宋体" w:cs="宋体"/>
          <w:sz w:val="24"/>
          <w:szCs w:val="24"/>
        </w:rPr>
        <w:t xml:space="preserve"> 境保护部公告</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2013 </w:t>
      </w:r>
      <w:r>
        <w:rPr>
          <w:rFonts w:ascii="宋体" w:hAnsi="宋体" w:eastAsia="宋体" w:cs="宋体"/>
          <w:sz w:val="24"/>
          <w:szCs w:val="24"/>
        </w:rPr>
        <w:t>年第</w:t>
      </w:r>
      <w:r>
        <w:rPr>
          <w:rFonts w:ascii="Times New Roman" w:hAnsi="Times New Roman" w:eastAsia="Times New Roman" w:cs="Times New Roman"/>
          <w:sz w:val="24"/>
          <w:szCs w:val="24"/>
        </w:rPr>
        <w:t>36</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号）的相关要求采取污染防渗措施。厂区内的</w:t>
      </w:r>
      <w:r>
        <w:rPr>
          <w:rFonts w:ascii="宋体" w:hAnsi="宋体" w:eastAsia="宋体" w:cs="宋体"/>
          <w:spacing w:val="-1"/>
          <w:sz w:val="24"/>
          <w:szCs w:val="24"/>
        </w:rPr>
        <w:t>生活垃圾临</w:t>
      </w:r>
      <w:r>
        <w:rPr>
          <w:rFonts w:ascii="宋体" w:hAnsi="宋体" w:eastAsia="宋体" w:cs="宋体"/>
          <w:sz w:val="24"/>
          <w:szCs w:val="24"/>
        </w:rPr>
        <w:t xml:space="preserve"> </w:t>
      </w:r>
      <w:r>
        <w:rPr>
          <w:rFonts w:ascii="宋体" w:hAnsi="宋体" w:eastAsia="宋体" w:cs="宋体"/>
          <w:spacing w:val="-1"/>
          <w:sz w:val="24"/>
          <w:szCs w:val="24"/>
        </w:rPr>
        <w:t>时堆放场地基础采取混凝土硬化的防渗措施并搭建防雨顶棚。在采</w:t>
      </w:r>
      <w:r>
        <w:rPr>
          <w:rFonts w:ascii="宋体" w:hAnsi="宋体" w:eastAsia="宋体" w:cs="宋体"/>
          <w:spacing w:val="-2"/>
          <w:sz w:val="24"/>
          <w:szCs w:val="24"/>
        </w:rPr>
        <w:t>取上述有效污染渗</w:t>
      </w:r>
      <w:r>
        <w:rPr>
          <w:rFonts w:ascii="宋体" w:hAnsi="宋体" w:eastAsia="宋体" w:cs="宋体"/>
          <w:sz w:val="24"/>
          <w:szCs w:val="24"/>
        </w:rPr>
        <w:t xml:space="preserve"> </w:t>
      </w:r>
      <w:r>
        <w:rPr>
          <w:rFonts w:ascii="宋体" w:hAnsi="宋体" w:eastAsia="宋体" w:cs="宋体"/>
          <w:spacing w:val="-1"/>
          <w:sz w:val="24"/>
          <w:szCs w:val="24"/>
        </w:rPr>
        <w:t>漏防控措施后，正常工况下项目的运营不会对区域浅层地下水环境</w:t>
      </w:r>
      <w:r>
        <w:rPr>
          <w:rFonts w:ascii="宋体" w:hAnsi="宋体" w:eastAsia="宋体" w:cs="宋体"/>
          <w:spacing w:val="-2"/>
          <w:sz w:val="24"/>
          <w:szCs w:val="24"/>
        </w:rPr>
        <w:t>产生不良影响。建</w:t>
      </w:r>
      <w:r>
        <w:rPr>
          <w:rFonts w:ascii="宋体" w:hAnsi="宋体" w:eastAsia="宋体" w:cs="宋体"/>
          <w:sz w:val="24"/>
          <w:szCs w:val="24"/>
        </w:rPr>
        <w:t xml:space="preserve"> </w:t>
      </w:r>
      <w:r>
        <w:rPr>
          <w:rFonts w:ascii="宋体" w:hAnsi="宋体" w:eastAsia="宋体" w:cs="宋体"/>
          <w:spacing w:val="-1"/>
          <w:sz w:val="24"/>
          <w:szCs w:val="24"/>
        </w:rPr>
        <w:t>设单位需在建设完善场地防渗措施的基础上，应建立完善的生产和</w:t>
      </w:r>
      <w:r>
        <w:rPr>
          <w:rFonts w:ascii="宋体" w:hAnsi="宋体" w:eastAsia="宋体" w:cs="宋体"/>
          <w:spacing w:val="-2"/>
          <w:sz w:val="24"/>
          <w:szCs w:val="24"/>
        </w:rPr>
        <w:t>治污设施、化学品</w:t>
      </w:r>
    </w:p>
    <w:p w14:paraId="7DE0D5F7">
      <w:pPr>
        <w:spacing w:line="360" w:lineRule="auto"/>
        <w:rPr>
          <w:rFonts w:ascii="宋体" w:hAnsi="宋体" w:eastAsia="宋体" w:cs="宋体"/>
          <w:sz w:val="24"/>
          <w:szCs w:val="24"/>
        </w:rPr>
        <w:sectPr>
          <w:footerReference r:id="rId159" w:type="default"/>
          <w:pgSz w:w="11906" w:h="16839"/>
          <w:pgMar w:top="400" w:right="1530" w:bottom="1127" w:left="1538" w:header="0" w:footer="965" w:gutter="0"/>
          <w:cols w:space="720" w:num="1"/>
        </w:sectPr>
      </w:pPr>
    </w:p>
    <w:p w14:paraId="024A4FF9">
      <w:pPr>
        <w:spacing w:line="249" w:lineRule="auto"/>
        <w:rPr>
          <w:rFonts w:ascii="Arial"/>
          <w:sz w:val="21"/>
        </w:rPr>
      </w:pPr>
    </w:p>
    <w:p w14:paraId="702FA8AC">
      <w:pPr>
        <w:spacing w:line="250" w:lineRule="auto"/>
        <w:rPr>
          <w:rFonts w:ascii="Arial"/>
          <w:sz w:val="21"/>
        </w:rPr>
      </w:pPr>
    </w:p>
    <w:p w14:paraId="45EE0E01">
      <w:pPr>
        <w:spacing w:line="250" w:lineRule="auto"/>
        <w:rPr>
          <w:rFonts w:ascii="Arial"/>
          <w:sz w:val="21"/>
        </w:rPr>
      </w:pPr>
    </w:p>
    <w:p w14:paraId="2B39DF9E">
      <w:pPr>
        <w:spacing w:line="250" w:lineRule="auto"/>
        <w:rPr>
          <w:rFonts w:ascii="Arial"/>
          <w:sz w:val="21"/>
        </w:rPr>
      </w:pPr>
    </w:p>
    <w:p w14:paraId="31DF0538">
      <w:pPr>
        <w:spacing w:line="250" w:lineRule="auto"/>
        <w:rPr>
          <w:rFonts w:ascii="Arial"/>
          <w:sz w:val="21"/>
        </w:rPr>
      </w:pPr>
    </w:p>
    <w:p w14:paraId="306AB498">
      <w:pPr>
        <w:spacing w:before="78" w:line="359" w:lineRule="auto"/>
        <w:ind w:left="2" w:right="80" w:hanging="2"/>
        <w:jc w:val="both"/>
        <w:rPr>
          <w:rFonts w:ascii="宋体" w:hAnsi="宋体" w:eastAsia="宋体" w:cs="宋体"/>
          <w:sz w:val="24"/>
          <w:szCs w:val="24"/>
        </w:rPr>
      </w:pPr>
      <w:r>
        <w:rPr>
          <w:rFonts w:ascii="宋体" w:hAnsi="宋体" w:eastAsia="宋体" w:cs="宋体"/>
          <w:spacing w:val="-1"/>
          <w:sz w:val="24"/>
          <w:szCs w:val="24"/>
        </w:rPr>
        <w:t>仓库、危废暂存间的定期巡检和检修制度和事故应急处置制度，</w:t>
      </w:r>
      <w:r>
        <w:rPr>
          <w:rFonts w:ascii="宋体" w:hAnsi="宋体" w:eastAsia="宋体" w:cs="宋体"/>
          <w:spacing w:val="-2"/>
          <w:sz w:val="24"/>
          <w:szCs w:val="24"/>
        </w:rPr>
        <w:t>通过定期巡检及时发</w:t>
      </w:r>
      <w:r>
        <w:rPr>
          <w:rFonts w:ascii="宋体" w:hAnsi="宋体" w:eastAsia="宋体" w:cs="宋体"/>
          <w:sz w:val="24"/>
          <w:szCs w:val="24"/>
        </w:rPr>
        <w:t xml:space="preserve"> </w:t>
      </w:r>
      <w:r>
        <w:rPr>
          <w:rFonts w:ascii="宋体" w:hAnsi="宋体" w:eastAsia="宋体" w:cs="宋体"/>
          <w:spacing w:val="-1"/>
          <w:sz w:val="24"/>
          <w:szCs w:val="24"/>
        </w:rPr>
        <w:t>现事故渗漏并进行有效的修复和渗漏防控。确保一旦发现</w:t>
      </w:r>
      <w:r>
        <w:rPr>
          <w:rFonts w:ascii="宋体" w:hAnsi="宋体" w:eastAsia="宋体" w:cs="宋体"/>
          <w:spacing w:val="-2"/>
          <w:sz w:val="24"/>
          <w:szCs w:val="24"/>
        </w:rPr>
        <w:t>存在滴漏渗漏的情况，必须</w:t>
      </w:r>
      <w:r>
        <w:rPr>
          <w:rFonts w:ascii="宋体" w:hAnsi="宋体" w:eastAsia="宋体" w:cs="宋体"/>
          <w:sz w:val="24"/>
          <w:szCs w:val="24"/>
        </w:rPr>
        <w:t xml:space="preserve"> 马上采取补救措施。确保高浓度废水事故情况下能</w:t>
      </w:r>
      <w:r>
        <w:rPr>
          <w:rFonts w:ascii="宋体" w:hAnsi="宋体" w:eastAsia="宋体" w:cs="宋体"/>
          <w:spacing w:val="-1"/>
          <w:sz w:val="24"/>
          <w:szCs w:val="24"/>
        </w:rPr>
        <w:t>及时处置，不泄漏进入环境。</w:t>
      </w:r>
    </w:p>
    <w:p w14:paraId="7E4CB262">
      <w:pPr>
        <w:spacing w:line="220"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7  </w:t>
      </w:r>
      <w:r>
        <w:rPr>
          <w:rFonts w:ascii="宋体" w:hAnsi="宋体" w:eastAsia="宋体" w:cs="宋体"/>
          <w:b/>
          <w:bCs/>
          <w:spacing w:val="-2"/>
          <w:sz w:val="24"/>
          <w:szCs w:val="24"/>
        </w:rPr>
        <w:t>风险事故防范措施</w:t>
      </w:r>
    </w:p>
    <w:p w14:paraId="7AF39B24">
      <w:pPr>
        <w:spacing w:before="18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7.1  </w:t>
      </w:r>
      <w:r>
        <w:rPr>
          <w:rFonts w:ascii="宋体" w:hAnsi="宋体" w:eastAsia="宋体" w:cs="宋体"/>
          <w:b/>
          <w:bCs/>
          <w:spacing w:val="-2"/>
          <w:sz w:val="24"/>
          <w:szCs w:val="24"/>
        </w:rPr>
        <w:t>总图布置和建筑安全防范措施</w:t>
      </w:r>
    </w:p>
    <w:p w14:paraId="112751F3">
      <w:pPr>
        <w:spacing w:before="184" w:line="289" w:lineRule="auto"/>
        <w:ind w:left="1" w:right="82"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）各建筑物间的防火间距均按要求设置，道路按规</w:t>
      </w:r>
      <w:r>
        <w:rPr>
          <w:rFonts w:ascii="宋体" w:hAnsi="宋体" w:eastAsia="宋体" w:cs="宋体"/>
          <w:spacing w:val="1"/>
          <w:sz w:val="24"/>
          <w:szCs w:val="24"/>
        </w:rPr>
        <w:t>范预留，保证消防车辆畅</w:t>
      </w:r>
      <w:r>
        <w:rPr>
          <w:rFonts w:ascii="宋体" w:hAnsi="宋体" w:eastAsia="宋体" w:cs="宋体"/>
          <w:sz w:val="24"/>
          <w:szCs w:val="24"/>
        </w:rPr>
        <w:t xml:space="preserve"> </w:t>
      </w:r>
      <w:r>
        <w:rPr>
          <w:rFonts w:ascii="宋体" w:hAnsi="宋体" w:eastAsia="宋体" w:cs="宋体"/>
          <w:spacing w:val="-3"/>
          <w:sz w:val="24"/>
          <w:szCs w:val="24"/>
        </w:rPr>
        <w:t>通无阻。</w:t>
      </w:r>
    </w:p>
    <w:p w14:paraId="0C52435D">
      <w:pPr>
        <w:spacing w:before="182" w:line="289" w:lineRule="auto"/>
        <w:ind w:left="2" w:right="80"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）化学品是进出库按管理要求记录台账，工作人员需配套</w:t>
      </w:r>
      <w:r>
        <w:rPr>
          <w:rFonts w:ascii="宋体" w:hAnsi="宋体" w:eastAsia="宋体" w:cs="宋体"/>
          <w:spacing w:val="1"/>
          <w:sz w:val="24"/>
          <w:szCs w:val="24"/>
        </w:rPr>
        <w:t>安全劳保用具，按</w:t>
      </w:r>
      <w:r>
        <w:rPr>
          <w:rFonts w:ascii="宋体" w:hAnsi="宋体" w:eastAsia="宋体" w:cs="宋体"/>
          <w:sz w:val="24"/>
          <w:szCs w:val="24"/>
        </w:rPr>
        <w:t xml:space="preserve"> </w:t>
      </w:r>
      <w:r>
        <w:rPr>
          <w:rFonts w:ascii="宋体" w:hAnsi="宋体" w:eastAsia="宋体" w:cs="宋体"/>
          <w:spacing w:val="-2"/>
          <w:sz w:val="24"/>
          <w:szCs w:val="24"/>
        </w:rPr>
        <w:t>规范搬运化学品。</w:t>
      </w:r>
    </w:p>
    <w:p w14:paraId="497C2906">
      <w:pPr>
        <w:spacing w:before="183" w:line="312" w:lineRule="auto"/>
        <w:ind w:right="8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）为了防止偶然火灾事故造成重大人身伤亡和设备</w:t>
      </w:r>
      <w:r>
        <w:rPr>
          <w:rFonts w:ascii="宋体" w:hAnsi="宋体" w:eastAsia="宋体" w:cs="宋体"/>
          <w:spacing w:val="1"/>
          <w:sz w:val="24"/>
          <w:szCs w:val="24"/>
        </w:rPr>
        <w:t>损失，应在车间、化学品</w:t>
      </w:r>
      <w:r>
        <w:rPr>
          <w:rFonts w:ascii="宋体" w:hAnsi="宋体" w:eastAsia="宋体" w:cs="宋体"/>
          <w:sz w:val="24"/>
          <w:szCs w:val="24"/>
        </w:rPr>
        <w:t xml:space="preserve"> </w:t>
      </w:r>
      <w:r>
        <w:rPr>
          <w:rFonts w:ascii="宋体" w:hAnsi="宋体" w:eastAsia="宋体" w:cs="宋体"/>
          <w:spacing w:val="-1"/>
          <w:sz w:val="24"/>
          <w:szCs w:val="24"/>
        </w:rPr>
        <w:t>仓库、危废暂存间配套包括感烟系统、应急疏散系统、室内外消</w:t>
      </w:r>
      <w:r>
        <w:rPr>
          <w:rFonts w:ascii="宋体" w:hAnsi="宋体" w:eastAsia="宋体" w:cs="宋体"/>
          <w:spacing w:val="-2"/>
          <w:sz w:val="24"/>
          <w:szCs w:val="24"/>
        </w:rPr>
        <w:t>防装置系统、排烟系</w:t>
      </w:r>
      <w:r>
        <w:rPr>
          <w:rFonts w:ascii="宋体" w:hAnsi="宋体" w:eastAsia="宋体" w:cs="宋体"/>
          <w:sz w:val="24"/>
          <w:szCs w:val="24"/>
        </w:rPr>
        <w:t xml:space="preserve"> </w:t>
      </w:r>
      <w:r>
        <w:rPr>
          <w:rFonts w:ascii="宋体" w:hAnsi="宋体" w:eastAsia="宋体" w:cs="宋体"/>
          <w:spacing w:val="-1"/>
          <w:sz w:val="24"/>
          <w:szCs w:val="24"/>
        </w:rPr>
        <w:t>统和应急照明及疏散指示系统等消防措施。</w:t>
      </w:r>
    </w:p>
    <w:p w14:paraId="3079FC33">
      <w:pPr>
        <w:spacing w:before="181" w:line="289" w:lineRule="auto"/>
        <w:ind w:left="2" w:right="80"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）设备间严格按《建筑防雷设计规范》、《工业与民用</w:t>
      </w:r>
      <w:r>
        <w:rPr>
          <w:rFonts w:ascii="宋体" w:hAnsi="宋体" w:eastAsia="宋体" w:cs="宋体"/>
          <w:spacing w:val="1"/>
          <w:sz w:val="24"/>
          <w:szCs w:val="24"/>
        </w:rPr>
        <w:t>电力装置的接地设计</w:t>
      </w:r>
      <w:r>
        <w:rPr>
          <w:rFonts w:ascii="宋体" w:hAnsi="宋体" w:eastAsia="宋体" w:cs="宋体"/>
          <w:sz w:val="24"/>
          <w:szCs w:val="24"/>
        </w:rPr>
        <w:t xml:space="preserve"> </w:t>
      </w:r>
      <w:r>
        <w:rPr>
          <w:rFonts w:ascii="宋体" w:hAnsi="宋体" w:eastAsia="宋体" w:cs="宋体"/>
          <w:spacing w:val="-1"/>
          <w:sz w:val="24"/>
          <w:szCs w:val="24"/>
        </w:rPr>
        <w:t>规范（试行）》等有关规定设置防雷、防静电设计。</w:t>
      </w:r>
    </w:p>
    <w:p w14:paraId="00A31376">
      <w:pPr>
        <w:spacing w:before="182"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7.2  </w:t>
      </w:r>
      <w:r>
        <w:rPr>
          <w:rFonts w:ascii="宋体" w:hAnsi="宋体" w:eastAsia="宋体" w:cs="宋体"/>
          <w:b/>
          <w:bCs/>
          <w:spacing w:val="-2"/>
          <w:sz w:val="24"/>
          <w:szCs w:val="24"/>
        </w:rPr>
        <w:t>化学品储存防范措施</w:t>
      </w:r>
    </w:p>
    <w:p w14:paraId="33A582D6">
      <w:pPr>
        <w:spacing w:before="183" w:line="359" w:lineRule="auto"/>
        <w:ind w:left="6" w:right="80" w:firstLine="476"/>
        <w:rPr>
          <w:rFonts w:ascii="宋体" w:hAnsi="宋体" w:eastAsia="宋体" w:cs="宋体"/>
          <w:sz w:val="24"/>
          <w:szCs w:val="24"/>
        </w:rPr>
      </w:pPr>
      <w:r>
        <w:rPr>
          <w:rFonts w:ascii="宋体" w:hAnsi="宋体" w:eastAsia="宋体" w:cs="宋体"/>
          <w:spacing w:val="-1"/>
          <w:sz w:val="24"/>
          <w:szCs w:val="24"/>
        </w:rPr>
        <w:t>本项目有专门的化学品仓库，用于项目正常运营过</w:t>
      </w:r>
      <w:r>
        <w:rPr>
          <w:rFonts w:ascii="宋体" w:hAnsi="宋体" w:eastAsia="宋体" w:cs="宋体"/>
          <w:spacing w:val="-2"/>
          <w:sz w:val="24"/>
          <w:szCs w:val="24"/>
        </w:rPr>
        <w:t>程中需使用的酸碱化学品，化</w:t>
      </w:r>
      <w:r>
        <w:rPr>
          <w:rFonts w:ascii="宋体" w:hAnsi="宋体" w:eastAsia="宋体" w:cs="宋体"/>
          <w:sz w:val="24"/>
          <w:szCs w:val="24"/>
        </w:rPr>
        <w:t xml:space="preserve"> </w:t>
      </w:r>
      <w:r>
        <w:rPr>
          <w:rFonts w:ascii="宋体" w:hAnsi="宋体" w:eastAsia="宋体" w:cs="宋体"/>
          <w:spacing w:val="-2"/>
          <w:sz w:val="24"/>
          <w:szCs w:val="24"/>
        </w:rPr>
        <w:t>学品由专门厂家供应。</w:t>
      </w:r>
    </w:p>
    <w:p w14:paraId="2E55B48B">
      <w:pPr>
        <w:spacing w:line="359" w:lineRule="auto"/>
        <w:ind w:left="14" w:right="80" w:firstLine="466"/>
        <w:rPr>
          <w:rFonts w:ascii="宋体" w:hAnsi="宋体" w:eastAsia="宋体" w:cs="宋体"/>
          <w:sz w:val="24"/>
          <w:szCs w:val="24"/>
        </w:rPr>
      </w:pPr>
      <w:r>
        <w:rPr>
          <w:rFonts w:ascii="宋体" w:hAnsi="宋体" w:eastAsia="宋体" w:cs="宋体"/>
          <w:spacing w:val="1"/>
          <w:sz w:val="24"/>
          <w:szCs w:val="24"/>
        </w:rPr>
        <w:t>根据《常用化学危险品贮存通则（</w:t>
      </w:r>
      <w:r>
        <w:rPr>
          <w:rFonts w:ascii="Times New Roman" w:hAnsi="Times New Roman" w:eastAsia="Times New Roman" w:cs="Times New Roman"/>
          <w:sz w:val="24"/>
          <w:szCs w:val="24"/>
        </w:rPr>
        <w:t>GB</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pacing w:val="1"/>
          <w:sz w:val="24"/>
          <w:szCs w:val="24"/>
        </w:rPr>
        <w:t>15603-1995</w:t>
      </w:r>
      <w:r>
        <w:rPr>
          <w:rFonts w:ascii="宋体" w:hAnsi="宋体" w:eastAsia="宋体" w:cs="宋体"/>
          <w:spacing w:val="1"/>
          <w:sz w:val="24"/>
          <w:szCs w:val="24"/>
        </w:rPr>
        <w:t>）》中要求，在贮存和使用危</w:t>
      </w:r>
      <w:r>
        <w:rPr>
          <w:rFonts w:ascii="宋体" w:hAnsi="宋体" w:eastAsia="宋体" w:cs="宋体"/>
          <w:sz w:val="24"/>
          <w:szCs w:val="24"/>
        </w:rPr>
        <w:t xml:space="preserve"> </w:t>
      </w:r>
      <w:r>
        <w:rPr>
          <w:rFonts w:ascii="宋体" w:hAnsi="宋体" w:eastAsia="宋体" w:cs="宋体"/>
          <w:spacing w:val="-2"/>
          <w:sz w:val="24"/>
          <w:szCs w:val="24"/>
        </w:rPr>
        <w:t>险化学品的过程中，应做到以下几点：</w:t>
      </w:r>
    </w:p>
    <w:p w14:paraId="64E707CD">
      <w:pPr>
        <w:spacing w:before="1" w:line="359" w:lineRule="auto"/>
        <w:ind w:left="5" w:right="80" w:firstLine="477"/>
        <w:rPr>
          <w:rFonts w:ascii="宋体" w:hAnsi="宋体" w:eastAsia="宋体" w:cs="宋体"/>
          <w:sz w:val="24"/>
          <w:szCs w:val="24"/>
        </w:rPr>
      </w:pPr>
      <w:r>
        <w:rPr>
          <w:rFonts w:ascii="宋体" w:hAnsi="宋体" w:eastAsia="宋体" w:cs="宋体"/>
          <w:spacing w:val="-1"/>
          <w:sz w:val="24"/>
          <w:szCs w:val="24"/>
        </w:rPr>
        <w:t>化学品必须配备有专业知识的技术人员，库房及场</w:t>
      </w:r>
      <w:r>
        <w:rPr>
          <w:rFonts w:ascii="宋体" w:hAnsi="宋体" w:eastAsia="宋体" w:cs="宋体"/>
          <w:spacing w:val="-2"/>
          <w:sz w:val="24"/>
          <w:szCs w:val="24"/>
        </w:rPr>
        <w:t>所应设专人管理，管理人员必</w:t>
      </w:r>
      <w:r>
        <w:rPr>
          <w:rFonts w:ascii="宋体" w:hAnsi="宋体" w:eastAsia="宋体" w:cs="宋体"/>
          <w:sz w:val="24"/>
          <w:szCs w:val="24"/>
        </w:rPr>
        <w:t xml:space="preserve"> </w:t>
      </w:r>
      <w:r>
        <w:rPr>
          <w:rFonts w:ascii="宋体" w:hAnsi="宋体" w:eastAsia="宋体" w:cs="宋体"/>
          <w:spacing w:val="-1"/>
          <w:sz w:val="24"/>
          <w:szCs w:val="24"/>
        </w:rPr>
        <w:t>须配备可靠的个人安全防护用品。</w:t>
      </w:r>
    </w:p>
    <w:p w14:paraId="083CAD94">
      <w:pPr>
        <w:spacing w:before="1" w:line="359" w:lineRule="auto"/>
        <w:ind w:left="1" w:right="80" w:firstLine="485"/>
        <w:jc w:val="both"/>
        <w:rPr>
          <w:rFonts w:ascii="宋体" w:hAnsi="宋体" w:eastAsia="宋体" w:cs="宋体"/>
          <w:sz w:val="24"/>
          <w:szCs w:val="24"/>
        </w:rPr>
      </w:pPr>
      <w:r>
        <w:rPr>
          <w:rFonts w:ascii="宋体" w:hAnsi="宋体" w:eastAsia="宋体" w:cs="宋体"/>
          <w:spacing w:val="-2"/>
          <w:sz w:val="24"/>
          <w:szCs w:val="24"/>
        </w:rPr>
        <w:t>原料入库时，应严格检验物品质量、数量、包装情况、有无泄漏。入库后应采取</w:t>
      </w:r>
      <w:r>
        <w:rPr>
          <w:rFonts w:ascii="宋体" w:hAnsi="宋体" w:eastAsia="宋体" w:cs="宋体"/>
          <w:spacing w:val="15"/>
          <w:sz w:val="24"/>
          <w:szCs w:val="24"/>
        </w:rPr>
        <w:t xml:space="preserve"> </w:t>
      </w:r>
      <w:r>
        <w:rPr>
          <w:rFonts w:ascii="宋体" w:hAnsi="宋体" w:eastAsia="宋体" w:cs="宋体"/>
          <w:spacing w:val="-1"/>
          <w:sz w:val="24"/>
          <w:szCs w:val="24"/>
        </w:rPr>
        <w:t>适当的养护措施，在贮存期内，定期检查，发现其品质变化、</w:t>
      </w:r>
      <w:r>
        <w:rPr>
          <w:rFonts w:ascii="宋体" w:hAnsi="宋体" w:eastAsia="宋体" w:cs="宋体"/>
          <w:spacing w:val="-2"/>
          <w:sz w:val="24"/>
          <w:szCs w:val="24"/>
        </w:rPr>
        <w:t>包装破损、渗漏、稳定</w:t>
      </w:r>
      <w:r>
        <w:rPr>
          <w:rFonts w:ascii="宋体" w:hAnsi="宋体" w:eastAsia="宋体" w:cs="宋体"/>
          <w:sz w:val="24"/>
          <w:szCs w:val="24"/>
        </w:rPr>
        <w:t xml:space="preserve"> </w:t>
      </w:r>
      <w:r>
        <w:rPr>
          <w:rFonts w:ascii="宋体" w:hAnsi="宋体" w:eastAsia="宋体" w:cs="宋体"/>
          <w:spacing w:val="-1"/>
          <w:sz w:val="24"/>
          <w:szCs w:val="24"/>
        </w:rPr>
        <w:t>剂短缺等，应及时处理。</w:t>
      </w:r>
    </w:p>
    <w:p w14:paraId="73FFC5EA">
      <w:pPr>
        <w:spacing w:line="359" w:lineRule="auto"/>
        <w:ind w:left="481"/>
        <w:rPr>
          <w:rFonts w:ascii="宋体" w:hAnsi="宋体" w:eastAsia="宋体" w:cs="宋体"/>
          <w:sz w:val="24"/>
          <w:szCs w:val="24"/>
        </w:rPr>
      </w:pPr>
      <w:r>
        <w:rPr>
          <w:rFonts w:ascii="宋体" w:hAnsi="宋体" w:eastAsia="宋体" w:cs="宋体"/>
          <w:spacing w:val="-6"/>
          <w:sz w:val="24"/>
          <w:szCs w:val="24"/>
        </w:rPr>
        <w:t>库房温度、湿度应严格控制、经常检查，发现变化及时调整。并配备相应灭火器。</w:t>
      </w:r>
      <w:r>
        <w:rPr>
          <w:rFonts w:ascii="宋体" w:hAnsi="宋体" w:eastAsia="宋体" w:cs="宋体"/>
          <w:spacing w:val="8"/>
          <w:sz w:val="24"/>
          <w:szCs w:val="24"/>
        </w:rPr>
        <w:t xml:space="preserve"> </w:t>
      </w:r>
      <w:r>
        <w:rPr>
          <w:rFonts w:ascii="宋体" w:hAnsi="宋体" w:eastAsia="宋体" w:cs="宋体"/>
          <w:sz w:val="24"/>
          <w:szCs w:val="24"/>
        </w:rPr>
        <w:t>装卸和使用危险化学品时，操作人员应根据危险性</w:t>
      </w:r>
      <w:r>
        <w:rPr>
          <w:rFonts w:ascii="宋体" w:hAnsi="宋体" w:eastAsia="宋体" w:cs="宋体"/>
          <w:spacing w:val="-1"/>
          <w:sz w:val="24"/>
          <w:szCs w:val="24"/>
        </w:rPr>
        <w:t>，穿戴相应的防护用品。</w:t>
      </w:r>
    </w:p>
    <w:p w14:paraId="6D4FF5E3">
      <w:pPr>
        <w:spacing w:before="1" w:line="219" w:lineRule="auto"/>
        <w:ind w:left="482"/>
        <w:rPr>
          <w:rFonts w:ascii="宋体" w:hAnsi="宋体" w:eastAsia="宋体" w:cs="宋体"/>
          <w:sz w:val="24"/>
          <w:szCs w:val="24"/>
        </w:rPr>
      </w:pPr>
      <w:r>
        <w:rPr>
          <w:rFonts w:ascii="宋体" w:hAnsi="宋体" w:eastAsia="宋体" w:cs="宋体"/>
          <w:sz w:val="24"/>
          <w:szCs w:val="24"/>
        </w:rPr>
        <w:t>使用危险化学品的过程中，泄漏或渗漏的包装</w:t>
      </w:r>
      <w:r>
        <w:rPr>
          <w:rFonts w:ascii="宋体" w:hAnsi="宋体" w:eastAsia="宋体" w:cs="宋体"/>
          <w:spacing w:val="-1"/>
          <w:sz w:val="24"/>
          <w:szCs w:val="24"/>
        </w:rPr>
        <w:t>容器应迅速移至安全区域。</w:t>
      </w:r>
    </w:p>
    <w:p w14:paraId="1A0D2D9B">
      <w:pPr>
        <w:spacing w:before="180" w:line="362" w:lineRule="auto"/>
        <w:ind w:left="3" w:right="80" w:firstLine="477"/>
        <w:rPr>
          <w:rFonts w:ascii="宋体" w:hAnsi="宋体" w:eastAsia="宋体" w:cs="宋体"/>
          <w:sz w:val="24"/>
          <w:szCs w:val="24"/>
        </w:rPr>
      </w:pPr>
      <w:r>
        <w:rPr>
          <w:rFonts w:ascii="宋体" w:hAnsi="宋体" w:eastAsia="宋体" w:cs="宋体"/>
          <w:spacing w:val="-1"/>
          <w:sz w:val="24"/>
          <w:szCs w:val="24"/>
        </w:rPr>
        <w:t>仓库工作人员应进行培训，熟悉储存物品的分类、性质</w:t>
      </w:r>
      <w:r>
        <w:rPr>
          <w:rFonts w:ascii="宋体" w:hAnsi="宋体" w:eastAsia="宋体" w:cs="宋体"/>
          <w:spacing w:val="-2"/>
          <w:sz w:val="24"/>
          <w:szCs w:val="24"/>
        </w:rPr>
        <w:t>、保管业务知识和安全知</w:t>
      </w:r>
      <w:r>
        <w:rPr>
          <w:rFonts w:ascii="宋体" w:hAnsi="宋体" w:eastAsia="宋体" w:cs="宋体"/>
          <w:sz w:val="24"/>
          <w:szCs w:val="24"/>
        </w:rPr>
        <w:t xml:space="preserve"> </w:t>
      </w:r>
      <w:r>
        <w:rPr>
          <w:rFonts w:ascii="宋体" w:hAnsi="宋体" w:eastAsia="宋体" w:cs="宋体"/>
          <w:spacing w:val="-1"/>
          <w:sz w:val="24"/>
          <w:szCs w:val="24"/>
        </w:rPr>
        <w:t>识，掌握设备维护保养方法，并经考核合格后持证上岗。</w:t>
      </w:r>
    </w:p>
    <w:p w14:paraId="5538F48F">
      <w:pPr>
        <w:spacing w:line="362" w:lineRule="auto"/>
        <w:rPr>
          <w:rFonts w:ascii="宋体" w:hAnsi="宋体" w:eastAsia="宋体" w:cs="宋体"/>
          <w:sz w:val="24"/>
          <w:szCs w:val="24"/>
        </w:rPr>
        <w:sectPr>
          <w:footerReference r:id="rId160" w:type="default"/>
          <w:pgSz w:w="11906" w:h="16839"/>
          <w:pgMar w:top="400" w:right="1450" w:bottom="1127" w:left="1539" w:header="0" w:footer="965" w:gutter="0"/>
          <w:cols w:space="720" w:num="1"/>
        </w:sectPr>
      </w:pPr>
    </w:p>
    <w:p w14:paraId="74FCBE62">
      <w:pPr>
        <w:spacing w:line="250" w:lineRule="auto"/>
        <w:rPr>
          <w:rFonts w:ascii="Arial"/>
          <w:sz w:val="21"/>
        </w:rPr>
      </w:pPr>
    </w:p>
    <w:p w14:paraId="3FBC32B0">
      <w:pPr>
        <w:spacing w:line="250" w:lineRule="auto"/>
        <w:rPr>
          <w:rFonts w:ascii="Arial"/>
          <w:sz w:val="21"/>
        </w:rPr>
      </w:pPr>
    </w:p>
    <w:p w14:paraId="792BBD1A">
      <w:pPr>
        <w:spacing w:line="250" w:lineRule="auto"/>
        <w:rPr>
          <w:rFonts w:ascii="Arial"/>
          <w:sz w:val="21"/>
        </w:rPr>
      </w:pPr>
    </w:p>
    <w:p w14:paraId="5F51F367">
      <w:pPr>
        <w:spacing w:line="250" w:lineRule="auto"/>
        <w:rPr>
          <w:rFonts w:ascii="Arial"/>
          <w:sz w:val="21"/>
        </w:rPr>
      </w:pPr>
    </w:p>
    <w:p w14:paraId="7A7FF871">
      <w:pPr>
        <w:spacing w:line="251" w:lineRule="auto"/>
        <w:rPr>
          <w:rFonts w:ascii="Arial"/>
          <w:sz w:val="21"/>
        </w:rPr>
      </w:pPr>
    </w:p>
    <w:p w14:paraId="066416D7">
      <w:pPr>
        <w:spacing w:before="78" w:line="219" w:lineRule="auto"/>
        <w:ind w:left="481"/>
        <w:rPr>
          <w:rFonts w:ascii="宋体" w:hAnsi="宋体" w:eastAsia="宋体" w:cs="宋体"/>
          <w:sz w:val="24"/>
          <w:szCs w:val="24"/>
        </w:rPr>
      </w:pPr>
      <w:r>
        <w:rPr>
          <w:rFonts w:ascii="宋体" w:hAnsi="宋体" w:eastAsia="宋体" w:cs="宋体"/>
          <w:sz w:val="24"/>
          <w:szCs w:val="24"/>
        </w:rPr>
        <w:t>配置沙土箱和适当的空容器、工具，以便发生</w:t>
      </w:r>
      <w:r>
        <w:rPr>
          <w:rFonts w:ascii="宋体" w:hAnsi="宋体" w:eastAsia="宋体" w:cs="宋体"/>
          <w:spacing w:val="-1"/>
          <w:sz w:val="24"/>
          <w:szCs w:val="24"/>
        </w:rPr>
        <w:t>泄漏时收集溢出的物料。</w:t>
      </w:r>
    </w:p>
    <w:p w14:paraId="7913FBE8">
      <w:pPr>
        <w:spacing w:before="180" w:line="359" w:lineRule="auto"/>
        <w:ind w:left="1" w:right="80" w:firstLine="479"/>
        <w:rPr>
          <w:rFonts w:ascii="宋体" w:hAnsi="宋体" w:eastAsia="宋体" w:cs="宋体"/>
          <w:sz w:val="24"/>
          <w:szCs w:val="24"/>
        </w:rPr>
      </w:pPr>
      <w:r>
        <w:rPr>
          <w:rFonts w:ascii="宋体" w:hAnsi="宋体" w:eastAsia="宋体" w:cs="宋体"/>
          <w:spacing w:val="-1"/>
          <w:sz w:val="24"/>
          <w:szCs w:val="24"/>
        </w:rPr>
        <w:t>仓库四周设置环型事故沟，连接事故收集池，一旦发生</w:t>
      </w:r>
      <w:r>
        <w:rPr>
          <w:rFonts w:ascii="宋体" w:hAnsi="宋体" w:eastAsia="宋体" w:cs="宋体"/>
          <w:spacing w:val="-2"/>
          <w:sz w:val="24"/>
          <w:szCs w:val="24"/>
        </w:rPr>
        <w:t>泄漏，通过事故沟进行收</w:t>
      </w:r>
      <w:r>
        <w:rPr>
          <w:rFonts w:ascii="宋体" w:hAnsi="宋体" w:eastAsia="宋体" w:cs="宋体"/>
          <w:sz w:val="24"/>
          <w:szCs w:val="24"/>
        </w:rPr>
        <w:t xml:space="preserve"> </w:t>
      </w:r>
      <w:r>
        <w:rPr>
          <w:rFonts w:ascii="宋体" w:hAnsi="宋体" w:eastAsia="宋体" w:cs="宋体"/>
          <w:spacing w:val="-2"/>
          <w:sz w:val="24"/>
          <w:szCs w:val="24"/>
        </w:rPr>
        <w:t>集，防止外流。</w:t>
      </w:r>
    </w:p>
    <w:p w14:paraId="61BAAD4A">
      <w:pPr>
        <w:spacing w:line="219" w:lineRule="auto"/>
        <w:ind w:left="483"/>
        <w:rPr>
          <w:rFonts w:ascii="宋体" w:hAnsi="宋体" w:eastAsia="宋体" w:cs="宋体"/>
          <w:sz w:val="24"/>
          <w:szCs w:val="24"/>
        </w:rPr>
      </w:pPr>
      <w:r>
        <w:rPr>
          <w:rFonts w:ascii="宋体" w:hAnsi="宋体" w:eastAsia="宋体" w:cs="宋体"/>
          <w:spacing w:val="-1"/>
          <w:sz w:val="24"/>
          <w:szCs w:val="24"/>
        </w:rPr>
        <w:t>车间设置消防废水隔水围堰、并设置火灾时消防废水的事故应急池。</w:t>
      </w:r>
    </w:p>
    <w:p w14:paraId="0AB61DF2">
      <w:pPr>
        <w:spacing w:before="183" w:line="219" w:lineRule="auto"/>
        <w:ind w:left="481"/>
        <w:rPr>
          <w:rFonts w:ascii="宋体" w:hAnsi="宋体" w:eastAsia="宋体" w:cs="宋体"/>
          <w:sz w:val="24"/>
          <w:szCs w:val="24"/>
        </w:rPr>
      </w:pPr>
      <w:r>
        <w:rPr>
          <w:rFonts w:ascii="宋体" w:hAnsi="宋体" w:eastAsia="宋体" w:cs="宋体"/>
          <w:spacing w:val="-1"/>
          <w:sz w:val="24"/>
          <w:szCs w:val="24"/>
        </w:rPr>
        <w:t>应制定应急处理措施，编制事故应急预案，应对意外突发事件。</w:t>
      </w:r>
    </w:p>
    <w:p w14:paraId="0C196D4E">
      <w:pPr>
        <w:spacing w:before="18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7.3 </w:t>
      </w:r>
      <w:r>
        <w:rPr>
          <w:rFonts w:ascii="宋体" w:hAnsi="宋体" w:eastAsia="宋体" w:cs="宋体"/>
          <w:b/>
          <w:bCs/>
          <w:spacing w:val="-2"/>
          <w:sz w:val="24"/>
          <w:szCs w:val="24"/>
        </w:rPr>
        <w:t>火灾事故防范措施</w:t>
      </w:r>
    </w:p>
    <w:p w14:paraId="33C9A1EC">
      <w:pPr>
        <w:spacing w:before="179" w:line="290" w:lineRule="auto"/>
        <w:ind w:left="2" w:right="80"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）定期对设备进行安全检测，检测内容、时间、人员应</w:t>
      </w:r>
      <w:r>
        <w:rPr>
          <w:rFonts w:ascii="宋体" w:hAnsi="宋体" w:eastAsia="宋体" w:cs="宋体"/>
          <w:spacing w:val="1"/>
          <w:sz w:val="24"/>
          <w:szCs w:val="24"/>
        </w:rPr>
        <w:t>有记录保存。安全检</w:t>
      </w:r>
      <w:r>
        <w:rPr>
          <w:rFonts w:ascii="宋体" w:hAnsi="宋体" w:eastAsia="宋体" w:cs="宋体"/>
          <w:sz w:val="24"/>
          <w:szCs w:val="24"/>
        </w:rPr>
        <w:t xml:space="preserve"> </w:t>
      </w:r>
      <w:r>
        <w:rPr>
          <w:rFonts w:ascii="宋体" w:hAnsi="宋体" w:eastAsia="宋体" w:cs="宋体"/>
          <w:spacing w:val="-1"/>
          <w:sz w:val="24"/>
          <w:szCs w:val="24"/>
        </w:rPr>
        <w:t>测应根据安全性、危险性设定检测频次。</w:t>
      </w:r>
    </w:p>
    <w:p w14:paraId="11A3247A">
      <w:pPr>
        <w:spacing w:before="181" w:line="289" w:lineRule="auto"/>
        <w:ind w:left="2" w:right="80"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）加强管理，严格按照操作规范调配液体易燃化工物料（</w:t>
      </w:r>
      <w:r>
        <w:rPr>
          <w:rFonts w:ascii="宋体" w:hAnsi="宋体" w:eastAsia="宋体" w:cs="宋体"/>
          <w:spacing w:val="1"/>
          <w:sz w:val="24"/>
          <w:szCs w:val="24"/>
        </w:rPr>
        <w:t>如丙酮、乙醇、环</w:t>
      </w:r>
      <w:r>
        <w:rPr>
          <w:rFonts w:ascii="宋体" w:hAnsi="宋体" w:eastAsia="宋体" w:cs="宋体"/>
          <w:sz w:val="24"/>
          <w:szCs w:val="24"/>
        </w:rPr>
        <w:t xml:space="preserve"> </w:t>
      </w:r>
      <w:r>
        <w:rPr>
          <w:rFonts w:ascii="宋体" w:hAnsi="宋体" w:eastAsia="宋体" w:cs="宋体"/>
          <w:spacing w:val="-2"/>
          <w:sz w:val="24"/>
          <w:szCs w:val="24"/>
        </w:rPr>
        <w:t>氧树脂等</w:t>
      </w:r>
      <w:r>
        <w:rPr>
          <w:rFonts w:ascii="宋体" w:hAnsi="宋体" w:eastAsia="宋体" w:cs="宋体"/>
          <w:spacing w:val="6"/>
          <w:sz w:val="24"/>
          <w:szCs w:val="24"/>
        </w:rPr>
        <w:t>），</w:t>
      </w:r>
      <w:r>
        <w:rPr>
          <w:rFonts w:ascii="宋体" w:hAnsi="宋体" w:eastAsia="宋体" w:cs="宋体"/>
          <w:spacing w:val="-2"/>
          <w:sz w:val="24"/>
          <w:szCs w:val="24"/>
        </w:rPr>
        <w:t>减少静电的产生。</w:t>
      </w:r>
    </w:p>
    <w:p w14:paraId="75CDA4BA">
      <w:pPr>
        <w:spacing w:before="182" w:line="289" w:lineRule="auto"/>
        <w:ind w:firstLine="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）在装卸物料作业时防止静电产生，防止操作人员带电作业；在危险操作时，</w:t>
      </w:r>
      <w:r>
        <w:rPr>
          <w:rFonts w:ascii="宋体" w:hAnsi="宋体" w:eastAsia="宋体" w:cs="宋体"/>
          <w:spacing w:val="10"/>
          <w:sz w:val="24"/>
          <w:szCs w:val="24"/>
        </w:rPr>
        <w:t xml:space="preserve"> </w:t>
      </w:r>
      <w:r>
        <w:rPr>
          <w:rFonts w:ascii="宋体" w:hAnsi="宋体" w:eastAsia="宋体" w:cs="宋体"/>
          <w:spacing w:val="-5"/>
          <w:sz w:val="24"/>
          <w:szCs w:val="24"/>
        </w:rPr>
        <w:t>操作人员应使用抗静电工作帽和具有导电性的作业</w:t>
      </w:r>
      <w:r>
        <w:rPr>
          <w:rFonts w:ascii="宋体" w:hAnsi="宋体" w:eastAsia="宋体" w:cs="宋体"/>
          <w:spacing w:val="-6"/>
          <w:sz w:val="24"/>
          <w:szCs w:val="24"/>
        </w:rPr>
        <w:t>鞋；要有防雷装置，特别防止雷击。</w:t>
      </w:r>
    </w:p>
    <w:p w14:paraId="10074DEB">
      <w:pPr>
        <w:spacing w:before="185" w:line="339" w:lineRule="auto"/>
        <w:ind w:left="1" w:right="8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）对生产装置进行合理布置，进行防火分区，以满足防</w:t>
      </w:r>
      <w:r>
        <w:rPr>
          <w:rFonts w:ascii="宋体" w:hAnsi="宋体" w:eastAsia="宋体" w:cs="宋体"/>
          <w:spacing w:val="1"/>
          <w:sz w:val="24"/>
          <w:szCs w:val="24"/>
        </w:rPr>
        <w:t>火间距和安全疏散的</w:t>
      </w:r>
      <w:r>
        <w:rPr>
          <w:rFonts w:ascii="宋体" w:hAnsi="宋体" w:eastAsia="宋体" w:cs="宋体"/>
          <w:sz w:val="24"/>
          <w:szCs w:val="24"/>
        </w:rPr>
        <w:t xml:space="preserve"> </w:t>
      </w:r>
      <w:r>
        <w:rPr>
          <w:rFonts w:ascii="宋体" w:hAnsi="宋体" w:eastAsia="宋体" w:cs="宋体"/>
          <w:spacing w:val="-1"/>
          <w:sz w:val="24"/>
          <w:szCs w:val="24"/>
        </w:rPr>
        <w:t>要求。在装置区内的所有运营设备，电气装置都应满足防爆防</w:t>
      </w:r>
      <w:r>
        <w:rPr>
          <w:rFonts w:ascii="宋体" w:hAnsi="宋体" w:eastAsia="宋体" w:cs="宋体"/>
          <w:spacing w:val="-2"/>
          <w:sz w:val="24"/>
          <w:szCs w:val="24"/>
        </w:rPr>
        <w:t>火的要求。根据火灾危</w:t>
      </w:r>
      <w:r>
        <w:rPr>
          <w:rFonts w:ascii="宋体" w:hAnsi="宋体" w:eastAsia="宋体" w:cs="宋体"/>
          <w:sz w:val="24"/>
          <w:szCs w:val="24"/>
        </w:rPr>
        <w:t xml:space="preserve"> </w:t>
      </w:r>
      <w:r>
        <w:rPr>
          <w:rFonts w:ascii="宋体" w:hAnsi="宋体" w:eastAsia="宋体" w:cs="宋体"/>
          <w:spacing w:val="-1"/>
          <w:sz w:val="24"/>
          <w:szCs w:val="24"/>
        </w:rPr>
        <w:t>险性等级和防火、防爆要求，建筑物的防火等级均应采用国家</w:t>
      </w:r>
      <w:r>
        <w:rPr>
          <w:rFonts w:ascii="宋体" w:hAnsi="宋体" w:eastAsia="宋体" w:cs="宋体"/>
          <w:spacing w:val="-2"/>
          <w:sz w:val="24"/>
          <w:szCs w:val="24"/>
        </w:rPr>
        <w:t>现行规范要求按一、二</w:t>
      </w:r>
      <w:r>
        <w:rPr>
          <w:rFonts w:ascii="宋体" w:hAnsi="宋体" w:eastAsia="宋体" w:cs="宋体"/>
          <w:sz w:val="24"/>
          <w:szCs w:val="24"/>
        </w:rPr>
        <w:t xml:space="preserve"> </w:t>
      </w:r>
      <w:r>
        <w:rPr>
          <w:rFonts w:ascii="宋体" w:hAnsi="宋体" w:eastAsia="宋体" w:cs="宋体"/>
          <w:spacing w:val="-1"/>
          <w:sz w:val="24"/>
          <w:szCs w:val="24"/>
        </w:rPr>
        <w:t>级耐火等级设计，满足建筑防火要求。凡禁火区均设置明显标</w:t>
      </w:r>
      <w:r>
        <w:rPr>
          <w:rFonts w:ascii="宋体" w:hAnsi="宋体" w:eastAsia="宋体" w:cs="宋体"/>
          <w:spacing w:val="-2"/>
          <w:sz w:val="24"/>
          <w:szCs w:val="24"/>
        </w:rPr>
        <w:t>志牌。各种易燃易爆物</w:t>
      </w:r>
      <w:r>
        <w:rPr>
          <w:rFonts w:ascii="宋体" w:hAnsi="宋体" w:eastAsia="宋体" w:cs="宋体"/>
          <w:sz w:val="24"/>
          <w:szCs w:val="24"/>
        </w:rPr>
        <w:t xml:space="preserve"> </w:t>
      </w:r>
      <w:r>
        <w:rPr>
          <w:rFonts w:ascii="宋体" w:hAnsi="宋体" w:eastAsia="宋体" w:cs="宋体"/>
          <w:spacing w:val="-1"/>
          <w:sz w:val="24"/>
          <w:szCs w:val="24"/>
        </w:rPr>
        <w:t>料均储存在阴凉、通风处，远离火源；安放易发生爆炸设备的</w:t>
      </w:r>
      <w:r>
        <w:rPr>
          <w:rFonts w:ascii="宋体" w:hAnsi="宋体" w:eastAsia="宋体" w:cs="宋体"/>
          <w:spacing w:val="-2"/>
          <w:sz w:val="24"/>
          <w:szCs w:val="24"/>
        </w:rPr>
        <w:t>房间，不允许任何人员</w:t>
      </w:r>
      <w:r>
        <w:rPr>
          <w:rFonts w:ascii="宋体" w:hAnsi="宋体" w:eastAsia="宋体" w:cs="宋体"/>
          <w:sz w:val="24"/>
          <w:szCs w:val="24"/>
        </w:rPr>
        <w:t xml:space="preserve"> </w:t>
      </w:r>
      <w:r>
        <w:rPr>
          <w:rFonts w:ascii="宋体" w:hAnsi="宋体" w:eastAsia="宋体" w:cs="宋体"/>
          <w:spacing w:val="-1"/>
          <w:sz w:val="24"/>
          <w:szCs w:val="24"/>
        </w:rPr>
        <w:t>随便入内，操作全部在控制室进行。安全出口及安全疏散距离</w:t>
      </w:r>
      <w:r>
        <w:rPr>
          <w:rFonts w:ascii="宋体" w:hAnsi="宋体" w:eastAsia="宋体" w:cs="宋体"/>
          <w:spacing w:val="-2"/>
          <w:sz w:val="24"/>
          <w:szCs w:val="24"/>
        </w:rPr>
        <w:t>应符合《建筑设计防火</w:t>
      </w:r>
      <w:r>
        <w:rPr>
          <w:rFonts w:ascii="宋体" w:hAnsi="宋体" w:eastAsia="宋体" w:cs="宋体"/>
          <w:sz w:val="24"/>
          <w:szCs w:val="24"/>
        </w:rPr>
        <w:t xml:space="preserve"> </w:t>
      </w:r>
      <w:r>
        <w:rPr>
          <w:rFonts w:ascii="宋体" w:hAnsi="宋体" w:eastAsia="宋体" w:cs="宋体"/>
          <w:spacing w:val="-1"/>
          <w:sz w:val="24"/>
          <w:szCs w:val="24"/>
        </w:rPr>
        <w:t>规范》（</w:t>
      </w:r>
      <w:r>
        <w:rPr>
          <w:rFonts w:ascii="Times New Roman" w:hAnsi="Times New Roman" w:eastAsia="Times New Roman" w:cs="Times New Roman"/>
          <w:spacing w:val="-1"/>
          <w:sz w:val="24"/>
          <w:szCs w:val="24"/>
        </w:rPr>
        <w:t>GB50016-2006</w:t>
      </w:r>
      <w:r>
        <w:rPr>
          <w:rFonts w:ascii="宋体" w:hAnsi="宋体" w:eastAsia="宋体" w:cs="宋体"/>
          <w:spacing w:val="-1"/>
          <w:sz w:val="24"/>
          <w:szCs w:val="24"/>
        </w:rPr>
        <w:t>）的要求。</w:t>
      </w:r>
    </w:p>
    <w:p w14:paraId="69C61AB7">
      <w:pPr>
        <w:spacing w:before="182" w:line="324" w:lineRule="auto"/>
        <w:ind w:right="80"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）按照《建筑设计防火规范》（</w:t>
      </w:r>
      <w:r>
        <w:rPr>
          <w:rFonts w:ascii="Times New Roman" w:hAnsi="Times New Roman" w:eastAsia="Times New Roman" w:cs="Times New Roman"/>
          <w:sz w:val="24"/>
          <w:szCs w:val="24"/>
        </w:rPr>
        <w:t>GB50016-2014</w:t>
      </w:r>
      <w:r>
        <w:rPr>
          <w:rFonts w:ascii="宋体" w:hAnsi="宋体" w:eastAsia="宋体" w:cs="宋体"/>
          <w:sz w:val="24"/>
          <w:szCs w:val="24"/>
        </w:rPr>
        <w:t>）及《自动喷水灭火系统设计</w:t>
      </w:r>
      <w:r>
        <w:rPr>
          <w:rFonts w:ascii="宋体" w:hAnsi="宋体" w:eastAsia="宋体" w:cs="宋体"/>
          <w:spacing w:val="6"/>
          <w:sz w:val="24"/>
          <w:szCs w:val="24"/>
        </w:rPr>
        <w:t xml:space="preserve"> </w:t>
      </w:r>
      <w:r>
        <w:rPr>
          <w:rFonts w:ascii="宋体" w:hAnsi="宋体" w:eastAsia="宋体" w:cs="宋体"/>
          <w:spacing w:val="1"/>
          <w:sz w:val="24"/>
          <w:szCs w:val="24"/>
        </w:rPr>
        <w:t>规范》（</w:t>
      </w:r>
      <w:r>
        <w:rPr>
          <w:rFonts w:ascii="Times New Roman" w:hAnsi="Times New Roman" w:eastAsia="Times New Roman" w:cs="Times New Roman"/>
          <w:sz w:val="24"/>
          <w:szCs w:val="24"/>
        </w:rPr>
        <w:t>GBJ</w:t>
      </w:r>
      <w:r>
        <w:rPr>
          <w:rFonts w:ascii="Times New Roman" w:hAnsi="Times New Roman" w:eastAsia="Times New Roman" w:cs="Times New Roman"/>
          <w:spacing w:val="1"/>
          <w:sz w:val="24"/>
          <w:szCs w:val="24"/>
        </w:rPr>
        <w:t>50084-2001</w:t>
      </w:r>
      <w:r>
        <w:rPr>
          <w:rFonts w:ascii="宋体" w:hAnsi="宋体" w:eastAsia="宋体" w:cs="宋体"/>
          <w:spacing w:val="1"/>
          <w:sz w:val="24"/>
          <w:szCs w:val="24"/>
        </w:rPr>
        <w:t>）要求，在各主要车间、办公室配备自动喷水灭火系统。在</w:t>
      </w:r>
      <w:r>
        <w:rPr>
          <w:rFonts w:ascii="宋体" w:hAnsi="宋体" w:eastAsia="宋体" w:cs="宋体"/>
          <w:spacing w:val="7"/>
          <w:sz w:val="24"/>
          <w:szCs w:val="24"/>
        </w:rPr>
        <w:t xml:space="preserve"> </w:t>
      </w:r>
      <w:r>
        <w:rPr>
          <w:rFonts w:ascii="宋体" w:hAnsi="宋体" w:eastAsia="宋体" w:cs="宋体"/>
          <w:spacing w:val="-1"/>
          <w:sz w:val="24"/>
          <w:szCs w:val="24"/>
        </w:rPr>
        <w:t>仓库设置可燃气体探测器，当使用的原料或产品浓度达到报警值</w:t>
      </w:r>
      <w:r>
        <w:rPr>
          <w:rFonts w:ascii="宋体" w:hAnsi="宋体" w:eastAsia="宋体" w:cs="宋体"/>
          <w:spacing w:val="-2"/>
          <w:sz w:val="24"/>
          <w:szCs w:val="24"/>
        </w:rPr>
        <w:t>时，发出报警信号，</w:t>
      </w:r>
      <w:r>
        <w:rPr>
          <w:rFonts w:ascii="宋体" w:hAnsi="宋体" w:eastAsia="宋体" w:cs="宋体"/>
          <w:sz w:val="24"/>
          <w:szCs w:val="24"/>
        </w:rPr>
        <w:t xml:space="preserve"> </w:t>
      </w:r>
      <w:r>
        <w:rPr>
          <w:rFonts w:ascii="宋体" w:hAnsi="宋体" w:eastAsia="宋体" w:cs="宋体"/>
          <w:spacing w:val="-1"/>
          <w:sz w:val="24"/>
          <w:szCs w:val="24"/>
        </w:rPr>
        <w:t>以便及时采取措施，避免重大火灾事故发生。</w:t>
      </w:r>
    </w:p>
    <w:p w14:paraId="109F6CD0">
      <w:pPr>
        <w:spacing w:before="182" w:line="289" w:lineRule="auto"/>
        <w:ind w:left="22" w:right="80" w:firstLine="46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）消防水是独立的稳高压消防水管网，消防水管道沿装</w:t>
      </w:r>
      <w:r>
        <w:rPr>
          <w:rFonts w:ascii="宋体" w:hAnsi="宋体" w:eastAsia="宋体" w:cs="宋体"/>
          <w:spacing w:val="1"/>
          <w:sz w:val="24"/>
          <w:szCs w:val="24"/>
        </w:rPr>
        <w:t>置及辅助生产设施周</w:t>
      </w:r>
      <w:r>
        <w:rPr>
          <w:rFonts w:ascii="宋体" w:hAnsi="宋体" w:eastAsia="宋体" w:cs="宋体"/>
          <w:sz w:val="24"/>
          <w:szCs w:val="24"/>
        </w:rPr>
        <w:t xml:space="preserve"> </w:t>
      </w:r>
      <w:r>
        <w:rPr>
          <w:rFonts w:ascii="宋体" w:hAnsi="宋体" w:eastAsia="宋体" w:cs="宋体"/>
          <w:spacing w:val="-2"/>
          <w:sz w:val="24"/>
          <w:szCs w:val="24"/>
        </w:rPr>
        <w:t>围布置，在管道上按照规范要求配置消火栓及消防水炮。</w:t>
      </w:r>
    </w:p>
    <w:p w14:paraId="24454466">
      <w:pPr>
        <w:spacing w:before="180" w:line="290" w:lineRule="auto"/>
        <w:ind w:left="1" w:right="8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）火灾报警系统：全厂采用电话报警，报警至消防部门</w:t>
      </w:r>
      <w:r>
        <w:rPr>
          <w:rFonts w:ascii="宋体" w:hAnsi="宋体" w:eastAsia="宋体" w:cs="宋体"/>
          <w:spacing w:val="1"/>
          <w:sz w:val="24"/>
          <w:szCs w:val="24"/>
        </w:rPr>
        <w:t>。根据需要设置报警</w:t>
      </w:r>
      <w:r>
        <w:rPr>
          <w:rFonts w:ascii="宋体" w:hAnsi="宋体" w:eastAsia="宋体" w:cs="宋体"/>
          <w:sz w:val="24"/>
          <w:szCs w:val="24"/>
        </w:rPr>
        <w:t xml:space="preserve"> 装置。火灾报警信号报至中心控制室，再由中</w:t>
      </w:r>
      <w:r>
        <w:rPr>
          <w:rFonts w:ascii="宋体" w:hAnsi="宋体" w:eastAsia="宋体" w:cs="宋体"/>
          <w:spacing w:val="-1"/>
          <w:sz w:val="24"/>
          <w:szCs w:val="24"/>
        </w:rPr>
        <w:t>心控制室报至消防部门。</w:t>
      </w:r>
    </w:p>
    <w:p w14:paraId="499BB61E">
      <w:pPr>
        <w:spacing w:before="181"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）预防措施</w:t>
      </w:r>
    </w:p>
    <w:p w14:paraId="450A624D">
      <w:pPr>
        <w:spacing w:before="182" w:line="219" w:lineRule="auto"/>
        <w:ind w:left="484"/>
        <w:rPr>
          <w:rFonts w:ascii="宋体" w:hAnsi="宋体" w:eastAsia="宋体" w:cs="宋体"/>
          <w:sz w:val="24"/>
          <w:szCs w:val="24"/>
        </w:rPr>
      </w:pPr>
      <w:r>
        <w:rPr>
          <w:rFonts w:ascii="宋体" w:hAnsi="宋体" w:eastAsia="宋体" w:cs="宋体"/>
          <w:sz w:val="24"/>
          <w:szCs w:val="24"/>
        </w:rPr>
        <w:t>工程控制包括生产过程密闭，加强通风。呼吸系</w:t>
      </w:r>
      <w:r>
        <w:rPr>
          <w:rFonts w:ascii="宋体" w:hAnsi="宋体" w:eastAsia="宋体" w:cs="宋体"/>
          <w:spacing w:val="-1"/>
          <w:sz w:val="24"/>
          <w:szCs w:val="24"/>
        </w:rPr>
        <w:t>统防护包括空气中浓度超标时，</w:t>
      </w:r>
    </w:p>
    <w:p w14:paraId="69267805">
      <w:pPr>
        <w:spacing w:line="219" w:lineRule="auto"/>
        <w:rPr>
          <w:rFonts w:ascii="宋体" w:hAnsi="宋体" w:eastAsia="宋体" w:cs="宋体"/>
          <w:sz w:val="24"/>
          <w:szCs w:val="24"/>
        </w:rPr>
        <w:sectPr>
          <w:footerReference r:id="rId161" w:type="default"/>
          <w:pgSz w:w="11906" w:h="16839"/>
          <w:pgMar w:top="400" w:right="1450" w:bottom="1127" w:left="1539" w:header="0" w:footer="965" w:gutter="0"/>
          <w:cols w:space="720" w:num="1"/>
        </w:sectPr>
      </w:pPr>
    </w:p>
    <w:p w14:paraId="730847F9">
      <w:pPr>
        <w:spacing w:line="250" w:lineRule="auto"/>
        <w:rPr>
          <w:rFonts w:ascii="Arial"/>
          <w:sz w:val="21"/>
        </w:rPr>
      </w:pPr>
    </w:p>
    <w:p w14:paraId="2650DEC1">
      <w:pPr>
        <w:spacing w:line="250" w:lineRule="auto"/>
        <w:rPr>
          <w:rFonts w:ascii="Arial"/>
          <w:sz w:val="21"/>
        </w:rPr>
      </w:pPr>
    </w:p>
    <w:p w14:paraId="740A7C3C">
      <w:pPr>
        <w:spacing w:line="250" w:lineRule="auto"/>
        <w:rPr>
          <w:rFonts w:ascii="Arial"/>
          <w:sz w:val="21"/>
        </w:rPr>
      </w:pPr>
    </w:p>
    <w:p w14:paraId="523E7E4C">
      <w:pPr>
        <w:spacing w:line="250" w:lineRule="auto"/>
        <w:rPr>
          <w:rFonts w:ascii="Arial"/>
          <w:sz w:val="21"/>
        </w:rPr>
      </w:pPr>
    </w:p>
    <w:p w14:paraId="727BA4AB">
      <w:pPr>
        <w:spacing w:line="250" w:lineRule="auto"/>
        <w:rPr>
          <w:rFonts w:ascii="Arial"/>
          <w:sz w:val="21"/>
        </w:rPr>
      </w:pPr>
    </w:p>
    <w:p w14:paraId="5625FAED">
      <w:pPr>
        <w:spacing w:before="78" w:line="359" w:lineRule="auto"/>
        <w:ind w:left="5" w:right="80" w:hanging="4"/>
        <w:rPr>
          <w:rFonts w:ascii="宋体" w:hAnsi="宋体" w:eastAsia="宋体" w:cs="宋体"/>
          <w:sz w:val="24"/>
          <w:szCs w:val="24"/>
        </w:rPr>
      </w:pPr>
      <w:r>
        <w:rPr>
          <w:rFonts w:ascii="宋体" w:hAnsi="宋体" w:eastAsia="宋体" w:cs="宋体"/>
          <w:spacing w:val="-1"/>
          <w:sz w:val="24"/>
          <w:szCs w:val="24"/>
        </w:rPr>
        <w:t>应该佩戴防毒面具。紧急事态抢救或撤离时，佩戴自给式呼吸</w:t>
      </w:r>
      <w:r>
        <w:rPr>
          <w:rFonts w:ascii="宋体" w:hAnsi="宋体" w:eastAsia="宋体" w:cs="宋体"/>
          <w:spacing w:val="-2"/>
          <w:sz w:val="24"/>
          <w:szCs w:val="24"/>
        </w:rPr>
        <w:t>器。眼睛防护如戴化学</w:t>
      </w:r>
      <w:r>
        <w:rPr>
          <w:rFonts w:ascii="宋体" w:hAnsi="宋体" w:eastAsia="宋体" w:cs="宋体"/>
          <w:sz w:val="24"/>
          <w:szCs w:val="24"/>
        </w:rPr>
        <w:t xml:space="preserve"> </w:t>
      </w:r>
      <w:r>
        <w:rPr>
          <w:rFonts w:ascii="宋体" w:hAnsi="宋体" w:eastAsia="宋体" w:cs="宋体"/>
          <w:spacing w:val="-1"/>
          <w:sz w:val="24"/>
          <w:szCs w:val="24"/>
        </w:rPr>
        <w:t>安全防护眼镜。防护器具包括穿防静电工作服，必要时戴防化学品手套。</w:t>
      </w:r>
    </w:p>
    <w:p w14:paraId="2F5E7E16">
      <w:pPr>
        <w:spacing w:line="359" w:lineRule="auto"/>
        <w:ind w:left="1" w:right="80" w:firstLine="482"/>
        <w:rPr>
          <w:rFonts w:ascii="宋体" w:hAnsi="宋体" w:eastAsia="宋体" w:cs="宋体"/>
          <w:sz w:val="24"/>
          <w:szCs w:val="24"/>
        </w:rPr>
      </w:pPr>
      <w:r>
        <w:rPr>
          <w:rFonts w:ascii="宋体" w:hAnsi="宋体" w:eastAsia="宋体" w:cs="宋体"/>
          <w:spacing w:val="-1"/>
          <w:sz w:val="24"/>
          <w:szCs w:val="24"/>
        </w:rPr>
        <w:t>工作现场禁止吸烟、进食和饮水。工作后，淋</w:t>
      </w:r>
      <w:r>
        <w:rPr>
          <w:rFonts w:ascii="宋体" w:hAnsi="宋体" w:eastAsia="宋体" w:cs="宋体"/>
          <w:spacing w:val="-2"/>
          <w:sz w:val="24"/>
          <w:szCs w:val="24"/>
        </w:rPr>
        <w:t>浴更衣。单独存放被毒物污染的衣</w:t>
      </w:r>
      <w:r>
        <w:rPr>
          <w:rFonts w:ascii="宋体" w:hAnsi="宋体" w:eastAsia="宋体" w:cs="宋体"/>
          <w:sz w:val="24"/>
          <w:szCs w:val="24"/>
        </w:rPr>
        <w:t xml:space="preserve"> </w:t>
      </w:r>
      <w:r>
        <w:rPr>
          <w:rFonts w:ascii="宋体" w:hAnsi="宋体" w:eastAsia="宋体" w:cs="宋体"/>
          <w:spacing w:val="-1"/>
          <w:sz w:val="24"/>
          <w:szCs w:val="24"/>
        </w:rPr>
        <w:t>服，洗后再用。注意个人清洁卫生。</w:t>
      </w:r>
    </w:p>
    <w:p w14:paraId="7A4F332F">
      <w:pPr>
        <w:spacing w:before="1" w:line="359" w:lineRule="auto"/>
        <w:ind w:left="4" w:firstLine="477"/>
        <w:jc w:val="both"/>
        <w:rPr>
          <w:rFonts w:ascii="宋体" w:hAnsi="宋体" w:eastAsia="宋体" w:cs="宋体"/>
          <w:sz w:val="24"/>
          <w:szCs w:val="24"/>
        </w:rPr>
      </w:pPr>
      <w:r>
        <w:rPr>
          <w:rFonts w:ascii="宋体" w:hAnsi="宋体" w:eastAsia="宋体" w:cs="宋体"/>
          <w:spacing w:val="-6"/>
          <w:sz w:val="24"/>
          <w:szCs w:val="24"/>
        </w:rPr>
        <w:t>针对火灾事故采取预防措施：灭火时消防人员必须穿特殊防护服，在掩蔽处操作。</w:t>
      </w:r>
      <w:r>
        <w:rPr>
          <w:rFonts w:ascii="宋体" w:hAnsi="宋体" w:eastAsia="宋体" w:cs="宋体"/>
          <w:spacing w:val="9"/>
          <w:sz w:val="24"/>
          <w:szCs w:val="24"/>
        </w:rPr>
        <w:t xml:space="preserve"> </w:t>
      </w:r>
      <w:r>
        <w:rPr>
          <w:rFonts w:ascii="宋体" w:hAnsi="宋体" w:eastAsia="宋体" w:cs="宋体"/>
          <w:spacing w:val="-1"/>
          <w:sz w:val="24"/>
          <w:szCs w:val="24"/>
        </w:rPr>
        <w:t>灭火剂采用抗溶性泡沫、二氧化碳、干粉、砂土。</w:t>
      </w:r>
      <w:r>
        <w:rPr>
          <w:rFonts w:ascii="宋体" w:hAnsi="宋体" w:eastAsia="宋体" w:cs="宋体"/>
          <w:spacing w:val="-2"/>
          <w:sz w:val="24"/>
          <w:szCs w:val="24"/>
        </w:rPr>
        <w:t>用水灭火无效，但须用水保持火场</w:t>
      </w:r>
      <w:r>
        <w:rPr>
          <w:rFonts w:ascii="宋体" w:hAnsi="宋体" w:eastAsia="宋体" w:cs="宋体"/>
          <w:sz w:val="24"/>
          <w:szCs w:val="24"/>
        </w:rPr>
        <w:t xml:space="preserve"> </w:t>
      </w:r>
      <w:r>
        <w:rPr>
          <w:rFonts w:ascii="宋体" w:hAnsi="宋体" w:eastAsia="宋体" w:cs="宋体"/>
          <w:spacing w:val="-3"/>
          <w:sz w:val="24"/>
          <w:szCs w:val="24"/>
        </w:rPr>
        <w:t>容器冷却。</w:t>
      </w:r>
    </w:p>
    <w:p w14:paraId="0F0BBF84">
      <w:pPr>
        <w:spacing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7.4 </w:t>
      </w:r>
      <w:r>
        <w:rPr>
          <w:rFonts w:ascii="宋体" w:hAnsi="宋体" w:eastAsia="宋体" w:cs="宋体"/>
          <w:b/>
          <w:bCs/>
          <w:spacing w:val="-2"/>
          <w:sz w:val="24"/>
          <w:szCs w:val="24"/>
        </w:rPr>
        <w:t>危废暂存间的风险防范措施</w:t>
      </w:r>
    </w:p>
    <w:p w14:paraId="64F06BBA">
      <w:pPr>
        <w:spacing w:before="182" w:line="359" w:lineRule="auto"/>
        <w:ind w:right="80" w:firstLine="481"/>
        <w:jc w:val="both"/>
        <w:rPr>
          <w:rFonts w:ascii="宋体" w:hAnsi="宋体" w:eastAsia="宋体" w:cs="宋体"/>
          <w:sz w:val="24"/>
          <w:szCs w:val="24"/>
        </w:rPr>
      </w:pPr>
      <w:r>
        <w:rPr>
          <w:rFonts w:ascii="宋体" w:hAnsi="宋体" w:eastAsia="宋体" w:cs="宋体"/>
          <w:spacing w:val="-8"/>
          <w:sz w:val="24"/>
          <w:szCs w:val="24"/>
        </w:rPr>
        <w:t>本项目新建危废暂存间，建成后原项目的危废暂存间拆除。危险废物暂存区按《危</w:t>
      </w:r>
      <w:r>
        <w:rPr>
          <w:rFonts w:ascii="宋体" w:hAnsi="宋体" w:eastAsia="宋体" w:cs="宋体"/>
          <w:sz w:val="24"/>
          <w:szCs w:val="24"/>
        </w:rPr>
        <w:t xml:space="preserve"> </w:t>
      </w:r>
      <w:r>
        <w:rPr>
          <w:rFonts w:ascii="宋体" w:hAnsi="宋体" w:eastAsia="宋体" w:cs="宋体"/>
          <w:spacing w:val="-2"/>
          <w:sz w:val="24"/>
          <w:szCs w:val="24"/>
        </w:rPr>
        <w:t>险废物贮存污染控制标准》（</w:t>
      </w:r>
      <w:r>
        <w:rPr>
          <w:rFonts w:ascii="Times New Roman" w:hAnsi="Times New Roman" w:eastAsia="Times New Roman" w:cs="Times New Roman"/>
          <w:spacing w:val="-2"/>
          <w:sz w:val="24"/>
          <w:szCs w:val="24"/>
        </w:rPr>
        <w:t>GB18597-2023</w:t>
      </w:r>
      <w:r>
        <w:rPr>
          <w:rFonts w:ascii="宋体" w:hAnsi="宋体" w:eastAsia="宋体" w:cs="宋体"/>
          <w:spacing w:val="-2"/>
          <w:sz w:val="24"/>
          <w:szCs w:val="24"/>
        </w:rPr>
        <w:t>）的相关要</w:t>
      </w:r>
      <w:r>
        <w:rPr>
          <w:rFonts w:ascii="宋体" w:hAnsi="宋体" w:eastAsia="宋体" w:cs="宋体"/>
          <w:spacing w:val="-3"/>
          <w:sz w:val="24"/>
          <w:szCs w:val="24"/>
        </w:rPr>
        <w:t>求进行建设，项目设置的危险</w:t>
      </w:r>
      <w:r>
        <w:rPr>
          <w:rFonts w:ascii="宋体" w:hAnsi="宋体" w:eastAsia="宋体" w:cs="宋体"/>
          <w:sz w:val="24"/>
          <w:szCs w:val="24"/>
        </w:rPr>
        <w:t xml:space="preserve"> </w:t>
      </w:r>
      <w:r>
        <w:rPr>
          <w:rFonts w:ascii="宋体" w:hAnsi="宋体" w:eastAsia="宋体" w:cs="宋体"/>
          <w:spacing w:val="-1"/>
          <w:sz w:val="24"/>
          <w:szCs w:val="24"/>
        </w:rPr>
        <w:t>废物暂存点满足以下要求：</w:t>
      </w:r>
    </w:p>
    <w:p w14:paraId="11EF06A5">
      <w:pPr>
        <w:spacing w:before="1" w:line="288" w:lineRule="auto"/>
        <w:ind w:left="2" w:right="80"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）对墙体及地面做防腐、防渗措施，地面基础必须防渗，防渗层为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2mm</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厚高</w:t>
      </w:r>
      <w:r>
        <w:rPr>
          <w:rFonts w:ascii="宋体" w:hAnsi="宋体" w:eastAsia="宋体" w:cs="宋体"/>
          <w:sz w:val="24"/>
          <w:szCs w:val="24"/>
        </w:rPr>
        <w:t xml:space="preserve"> 密度聚乙烯，或至少</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2mm </w:t>
      </w:r>
      <w:r>
        <w:rPr>
          <w:rFonts w:ascii="宋体" w:hAnsi="宋体" w:eastAsia="宋体" w:cs="宋体"/>
          <w:sz w:val="24"/>
          <w:szCs w:val="24"/>
        </w:rPr>
        <w:t>厚的其他人工材料，渗透系数</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-10</w:t>
      </w:r>
      <w:r>
        <w:rPr>
          <w:rFonts w:ascii="Times New Roman" w:hAnsi="Times New Roman" w:eastAsia="Times New Roman" w:cs="Times New Roman"/>
          <w:spacing w:val="-1"/>
          <w:sz w:val="24"/>
          <w:szCs w:val="24"/>
        </w:rPr>
        <w:t>cm/s</w:t>
      </w:r>
      <w:r>
        <w:rPr>
          <w:rFonts w:ascii="宋体" w:hAnsi="宋体" w:eastAsia="宋体" w:cs="宋体"/>
          <w:spacing w:val="-1"/>
          <w:sz w:val="24"/>
          <w:szCs w:val="24"/>
        </w:rPr>
        <w:t>；</w:t>
      </w:r>
    </w:p>
    <w:p w14:paraId="74CAF850">
      <w:pPr>
        <w:spacing w:before="184"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）堆放危险废物的高度应根据地面承载能力确定；</w:t>
      </w:r>
    </w:p>
    <w:p w14:paraId="10F2934F">
      <w:pPr>
        <w:spacing w:before="181"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）衬里放在一个基础或底座上；</w:t>
      </w:r>
    </w:p>
    <w:p w14:paraId="7E23C1DF">
      <w:pPr>
        <w:spacing w:before="183"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）衬里要能够覆盖危险废物或其溶出物可能涉及的范围；</w:t>
      </w:r>
    </w:p>
    <w:p w14:paraId="6C17C86D">
      <w:pPr>
        <w:spacing w:before="182"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）衬里材料与堆放危险废物相容，不会对地下水产生污染；</w:t>
      </w:r>
    </w:p>
    <w:p w14:paraId="73AB0011">
      <w:pPr>
        <w:spacing w:before="182"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）在衬里上设计、建造浸出液收集清除系统；</w:t>
      </w:r>
    </w:p>
    <w:p w14:paraId="61F1DA27">
      <w:pPr>
        <w:spacing w:before="180" w:line="290" w:lineRule="auto"/>
        <w:ind w:left="8" w:right="80"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）应设计建造径流疏导系统，保证能防止</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25 </w:t>
      </w:r>
      <w:r>
        <w:rPr>
          <w:rFonts w:ascii="宋体" w:hAnsi="宋体" w:eastAsia="宋体" w:cs="宋体"/>
          <w:spacing w:val="-2"/>
          <w:sz w:val="24"/>
          <w:szCs w:val="24"/>
        </w:rPr>
        <w:t>年一遇的暴雨不会流到危险废物</w:t>
      </w:r>
      <w:r>
        <w:rPr>
          <w:rFonts w:ascii="宋体" w:hAnsi="宋体" w:eastAsia="宋体" w:cs="宋体"/>
          <w:sz w:val="24"/>
          <w:szCs w:val="24"/>
        </w:rPr>
        <w:t xml:space="preserve"> </w:t>
      </w:r>
      <w:r>
        <w:rPr>
          <w:rFonts w:ascii="宋体" w:hAnsi="宋体" w:eastAsia="宋体" w:cs="宋体"/>
          <w:spacing w:val="-4"/>
          <w:sz w:val="24"/>
          <w:szCs w:val="24"/>
        </w:rPr>
        <w:t>暂存点内；</w:t>
      </w:r>
    </w:p>
    <w:p w14:paraId="5081D979">
      <w:pPr>
        <w:spacing w:before="183"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）危险废物暂存点要做好防风、防雨、防晒；</w:t>
      </w:r>
    </w:p>
    <w:p w14:paraId="298F0725">
      <w:pPr>
        <w:spacing w:before="181"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9</w:t>
      </w:r>
      <w:r>
        <w:rPr>
          <w:rFonts w:ascii="宋体" w:hAnsi="宋体" w:eastAsia="宋体" w:cs="宋体"/>
          <w:spacing w:val="-2"/>
          <w:sz w:val="24"/>
          <w:szCs w:val="24"/>
        </w:rPr>
        <w:t>）不相容的危险废物不能堆放在一起；</w:t>
      </w:r>
    </w:p>
    <w:p w14:paraId="01E4AD69">
      <w:pPr>
        <w:spacing w:before="181" w:line="313" w:lineRule="auto"/>
        <w:ind w:left="1" w:right="8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）泄漏的危废较少量时，危废暂存区设置有漫坡，可以阻止危废溢出。同时</w:t>
      </w:r>
      <w:r>
        <w:rPr>
          <w:rFonts w:ascii="宋体" w:hAnsi="宋体" w:eastAsia="宋体" w:cs="宋体"/>
          <w:spacing w:val="14"/>
          <w:sz w:val="24"/>
          <w:szCs w:val="24"/>
        </w:rPr>
        <w:t xml:space="preserve"> </w:t>
      </w:r>
      <w:r>
        <w:rPr>
          <w:rFonts w:ascii="宋体" w:hAnsi="宋体" w:eastAsia="宋体" w:cs="宋体"/>
          <w:spacing w:val="-1"/>
          <w:sz w:val="24"/>
          <w:szCs w:val="24"/>
        </w:rPr>
        <w:t>发现有泄漏时及时采用吸收材料，如吸收棉等，进行处理，事</w:t>
      </w:r>
      <w:r>
        <w:rPr>
          <w:rFonts w:ascii="宋体" w:hAnsi="宋体" w:eastAsia="宋体" w:cs="宋体"/>
          <w:spacing w:val="-2"/>
          <w:sz w:val="24"/>
          <w:szCs w:val="24"/>
        </w:rPr>
        <w:t>故后统一交由有资质单</w:t>
      </w:r>
      <w:r>
        <w:rPr>
          <w:rFonts w:ascii="宋体" w:hAnsi="宋体" w:eastAsia="宋体" w:cs="宋体"/>
          <w:sz w:val="24"/>
          <w:szCs w:val="24"/>
        </w:rPr>
        <w:t xml:space="preserve"> </w:t>
      </w:r>
      <w:r>
        <w:rPr>
          <w:rFonts w:ascii="宋体" w:hAnsi="宋体" w:eastAsia="宋体" w:cs="宋体"/>
          <w:spacing w:val="-3"/>
          <w:sz w:val="24"/>
          <w:szCs w:val="24"/>
        </w:rPr>
        <w:t>位处理；</w:t>
      </w:r>
    </w:p>
    <w:p w14:paraId="597ACE92">
      <w:pPr>
        <w:spacing w:before="179"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11</w:t>
      </w:r>
      <w:r>
        <w:rPr>
          <w:rFonts w:ascii="宋体" w:hAnsi="宋体" w:eastAsia="宋体" w:cs="宋体"/>
          <w:spacing w:val="-3"/>
          <w:sz w:val="24"/>
          <w:szCs w:val="24"/>
        </w:rPr>
        <w:t>）设置危险废物识别标志。</w:t>
      </w:r>
    </w:p>
    <w:p w14:paraId="7A8486B0">
      <w:pPr>
        <w:spacing w:before="182"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7.5 </w:t>
      </w:r>
      <w:r>
        <w:rPr>
          <w:rFonts w:ascii="宋体" w:hAnsi="宋体" w:eastAsia="宋体" w:cs="宋体"/>
          <w:b/>
          <w:bCs/>
          <w:spacing w:val="-2"/>
          <w:sz w:val="24"/>
          <w:szCs w:val="24"/>
        </w:rPr>
        <w:t>废气事故性排放风险的防范措施</w:t>
      </w:r>
    </w:p>
    <w:p w14:paraId="0295E67C">
      <w:pPr>
        <w:spacing w:before="180"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）设备的定期维护</w:t>
      </w:r>
    </w:p>
    <w:p w14:paraId="21F4D23B">
      <w:pPr>
        <w:spacing w:before="182" w:line="219" w:lineRule="auto"/>
        <w:ind w:left="484"/>
        <w:rPr>
          <w:rFonts w:ascii="宋体" w:hAnsi="宋体" w:eastAsia="宋体" w:cs="宋体"/>
          <w:sz w:val="24"/>
          <w:szCs w:val="24"/>
        </w:rPr>
      </w:pPr>
      <w:r>
        <w:rPr>
          <w:rFonts w:ascii="宋体" w:hAnsi="宋体" w:eastAsia="宋体" w:cs="宋体"/>
          <w:spacing w:val="-1"/>
          <w:sz w:val="24"/>
          <w:szCs w:val="24"/>
        </w:rPr>
        <w:t>工艺废气事故性排放风险主要来源于废气处理设施故障，在日常运行</w:t>
      </w:r>
      <w:r>
        <w:rPr>
          <w:rFonts w:ascii="宋体" w:hAnsi="宋体" w:eastAsia="宋体" w:cs="宋体"/>
          <w:spacing w:val="-2"/>
          <w:sz w:val="24"/>
          <w:szCs w:val="24"/>
        </w:rPr>
        <w:t>过程中，应</w:t>
      </w:r>
    </w:p>
    <w:p w14:paraId="7AF0E94B">
      <w:pPr>
        <w:spacing w:line="219" w:lineRule="auto"/>
        <w:rPr>
          <w:rFonts w:ascii="宋体" w:hAnsi="宋体" w:eastAsia="宋体" w:cs="宋体"/>
          <w:sz w:val="24"/>
          <w:szCs w:val="24"/>
        </w:rPr>
        <w:sectPr>
          <w:footerReference r:id="rId162" w:type="default"/>
          <w:pgSz w:w="11906" w:h="16839"/>
          <w:pgMar w:top="400" w:right="1450" w:bottom="1127" w:left="1539" w:header="0" w:footer="965" w:gutter="0"/>
          <w:cols w:space="720" w:num="1"/>
        </w:sectPr>
      </w:pPr>
    </w:p>
    <w:p w14:paraId="55C31A86">
      <w:pPr>
        <w:spacing w:line="250" w:lineRule="auto"/>
        <w:rPr>
          <w:rFonts w:ascii="Arial"/>
          <w:sz w:val="21"/>
        </w:rPr>
      </w:pPr>
    </w:p>
    <w:p w14:paraId="26813128">
      <w:pPr>
        <w:spacing w:line="250" w:lineRule="auto"/>
        <w:rPr>
          <w:rFonts w:ascii="Arial"/>
          <w:sz w:val="21"/>
        </w:rPr>
      </w:pPr>
    </w:p>
    <w:p w14:paraId="2C9098EB">
      <w:pPr>
        <w:spacing w:line="250" w:lineRule="auto"/>
        <w:rPr>
          <w:rFonts w:ascii="Arial"/>
          <w:sz w:val="21"/>
        </w:rPr>
      </w:pPr>
    </w:p>
    <w:p w14:paraId="617D2F3C">
      <w:pPr>
        <w:spacing w:line="250" w:lineRule="auto"/>
        <w:rPr>
          <w:rFonts w:ascii="Arial"/>
          <w:sz w:val="21"/>
        </w:rPr>
      </w:pPr>
    </w:p>
    <w:p w14:paraId="5C702EE4">
      <w:pPr>
        <w:spacing w:line="251" w:lineRule="auto"/>
        <w:rPr>
          <w:rFonts w:ascii="Arial"/>
          <w:sz w:val="21"/>
        </w:rPr>
      </w:pPr>
    </w:p>
    <w:p w14:paraId="674458F6">
      <w:pPr>
        <w:spacing w:before="78" w:line="359" w:lineRule="auto"/>
        <w:ind w:left="5" w:right="61" w:firstLine="1"/>
        <w:jc w:val="both"/>
        <w:rPr>
          <w:rFonts w:ascii="宋体" w:hAnsi="宋体" w:eastAsia="宋体" w:cs="宋体"/>
          <w:sz w:val="24"/>
          <w:szCs w:val="24"/>
        </w:rPr>
      </w:pPr>
      <w:r>
        <w:rPr>
          <w:rFonts w:ascii="宋体" w:hAnsi="宋体" w:eastAsia="宋体" w:cs="宋体"/>
          <w:spacing w:val="-1"/>
          <w:sz w:val="24"/>
          <w:szCs w:val="24"/>
        </w:rPr>
        <w:t>定期对废气处理设施进行安全检测，一方面对废</w:t>
      </w:r>
      <w:r>
        <w:rPr>
          <w:rFonts w:ascii="宋体" w:hAnsi="宋体" w:eastAsia="宋体" w:cs="宋体"/>
          <w:spacing w:val="-2"/>
          <w:sz w:val="24"/>
          <w:szCs w:val="24"/>
        </w:rPr>
        <w:t>气收集系统进行检测维护，确保废气</w:t>
      </w:r>
      <w:r>
        <w:rPr>
          <w:rFonts w:ascii="宋体" w:hAnsi="宋体" w:eastAsia="宋体" w:cs="宋体"/>
          <w:sz w:val="24"/>
          <w:szCs w:val="24"/>
        </w:rPr>
        <w:t xml:space="preserve"> </w:t>
      </w:r>
      <w:r>
        <w:rPr>
          <w:rFonts w:ascii="宋体" w:hAnsi="宋体" w:eastAsia="宋体" w:cs="宋体"/>
          <w:spacing w:val="-1"/>
          <w:sz w:val="24"/>
          <w:szCs w:val="24"/>
        </w:rPr>
        <w:t>收集稳定性，确保各阀门管道连接气密性，避免废气</w:t>
      </w:r>
      <w:r>
        <w:rPr>
          <w:rFonts w:ascii="宋体" w:hAnsi="宋体" w:eastAsia="宋体" w:cs="宋体"/>
          <w:spacing w:val="-2"/>
          <w:sz w:val="24"/>
          <w:szCs w:val="24"/>
        </w:rPr>
        <w:t>处理设施故障；另一方面应根据</w:t>
      </w:r>
      <w:r>
        <w:rPr>
          <w:rFonts w:ascii="宋体" w:hAnsi="宋体" w:eastAsia="宋体" w:cs="宋体"/>
          <w:sz w:val="24"/>
          <w:szCs w:val="24"/>
        </w:rPr>
        <w:t xml:space="preserve"> </w:t>
      </w:r>
      <w:r>
        <w:rPr>
          <w:rFonts w:ascii="宋体" w:hAnsi="宋体" w:eastAsia="宋体" w:cs="宋体"/>
          <w:spacing w:val="-1"/>
          <w:sz w:val="24"/>
          <w:szCs w:val="24"/>
        </w:rPr>
        <w:t>设备的使用规范，及时更换吸收液、吸附介质等，确</w:t>
      </w:r>
      <w:r>
        <w:rPr>
          <w:rFonts w:ascii="宋体" w:hAnsi="宋体" w:eastAsia="宋体" w:cs="宋体"/>
          <w:spacing w:val="-2"/>
          <w:sz w:val="24"/>
          <w:szCs w:val="24"/>
        </w:rPr>
        <w:t>保废气处理设施对大气污染物的</w:t>
      </w:r>
      <w:r>
        <w:rPr>
          <w:rFonts w:ascii="宋体" w:hAnsi="宋体" w:eastAsia="宋体" w:cs="宋体"/>
          <w:sz w:val="24"/>
          <w:szCs w:val="24"/>
        </w:rPr>
        <w:t xml:space="preserve"> </w:t>
      </w:r>
      <w:r>
        <w:rPr>
          <w:rFonts w:ascii="宋体" w:hAnsi="宋体" w:eastAsia="宋体" w:cs="宋体"/>
          <w:spacing w:val="-3"/>
          <w:sz w:val="24"/>
          <w:szCs w:val="24"/>
        </w:rPr>
        <w:t>处理效率。</w:t>
      </w:r>
    </w:p>
    <w:p w14:paraId="1A480F70">
      <w:pPr>
        <w:spacing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）操作人员的教育培训</w:t>
      </w:r>
    </w:p>
    <w:p w14:paraId="204209B2">
      <w:pPr>
        <w:spacing w:before="183" w:line="359" w:lineRule="auto"/>
        <w:ind w:left="2" w:right="61" w:firstLine="478"/>
        <w:rPr>
          <w:rFonts w:ascii="宋体" w:hAnsi="宋体" w:eastAsia="宋体" w:cs="宋体"/>
          <w:sz w:val="24"/>
          <w:szCs w:val="24"/>
        </w:rPr>
      </w:pPr>
      <w:r>
        <w:rPr>
          <w:rFonts w:ascii="宋体" w:hAnsi="宋体" w:eastAsia="宋体" w:cs="宋体"/>
          <w:spacing w:val="-1"/>
          <w:sz w:val="24"/>
          <w:szCs w:val="24"/>
        </w:rPr>
        <w:t>在日常运营过程中，应加强操作人员的教育培训，确保</w:t>
      </w:r>
      <w:r>
        <w:rPr>
          <w:rFonts w:ascii="宋体" w:hAnsi="宋体" w:eastAsia="宋体" w:cs="宋体"/>
          <w:spacing w:val="-2"/>
          <w:sz w:val="24"/>
          <w:szCs w:val="24"/>
        </w:rPr>
        <w:t>所有生产设施的操作均合</w:t>
      </w:r>
      <w:r>
        <w:rPr>
          <w:rFonts w:ascii="宋体" w:hAnsi="宋体" w:eastAsia="宋体" w:cs="宋体"/>
          <w:sz w:val="24"/>
          <w:szCs w:val="24"/>
        </w:rPr>
        <w:t xml:space="preserve"> 规合理，避免因误操作导致的生产设施故障而</w:t>
      </w:r>
      <w:r>
        <w:rPr>
          <w:rFonts w:ascii="宋体" w:hAnsi="宋体" w:eastAsia="宋体" w:cs="宋体"/>
          <w:spacing w:val="-1"/>
          <w:sz w:val="24"/>
          <w:szCs w:val="24"/>
        </w:rPr>
        <w:t>导致工艺事故性废气排放。</w:t>
      </w:r>
    </w:p>
    <w:p w14:paraId="6902FAC6">
      <w:pPr>
        <w:spacing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）合理安排生产制度</w:t>
      </w:r>
    </w:p>
    <w:p w14:paraId="1FA87787">
      <w:pPr>
        <w:spacing w:before="180" w:line="359" w:lineRule="auto"/>
        <w:ind w:left="4" w:firstLine="477"/>
        <w:rPr>
          <w:rFonts w:ascii="宋体" w:hAnsi="宋体" w:eastAsia="宋体" w:cs="宋体"/>
          <w:sz w:val="24"/>
          <w:szCs w:val="24"/>
        </w:rPr>
      </w:pPr>
      <w:r>
        <w:rPr>
          <w:rFonts w:ascii="宋体" w:hAnsi="宋体" w:eastAsia="宋体" w:cs="宋体"/>
          <w:spacing w:val="-6"/>
          <w:sz w:val="24"/>
          <w:szCs w:val="24"/>
        </w:rPr>
        <w:t>应在充分考虑设备实际处理能力的情况下，合理安排生产制度</w:t>
      </w:r>
      <w:r>
        <w:rPr>
          <w:rFonts w:ascii="宋体" w:hAnsi="宋体" w:eastAsia="宋体" w:cs="宋体"/>
          <w:spacing w:val="-7"/>
          <w:sz w:val="24"/>
          <w:szCs w:val="24"/>
        </w:rPr>
        <w:t>，杜绝超负荷运行，</w:t>
      </w:r>
      <w:r>
        <w:rPr>
          <w:rFonts w:ascii="宋体" w:hAnsi="宋体" w:eastAsia="宋体" w:cs="宋体"/>
          <w:sz w:val="24"/>
          <w:szCs w:val="24"/>
        </w:rPr>
        <w:t xml:space="preserve"> 从而确保生产设备在合理生产负荷条件下稳定运行</w:t>
      </w:r>
      <w:r>
        <w:rPr>
          <w:rFonts w:ascii="宋体" w:hAnsi="宋体" w:eastAsia="宋体" w:cs="宋体"/>
          <w:spacing w:val="-1"/>
          <w:sz w:val="24"/>
          <w:szCs w:val="24"/>
        </w:rPr>
        <w:t>，避免超载引发的设备故障等。</w:t>
      </w:r>
    </w:p>
    <w:p w14:paraId="18DB31EF">
      <w:pPr>
        <w:spacing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）做好运行管理</w:t>
      </w:r>
    </w:p>
    <w:p w14:paraId="4102976C">
      <w:pPr>
        <w:spacing w:before="182" w:line="359" w:lineRule="auto"/>
        <w:ind w:left="4" w:right="61" w:firstLine="479"/>
        <w:rPr>
          <w:rFonts w:ascii="宋体" w:hAnsi="宋体" w:eastAsia="宋体" w:cs="宋体"/>
          <w:sz w:val="24"/>
          <w:szCs w:val="24"/>
        </w:rPr>
      </w:pPr>
      <w:r>
        <w:rPr>
          <w:rFonts w:ascii="宋体" w:hAnsi="宋体" w:eastAsia="宋体" w:cs="宋体"/>
          <w:spacing w:val="-1"/>
          <w:sz w:val="24"/>
          <w:szCs w:val="24"/>
        </w:rPr>
        <w:t>现场作业人员定时记录废气抽排放系统及收集排</w:t>
      </w:r>
      <w:r>
        <w:rPr>
          <w:rFonts w:ascii="宋体" w:hAnsi="宋体" w:eastAsia="宋体" w:cs="宋体"/>
          <w:spacing w:val="-2"/>
          <w:sz w:val="24"/>
          <w:szCs w:val="24"/>
        </w:rPr>
        <w:t>放系统，并派专人巡视，废气处</w:t>
      </w:r>
      <w:r>
        <w:rPr>
          <w:rFonts w:ascii="宋体" w:hAnsi="宋体" w:eastAsia="宋体" w:cs="宋体"/>
          <w:sz w:val="24"/>
          <w:szCs w:val="24"/>
        </w:rPr>
        <w:t xml:space="preserve"> </w:t>
      </w:r>
      <w:r>
        <w:rPr>
          <w:rFonts w:ascii="宋体" w:hAnsi="宋体" w:eastAsia="宋体" w:cs="宋体"/>
          <w:spacing w:val="-1"/>
          <w:sz w:val="24"/>
          <w:szCs w:val="24"/>
        </w:rPr>
        <w:t>理系统出现故障，立即停止生产，切断废气来源，维修</w:t>
      </w:r>
      <w:r>
        <w:rPr>
          <w:rFonts w:ascii="宋体" w:hAnsi="宋体" w:eastAsia="宋体" w:cs="宋体"/>
          <w:spacing w:val="-2"/>
          <w:sz w:val="24"/>
          <w:szCs w:val="24"/>
        </w:rPr>
        <w:t>正常后再恢复生产，杜绝事故</w:t>
      </w:r>
      <w:r>
        <w:rPr>
          <w:rFonts w:ascii="宋体" w:hAnsi="宋体" w:eastAsia="宋体" w:cs="宋体"/>
          <w:sz w:val="24"/>
          <w:szCs w:val="24"/>
        </w:rPr>
        <w:t xml:space="preserve"> 性废气直排，并及时呈报单位主管。待检修</w:t>
      </w:r>
      <w:r>
        <w:rPr>
          <w:rFonts w:ascii="宋体" w:hAnsi="宋体" w:eastAsia="宋体" w:cs="宋体"/>
          <w:spacing w:val="-1"/>
          <w:sz w:val="24"/>
          <w:szCs w:val="24"/>
        </w:rPr>
        <w:t>完毕再通知生产车间相关工序。</w:t>
      </w:r>
    </w:p>
    <w:p w14:paraId="39FCE020">
      <w:pPr>
        <w:spacing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7.6 </w:t>
      </w:r>
      <w:r>
        <w:rPr>
          <w:rFonts w:ascii="宋体" w:hAnsi="宋体" w:eastAsia="宋体" w:cs="宋体"/>
          <w:b/>
          <w:bCs/>
          <w:spacing w:val="-2"/>
          <w:sz w:val="24"/>
          <w:szCs w:val="24"/>
        </w:rPr>
        <w:t>废水事故性排放风险的防范措施</w:t>
      </w:r>
    </w:p>
    <w:p w14:paraId="2E22EF06">
      <w:pPr>
        <w:spacing w:before="182" w:line="359" w:lineRule="auto"/>
        <w:ind w:left="1" w:firstLine="480"/>
        <w:jc w:val="both"/>
        <w:rPr>
          <w:rFonts w:ascii="宋体" w:hAnsi="宋体" w:eastAsia="宋体" w:cs="宋体"/>
          <w:sz w:val="24"/>
          <w:szCs w:val="24"/>
        </w:rPr>
      </w:pPr>
      <w:r>
        <w:rPr>
          <w:rFonts w:ascii="宋体" w:hAnsi="宋体" w:eastAsia="宋体" w:cs="宋体"/>
          <w:spacing w:val="-1"/>
          <w:sz w:val="24"/>
          <w:szCs w:val="24"/>
        </w:rPr>
        <w:t>本项目生产废水进入配套建设的废水处理站，预处</w:t>
      </w:r>
      <w:r>
        <w:rPr>
          <w:rFonts w:ascii="宋体" w:hAnsi="宋体" w:eastAsia="宋体" w:cs="宋体"/>
          <w:spacing w:val="-2"/>
          <w:sz w:val="24"/>
          <w:szCs w:val="24"/>
        </w:rPr>
        <w:t>理达标后，排入附近可塘镇污</w:t>
      </w:r>
      <w:r>
        <w:rPr>
          <w:rFonts w:ascii="宋体" w:hAnsi="宋体" w:eastAsia="宋体" w:cs="宋体"/>
          <w:sz w:val="24"/>
          <w:szCs w:val="24"/>
        </w:rPr>
        <w:t xml:space="preserve"> </w:t>
      </w:r>
      <w:r>
        <w:rPr>
          <w:rFonts w:ascii="宋体" w:hAnsi="宋体" w:eastAsia="宋体" w:cs="宋体"/>
          <w:spacing w:val="-6"/>
          <w:sz w:val="24"/>
          <w:szCs w:val="24"/>
        </w:rPr>
        <w:t>水管网，汇入可塘镇污水处理厂。本项目生活污水经化粪池处理后排入市政污水管网，</w:t>
      </w:r>
      <w:r>
        <w:rPr>
          <w:rFonts w:ascii="宋体" w:hAnsi="宋体" w:eastAsia="宋体" w:cs="宋体"/>
          <w:spacing w:val="3"/>
          <w:sz w:val="24"/>
          <w:szCs w:val="24"/>
        </w:rPr>
        <w:t xml:space="preserve"> </w:t>
      </w:r>
      <w:r>
        <w:rPr>
          <w:rFonts w:ascii="宋体" w:hAnsi="宋体" w:eastAsia="宋体" w:cs="宋体"/>
          <w:spacing w:val="-1"/>
          <w:sz w:val="24"/>
          <w:szCs w:val="24"/>
        </w:rPr>
        <w:t>汇入可塘镇污水处理厂。</w:t>
      </w:r>
    </w:p>
    <w:p w14:paraId="13F6554C">
      <w:pPr>
        <w:spacing w:before="3" w:line="359" w:lineRule="auto"/>
        <w:ind w:right="61" w:firstLine="481"/>
        <w:jc w:val="both"/>
        <w:rPr>
          <w:rFonts w:ascii="宋体" w:hAnsi="宋体" w:eastAsia="宋体" w:cs="宋体"/>
          <w:sz w:val="24"/>
          <w:szCs w:val="24"/>
        </w:rPr>
      </w:pPr>
      <w:r>
        <w:rPr>
          <w:rFonts w:ascii="宋体" w:hAnsi="宋体" w:eastAsia="宋体" w:cs="宋体"/>
          <w:spacing w:val="-1"/>
          <w:sz w:val="24"/>
          <w:szCs w:val="24"/>
        </w:rPr>
        <w:t>本项目外排生产废水、生活污水满足可塘镇污水厂</w:t>
      </w:r>
      <w:r>
        <w:rPr>
          <w:rFonts w:ascii="宋体" w:hAnsi="宋体" w:eastAsia="宋体" w:cs="宋体"/>
          <w:spacing w:val="-2"/>
          <w:sz w:val="24"/>
          <w:szCs w:val="24"/>
        </w:rPr>
        <w:t>设计进水标准限值、《污水排</w:t>
      </w:r>
      <w:r>
        <w:rPr>
          <w:rFonts w:ascii="宋体" w:hAnsi="宋体" w:eastAsia="宋体" w:cs="宋体"/>
          <w:sz w:val="24"/>
          <w:szCs w:val="24"/>
        </w:rPr>
        <w:t xml:space="preserve"> </w:t>
      </w:r>
      <w:r>
        <w:rPr>
          <w:rFonts w:ascii="宋体" w:hAnsi="宋体" w:eastAsia="宋体" w:cs="宋体"/>
          <w:spacing w:val="-1"/>
          <w:sz w:val="24"/>
          <w:szCs w:val="24"/>
        </w:rPr>
        <w:t>入城镇下水道水质标准》（</w:t>
      </w:r>
      <w:r>
        <w:rPr>
          <w:rFonts w:ascii="Times New Roman" w:hAnsi="Times New Roman" w:eastAsia="Times New Roman" w:cs="Times New Roman"/>
          <w:spacing w:val="-1"/>
          <w:sz w:val="24"/>
          <w:szCs w:val="24"/>
        </w:rPr>
        <w:t>GB/T31962-2015</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级标准限值、</w:t>
      </w:r>
      <w:r>
        <w:rPr>
          <w:rFonts w:ascii="宋体" w:hAnsi="宋体" w:eastAsia="宋体" w:cs="宋体"/>
          <w:spacing w:val="-2"/>
          <w:sz w:val="24"/>
          <w:szCs w:val="24"/>
        </w:rPr>
        <w:t>广东省地方标准《水污</w:t>
      </w:r>
      <w:r>
        <w:rPr>
          <w:rFonts w:ascii="宋体" w:hAnsi="宋体" w:eastAsia="宋体" w:cs="宋体"/>
          <w:sz w:val="24"/>
          <w:szCs w:val="24"/>
        </w:rPr>
        <w:t xml:space="preserve"> </w:t>
      </w:r>
      <w:r>
        <w:rPr>
          <w:rFonts w:ascii="宋体" w:hAnsi="宋体" w:eastAsia="宋体" w:cs="宋体"/>
          <w:spacing w:val="-1"/>
          <w:sz w:val="24"/>
          <w:szCs w:val="24"/>
        </w:rPr>
        <w:t>染物排放限值》（</w:t>
      </w:r>
      <w:r>
        <w:rPr>
          <w:rFonts w:ascii="Times New Roman" w:hAnsi="Times New Roman" w:eastAsia="Times New Roman" w:cs="Times New Roman"/>
          <w:spacing w:val="-1"/>
          <w:sz w:val="24"/>
          <w:szCs w:val="24"/>
        </w:rPr>
        <w:t>DB44/26-2001</w:t>
      </w:r>
      <w:r>
        <w:rPr>
          <w:rFonts w:ascii="宋体" w:hAnsi="宋体" w:eastAsia="宋体" w:cs="宋体"/>
          <w:spacing w:val="-1"/>
          <w:sz w:val="24"/>
          <w:szCs w:val="24"/>
        </w:rPr>
        <w:t>）第一类污染物最高允许排放浓度限值和第二</w:t>
      </w:r>
      <w:r>
        <w:rPr>
          <w:rFonts w:ascii="宋体" w:hAnsi="宋体" w:eastAsia="宋体" w:cs="宋体"/>
          <w:spacing w:val="-2"/>
          <w:sz w:val="24"/>
          <w:szCs w:val="24"/>
        </w:rPr>
        <w:t>时段三</w:t>
      </w:r>
      <w:r>
        <w:rPr>
          <w:rFonts w:ascii="宋体" w:hAnsi="宋体" w:eastAsia="宋体" w:cs="宋体"/>
          <w:sz w:val="24"/>
          <w:szCs w:val="24"/>
        </w:rPr>
        <w:t xml:space="preserve"> </w:t>
      </w:r>
      <w:r>
        <w:rPr>
          <w:rFonts w:ascii="宋体" w:hAnsi="宋体" w:eastAsia="宋体" w:cs="宋体"/>
          <w:spacing w:val="-1"/>
          <w:sz w:val="24"/>
          <w:szCs w:val="24"/>
        </w:rPr>
        <w:t>级标准限值三者最严值要求。</w:t>
      </w:r>
    </w:p>
    <w:p w14:paraId="58A9E7C0">
      <w:pPr>
        <w:spacing w:line="359" w:lineRule="auto"/>
        <w:ind w:left="1" w:right="61" w:firstLine="509"/>
        <w:rPr>
          <w:rFonts w:ascii="宋体" w:hAnsi="宋体" w:eastAsia="宋体" w:cs="宋体"/>
          <w:sz w:val="24"/>
          <w:szCs w:val="24"/>
        </w:rPr>
      </w:pPr>
      <w:r>
        <w:rPr>
          <w:rFonts w:ascii="宋体" w:hAnsi="宋体" w:eastAsia="宋体" w:cs="宋体"/>
          <w:spacing w:val="-2"/>
          <w:sz w:val="24"/>
          <w:szCs w:val="24"/>
        </w:rPr>
        <w:t>由于三级化粪池处理效率较为稳定，且生活污水为间接排放，故不</w:t>
      </w:r>
      <w:r>
        <w:rPr>
          <w:rFonts w:ascii="宋体" w:hAnsi="宋体" w:eastAsia="宋体" w:cs="宋体"/>
          <w:spacing w:val="-3"/>
          <w:sz w:val="24"/>
          <w:szCs w:val="24"/>
        </w:rPr>
        <w:t>考虑生活污水</w:t>
      </w:r>
      <w:r>
        <w:rPr>
          <w:rFonts w:ascii="宋体" w:hAnsi="宋体" w:eastAsia="宋体" w:cs="宋体"/>
          <w:sz w:val="24"/>
          <w:szCs w:val="24"/>
        </w:rPr>
        <w:t xml:space="preserve"> </w:t>
      </w:r>
      <w:r>
        <w:rPr>
          <w:rFonts w:ascii="宋体" w:hAnsi="宋体" w:eastAsia="宋体" w:cs="宋体"/>
          <w:spacing w:val="-2"/>
          <w:sz w:val="24"/>
          <w:szCs w:val="24"/>
        </w:rPr>
        <w:t>事故性排放情况。</w:t>
      </w:r>
    </w:p>
    <w:p w14:paraId="606C9BA0">
      <w:pPr>
        <w:spacing w:line="359" w:lineRule="auto"/>
        <w:ind w:left="1" w:right="61" w:firstLine="483"/>
        <w:jc w:val="both"/>
        <w:rPr>
          <w:rFonts w:ascii="宋体" w:hAnsi="宋体" w:eastAsia="宋体" w:cs="宋体"/>
          <w:sz w:val="24"/>
          <w:szCs w:val="24"/>
        </w:rPr>
      </w:pPr>
      <w:r>
        <w:rPr>
          <w:rFonts w:ascii="宋体" w:hAnsi="宋体" w:eastAsia="宋体" w:cs="宋体"/>
          <w:spacing w:val="-1"/>
          <w:sz w:val="24"/>
          <w:szCs w:val="24"/>
        </w:rPr>
        <w:t>项目事故废水主要包括正常运行产生的泡酸</w:t>
      </w:r>
      <w:r>
        <w:rPr>
          <w:rFonts w:ascii="宋体" w:hAnsi="宋体" w:eastAsia="宋体" w:cs="宋体"/>
          <w:spacing w:val="-2"/>
          <w:sz w:val="24"/>
          <w:szCs w:val="24"/>
        </w:rPr>
        <w:t>废水、发生火灾爆炸事故时产生的消</w:t>
      </w:r>
      <w:r>
        <w:rPr>
          <w:rFonts w:ascii="宋体" w:hAnsi="宋体" w:eastAsia="宋体" w:cs="宋体"/>
          <w:sz w:val="24"/>
          <w:szCs w:val="24"/>
        </w:rPr>
        <w:t xml:space="preserve"> </w:t>
      </w:r>
      <w:r>
        <w:rPr>
          <w:rFonts w:ascii="宋体" w:hAnsi="宋体" w:eastAsia="宋体" w:cs="宋体"/>
          <w:spacing w:val="-2"/>
          <w:sz w:val="24"/>
          <w:szCs w:val="24"/>
        </w:rPr>
        <w:t>防废水、液体物料泄漏产生的废液、初期雨水</w:t>
      </w:r>
      <w:r>
        <w:rPr>
          <w:rFonts w:ascii="宋体" w:hAnsi="宋体" w:eastAsia="宋体" w:cs="宋体"/>
          <w:spacing w:val="-3"/>
          <w:sz w:val="24"/>
          <w:szCs w:val="24"/>
        </w:rPr>
        <w:t>等。项目配套建设有</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800m</w:t>
      </w:r>
      <w:r>
        <w:rPr>
          <w:rFonts w:ascii="宋体" w:hAnsi="宋体" w:eastAsia="宋体" w:cs="宋体"/>
          <w:spacing w:val="-3"/>
          <w:sz w:val="24"/>
          <w:szCs w:val="24"/>
        </w:rPr>
        <w:t>³</w:t>
      </w:r>
      <w:r>
        <w:rPr>
          <w:rFonts w:ascii="宋体" w:hAnsi="宋体" w:eastAsia="宋体" w:cs="宋体"/>
          <w:spacing w:val="-91"/>
          <w:sz w:val="24"/>
          <w:szCs w:val="24"/>
        </w:rPr>
        <w:t xml:space="preserve"> </w:t>
      </w:r>
      <w:r>
        <w:rPr>
          <w:rFonts w:ascii="宋体" w:hAnsi="宋体" w:eastAsia="宋体" w:cs="宋体"/>
          <w:spacing w:val="-3"/>
          <w:sz w:val="24"/>
          <w:szCs w:val="24"/>
        </w:rPr>
        <w:t>的事故应急</w:t>
      </w:r>
      <w:r>
        <w:rPr>
          <w:rFonts w:ascii="宋体" w:hAnsi="宋体" w:eastAsia="宋体" w:cs="宋体"/>
          <w:sz w:val="24"/>
          <w:szCs w:val="24"/>
        </w:rPr>
        <w:t xml:space="preserve"> </w:t>
      </w:r>
      <w:r>
        <w:rPr>
          <w:rFonts w:ascii="宋体" w:hAnsi="宋体" w:eastAsia="宋体" w:cs="宋体"/>
          <w:spacing w:val="-1"/>
          <w:sz w:val="24"/>
          <w:szCs w:val="24"/>
        </w:rPr>
        <w:t>池，可满足项目事故状态下所有废水、废液、雨水的暂存需求</w:t>
      </w:r>
      <w:r>
        <w:rPr>
          <w:rFonts w:ascii="宋体" w:hAnsi="宋体" w:eastAsia="宋体" w:cs="宋体"/>
          <w:spacing w:val="-2"/>
          <w:sz w:val="24"/>
          <w:szCs w:val="24"/>
        </w:rPr>
        <w:t>，待废水处理系统恢复</w:t>
      </w:r>
      <w:r>
        <w:rPr>
          <w:rFonts w:ascii="宋体" w:hAnsi="宋体" w:eastAsia="宋体" w:cs="宋体"/>
          <w:sz w:val="24"/>
          <w:szCs w:val="24"/>
        </w:rPr>
        <w:t xml:space="preserve"> </w:t>
      </w:r>
      <w:r>
        <w:rPr>
          <w:rFonts w:ascii="宋体" w:hAnsi="宋体" w:eastAsia="宋体" w:cs="宋体"/>
          <w:spacing w:val="-1"/>
          <w:sz w:val="24"/>
          <w:szCs w:val="24"/>
        </w:rPr>
        <w:t>正常运行后处理达标排放。</w:t>
      </w:r>
    </w:p>
    <w:p w14:paraId="7209D2CF">
      <w:pPr>
        <w:spacing w:before="1" w:line="218" w:lineRule="auto"/>
        <w:ind w:left="482"/>
        <w:rPr>
          <w:rFonts w:ascii="宋体" w:hAnsi="宋体" w:eastAsia="宋体" w:cs="宋体"/>
          <w:sz w:val="24"/>
          <w:szCs w:val="24"/>
        </w:rPr>
      </w:pPr>
      <w:r>
        <w:rPr>
          <w:rFonts w:ascii="宋体" w:hAnsi="宋体" w:eastAsia="宋体" w:cs="宋体"/>
          <w:spacing w:val="-1"/>
          <w:sz w:val="24"/>
          <w:szCs w:val="24"/>
        </w:rPr>
        <w:t>本项目化学品仓库设有围堰，四周设有导流渠与事</w:t>
      </w:r>
      <w:r>
        <w:rPr>
          <w:rFonts w:ascii="宋体" w:hAnsi="宋体" w:eastAsia="宋体" w:cs="宋体"/>
          <w:spacing w:val="-2"/>
          <w:sz w:val="24"/>
          <w:szCs w:val="24"/>
        </w:rPr>
        <w:t>故应急池相连，导流渠与收集</w:t>
      </w:r>
    </w:p>
    <w:p w14:paraId="1DF0ECB1">
      <w:pPr>
        <w:spacing w:line="218" w:lineRule="auto"/>
        <w:rPr>
          <w:rFonts w:ascii="宋体" w:hAnsi="宋体" w:eastAsia="宋体" w:cs="宋体"/>
          <w:sz w:val="24"/>
          <w:szCs w:val="24"/>
        </w:rPr>
        <w:sectPr>
          <w:footerReference r:id="rId163" w:type="default"/>
          <w:pgSz w:w="11906" w:h="16839"/>
          <w:pgMar w:top="400" w:right="1469" w:bottom="1127" w:left="1539" w:header="0" w:footer="965" w:gutter="0"/>
          <w:cols w:space="720" w:num="1"/>
        </w:sectPr>
      </w:pPr>
    </w:p>
    <w:p w14:paraId="7733EDD5">
      <w:pPr>
        <w:spacing w:line="250" w:lineRule="auto"/>
        <w:rPr>
          <w:rFonts w:ascii="Arial"/>
          <w:sz w:val="21"/>
        </w:rPr>
      </w:pPr>
    </w:p>
    <w:p w14:paraId="52AB06AD">
      <w:pPr>
        <w:spacing w:line="250" w:lineRule="auto"/>
        <w:rPr>
          <w:rFonts w:ascii="Arial"/>
          <w:sz w:val="21"/>
        </w:rPr>
      </w:pPr>
    </w:p>
    <w:p w14:paraId="12EFDEF1">
      <w:pPr>
        <w:spacing w:line="250" w:lineRule="auto"/>
        <w:rPr>
          <w:rFonts w:ascii="Arial"/>
          <w:sz w:val="21"/>
        </w:rPr>
      </w:pPr>
    </w:p>
    <w:p w14:paraId="7DDEFFB6">
      <w:pPr>
        <w:spacing w:line="251" w:lineRule="auto"/>
        <w:rPr>
          <w:rFonts w:ascii="Arial"/>
          <w:sz w:val="21"/>
        </w:rPr>
      </w:pPr>
    </w:p>
    <w:p w14:paraId="0EE1E346">
      <w:pPr>
        <w:spacing w:line="251" w:lineRule="auto"/>
        <w:rPr>
          <w:rFonts w:ascii="Arial"/>
          <w:sz w:val="21"/>
        </w:rPr>
      </w:pPr>
    </w:p>
    <w:p w14:paraId="3CD2042D">
      <w:pPr>
        <w:spacing w:before="78" w:line="359" w:lineRule="auto"/>
        <w:ind w:left="3" w:hanging="2"/>
        <w:jc w:val="both"/>
        <w:rPr>
          <w:rFonts w:ascii="宋体" w:hAnsi="宋体" w:eastAsia="宋体" w:cs="宋体"/>
          <w:sz w:val="24"/>
          <w:szCs w:val="24"/>
        </w:rPr>
      </w:pPr>
      <w:r>
        <w:rPr>
          <w:rFonts w:ascii="宋体" w:hAnsi="宋体" w:eastAsia="宋体" w:cs="宋体"/>
          <w:spacing w:val="-1"/>
          <w:sz w:val="24"/>
          <w:szCs w:val="24"/>
        </w:rPr>
        <w:t>池、雨水排放口之间设置有切换阀。通过采取设施措施，一旦</w:t>
      </w:r>
      <w:r>
        <w:rPr>
          <w:rFonts w:ascii="宋体" w:hAnsi="宋体" w:eastAsia="宋体" w:cs="宋体"/>
          <w:spacing w:val="-2"/>
          <w:sz w:val="24"/>
          <w:szCs w:val="24"/>
        </w:rPr>
        <w:t>发生泄漏，泄漏的危化</w:t>
      </w:r>
      <w:r>
        <w:rPr>
          <w:rFonts w:ascii="宋体" w:hAnsi="宋体" w:eastAsia="宋体" w:cs="宋体"/>
          <w:sz w:val="24"/>
          <w:szCs w:val="24"/>
        </w:rPr>
        <w:t xml:space="preserve"> </w:t>
      </w:r>
      <w:r>
        <w:rPr>
          <w:rFonts w:ascii="宋体" w:hAnsi="宋体" w:eastAsia="宋体" w:cs="宋体"/>
          <w:spacing w:val="-1"/>
          <w:sz w:val="24"/>
          <w:szCs w:val="24"/>
        </w:rPr>
        <w:t>品会先通过风险单元设置的围堰进行收集，由导流渠汇</w:t>
      </w:r>
      <w:r>
        <w:rPr>
          <w:rFonts w:ascii="宋体" w:hAnsi="宋体" w:eastAsia="宋体" w:cs="宋体"/>
          <w:spacing w:val="-2"/>
          <w:sz w:val="24"/>
          <w:szCs w:val="24"/>
        </w:rPr>
        <w:t>入事故池。当火灾时，消防废</w:t>
      </w:r>
      <w:r>
        <w:rPr>
          <w:rFonts w:ascii="宋体" w:hAnsi="宋体" w:eastAsia="宋体" w:cs="宋体"/>
          <w:sz w:val="24"/>
          <w:szCs w:val="24"/>
        </w:rPr>
        <w:t xml:space="preserve"> </w:t>
      </w:r>
      <w:r>
        <w:rPr>
          <w:rFonts w:ascii="宋体" w:hAnsi="宋体" w:eastAsia="宋体" w:cs="宋体"/>
          <w:spacing w:val="-1"/>
          <w:sz w:val="24"/>
          <w:szCs w:val="24"/>
        </w:rPr>
        <w:t>水可通过导流渠导向事故应急池（控制阀门，关闭</w:t>
      </w:r>
      <w:r>
        <w:rPr>
          <w:rFonts w:ascii="宋体" w:hAnsi="宋体" w:eastAsia="宋体" w:cs="宋体"/>
          <w:spacing w:val="-2"/>
          <w:sz w:val="24"/>
          <w:szCs w:val="24"/>
        </w:rPr>
        <w:t>雨水管阀门）。因此，无论发生火</w:t>
      </w:r>
      <w:r>
        <w:rPr>
          <w:rFonts w:ascii="宋体" w:hAnsi="宋体" w:eastAsia="宋体" w:cs="宋体"/>
          <w:sz w:val="24"/>
          <w:szCs w:val="24"/>
        </w:rPr>
        <w:t xml:space="preserve"> </w:t>
      </w:r>
      <w:r>
        <w:rPr>
          <w:rFonts w:ascii="宋体" w:hAnsi="宋体" w:eastAsia="宋体" w:cs="宋体"/>
          <w:spacing w:val="-1"/>
          <w:sz w:val="24"/>
          <w:szCs w:val="24"/>
        </w:rPr>
        <w:t>灾事故还是泄漏事故，消防废水和泄漏化学品均能进入</w:t>
      </w:r>
      <w:r>
        <w:rPr>
          <w:rFonts w:ascii="宋体" w:hAnsi="宋体" w:eastAsia="宋体" w:cs="宋体"/>
          <w:spacing w:val="-2"/>
          <w:sz w:val="24"/>
          <w:szCs w:val="24"/>
        </w:rPr>
        <w:t>事故应急池，不会进入市政管</w:t>
      </w:r>
      <w:r>
        <w:rPr>
          <w:rFonts w:ascii="宋体" w:hAnsi="宋体" w:eastAsia="宋体" w:cs="宋体"/>
          <w:sz w:val="24"/>
          <w:szCs w:val="24"/>
        </w:rPr>
        <w:t xml:space="preserve"> </w:t>
      </w:r>
      <w:r>
        <w:rPr>
          <w:rFonts w:ascii="宋体" w:hAnsi="宋体" w:eastAsia="宋体" w:cs="宋体"/>
          <w:spacing w:val="-1"/>
          <w:sz w:val="24"/>
          <w:szCs w:val="24"/>
        </w:rPr>
        <w:t>网，污染周边地表水环境的概率不大。</w:t>
      </w:r>
    </w:p>
    <w:p w14:paraId="6CD01CCD">
      <w:pPr>
        <w:spacing w:line="359" w:lineRule="auto"/>
        <w:ind w:left="3" w:firstLine="481"/>
        <w:rPr>
          <w:rFonts w:ascii="宋体" w:hAnsi="宋体" w:eastAsia="宋体" w:cs="宋体"/>
          <w:sz w:val="24"/>
          <w:szCs w:val="24"/>
        </w:rPr>
      </w:pPr>
      <w:r>
        <w:rPr>
          <w:rFonts w:ascii="宋体" w:hAnsi="宋体" w:eastAsia="宋体" w:cs="宋体"/>
          <w:spacing w:val="-1"/>
          <w:sz w:val="24"/>
          <w:szCs w:val="24"/>
        </w:rPr>
        <w:t>项目采取了泄漏收集措施和消防废水收集控</w:t>
      </w:r>
      <w:r>
        <w:rPr>
          <w:rFonts w:ascii="宋体" w:hAnsi="宋体" w:eastAsia="宋体" w:cs="宋体"/>
          <w:spacing w:val="-2"/>
          <w:sz w:val="24"/>
          <w:szCs w:val="24"/>
        </w:rPr>
        <w:t>制措施，可以保证生产车间内事故产</w:t>
      </w:r>
      <w:r>
        <w:rPr>
          <w:rFonts w:ascii="宋体" w:hAnsi="宋体" w:eastAsia="宋体" w:cs="宋体"/>
          <w:sz w:val="24"/>
          <w:szCs w:val="24"/>
        </w:rPr>
        <w:t xml:space="preserve"> </w:t>
      </w:r>
      <w:r>
        <w:rPr>
          <w:rFonts w:ascii="宋体" w:hAnsi="宋体" w:eastAsia="宋体" w:cs="宋体"/>
          <w:spacing w:val="-1"/>
          <w:sz w:val="24"/>
          <w:szCs w:val="24"/>
        </w:rPr>
        <w:t>生的泄漏物和消防废水不会进入雨水管网，对外环境的污染概率不大。</w:t>
      </w:r>
    </w:p>
    <w:p w14:paraId="2A94F693">
      <w:pPr>
        <w:spacing w:line="359" w:lineRule="auto"/>
        <w:ind w:firstLine="483"/>
        <w:rPr>
          <w:rFonts w:ascii="宋体" w:hAnsi="宋体" w:eastAsia="宋体" w:cs="宋体"/>
          <w:sz w:val="24"/>
          <w:szCs w:val="24"/>
        </w:rPr>
      </w:pPr>
      <w:r>
        <w:rPr>
          <w:rFonts w:ascii="宋体" w:hAnsi="宋体" w:eastAsia="宋体" w:cs="宋体"/>
          <w:spacing w:val="-1"/>
          <w:sz w:val="24"/>
          <w:szCs w:val="24"/>
        </w:rPr>
        <w:t>为了在事故状况下事故废水防控系统能有效运</w:t>
      </w:r>
      <w:r>
        <w:rPr>
          <w:rFonts w:ascii="宋体" w:hAnsi="宋体" w:eastAsia="宋体" w:cs="宋体"/>
          <w:spacing w:val="-2"/>
          <w:sz w:val="24"/>
          <w:szCs w:val="24"/>
        </w:rPr>
        <w:t>行，企业必须严格执行环境风险防</w:t>
      </w:r>
      <w:r>
        <w:rPr>
          <w:rFonts w:ascii="宋体" w:hAnsi="宋体" w:eastAsia="宋体" w:cs="宋体"/>
          <w:sz w:val="24"/>
          <w:szCs w:val="24"/>
        </w:rPr>
        <w:t xml:space="preserve"> </w:t>
      </w:r>
      <w:r>
        <w:rPr>
          <w:rFonts w:ascii="宋体" w:hAnsi="宋体" w:eastAsia="宋体" w:cs="宋体"/>
          <w:spacing w:val="-1"/>
          <w:sz w:val="24"/>
          <w:szCs w:val="24"/>
        </w:rPr>
        <w:t>控措施，并加强环境管理，严禁事故废水排出厂外。</w:t>
      </w:r>
    </w:p>
    <w:p w14:paraId="5487117E">
      <w:pPr>
        <w:spacing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7.7 </w:t>
      </w:r>
      <w:r>
        <w:rPr>
          <w:rFonts w:ascii="宋体" w:hAnsi="宋体" w:eastAsia="宋体" w:cs="宋体"/>
          <w:b/>
          <w:bCs/>
          <w:spacing w:val="-2"/>
          <w:sz w:val="24"/>
          <w:szCs w:val="24"/>
        </w:rPr>
        <w:t>土壤及地下水污染风险防范措施</w:t>
      </w:r>
    </w:p>
    <w:p w14:paraId="25D619FB">
      <w:pPr>
        <w:spacing w:before="183" w:line="359" w:lineRule="auto"/>
        <w:ind w:firstLine="480"/>
        <w:jc w:val="both"/>
        <w:rPr>
          <w:rFonts w:ascii="宋体" w:hAnsi="宋体" w:eastAsia="宋体" w:cs="宋体"/>
          <w:sz w:val="24"/>
          <w:szCs w:val="24"/>
        </w:rPr>
      </w:pPr>
      <w:r>
        <w:rPr>
          <w:rFonts w:ascii="宋体" w:hAnsi="宋体" w:eastAsia="宋体" w:cs="宋体"/>
          <w:spacing w:val="-1"/>
          <w:sz w:val="24"/>
          <w:szCs w:val="24"/>
        </w:rPr>
        <w:t>根据防渗参照的标准和规范，结合目前施工过程中的</w:t>
      </w:r>
      <w:r>
        <w:rPr>
          <w:rFonts w:ascii="宋体" w:hAnsi="宋体" w:eastAsia="宋体" w:cs="宋体"/>
          <w:spacing w:val="-2"/>
          <w:sz w:val="24"/>
          <w:szCs w:val="24"/>
        </w:rPr>
        <w:t>可操作性和技术水平不同的</w:t>
      </w:r>
      <w:r>
        <w:rPr>
          <w:rFonts w:ascii="宋体" w:hAnsi="宋体" w:eastAsia="宋体" w:cs="宋体"/>
          <w:sz w:val="24"/>
          <w:szCs w:val="24"/>
        </w:rPr>
        <w:t xml:space="preserve"> </w:t>
      </w:r>
      <w:r>
        <w:rPr>
          <w:rFonts w:ascii="宋体" w:hAnsi="宋体" w:eastAsia="宋体" w:cs="宋体"/>
          <w:spacing w:val="-1"/>
          <w:sz w:val="24"/>
          <w:szCs w:val="24"/>
        </w:rPr>
        <w:t>防渗区域采用在满足防渗标准要求前提下的防渗措施。重点污染</w:t>
      </w:r>
      <w:r>
        <w:rPr>
          <w:rFonts w:ascii="宋体" w:hAnsi="宋体" w:eastAsia="宋体" w:cs="宋体"/>
          <w:spacing w:val="-2"/>
          <w:sz w:val="24"/>
          <w:szCs w:val="24"/>
        </w:rPr>
        <w:t>防治区如重点污染防</w:t>
      </w:r>
      <w:r>
        <w:rPr>
          <w:rFonts w:ascii="宋体" w:hAnsi="宋体" w:eastAsia="宋体" w:cs="宋体"/>
          <w:sz w:val="24"/>
          <w:szCs w:val="24"/>
        </w:rPr>
        <w:t xml:space="preserve"> </w:t>
      </w:r>
      <w:r>
        <w:rPr>
          <w:rFonts w:ascii="宋体" w:hAnsi="宋体" w:eastAsia="宋体" w:cs="宋体"/>
          <w:spacing w:val="1"/>
          <w:sz w:val="24"/>
          <w:szCs w:val="24"/>
        </w:rPr>
        <w:t>治区包括生产车间、废水处理站等防渗措施整体采用混凝土</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防渗材</w:t>
      </w:r>
      <w:r>
        <w:rPr>
          <w:rFonts w:ascii="宋体" w:hAnsi="宋体" w:eastAsia="宋体" w:cs="宋体"/>
          <w:sz w:val="24"/>
          <w:szCs w:val="24"/>
        </w:rPr>
        <w:t xml:space="preserve">料进行防渗，渗 </w:t>
      </w:r>
      <w:r>
        <w:rPr>
          <w:rFonts w:ascii="宋体" w:hAnsi="宋体" w:eastAsia="宋体" w:cs="宋体"/>
          <w:spacing w:val="-1"/>
          <w:sz w:val="24"/>
          <w:szCs w:val="24"/>
        </w:rPr>
        <w:t>透系数小于</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sz w:val="24"/>
          <w:szCs w:val="24"/>
        </w:rPr>
        <w:t>cm/s</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，可避免废水泄漏，减少对地下水的影响。重点防渗区配置专</w:t>
      </w:r>
      <w:r>
        <w:rPr>
          <w:rFonts w:ascii="宋体" w:hAnsi="宋体" w:eastAsia="宋体" w:cs="宋体"/>
          <w:sz w:val="24"/>
          <w:szCs w:val="24"/>
        </w:rPr>
        <w:t xml:space="preserve"> </w:t>
      </w:r>
      <w:r>
        <w:rPr>
          <w:rFonts w:ascii="宋体" w:hAnsi="宋体" w:eastAsia="宋体" w:cs="宋体"/>
          <w:spacing w:val="-1"/>
          <w:sz w:val="24"/>
          <w:szCs w:val="24"/>
        </w:rPr>
        <w:t>人进行管理和维护，定期检查重点防渗区防渗层是否存在破损情</w:t>
      </w:r>
      <w:r>
        <w:rPr>
          <w:rFonts w:ascii="宋体" w:hAnsi="宋体" w:eastAsia="宋体" w:cs="宋体"/>
          <w:spacing w:val="-2"/>
          <w:sz w:val="24"/>
          <w:szCs w:val="24"/>
        </w:rPr>
        <w:t>况，及时发现及时处</w:t>
      </w:r>
      <w:r>
        <w:rPr>
          <w:rFonts w:ascii="宋体" w:hAnsi="宋体" w:eastAsia="宋体" w:cs="宋体"/>
          <w:sz w:val="24"/>
          <w:szCs w:val="24"/>
        </w:rPr>
        <w:t xml:space="preserve"> </w:t>
      </w:r>
      <w:r>
        <w:rPr>
          <w:rFonts w:ascii="宋体" w:hAnsi="宋体" w:eastAsia="宋体" w:cs="宋体"/>
          <w:spacing w:val="-1"/>
          <w:sz w:val="24"/>
          <w:szCs w:val="24"/>
        </w:rPr>
        <w:t>理，并设置泄漏检测装置。</w:t>
      </w:r>
    </w:p>
    <w:p w14:paraId="1755CB5C">
      <w:pPr>
        <w:spacing w:before="2" w:line="358" w:lineRule="auto"/>
        <w:ind w:left="2" w:firstLine="482"/>
        <w:jc w:val="both"/>
        <w:rPr>
          <w:rFonts w:ascii="宋体" w:hAnsi="宋体" w:eastAsia="宋体" w:cs="宋体"/>
          <w:sz w:val="24"/>
          <w:szCs w:val="24"/>
        </w:rPr>
      </w:pPr>
      <w:r>
        <w:rPr>
          <w:rFonts w:ascii="宋体" w:hAnsi="宋体" w:eastAsia="宋体" w:cs="宋体"/>
          <w:spacing w:val="-1"/>
          <w:sz w:val="24"/>
          <w:szCs w:val="24"/>
        </w:rPr>
        <w:t>一般污染防治区则通过在抗渗钢纤维混凝土</w:t>
      </w:r>
      <w:r>
        <w:rPr>
          <w:rFonts w:ascii="宋体" w:hAnsi="宋体" w:eastAsia="宋体" w:cs="宋体"/>
          <w:spacing w:val="-2"/>
          <w:sz w:val="24"/>
          <w:szCs w:val="24"/>
        </w:rPr>
        <w:t>面层中掺水泥基渗透结晶型防水剂，</w:t>
      </w:r>
      <w:r>
        <w:rPr>
          <w:rFonts w:ascii="宋体" w:hAnsi="宋体" w:eastAsia="宋体" w:cs="宋体"/>
          <w:sz w:val="24"/>
          <w:szCs w:val="24"/>
        </w:rPr>
        <w:t xml:space="preserve"> </w:t>
      </w:r>
      <w:r>
        <w:rPr>
          <w:rFonts w:ascii="宋体" w:hAnsi="宋体" w:eastAsia="宋体" w:cs="宋体"/>
          <w:spacing w:val="-1"/>
          <w:sz w:val="24"/>
          <w:szCs w:val="24"/>
        </w:rPr>
        <w:t>其下铺砌砂石基层，原土夯实达到防渗的目的。对于混凝土</w:t>
      </w:r>
      <w:r>
        <w:rPr>
          <w:rFonts w:ascii="宋体" w:hAnsi="宋体" w:eastAsia="宋体" w:cs="宋体"/>
          <w:spacing w:val="-2"/>
          <w:sz w:val="24"/>
          <w:szCs w:val="24"/>
        </w:rPr>
        <w:t>中间的伸缩缝、缩缝和与</w:t>
      </w:r>
      <w:r>
        <w:rPr>
          <w:rFonts w:ascii="宋体" w:hAnsi="宋体" w:eastAsia="宋体" w:cs="宋体"/>
          <w:sz w:val="24"/>
          <w:szCs w:val="24"/>
        </w:rPr>
        <w:t xml:space="preserve"> </w:t>
      </w:r>
      <w:r>
        <w:rPr>
          <w:rFonts w:ascii="宋体" w:hAnsi="宋体" w:eastAsia="宋体" w:cs="宋体"/>
          <w:spacing w:val="-1"/>
          <w:sz w:val="24"/>
          <w:szCs w:val="24"/>
        </w:rPr>
        <w:t>实体基础的缝隙，通过填充柔性材料、防渗填塞料达到防渗的目的。</w:t>
      </w:r>
    </w:p>
    <w:p w14:paraId="64C8EA71">
      <w:pPr>
        <w:spacing w:before="1" w:line="359" w:lineRule="auto"/>
        <w:ind w:left="1" w:firstLine="480"/>
        <w:jc w:val="both"/>
        <w:rPr>
          <w:rFonts w:ascii="宋体" w:hAnsi="宋体" w:eastAsia="宋体" w:cs="宋体"/>
          <w:sz w:val="24"/>
          <w:szCs w:val="24"/>
        </w:rPr>
      </w:pPr>
      <w:r>
        <w:rPr>
          <w:rFonts w:ascii="宋体" w:hAnsi="宋体" w:eastAsia="宋体" w:cs="宋体"/>
          <w:spacing w:val="-1"/>
          <w:sz w:val="24"/>
          <w:szCs w:val="24"/>
        </w:rPr>
        <w:t>本项目泡酸车间、危废暂存间、化学品仓库和废水</w:t>
      </w:r>
      <w:r>
        <w:rPr>
          <w:rFonts w:ascii="宋体" w:hAnsi="宋体" w:eastAsia="宋体" w:cs="宋体"/>
          <w:spacing w:val="-2"/>
          <w:sz w:val="24"/>
          <w:szCs w:val="24"/>
        </w:rPr>
        <w:t>处理站涉及重金属物质，因此</w:t>
      </w:r>
      <w:r>
        <w:rPr>
          <w:rFonts w:ascii="宋体" w:hAnsi="宋体" w:eastAsia="宋体" w:cs="宋体"/>
          <w:sz w:val="24"/>
          <w:szCs w:val="24"/>
        </w:rPr>
        <w:t xml:space="preserve"> </w:t>
      </w:r>
      <w:r>
        <w:rPr>
          <w:rFonts w:ascii="宋体" w:hAnsi="宋体" w:eastAsia="宋体" w:cs="宋体"/>
          <w:spacing w:val="-1"/>
          <w:sz w:val="24"/>
          <w:szCs w:val="24"/>
        </w:rPr>
        <w:t>本项目泡酸车间、危废暂存间、化学品仓库和废水处理站作为</w:t>
      </w:r>
      <w:r>
        <w:rPr>
          <w:rFonts w:ascii="宋体" w:hAnsi="宋体" w:eastAsia="宋体" w:cs="宋体"/>
          <w:spacing w:val="-2"/>
          <w:sz w:val="24"/>
          <w:szCs w:val="24"/>
        </w:rPr>
        <w:t>重点防渗区进行防控，</w:t>
      </w:r>
      <w:r>
        <w:rPr>
          <w:rFonts w:ascii="宋体" w:hAnsi="宋体" w:eastAsia="宋体" w:cs="宋体"/>
          <w:sz w:val="24"/>
          <w:szCs w:val="24"/>
        </w:rPr>
        <w:t xml:space="preserve"> </w:t>
      </w:r>
      <w:r>
        <w:rPr>
          <w:rFonts w:ascii="宋体" w:hAnsi="宋体" w:eastAsia="宋体" w:cs="宋体"/>
          <w:spacing w:val="-1"/>
          <w:sz w:val="24"/>
          <w:szCs w:val="24"/>
        </w:rPr>
        <w:t>注胶车间和生活区域为一般防渗区，厂区内路面为简单防渗区</w:t>
      </w:r>
      <w:r>
        <w:rPr>
          <w:rFonts w:ascii="宋体" w:hAnsi="宋体" w:eastAsia="宋体" w:cs="宋体"/>
          <w:spacing w:val="-2"/>
          <w:sz w:val="24"/>
          <w:szCs w:val="24"/>
        </w:rPr>
        <w:t>。本项目地下水防渗区</w:t>
      </w:r>
      <w:r>
        <w:rPr>
          <w:rFonts w:ascii="宋体" w:hAnsi="宋体" w:eastAsia="宋体" w:cs="宋体"/>
          <w:sz w:val="24"/>
          <w:szCs w:val="24"/>
        </w:rPr>
        <w:t xml:space="preserve"> </w:t>
      </w:r>
      <w:r>
        <w:rPr>
          <w:rFonts w:ascii="宋体" w:hAnsi="宋体" w:eastAsia="宋体" w:cs="宋体"/>
          <w:spacing w:val="-2"/>
          <w:sz w:val="24"/>
          <w:szCs w:val="24"/>
        </w:rPr>
        <w:t>设置情况详见附图。</w:t>
      </w:r>
    </w:p>
    <w:p w14:paraId="6488895B">
      <w:pPr>
        <w:spacing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7.9 </w:t>
      </w:r>
      <w:r>
        <w:rPr>
          <w:rFonts w:ascii="宋体" w:hAnsi="宋体" w:eastAsia="宋体" w:cs="宋体"/>
          <w:b/>
          <w:bCs/>
          <w:spacing w:val="-2"/>
          <w:sz w:val="24"/>
          <w:szCs w:val="24"/>
        </w:rPr>
        <w:t>风险事故的应急措施</w:t>
      </w:r>
    </w:p>
    <w:p w14:paraId="5B0E8C5A">
      <w:pPr>
        <w:spacing w:before="182" w:line="359" w:lineRule="auto"/>
        <w:ind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）因各种原因发生泄漏、环保措施故障等事故后，高污</w:t>
      </w:r>
      <w:r>
        <w:rPr>
          <w:rFonts w:ascii="宋体" w:hAnsi="宋体" w:eastAsia="宋体" w:cs="宋体"/>
          <w:spacing w:val="1"/>
          <w:sz w:val="24"/>
          <w:szCs w:val="24"/>
        </w:rPr>
        <w:t>染影响地区人员应迅</w:t>
      </w:r>
      <w:r>
        <w:rPr>
          <w:rFonts w:ascii="宋体" w:hAnsi="宋体" w:eastAsia="宋体" w:cs="宋体"/>
          <w:sz w:val="24"/>
          <w:szCs w:val="24"/>
        </w:rPr>
        <w:t xml:space="preserve"> </w:t>
      </w:r>
      <w:r>
        <w:rPr>
          <w:rFonts w:ascii="宋体" w:hAnsi="宋体" w:eastAsia="宋体" w:cs="宋体"/>
          <w:spacing w:val="-1"/>
          <w:sz w:val="24"/>
          <w:szCs w:val="24"/>
        </w:rPr>
        <w:t>速撤离至安全区，进行紧急疏散、救护。</w:t>
      </w:r>
    </w:p>
    <w:p w14:paraId="2BED6A66">
      <w:pPr>
        <w:spacing w:before="2" w:line="360" w:lineRule="auto"/>
        <w:ind w:left="3" w:firstLine="481"/>
        <w:jc w:val="both"/>
        <w:rPr>
          <w:rFonts w:ascii="宋体" w:hAnsi="宋体" w:eastAsia="宋体" w:cs="宋体"/>
          <w:sz w:val="24"/>
          <w:szCs w:val="24"/>
        </w:rPr>
      </w:pPr>
      <w:r>
        <w:rPr>
          <w:rFonts w:ascii="宋体" w:hAnsi="宋体" w:eastAsia="宋体" w:cs="宋体"/>
          <w:spacing w:val="-1"/>
          <w:sz w:val="24"/>
          <w:szCs w:val="24"/>
        </w:rPr>
        <w:t>项目有毒有害化学品气体蒸气或雾可引起结</w:t>
      </w:r>
      <w:r>
        <w:rPr>
          <w:rFonts w:ascii="宋体" w:hAnsi="宋体" w:eastAsia="宋体" w:cs="宋体"/>
          <w:spacing w:val="-2"/>
          <w:sz w:val="24"/>
          <w:szCs w:val="24"/>
        </w:rPr>
        <w:t>膜炎、结膜水肿、角膜混浊，以致失</w:t>
      </w:r>
      <w:r>
        <w:rPr>
          <w:rFonts w:ascii="宋体" w:hAnsi="宋体" w:eastAsia="宋体" w:cs="宋体"/>
          <w:sz w:val="24"/>
          <w:szCs w:val="24"/>
        </w:rPr>
        <w:t xml:space="preserve"> </w:t>
      </w:r>
      <w:r>
        <w:rPr>
          <w:rFonts w:ascii="宋体" w:hAnsi="宋体" w:eastAsia="宋体" w:cs="宋体"/>
          <w:spacing w:val="-1"/>
          <w:sz w:val="24"/>
          <w:szCs w:val="24"/>
        </w:rPr>
        <w:t>明；引起呼吸道刺激，重者发生呼吸困难和肺水肿。如发</w:t>
      </w:r>
      <w:r>
        <w:rPr>
          <w:rFonts w:ascii="宋体" w:hAnsi="宋体" w:eastAsia="宋体" w:cs="宋体"/>
          <w:spacing w:val="-2"/>
          <w:sz w:val="24"/>
          <w:szCs w:val="24"/>
        </w:rPr>
        <w:t>生泄漏，必须迅速撤离泄漏</w:t>
      </w:r>
      <w:r>
        <w:rPr>
          <w:rFonts w:ascii="宋体" w:hAnsi="宋体" w:eastAsia="宋体" w:cs="宋体"/>
          <w:sz w:val="24"/>
          <w:szCs w:val="24"/>
        </w:rPr>
        <w:t xml:space="preserve"> </w:t>
      </w:r>
      <w:r>
        <w:rPr>
          <w:rFonts w:ascii="宋体" w:hAnsi="宋体" w:eastAsia="宋体" w:cs="宋体"/>
          <w:spacing w:val="-1"/>
          <w:sz w:val="24"/>
          <w:szCs w:val="24"/>
        </w:rPr>
        <w:t>污染区人员至安全区，并进行隔离，严格限制出入。建议</w:t>
      </w:r>
      <w:r>
        <w:rPr>
          <w:rFonts w:ascii="宋体" w:hAnsi="宋体" w:eastAsia="宋体" w:cs="宋体"/>
          <w:spacing w:val="-2"/>
          <w:sz w:val="24"/>
          <w:szCs w:val="24"/>
        </w:rPr>
        <w:t>应急处理人员戴自给正压式</w:t>
      </w:r>
    </w:p>
    <w:p w14:paraId="2473BF97">
      <w:pPr>
        <w:spacing w:line="360" w:lineRule="auto"/>
        <w:rPr>
          <w:rFonts w:ascii="宋体" w:hAnsi="宋体" w:eastAsia="宋体" w:cs="宋体"/>
          <w:sz w:val="24"/>
          <w:szCs w:val="24"/>
        </w:rPr>
        <w:sectPr>
          <w:footerReference r:id="rId164" w:type="default"/>
          <w:pgSz w:w="11906" w:h="16839"/>
          <w:pgMar w:top="400" w:right="1530" w:bottom="1127" w:left="1539" w:header="0" w:footer="965" w:gutter="0"/>
          <w:cols w:space="720" w:num="1"/>
        </w:sectPr>
      </w:pPr>
    </w:p>
    <w:p w14:paraId="347ECEFF">
      <w:pPr>
        <w:spacing w:line="250" w:lineRule="auto"/>
        <w:rPr>
          <w:rFonts w:ascii="Arial"/>
          <w:sz w:val="21"/>
        </w:rPr>
      </w:pPr>
    </w:p>
    <w:p w14:paraId="0E55E985">
      <w:pPr>
        <w:spacing w:line="250" w:lineRule="auto"/>
        <w:rPr>
          <w:rFonts w:ascii="Arial"/>
          <w:sz w:val="21"/>
        </w:rPr>
      </w:pPr>
    </w:p>
    <w:p w14:paraId="51F2FE30">
      <w:pPr>
        <w:spacing w:line="250" w:lineRule="auto"/>
        <w:rPr>
          <w:rFonts w:ascii="Arial"/>
          <w:sz w:val="21"/>
        </w:rPr>
      </w:pPr>
    </w:p>
    <w:p w14:paraId="14346908">
      <w:pPr>
        <w:spacing w:line="250" w:lineRule="auto"/>
        <w:rPr>
          <w:rFonts w:ascii="Arial"/>
          <w:sz w:val="21"/>
        </w:rPr>
      </w:pPr>
    </w:p>
    <w:p w14:paraId="2B668B58">
      <w:pPr>
        <w:spacing w:line="250" w:lineRule="auto"/>
        <w:rPr>
          <w:rFonts w:ascii="Arial"/>
          <w:sz w:val="21"/>
        </w:rPr>
      </w:pPr>
    </w:p>
    <w:p w14:paraId="6BB5F386">
      <w:pPr>
        <w:spacing w:before="78" w:line="220" w:lineRule="auto"/>
        <w:ind w:left="15"/>
        <w:rPr>
          <w:rFonts w:ascii="宋体" w:hAnsi="宋体" w:eastAsia="宋体" w:cs="宋体"/>
          <w:sz w:val="24"/>
          <w:szCs w:val="24"/>
        </w:rPr>
      </w:pPr>
      <w:r>
        <w:rPr>
          <w:rFonts w:ascii="宋体" w:hAnsi="宋体" w:eastAsia="宋体" w:cs="宋体"/>
          <w:spacing w:val="-2"/>
          <w:sz w:val="24"/>
          <w:szCs w:val="24"/>
        </w:rPr>
        <w:t>呼吸器，穿防酸碱工作服。</w:t>
      </w:r>
    </w:p>
    <w:p w14:paraId="2D9E64A2">
      <w:pPr>
        <w:spacing w:before="177" w:line="360" w:lineRule="auto"/>
        <w:ind w:right="18" w:firstLine="485"/>
        <w:jc w:val="both"/>
        <w:rPr>
          <w:rFonts w:ascii="宋体" w:hAnsi="宋体" w:eastAsia="宋体" w:cs="宋体"/>
          <w:sz w:val="24"/>
          <w:szCs w:val="24"/>
        </w:rPr>
      </w:pPr>
      <w:r>
        <w:rPr>
          <w:rFonts w:ascii="宋体" w:hAnsi="宋体" w:eastAsia="宋体" w:cs="宋体"/>
          <w:spacing w:val="-1"/>
          <w:sz w:val="24"/>
          <w:szCs w:val="24"/>
        </w:rPr>
        <w:t>不要直接接触泄漏物，尽可能切断泄漏源。</w:t>
      </w:r>
      <w:r>
        <w:rPr>
          <w:rFonts w:ascii="宋体" w:hAnsi="宋体" w:eastAsia="宋体" w:cs="宋体"/>
          <w:spacing w:val="-2"/>
          <w:sz w:val="24"/>
          <w:szCs w:val="24"/>
        </w:rPr>
        <w:t>少量泄漏可以用大量水冲洗，洗水进</w:t>
      </w:r>
      <w:r>
        <w:rPr>
          <w:rFonts w:ascii="宋体" w:hAnsi="宋体" w:eastAsia="宋体" w:cs="宋体"/>
          <w:sz w:val="24"/>
          <w:szCs w:val="24"/>
        </w:rPr>
        <w:t xml:space="preserve"> </w:t>
      </w:r>
      <w:r>
        <w:rPr>
          <w:rFonts w:ascii="宋体" w:hAnsi="宋体" w:eastAsia="宋体" w:cs="宋体"/>
          <w:spacing w:val="-1"/>
          <w:sz w:val="24"/>
          <w:szCs w:val="24"/>
        </w:rPr>
        <w:t>入事故应急池暂时缓冲。消防人员必须佩戴氧气呼吸器，穿全身防</w:t>
      </w:r>
      <w:r>
        <w:rPr>
          <w:rFonts w:ascii="宋体" w:hAnsi="宋体" w:eastAsia="宋体" w:cs="宋体"/>
          <w:spacing w:val="-2"/>
          <w:sz w:val="24"/>
          <w:szCs w:val="24"/>
        </w:rPr>
        <w:t>护服。需设置事故</w:t>
      </w:r>
      <w:r>
        <w:rPr>
          <w:rFonts w:ascii="宋体" w:hAnsi="宋体" w:eastAsia="宋体" w:cs="宋体"/>
          <w:sz w:val="24"/>
          <w:szCs w:val="24"/>
        </w:rPr>
        <w:t xml:space="preserve"> </w:t>
      </w:r>
      <w:r>
        <w:rPr>
          <w:rFonts w:ascii="宋体" w:hAnsi="宋体" w:eastAsia="宋体" w:cs="宋体"/>
          <w:spacing w:val="-6"/>
          <w:sz w:val="24"/>
          <w:szCs w:val="24"/>
        </w:rPr>
        <w:t>应急池和完善的事故收集系统，保证各单元泄漏物能迅速、安全地集中到事故应急池，</w:t>
      </w:r>
      <w:r>
        <w:rPr>
          <w:rFonts w:ascii="宋体" w:hAnsi="宋体" w:eastAsia="宋体" w:cs="宋体"/>
          <w:spacing w:val="5"/>
          <w:sz w:val="24"/>
          <w:szCs w:val="24"/>
        </w:rPr>
        <w:t xml:space="preserve"> </w:t>
      </w:r>
      <w:r>
        <w:rPr>
          <w:rFonts w:ascii="宋体" w:hAnsi="宋体" w:eastAsia="宋体" w:cs="宋体"/>
          <w:spacing w:val="-2"/>
          <w:sz w:val="24"/>
          <w:szCs w:val="24"/>
        </w:rPr>
        <w:t>进行集中处理。</w:t>
      </w:r>
    </w:p>
    <w:p w14:paraId="4E251ED3">
      <w:pPr>
        <w:spacing w:line="359" w:lineRule="auto"/>
        <w:ind w:left="1" w:right="80" w:firstLine="479"/>
        <w:jc w:val="both"/>
        <w:rPr>
          <w:rFonts w:ascii="宋体" w:hAnsi="宋体" w:eastAsia="宋体" w:cs="宋体"/>
          <w:sz w:val="24"/>
          <w:szCs w:val="24"/>
        </w:rPr>
      </w:pPr>
      <w:r>
        <w:rPr>
          <w:rFonts w:ascii="宋体" w:hAnsi="宋体" w:eastAsia="宋体" w:cs="宋体"/>
          <w:spacing w:val="-1"/>
          <w:sz w:val="24"/>
          <w:szCs w:val="24"/>
        </w:rPr>
        <w:t>在贮存场地发生液态易燃易爆化学品泄漏时，应立即关</w:t>
      </w:r>
      <w:r>
        <w:rPr>
          <w:rFonts w:ascii="宋体" w:hAnsi="宋体" w:eastAsia="宋体" w:cs="宋体"/>
          <w:spacing w:val="-2"/>
          <w:sz w:val="24"/>
          <w:szCs w:val="24"/>
        </w:rPr>
        <w:t>闭点火装置，严禁明火，</w:t>
      </w:r>
      <w:r>
        <w:rPr>
          <w:rFonts w:ascii="宋体" w:hAnsi="宋体" w:eastAsia="宋体" w:cs="宋体"/>
          <w:sz w:val="24"/>
          <w:szCs w:val="24"/>
        </w:rPr>
        <w:t xml:space="preserve"> </w:t>
      </w:r>
      <w:r>
        <w:rPr>
          <w:rFonts w:ascii="宋体" w:hAnsi="宋体" w:eastAsia="宋体" w:cs="宋体"/>
          <w:spacing w:val="-1"/>
          <w:sz w:val="24"/>
          <w:szCs w:val="24"/>
        </w:rPr>
        <w:t>人员撤离现场并站在上风向处，在泄漏出的化学品没有完全蒸</w:t>
      </w:r>
      <w:r>
        <w:rPr>
          <w:rFonts w:ascii="宋体" w:hAnsi="宋体" w:eastAsia="宋体" w:cs="宋体"/>
          <w:spacing w:val="-2"/>
          <w:sz w:val="24"/>
          <w:szCs w:val="24"/>
        </w:rPr>
        <w:t>发之前，不能在泄漏场</w:t>
      </w:r>
      <w:r>
        <w:rPr>
          <w:rFonts w:ascii="宋体" w:hAnsi="宋体" w:eastAsia="宋体" w:cs="宋体"/>
          <w:sz w:val="24"/>
          <w:szCs w:val="24"/>
        </w:rPr>
        <w:t xml:space="preserve"> </w:t>
      </w:r>
      <w:r>
        <w:rPr>
          <w:rFonts w:ascii="宋体" w:hAnsi="宋体" w:eastAsia="宋体" w:cs="宋体"/>
          <w:spacing w:val="-1"/>
          <w:sz w:val="24"/>
          <w:szCs w:val="24"/>
        </w:rPr>
        <w:t>地滚动设备。易燃物（如乙醇等）形成有爆炸性的混合物。因</w:t>
      </w:r>
      <w:r>
        <w:rPr>
          <w:rFonts w:ascii="宋体" w:hAnsi="宋体" w:eastAsia="宋体" w:cs="宋体"/>
          <w:spacing w:val="-2"/>
          <w:sz w:val="24"/>
          <w:szCs w:val="24"/>
        </w:rPr>
        <w:t>此若因液态易燃易爆化</w:t>
      </w:r>
      <w:r>
        <w:rPr>
          <w:rFonts w:ascii="宋体" w:hAnsi="宋体" w:eastAsia="宋体" w:cs="宋体"/>
          <w:sz w:val="24"/>
          <w:szCs w:val="24"/>
        </w:rPr>
        <w:t xml:space="preserve"> </w:t>
      </w:r>
      <w:r>
        <w:rPr>
          <w:rFonts w:ascii="宋体" w:hAnsi="宋体" w:eastAsia="宋体" w:cs="宋体"/>
          <w:spacing w:val="-1"/>
          <w:sz w:val="24"/>
          <w:szCs w:val="24"/>
        </w:rPr>
        <w:t>学品发生泄漏并引起火灾，必须立即用水保持容器冷却，以防</w:t>
      </w:r>
      <w:r>
        <w:rPr>
          <w:rFonts w:ascii="宋体" w:hAnsi="宋体" w:eastAsia="宋体" w:cs="宋体"/>
          <w:spacing w:val="-2"/>
          <w:sz w:val="24"/>
          <w:szCs w:val="24"/>
        </w:rPr>
        <w:t>受热爆炸，急剧助长火</w:t>
      </w:r>
      <w:r>
        <w:rPr>
          <w:rFonts w:ascii="宋体" w:hAnsi="宋体" w:eastAsia="宋体" w:cs="宋体"/>
          <w:sz w:val="24"/>
          <w:szCs w:val="24"/>
        </w:rPr>
        <w:t xml:space="preserve"> </w:t>
      </w:r>
      <w:r>
        <w:rPr>
          <w:rFonts w:ascii="宋体" w:hAnsi="宋体" w:eastAsia="宋体" w:cs="宋体"/>
          <w:spacing w:val="-1"/>
          <w:sz w:val="24"/>
          <w:szCs w:val="24"/>
        </w:rPr>
        <w:t>势。迅速切断气源，用水喷淋保护切断气源的人员，然后根据</w:t>
      </w:r>
      <w:r>
        <w:rPr>
          <w:rFonts w:ascii="宋体" w:hAnsi="宋体" w:eastAsia="宋体" w:cs="宋体"/>
          <w:spacing w:val="-2"/>
          <w:sz w:val="24"/>
          <w:szCs w:val="24"/>
        </w:rPr>
        <w:t>着火原因选择适当灭火</w:t>
      </w:r>
      <w:r>
        <w:rPr>
          <w:rFonts w:ascii="宋体" w:hAnsi="宋体" w:eastAsia="宋体" w:cs="宋体"/>
          <w:sz w:val="24"/>
          <w:szCs w:val="24"/>
        </w:rPr>
        <w:t xml:space="preserve"> </w:t>
      </w:r>
      <w:r>
        <w:rPr>
          <w:rFonts w:ascii="宋体" w:hAnsi="宋体" w:eastAsia="宋体" w:cs="宋体"/>
          <w:spacing w:val="-3"/>
          <w:sz w:val="24"/>
          <w:szCs w:val="24"/>
        </w:rPr>
        <w:t>剂灭火。</w:t>
      </w:r>
    </w:p>
    <w:p w14:paraId="43DD71C4">
      <w:pPr>
        <w:spacing w:before="1" w:line="312" w:lineRule="auto"/>
        <w:ind w:left="1" w:firstLine="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）一旦发生泄漏，应立即采取紧急堵漏措施，紧急切断进、出料阀门，降温、</w:t>
      </w:r>
      <w:r>
        <w:rPr>
          <w:rFonts w:ascii="宋体" w:hAnsi="宋体" w:eastAsia="宋体" w:cs="宋体"/>
          <w:spacing w:val="10"/>
          <w:sz w:val="24"/>
          <w:szCs w:val="24"/>
        </w:rPr>
        <w:t xml:space="preserve"> </w:t>
      </w:r>
      <w:r>
        <w:rPr>
          <w:rFonts w:ascii="宋体" w:hAnsi="宋体" w:eastAsia="宋体" w:cs="宋体"/>
          <w:spacing w:val="-1"/>
          <w:sz w:val="24"/>
          <w:szCs w:val="24"/>
        </w:rPr>
        <w:t>泄压，防止有毒有害物质继续外泄，启动紧急防火措施。物料</w:t>
      </w:r>
      <w:r>
        <w:rPr>
          <w:rFonts w:ascii="宋体" w:hAnsi="宋体" w:eastAsia="宋体" w:cs="宋体"/>
          <w:spacing w:val="-2"/>
          <w:sz w:val="24"/>
          <w:szCs w:val="24"/>
        </w:rPr>
        <w:t>泄漏时应将泄漏物质收</w:t>
      </w:r>
      <w:r>
        <w:rPr>
          <w:rFonts w:ascii="宋体" w:hAnsi="宋体" w:eastAsia="宋体" w:cs="宋体"/>
          <w:sz w:val="24"/>
          <w:szCs w:val="24"/>
        </w:rPr>
        <w:t xml:space="preserve"> 集至应急事故池，送废物处置场所处置，不得排</w:t>
      </w:r>
      <w:r>
        <w:rPr>
          <w:rFonts w:ascii="宋体" w:hAnsi="宋体" w:eastAsia="宋体" w:cs="宋体"/>
          <w:spacing w:val="-1"/>
          <w:sz w:val="24"/>
          <w:szCs w:val="24"/>
        </w:rPr>
        <w:t>入雨水和污水收集管网。</w:t>
      </w:r>
    </w:p>
    <w:p w14:paraId="23E97981">
      <w:pPr>
        <w:spacing w:before="182" w:line="324" w:lineRule="auto"/>
        <w:ind w:left="4" w:right="80"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）建立处理紧急事故的组织机构，规范事故处理人员的职</w:t>
      </w:r>
      <w:r>
        <w:rPr>
          <w:rFonts w:ascii="宋体" w:hAnsi="宋体" w:eastAsia="宋体" w:cs="宋体"/>
          <w:spacing w:val="1"/>
          <w:sz w:val="24"/>
          <w:szCs w:val="24"/>
        </w:rPr>
        <w:t>责、任务，组织抢</w:t>
      </w:r>
      <w:r>
        <w:rPr>
          <w:rFonts w:ascii="宋体" w:hAnsi="宋体" w:eastAsia="宋体" w:cs="宋体"/>
          <w:sz w:val="24"/>
          <w:szCs w:val="24"/>
        </w:rPr>
        <w:t xml:space="preserve"> </w:t>
      </w:r>
      <w:r>
        <w:rPr>
          <w:rFonts w:ascii="宋体" w:hAnsi="宋体" w:eastAsia="宋体" w:cs="宋体"/>
          <w:spacing w:val="-1"/>
          <w:sz w:val="24"/>
          <w:szCs w:val="24"/>
        </w:rPr>
        <w:t>险队伍，保障运输、物资、通讯、宣传等使应急措施顺</w:t>
      </w:r>
      <w:r>
        <w:rPr>
          <w:rFonts w:ascii="宋体" w:hAnsi="宋体" w:eastAsia="宋体" w:cs="宋体"/>
          <w:spacing w:val="-2"/>
          <w:sz w:val="24"/>
          <w:szCs w:val="24"/>
        </w:rPr>
        <w:t>利实施。建立公司、车间、班</w:t>
      </w:r>
      <w:r>
        <w:rPr>
          <w:rFonts w:ascii="宋体" w:hAnsi="宋体" w:eastAsia="宋体" w:cs="宋体"/>
          <w:sz w:val="24"/>
          <w:szCs w:val="24"/>
        </w:rPr>
        <w:t xml:space="preserve"> </w:t>
      </w:r>
      <w:r>
        <w:rPr>
          <w:rFonts w:ascii="宋体" w:hAnsi="宋体" w:eastAsia="宋体" w:cs="宋体"/>
          <w:spacing w:val="-1"/>
          <w:sz w:val="24"/>
          <w:szCs w:val="24"/>
        </w:rPr>
        <w:t>组三级通讯联络网，保证信息畅通无阻。按照紧急事故</w:t>
      </w:r>
      <w:r>
        <w:rPr>
          <w:rFonts w:ascii="宋体" w:hAnsi="宋体" w:eastAsia="宋体" w:cs="宋体"/>
          <w:spacing w:val="-2"/>
          <w:sz w:val="24"/>
          <w:szCs w:val="24"/>
        </w:rPr>
        <w:t>汇报程序报告有关主管部门，</w:t>
      </w:r>
      <w:r>
        <w:rPr>
          <w:rFonts w:ascii="宋体" w:hAnsi="宋体" w:eastAsia="宋体" w:cs="宋体"/>
          <w:sz w:val="24"/>
          <w:szCs w:val="24"/>
        </w:rPr>
        <w:t xml:space="preserve"> </w:t>
      </w:r>
      <w:r>
        <w:rPr>
          <w:rFonts w:ascii="宋体" w:hAnsi="宋体" w:eastAsia="宋体" w:cs="宋体"/>
          <w:spacing w:val="-2"/>
          <w:sz w:val="24"/>
          <w:szCs w:val="24"/>
        </w:rPr>
        <w:t>向消防系统报警。</w:t>
      </w:r>
    </w:p>
    <w:p w14:paraId="20A4DC4B">
      <w:pPr>
        <w:spacing w:before="181" w:line="290" w:lineRule="auto"/>
        <w:ind w:left="5" w:right="80"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）成立应急救援小组，明确负责人及联系电话。加强平</w:t>
      </w:r>
      <w:r>
        <w:rPr>
          <w:rFonts w:ascii="宋体" w:hAnsi="宋体" w:eastAsia="宋体" w:cs="宋体"/>
          <w:spacing w:val="1"/>
          <w:sz w:val="24"/>
          <w:szCs w:val="24"/>
        </w:rPr>
        <w:t>时培训，确保在事故</w:t>
      </w:r>
      <w:r>
        <w:rPr>
          <w:rFonts w:ascii="宋体" w:hAnsi="宋体" w:eastAsia="宋体" w:cs="宋体"/>
          <w:sz w:val="24"/>
          <w:szCs w:val="24"/>
        </w:rPr>
        <w:t xml:space="preserve"> </w:t>
      </w:r>
      <w:r>
        <w:rPr>
          <w:rFonts w:ascii="宋体" w:hAnsi="宋体" w:eastAsia="宋体" w:cs="宋体"/>
          <w:spacing w:val="-2"/>
          <w:sz w:val="24"/>
          <w:szCs w:val="24"/>
        </w:rPr>
        <w:t>发生时能快速作出反应。</w:t>
      </w:r>
    </w:p>
    <w:p w14:paraId="5495C680">
      <w:pPr>
        <w:spacing w:before="179" w:line="336" w:lineRule="auto"/>
        <w:ind w:left="1"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）事故发生时，应迅速将危险区的人员撤离至安全区，</w:t>
      </w:r>
      <w:r>
        <w:rPr>
          <w:rFonts w:ascii="宋体" w:hAnsi="宋体" w:eastAsia="宋体" w:cs="宋体"/>
          <w:spacing w:val="1"/>
          <w:sz w:val="24"/>
          <w:szCs w:val="24"/>
        </w:rPr>
        <w:t>对中毒患者进行必要</w:t>
      </w:r>
      <w:r>
        <w:rPr>
          <w:rFonts w:ascii="宋体" w:hAnsi="宋体" w:eastAsia="宋体" w:cs="宋体"/>
          <w:sz w:val="24"/>
          <w:szCs w:val="24"/>
        </w:rPr>
        <w:t xml:space="preserve"> </w:t>
      </w:r>
      <w:r>
        <w:rPr>
          <w:rFonts w:ascii="宋体" w:hAnsi="宋体" w:eastAsia="宋体" w:cs="宋体"/>
          <w:spacing w:val="-5"/>
          <w:sz w:val="24"/>
          <w:szCs w:val="24"/>
        </w:rPr>
        <w:t>的处理和抢救，并迅速送往最近的医院救治。生</w:t>
      </w:r>
      <w:r>
        <w:rPr>
          <w:rFonts w:ascii="宋体" w:hAnsi="宋体" w:eastAsia="宋体" w:cs="宋体"/>
          <w:spacing w:val="-6"/>
          <w:sz w:val="24"/>
          <w:szCs w:val="24"/>
        </w:rPr>
        <w:t>产员工须了解各类化学物质的危险性、</w:t>
      </w:r>
      <w:r>
        <w:rPr>
          <w:rFonts w:ascii="宋体" w:hAnsi="宋体" w:eastAsia="宋体" w:cs="宋体"/>
          <w:sz w:val="24"/>
          <w:szCs w:val="24"/>
        </w:rPr>
        <w:t xml:space="preserve"> </w:t>
      </w:r>
      <w:r>
        <w:rPr>
          <w:rFonts w:ascii="宋体" w:hAnsi="宋体" w:eastAsia="宋体" w:cs="宋体"/>
          <w:spacing w:val="-1"/>
          <w:sz w:val="24"/>
          <w:szCs w:val="24"/>
        </w:rPr>
        <w:t>健康毒害性及所采取的安全和健康防范措施，生产车间应配备</w:t>
      </w:r>
      <w:r>
        <w:rPr>
          <w:rFonts w:ascii="宋体" w:hAnsi="宋体" w:eastAsia="宋体" w:cs="宋体"/>
          <w:spacing w:val="-2"/>
          <w:sz w:val="24"/>
          <w:szCs w:val="24"/>
        </w:rPr>
        <w:t>急救设备及药品，有关</w:t>
      </w:r>
      <w:r>
        <w:rPr>
          <w:rFonts w:ascii="宋体" w:hAnsi="宋体" w:eastAsia="宋体" w:cs="宋体"/>
          <w:sz w:val="24"/>
          <w:szCs w:val="24"/>
        </w:rPr>
        <w:t xml:space="preserve"> </w:t>
      </w:r>
      <w:r>
        <w:rPr>
          <w:rFonts w:ascii="宋体" w:hAnsi="宋体" w:eastAsia="宋体" w:cs="宋体"/>
          <w:spacing w:val="-1"/>
          <w:sz w:val="24"/>
          <w:szCs w:val="24"/>
        </w:rPr>
        <w:t>人员应学会自救互救。医务室要建立初期急救措施，以对中毒</w:t>
      </w:r>
      <w:r>
        <w:rPr>
          <w:rFonts w:ascii="宋体" w:hAnsi="宋体" w:eastAsia="宋体" w:cs="宋体"/>
          <w:spacing w:val="-2"/>
          <w:sz w:val="24"/>
          <w:szCs w:val="24"/>
        </w:rPr>
        <w:t>人员能迅速进行初期处</w:t>
      </w:r>
      <w:r>
        <w:rPr>
          <w:rFonts w:ascii="宋体" w:hAnsi="宋体" w:eastAsia="宋体" w:cs="宋体"/>
          <w:sz w:val="24"/>
          <w:szCs w:val="24"/>
        </w:rPr>
        <w:t xml:space="preserve"> </w:t>
      </w:r>
      <w:r>
        <w:rPr>
          <w:rFonts w:ascii="宋体" w:hAnsi="宋体" w:eastAsia="宋体" w:cs="宋体"/>
          <w:spacing w:val="-1"/>
          <w:sz w:val="24"/>
          <w:szCs w:val="24"/>
        </w:rPr>
        <w:t>理后送医院治疗。本项目使用的危险废物由具有化学品运输资</w:t>
      </w:r>
      <w:r>
        <w:rPr>
          <w:rFonts w:ascii="宋体" w:hAnsi="宋体" w:eastAsia="宋体" w:cs="宋体"/>
          <w:spacing w:val="-2"/>
          <w:sz w:val="24"/>
          <w:szCs w:val="24"/>
        </w:rPr>
        <w:t>质的单位采用专用车辆</w:t>
      </w:r>
      <w:r>
        <w:rPr>
          <w:rFonts w:ascii="宋体" w:hAnsi="宋体" w:eastAsia="宋体" w:cs="宋体"/>
          <w:sz w:val="24"/>
          <w:szCs w:val="24"/>
        </w:rPr>
        <w:t xml:space="preserve"> </w:t>
      </w:r>
      <w:r>
        <w:rPr>
          <w:rFonts w:ascii="宋体" w:hAnsi="宋体" w:eastAsia="宋体" w:cs="宋体"/>
          <w:spacing w:val="-1"/>
          <w:sz w:val="24"/>
          <w:szCs w:val="24"/>
        </w:rPr>
        <w:t>运进、运出。建设单位不负责原料和化学原料的收集和运输。</w:t>
      </w:r>
    </w:p>
    <w:p w14:paraId="5647CFC0">
      <w:pPr>
        <w:spacing w:before="184" w:line="360" w:lineRule="auto"/>
        <w:ind w:left="1" w:firstLine="484"/>
        <w:jc w:val="both"/>
        <w:rPr>
          <w:rFonts w:ascii="宋体" w:hAnsi="宋体" w:eastAsia="宋体" w:cs="宋体"/>
          <w:sz w:val="24"/>
          <w:szCs w:val="24"/>
        </w:rPr>
      </w:pPr>
      <w:r>
        <w:rPr>
          <w:rFonts w:ascii="宋体" w:hAnsi="宋体" w:eastAsia="宋体" w:cs="宋体"/>
          <w:spacing w:val="-2"/>
          <w:sz w:val="24"/>
          <w:szCs w:val="24"/>
        </w:rPr>
        <w:t>正常情况下发生运输污染事故的概率较小。非正常情况下，如发生交通意外，容</w:t>
      </w:r>
      <w:r>
        <w:rPr>
          <w:rFonts w:ascii="宋体" w:hAnsi="宋体" w:eastAsia="宋体" w:cs="宋体"/>
          <w:spacing w:val="18"/>
          <w:sz w:val="24"/>
          <w:szCs w:val="24"/>
        </w:rPr>
        <w:t xml:space="preserve"> </w:t>
      </w:r>
      <w:r>
        <w:rPr>
          <w:rFonts w:ascii="宋体" w:hAnsi="宋体" w:eastAsia="宋体" w:cs="宋体"/>
          <w:spacing w:val="-1"/>
          <w:sz w:val="24"/>
          <w:szCs w:val="24"/>
        </w:rPr>
        <w:t>器等破裂致使危险废物散失或泄漏至路面、地上时，将会污染</w:t>
      </w:r>
      <w:r>
        <w:rPr>
          <w:rFonts w:ascii="宋体" w:hAnsi="宋体" w:eastAsia="宋体" w:cs="宋体"/>
          <w:spacing w:val="-2"/>
          <w:sz w:val="24"/>
          <w:szCs w:val="24"/>
        </w:rPr>
        <w:t>现场的地面土壤或地下</w:t>
      </w:r>
      <w:r>
        <w:rPr>
          <w:rFonts w:ascii="宋体" w:hAnsi="宋体" w:eastAsia="宋体" w:cs="宋体"/>
          <w:sz w:val="24"/>
          <w:szCs w:val="24"/>
        </w:rPr>
        <w:t xml:space="preserve"> </w:t>
      </w:r>
      <w:r>
        <w:rPr>
          <w:rFonts w:ascii="宋体" w:hAnsi="宋体" w:eastAsia="宋体" w:cs="宋体"/>
          <w:spacing w:val="-5"/>
          <w:sz w:val="24"/>
          <w:szCs w:val="24"/>
        </w:rPr>
        <w:t>水，应及时采取措施阻止污染事故蔓延，并通知</w:t>
      </w:r>
      <w:r>
        <w:rPr>
          <w:rFonts w:ascii="宋体" w:hAnsi="宋体" w:eastAsia="宋体" w:cs="宋体"/>
          <w:spacing w:val="-6"/>
          <w:sz w:val="24"/>
          <w:szCs w:val="24"/>
        </w:rPr>
        <w:t>当地生态环境行政主管部门进行处理。</w:t>
      </w:r>
    </w:p>
    <w:p w14:paraId="5E569D98">
      <w:pPr>
        <w:spacing w:line="360" w:lineRule="auto"/>
        <w:rPr>
          <w:rFonts w:ascii="宋体" w:hAnsi="宋体" w:eastAsia="宋体" w:cs="宋体"/>
          <w:sz w:val="24"/>
          <w:szCs w:val="24"/>
        </w:rPr>
        <w:sectPr>
          <w:footerReference r:id="rId165" w:type="default"/>
          <w:pgSz w:w="11906" w:h="16839"/>
          <w:pgMar w:top="400" w:right="1450" w:bottom="1127" w:left="1538" w:header="0" w:footer="965" w:gutter="0"/>
          <w:cols w:space="720" w:num="1"/>
        </w:sectPr>
      </w:pPr>
    </w:p>
    <w:p w14:paraId="3C77EBA1">
      <w:pPr>
        <w:spacing w:line="250" w:lineRule="auto"/>
        <w:rPr>
          <w:rFonts w:ascii="Arial"/>
          <w:sz w:val="21"/>
        </w:rPr>
      </w:pPr>
    </w:p>
    <w:p w14:paraId="42B3D4FF">
      <w:pPr>
        <w:spacing w:line="250" w:lineRule="auto"/>
        <w:rPr>
          <w:rFonts w:ascii="Arial"/>
          <w:sz w:val="21"/>
        </w:rPr>
      </w:pPr>
    </w:p>
    <w:p w14:paraId="186EC595">
      <w:pPr>
        <w:spacing w:line="250" w:lineRule="auto"/>
        <w:rPr>
          <w:rFonts w:ascii="Arial"/>
          <w:sz w:val="21"/>
        </w:rPr>
      </w:pPr>
    </w:p>
    <w:p w14:paraId="6AC9CC9A">
      <w:pPr>
        <w:spacing w:line="250" w:lineRule="auto"/>
        <w:rPr>
          <w:rFonts w:ascii="Arial"/>
          <w:sz w:val="21"/>
        </w:rPr>
      </w:pPr>
    </w:p>
    <w:p w14:paraId="73AAE5EB">
      <w:pPr>
        <w:spacing w:line="251" w:lineRule="auto"/>
        <w:rPr>
          <w:rFonts w:ascii="Arial"/>
          <w:sz w:val="21"/>
        </w:rPr>
      </w:pPr>
    </w:p>
    <w:p w14:paraId="48DAA01C">
      <w:pPr>
        <w:spacing w:before="78" w:line="219" w:lineRule="auto"/>
        <w:ind w:left="484"/>
        <w:rPr>
          <w:rFonts w:ascii="宋体" w:hAnsi="宋体" w:eastAsia="宋体" w:cs="宋体"/>
          <w:sz w:val="24"/>
          <w:szCs w:val="24"/>
        </w:rPr>
      </w:pPr>
      <w:r>
        <w:rPr>
          <w:rFonts w:ascii="宋体" w:hAnsi="宋体" w:eastAsia="宋体" w:cs="宋体"/>
          <w:sz w:val="24"/>
          <w:szCs w:val="24"/>
        </w:rPr>
        <w:t>综上所述，建设单位必须做好风险防范和减</w:t>
      </w:r>
      <w:r>
        <w:rPr>
          <w:rFonts w:ascii="宋体" w:hAnsi="宋体" w:eastAsia="宋体" w:cs="宋体"/>
          <w:spacing w:val="-1"/>
          <w:sz w:val="24"/>
          <w:szCs w:val="24"/>
        </w:rPr>
        <w:t>缓措施，杜绝风险事故的发生。</w:t>
      </w:r>
    </w:p>
    <w:p w14:paraId="4D0C1C2F">
      <w:pPr>
        <w:spacing w:before="180" w:line="220" w:lineRule="auto"/>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8  </w:t>
      </w:r>
      <w:r>
        <w:rPr>
          <w:rFonts w:ascii="宋体" w:hAnsi="宋体" w:eastAsia="宋体" w:cs="宋体"/>
          <w:b/>
          <w:bCs/>
          <w:spacing w:val="-3"/>
          <w:sz w:val="24"/>
          <w:szCs w:val="24"/>
        </w:rPr>
        <w:t>事故应急措施</w:t>
      </w:r>
    </w:p>
    <w:p w14:paraId="25FD2450">
      <w:pPr>
        <w:spacing w:before="18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8.1  </w:t>
      </w:r>
      <w:r>
        <w:rPr>
          <w:rFonts w:ascii="宋体" w:hAnsi="宋体" w:eastAsia="宋体" w:cs="宋体"/>
          <w:b/>
          <w:bCs/>
          <w:spacing w:val="-2"/>
          <w:sz w:val="24"/>
          <w:szCs w:val="24"/>
        </w:rPr>
        <w:t>针对化学品仓库的化学品泄漏，采取以下措施：</w:t>
      </w:r>
    </w:p>
    <w:p w14:paraId="6361097B">
      <w:pPr>
        <w:spacing w:before="181" w:line="290" w:lineRule="auto"/>
        <w:ind w:left="5" w:right="80"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）化学品仓库内的各种化学品，需分区堆放，各区域间须</w:t>
      </w:r>
      <w:r>
        <w:rPr>
          <w:rFonts w:ascii="宋体" w:hAnsi="宋体" w:eastAsia="宋体" w:cs="宋体"/>
          <w:spacing w:val="1"/>
          <w:sz w:val="24"/>
          <w:szCs w:val="24"/>
        </w:rPr>
        <w:t>有明显的隔墙和防</w:t>
      </w:r>
      <w:r>
        <w:rPr>
          <w:rFonts w:ascii="宋体" w:hAnsi="宋体" w:eastAsia="宋体" w:cs="宋体"/>
          <w:sz w:val="24"/>
          <w:szCs w:val="24"/>
        </w:rPr>
        <w:t xml:space="preserve"> </w:t>
      </w:r>
      <w:r>
        <w:rPr>
          <w:rFonts w:ascii="宋体" w:hAnsi="宋体" w:eastAsia="宋体" w:cs="宋体"/>
          <w:spacing w:val="-2"/>
          <w:sz w:val="24"/>
          <w:szCs w:val="24"/>
        </w:rPr>
        <w:t>泄漏、导流沟分隔；</w:t>
      </w:r>
    </w:p>
    <w:p w14:paraId="05CEE451">
      <w:pPr>
        <w:spacing w:before="181" w:line="219" w:lineRule="auto"/>
        <w:ind w:left="469"/>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2</w:t>
      </w:r>
      <w:r>
        <w:rPr>
          <w:rFonts w:ascii="宋体" w:hAnsi="宋体" w:eastAsia="宋体" w:cs="宋体"/>
          <w:spacing w:val="-12"/>
          <w:sz w:val="24"/>
          <w:szCs w:val="24"/>
        </w:rPr>
        <w:t>）一旦发生泄漏，立刻堵住泄漏处，同时用沙或其它材料吸收地面外溢化学品。</w:t>
      </w:r>
    </w:p>
    <w:p w14:paraId="30FB5469">
      <w:pPr>
        <w:spacing w:before="180" w:line="290" w:lineRule="auto"/>
        <w:ind w:left="1" w:right="8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）一旦发生泄漏，泄漏物质可通过防泄漏沟进入事故应急</w:t>
      </w:r>
      <w:r>
        <w:rPr>
          <w:rFonts w:ascii="宋体" w:hAnsi="宋体" w:eastAsia="宋体" w:cs="宋体"/>
          <w:spacing w:val="1"/>
          <w:sz w:val="24"/>
          <w:szCs w:val="24"/>
        </w:rPr>
        <w:t>池收集。吸收物和</w:t>
      </w:r>
      <w:r>
        <w:rPr>
          <w:rFonts w:ascii="宋体" w:hAnsi="宋体" w:eastAsia="宋体" w:cs="宋体"/>
          <w:sz w:val="24"/>
          <w:szCs w:val="24"/>
        </w:rPr>
        <w:t xml:space="preserve"> 事故收集池中的泄漏物和清洗水均为危险废物，</w:t>
      </w:r>
      <w:r>
        <w:rPr>
          <w:rFonts w:ascii="宋体" w:hAnsi="宋体" w:eastAsia="宋体" w:cs="宋体"/>
          <w:spacing w:val="-1"/>
          <w:sz w:val="24"/>
          <w:szCs w:val="24"/>
        </w:rPr>
        <w:t>交由有资质的单位处理。</w:t>
      </w:r>
    </w:p>
    <w:p w14:paraId="05317B1A">
      <w:pPr>
        <w:spacing w:before="180" w:line="290" w:lineRule="auto"/>
        <w:ind w:right="8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）泄漏控制后及时清理地面以及防泄漏沟，残留化学品</w:t>
      </w:r>
      <w:r>
        <w:rPr>
          <w:rFonts w:ascii="宋体" w:hAnsi="宋体" w:eastAsia="宋体" w:cs="宋体"/>
          <w:spacing w:val="1"/>
          <w:sz w:val="24"/>
          <w:szCs w:val="24"/>
        </w:rPr>
        <w:t>采用中和、清洗剂清</w:t>
      </w:r>
      <w:r>
        <w:rPr>
          <w:rFonts w:ascii="宋体" w:hAnsi="宋体" w:eastAsia="宋体" w:cs="宋体"/>
          <w:sz w:val="24"/>
          <w:szCs w:val="24"/>
        </w:rPr>
        <w:t xml:space="preserve"> </w:t>
      </w:r>
      <w:r>
        <w:rPr>
          <w:rFonts w:ascii="宋体" w:hAnsi="宋体" w:eastAsia="宋体" w:cs="宋体"/>
          <w:spacing w:val="-1"/>
          <w:sz w:val="24"/>
          <w:szCs w:val="24"/>
        </w:rPr>
        <w:t>洗等方法以消除泄漏点残留毒性。</w:t>
      </w:r>
    </w:p>
    <w:p w14:paraId="3ADD6585">
      <w:pPr>
        <w:spacing w:before="181" w:line="219" w:lineRule="auto"/>
        <w:ind w:left="49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）化学品仓库地面需做防渗处理，进出口需做围堰。</w:t>
      </w:r>
    </w:p>
    <w:p w14:paraId="5FEB0358">
      <w:pPr>
        <w:spacing w:before="182" w:line="219" w:lineRule="auto"/>
        <w:jc w:val="right"/>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）应在化学品仓库附近放置沙袋、沙土，以防发生泄漏时堵塞排雨系统之用。</w:t>
      </w:r>
    </w:p>
    <w:p w14:paraId="7E1CC22D">
      <w:pPr>
        <w:spacing w:before="180" w:line="290" w:lineRule="auto"/>
        <w:ind w:left="1" w:right="82"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）考虑到泄漏过程可能伴有酸液的挥发泄漏等因素</w:t>
      </w:r>
      <w:r>
        <w:rPr>
          <w:rFonts w:ascii="宋体" w:hAnsi="宋体" w:eastAsia="宋体" w:cs="宋体"/>
          <w:spacing w:val="1"/>
          <w:sz w:val="24"/>
          <w:szCs w:val="24"/>
        </w:rPr>
        <w:t>，参加应急处理的人员均</w:t>
      </w:r>
      <w:r>
        <w:rPr>
          <w:rFonts w:ascii="宋体" w:hAnsi="宋体" w:eastAsia="宋体" w:cs="宋体"/>
          <w:sz w:val="24"/>
          <w:szCs w:val="24"/>
        </w:rPr>
        <w:t xml:space="preserve"> </w:t>
      </w:r>
      <w:r>
        <w:rPr>
          <w:rFonts w:ascii="宋体" w:hAnsi="宋体" w:eastAsia="宋体" w:cs="宋体"/>
          <w:spacing w:val="-1"/>
          <w:sz w:val="24"/>
          <w:szCs w:val="24"/>
        </w:rPr>
        <w:t>应该佩带口罩、胶皮手套等防护措施。</w:t>
      </w:r>
    </w:p>
    <w:p w14:paraId="37685FC7">
      <w:pPr>
        <w:spacing w:before="18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8.2  </w:t>
      </w:r>
      <w:r>
        <w:rPr>
          <w:rFonts w:ascii="宋体" w:hAnsi="宋体" w:eastAsia="宋体" w:cs="宋体"/>
          <w:b/>
          <w:bCs/>
          <w:spacing w:val="-2"/>
          <w:sz w:val="24"/>
          <w:szCs w:val="24"/>
        </w:rPr>
        <w:t>消防废水及事故废水应急措施</w:t>
      </w:r>
    </w:p>
    <w:p w14:paraId="462DC0AB">
      <w:pPr>
        <w:spacing w:before="184" w:line="219" w:lineRule="auto"/>
        <w:ind w:left="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）消防等事故的应急要求</w:t>
      </w:r>
    </w:p>
    <w:p w14:paraId="6FC4210D">
      <w:pPr>
        <w:spacing w:before="183" w:line="358" w:lineRule="auto"/>
        <w:ind w:left="4" w:right="80" w:firstLine="478"/>
        <w:rPr>
          <w:rFonts w:ascii="宋体" w:hAnsi="宋体" w:eastAsia="宋体" w:cs="宋体"/>
          <w:sz w:val="24"/>
          <w:szCs w:val="24"/>
        </w:rPr>
      </w:pPr>
      <w:r>
        <w:rPr>
          <w:rFonts w:ascii="宋体" w:hAnsi="宋体" w:eastAsia="宋体" w:cs="宋体"/>
          <w:spacing w:val="6"/>
          <w:sz w:val="24"/>
          <w:szCs w:val="24"/>
        </w:rPr>
        <w:t>本项目在废水处理站附近建有事故应急池，主要用</w:t>
      </w:r>
      <w:r>
        <w:rPr>
          <w:rFonts w:ascii="宋体" w:hAnsi="宋体" w:eastAsia="宋体" w:cs="宋体"/>
          <w:spacing w:val="5"/>
          <w:sz w:val="24"/>
          <w:szCs w:val="24"/>
        </w:rPr>
        <w:t>于发生火灾时产生的消防废</w:t>
      </w:r>
      <w:r>
        <w:rPr>
          <w:rFonts w:ascii="宋体" w:hAnsi="宋体" w:eastAsia="宋体" w:cs="宋体"/>
          <w:sz w:val="24"/>
          <w:szCs w:val="24"/>
        </w:rPr>
        <w:t xml:space="preserve"> 水，确保火灾发生时的消防水能有效收集，</w:t>
      </w:r>
      <w:r>
        <w:rPr>
          <w:rFonts w:ascii="宋体" w:hAnsi="宋体" w:eastAsia="宋体" w:cs="宋体"/>
          <w:spacing w:val="-1"/>
          <w:sz w:val="24"/>
          <w:szCs w:val="24"/>
        </w:rPr>
        <w:t>杜绝事故废水直接排入外环境。</w:t>
      </w:r>
    </w:p>
    <w:p w14:paraId="781E1DB4">
      <w:pPr>
        <w:spacing w:before="3" w:line="359" w:lineRule="auto"/>
        <w:ind w:left="1" w:right="80" w:firstLine="480"/>
        <w:rPr>
          <w:rFonts w:ascii="宋体" w:hAnsi="宋体" w:eastAsia="宋体" w:cs="宋体"/>
          <w:sz w:val="24"/>
          <w:szCs w:val="24"/>
        </w:rPr>
      </w:pPr>
      <w:r>
        <w:rPr>
          <w:rFonts w:ascii="宋体" w:hAnsi="宋体" w:eastAsia="宋体" w:cs="宋体"/>
          <w:spacing w:val="-1"/>
          <w:sz w:val="24"/>
          <w:szCs w:val="24"/>
        </w:rPr>
        <w:t>化学品仓库内设置事故沟、并做防腐及防渗处理，</w:t>
      </w:r>
      <w:r>
        <w:rPr>
          <w:rFonts w:ascii="宋体" w:hAnsi="宋体" w:eastAsia="宋体" w:cs="宋体"/>
          <w:spacing w:val="-2"/>
          <w:sz w:val="24"/>
          <w:szCs w:val="24"/>
        </w:rPr>
        <w:t>泄漏时产生的废液经事故沟收</w:t>
      </w:r>
      <w:r>
        <w:rPr>
          <w:rFonts w:ascii="宋体" w:hAnsi="宋体" w:eastAsia="宋体" w:cs="宋体"/>
          <w:sz w:val="24"/>
          <w:szCs w:val="24"/>
        </w:rPr>
        <w:t xml:space="preserve"> </w:t>
      </w:r>
      <w:r>
        <w:rPr>
          <w:rFonts w:ascii="宋体" w:hAnsi="宋体" w:eastAsia="宋体" w:cs="宋体"/>
          <w:spacing w:val="-1"/>
          <w:sz w:val="24"/>
          <w:szCs w:val="24"/>
        </w:rPr>
        <w:t>集后交由资质的单位处置。</w:t>
      </w:r>
    </w:p>
    <w:p w14:paraId="61955A9C">
      <w:pPr>
        <w:spacing w:line="220" w:lineRule="auto"/>
        <w:ind w:left="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）事故应急池的设计</w:t>
      </w:r>
    </w:p>
    <w:p w14:paraId="1D039D2B">
      <w:pPr>
        <w:spacing w:before="179" w:line="219" w:lineRule="auto"/>
        <w:ind w:left="482"/>
        <w:rPr>
          <w:rFonts w:ascii="宋体" w:hAnsi="宋体" w:eastAsia="宋体" w:cs="宋体"/>
          <w:sz w:val="24"/>
          <w:szCs w:val="24"/>
        </w:rPr>
      </w:pPr>
      <w:r>
        <w:rPr>
          <w:rFonts w:ascii="宋体" w:hAnsi="宋体" w:eastAsia="宋体" w:cs="宋体"/>
          <w:spacing w:val="-3"/>
          <w:sz w:val="24"/>
          <w:szCs w:val="24"/>
        </w:rPr>
        <w:t>本项目在</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号楼地下室消防水池附近建设总容积</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321m</w:t>
      </w:r>
      <w:r>
        <w:rPr>
          <w:rFonts w:ascii="宋体" w:hAnsi="宋体" w:eastAsia="宋体" w:cs="宋体"/>
          <w:spacing w:val="-3"/>
          <w:sz w:val="24"/>
          <w:szCs w:val="24"/>
        </w:rPr>
        <w:t>³</w:t>
      </w:r>
      <w:r>
        <w:rPr>
          <w:rFonts w:ascii="宋体" w:hAnsi="宋体" w:eastAsia="宋体" w:cs="宋体"/>
          <w:spacing w:val="-91"/>
          <w:sz w:val="24"/>
          <w:szCs w:val="24"/>
        </w:rPr>
        <w:t xml:space="preserve"> </w:t>
      </w:r>
      <w:r>
        <w:rPr>
          <w:rFonts w:ascii="宋体" w:hAnsi="宋体" w:eastAsia="宋体" w:cs="宋体"/>
          <w:spacing w:val="-3"/>
          <w:sz w:val="24"/>
          <w:szCs w:val="24"/>
        </w:rPr>
        <w:t>的事故应急池。</w:t>
      </w:r>
    </w:p>
    <w:p w14:paraId="1F40F6B6">
      <w:pPr>
        <w:spacing w:before="184"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8.3 </w:t>
      </w:r>
      <w:r>
        <w:rPr>
          <w:rFonts w:ascii="宋体" w:hAnsi="宋体" w:eastAsia="宋体" w:cs="宋体"/>
          <w:b/>
          <w:bCs/>
          <w:spacing w:val="-2"/>
          <w:sz w:val="24"/>
          <w:szCs w:val="24"/>
        </w:rPr>
        <w:t>三级环境风险防范应急体系</w:t>
      </w:r>
    </w:p>
    <w:p w14:paraId="60512C7A">
      <w:pPr>
        <w:spacing w:before="179" w:line="359" w:lineRule="auto"/>
        <w:ind w:left="1" w:right="80" w:firstLine="480"/>
        <w:rPr>
          <w:rFonts w:ascii="宋体" w:hAnsi="宋体" w:eastAsia="宋体" w:cs="宋体"/>
          <w:sz w:val="24"/>
          <w:szCs w:val="24"/>
        </w:rPr>
      </w:pPr>
      <w:r>
        <w:rPr>
          <w:rFonts w:ascii="宋体" w:hAnsi="宋体" w:eastAsia="宋体" w:cs="宋体"/>
          <w:spacing w:val="-1"/>
          <w:sz w:val="24"/>
          <w:szCs w:val="24"/>
        </w:rPr>
        <w:t>针对项目可能存在的生环境风险，建立企业级、乡镇</w:t>
      </w:r>
      <w:r>
        <w:rPr>
          <w:rFonts w:ascii="宋体" w:hAnsi="宋体" w:eastAsia="宋体" w:cs="宋体"/>
          <w:spacing w:val="-2"/>
          <w:sz w:val="24"/>
          <w:szCs w:val="24"/>
        </w:rPr>
        <w:t>级和县市级的废水事故排放</w:t>
      </w:r>
      <w:r>
        <w:rPr>
          <w:rFonts w:ascii="宋体" w:hAnsi="宋体" w:eastAsia="宋体" w:cs="宋体"/>
          <w:sz w:val="24"/>
          <w:szCs w:val="24"/>
        </w:rPr>
        <w:t xml:space="preserve"> </w:t>
      </w:r>
      <w:r>
        <w:rPr>
          <w:rFonts w:ascii="宋体" w:hAnsi="宋体" w:eastAsia="宋体" w:cs="宋体"/>
          <w:spacing w:val="-2"/>
          <w:sz w:val="24"/>
          <w:szCs w:val="24"/>
        </w:rPr>
        <w:t>三级防控体系。</w:t>
      </w:r>
    </w:p>
    <w:p w14:paraId="1A0526BA">
      <w:pPr>
        <w:spacing w:before="1" w:line="219" w:lineRule="auto"/>
        <w:ind w:left="493"/>
        <w:rPr>
          <w:rFonts w:ascii="宋体" w:hAnsi="宋体" w:eastAsia="宋体" w:cs="宋体"/>
          <w:sz w:val="24"/>
          <w:szCs w:val="24"/>
        </w:rPr>
      </w:pPr>
      <w:r>
        <w:rPr>
          <w:rFonts w:ascii="宋体" w:hAnsi="宋体" w:eastAsia="宋体" w:cs="宋体"/>
          <w:b/>
          <w:bCs/>
          <w:spacing w:val="-3"/>
          <w:sz w:val="24"/>
          <w:szCs w:val="24"/>
        </w:rPr>
        <w:t>（一）危险品仓库事故泄露的防范与应急措施</w:t>
      </w:r>
    </w:p>
    <w:p w14:paraId="0B2451AC">
      <w:pPr>
        <w:spacing w:before="183" w:line="359" w:lineRule="auto"/>
        <w:ind w:right="80" w:firstLine="482"/>
        <w:rPr>
          <w:rFonts w:ascii="宋体" w:hAnsi="宋体" w:eastAsia="宋体" w:cs="宋体"/>
          <w:sz w:val="24"/>
          <w:szCs w:val="24"/>
        </w:rPr>
      </w:pPr>
      <w:r>
        <w:rPr>
          <w:rFonts w:ascii="宋体" w:hAnsi="宋体" w:eastAsia="宋体" w:cs="宋体"/>
          <w:spacing w:val="-1"/>
          <w:sz w:val="24"/>
          <w:szCs w:val="24"/>
        </w:rPr>
        <w:t>化学品仓库和危废暂存间需做好防腐及防渗处理，</w:t>
      </w:r>
      <w:r>
        <w:rPr>
          <w:rFonts w:ascii="宋体" w:hAnsi="宋体" w:eastAsia="宋体" w:cs="宋体"/>
          <w:spacing w:val="-2"/>
          <w:sz w:val="24"/>
          <w:szCs w:val="24"/>
        </w:rPr>
        <w:t>四周设置环型事故沟，事故沟</w:t>
      </w:r>
      <w:r>
        <w:rPr>
          <w:rFonts w:ascii="宋体" w:hAnsi="宋体" w:eastAsia="宋体" w:cs="宋体"/>
          <w:sz w:val="24"/>
          <w:szCs w:val="24"/>
        </w:rPr>
        <w:t xml:space="preserve"> </w:t>
      </w:r>
      <w:r>
        <w:rPr>
          <w:rFonts w:ascii="宋体" w:hAnsi="宋体" w:eastAsia="宋体" w:cs="宋体"/>
          <w:spacing w:val="-1"/>
          <w:sz w:val="24"/>
          <w:szCs w:val="24"/>
        </w:rPr>
        <w:t>进行收集后交由资质的单位处置。</w:t>
      </w:r>
    </w:p>
    <w:p w14:paraId="2502786B">
      <w:pPr>
        <w:spacing w:line="219" w:lineRule="auto"/>
        <w:ind w:left="493"/>
        <w:rPr>
          <w:rFonts w:ascii="宋体" w:hAnsi="宋体" w:eastAsia="宋体" w:cs="宋体"/>
          <w:sz w:val="24"/>
          <w:szCs w:val="24"/>
        </w:rPr>
      </w:pPr>
      <w:r>
        <w:rPr>
          <w:rFonts w:ascii="宋体" w:hAnsi="宋体" w:eastAsia="宋体" w:cs="宋体"/>
          <w:b/>
          <w:bCs/>
          <w:spacing w:val="-3"/>
          <w:sz w:val="24"/>
          <w:szCs w:val="24"/>
        </w:rPr>
        <w:t>（二）废水事故排放的防范与应急措施</w:t>
      </w:r>
    </w:p>
    <w:p w14:paraId="75E3C035">
      <w:pPr>
        <w:spacing w:line="219" w:lineRule="auto"/>
        <w:rPr>
          <w:rFonts w:ascii="宋体" w:hAnsi="宋体" w:eastAsia="宋体" w:cs="宋体"/>
          <w:sz w:val="24"/>
          <w:szCs w:val="24"/>
        </w:rPr>
        <w:sectPr>
          <w:footerReference r:id="rId166" w:type="default"/>
          <w:pgSz w:w="11906" w:h="16839"/>
          <w:pgMar w:top="400" w:right="1450" w:bottom="1127" w:left="1538" w:header="0" w:footer="965" w:gutter="0"/>
          <w:cols w:space="720" w:num="1"/>
        </w:sectPr>
      </w:pPr>
    </w:p>
    <w:p w14:paraId="21B75583">
      <w:pPr>
        <w:spacing w:line="249" w:lineRule="auto"/>
        <w:rPr>
          <w:rFonts w:ascii="Arial"/>
          <w:sz w:val="21"/>
        </w:rPr>
      </w:pPr>
    </w:p>
    <w:p w14:paraId="49B3F217">
      <w:pPr>
        <w:spacing w:line="250" w:lineRule="auto"/>
        <w:rPr>
          <w:rFonts w:ascii="Arial"/>
          <w:sz w:val="21"/>
        </w:rPr>
      </w:pPr>
    </w:p>
    <w:p w14:paraId="0C96779D">
      <w:pPr>
        <w:spacing w:line="250" w:lineRule="auto"/>
        <w:rPr>
          <w:rFonts w:ascii="Arial"/>
          <w:sz w:val="21"/>
        </w:rPr>
      </w:pPr>
    </w:p>
    <w:p w14:paraId="075066E5">
      <w:pPr>
        <w:spacing w:line="250" w:lineRule="auto"/>
        <w:rPr>
          <w:rFonts w:ascii="Arial"/>
          <w:sz w:val="21"/>
        </w:rPr>
      </w:pPr>
    </w:p>
    <w:p w14:paraId="45E8B0ED">
      <w:pPr>
        <w:spacing w:line="250" w:lineRule="auto"/>
        <w:rPr>
          <w:rFonts w:ascii="Arial"/>
          <w:sz w:val="21"/>
        </w:rPr>
      </w:pPr>
    </w:p>
    <w:p w14:paraId="284765F9">
      <w:pPr>
        <w:spacing w:before="78" w:line="359" w:lineRule="auto"/>
        <w:ind w:right="80" w:firstLine="483"/>
        <w:jc w:val="both"/>
        <w:rPr>
          <w:rFonts w:ascii="宋体" w:hAnsi="宋体" w:eastAsia="宋体" w:cs="宋体"/>
          <w:sz w:val="24"/>
          <w:szCs w:val="24"/>
        </w:rPr>
      </w:pPr>
      <w:r>
        <w:rPr>
          <w:rFonts w:ascii="宋体" w:hAnsi="宋体" w:eastAsia="宋体" w:cs="宋体"/>
          <w:spacing w:val="-1"/>
          <w:sz w:val="24"/>
          <w:szCs w:val="24"/>
        </w:rPr>
        <w:t>为防止化学品泄漏进入雨水管网，应严格规划</w:t>
      </w:r>
      <w:r>
        <w:rPr>
          <w:rFonts w:ascii="宋体" w:hAnsi="宋体" w:eastAsia="宋体" w:cs="宋体"/>
          <w:spacing w:val="-2"/>
          <w:sz w:val="24"/>
          <w:szCs w:val="24"/>
        </w:rPr>
        <w:t>好厂区内的污水分流管道，当遭遇</w:t>
      </w:r>
      <w:r>
        <w:rPr>
          <w:rFonts w:ascii="宋体" w:hAnsi="宋体" w:eastAsia="宋体" w:cs="宋体"/>
          <w:sz w:val="24"/>
          <w:szCs w:val="24"/>
        </w:rPr>
        <w:t xml:space="preserve"> </w:t>
      </w:r>
      <w:r>
        <w:rPr>
          <w:rFonts w:ascii="宋体" w:hAnsi="宋体" w:eastAsia="宋体" w:cs="宋体"/>
          <w:spacing w:val="-1"/>
          <w:sz w:val="24"/>
          <w:szCs w:val="24"/>
        </w:rPr>
        <w:t>暴雨时，可用储备的石灰、亚硫酸铁、絮凝剂等进行应急处理，</w:t>
      </w:r>
      <w:r>
        <w:rPr>
          <w:rFonts w:ascii="宋体" w:hAnsi="宋体" w:eastAsia="宋体" w:cs="宋体"/>
          <w:spacing w:val="-2"/>
          <w:sz w:val="24"/>
          <w:szCs w:val="24"/>
        </w:rPr>
        <w:t>尽可能减少污染物进</w:t>
      </w:r>
      <w:r>
        <w:rPr>
          <w:rFonts w:ascii="宋体" w:hAnsi="宋体" w:eastAsia="宋体" w:cs="宋体"/>
          <w:sz w:val="24"/>
          <w:szCs w:val="24"/>
        </w:rPr>
        <w:t xml:space="preserve"> </w:t>
      </w:r>
      <w:r>
        <w:rPr>
          <w:rFonts w:ascii="宋体" w:hAnsi="宋体" w:eastAsia="宋体" w:cs="宋体"/>
          <w:spacing w:val="-2"/>
          <w:sz w:val="24"/>
          <w:szCs w:val="24"/>
        </w:rPr>
        <w:t>入汇入地表雨水。</w:t>
      </w:r>
    </w:p>
    <w:p w14:paraId="22064CB9">
      <w:pPr>
        <w:spacing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8.4  </w:t>
      </w:r>
      <w:r>
        <w:rPr>
          <w:rFonts w:ascii="宋体" w:hAnsi="宋体" w:eastAsia="宋体" w:cs="宋体"/>
          <w:b/>
          <w:bCs/>
          <w:spacing w:val="-2"/>
          <w:sz w:val="24"/>
          <w:szCs w:val="24"/>
        </w:rPr>
        <w:t>应急物质储备</w:t>
      </w:r>
    </w:p>
    <w:p w14:paraId="32D032E6">
      <w:pPr>
        <w:spacing w:before="182" w:line="359" w:lineRule="auto"/>
        <w:ind w:left="1" w:right="80" w:firstLine="479"/>
        <w:rPr>
          <w:rFonts w:ascii="宋体" w:hAnsi="宋体" w:eastAsia="宋体" w:cs="宋体"/>
          <w:sz w:val="24"/>
          <w:szCs w:val="24"/>
        </w:rPr>
      </w:pPr>
      <w:r>
        <w:rPr>
          <w:rFonts w:ascii="宋体" w:hAnsi="宋体" w:eastAsia="宋体" w:cs="宋体"/>
          <w:spacing w:val="-1"/>
          <w:sz w:val="24"/>
          <w:szCs w:val="24"/>
        </w:rPr>
        <w:t>针对火灾、危化学品泄漏等风险事故，应设置应急物</w:t>
      </w:r>
      <w:r>
        <w:rPr>
          <w:rFonts w:ascii="宋体" w:hAnsi="宋体" w:eastAsia="宋体" w:cs="宋体"/>
          <w:spacing w:val="-2"/>
          <w:sz w:val="24"/>
          <w:szCs w:val="24"/>
        </w:rPr>
        <w:t>质储备库，应急物资储备主</w:t>
      </w:r>
      <w:r>
        <w:rPr>
          <w:rFonts w:ascii="宋体" w:hAnsi="宋体" w:eastAsia="宋体" w:cs="宋体"/>
          <w:sz w:val="24"/>
          <w:szCs w:val="24"/>
        </w:rPr>
        <w:t xml:space="preserve"> </w:t>
      </w:r>
      <w:r>
        <w:rPr>
          <w:rFonts w:ascii="宋体" w:hAnsi="宋体" w:eastAsia="宋体" w:cs="宋体"/>
          <w:spacing w:val="-3"/>
          <w:sz w:val="24"/>
          <w:szCs w:val="24"/>
        </w:rPr>
        <w:t>要包括：</w:t>
      </w:r>
    </w:p>
    <w:p w14:paraId="2043E125">
      <w:pPr>
        <w:spacing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）应急设备物质</w:t>
      </w:r>
    </w:p>
    <w:p w14:paraId="34F1906E">
      <w:pPr>
        <w:spacing w:before="181" w:line="359" w:lineRule="auto"/>
        <w:ind w:left="2" w:right="80" w:firstLine="493"/>
        <w:rPr>
          <w:rFonts w:ascii="宋体" w:hAnsi="宋体" w:eastAsia="宋体" w:cs="宋体"/>
          <w:sz w:val="24"/>
          <w:szCs w:val="24"/>
        </w:rPr>
      </w:pPr>
      <w:r>
        <w:rPr>
          <w:rFonts w:ascii="宋体" w:hAnsi="宋体" w:eastAsia="宋体" w:cs="宋体"/>
          <w:spacing w:val="-2"/>
          <w:sz w:val="24"/>
          <w:szCs w:val="24"/>
        </w:rPr>
        <w:t>防火灾，爆炸事故的应急设施、设备与材料，主要为消防器材、消防服等；防有</w:t>
      </w:r>
      <w:r>
        <w:rPr>
          <w:rFonts w:ascii="宋体" w:hAnsi="宋体" w:eastAsia="宋体" w:cs="宋体"/>
          <w:spacing w:val="6"/>
          <w:sz w:val="24"/>
          <w:szCs w:val="24"/>
        </w:rPr>
        <w:t xml:space="preserve"> </w:t>
      </w:r>
      <w:r>
        <w:rPr>
          <w:rFonts w:ascii="宋体" w:hAnsi="宋体" w:eastAsia="宋体" w:cs="宋体"/>
          <w:spacing w:val="-1"/>
          <w:sz w:val="24"/>
          <w:szCs w:val="24"/>
        </w:rPr>
        <w:t>毒有害物质外溢扩散所需的是水幕或低压蒸汽幕、喷淋设</w:t>
      </w:r>
      <w:r>
        <w:rPr>
          <w:rFonts w:ascii="宋体" w:hAnsi="宋体" w:eastAsia="宋体" w:cs="宋体"/>
          <w:spacing w:val="-2"/>
          <w:sz w:val="24"/>
          <w:szCs w:val="24"/>
        </w:rPr>
        <w:t>备、防毒服和一些土工作业</w:t>
      </w:r>
      <w:r>
        <w:rPr>
          <w:rFonts w:ascii="宋体" w:hAnsi="宋体" w:eastAsia="宋体" w:cs="宋体"/>
          <w:sz w:val="24"/>
          <w:szCs w:val="24"/>
        </w:rPr>
        <w:t xml:space="preserve"> </w:t>
      </w:r>
      <w:r>
        <w:rPr>
          <w:rFonts w:ascii="宋体" w:hAnsi="宋体" w:eastAsia="宋体" w:cs="宋体"/>
          <w:spacing w:val="-1"/>
          <w:sz w:val="24"/>
          <w:szCs w:val="24"/>
        </w:rPr>
        <w:t>工具；烧伤、中毒人员急救所用的一些药品、器材。</w:t>
      </w:r>
    </w:p>
    <w:p w14:paraId="1F12CE8B">
      <w:pPr>
        <w:spacing w:line="219" w:lineRule="auto"/>
        <w:ind w:left="481"/>
        <w:rPr>
          <w:rFonts w:ascii="宋体" w:hAnsi="宋体" w:eastAsia="宋体" w:cs="宋体"/>
          <w:sz w:val="24"/>
          <w:szCs w:val="24"/>
        </w:rPr>
      </w:pPr>
      <w:r>
        <w:rPr>
          <w:rFonts w:ascii="宋体" w:hAnsi="宋体" w:eastAsia="宋体" w:cs="宋体"/>
          <w:spacing w:val="-1"/>
          <w:sz w:val="24"/>
          <w:szCs w:val="24"/>
        </w:rPr>
        <w:t>此外，还应配备应急通信系统，应急电源、照明。</w:t>
      </w:r>
    </w:p>
    <w:p w14:paraId="007D1BD2">
      <w:pPr>
        <w:spacing w:before="181" w:line="359" w:lineRule="auto"/>
        <w:ind w:left="1" w:firstLine="479"/>
        <w:rPr>
          <w:rFonts w:ascii="宋体" w:hAnsi="宋体" w:eastAsia="宋体" w:cs="宋体"/>
          <w:sz w:val="24"/>
          <w:szCs w:val="24"/>
        </w:rPr>
      </w:pPr>
      <w:r>
        <w:rPr>
          <w:rFonts w:ascii="宋体" w:hAnsi="宋体" w:eastAsia="宋体" w:cs="宋体"/>
          <w:spacing w:val="-1"/>
          <w:sz w:val="24"/>
          <w:szCs w:val="24"/>
        </w:rPr>
        <w:t>所有应急设施平时要专人维护、保管、检验，确保器</w:t>
      </w:r>
      <w:r>
        <w:rPr>
          <w:rFonts w:ascii="宋体" w:hAnsi="宋体" w:eastAsia="宋体" w:cs="宋体"/>
          <w:spacing w:val="-2"/>
          <w:sz w:val="24"/>
          <w:szCs w:val="24"/>
        </w:rPr>
        <w:t>材始终处于完好状态，保证</w:t>
      </w:r>
      <w:r>
        <w:rPr>
          <w:rFonts w:ascii="宋体" w:hAnsi="宋体" w:eastAsia="宋体" w:cs="宋体"/>
          <w:sz w:val="24"/>
          <w:szCs w:val="24"/>
        </w:rPr>
        <w:t xml:space="preserve"> </w:t>
      </w:r>
      <w:r>
        <w:rPr>
          <w:rFonts w:ascii="宋体" w:hAnsi="宋体" w:eastAsia="宋体" w:cs="宋体"/>
          <w:spacing w:val="-5"/>
          <w:sz w:val="24"/>
          <w:szCs w:val="24"/>
        </w:rPr>
        <w:t>能有效使用。对各种通讯工具、警报及事故信</w:t>
      </w:r>
      <w:r>
        <w:rPr>
          <w:rFonts w:ascii="宋体" w:hAnsi="宋体" w:eastAsia="宋体" w:cs="宋体"/>
          <w:spacing w:val="-6"/>
          <w:sz w:val="24"/>
          <w:szCs w:val="24"/>
        </w:rPr>
        <w:t>号，平时必须做出明确规定；报警方法、</w:t>
      </w:r>
      <w:r>
        <w:rPr>
          <w:rFonts w:ascii="宋体" w:hAnsi="宋体" w:eastAsia="宋体" w:cs="宋体"/>
          <w:sz w:val="24"/>
          <w:szCs w:val="24"/>
        </w:rPr>
        <w:t xml:space="preserve"> 联络号码和信号使用规定要置于明显位置，使</w:t>
      </w:r>
      <w:r>
        <w:rPr>
          <w:rFonts w:ascii="宋体" w:hAnsi="宋体" w:eastAsia="宋体" w:cs="宋体"/>
          <w:spacing w:val="-1"/>
          <w:sz w:val="24"/>
          <w:szCs w:val="24"/>
        </w:rPr>
        <w:t>每一位值班人员熟练掌握。</w:t>
      </w:r>
    </w:p>
    <w:p w14:paraId="4C1614AF">
      <w:pPr>
        <w:spacing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）应急化学品物质</w:t>
      </w:r>
    </w:p>
    <w:p w14:paraId="0139292B">
      <w:pPr>
        <w:spacing w:before="181" w:line="359" w:lineRule="auto"/>
        <w:ind w:right="80" w:firstLine="485"/>
        <w:rPr>
          <w:rFonts w:ascii="宋体" w:hAnsi="宋体" w:eastAsia="宋体" w:cs="宋体"/>
          <w:sz w:val="24"/>
          <w:szCs w:val="24"/>
        </w:rPr>
      </w:pPr>
      <w:r>
        <w:rPr>
          <w:rFonts w:ascii="宋体" w:hAnsi="宋体" w:eastAsia="宋体" w:cs="宋体"/>
          <w:spacing w:val="-2"/>
          <w:sz w:val="24"/>
          <w:szCs w:val="24"/>
        </w:rPr>
        <w:t>结合项目所用的化学品的性质，主要配备适量的碱液、黄砂、干粉灭火机等扑救</w:t>
      </w:r>
      <w:r>
        <w:rPr>
          <w:rFonts w:ascii="宋体" w:hAnsi="宋体" w:eastAsia="宋体" w:cs="宋体"/>
          <w:spacing w:val="17"/>
          <w:sz w:val="24"/>
          <w:szCs w:val="24"/>
        </w:rPr>
        <w:t xml:space="preserve"> </w:t>
      </w:r>
      <w:r>
        <w:rPr>
          <w:rFonts w:ascii="宋体" w:hAnsi="宋体" w:eastAsia="宋体" w:cs="宋体"/>
          <w:spacing w:val="-1"/>
          <w:sz w:val="24"/>
          <w:szCs w:val="24"/>
        </w:rPr>
        <w:t>物品。当发生废水或化学品泄漏进入雨水管网，并在雨水管网</w:t>
      </w:r>
      <w:r>
        <w:rPr>
          <w:rFonts w:ascii="宋体" w:hAnsi="宋体" w:eastAsia="宋体" w:cs="宋体"/>
          <w:spacing w:val="-2"/>
          <w:sz w:val="24"/>
          <w:szCs w:val="24"/>
        </w:rPr>
        <w:t>截流系统失效或人为操</w:t>
      </w:r>
      <w:r>
        <w:rPr>
          <w:rFonts w:ascii="宋体" w:hAnsi="宋体" w:eastAsia="宋体" w:cs="宋体"/>
          <w:sz w:val="24"/>
          <w:szCs w:val="24"/>
        </w:rPr>
        <w:t xml:space="preserve"> 作不当的极端情况下，可用储备的石灰、亚硫酸铁、絮凝</w:t>
      </w:r>
      <w:r>
        <w:rPr>
          <w:rFonts w:ascii="宋体" w:hAnsi="宋体" w:eastAsia="宋体" w:cs="宋体"/>
          <w:spacing w:val="-1"/>
          <w:sz w:val="24"/>
          <w:szCs w:val="24"/>
        </w:rPr>
        <w:t>剂等应急物资进行处理。</w:t>
      </w:r>
    </w:p>
    <w:p w14:paraId="1DBAB203">
      <w:pPr>
        <w:spacing w:before="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8.5  </w:t>
      </w:r>
      <w:r>
        <w:rPr>
          <w:rFonts w:ascii="宋体" w:hAnsi="宋体" w:eastAsia="宋体" w:cs="宋体"/>
          <w:b/>
          <w:bCs/>
          <w:spacing w:val="-2"/>
          <w:sz w:val="24"/>
          <w:szCs w:val="24"/>
        </w:rPr>
        <w:t>操作过程中的安全防范措施</w:t>
      </w:r>
    </w:p>
    <w:p w14:paraId="5372D1EB">
      <w:pPr>
        <w:spacing w:before="183" w:line="219" w:lineRule="auto"/>
        <w:ind w:left="482"/>
        <w:rPr>
          <w:rFonts w:ascii="宋体" w:hAnsi="宋体" w:eastAsia="宋体" w:cs="宋体"/>
          <w:sz w:val="24"/>
          <w:szCs w:val="24"/>
        </w:rPr>
      </w:pPr>
      <w:r>
        <w:rPr>
          <w:rFonts w:ascii="宋体" w:hAnsi="宋体" w:eastAsia="宋体" w:cs="宋体"/>
          <w:sz w:val="24"/>
          <w:szCs w:val="24"/>
        </w:rPr>
        <w:t>生产操作过程中，必须加强安全管理，提高事故防</w:t>
      </w:r>
      <w:r>
        <w:rPr>
          <w:rFonts w:ascii="宋体" w:hAnsi="宋体" w:eastAsia="宋体" w:cs="宋体"/>
          <w:spacing w:val="-1"/>
          <w:sz w:val="24"/>
          <w:szCs w:val="24"/>
        </w:rPr>
        <w:t>范措施。建议作好以下工作：</w:t>
      </w:r>
    </w:p>
    <w:p w14:paraId="436FEC9A">
      <w:pPr>
        <w:spacing w:before="183"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）严格把握工程设计、施工关</w:t>
      </w:r>
    </w:p>
    <w:p w14:paraId="3702C27B">
      <w:pPr>
        <w:spacing w:before="182" w:line="359" w:lineRule="auto"/>
        <w:ind w:firstLine="483"/>
        <w:rPr>
          <w:rFonts w:ascii="宋体" w:hAnsi="宋体" w:eastAsia="宋体" w:cs="宋体"/>
          <w:sz w:val="24"/>
          <w:szCs w:val="24"/>
        </w:rPr>
      </w:pPr>
      <w:r>
        <w:rPr>
          <w:rFonts w:ascii="宋体" w:hAnsi="宋体" w:eastAsia="宋体" w:cs="宋体"/>
          <w:spacing w:val="-6"/>
          <w:sz w:val="24"/>
          <w:szCs w:val="24"/>
        </w:rPr>
        <w:t>工程设计包括工艺设计和总图设计。只有设计合理，才能从根本上改善劳动条件，</w:t>
      </w:r>
      <w:r>
        <w:rPr>
          <w:rFonts w:ascii="宋体" w:hAnsi="宋体" w:eastAsia="宋体" w:cs="宋体"/>
          <w:spacing w:val="6"/>
          <w:sz w:val="24"/>
          <w:szCs w:val="24"/>
        </w:rPr>
        <w:t xml:space="preserve"> </w:t>
      </w:r>
      <w:r>
        <w:rPr>
          <w:rFonts w:ascii="宋体" w:hAnsi="宋体" w:eastAsia="宋体" w:cs="宋体"/>
          <w:spacing w:val="-5"/>
          <w:sz w:val="24"/>
          <w:szCs w:val="24"/>
        </w:rPr>
        <w:t>消除事故重大隐患。严格注意施工质量和设备安排</w:t>
      </w:r>
      <w:r>
        <w:rPr>
          <w:rFonts w:ascii="宋体" w:hAnsi="宋体" w:eastAsia="宋体" w:cs="宋体"/>
          <w:spacing w:val="-6"/>
          <w:sz w:val="24"/>
          <w:szCs w:val="24"/>
        </w:rPr>
        <w:t>，调试的质量，严格竣工验收审查。</w:t>
      </w:r>
      <w:r>
        <w:rPr>
          <w:rFonts w:ascii="宋体" w:hAnsi="宋体" w:eastAsia="宋体" w:cs="宋体"/>
          <w:sz w:val="24"/>
          <w:szCs w:val="24"/>
        </w:rPr>
        <w:t xml:space="preserve"> </w:t>
      </w:r>
      <w:r>
        <w:rPr>
          <w:rFonts w:ascii="宋体" w:hAnsi="宋体" w:eastAsia="宋体" w:cs="宋体"/>
          <w:spacing w:val="5"/>
          <w:sz w:val="24"/>
          <w:szCs w:val="24"/>
        </w:rPr>
        <w:t>在工艺设计中应注意对特别危险及毒害严重的作业选用自动化和机械化操作或遥感</w:t>
      </w:r>
      <w:r>
        <w:rPr>
          <w:rFonts w:ascii="宋体" w:hAnsi="宋体" w:eastAsia="宋体" w:cs="宋体"/>
          <w:spacing w:val="14"/>
          <w:sz w:val="24"/>
          <w:szCs w:val="24"/>
        </w:rPr>
        <w:t xml:space="preserve"> </w:t>
      </w:r>
      <w:r>
        <w:rPr>
          <w:rFonts w:ascii="宋体" w:hAnsi="宋体" w:eastAsia="宋体" w:cs="宋体"/>
          <w:spacing w:val="-5"/>
          <w:sz w:val="24"/>
          <w:szCs w:val="24"/>
        </w:rPr>
        <w:t>操作，并注意屏蔽。对选用的设备应符合有关《生</w:t>
      </w:r>
      <w:r>
        <w:rPr>
          <w:rFonts w:ascii="宋体" w:hAnsi="宋体" w:eastAsia="宋体" w:cs="宋体"/>
          <w:spacing w:val="-6"/>
          <w:sz w:val="24"/>
          <w:szCs w:val="24"/>
        </w:rPr>
        <w:t>产设备安全卫生设计总则》的要求，</w:t>
      </w:r>
      <w:r>
        <w:rPr>
          <w:rFonts w:ascii="宋体" w:hAnsi="宋体" w:eastAsia="宋体" w:cs="宋体"/>
          <w:sz w:val="24"/>
          <w:szCs w:val="24"/>
        </w:rPr>
        <w:t xml:space="preserve"> </w:t>
      </w:r>
      <w:r>
        <w:rPr>
          <w:rFonts w:ascii="宋体" w:hAnsi="宋体" w:eastAsia="宋体" w:cs="宋体"/>
          <w:spacing w:val="-1"/>
          <w:sz w:val="24"/>
          <w:szCs w:val="24"/>
        </w:rPr>
        <w:t>并注意考虑职业危害治理和配套安全设施。</w:t>
      </w:r>
    </w:p>
    <w:p w14:paraId="3C46BA9B">
      <w:pPr>
        <w:spacing w:before="1"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）提高认识、完善制度、严格检查</w:t>
      </w:r>
    </w:p>
    <w:p w14:paraId="5A7ECEC8">
      <w:pPr>
        <w:spacing w:before="180" w:line="362" w:lineRule="auto"/>
        <w:ind w:right="68" w:firstLine="458"/>
        <w:rPr>
          <w:rFonts w:ascii="宋体" w:hAnsi="宋体" w:eastAsia="宋体" w:cs="宋体"/>
          <w:sz w:val="24"/>
          <w:szCs w:val="24"/>
        </w:rPr>
      </w:pPr>
      <w:r>
        <w:rPr>
          <w:rFonts w:ascii="宋体" w:hAnsi="宋体" w:eastAsia="宋体" w:cs="宋体"/>
          <w:spacing w:val="-13"/>
          <w:sz w:val="24"/>
          <w:szCs w:val="24"/>
        </w:rPr>
        <w:t>建设单位领导应该提高对突发性事故的警觉和认识，作</w:t>
      </w:r>
      <w:r>
        <w:rPr>
          <w:rFonts w:ascii="宋体" w:hAnsi="宋体" w:eastAsia="宋体" w:cs="宋体"/>
          <w:spacing w:val="-14"/>
          <w:sz w:val="24"/>
          <w:szCs w:val="24"/>
        </w:rPr>
        <w:t>到警钟常鸣。建议企业建立安</w:t>
      </w:r>
      <w:r>
        <w:rPr>
          <w:rFonts w:ascii="宋体" w:hAnsi="宋体" w:eastAsia="宋体" w:cs="宋体"/>
          <w:sz w:val="24"/>
          <w:szCs w:val="24"/>
        </w:rPr>
        <w:t xml:space="preserve"> </w:t>
      </w:r>
      <w:r>
        <w:rPr>
          <w:rFonts w:ascii="宋体" w:hAnsi="宋体" w:eastAsia="宋体" w:cs="宋体"/>
          <w:spacing w:val="-13"/>
          <w:sz w:val="24"/>
          <w:szCs w:val="24"/>
        </w:rPr>
        <w:t>全与环保科，并由企业领导直接领导，全权负责。主要负责、检查和监</w:t>
      </w:r>
      <w:r>
        <w:rPr>
          <w:rFonts w:ascii="宋体" w:hAnsi="宋体" w:eastAsia="宋体" w:cs="宋体"/>
          <w:spacing w:val="-14"/>
          <w:sz w:val="24"/>
          <w:szCs w:val="24"/>
        </w:rPr>
        <w:t>督全厂的安全生产</w:t>
      </w:r>
    </w:p>
    <w:p w14:paraId="2E17CFFB">
      <w:pPr>
        <w:spacing w:line="362" w:lineRule="auto"/>
        <w:rPr>
          <w:rFonts w:ascii="宋体" w:hAnsi="宋体" w:eastAsia="宋体" w:cs="宋体"/>
          <w:sz w:val="24"/>
          <w:szCs w:val="24"/>
        </w:rPr>
        <w:sectPr>
          <w:footerReference r:id="rId167" w:type="default"/>
          <w:pgSz w:w="11906" w:h="16839"/>
          <w:pgMar w:top="400" w:right="1450" w:bottom="1127" w:left="1539" w:header="0" w:footer="965" w:gutter="0"/>
          <w:cols w:space="720" w:num="1"/>
        </w:sectPr>
      </w:pPr>
    </w:p>
    <w:p w14:paraId="7CE60AE3">
      <w:pPr>
        <w:spacing w:line="250" w:lineRule="auto"/>
        <w:rPr>
          <w:rFonts w:ascii="Arial"/>
          <w:sz w:val="21"/>
        </w:rPr>
      </w:pPr>
    </w:p>
    <w:p w14:paraId="1A2AE591">
      <w:pPr>
        <w:spacing w:line="250" w:lineRule="auto"/>
        <w:rPr>
          <w:rFonts w:ascii="Arial"/>
          <w:sz w:val="21"/>
        </w:rPr>
      </w:pPr>
    </w:p>
    <w:p w14:paraId="3509C8A5">
      <w:pPr>
        <w:spacing w:line="250" w:lineRule="auto"/>
        <w:rPr>
          <w:rFonts w:ascii="Arial"/>
          <w:sz w:val="21"/>
        </w:rPr>
      </w:pPr>
    </w:p>
    <w:p w14:paraId="0917DEDF">
      <w:pPr>
        <w:spacing w:line="250" w:lineRule="auto"/>
        <w:rPr>
          <w:rFonts w:ascii="Arial"/>
          <w:sz w:val="21"/>
        </w:rPr>
      </w:pPr>
    </w:p>
    <w:p w14:paraId="7E079EA6">
      <w:pPr>
        <w:spacing w:line="250" w:lineRule="auto"/>
        <w:rPr>
          <w:rFonts w:ascii="Arial"/>
          <w:sz w:val="21"/>
        </w:rPr>
      </w:pPr>
    </w:p>
    <w:p w14:paraId="3D2C4920">
      <w:pPr>
        <w:spacing w:before="78" w:line="359" w:lineRule="auto"/>
        <w:ind w:left="2" w:right="68"/>
        <w:rPr>
          <w:rFonts w:ascii="宋体" w:hAnsi="宋体" w:eastAsia="宋体" w:cs="宋体"/>
          <w:sz w:val="24"/>
          <w:szCs w:val="24"/>
        </w:rPr>
      </w:pPr>
      <w:r>
        <w:rPr>
          <w:rFonts w:ascii="宋体" w:hAnsi="宋体" w:eastAsia="宋体" w:cs="宋体"/>
          <w:spacing w:val="-13"/>
          <w:sz w:val="24"/>
          <w:szCs w:val="24"/>
        </w:rPr>
        <w:t>和环保设施的正常运转情况。对安全和环保应建立严格的防范措施，</w:t>
      </w:r>
      <w:r>
        <w:rPr>
          <w:rFonts w:ascii="宋体" w:hAnsi="宋体" w:eastAsia="宋体" w:cs="宋体"/>
          <w:spacing w:val="-14"/>
          <w:sz w:val="24"/>
          <w:szCs w:val="24"/>
        </w:rPr>
        <w:t>制定严格的管理规章</w:t>
      </w:r>
      <w:r>
        <w:rPr>
          <w:rFonts w:ascii="宋体" w:hAnsi="宋体" w:eastAsia="宋体" w:cs="宋体"/>
          <w:sz w:val="24"/>
          <w:szCs w:val="24"/>
        </w:rPr>
        <w:t xml:space="preserve"> </w:t>
      </w:r>
      <w:r>
        <w:rPr>
          <w:rFonts w:ascii="宋体" w:hAnsi="宋体" w:eastAsia="宋体" w:cs="宋体"/>
          <w:spacing w:val="-12"/>
          <w:sz w:val="24"/>
          <w:szCs w:val="24"/>
        </w:rPr>
        <w:t>制度，列出潜在危险的过程、设备等清单，严格执行设备检验和报废制度。</w:t>
      </w:r>
    </w:p>
    <w:p w14:paraId="5EE50E44">
      <w:pPr>
        <w:spacing w:line="219" w:lineRule="auto"/>
        <w:ind w:left="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）加强技术培训，提高职工安全意识</w:t>
      </w:r>
    </w:p>
    <w:p w14:paraId="0A5FA425">
      <w:pPr>
        <w:spacing w:before="180" w:line="360" w:lineRule="auto"/>
        <w:ind w:right="80" w:firstLine="481"/>
        <w:rPr>
          <w:rFonts w:ascii="宋体" w:hAnsi="宋体" w:eastAsia="宋体" w:cs="宋体"/>
          <w:sz w:val="24"/>
          <w:szCs w:val="24"/>
        </w:rPr>
      </w:pPr>
      <w:r>
        <w:rPr>
          <w:rFonts w:ascii="宋体" w:hAnsi="宋体" w:eastAsia="宋体" w:cs="宋体"/>
          <w:spacing w:val="-1"/>
          <w:sz w:val="24"/>
          <w:szCs w:val="24"/>
        </w:rPr>
        <w:t>职工安全生产的经验不足，一定程度上会增加事故</w:t>
      </w:r>
      <w:r>
        <w:rPr>
          <w:rFonts w:ascii="宋体" w:hAnsi="宋体" w:eastAsia="宋体" w:cs="宋体"/>
          <w:spacing w:val="-2"/>
          <w:sz w:val="24"/>
          <w:szCs w:val="24"/>
        </w:rPr>
        <w:t>发生的概率，因此企业对生产</w:t>
      </w:r>
      <w:r>
        <w:rPr>
          <w:rFonts w:ascii="宋体" w:hAnsi="宋体" w:eastAsia="宋体" w:cs="宋体"/>
          <w:sz w:val="24"/>
          <w:szCs w:val="24"/>
        </w:rPr>
        <w:t xml:space="preserve"> 操作工人必须进行上岗前专业技术培训，严格管理，提</w:t>
      </w:r>
      <w:r>
        <w:rPr>
          <w:rFonts w:ascii="宋体" w:hAnsi="宋体" w:eastAsia="宋体" w:cs="宋体"/>
          <w:spacing w:val="-1"/>
          <w:sz w:val="24"/>
          <w:szCs w:val="24"/>
        </w:rPr>
        <w:t>高职工安全环保意识。</w:t>
      </w:r>
    </w:p>
    <w:p w14:paraId="5130E9D9">
      <w:pPr>
        <w:spacing w:line="219" w:lineRule="auto"/>
        <w:ind w:left="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）提高事故应急处理的能力</w:t>
      </w:r>
    </w:p>
    <w:p w14:paraId="145740F1">
      <w:pPr>
        <w:spacing w:before="182" w:line="359" w:lineRule="auto"/>
        <w:ind w:right="80" w:firstLine="483"/>
        <w:rPr>
          <w:rFonts w:ascii="宋体" w:hAnsi="宋体" w:eastAsia="宋体" w:cs="宋体"/>
          <w:sz w:val="24"/>
          <w:szCs w:val="24"/>
        </w:rPr>
      </w:pPr>
      <w:r>
        <w:rPr>
          <w:rFonts w:ascii="宋体" w:hAnsi="宋体" w:eastAsia="宋体" w:cs="宋体"/>
          <w:spacing w:val="6"/>
          <w:sz w:val="24"/>
          <w:szCs w:val="24"/>
        </w:rPr>
        <w:t>建设单位对具有高危害设备设置保险措施，对</w:t>
      </w:r>
      <w:r>
        <w:rPr>
          <w:rFonts w:ascii="宋体" w:hAnsi="宋体" w:eastAsia="宋体" w:cs="宋体"/>
          <w:spacing w:val="5"/>
          <w:sz w:val="24"/>
          <w:szCs w:val="24"/>
        </w:rPr>
        <w:t>危险车间设置消防装置等必备设</w:t>
      </w:r>
      <w:r>
        <w:rPr>
          <w:rFonts w:ascii="宋体" w:hAnsi="宋体" w:eastAsia="宋体" w:cs="宋体"/>
          <w:sz w:val="24"/>
          <w:szCs w:val="24"/>
        </w:rPr>
        <w:t xml:space="preserve"> </w:t>
      </w:r>
      <w:r>
        <w:rPr>
          <w:rFonts w:ascii="宋体" w:hAnsi="宋体" w:eastAsia="宋体" w:cs="宋体"/>
          <w:spacing w:val="-1"/>
          <w:sz w:val="24"/>
          <w:szCs w:val="24"/>
        </w:rPr>
        <w:t>施，并辅以适当的通讯工具，定期进行安全环保宣传教育以及紧</w:t>
      </w:r>
      <w:r>
        <w:rPr>
          <w:rFonts w:ascii="宋体" w:hAnsi="宋体" w:eastAsia="宋体" w:cs="宋体"/>
          <w:spacing w:val="-2"/>
          <w:sz w:val="24"/>
          <w:szCs w:val="24"/>
        </w:rPr>
        <w:t>急事故模拟演习，提</w:t>
      </w:r>
      <w:r>
        <w:rPr>
          <w:rFonts w:ascii="宋体" w:hAnsi="宋体" w:eastAsia="宋体" w:cs="宋体"/>
          <w:sz w:val="24"/>
          <w:szCs w:val="24"/>
        </w:rPr>
        <w:t xml:space="preserve"> </w:t>
      </w:r>
      <w:r>
        <w:rPr>
          <w:rFonts w:ascii="宋体" w:hAnsi="宋体" w:eastAsia="宋体" w:cs="宋体"/>
          <w:spacing w:val="-2"/>
          <w:sz w:val="24"/>
          <w:szCs w:val="24"/>
        </w:rPr>
        <w:t>高事故应变能力。</w:t>
      </w:r>
    </w:p>
    <w:p w14:paraId="1C310BA2">
      <w:pPr>
        <w:spacing w:before="1" w:line="218"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8.6  </w:t>
      </w:r>
      <w:r>
        <w:rPr>
          <w:rFonts w:ascii="宋体" w:hAnsi="宋体" w:eastAsia="宋体" w:cs="宋体"/>
          <w:b/>
          <w:bCs/>
          <w:spacing w:val="-2"/>
          <w:sz w:val="24"/>
          <w:szCs w:val="24"/>
        </w:rPr>
        <w:t>项目厂区内与各企业间的应急联动机制</w:t>
      </w:r>
    </w:p>
    <w:p w14:paraId="1EA6428C">
      <w:pPr>
        <w:spacing w:before="181" w:line="359" w:lineRule="auto"/>
        <w:ind w:left="1" w:firstLine="483"/>
        <w:jc w:val="both"/>
        <w:rPr>
          <w:rFonts w:ascii="宋体" w:hAnsi="宋体" w:eastAsia="宋体" w:cs="宋体"/>
          <w:sz w:val="24"/>
          <w:szCs w:val="24"/>
        </w:rPr>
      </w:pPr>
      <w:r>
        <w:rPr>
          <w:rFonts w:ascii="宋体" w:hAnsi="宋体" w:eastAsia="宋体" w:cs="宋体"/>
          <w:spacing w:val="6"/>
          <w:sz w:val="24"/>
          <w:szCs w:val="24"/>
        </w:rPr>
        <w:t>项目位于汕尾市海丰县可塘镇圆山岭开发区</w:t>
      </w:r>
      <w:r>
        <w:rPr>
          <w:rFonts w:ascii="宋体" w:hAnsi="宋体" w:eastAsia="宋体" w:cs="宋体"/>
          <w:spacing w:val="5"/>
          <w:sz w:val="24"/>
          <w:szCs w:val="24"/>
        </w:rPr>
        <w:t>海丰县金盛宝石首饰有限公司厂区</w:t>
      </w:r>
      <w:r>
        <w:rPr>
          <w:rFonts w:ascii="宋体" w:hAnsi="宋体" w:eastAsia="宋体" w:cs="宋体"/>
          <w:sz w:val="24"/>
          <w:szCs w:val="24"/>
        </w:rPr>
        <w:t xml:space="preserve"> </w:t>
      </w:r>
      <w:r>
        <w:rPr>
          <w:rFonts w:ascii="宋体" w:hAnsi="宋体" w:eastAsia="宋体" w:cs="宋体"/>
          <w:spacing w:val="-5"/>
          <w:sz w:val="24"/>
          <w:szCs w:val="24"/>
        </w:rPr>
        <w:t>内。周边已经存在多家宝石加工企业，可塘镇各</w:t>
      </w:r>
      <w:r>
        <w:rPr>
          <w:rFonts w:ascii="宋体" w:hAnsi="宋体" w:eastAsia="宋体" w:cs="宋体"/>
          <w:spacing w:val="-6"/>
          <w:sz w:val="24"/>
          <w:szCs w:val="24"/>
        </w:rPr>
        <w:t>自有完善的污水处理设施和应急设施。</w:t>
      </w:r>
      <w:r>
        <w:rPr>
          <w:rFonts w:ascii="宋体" w:hAnsi="宋体" w:eastAsia="宋体" w:cs="宋体"/>
          <w:sz w:val="24"/>
          <w:szCs w:val="24"/>
        </w:rPr>
        <w:t xml:space="preserve"> </w:t>
      </w:r>
      <w:r>
        <w:rPr>
          <w:rFonts w:ascii="宋体" w:hAnsi="宋体" w:eastAsia="宋体" w:cs="宋体"/>
          <w:spacing w:val="-1"/>
          <w:sz w:val="24"/>
          <w:szCs w:val="24"/>
        </w:rPr>
        <w:t>通过厂区内的管道相接，各企业间的废水处理和应急池可实现</w:t>
      </w:r>
      <w:r>
        <w:rPr>
          <w:rFonts w:ascii="宋体" w:hAnsi="宋体" w:eastAsia="宋体" w:cs="宋体"/>
          <w:spacing w:val="-2"/>
          <w:sz w:val="24"/>
          <w:szCs w:val="24"/>
        </w:rPr>
        <w:t>连通，在有突发事件发</w:t>
      </w:r>
      <w:r>
        <w:rPr>
          <w:rFonts w:ascii="宋体" w:hAnsi="宋体" w:eastAsia="宋体" w:cs="宋体"/>
          <w:sz w:val="24"/>
          <w:szCs w:val="24"/>
        </w:rPr>
        <w:t xml:space="preserve"> </w:t>
      </w:r>
      <w:r>
        <w:rPr>
          <w:rFonts w:ascii="宋体" w:hAnsi="宋体" w:eastAsia="宋体" w:cs="宋体"/>
          <w:spacing w:val="-1"/>
          <w:sz w:val="24"/>
          <w:szCs w:val="24"/>
        </w:rPr>
        <w:t>生时，可实现应急物质的调拨共享和应急废水的协同处置。</w:t>
      </w:r>
    </w:p>
    <w:p w14:paraId="0B433EF4">
      <w:pPr>
        <w:spacing w:before="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8.7  </w:t>
      </w:r>
      <w:r>
        <w:rPr>
          <w:rFonts w:ascii="宋体" w:hAnsi="宋体" w:eastAsia="宋体" w:cs="宋体"/>
          <w:b/>
          <w:bCs/>
          <w:spacing w:val="-2"/>
          <w:sz w:val="24"/>
          <w:szCs w:val="24"/>
        </w:rPr>
        <w:t>与可塘镇、海丰县应急预案的联动措施</w:t>
      </w:r>
    </w:p>
    <w:p w14:paraId="72A340D4">
      <w:pPr>
        <w:spacing w:before="183" w:line="359" w:lineRule="auto"/>
        <w:ind w:left="1" w:right="80" w:firstLine="480"/>
        <w:rPr>
          <w:rFonts w:ascii="宋体" w:hAnsi="宋体" w:eastAsia="宋体" w:cs="宋体"/>
          <w:sz w:val="24"/>
          <w:szCs w:val="24"/>
        </w:rPr>
      </w:pPr>
      <w:r>
        <w:rPr>
          <w:rFonts w:ascii="宋体" w:hAnsi="宋体" w:eastAsia="宋体" w:cs="宋体"/>
          <w:spacing w:val="-1"/>
          <w:sz w:val="24"/>
          <w:szCs w:val="24"/>
        </w:rPr>
        <w:t>本项目的应急预案及措施等须与可塘镇、海丰县做</w:t>
      </w:r>
      <w:r>
        <w:rPr>
          <w:rFonts w:ascii="宋体" w:hAnsi="宋体" w:eastAsia="宋体" w:cs="宋体"/>
          <w:spacing w:val="-2"/>
          <w:sz w:val="24"/>
          <w:szCs w:val="24"/>
        </w:rPr>
        <w:t>好联动措施。建设单位应根据</w:t>
      </w:r>
      <w:r>
        <w:rPr>
          <w:rFonts w:ascii="宋体" w:hAnsi="宋体" w:eastAsia="宋体" w:cs="宋体"/>
          <w:sz w:val="24"/>
          <w:szCs w:val="24"/>
        </w:rPr>
        <w:t xml:space="preserve"> </w:t>
      </w:r>
      <w:r>
        <w:rPr>
          <w:rFonts w:ascii="宋体" w:hAnsi="宋体" w:eastAsia="宋体" w:cs="宋体"/>
          <w:spacing w:val="-1"/>
          <w:sz w:val="24"/>
          <w:szCs w:val="24"/>
        </w:rPr>
        <w:t>环境突发事件的级别，启动相应应急级别。</w:t>
      </w:r>
    </w:p>
    <w:p w14:paraId="10DFEA4E">
      <w:pPr>
        <w:spacing w:line="359" w:lineRule="auto"/>
        <w:ind w:left="3" w:right="80" w:firstLine="477"/>
        <w:jc w:val="both"/>
        <w:rPr>
          <w:rFonts w:ascii="宋体" w:hAnsi="宋体" w:eastAsia="宋体" w:cs="宋体"/>
          <w:sz w:val="24"/>
          <w:szCs w:val="24"/>
        </w:rPr>
      </w:pPr>
      <w:r>
        <w:rPr>
          <w:rFonts w:ascii="宋体" w:hAnsi="宋体" w:eastAsia="宋体" w:cs="宋体"/>
          <w:spacing w:val="-1"/>
          <w:sz w:val="24"/>
          <w:szCs w:val="24"/>
        </w:rPr>
        <w:t>对外界大气环境和安全环境发生或没有发生较小污染和</w:t>
      </w:r>
      <w:r>
        <w:rPr>
          <w:rFonts w:ascii="宋体" w:hAnsi="宋体" w:eastAsia="宋体" w:cs="宋体"/>
          <w:spacing w:val="-2"/>
          <w:sz w:val="24"/>
          <w:szCs w:val="24"/>
        </w:rPr>
        <w:t>危害，且容易控制、没有</w:t>
      </w:r>
      <w:r>
        <w:rPr>
          <w:rFonts w:ascii="宋体" w:hAnsi="宋体" w:eastAsia="宋体" w:cs="宋体"/>
          <w:sz w:val="24"/>
          <w:szCs w:val="24"/>
        </w:rPr>
        <w:t xml:space="preserve"> </w:t>
      </w:r>
      <w:r>
        <w:rPr>
          <w:rFonts w:ascii="宋体" w:hAnsi="宋体" w:eastAsia="宋体" w:cs="宋体"/>
          <w:spacing w:val="-1"/>
          <w:sz w:val="24"/>
          <w:szCs w:val="24"/>
        </w:rPr>
        <w:t>污染扩大的趋势的环境事件。该类事件建设单位利用自身</w:t>
      </w:r>
      <w:r>
        <w:rPr>
          <w:rFonts w:ascii="宋体" w:hAnsi="宋体" w:eastAsia="宋体" w:cs="宋体"/>
          <w:spacing w:val="-2"/>
          <w:sz w:val="24"/>
          <w:szCs w:val="24"/>
        </w:rPr>
        <w:t>应急力量可以轻易控制，不</w:t>
      </w:r>
      <w:r>
        <w:rPr>
          <w:rFonts w:ascii="宋体" w:hAnsi="宋体" w:eastAsia="宋体" w:cs="宋体"/>
          <w:sz w:val="24"/>
          <w:szCs w:val="24"/>
        </w:rPr>
        <w:t xml:space="preserve"> </w:t>
      </w:r>
      <w:r>
        <w:rPr>
          <w:rFonts w:ascii="宋体" w:hAnsi="宋体" w:eastAsia="宋体" w:cs="宋体"/>
          <w:spacing w:val="-1"/>
          <w:sz w:val="24"/>
          <w:szCs w:val="24"/>
        </w:rPr>
        <w:t>必报告可塘镇政府、海丰县应急指挥机构，但应将事件经</w:t>
      </w:r>
      <w:r>
        <w:rPr>
          <w:rFonts w:ascii="宋体" w:hAnsi="宋体" w:eastAsia="宋体" w:cs="宋体"/>
          <w:spacing w:val="-2"/>
          <w:sz w:val="24"/>
          <w:szCs w:val="24"/>
        </w:rPr>
        <w:t>过予以记录，保存在环境管</w:t>
      </w:r>
      <w:r>
        <w:rPr>
          <w:rFonts w:ascii="宋体" w:hAnsi="宋体" w:eastAsia="宋体" w:cs="宋体"/>
          <w:sz w:val="24"/>
          <w:szCs w:val="24"/>
        </w:rPr>
        <w:t xml:space="preserve"> </w:t>
      </w:r>
      <w:r>
        <w:rPr>
          <w:rFonts w:ascii="宋体" w:hAnsi="宋体" w:eastAsia="宋体" w:cs="宋体"/>
          <w:spacing w:val="-2"/>
          <w:sz w:val="24"/>
          <w:szCs w:val="24"/>
        </w:rPr>
        <w:t>理档案中备查。</w:t>
      </w:r>
    </w:p>
    <w:p w14:paraId="038D5565">
      <w:pPr>
        <w:spacing w:before="2" w:line="359" w:lineRule="auto"/>
        <w:ind w:right="80" w:firstLine="480"/>
        <w:jc w:val="both"/>
        <w:rPr>
          <w:rFonts w:ascii="宋体" w:hAnsi="宋体" w:eastAsia="宋体" w:cs="宋体"/>
          <w:sz w:val="24"/>
          <w:szCs w:val="24"/>
        </w:rPr>
      </w:pPr>
      <w:r>
        <w:rPr>
          <w:rFonts w:ascii="宋体" w:hAnsi="宋体" w:eastAsia="宋体" w:cs="宋体"/>
          <w:spacing w:val="-1"/>
          <w:sz w:val="24"/>
          <w:szCs w:val="24"/>
        </w:rPr>
        <w:t>对建设单位外界大气环境或安全环境已发生或可能发生</w:t>
      </w:r>
      <w:r>
        <w:rPr>
          <w:rFonts w:ascii="宋体" w:hAnsi="宋体" w:eastAsia="宋体" w:cs="宋体"/>
          <w:spacing w:val="-2"/>
          <w:sz w:val="24"/>
          <w:szCs w:val="24"/>
        </w:rPr>
        <w:t>较大污染和危害，或者有</w:t>
      </w:r>
      <w:r>
        <w:rPr>
          <w:rFonts w:ascii="宋体" w:hAnsi="宋体" w:eastAsia="宋体" w:cs="宋体"/>
          <w:sz w:val="24"/>
          <w:szCs w:val="24"/>
        </w:rPr>
        <w:t xml:space="preserve"> </w:t>
      </w:r>
      <w:r>
        <w:rPr>
          <w:rFonts w:ascii="宋体" w:hAnsi="宋体" w:eastAsia="宋体" w:cs="宋体"/>
          <w:spacing w:val="-1"/>
          <w:sz w:val="24"/>
          <w:szCs w:val="24"/>
        </w:rPr>
        <w:t>污染扩大的趋势，但是达不到突发环境事件为中型环境事件。该类</w:t>
      </w:r>
      <w:r>
        <w:rPr>
          <w:rFonts w:ascii="宋体" w:hAnsi="宋体" w:eastAsia="宋体" w:cs="宋体"/>
          <w:spacing w:val="-2"/>
          <w:sz w:val="24"/>
          <w:szCs w:val="24"/>
        </w:rPr>
        <w:t>事件一般企业（设</w:t>
      </w:r>
      <w:r>
        <w:rPr>
          <w:rFonts w:ascii="宋体" w:hAnsi="宋体" w:eastAsia="宋体" w:cs="宋体"/>
          <w:sz w:val="24"/>
          <w:szCs w:val="24"/>
        </w:rPr>
        <w:t xml:space="preserve"> </w:t>
      </w:r>
      <w:r>
        <w:rPr>
          <w:rFonts w:ascii="宋体" w:hAnsi="宋体" w:eastAsia="宋体" w:cs="宋体"/>
          <w:spacing w:val="-1"/>
          <w:sz w:val="24"/>
          <w:szCs w:val="24"/>
        </w:rPr>
        <w:t>置了完善的应急救援机构的企业）内部应急救援力量基本能够有效</w:t>
      </w:r>
      <w:r>
        <w:rPr>
          <w:rFonts w:ascii="宋体" w:hAnsi="宋体" w:eastAsia="宋体" w:cs="宋体"/>
          <w:spacing w:val="-2"/>
          <w:sz w:val="24"/>
          <w:szCs w:val="24"/>
        </w:rPr>
        <w:t>处理处置，但应及</w:t>
      </w:r>
      <w:r>
        <w:rPr>
          <w:rFonts w:ascii="宋体" w:hAnsi="宋体" w:eastAsia="宋体" w:cs="宋体"/>
          <w:sz w:val="24"/>
          <w:szCs w:val="24"/>
        </w:rPr>
        <w:t xml:space="preserve"> </w:t>
      </w:r>
      <w:r>
        <w:rPr>
          <w:rFonts w:ascii="宋体" w:hAnsi="宋体" w:eastAsia="宋体" w:cs="宋体"/>
          <w:spacing w:val="-1"/>
          <w:sz w:val="24"/>
          <w:szCs w:val="24"/>
        </w:rPr>
        <w:t>时通知可塘镇政府或海丰县应急指挥机构，以便相关部门决策、派</w:t>
      </w:r>
      <w:r>
        <w:rPr>
          <w:rFonts w:ascii="宋体" w:hAnsi="宋体" w:eastAsia="宋体" w:cs="宋体"/>
          <w:spacing w:val="-2"/>
          <w:sz w:val="24"/>
          <w:szCs w:val="24"/>
        </w:rPr>
        <w:t>员监督、协助妥善</w:t>
      </w:r>
      <w:r>
        <w:rPr>
          <w:rFonts w:ascii="宋体" w:hAnsi="宋体" w:eastAsia="宋体" w:cs="宋体"/>
          <w:sz w:val="24"/>
          <w:szCs w:val="24"/>
        </w:rPr>
        <w:t xml:space="preserve"> 处置该类事件，避免事件升级。事后应当将事件经过报备海</w:t>
      </w:r>
      <w:r>
        <w:rPr>
          <w:rFonts w:ascii="宋体" w:hAnsi="宋体" w:eastAsia="宋体" w:cs="宋体"/>
          <w:spacing w:val="-1"/>
          <w:sz w:val="24"/>
          <w:szCs w:val="24"/>
        </w:rPr>
        <w:t>丰县应急指挥机构。</w:t>
      </w:r>
    </w:p>
    <w:p w14:paraId="68BE5BE6">
      <w:pPr>
        <w:spacing w:line="359" w:lineRule="auto"/>
        <w:ind w:left="2" w:right="80" w:firstLine="494"/>
        <w:rPr>
          <w:rFonts w:ascii="宋体" w:hAnsi="宋体" w:eastAsia="宋体" w:cs="宋体"/>
          <w:sz w:val="24"/>
          <w:szCs w:val="24"/>
        </w:rPr>
      </w:pPr>
      <w:r>
        <w:rPr>
          <w:rFonts w:ascii="宋体" w:hAnsi="宋体" w:eastAsia="宋体" w:cs="宋体"/>
          <w:spacing w:val="-2"/>
          <w:sz w:val="24"/>
          <w:szCs w:val="24"/>
        </w:rPr>
        <w:t>当项目发生特大环境事故时，可能会影响整个周边的环境和安全，应立即与海丰</w:t>
      </w:r>
      <w:r>
        <w:rPr>
          <w:rFonts w:ascii="宋体" w:hAnsi="宋体" w:eastAsia="宋体" w:cs="宋体"/>
          <w:spacing w:val="8"/>
          <w:sz w:val="24"/>
          <w:szCs w:val="24"/>
        </w:rPr>
        <w:t xml:space="preserve"> </w:t>
      </w:r>
      <w:r>
        <w:rPr>
          <w:rFonts w:ascii="宋体" w:hAnsi="宋体" w:eastAsia="宋体" w:cs="宋体"/>
          <w:spacing w:val="-1"/>
          <w:sz w:val="24"/>
          <w:szCs w:val="24"/>
        </w:rPr>
        <w:t>县应急预案管理部门联系，请求支援，同时采取措施处理事故。</w:t>
      </w:r>
    </w:p>
    <w:p w14:paraId="3AFA2730">
      <w:pPr>
        <w:spacing w:before="1" w:line="219" w:lineRule="auto"/>
        <w:ind w:left="490"/>
        <w:rPr>
          <w:rFonts w:ascii="宋体" w:hAnsi="宋体" w:eastAsia="宋体" w:cs="宋体"/>
          <w:sz w:val="24"/>
          <w:szCs w:val="24"/>
        </w:rPr>
      </w:pPr>
      <w:r>
        <w:rPr>
          <w:rFonts w:ascii="宋体" w:hAnsi="宋体" w:eastAsia="宋体" w:cs="宋体"/>
          <w:spacing w:val="5"/>
          <w:sz w:val="24"/>
          <w:szCs w:val="24"/>
        </w:rPr>
        <w:t>突发性环境事件应急联动系统的建设目标就是通过明确各应急子系统之间的关</w:t>
      </w:r>
    </w:p>
    <w:p w14:paraId="039A37B8">
      <w:pPr>
        <w:spacing w:line="219" w:lineRule="auto"/>
        <w:rPr>
          <w:rFonts w:ascii="宋体" w:hAnsi="宋体" w:eastAsia="宋体" w:cs="宋体"/>
          <w:sz w:val="24"/>
          <w:szCs w:val="24"/>
        </w:rPr>
        <w:sectPr>
          <w:footerReference r:id="rId168" w:type="default"/>
          <w:pgSz w:w="11906" w:h="16839"/>
          <w:pgMar w:top="400" w:right="1450" w:bottom="1127" w:left="1538" w:header="0" w:footer="965" w:gutter="0"/>
          <w:cols w:space="720" w:num="1"/>
        </w:sectPr>
      </w:pPr>
    </w:p>
    <w:p w14:paraId="5667825E">
      <w:pPr>
        <w:spacing w:line="250" w:lineRule="auto"/>
        <w:rPr>
          <w:rFonts w:ascii="Arial"/>
          <w:sz w:val="21"/>
        </w:rPr>
      </w:pPr>
    </w:p>
    <w:p w14:paraId="55C1A884">
      <w:pPr>
        <w:spacing w:line="250" w:lineRule="auto"/>
        <w:rPr>
          <w:rFonts w:ascii="Arial"/>
          <w:sz w:val="21"/>
        </w:rPr>
      </w:pPr>
    </w:p>
    <w:p w14:paraId="533C1B31">
      <w:pPr>
        <w:spacing w:line="250" w:lineRule="auto"/>
        <w:rPr>
          <w:rFonts w:ascii="Arial"/>
          <w:sz w:val="21"/>
        </w:rPr>
      </w:pPr>
    </w:p>
    <w:p w14:paraId="17780031">
      <w:pPr>
        <w:spacing w:line="250" w:lineRule="auto"/>
        <w:rPr>
          <w:rFonts w:ascii="Arial"/>
          <w:sz w:val="21"/>
        </w:rPr>
      </w:pPr>
    </w:p>
    <w:p w14:paraId="25B420A6">
      <w:pPr>
        <w:spacing w:line="251" w:lineRule="auto"/>
        <w:rPr>
          <w:rFonts w:ascii="Arial"/>
          <w:sz w:val="21"/>
        </w:rPr>
      </w:pPr>
    </w:p>
    <w:p w14:paraId="5CF2D2F7">
      <w:pPr>
        <w:spacing w:before="78" w:line="359" w:lineRule="auto"/>
        <w:ind w:left="1" w:firstLine="3"/>
        <w:jc w:val="both"/>
        <w:rPr>
          <w:rFonts w:ascii="宋体" w:hAnsi="宋体" w:eastAsia="宋体" w:cs="宋体"/>
          <w:sz w:val="24"/>
          <w:szCs w:val="24"/>
        </w:rPr>
      </w:pPr>
      <w:r>
        <w:rPr>
          <w:rFonts w:ascii="宋体" w:hAnsi="宋体" w:eastAsia="宋体" w:cs="宋体"/>
          <w:spacing w:val="-1"/>
          <w:sz w:val="24"/>
          <w:szCs w:val="24"/>
        </w:rPr>
        <w:t>系及其相互信息需求，经信息共享将现有资源有机</w:t>
      </w:r>
      <w:r>
        <w:rPr>
          <w:rFonts w:ascii="宋体" w:hAnsi="宋体" w:eastAsia="宋体" w:cs="宋体"/>
          <w:spacing w:val="-2"/>
          <w:sz w:val="24"/>
          <w:szCs w:val="24"/>
        </w:rPr>
        <w:t>地整合起来，从而打破各子系统各</w:t>
      </w:r>
      <w:r>
        <w:rPr>
          <w:rFonts w:ascii="宋体" w:hAnsi="宋体" w:eastAsia="宋体" w:cs="宋体"/>
          <w:sz w:val="24"/>
          <w:szCs w:val="24"/>
        </w:rPr>
        <w:t xml:space="preserve"> </w:t>
      </w:r>
      <w:r>
        <w:rPr>
          <w:rFonts w:ascii="宋体" w:hAnsi="宋体" w:eastAsia="宋体" w:cs="宋体"/>
          <w:spacing w:val="-1"/>
          <w:sz w:val="24"/>
          <w:szCs w:val="24"/>
        </w:rPr>
        <w:t>自封闭的状态，从整体上发挥出更大的作用，实现一个运营</w:t>
      </w:r>
      <w:r>
        <w:rPr>
          <w:rFonts w:ascii="宋体" w:hAnsi="宋体" w:eastAsia="宋体" w:cs="宋体"/>
          <w:spacing w:val="-2"/>
          <w:sz w:val="24"/>
          <w:szCs w:val="24"/>
        </w:rPr>
        <w:t>高效化、决策快速化、服</w:t>
      </w:r>
      <w:r>
        <w:rPr>
          <w:rFonts w:ascii="宋体" w:hAnsi="宋体" w:eastAsia="宋体" w:cs="宋体"/>
          <w:sz w:val="24"/>
          <w:szCs w:val="24"/>
        </w:rPr>
        <w:t xml:space="preserve"> </w:t>
      </w:r>
      <w:r>
        <w:rPr>
          <w:rFonts w:ascii="宋体" w:hAnsi="宋体" w:eastAsia="宋体" w:cs="宋体"/>
          <w:spacing w:val="-1"/>
          <w:sz w:val="24"/>
          <w:szCs w:val="24"/>
        </w:rPr>
        <w:t>务公众化、信息网络化的现代化、集成化的突发性环境事件</w:t>
      </w:r>
      <w:r>
        <w:rPr>
          <w:rFonts w:ascii="宋体" w:hAnsi="宋体" w:eastAsia="宋体" w:cs="宋体"/>
          <w:spacing w:val="-2"/>
          <w:sz w:val="24"/>
          <w:szCs w:val="24"/>
        </w:rPr>
        <w:t>应急联动系统。该系统从</w:t>
      </w:r>
      <w:r>
        <w:rPr>
          <w:rFonts w:ascii="宋体" w:hAnsi="宋体" w:eastAsia="宋体" w:cs="宋体"/>
          <w:sz w:val="24"/>
          <w:szCs w:val="24"/>
        </w:rPr>
        <w:t xml:space="preserve"> </w:t>
      </w:r>
      <w:r>
        <w:rPr>
          <w:rFonts w:ascii="宋体" w:hAnsi="宋体" w:eastAsia="宋体" w:cs="宋体"/>
          <w:spacing w:val="-3"/>
          <w:sz w:val="24"/>
          <w:szCs w:val="24"/>
        </w:rPr>
        <w:t>字面角度就会发现系统突出了</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个特点即</w:t>
      </w:r>
      <w:r>
        <w:rPr>
          <w:rFonts w:ascii="Times New Roman" w:hAnsi="Times New Roman" w:eastAsia="Times New Roman" w:cs="Times New Roman"/>
          <w:spacing w:val="-3"/>
          <w:sz w:val="24"/>
          <w:szCs w:val="24"/>
        </w:rPr>
        <w:t>“</w:t>
      </w:r>
      <w:r>
        <w:rPr>
          <w:rFonts w:ascii="宋体" w:hAnsi="宋体" w:eastAsia="宋体" w:cs="宋体"/>
          <w:spacing w:val="-3"/>
          <w:sz w:val="24"/>
          <w:szCs w:val="24"/>
        </w:rPr>
        <w:t>急</w:t>
      </w:r>
      <w:r>
        <w:rPr>
          <w:rFonts w:ascii="Times New Roman" w:hAnsi="Times New Roman" w:eastAsia="Times New Roman" w:cs="Times New Roman"/>
          <w:spacing w:val="-3"/>
          <w:sz w:val="24"/>
          <w:szCs w:val="24"/>
        </w:rPr>
        <w:t>”-</w:t>
      </w:r>
      <w:r>
        <w:rPr>
          <w:rFonts w:ascii="宋体" w:hAnsi="宋体" w:eastAsia="宋体" w:cs="宋体"/>
          <w:spacing w:val="-3"/>
          <w:sz w:val="24"/>
          <w:szCs w:val="24"/>
        </w:rPr>
        <w:t>适用于突发、紧急事件的处理，要突出</w:t>
      </w:r>
      <w:r>
        <w:rPr>
          <w:rFonts w:ascii="宋体" w:hAnsi="宋体" w:eastAsia="宋体" w:cs="宋体"/>
          <w:sz w:val="24"/>
          <w:szCs w:val="24"/>
        </w:rPr>
        <w:t xml:space="preserve"> </w:t>
      </w:r>
      <w:r>
        <w:rPr>
          <w:rFonts w:ascii="宋体" w:hAnsi="宋体" w:eastAsia="宋体" w:cs="宋体"/>
          <w:spacing w:val="-2"/>
          <w:sz w:val="24"/>
          <w:szCs w:val="24"/>
        </w:rPr>
        <w:t>快速反应能力；</w:t>
      </w:r>
      <w:r>
        <w:rPr>
          <w:rFonts w:ascii="Times New Roman" w:hAnsi="Times New Roman" w:eastAsia="Times New Roman" w:cs="Times New Roman"/>
          <w:spacing w:val="-2"/>
          <w:sz w:val="24"/>
          <w:szCs w:val="24"/>
        </w:rPr>
        <w:t>“</w:t>
      </w:r>
      <w:r>
        <w:rPr>
          <w:rFonts w:ascii="宋体" w:hAnsi="宋体" w:eastAsia="宋体" w:cs="宋体"/>
          <w:spacing w:val="-2"/>
          <w:sz w:val="24"/>
          <w:szCs w:val="24"/>
        </w:rPr>
        <w:t>联</w:t>
      </w:r>
      <w:r>
        <w:rPr>
          <w:rFonts w:ascii="Times New Roman" w:hAnsi="Times New Roman" w:eastAsia="Times New Roman" w:cs="Times New Roman"/>
          <w:spacing w:val="-2"/>
          <w:sz w:val="24"/>
          <w:szCs w:val="24"/>
        </w:rPr>
        <w:t>”-</w:t>
      </w:r>
      <w:r>
        <w:rPr>
          <w:rFonts w:ascii="宋体" w:hAnsi="宋体" w:eastAsia="宋体" w:cs="宋体"/>
          <w:spacing w:val="-2"/>
          <w:sz w:val="24"/>
          <w:szCs w:val="24"/>
        </w:rPr>
        <w:t>多方协同参与事件的处置，突出互联互通能力；</w:t>
      </w:r>
      <w:r>
        <w:rPr>
          <w:rFonts w:ascii="Times New Roman" w:hAnsi="Times New Roman" w:eastAsia="Times New Roman" w:cs="Times New Roman"/>
          <w:spacing w:val="-2"/>
          <w:sz w:val="24"/>
          <w:szCs w:val="24"/>
        </w:rPr>
        <w:t>“</w:t>
      </w:r>
      <w:r>
        <w:rPr>
          <w:rFonts w:ascii="宋体" w:hAnsi="宋体" w:eastAsia="宋体" w:cs="宋体"/>
          <w:spacing w:val="-2"/>
          <w:sz w:val="24"/>
          <w:szCs w:val="24"/>
        </w:rPr>
        <w:t>动</w:t>
      </w:r>
      <w:r>
        <w:rPr>
          <w:rFonts w:ascii="Times New Roman" w:hAnsi="Times New Roman" w:eastAsia="Times New Roman" w:cs="Times New Roman"/>
          <w:spacing w:val="-2"/>
          <w:sz w:val="24"/>
          <w:szCs w:val="24"/>
        </w:rPr>
        <w:t>”-</w:t>
      </w:r>
      <w:r>
        <w:rPr>
          <w:rFonts w:ascii="宋体" w:hAnsi="宋体" w:eastAsia="宋体" w:cs="宋体"/>
          <w:spacing w:val="-2"/>
          <w:sz w:val="24"/>
          <w:szCs w:val="24"/>
        </w:rPr>
        <w:t>统一指挥、</w:t>
      </w:r>
      <w:r>
        <w:rPr>
          <w:rFonts w:ascii="宋体" w:hAnsi="宋体" w:eastAsia="宋体" w:cs="宋体"/>
          <w:spacing w:val="8"/>
          <w:sz w:val="24"/>
          <w:szCs w:val="24"/>
        </w:rPr>
        <w:t xml:space="preserve"> </w:t>
      </w:r>
      <w:r>
        <w:rPr>
          <w:rFonts w:ascii="宋体" w:hAnsi="宋体" w:eastAsia="宋体" w:cs="宋体"/>
          <w:spacing w:val="-1"/>
          <w:sz w:val="24"/>
          <w:szCs w:val="24"/>
        </w:rPr>
        <w:t>统一部署、统一行动，突出现场的处置能力。</w:t>
      </w:r>
    </w:p>
    <w:p w14:paraId="2545FB54">
      <w:pPr>
        <w:spacing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8.8  </w:t>
      </w:r>
      <w:r>
        <w:rPr>
          <w:rFonts w:ascii="宋体" w:hAnsi="宋体" w:eastAsia="宋体" w:cs="宋体"/>
          <w:b/>
          <w:bCs/>
          <w:spacing w:val="-2"/>
          <w:sz w:val="24"/>
          <w:szCs w:val="24"/>
        </w:rPr>
        <w:t>污染事故善后处理措施</w:t>
      </w:r>
    </w:p>
    <w:p w14:paraId="44B04D8F">
      <w:pPr>
        <w:spacing w:before="181" w:line="289" w:lineRule="auto"/>
        <w:ind w:left="30" w:right="80" w:firstLine="46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）在海丰县环境保护部门的指导下进行污染物清除、处</w:t>
      </w:r>
      <w:r>
        <w:rPr>
          <w:rFonts w:ascii="宋体" w:hAnsi="宋体" w:eastAsia="宋体" w:cs="宋体"/>
          <w:spacing w:val="1"/>
          <w:sz w:val="24"/>
          <w:szCs w:val="24"/>
        </w:rPr>
        <w:t>理等工作，所需经费</w:t>
      </w:r>
      <w:r>
        <w:rPr>
          <w:rFonts w:ascii="宋体" w:hAnsi="宋体" w:eastAsia="宋体" w:cs="宋体"/>
          <w:sz w:val="24"/>
          <w:szCs w:val="24"/>
        </w:rPr>
        <w:t xml:space="preserve"> </w:t>
      </w:r>
      <w:r>
        <w:rPr>
          <w:rFonts w:ascii="宋体" w:hAnsi="宋体" w:eastAsia="宋体" w:cs="宋体"/>
          <w:spacing w:val="-5"/>
          <w:sz w:val="24"/>
          <w:szCs w:val="24"/>
        </w:rPr>
        <w:t>由建设单位承担。</w:t>
      </w:r>
    </w:p>
    <w:p w14:paraId="448E0079">
      <w:pPr>
        <w:spacing w:before="182" w:line="288" w:lineRule="auto"/>
        <w:ind w:left="5" w:right="80"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）应急过程评价。组织有关专家会同环保行政主管部门</w:t>
      </w:r>
      <w:r>
        <w:rPr>
          <w:rFonts w:ascii="宋体" w:hAnsi="宋体" w:eastAsia="宋体" w:cs="宋体"/>
          <w:spacing w:val="1"/>
          <w:sz w:val="24"/>
          <w:szCs w:val="24"/>
        </w:rPr>
        <w:t>对应急过程和处理效</w:t>
      </w:r>
      <w:r>
        <w:rPr>
          <w:rFonts w:ascii="宋体" w:hAnsi="宋体" w:eastAsia="宋体" w:cs="宋体"/>
          <w:sz w:val="24"/>
          <w:szCs w:val="24"/>
        </w:rPr>
        <w:t xml:space="preserve"> </w:t>
      </w:r>
      <w:r>
        <w:rPr>
          <w:rFonts w:ascii="宋体" w:hAnsi="宋体" w:eastAsia="宋体" w:cs="宋体"/>
          <w:spacing w:val="-1"/>
          <w:sz w:val="24"/>
          <w:szCs w:val="24"/>
        </w:rPr>
        <w:t>果进行评价，完善应急处理过程中的缺憾，将事故对环境的影响降低到最低。</w:t>
      </w:r>
    </w:p>
    <w:p w14:paraId="454DCC6F">
      <w:pPr>
        <w:spacing w:before="184" w:line="289" w:lineRule="auto"/>
        <w:ind w:right="8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）组织有关专家会同环保行政主管部门对应急预案进行</w:t>
      </w:r>
      <w:r>
        <w:rPr>
          <w:rFonts w:ascii="宋体" w:hAnsi="宋体" w:eastAsia="宋体" w:cs="宋体"/>
          <w:spacing w:val="1"/>
          <w:sz w:val="24"/>
          <w:szCs w:val="24"/>
        </w:rPr>
        <w:t>评估，并根据应急过</w:t>
      </w:r>
      <w:r>
        <w:rPr>
          <w:rFonts w:ascii="宋体" w:hAnsi="宋体" w:eastAsia="宋体" w:cs="宋体"/>
          <w:sz w:val="24"/>
          <w:szCs w:val="24"/>
        </w:rPr>
        <w:t xml:space="preserve"> </w:t>
      </w:r>
      <w:r>
        <w:rPr>
          <w:rFonts w:ascii="宋体" w:hAnsi="宋体" w:eastAsia="宋体" w:cs="宋体"/>
          <w:spacing w:val="-1"/>
          <w:sz w:val="24"/>
          <w:szCs w:val="24"/>
        </w:rPr>
        <w:t>程中出现的问题及时修订环境应急预案。</w:t>
      </w:r>
    </w:p>
    <w:p w14:paraId="15B64672">
      <w:pPr>
        <w:spacing w:before="183" w:line="288" w:lineRule="auto"/>
        <w:ind w:right="12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）参加应急行动的部门负责组织、指导应急队</w:t>
      </w:r>
      <w:r>
        <w:rPr>
          <w:rFonts w:ascii="宋体" w:hAnsi="宋体" w:eastAsia="宋体" w:cs="宋体"/>
          <w:sz w:val="24"/>
          <w:szCs w:val="24"/>
        </w:rPr>
        <w:t xml:space="preserve">伍维护、保养应急仪器设备、 </w:t>
      </w:r>
      <w:r>
        <w:rPr>
          <w:rFonts w:ascii="宋体" w:hAnsi="宋体" w:eastAsia="宋体" w:cs="宋体"/>
          <w:spacing w:val="-1"/>
          <w:sz w:val="24"/>
          <w:szCs w:val="24"/>
        </w:rPr>
        <w:t>器材，使之始终保持良好的技术状态。</w:t>
      </w:r>
    </w:p>
    <w:p w14:paraId="5F5046DF">
      <w:pPr>
        <w:spacing w:before="184"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）造成财产损失或健康危害时应与保险部门配合进行理赔工作。</w:t>
      </w:r>
    </w:p>
    <w:p w14:paraId="348EB26C">
      <w:pPr>
        <w:spacing w:before="182" w:line="289" w:lineRule="auto"/>
        <w:ind w:left="2" w:right="80"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）建设单位配合有关部门查找事件原因，总结经验，防</w:t>
      </w:r>
      <w:r>
        <w:rPr>
          <w:rFonts w:ascii="宋体" w:hAnsi="宋体" w:eastAsia="宋体" w:cs="宋体"/>
          <w:spacing w:val="1"/>
          <w:sz w:val="24"/>
          <w:szCs w:val="24"/>
        </w:rPr>
        <w:t>止类似问题的重复出</w:t>
      </w:r>
      <w:r>
        <w:rPr>
          <w:rFonts w:ascii="宋体" w:hAnsi="宋体" w:eastAsia="宋体" w:cs="宋体"/>
          <w:sz w:val="24"/>
          <w:szCs w:val="24"/>
        </w:rPr>
        <w:t xml:space="preserve"> </w:t>
      </w:r>
      <w:r>
        <w:rPr>
          <w:rFonts w:ascii="宋体" w:hAnsi="宋体" w:eastAsia="宋体" w:cs="宋体"/>
          <w:spacing w:val="-1"/>
          <w:sz w:val="24"/>
          <w:szCs w:val="24"/>
        </w:rPr>
        <w:t>现，并对有关负责人进行相应的处理。</w:t>
      </w:r>
    </w:p>
    <w:p w14:paraId="463D1AE6">
      <w:pPr>
        <w:spacing w:before="18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8.9  </w:t>
      </w:r>
      <w:r>
        <w:rPr>
          <w:rFonts w:ascii="宋体" w:hAnsi="宋体" w:eastAsia="宋体" w:cs="宋体"/>
          <w:b/>
          <w:bCs/>
          <w:spacing w:val="-2"/>
          <w:sz w:val="24"/>
          <w:szCs w:val="24"/>
        </w:rPr>
        <w:t>污染事故应急操作流程</w:t>
      </w:r>
    </w:p>
    <w:p w14:paraId="695D0FD3">
      <w:pPr>
        <w:spacing w:before="185" w:line="359" w:lineRule="auto"/>
        <w:ind w:right="70" w:firstLine="449"/>
        <w:jc w:val="both"/>
        <w:rPr>
          <w:rFonts w:ascii="宋体" w:hAnsi="宋体" w:eastAsia="宋体" w:cs="宋体"/>
          <w:sz w:val="24"/>
          <w:szCs w:val="24"/>
        </w:rPr>
      </w:pPr>
      <w:r>
        <w:rPr>
          <w:rFonts w:ascii="Times New Roman" w:hAnsi="Times New Roman" w:eastAsia="Times New Roman" w:cs="Times New Roman"/>
          <w:spacing w:val="-12"/>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12"/>
          <w:sz w:val="24"/>
          <w:szCs w:val="24"/>
        </w:rPr>
        <w:t>．现场人员应在第一时间和安全的前提下（当判断困难时，应即刻组织人员撤离现</w:t>
      </w:r>
      <w:r>
        <w:rPr>
          <w:rFonts w:ascii="宋体" w:hAnsi="宋体" w:eastAsia="宋体" w:cs="宋体"/>
          <w:sz w:val="24"/>
          <w:szCs w:val="24"/>
        </w:rPr>
        <w:t xml:space="preserve"> </w:t>
      </w:r>
      <w:r>
        <w:rPr>
          <w:rFonts w:ascii="宋体" w:hAnsi="宋体" w:eastAsia="宋体" w:cs="宋体"/>
          <w:spacing w:val="-7"/>
          <w:sz w:val="24"/>
          <w:szCs w:val="24"/>
        </w:rPr>
        <w:t>场）组织查堵泄漏源、防止泄漏化学品蔓延和组织人员有序撤离现场，处理应以</w:t>
      </w:r>
      <w:r>
        <w:rPr>
          <w:rFonts w:ascii="宋体" w:hAnsi="宋体" w:eastAsia="宋体" w:cs="宋体"/>
          <w:spacing w:val="-60"/>
          <w:sz w:val="24"/>
          <w:szCs w:val="24"/>
        </w:rPr>
        <w:t xml:space="preserve"> </w:t>
      </w:r>
      <w:r>
        <w:rPr>
          <w:rFonts w:ascii="Times New Roman" w:hAnsi="Times New Roman" w:eastAsia="Times New Roman" w:cs="Times New Roman"/>
          <w:spacing w:val="-7"/>
          <w:sz w:val="24"/>
          <w:szCs w:val="24"/>
        </w:rPr>
        <w:t>MSDS</w:t>
      </w:r>
      <w:r>
        <w:rPr>
          <w:rFonts w:ascii="Times New Roman" w:hAnsi="Times New Roman" w:eastAsia="Times New Roman" w:cs="Times New Roman"/>
          <w:sz w:val="24"/>
          <w:szCs w:val="24"/>
        </w:rPr>
        <w:t xml:space="preserve"> </w:t>
      </w:r>
      <w:r>
        <w:rPr>
          <w:rFonts w:ascii="宋体" w:hAnsi="宋体" w:eastAsia="宋体" w:cs="宋体"/>
          <w:spacing w:val="-12"/>
          <w:sz w:val="24"/>
          <w:szCs w:val="24"/>
        </w:rPr>
        <w:t>的指示为依据。如果同时伴有人员重伤或死亡时，应同时启动人身伤害应急预案。</w:t>
      </w:r>
    </w:p>
    <w:p w14:paraId="21EA5119">
      <w:pPr>
        <w:spacing w:before="3" w:line="358" w:lineRule="auto"/>
        <w:ind w:left="2" w:right="80" w:firstLine="472"/>
        <w:jc w:val="both"/>
        <w:rPr>
          <w:rFonts w:ascii="宋体" w:hAnsi="宋体" w:eastAsia="宋体" w:cs="宋体"/>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pacing w:val="-22"/>
          <w:sz w:val="24"/>
          <w:szCs w:val="24"/>
        </w:rPr>
        <w:t xml:space="preserve"> </w:t>
      </w:r>
      <w:r>
        <w:rPr>
          <w:rFonts w:ascii="宋体" w:hAnsi="宋体" w:eastAsia="宋体" w:cs="宋体"/>
          <w:sz w:val="24"/>
          <w:szCs w:val="24"/>
        </w:rPr>
        <w:t xml:space="preserve">．同时应即刻通知内保、安全生产委员会成员、公司领导、事故发生部门负责 </w:t>
      </w:r>
      <w:r>
        <w:rPr>
          <w:rFonts w:ascii="宋体" w:hAnsi="宋体" w:eastAsia="宋体" w:cs="宋体"/>
          <w:spacing w:val="-2"/>
          <w:sz w:val="24"/>
          <w:szCs w:val="24"/>
        </w:rPr>
        <w:t>人和相关部门负责人。当自救无法控制时（或判断困难时），应直接拨打外线</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110 </w:t>
      </w:r>
      <w:r>
        <w:rPr>
          <w:rFonts w:ascii="宋体" w:hAnsi="宋体" w:eastAsia="宋体" w:cs="宋体"/>
          <w:spacing w:val="-2"/>
          <w:sz w:val="24"/>
          <w:szCs w:val="24"/>
        </w:rPr>
        <w:t>或</w:t>
      </w:r>
      <w:r>
        <w:rPr>
          <w:rFonts w:ascii="宋体" w:hAnsi="宋体" w:eastAsia="宋体" w:cs="宋体"/>
          <w:sz w:val="24"/>
          <w:szCs w:val="24"/>
        </w:rPr>
        <w:t xml:space="preserve"> </w:t>
      </w:r>
      <w:r>
        <w:rPr>
          <w:rFonts w:ascii="Times New Roman" w:hAnsi="Times New Roman" w:eastAsia="Times New Roman" w:cs="Times New Roman"/>
          <w:spacing w:val="-5"/>
          <w:sz w:val="24"/>
          <w:szCs w:val="24"/>
        </w:rPr>
        <w:t>119</w:t>
      </w:r>
      <w:r>
        <w:rPr>
          <w:rFonts w:ascii="Times New Roman" w:hAnsi="Times New Roman" w:eastAsia="Times New Roman" w:cs="Times New Roman"/>
          <w:spacing w:val="8"/>
          <w:sz w:val="24"/>
          <w:szCs w:val="24"/>
        </w:rPr>
        <w:t xml:space="preserve"> </w:t>
      </w:r>
      <w:r>
        <w:rPr>
          <w:rFonts w:ascii="宋体" w:hAnsi="宋体" w:eastAsia="宋体" w:cs="宋体"/>
          <w:spacing w:val="-5"/>
          <w:sz w:val="24"/>
          <w:szCs w:val="24"/>
        </w:rPr>
        <w:t>求救。</w:t>
      </w:r>
    </w:p>
    <w:p w14:paraId="566FC29C">
      <w:pPr>
        <w:spacing w:before="1" w:line="289" w:lineRule="auto"/>
        <w:ind w:right="80" w:firstLine="480"/>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 xml:space="preserve">．上述被通知的任何人应在第一时间赶赴现场，并尽快成立现场指挥机构以指 </w:t>
      </w:r>
      <w:r>
        <w:rPr>
          <w:rFonts w:ascii="宋体" w:hAnsi="宋体" w:eastAsia="宋体" w:cs="宋体"/>
          <w:spacing w:val="-1"/>
          <w:sz w:val="24"/>
          <w:szCs w:val="24"/>
        </w:rPr>
        <w:t>挥现场的抢救，各部门应服从其指挥。</w:t>
      </w:r>
    </w:p>
    <w:p w14:paraId="7E86443A">
      <w:pPr>
        <w:spacing w:before="180" w:line="290" w:lineRule="auto"/>
        <w:ind w:left="2" w:right="70" w:firstLine="448"/>
        <w:rPr>
          <w:rFonts w:ascii="宋体" w:hAnsi="宋体" w:eastAsia="宋体" w:cs="宋体"/>
          <w:sz w:val="24"/>
          <w:szCs w:val="24"/>
        </w:rPr>
      </w:pPr>
      <w:r>
        <w:rPr>
          <w:rFonts w:ascii="Times New Roman" w:hAnsi="Times New Roman" w:eastAsia="Times New Roman" w:cs="Times New Roman"/>
          <w:spacing w:val="-12"/>
          <w:sz w:val="24"/>
          <w:szCs w:val="24"/>
        </w:rPr>
        <w:t>D</w:t>
      </w:r>
      <w:r>
        <w:rPr>
          <w:rFonts w:ascii="Times New Roman" w:hAnsi="Times New Roman" w:eastAsia="Times New Roman" w:cs="Times New Roman"/>
          <w:spacing w:val="-35"/>
          <w:sz w:val="24"/>
          <w:szCs w:val="24"/>
        </w:rPr>
        <w:t xml:space="preserve"> </w:t>
      </w:r>
      <w:r>
        <w:rPr>
          <w:rFonts w:ascii="宋体" w:hAnsi="宋体" w:eastAsia="宋体" w:cs="宋体"/>
          <w:spacing w:val="-12"/>
          <w:sz w:val="24"/>
          <w:szCs w:val="24"/>
        </w:rPr>
        <w:t>．现场指挥机构应尽快通知相关方、初步察看现场、了解事故概况、疏散周围</w:t>
      </w:r>
      <w:r>
        <w:rPr>
          <w:rFonts w:ascii="宋体" w:hAnsi="宋体" w:eastAsia="宋体" w:cs="宋体"/>
          <w:spacing w:val="-13"/>
          <w:sz w:val="24"/>
          <w:szCs w:val="24"/>
        </w:rPr>
        <w:t>无关</w:t>
      </w:r>
      <w:r>
        <w:rPr>
          <w:rFonts w:ascii="宋体" w:hAnsi="宋体" w:eastAsia="宋体" w:cs="宋体"/>
          <w:sz w:val="24"/>
          <w:szCs w:val="24"/>
        </w:rPr>
        <w:t xml:space="preserve"> </w:t>
      </w:r>
      <w:r>
        <w:rPr>
          <w:rFonts w:ascii="宋体" w:hAnsi="宋体" w:eastAsia="宋体" w:cs="宋体"/>
          <w:spacing w:val="-12"/>
          <w:sz w:val="24"/>
          <w:szCs w:val="24"/>
        </w:rPr>
        <w:t>人员、设立警戒线、并指派专人保护好事故现场，并由事故调查组接替其后续工作。</w:t>
      </w:r>
    </w:p>
    <w:p w14:paraId="448FE59A">
      <w:pPr>
        <w:spacing w:line="290" w:lineRule="auto"/>
        <w:rPr>
          <w:rFonts w:ascii="宋体" w:hAnsi="宋体" w:eastAsia="宋体" w:cs="宋体"/>
          <w:sz w:val="24"/>
          <w:szCs w:val="24"/>
        </w:rPr>
        <w:sectPr>
          <w:footerReference r:id="rId169" w:type="default"/>
          <w:pgSz w:w="11906" w:h="16839"/>
          <w:pgMar w:top="400" w:right="1450" w:bottom="1127" w:left="1539" w:header="0" w:footer="965" w:gutter="0"/>
          <w:cols w:space="720" w:num="1"/>
        </w:sectPr>
      </w:pPr>
    </w:p>
    <w:p w14:paraId="5B2AD5FA">
      <w:pPr>
        <w:spacing w:line="250" w:lineRule="auto"/>
        <w:rPr>
          <w:rFonts w:ascii="Arial"/>
          <w:sz w:val="21"/>
        </w:rPr>
      </w:pPr>
    </w:p>
    <w:p w14:paraId="738B9972">
      <w:pPr>
        <w:spacing w:line="250" w:lineRule="auto"/>
        <w:rPr>
          <w:rFonts w:ascii="Arial"/>
          <w:sz w:val="21"/>
        </w:rPr>
      </w:pPr>
    </w:p>
    <w:p w14:paraId="22F09A64">
      <w:pPr>
        <w:spacing w:line="250" w:lineRule="auto"/>
        <w:rPr>
          <w:rFonts w:ascii="Arial"/>
          <w:sz w:val="21"/>
        </w:rPr>
      </w:pPr>
    </w:p>
    <w:p w14:paraId="646F73B1">
      <w:pPr>
        <w:spacing w:line="250" w:lineRule="auto"/>
        <w:rPr>
          <w:rFonts w:ascii="Arial"/>
          <w:sz w:val="21"/>
        </w:rPr>
      </w:pPr>
    </w:p>
    <w:p w14:paraId="367594B0">
      <w:pPr>
        <w:spacing w:line="251" w:lineRule="auto"/>
        <w:rPr>
          <w:rFonts w:ascii="Arial"/>
          <w:sz w:val="21"/>
        </w:rPr>
      </w:pPr>
    </w:p>
    <w:p w14:paraId="32C115EA">
      <w:pPr>
        <w:spacing w:before="78" w:line="360" w:lineRule="auto"/>
        <w:ind w:left="125" w:right="112" w:firstLine="472"/>
        <w:rPr>
          <w:rFonts w:ascii="宋体" w:hAnsi="宋体" w:eastAsia="宋体" w:cs="宋体"/>
          <w:sz w:val="24"/>
          <w:szCs w:val="24"/>
        </w:rPr>
      </w:pPr>
      <w:r>
        <w:rPr>
          <w:rFonts w:ascii="Times New Roman" w:hAnsi="Times New Roman" w:eastAsia="Times New Roman" w:cs="Times New Roman"/>
          <w:sz w:val="24"/>
          <w:szCs w:val="24"/>
        </w:rPr>
        <w:t>E</w:t>
      </w:r>
      <w:r>
        <w:rPr>
          <w:rFonts w:ascii="Times New Roman" w:hAnsi="Times New Roman" w:eastAsia="Times New Roman" w:cs="Times New Roman"/>
          <w:spacing w:val="-9"/>
          <w:sz w:val="24"/>
          <w:szCs w:val="24"/>
        </w:rPr>
        <w:t xml:space="preserve"> </w:t>
      </w:r>
      <w:r>
        <w:rPr>
          <w:rFonts w:ascii="宋体" w:hAnsi="宋体" w:eastAsia="宋体" w:cs="宋体"/>
          <w:sz w:val="24"/>
          <w:szCs w:val="24"/>
        </w:rPr>
        <w:t xml:space="preserve">．所有的泄漏化学品应在抢救过程中尽可能地收集在适当的容器中，不能收集 </w:t>
      </w:r>
      <w:r>
        <w:rPr>
          <w:rFonts w:ascii="宋体" w:hAnsi="宋体" w:eastAsia="宋体" w:cs="宋体"/>
          <w:spacing w:val="-1"/>
          <w:sz w:val="24"/>
          <w:szCs w:val="24"/>
        </w:rPr>
        <w:t>部分应被充分地稀释，以防止二次事故和降低对环境的污染。</w:t>
      </w:r>
    </w:p>
    <w:p w14:paraId="4F7210CA">
      <w:pPr>
        <w:spacing w:before="138" w:line="220" w:lineRule="auto"/>
        <w:ind w:left="613"/>
        <w:rPr>
          <w:rFonts w:ascii="宋体" w:hAnsi="宋体" w:eastAsia="宋体" w:cs="宋体"/>
          <w:sz w:val="24"/>
          <w:szCs w:val="24"/>
        </w:rPr>
      </w:pPr>
      <w:r>
        <w:drawing>
          <wp:anchor distT="0" distB="0" distL="0" distR="0" simplePos="0" relativeHeight="251695104" behindDoc="1" locked="0" layoutInCell="1" allowOverlap="1">
            <wp:simplePos x="0" y="0"/>
            <wp:positionH relativeFrom="column">
              <wp:posOffset>893445</wp:posOffset>
            </wp:positionH>
            <wp:positionV relativeFrom="paragraph">
              <wp:posOffset>280670</wp:posOffset>
            </wp:positionV>
            <wp:extent cx="2711450" cy="143446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26"/>
                    <a:stretch>
                      <a:fillRect/>
                    </a:stretch>
                  </pic:blipFill>
                  <pic:spPr>
                    <a:xfrm>
                      <a:off x="0" y="0"/>
                      <a:ext cx="2711196" cy="1434210"/>
                    </a:xfrm>
                    <a:prstGeom prst="rect">
                      <a:avLst/>
                    </a:prstGeom>
                  </pic:spPr>
                </pic:pic>
              </a:graphicData>
            </a:graphic>
          </wp:anchor>
        </w:drawing>
      </w: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）少量化学品泄漏响应流程</w:t>
      </w:r>
    </w:p>
    <w:p w14:paraId="5DECE034">
      <w:pPr>
        <w:spacing w:before="57" w:line="228" w:lineRule="auto"/>
        <w:ind w:left="2560"/>
        <w:rPr>
          <w:rFonts w:ascii="宋体" w:hAnsi="宋体" w:eastAsia="宋体" w:cs="宋体"/>
          <w:sz w:val="20"/>
          <w:szCs w:val="20"/>
        </w:rPr>
      </w:pPr>
      <w:r>
        <w:rPr>
          <w:rFonts w:ascii="宋体" w:hAnsi="宋体" w:eastAsia="宋体" w:cs="宋体"/>
          <w:spacing w:val="8"/>
          <w:sz w:val="20"/>
          <w:szCs w:val="20"/>
        </w:rPr>
        <w:t>发现少量化学品泄漏</w:t>
      </w:r>
    </w:p>
    <w:p w14:paraId="000EC66D">
      <w:pPr>
        <w:spacing w:line="252" w:lineRule="auto"/>
        <w:rPr>
          <w:rFonts w:ascii="Arial"/>
          <w:sz w:val="21"/>
        </w:rPr>
      </w:pPr>
    </w:p>
    <w:p w14:paraId="4DAC23DC">
      <w:pPr>
        <w:spacing w:before="65" w:line="228" w:lineRule="auto"/>
        <w:ind w:left="1543"/>
        <w:rPr>
          <w:rFonts w:ascii="宋体" w:hAnsi="宋体" w:eastAsia="宋体" w:cs="宋体"/>
          <w:sz w:val="20"/>
          <w:szCs w:val="20"/>
        </w:rPr>
      </w:pPr>
      <w:r>
        <w:rPr>
          <w:rFonts w:ascii="宋体" w:hAnsi="宋体" w:eastAsia="宋体" w:cs="宋体"/>
          <w:spacing w:val="7"/>
          <w:sz w:val="20"/>
          <w:szCs w:val="20"/>
        </w:rPr>
        <w:t>当班领班查堵泄漏源（需佩带</w:t>
      </w:r>
      <w:r>
        <w:rPr>
          <w:rFonts w:ascii="宋体" w:hAnsi="宋体" w:eastAsia="宋体" w:cs="宋体"/>
          <w:sz w:val="20"/>
          <w:szCs w:val="20"/>
        </w:rPr>
        <w:t>PPE</w:t>
      </w:r>
      <w:r>
        <w:rPr>
          <w:rFonts w:ascii="宋体" w:hAnsi="宋体" w:eastAsia="宋体" w:cs="宋体"/>
          <w:spacing w:val="7"/>
          <w:sz w:val="20"/>
          <w:szCs w:val="20"/>
        </w:rPr>
        <w:t>，按照</w:t>
      </w:r>
      <w:r>
        <w:rPr>
          <w:rFonts w:ascii="宋体" w:hAnsi="宋体" w:eastAsia="宋体" w:cs="宋体"/>
          <w:sz w:val="20"/>
          <w:szCs w:val="20"/>
        </w:rPr>
        <w:t>MSDS</w:t>
      </w:r>
    </w:p>
    <w:p w14:paraId="21E5F2C8">
      <w:pPr>
        <w:spacing w:before="24" w:line="228" w:lineRule="auto"/>
        <w:ind w:left="2818"/>
        <w:rPr>
          <w:rFonts w:ascii="宋体" w:hAnsi="宋体" w:eastAsia="宋体" w:cs="宋体"/>
          <w:sz w:val="20"/>
          <w:szCs w:val="20"/>
        </w:rPr>
      </w:pPr>
      <w:r>
        <w:rPr>
          <w:rFonts w:ascii="宋体" w:hAnsi="宋体" w:eastAsia="宋体" w:cs="宋体"/>
          <w:spacing w:val="6"/>
          <w:sz w:val="20"/>
          <w:szCs w:val="20"/>
        </w:rPr>
        <w:t>指示进行处理）</w:t>
      </w:r>
    </w:p>
    <w:p w14:paraId="11F98A35">
      <w:pPr>
        <w:spacing w:line="249" w:lineRule="auto"/>
        <w:rPr>
          <w:rFonts w:ascii="Arial"/>
          <w:sz w:val="21"/>
        </w:rPr>
      </w:pPr>
    </w:p>
    <w:p w14:paraId="00B9E501">
      <w:pPr>
        <w:spacing w:before="66" w:line="228" w:lineRule="auto"/>
        <w:ind w:left="2578"/>
        <w:rPr>
          <w:rFonts w:ascii="宋体" w:hAnsi="宋体" w:eastAsia="宋体" w:cs="宋体"/>
          <w:sz w:val="20"/>
          <w:szCs w:val="20"/>
        </w:rPr>
      </w:pPr>
      <w:r>
        <w:rPr>
          <w:rFonts w:ascii="宋体" w:hAnsi="宋体" w:eastAsia="宋体" w:cs="宋体"/>
          <w:spacing w:val="8"/>
          <w:sz w:val="20"/>
          <w:szCs w:val="20"/>
        </w:rPr>
        <w:t>通知部门化学安全员</w:t>
      </w:r>
    </w:p>
    <w:p w14:paraId="43524E71">
      <w:pPr>
        <w:spacing w:line="253" w:lineRule="auto"/>
        <w:rPr>
          <w:rFonts w:ascii="Arial"/>
          <w:sz w:val="21"/>
        </w:rPr>
      </w:pPr>
    </w:p>
    <w:p w14:paraId="0DEDB514">
      <w:pPr>
        <w:spacing w:before="65" w:line="227" w:lineRule="auto"/>
        <w:ind w:left="2079"/>
        <w:rPr>
          <w:rFonts w:ascii="宋体" w:hAnsi="宋体" w:eastAsia="宋体" w:cs="宋体"/>
          <w:sz w:val="20"/>
          <w:szCs w:val="20"/>
        </w:rPr>
      </w:pPr>
      <w:r>
        <w:rPr>
          <w:rFonts w:ascii="宋体" w:hAnsi="宋体" w:eastAsia="宋体" w:cs="宋体"/>
          <w:spacing w:val="9"/>
          <w:sz w:val="20"/>
          <w:szCs w:val="20"/>
        </w:rPr>
        <w:t>通知安全生产委员会和部门经理</w:t>
      </w:r>
    </w:p>
    <w:p w14:paraId="08924A32">
      <w:pPr>
        <w:spacing w:line="264" w:lineRule="auto"/>
        <w:rPr>
          <w:rFonts w:ascii="Arial"/>
          <w:sz w:val="21"/>
        </w:rPr>
      </w:pPr>
    </w:p>
    <w:p w14:paraId="4ACC8086">
      <w:pPr>
        <w:spacing w:line="265" w:lineRule="auto"/>
        <w:rPr>
          <w:rFonts w:ascii="Arial"/>
          <w:sz w:val="21"/>
        </w:rPr>
      </w:pPr>
    </w:p>
    <w:p w14:paraId="2B58B885">
      <w:pPr>
        <w:spacing w:before="79" w:line="220" w:lineRule="auto"/>
        <w:ind w:left="613"/>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）大量化学品泄漏响应流程</w:t>
      </w:r>
    </w:p>
    <w:p w14:paraId="72078F12">
      <w:pPr>
        <w:spacing w:before="177" w:line="228" w:lineRule="auto"/>
        <w:ind w:left="2066"/>
        <w:rPr>
          <w:rFonts w:ascii="宋体" w:hAnsi="宋体" w:eastAsia="宋体" w:cs="宋体"/>
          <w:sz w:val="20"/>
          <w:szCs w:val="20"/>
        </w:rPr>
      </w:pPr>
      <w:r>
        <w:rPr>
          <w:rFonts w:ascii="宋体" w:hAnsi="宋体" w:eastAsia="宋体" w:cs="宋体"/>
          <w:spacing w:val="8"/>
          <w:sz w:val="20"/>
          <w:szCs w:val="20"/>
        </w:rPr>
        <w:t>发现大量化学品泄漏</w:t>
      </w:r>
    </w:p>
    <w:p w14:paraId="75C8A8EB">
      <w:pPr>
        <w:spacing w:line="259" w:lineRule="auto"/>
        <w:rPr>
          <w:rFonts w:ascii="Arial"/>
          <w:sz w:val="21"/>
        </w:rPr>
      </w:pPr>
    </w:p>
    <w:p w14:paraId="21C7DB9D">
      <w:pPr>
        <w:spacing w:line="260" w:lineRule="auto"/>
        <w:rPr>
          <w:rFonts w:ascii="Arial"/>
          <w:sz w:val="21"/>
        </w:rPr>
      </w:pPr>
    </w:p>
    <w:p w14:paraId="10194600">
      <w:pPr>
        <w:spacing w:before="66" w:line="254" w:lineRule="auto"/>
        <w:ind w:left="1179" w:right="4859" w:hanging="6"/>
        <w:rPr>
          <w:rFonts w:ascii="宋体" w:hAnsi="宋体" w:eastAsia="宋体" w:cs="宋体"/>
          <w:sz w:val="20"/>
          <w:szCs w:val="20"/>
        </w:rPr>
      </w:pPr>
      <w:r>
        <w:pict>
          <v:shape id="_x0000_s1067" o:spid="_x0000_s1067" o:spt="202" type="#_x0000_t202" style="position:absolute;left:0pt;margin-left:259.65pt;margin-top:9.1pt;height:14.35pt;width:138.05pt;z-index:251697152;mso-width-relative:page;mso-height-relative:page;" filled="f" stroked="f" coordsize="21600,21600">
            <v:path/>
            <v:fill on="f" focussize="0,0"/>
            <v:stroke on="f"/>
            <v:imagedata o:title=""/>
            <o:lock v:ext="edit" aspectratio="f"/>
            <v:textbox inset="0mm,0mm,0mm,0mm">
              <w:txbxContent>
                <w:p w14:paraId="04CCD8C9">
                  <w:pPr>
                    <w:spacing w:before="19" w:line="228" w:lineRule="auto"/>
                    <w:ind w:left="20"/>
                    <w:rPr>
                      <w:rFonts w:ascii="宋体" w:hAnsi="宋体" w:eastAsia="宋体" w:cs="宋体"/>
                      <w:sz w:val="20"/>
                      <w:szCs w:val="20"/>
                    </w:rPr>
                  </w:pPr>
                  <w:r>
                    <w:rPr>
                      <w:rFonts w:ascii="宋体" w:hAnsi="宋体" w:eastAsia="宋体" w:cs="宋体"/>
                      <w:spacing w:val="9"/>
                      <w:sz w:val="20"/>
                      <w:szCs w:val="20"/>
                    </w:rPr>
                    <w:t>判断困难时组织人员撤离现场</w:t>
                  </w:r>
                </w:p>
              </w:txbxContent>
            </v:textbox>
          </v:shape>
        </w:pict>
      </w:r>
      <w:r>
        <w:rPr>
          <w:rFonts w:ascii="宋体" w:hAnsi="宋体" w:eastAsia="宋体" w:cs="宋体"/>
          <w:spacing w:val="2"/>
          <w:sz w:val="20"/>
          <w:szCs w:val="20"/>
        </w:rPr>
        <w:t>在场负责人组织查堵泄漏源（需佩</w:t>
      </w:r>
      <w:r>
        <w:rPr>
          <w:rFonts w:ascii="宋体" w:hAnsi="宋体" w:eastAsia="宋体" w:cs="宋体"/>
          <w:spacing w:val="5"/>
          <w:sz w:val="20"/>
          <w:szCs w:val="20"/>
        </w:rPr>
        <w:t xml:space="preserve"> </w:t>
      </w:r>
      <w:r>
        <w:rPr>
          <w:rFonts w:ascii="宋体" w:hAnsi="宋体" w:eastAsia="宋体" w:cs="宋体"/>
          <w:spacing w:val="7"/>
          <w:sz w:val="20"/>
          <w:szCs w:val="20"/>
        </w:rPr>
        <w:t>带</w:t>
      </w:r>
      <w:r>
        <w:rPr>
          <w:rFonts w:ascii="宋体" w:hAnsi="宋体" w:eastAsia="宋体" w:cs="宋体"/>
          <w:sz w:val="20"/>
          <w:szCs w:val="20"/>
        </w:rPr>
        <w:t>PPE</w:t>
      </w:r>
      <w:r>
        <w:rPr>
          <w:rFonts w:ascii="宋体" w:hAnsi="宋体" w:eastAsia="宋体" w:cs="宋体"/>
          <w:spacing w:val="17"/>
          <w:sz w:val="20"/>
          <w:szCs w:val="20"/>
        </w:rPr>
        <w:t>），</w:t>
      </w:r>
      <w:r>
        <w:rPr>
          <w:rFonts w:ascii="宋体" w:hAnsi="宋体" w:eastAsia="宋体" w:cs="宋体"/>
          <w:spacing w:val="7"/>
          <w:sz w:val="20"/>
          <w:szCs w:val="20"/>
        </w:rPr>
        <w:t>并通知内保</w:t>
      </w:r>
    </w:p>
    <w:p w14:paraId="1600944D">
      <w:pPr>
        <w:spacing w:line="354" w:lineRule="auto"/>
        <w:rPr>
          <w:rFonts w:ascii="Arial"/>
          <w:sz w:val="21"/>
        </w:rPr>
      </w:pPr>
    </w:p>
    <w:p w14:paraId="372203B7">
      <w:pPr>
        <w:spacing w:line="355" w:lineRule="auto"/>
        <w:rPr>
          <w:rFonts w:ascii="Arial"/>
          <w:sz w:val="21"/>
        </w:rPr>
      </w:pPr>
    </w:p>
    <w:p w14:paraId="2081648B">
      <w:pPr>
        <w:spacing w:before="66" w:line="228" w:lineRule="auto"/>
        <w:ind w:left="1077"/>
        <w:rPr>
          <w:rFonts w:ascii="宋体" w:hAnsi="宋体" w:eastAsia="宋体" w:cs="宋体"/>
          <w:sz w:val="20"/>
          <w:szCs w:val="20"/>
        </w:rPr>
      </w:pPr>
      <w:r>
        <w:drawing>
          <wp:anchor distT="0" distB="0" distL="0" distR="0" simplePos="0" relativeHeight="251694080" behindDoc="1" locked="0" layoutInCell="1" allowOverlap="1">
            <wp:simplePos x="0" y="0"/>
            <wp:positionH relativeFrom="column">
              <wp:posOffset>561975</wp:posOffset>
            </wp:positionH>
            <wp:positionV relativeFrom="paragraph">
              <wp:posOffset>-1359535</wp:posOffset>
            </wp:positionV>
            <wp:extent cx="4911725" cy="244538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27"/>
                    <a:stretch>
                      <a:fillRect/>
                    </a:stretch>
                  </pic:blipFill>
                  <pic:spPr>
                    <a:xfrm>
                      <a:off x="0" y="0"/>
                      <a:ext cx="4911725" cy="2445131"/>
                    </a:xfrm>
                    <a:prstGeom prst="rect">
                      <a:avLst/>
                    </a:prstGeom>
                  </pic:spPr>
                </pic:pic>
              </a:graphicData>
            </a:graphic>
          </wp:anchor>
        </w:drawing>
      </w:r>
      <w:r>
        <w:pict>
          <v:shape id="_x0000_s1068" o:spid="_x0000_s1068" o:spt="202" type="#_x0000_t202" style="position:absolute;left:0pt;margin-left:285.2pt;margin-top:-0.2pt;height:41.6pt;width:144.45pt;z-index:251696128;mso-width-relative:page;mso-height-relative:page;" filled="f" stroked="f" coordsize="21600,21600">
            <v:path/>
            <v:fill on="f" focussize="0,0"/>
            <v:stroke on="f"/>
            <v:imagedata o:title=""/>
            <o:lock v:ext="edit" aspectratio="f"/>
            <v:textbox inset="0mm,0mm,0mm,0mm">
              <w:txbxContent>
                <w:p w14:paraId="13C8835B">
                  <w:pPr>
                    <w:spacing w:before="19" w:line="228" w:lineRule="auto"/>
                    <w:ind w:left="23"/>
                    <w:rPr>
                      <w:rFonts w:ascii="宋体" w:hAnsi="宋体" w:eastAsia="宋体" w:cs="宋体"/>
                      <w:sz w:val="20"/>
                      <w:szCs w:val="20"/>
                    </w:rPr>
                  </w:pPr>
                  <w:r>
                    <w:rPr>
                      <w:rFonts w:ascii="宋体" w:hAnsi="宋体" w:eastAsia="宋体" w:cs="宋体"/>
                      <w:spacing w:val="3"/>
                      <w:sz w:val="20"/>
                      <w:szCs w:val="20"/>
                    </w:rPr>
                    <w:t>部门化学安全员、安全生产委员</w:t>
                  </w:r>
                </w:p>
                <w:p w14:paraId="2FAB1128">
                  <w:pPr>
                    <w:spacing w:before="26" w:line="227" w:lineRule="auto"/>
                    <w:ind w:left="20"/>
                    <w:rPr>
                      <w:rFonts w:ascii="宋体" w:hAnsi="宋体" w:eastAsia="宋体" w:cs="宋体"/>
                      <w:sz w:val="20"/>
                      <w:szCs w:val="20"/>
                    </w:rPr>
                  </w:pPr>
                  <w:r>
                    <w:rPr>
                      <w:rFonts w:ascii="宋体" w:hAnsi="宋体" w:eastAsia="宋体" w:cs="宋体"/>
                      <w:spacing w:val="3"/>
                      <w:sz w:val="20"/>
                      <w:szCs w:val="20"/>
                    </w:rPr>
                    <w:t>会和部门经理，成立现场指挥机</w:t>
                  </w:r>
                </w:p>
                <w:p w14:paraId="09ABABAB">
                  <w:pPr>
                    <w:spacing w:before="24" w:line="228" w:lineRule="auto"/>
                    <w:ind w:left="505"/>
                    <w:rPr>
                      <w:rFonts w:ascii="宋体" w:hAnsi="宋体" w:eastAsia="宋体" w:cs="宋体"/>
                      <w:sz w:val="20"/>
                      <w:szCs w:val="20"/>
                    </w:rPr>
                  </w:pPr>
                  <w:r>
                    <w:rPr>
                      <w:rFonts w:ascii="宋体" w:hAnsi="宋体" w:eastAsia="宋体" w:cs="宋体"/>
                      <w:spacing w:val="8"/>
                      <w:sz w:val="20"/>
                      <w:szCs w:val="20"/>
                    </w:rPr>
                    <w:t>构，指挥现场的抢救</w:t>
                  </w:r>
                </w:p>
              </w:txbxContent>
            </v:textbox>
          </v:shape>
        </w:pict>
      </w:r>
      <w:r>
        <w:rPr>
          <w:rFonts w:ascii="宋体" w:hAnsi="宋体" w:eastAsia="宋体" w:cs="宋体"/>
          <w:spacing w:val="11"/>
          <w:sz w:val="20"/>
          <w:szCs w:val="20"/>
        </w:rPr>
        <w:t>内保带相关的</w:t>
      </w:r>
      <w:r>
        <w:rPr>
          <w:rFonts w:ascii="宋体" w:hAnsi="宋体" w:eastAsia="宋体" w:cs="宋体"/>
          <w:sz w:val="20"/>
          <w:szCs w:val="20"/>
        </w:rPr>
        <w:t>PPE</w:t>
      </w:r>
      <w:r>
        <w:rPr>
          <w:rFonts w:ascii="宋体" w:hAnsi="宋体" w:eastAsia="宋体" w:cs="宋体"/>
          <w:spacing w:val="-29"/>
          <w:sz w:val="20"/>
          <w:szCs w:val="20"/>
        </w:rPr>
        <w:t xml:space="preserve"> </w:t>
      </w:r>
      <w:r>
        <w:rPr>
          <w:rFonts w:ascii="宋体" w:hAnsi="宋体" w:eastAsia="宋体" w:cs="宋体"/>
          <w:spacing w:val="11"/>
          <w:sz w:val="20"/>
          <w:szCs w:val="20"/>
        </w:rPr>
        <w:t>到现场协助抢救</w:t>
      </w:r>
    </w:p>
    <w:p w14:paraId="2D97DF5A">
      <w:pPr>
        <w:spacing w:line="274" w:lineRule="auto"/>
        <w:rPr>
          <w:rFonts w:ascii="Arial"/>
          <w:sz w:val="21"/>
        </w:rPr>
      </w:pPr>
    </w:p>
    <w:p w14:paraId="4CD74060">
      <w:pPr>
        <w:spacing w:before="65" w:line="228" w:lineRule="auto"/>
        <w:ind w:left="1209"/>
        <w:rPr>
          <w:rFonts w:ascii="宋体" w:hAnsi="宋体" w:eastAsia="宋体" w:cs="宋体"/>
          <w:sz w:val="20"/>
          <w:szCs w:val="20"/>
        </w:rPr>
      </w:pPr>
      <w:r>
        <w:rPr>
          <w:rFonts w:ascii="宋体" w:hAnsi="宋体" w:eastAsia="宋体" w:cs="宋体"/>
          <w:spacing w:val="2"/>
          <w:sz w:val="20"/>
          <w:szCs w:val="20"/>
        </w:rPr>
        <w:t>自救无法控制</w:t>
      </w:r>
    </w:p>
    <w:p w14:paraId="46193C87">
      <w:pPr>
        <w:spacing w:before="285" w:line="252" w:lineRule="auto"/>
        <w:ind w:left="1175" w:right="4341"/>
        <w:rPr>
          <w:rFonts w:ascii="宋体" w:hAnsi="宋体" w:eastAsia="宋体" w:cs="宋体"/>
          <w:sz w:val="20"/>
          <w:szCs w:val="20"/>
        </w:rPr>
      </w:pPr>
      <w:r>
        <w:rPr>
          <w:rFonts w:ascii="宋体" w:hAnsi="宋体" w:eastAsia="宋体" w:cs="宋体"/>
          <w:spacing w:val="7"/>
          <w:sz w:val="20"/>
          <w:szCs w:val="20"/>
        </w:rPr>
        <w:t>拨打外线110、119求救，并指派专人保</w:t>
      </w:r>
      <w:r>
        <w:rPr>
          <w:rFonts w:ascii="宋体" w:hAnsi="宋体" w:eastAsia="宋体" w:cs="宋体"/>
          <w:spacing w:val="10"/>
          <w:sz w:val="20"/>
          <w:szCs w:val="20"/>
        </w:rPr>
        <w:t xml:space="preserve"> </w:t>
      </w:r>
      <w:r>
        <w:rPr>
          <w:rFonts w:ascii="宋体" w:hAnsi="宋体" w:eastAsia="宋体" w:cs="宋体"/>
          <w:spacing w:val="7"/>
          <w:sz w:val="20"/>
          <w:szCs w:val="20"/>
        </w:rPr>
        <w:t>护好现场</w:t>
      </w:r>
    </w:p>
    <w:p w14:paraId="780EF844">
      <w:pPr>
        <w:spacing w:line="293" w:lineRule="auto"/>
        <w:rPr>
          <w:rFonts w:ascii="Arial"/>
          <w:sz w:val="21"/>
        </w:rPr>
      </w:pPr>
    </w:p>
    <w:p w14:paraId="2A39A23C">
      <w:pPr>
        <w:spacing w:before="79" w:line="220" w:lineRule="auto"/>
        <w:ind w:left="120"/>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9  </w:t>
      </w:r>
      <w:r>
        <w:rPr>
          <w:rFonts w:ascii="宋体" w:hAnsi="宋体" w:eastAsia="宋体" w:cs="宋体"/>
          <w:b/>
          <w:bCs/>
          <w:spacing w:val="-3"/>
          <w:sz w:val="24"/>
          <w:szCs w:val="24"/>
        </w:rPr>
        <w:t>风险应急预案</w:t>
      </w:r>
    </w:p>
    <w:p w14:paraId="78084825">
      <w:pPr>
        <w:spacing w:before="181" w:line="359" w:lineRule="auto"/>
        <w:ind w:left="121" w:right="112" w:firstLine="480"/>
        <w:jc w:val="both"/>
        <w:rPr>
          <w:rFonts w:ascii="宋体" w:hAnsi="宋体" w:eastAsia="宋体" w:cs="宋体"/>
          <w:sz w:val="24"/>
          <w:szCs w:val="24"/>
        </w:rPr>
      </w:pPr>
      <w:r>
        <w:rPr>
          <w:rFonts w:ascii="宋体" w:hAnsi="宋体" w:eastAsia="宋体" w:cs="宋体"/>
          <w:sz w:val="24"/>
          <w:szCs w:val="24"/>
        </w:rPr>
        <w:t>根据《突发环境事件应急预案管理暂行办法》（环发〔</w:t>
      </w:r>
      <w:r>
        <w:rPr>
          <w:rFonts w:ascii="Times New Roman" w:hAnsi="Times New Roman" w:eastAsia="Times New Roman" w:cs="Times New Roman"/>
          <w:sz w:val="24"/>
          <w:szCs w:val="24"/>
        </w:rPr>
        <w:t>2010</w:t>
      </w:r>
      <w:r>
        <w:rPr>
          <w:rFonts w:ascii="宋体" w:hAnsi="宋体" w:eastAsia="宋体" w:cs="宋体"/>
          <w:sz w:val="24"/>
          <w:szCs w:val="24"/>
        </w:rPr>
        <w:t>〕</w:t>
      </w:r>
      <w:r>
        <w:rPr>
          <w:rFonts w:ascii="Times New Roman" w:hAnsi="Times New Roman" w:eastAsia="Times New Roman" w:cs="Times New Roman"/>
          <w:sz w:val="24"/>
          <w:szCs w:val="24"/>
        </w:rPr>
        <w:t xml:space="preserve">113 </w:t>
      </w:r>
      <w:r>
        <w:rPr>
          <w:rFonts w:ascii="宋体" w:hAnsi="宋体" w:eastAsia="宋体" w:cs="宋体"/>
          <w:sz w:val="24"/>
          <w:szCs w:val="24"/>
        </w:rPr>
        <w:t>号）、《企业</w:t>
      </w:r>
      <w:r>
        <w:rPr>
          <w:rFonts w:ascii="宋体" w:hAnsi="宋体" w:eastAsia="宋体" w:cs="宋体"/>
          <w:spacing w:val="13"/>
          <w:sz w:val="24"/>
          <w:szCs w:val="24"/>
        </w:rPr>
        <w:t xml:space="preserve"> </w:t>
      </w:r>
      <w:r>
        <w:rPr>
          <w:rFonts w:ascii="宋体" w:hAnsi="宋体" w:eastAsia="宋体" w:cs="宋体"/>
          <w:sz w:val="24"/>
          <w:szCs w:val="24"/>
        </w:rPr>
        <w:t>事业单位突发环境事件应急预案备案管理办法（试行）》（环发〔</w:t>
      </w:r>
      <w:r>
        <w:rPr>
          <w:rFonts w:ascii="Times New Roman" w:hAnsi="Times New Roman" w:eastAsia="Times New Roman" w:cs="Times New Roman"/>
          <w:sz w:val="24"/>
          <w:szCs w:val="24"/>
        </w:rPr>
        <w:t>2015</w:t>
      </w:r>
      <w:r>
        <w:rPr>
          <w:rFonts w:ascii="宋体" w:hAnsi="宋体" w:eastAsia="宋体" w:cs="宋体"/>
          <w:sz w:val="24"/>
          <w:szCs w:val="24"/>
        </w:rPr>
        <w:t>〕</w:t>
      </w:r>
      <w:r>
        <w:rPr>
          <w:rFonts w:ascii="Times New Roman" w:hAnsi="Times New Roman" w:eastAsia="Times New Roman" w:cs="Times New Roman"/>
          <w:sz w:val="24"/>
          <w:szCs w:val="24"/>
        </w:rPr>
        <w:t xml:space="preserve">4 </w:t>
      </w:r>
      <w:r>
        <w:rPr>
          <w:rFonts w:ascii="宋体" w:hAnsi="宋体" w:eastAsia="宋体" w:cs="宋体"/>
          <w:sz w:val="24"/>
          <w:szCs w:val="24"/>
        </w:rPr>
        <w:t>号）等文</w:t>
      </w:r>
      <w:r>
        <w:rPr>
          <w:rFonts w:ascii="宋体" w:hAnsi="宋体" w:eastAsia="宋体" w:cs="宋体"/>
          <w:spacing w:val="14"/>
          <w:sz w:val="24"/>
          <w:szCs w:val="24"/>
        </w:rPr>
        <w:t xml:space="preserve"> </w:t>
      </w:r>
      <w:r>
        <w:rPr>
          <w:rFonts w:ascii="宋体" w:hAnsi="宋体" w:eastAsia="宋体" w:cs="宋体"/>
          <w:spacing w:val="-1"/>
          <w:sz w:val="24"/>
          <w:szCs w:val="24"/>
        </w:rPr>
        <w:t>件要求，企业事故应急预案应单独编制、评估、备案和实施。</w:t>
      </w:r>
    </w:p>
    <w:p w14:paraId="35A954F7">
      <w:pPr>
        <w:spacing w:before="1" w:line="218" w:lineRule="auto"/>
        <w:ind w:left="603"/>
        <w:rPr>
          <w:rFonts w:ascii="宋体" w:hAnsi="宋体" w:eastAsia="宋体" w:cs="宋体"/>
          <w:sz w:val="24"/>
          <w:szCs w:val="24"/>
        </w:rPr>
      </w:pPr>
      <w:r>
        <w:rPr>
          <w:rFonts w:ascii="宋体" w:hAnsi="宋体" w:eastAsia="宋体" w:cs="宋体"/>
          <w:spacing w:val="-1"/>
          <w:sz w:val="24"/>
          <w:szCs w:val="24"/>
        </w:rPr>
        <w:t>本项目环境风险应急预案主要内容及要求见下表：</w:t>
      </w:r>
    </w:p>
    <w:p w14:paraId="3CCD02A6">
      <w:pPr>
        <w:spacing w:before="304" w:line="220" w:lineRule="auto"/>
        <w:ind w:left="246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4"/>
          <w:sz w:val="24"/>
          <w:szCs w:val="24"/>
        </w:rPr>
        <w:t xml:space="preserve"> </w:t>
      </w:r>
      <w:r>
        <w:rPr>
          <w:rFonts w:ascii="Times New Roman" w:hAnsi="Times New Roman" w:eastAsia="Times New Roman" w:cs="Times New Roman"/>
          <w:b/>
          <w:bCs/>
          <w:spacing w:val="-2"/>
          <w:sz w:val="24"/>
          <w:szCs w:val="24"/>
        </w:rPr>
        <w:t xml:space="preserve">37    </w:t>
      </w:r>
      <w:r>
        <w:rPr>
          <w:rFonts w:ascii="宋体" w:hAnsi="宋体" w:eastAsia="宋体" w:cs="宋体"/>
          <w:b/>
          <w:bCs/>
          <w:spacing w:val="-2"/>
          <w:sz w:val="24"/>
          <w:szCs w:val="24"/>
        </w:rPr>
        <w:t>突发环境风险事故应急预案要点</w:t>
      </w:r>
    </w:p>
    <w:p w14:paraId="72E88BD9">
      <w:pPr>
        <w:spacing w:line="144"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2219"/>
        <w:gridCol w:w="6061"/>
      </w:tblGrid>
      <w:tr w14:paraId="4DFC0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84" w:type="dxa"/>
            <w:vAlign w:val="top"/>
          </w:tcPr>
          <w:p w14:paraId="69FA1F9B">
            <w:pPr>
              <w:pStyle w:val="6"/>
              <w:spacing w:before="97" w:line="229" w:lineRule="auto"/>
              <w:ind w:left="187"/>
              <w:rPr>
                <w:sz w:val="20"/>
                <w:szCs w:val="20"/>
              </w:rPr>
            </w:pPr>
            <w:r>
              <w:rPr>
                <w:spacing w:val="5"/>
                <w:sz w:val="20"/>
                <w:szCs w:val="20"/>
              </w:rPr>
              <w:t>序号</w:t>
            </w:r>
          </w:p>
        </w:tc>
        <w:tc>
          <w:tcPr>
            <w:tcW w:w="2219" w:type="dxa"/>
            <w:vAlign w:val="top"/>
          </w:tcPr>
          <w:p w14:paraId="3A5EAE6A">
            <w:pPr>
              <w:pStyle w:val="6"/>
              <w:spacing w:before="98" w:line="228" w:lineRule="auto"/>
              <w:ind w:left="907"/>
              <w:rPr>
                <w:sz w:val="20"/>
                <w:szCs w:val="20"/>
              </w:rPr>
            </w:pPr>
            <w:r>
              <w:rPr>
                <w:spacing w:val="3"/>
                <w:sz w:val="20"/>
                <w:szCs w:val="20"/>
              </w:rPr>
              <w:t>项目</w:t>
            </w:r>
          </w:p>
        </w:tc>
        <w:tc>
          <w:tcPr>
            <w:tcW w:w="6061" w:type="dxa"/>
            <w:vAlign w:val="top"/>
          </w:tcPr>
          <w:p w14:paraId="36E83BC9">
            <w:pPr>
              <w:pStyle w:val="6"/>
              <w:spacing w:before="97" w:line="228" w:lineRule="auto"/>
              <w:ind w:left="2536"/>
              <w:rPr>
                <w:sz w:val="20"/>
                <w:szCs w:val="20"/>
              </w:rPr>
            </w:pPr>
            <w:r>
              <w:rPr>
                <w:spacing w:val="3"/>
                <w:sz w:val="20"/>
                <w:szCs w:val="20"/>
              </w:rPr>
              <w:t>内容及要求</w:t>
            </w:r>
          </w:p>
        </w:tc>
      </w:tr>
      <w:tr w14:paraId="66F9B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84" w:type="dxa"/>
            <w:vAlign w:val="top"/>
          </w:tcPr>
          <w:p w14:paraId="783C0BC2">
            <w:pPr>
              <w:spacing w:before="131"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19" w:type="dxa"/>
            <w:vAlign w:val="top"/>
          </w:tcPr>
          <w:p w14:paraId="10FDC4C8">
            <w:pPr>
              <w:pStyle w:val="6"/>
              <w:spacing w:before="96" w:line="228" w:lineRule="auto"/>
              <w:ind w:left="692"/>
              <w:rPr>
                <w:sz w:val="20"/>
                <w:szCs w:val="20"/>
              </w:rPr>
            </w:pPr>
            <w:r>
              <w:rPr>
                <w:spacing w:val="7"/>
                <w:sz w:val="20"/>
                <w:szCs w:val="20"/>
              </w:rPr>
              <w:t>适用范围</w:t>
            </w:r>
          </w:p>
        </w:tc>
        <w:tc>
          <w:tcPr>
            <w:tcW w:w="6061" w:type="dxa"/>
            <w:vAlign w:val="top"/>
          </w:tcPr>
          <w:p w14:paraId="567B021A">
            <w:pPr>
              <w:pStyle w:val="6"/>
              <w:spacing w:before="95" w:line="228" w:lineRule="auto"/>
              <w:ind w:left="132"/>
              <w:rPr>
                <w:sz w:val="20"/>
                <w:szCs w:val="20"/>
              </w:rPr>
            </w:pPr>
            <w:r>
              <w:rPr>
                <w:spacing w:val="7"/>
                <w:sz w:val="20"/>
                <w:szCs w:val="20"/>
              </w:rPr>
              <w:t>明确应急预案适用区域范围、工作范围、工作主体、管理主体等</w:t>
            </w:r>
          </w:p>
        </w:tc>
      </w:tr>
      <w:tr w14:paraId="05DA5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84" w:type="dxa"/>
            <w:vAlign w:val="top"/>
          </w:tcPr>
          <w:p w14:paraId="2866AE84">
            <w:pPr>
              <w:spacing w:before="206"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19" w:type="dxa"/>
            <w:vAlign w:val="top"/>
          </w:tcPr>
          <w:p w14:paraId="00BF5AEA">
            <w:pPr>
              <w:pStyle w:val="6"/>
              <w:spacing w:before="170" w:line="228" w:lineRule="auto"/>
              <w:ind w:left="169"/>
              <w:rPr>
                <w:sz w:val="20"/>
                <w:szCs w:val="20"/>
              </w:rPr>
            </w:pPr>
            <w:r>
              <w:rPr>
                <w:spacing w:val="8"/>
                <w:sz w:val="20"/>
                <w:szCs w:val="20"/>
              </w:rPr>
              <w:t>环境事件分类与分级</w:t>
            </w:r>
          </w:p>
        </w:tc>
        <w:tc>
          <w:tcPr>
            <w:tcW w:w="6061" w:type="dxa"/>
            <w:vAlign w:val="top"/>
          </w:tcPr>
          <w:p w14:paraId="7F663435">
            <w:pPr>
              <w:pStyle w:val="6"/>
              <w:spacing w:before="36" w:line="228" w:lineRule="auto"/>
              <w:ind w:left="116"/>
              <w:rPr>
                <w:sz w:val="20"/>
                <w:szCs w:val="20"/>
              </w:rPr>
            </w:pPr>
            <w:r>
              <w:rPr>
                <w:spacing w:val="8"/>
                <w:sz w:val="20"/>
                <w:szCs w:val="20"/>
              </w:rPr>
              <w:t>企业可能发生突发环境事件的类型、发生情形等，事件分级方法</w:t>
            </w:r>
          </w:p>
          <w:p w14:paraId="1EC70B40">
            <w:pPr>
              <w:pStyle w:val="6"/>
              <w:spacing w:before="25" w:line="215" w:lineRule="auto"/>
              <w:ind w:left="1985"/>
              <w:rPr>
                <w:sz w:val="20"/>
                <w:szCs w:val="20"/>
              </w:rPr>
            </w:pPr>
            <w:r>
              <w:rPr>
                <w:spacing w:val="8"/>
                <w:sz w:val="20"/>
                <w:szCs w:val="20"/>
              </w:rPr>
              <w:t>和各级事件具体类型等</w:t>
            </w:r>
          </w:p>
        </w:tc>
      </w:tr>
    </w:tbl>
    <w:p w14:paraId="7287AE4E">
      <w:pPr>
        <w:rPr>
          <w:rFonts w:ascii="Arial"/>
          <w:sz w:val="21"/>
        </w:rPr>
      </w:pPr>
    </w:p>
    <w:p w14:paraId="170A8C97">
      <w:pPr>
        <w:rPr>
          <w:rFonts w:ascii="Arial" w:hAnsi="Arial" w:eastAsia="Arial" w:cs="Arial"/>
          <w:sz w:val="21"/>
          <w:szCs w:val="21"/>
        </w:rPr>
        <w:sectPr>
          <w:footerReference r:id="rId170" w:type="default"/>
          <w:pgSz w:w="11906" w:h="16839"/>
          <w:pgMar w:top="400" w:right="1418" w:bottom="1127" w:left="1418" w:header="0" w:footer="965" w:gutter="0"/>
          <w:cols w:space="720" w:num="1"/>
        </w:sectPr>
      </w:pPr>
    </w:p>
    <w:p w14:paraId="577513AE">
      <w:pPr>
        <w:spacing w:before="19"/>
      </w:pPr>
    </w:p>
    <w:p w14:paraId="53EE8A34">
      <w:pPr>
        <w:spacing w:before="19"/>
      </w:pPr>
    </w:p>
    <w:p w14:paraId="676FB644">
      <w:pPr>
        <w:spacing w:before="19"/>
      </w:pPr>
    </w:p>
    <w:p w14:paraId="173D1FB3">
      <w:pPr>
        <w:spacing w:before="18"/>
      </w:pPr>
    </w:p>
    <w:p w14:paraId="3F776D0C">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2219"/>
        <w:gridCol w:w="6061"/>
      </w:tblGrid>
      <w:tr w14:paraId="2D28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84" w:type="dxa"/>
            <w:vAlign w:val="top"/>
          </w:tcPr>
          <w:p w14:paraId="73AB40E2">
            <w:pPr>
              <w:spacing w:before="20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19" w:type="dxa"/>
            <w:vAlign w:val="top"/>
          </w:tcPr>
          <w:p w14:paraId="5607FA4B">
            <w:pPr>
              <w:pStyle w:val="6"/>
              <w:spacing w:before="172" w:line="227" w:lineRule="auto"/>
              <w:ind w:left="381"/>
              <w:rPr>
                <w:sz w:val="20"/>
                <w:szCs w:val="20"/>
              </w:rPr>
            </w:pPr>
            <w:r>
              <w:rPr>
                <w:spacing w:val="8"/>
                <w:sz w:val="20"/>
                <w:szCs w:val="20"/>
              </w:rPr>
              <w:t>组织机构与职责</w:t>
            </w:r>
          </w:p>
        </w:tc>
        <w:tc>
          <w:tcPr>
            <w:tcW w:w="6061" w:type="dxa"/>
            <w:vAlign w:val="top"/>
          </w:tcPr>
          <w:p w14:paraId="2347237D">
            <w:pPr>
              <w:pStyle w:val="6"/>
              <w:spacing w:before="35" w:line="227" w:lineRule="auto"/>
              <w:ind w:left="113"/>
              <w:rPr>
                <w:sz w:val="20"/>
                <w:szCs w:val="20"/>
              </w:rPr>
            </w:pPr>
            <w:r>
              <w:rPr>
                <w:spacing w:val="8"/>
                <w:sz w:val="20"/>
                <w:szCs w:val="20"/>
              </w:rPr>
              <w:t>应急组织机构框架结构、人员安排、职责等，以及机构和人员通</w:t>
            </w:r>
          </w:p>
          <w:p w14:paraId="146A45B7">
            <w:pPr>
              <w:pStyle w:val="6"/>
              <w:spacing w:before="27" w:line="217" w:lineRule="auto"/>
              <w:ind w:left="2613"/>
              <w:rPr>
                <w:sz w:val="20"/>
                <w:szCs w:val="20"/>
              </w:rPr>
            </w:pPr>
            <w:r>
              <w:rPr>
                <w:spacing w:val="5"/>
                <w:sz w:val="20"/>
                <w:szCs w:val="20"/>
              </w:rPr>
              <w:t>信方式。</w:t>
            </w:r>
          </w:p>
        </w:tc>
      </w:tr>
      <w:tr w14:paraId="275A6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84" w:type="dxa"/>
            <w:vAlign w:val="top"/>
          </w:tcPr>
          <w:p w14:paraId="6ECE1F2C">
            <w:pPr>
              <w:spacing w:before="12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19" w:type="dxa"/>
            <w:vAlign w:val="top"/>
          </w:tcPr>
          <w:p w14:paraId="19C351D2">
            <w:pPr>
              <w:pStyle w:val="6"/>
              <w:spacing w:before="93" w:line="230" w:lineRule="auto"/>
              <w:ind w:left="692"/>
              <w:rPr>
                <w:sz w:val="20"/>
                <w:szCs w:val="20"/>
              </w:rPr>
            </w:pPr>
            <w:r>
              <w:rPr>
                <w:spacing w:val="7"/>
                <w:sz w:val="20"/>
                <w:szCs w:val="20"/>
              </w:rPr>
              <w:t>应急响应</w:t>
            </w:r>
          </w:p>
        </w:tc>
        <w:tc>
          <w:tcPr>
            <w:tcW w:w="6061" w:type="dxa"/>
            <w:vAlign w:val="top"/>
          </w:tcPr>
          <w:p w14:paraId="2738AD72">
            <w:pPr>
              <w:pStyle w:val="6"/>
              <w:spacing w:before="93" w:line="228" w:lineRule="auto"/>
              <w:ind w:left="1565"/>
              <w:rPr>
                <w:sz w:val="20"/>
                <w:szCs w:val="20"/>
              </w:rPr>
            </w:pPr>
            <w:r>
              <w:rPr>
                <w:spacing w:val="9"/>
                <w:sz w:val="20"/>
                <w:szCs w:val="20"/>
              </w:rPr>
              <w:t>规定预案的级别及分级响应程序</w:t>
            </w:r>
          </w:p>
        </w:tc>
      </w:tr>
      <w:tr w14:paraId="702D7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84" w:type="dxa"/>
            <w:vAlign w:val="top"/>
          </w:tcPr>
          <w:p w14:paraId="3F352EF7">
            <w:pPr>
              <w:spacing w:before="134" w:line="192"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19" w:type="dxa"/>
            <w:vAlign w:val="top"/>
          </w:tcPr>
          <w:p w14:paraId="2B1E6FCA">
            <w:pPr>
              <w:pStyle w:val="6"/>
              <w:spacing w:before="94" w:line="228" w:lineRule="auto"/>
              <w:ind w:left="692"/>
              <w:rPr>
                <w:sz w:val="20"/>
                <w:szCs w:val="20"/>
              </w:rPr>
            </w:pPr>
            <w:r>
              <w:rPr>
                <w:spacing w:val="7"/>
                <w:sz w:val="20"/>
                <w:szCs w:val="20"/>
              </w:rPr>
              <w:t>应急保障</w:t>
            </w:r>
          </w:p>
        </w:tc>
        <w:tc>
          <w:tcPr>
            <w:tcW w:w="6061" w:type="dxa"/>
            <w:vAlign w:val="top"/>
          </w:tcPr>
          <w:p w14:paraId="4FC6836C">
            <w:pPr>
              <w:pStyle w:val="6"/>
              <w:spacing w:before="95" w:line="227" w:lineRule="auto"/>
              <w:ind w:left="1879"/>
              <w:rPr>
                <w:sz w:val="20"/>
                <w:szCs w:val="20"/>
              </w:rPr>
            </w:pPr>
            <w:r>
              <w:rPr>
                <w:spacing w:val="9"/>
                <w:sz w:val="20"/>
                <w:szCs w:val="20"/>
              </w:rPr>
              <w:t>应急设施、设备与器材等</w:t>
            </w:r>
          </w:p>
        </w:tc>
      </w:tr>
      <w:tr w14:paraId="7B2A8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84" w:type="dxa"/>
            <w:vAlign w:val="top"/>
          </w:tcPr>
          <w:p w14:paraId="0C80A021">
            <w:pPr>
              <w:spacing w:before="205"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19" w:type="dxa"/>
            <w:vAlign w:val="top"/>
          </w:tcPr>
          <w:p w14:paraId="4F206F35">
            <w:pPr>
              <w:pStyle w:val="6"/>
              <w:spacing w:before="33" w:line="233" w:lineRule="auto"/>
              <w:ind w:left="380" w:right="47" w:hanging="268"/>
              <w:rPr>
                <w:sz w:val="20"/>
                <w:szCs w:val="20"/>
              </w:rPr>
            </w:pPr>
            <w:r>
              <w:rPr>
                <w:spacing w:val="5"/>
                <w:sz w:val="20"/>
                <w:szCs w:val="20"/>
              </w:rPr>
              <w:t>应急环境监测、抢险、</w:t>
            </w:r>
            <w:r>
              <w:rPr>
                <w:spacing w:val="3"/>
                <w:sz w:val="20"/>
                <w:szCs w:val="20"/>
              </w:rPr>
              <w:t xml:space="preserve"> </w:t>
            </w:r>
            <w:r>
              <w:rPr>
                <w:spacing w:val="8"/>
                <w:sz w:val="20"/>
                <w:szCs w:val="20"/>
              </w:rPr>
              <w:t>救援及控制措施</w:t>
            </w:r>
          </w:p>
        </w:tc>
        <w:tc>
          <w:tcPr>
            <w:tcW w:w="6061" w:type="dxa"/>
            <w:vAlign w:val="top"/>
          </w:tcPr>
          <w:p w14:paraId="7F8FF7C6">
            <w:pPr>
              <w:pStyle w:val="6"/>
              <w:spacing w:before="32" w:line="228" w:lineRule="auto"/>
              <w:ind w:left="138"/>
              <w:rPr>
                <w:sz w:val="20"/>
                <w:szCs w:val="20"/>
              </w:rPr>
            </w:pPr>
            <w:r>
              <w:rPr>
                <w:spacing w:val="7"/>
                <w:sz w:val="20"/>
                <w:szCs w:val="20"/>
              </w:rPr>
              <w:t>由专业队伍负责对事故现场进行侦查监测，对事故性质、参数与</w:t>
            </w:r>
          </w:p>
          <w:p w14:paraId="0E73C64B">
            <w:pPr>
              <w:pStyle w:val="6"/>
              <w:spacing w:before="27" w:line="214" w:lineRule="auto"/>
              <w:ind w:left="1146"/>
              <w:rPr>
                <w:sz w:val="20"/>
                <w:szCs w:val="20"/>
              </w:rPr>
            </w:pPr>
            <w:r>
              <w:rPr>
                <w:spacing w:val="9"/>
                <w:sz w:val="20"/>
                <w:szCs w:val="20"/>
              </w:rPr>
              <w:t>后果进行评估，为指挥部门提供决策依据</w:t>
            </w:r>
          </w:p>
        </w:tc>
      </w:tr>
      <w:tr w14:paraId="48DE5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84" w:type="dxa"/>
            <w:vAlign w:val="top"/>
          </w:tcPr>
          <w:p w14:paraId="0C271277">
            <w:pPr>
              <w:spacing w:before="209" w:line="192"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19" w:type="dxa"/>
            <w:vAlign w:val="top"/>
          </w:tcPr>
          <w:p w14:paraId="4AD5E833">
            <w:pPr>
              <w:pStyle w:val="6"/>
              <w:spacing w:before="171" w:line="228" w:lineRule="auto"/>
              <w:ind w:left="694"/>
              <w:rPr>
                <w:sz w:val="20"/>
                <w:szCs w:val="20"/>
              </w:rPr>
            </w:pPr>
            <w:r>
              <w:rPr>
                <w:spacing w:val="6"/>
                <w:sz w:val="20"/>
                <w:szCs w:val="20"/>
              </w:rPr>
              <w:t>善后处置</w:t>
            </w:r>
          </w:p>
        </w:tc>
        <w:tc>
          <w:tcPr>
            <w:tcW w:w="6061" w:type="dxa"/>
            <w:vAlign w:val="top"/>
          </w:tcPr>
          <w:p w14:paraId="6D6D04E9">
            <w:pPr>
              <w:pStyle w:val="6"/>
              <w:spacing w:before="36" w:line="232" w:lineRule="auto"/>
              <w:ind w:left="113" w:right="109"/>
              <w:rPr>
                <w:sz w:val="20"/>
                <w:szCs w:val="20"/>
              </w:rPr>
            </w:pPr>
            <w:r>
              <w:rPr>
                <w:spacing w:val="8"/>
                <w:sz w:val="20"/>
                <w:szCs w:val="20"/>
              </w:rPr>
              <w:t>事故现场、工厂邻近区域、受事故影响的区域人员与公众对毒物 应急剂量控制规定，撤离组织计划及救援，医疗救护与公众健康</w:t>
            </w:r>
          </w:p>
        </w:tc>
      </w:tr>
      <w:tr w14:paraId="4188B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84" w:type="dxa"/>
            <w:vAlign w:val="top"/>
          </w:tcPr>
          <w:p w14:paraId="03F8D91C">
            <w:pPr>
              <w:spacing w:before="134"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19" w:type="dxa"/>
            <w:vAlign w:val="top"/>
          </w:tcPr>
          <w:p w14:paraId="2B962949">
            <w:pPr>
              <w:pStyle w:val="6"/>
              <w:spacing w:before="98" w:line="228" w:lineRule="auto"/>
              <w:ind w:left="694"/>
              <w:rPr>
                <w:sz w:val="20"/>
                <w:szCs w:val="20"/>
              </w:rPr>
            </w:pPr>
            <w:r>
              <w:rPr>
                <w:spacing w:val="6"/>
                <w:sz w:val="20"/>
                <w:szCs w:val="20"/>
              </w:rPr>
              <w:t>预案管理</w:t>
            </w:r>
          </w:p>
        </w:tc>
        <w:tc>
          <w:tcPr>
            <w:tcW w:w="6061" w:type="dxa"/>
            <w:vAlign w:val="top"/>
          </w:tcPr>
          <w:p w14:paraId="6BD930D1">
            <w:pPr>
              <w:pStyle w:val="6"/>
              <w:spacing w:before="98" w:line="227" w:lineRule="auto"/>
              <w:ind w:left="1566"/>
              <w:rPr>
                <w:sz w:val="20"/>
                <w:szCs w:val="20"/>
              </w:rPr>
            </w:pPr>
            <w:r>
              <w:rPr>
                <w:spacing w:val="9"/>
                <w:sz w:val="20"/>
                <w:szCs w:val="20"/>
              </w:rPr>
              <w:t>预案管理机构、修订条件和周期</w:t>
            </w:r>
          </w:p>
        </w:tc>
      </w:tr>
      <w:tr w14:paraId="08C0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84" w:type="dxa"/>
            <w:vAlign w:val="top"/>
          </w:tcPr>
          <w:p w14:paraId="68E33E9B">
            <w:pPr>
              <w:spacing w:before="133"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19" w:type="dxa"/>
            <w:vAlign w:val="top"/>
          </w:tcPr>
          <w:p w14:paraId="351FCDC9">
            <w:pPr>
              <w:pStyle w:val="6"/>
              <w:spacing w:before="97" w:line="229" w:lineRule="auto"/>
              <w:ind w:left="692"/>
              <w:rPr>
                <w:sz w:val="20"/>
                <w:szCs w:val="20"/>
              </w:rPr>
            </w:pPr>
            <w:r>
              <w:rPr>
                <w:spacing w:val="7"/>
                <w:sz w:val="20"/>
                <w:szCs w:val="20"/>
              </w:rPr>
              <w:t>应急演练</w:t>
            </w:r>
          </w:p>
        </w:tc>
        <w:tc>
          <w:tcPr>
            <w:tcW w:w="6061" w:type="dxa"/>
            <w:vAlign w:val="top"/>
          </w:tcPr>
          <w:p w14:paraId="719E7B3F">
            <w:pPr>
              <w:pStyle w:val="6"/>
              <w:spacing w:before="97" w:line="227" w:lineRule="auto"/>
              <w:ind w:left="725"/>
              <w:rPr>
                <w:sz w:val="20"/>
                <w:szCs w:val="20"/>
              </w:rPr>
            </w:pPr>
            <w:r>
              <w:rPr>
                <w:spacing w:val="9"/>
                <w:sz w:val="20"/>
                <w:szCs w:val="20"/>
              </w:rPr>
              <w:t>应急培训计划安排和演练内容，发布培训信息途径</w:t>
            </w:r>
          </w:p>
        </w:tc>
      </w:tr>
    </w:tbl>
    <w:p w14:paraId="7BABC11C">
      <w:pPr>
        <w:spacing w:before="35" w:line="359" w:lineRule="auto"/>
        <w:ind w:left="121" w:right="112" w:firstLine="481"/>
        <w:jc w:val="both"/>
        <w:rPr>
          <w:rFonts w:ascii="宋体" w:hAnsi="宋体" w:eastAsia="宋体" w:cs="宋体"/>
          <w:sz w:val="24"/>
          <w:szCs w:val="24"/>
        </w:rPr>
      </w:pPr>
      <w:r>
        <w:rPr>
          <w:rFonts w:ascii="宋体" w:hAnsi="宋体" w:eastAsia="宋体" w:cs="宋体"/>
          <w:spacing w:val="-1"/>
          <w:sz w:val="24"/>
          <w:szCs w:val="24"/>
        </w:rPr>
        <w:t>本项目应急预案应考虑与周边企业，园区，区级三</w:t>
      </w:r>
      <w:r>
        <w:rPr>
          <w:rFonts w:ascii="宋体" w:hAnsi="宋体" w:eastAsia="宋体" w:cs="宋体"/>
          <w:spacing w:val="-2"/>
          <w:sz w:val="24"/>
          <w:szCs w:val="24"/>
        </w:rPr>
        <w:t>级联动的响应计划。本项目应</w:t>
      </w:r>
      <w:r>
        <w:rPr>
          <w:rFonts w:ascii="宋体" w:hAnsi="宋体" w:eastAsia="宋体" w:cs="宋体"/>
          <w:sz w:val="24"/>
          <w:szCs w:val="24"/>
        </w:rPr>
        <w:t xml:space="preserve"> </w:t>
      </w:r>
      <w:r>
        <w:rPr>
          <w:rFonts w:ascii="宋体" w:hAnsi="宋体" w:eastAsia="宋体" w:cs="宋体"/>
          <w:spacing w:val="-1"/>
          <w:sz w:val="24"/>
          <w:szCs w:val="24"/>
        </w:rPr>
        <w:t>急预案与园区突发环境事件应急预案，海丰县突发环境事件应急</w:t>
      </w:r>
      <w:r>
        <w:rPr>
          <w:rFonts w:ascii="宋体" w:hAnsi="宋体" w:eastAsia="宋体" w:cs="宋体"/>
          <w:spacing w:val="-2"/>
          <w:sz w:val="24"/>
          <w:szCs w:val="24"/>
        </w:rPr>
        <w:t>预案相衔接，当突发</w:t>
      </w:r>
      <w:r>
        <w:rPr>
          <w:rFonts w:ascii="宋体" w:hAnsi="宋体" w:eastAsia="宋体" w:cs="宋体"/>
          <w:sz w:val="24"/>
          <w:szCs w:val="24"/>
        </w:rPr>
        <w:t xml:space="preserve"> </w:t>
      </w:r>
      <w:r>
        <w:rPr>
          <w:rFonts w:ascii="宋体" w:hAnsi="宋体" w:eastAsia="宋体" w:cs="宋体"/>
          <w:spacing w:val="-1"/>
          <w:sz w:val="24"/>
          <w:szCs w:val="24"/>
        </w:rPr>
        <w:t>环境事件处于本公司能力可控制范围内时，启动本项目应急预案</w:t>
      </w:r>
      <w:r>
        <w:rPr>
          <w:rFonts w:ascii="宋体" w:hAnsi="宋体" w:eastAsia="宋体" w:cs="宋体"/>
          <w:spacing w:val="-2"/>
          <w:sz w:val="24"/>
          <w:szCs w:val="24"/>
        </w:rPr>
        <w:t>对突发环境事件进行</w:t>
      </w:r>
      <w:r>
        <w:rPr>
          <w:rFonts w:ascii="宋体" w:hAnsi="宋体" w:eastAsia="宋体" w:cs="宋体"/>
          <w:sz w:val="24"/>
          <w:szCs w:val="24"/>
        </w:rPr>
        <w:t xml:space="preserve"> </w:t>
      </w:r>
      <w:r>
        <w:rPr>
          <w:rFonts w:ascii="宋体" w:hAnsi="宋体" w:eastAsia="宋体" w:cs="宋体"/>
          <w:spacing w:val="-1"/>
          <w:sz w:val="24"/>
          <w:szCs w:val="24"/>
        </w:rPr>
        <w:t>处置，并按照程序向园区管委会，海丰县环境主管部门报告；当</w:t>
      </w:r>
      <w:r>
        <w:rPr>
          <w:rFonts w:ascii="宋体" w:hAnsi="宋体" w:eastAsia="宋体" w:cs="宋体"/>
          <w:spacing w:val="-2"/>
          <w:sz w:val="24"/>
          <w:szCs w:val="24"/>
        </w:rPr>
        <w:t>突发环境事件超出了</w:t>
      </w:r>
      <w:r>
        <w:rPr>
          <w:rFonts w:ascii="宋体" w:hAnsi="宋体" w:eastAsia="宋体" w:cs="宋体"/>
          <w:sz w:val="24"/>
          <w:szCs w:val="24"/>
        </w:rPr>
        <w:t xml:space="preserve"> </w:t>
      </w:r>
      <w:r>
        <w:rPr>
          <w:rFonts w:ascii="宋体" w:hAnsi="宋体" w:eastAsia="宋体" w:cs="宋体"/>
          <w:spacing w:val="-1"/>
          <w:sz w:val="24"/>
          <w:szCs w:val="24"/>
        </w:rPr>
        <w:t>本公司的应急处置能力时，应立即向园区，海丰县环境主管部门</w:t>
      </w:r>
      <w:r>
        <w:rPr>
          <w:rFonts w:ascii="宋体" w:hAnsi="宋体" w:eastAsia="宋体" w:cs="宋体"/>
          <w:spacing w:val="-2"/>
          <w:sz w:val="24"/>
          <w:szCs w:val="24"/>
        </w:rPr>
        <w:t>请求支援，应急指挥</w:t>
      </w:r>
      <w:r>
        <w:rPr>
          <w:rFonts w:ascii="宋体" w:hAnsi="宋体" w:eastAsia="宋体" w:cs="宋体"/>
          <w:sz w:val="24"/>
          <w:szCs w:val="24"/>
        </w:rPr>
        <w:t xml:space="preserve"> </w:t>
      </w:r>
      <w:r>
        <w:rPr>
          <w:rFonts w:ascii="宋体" w:hAnsi="宋体" w:eastAsia="宋体" w:cs="宋体"/>
          <w:spacing w:val="-1"/>
          <w:sz w:val="24"/>
          <w:szCs w:val="24"/>
        </w:rPr>
        <w:t>权上交，企业应急力量积极全力配合；同时，企业需立即联系周</w:t>
      </w:r>
      <w:r>
        <w:rPr>
          <w:rFonts w:ascii="宋体" w:hAnsi="宋体" w:eastAsia="宋体" w:cs="宋体"/>
          <w:spacing w:val="-2"/>
          <w:sz w:val="24"/>
          <w:szCs w:val="24"/>
        </w:rPr>
        <w:t>边企业及社区，如实</w:t>
      </w:r>
      <w:r>
        <w:rPr>
          <w:rFonts w:ascii="宋体" w:hAnsi="宋体" w:eastAsia="宋体" w:cs="宋体"/>
          <w:sz w:val="24"/>
          <w:szCs w:val="24"/>
        </w:rPr>
        <w:t xml:space="preserve"> </w:t>
      </w:r>
      <w:r>
        <w:rPr>
          <w:rFonts w:ascii="宋体" w:hAnsi="宋体" w:eastAsia="宋体" w:cs="宋体"/>
          <w:spacing w:val="-1"/>
          <w:sz w:val="24"/>
          <w:szCs w:val="24"/>
        </w:rPr>
        <w:t>告知事件情况，借助周边企业，社区的应急设施，设备等应急资</w:t>
      </w:r>
      <w:r>
        <w:rPr>
          <w:rFonts w:ascii="宋体" w:hAnsi="宋体" w:eastAsia="宋体" w:cs="宋体"/>
          <w:spacing w:val="-2"/>
          <w:sz w:val="24"/>
          <w:szCs w:val="24"/>
        </w:rPr>
        <w:t>源及力量对突发环境</w:t>
      </w:r>
      <w:r>
        <w:rPr>
          <w:rFonts w:ascii="宋体" w:hAnsi="宋体" w:eastAsia="宋体" w:cs="宋体"/>
          <w:sz w:val="24"/>
          <w:szCs w:val="24"/>
        </w:rPr>
        <w:t xml:space="preserve"> </w:t>
      </w:r>
      <w:r>
        <w:rPr>
          <w:rFonts w:ascii="宋体" w:hAnsi="宋体" w:eastAsia="宋体" w:cs="宋体"/>
          <w:spacing w:val="-1"/>
          <w:sz w:val="24"/>
          <w:szCs w:val="24"/>
        </w:rPr>
        <w:t>事件进行处置。通过上下，友邻的通力配合，确保以最短的时间</w:t>
      </w:r>
      <w:r>
        <w:rPr>
          <w:rFonts w:ascii="宋体" w:hAnsi="宋体" w:eastAsia="宋体" w:cs="宋体"/>
          <w:spacing w:val="-2"/>
          <w:sz w:val="24"/>
          <w:szCs w:val="24"/>
        </w:rPr>
        <w:t>，最少的资源将事件</w:t>
      </w:r>
      <w:r>
        <w:rPr>
          <w:rFonts w:ascii="宋体" w:hAnsi="宋体" w:eastAsia="宋体" w:cs="宋体"/>
          <w:sz w:val="24"/>
          <w:szCs w:val="24"/>
        </w:rPr>
        <w:t xml:space="preserve"> </w:t>
      </w:r>
      <w:r>
        <w:rPr>
          <w:rFonts w:ascii="宋体" w:hAnsi="宋体" w:eastAsia="宋体" w:cs="宋体"/>
          <w:spacing w:val="-1"/>
          <w:sz w:val="24"/>
          <w:szCs w:val="24"/>
        </w:rPr>
        <w:t>影响，污染水平，公司损失降至最低。</w:t>
      </w:r>
    </w:p>
    <w:p w14:paraId="0DD0BBB9">
      <w:pPr>
        <w:spacing w:line="220" w:lineRule="auto"/>
        <w:ind w:left="128"/>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10  </w:t>
      </w:r>
      <w:r>
        <w:rPr>
          <w:rFonts w:ascii="宋体" w:hAnsi="宋体" w:eastAsia="宋体" w:cs="宋体"/>
          <w:b/>
          <w:bCs/>
          <w:spacing w:val="-3"/>
          <w:sz w:val="24"/>
          <w:szCs w:val="24"/>
        </w:rPr>
        <w:t>环境风险与防范措施结论</w:t>
      </w:r>
    </w:p>
    <w:p w14:paraId="58525EE9">
      <w:pPr>
        <w:spacing w:before="183" w:line="359" w:lineRule="auto"/>
        <w:ind w:left="121" w:right="112" w:firstLine="481"/>
        <w:jc w:val="both"/>
        <w:rPr>
          <w:rFonts w:ascii="宋体" w:hAnsi="宋体" w:eastAsia="宋体" w:cs="宋体"/>
          <w:sz w:val="24"/>
          <w:szCs w:val="24"/>
        </w:rPr>
      </w:pPr>
      <w:r>
        <w:rPr>
          <w:rFonts w:ascii="宋体" w:hAnsi="宋体" w:eastAsia="宋体" w:cs="宋体"/>
          <w:spacing w:val="-8"/>
          <w:sz w:val="24"/>
          <w:szCs w:val="24"/>
        </w:rPr>
        <w:t>本项目所涉及的风险化学品主要有盐酸、氢氟酸等，不构成重大危险源，根据《建</w:t>
      </w:r>
      <w:r>
        <w:rPr>
          <w:rFonts w:ascii="宋体" w:hAnsi="宋体" w:eastAsia="宋体" w:cs="宋体"/>
          <w:sz w:val="24"/>
          <w:szCs w:val="24"/>
        </w:rPr>
        <w:t xml:space="preserve"> </w:t>
      </w:r>
      <w:r>
        <w:rPr>
          <w:rFonts w:ascii="宋体" w:hAnsi="宋体" w:eastAsia="宋体" w:cs="宋体"/>
          <w:spacing w:val="-2"/>
          <w:sz w:val="24"/>
          <w:szCs w:val="24"/>
        </w:rPr>
        <w:t>设项目环境风险评价技术导则》（</w:t>
      </w:r>
      <w:r>
        <w:rPr>
          <w:rFonts w:ascii="Times New Roman" w:hAnsi="Times New Roman" w:eastAsia="Times New Roman" w:cs="Times New Roman"/>
          <w:spacing w:val="-2"/>
          <w:sz w:val="24"/>
          <w:szCs w:val="24"/>
        </w:rPr>
        <w:t>HJ619-2018</w:t>
      </w:r>
      <w:r>
        <w:rPr>
          <w:rFonts w:ascii="宋体" w:hAnsi="宋体" w:eastAsia="宋体" w:cs="宋体"/>
          <w:spacing w:val="5"/>
          <w:sz w:val="24"/>
          <w:szCs w:val="24"/>
        </w:rPr>
        <w:t>），</w:t>
      </w:r>
      <w:r>
        <w:rPr>
          <w:rFonts w:ascii="宋体" w:hAnsi="宋体" w:eastAsia="宋体" w:cs="宋体"/>
          <w:spacing w:val="-3"/>
          <w:sz w:val="24"/>
          <w:szCs w:val="24"/>
        </w:rPr>
        <w:t>本项目大气环境风险潜势为</w:t>
      </w:r>
      <w:r>
        <w:rPr>
          <w:rFonts w:ascii="Times New Roman" w:hAnsi="Times New Roman" w:eastAsia="Times New Roman" w:cs="Times New Roman"/>
          <w:spacing w:val="-3"/>
          <w:sz w:val="20"/>
          <w:szCs w:val="20"/>
        </w:rPr>
        <w:t>Ⅲ</w:t>
      </w:r>
      <w:r>
        <w:rPr>
          <w:rFonts w:ascii="Times New Roman" w:hAnsi="Times New Roman" w:eastAsia="Times New Roman" w:cs="Times New Roman"/>
          <w:spacing w:val="-19"/>
          <w:sz w:val="20"/>
          <w:szCs w:val="20"/>
        </w:rPr>
        <w:t xml:space="preserve"> </w:t>
      </w:r>
      <w:r>
        <w:rPr>
          <w:rFonts w:ascii="宋体" w:hAnsi="宋体" w:eastAsia="宋体" w:cs="宋体"/>
          <w:spacing w:val="-3"/>
          <w:sz w:val="24"/>
          <w:szCs w:val="24"/>
        </w:rPr>
        <w:t>,</w:t>
      </w:r>
      <w:r>
        <w:rPr>
          <w:rFonts w:ascii="宋体" w:hAnsi="宋体" w:eastAsia="宋体" w:cs="宋体"/>
          <w:spacing w:val="67"/>
          <w:sz w:val="24"/>
          <w:szCs w:val="24"/>
        </w:rPr>
        <w:t xml:space="preserve"> </w:t>
      </w:r>
      <w:r>
        <w:rPr>
          <w:rFonts w:ascii="宋体" w:hAnsi="宋体" w:eastAsia="宋体" w:cs="宋体"/>
          <w:spacing w:val="-3"/>
          <w:sz w:val="24"/>
          <w:szCs w:val="24"/>
        </w:rPr>
        <w:t>则</w:t>
      </w:r>
      <w:r>
        <w:rPr>
          <w:rFonts w:ascii="宋体" w:hAnsi="宋体" w:eastAsia="宋体" w:cs="宋体"/>
          <w:sz w:val="24"/>
          <w:szCs w:val="24"/>
        </w:rPr>
        <w:t xml:space="preserve"> </w:t>
      </w:r>
      <w:r>
        <w:rPr>
          <w:rFonts w:ascii="宋体" w:hAnsi="宋体" w:eastAsia="宋体" w:cs="宋体"/>
          <w:spacing w:val="-2"/>
          <w:sz w:val="24"/>
          <w:szCs w:val="24"/>
        </w:rPr>
        <w:t>评价工作等级为二级，地表水环境风险潜势为</w:t>
      </w:r>
      <w:r>
        <w:rPr>
          <w:rFonts w:ascii="Times New Roman" w:hAnsi="Times New Roman" w:eastAsia="Times New Roman" w:cs="Times New Roman"/>
          <w:spacing w:val="-2"/>
          <w:sz w:val="24"/>
          <w:szCs w:val="24"/>
        </w:rPr>
        <w:t>Ⅱ</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w:t>
      </w:r>
      <w:r>
        <w:rPr>
          <w:rFonts w:ascii="宋体" w:hAnsi="宋体" w:eastAsia="宋体" w:cs="宋体"/>
          <w:spacing w:val="70"/>
          <w:sz w:val="24"/>
          <w:szCs w:val="24"/>
        </w:rPr>
        <w:t xml:space="preserve"> </w:t>
      </w:r>
      <w:r>
        <w:rPr>
          <w:rFonts w:ascii="宋体" w:hAnsi="宋体" w:eastAsia="宋体" w:cs="宋体"/>
          <w:spacing w:val="-2"/>
          <w:sz w:val="24"/>
          <w:szCs w:val="24"/>
        </w:rPr>
        <w:t>则评价工作等级为三级，地下水环</w:t>
      </w:r>
      <w:r>
        <w:rPr>
          <w:rFonts w:ascii="宋体" w:hAnsi="宋体" w:eastAsia="宋体" w:cs="宋体"/>
          <w:sz w:val="24"/>
          <w:szCs w:val="24"/>
        </w:rPr>
        <w:t xml:space="preserve"> </w:t>
      </w:r>
      <w:r>
        <w:rPr>
          <w:rFonts w:ascii="宋体" w:hAnsi="宋体" w:eastAsia="宋体" w:cs="宋体"/>
          <w:spacing w:val="-5"/>
          <w:sz w:val="24"/>
          <w:szCs w:val="24"/>
        </w:rPr>
        <w:t>境风险潜势为</w:t>
      </w:r>
      <w:r>
        <w:rPr>
          <w:rFonts w:ascii="Times New Roman" w:hAnsi="Times New Roman" w:eastAsia="Times New Roman" w:cs="Times New Roman"/>
          <w:spacing w:val="-5"/>
          <w:sz w:val="24"/>
          <w:szCs w:val="24"/>
        </w:rPr>
        <w:t>Ⅰ</w:t>
      </w:r>
      <w:r>
        <w:rPr>
          <w:rFonts w:ascii="Times New Roman" w:hAnsi="Times New Roman" w:eastAsia="Times New Roman" w:cs="Times New Roman"/>
          <w:spacing w:val="-25"/>
          <w:sz w:val="24"/>
          <w:szCs w:val="24"/>
        </w:rPr>
        <w:t xml:space="preserve"> </w:t>
      </w:r>
      <w:r>
        <w:rPr>
          <w:rFonts w:ascii="宋体" w:hAnsi="宋体" w:eastAsia="宋体" w:cs="宋体"/>
          <w:spacing w:val="-5"/>
          <w:sz w:val="24"/>
          <w:szCs w:val="24"/>
        </w:rPr>
        <w:t>,</w:t>
      </w:r>
      <w:r>
        <w:rPr>
          <w:rFonts w:ascii="宋体" w:hAnsi="宋体" w:eastAsia="宋体" w:cs="宋体"/>
          <w:spacing w:val="29"/>
          <w:sz w:val="24"/>
          <w:szCs w:val="24"/>
        </w:rPr>
        <w:t xml:space="preserve"> </w:t>
      </w:r>
      <w:r>
        <w:rPr>
          <w:rFonts w:ascii="宋体" w:hAnsi="宋体" w:eastAsia="宋体" w:cs="宋体"/>
          <w:spacing w:val="-5"/>
          <w:sz w:val="24"/>
          <w:szCs w:val="24"/>
        </w:rPr>
        <w:t>则评价工作等级为简单分析。主要因素是人为因素：对危险品管理不</w:t>
      </w:r>
      <w:r>
        <w:rPr>
          <w:rFonts w:ascii="宋体" w:hAnsi="宋体" w:eastAsia="宋体" w:cs="宋体"/>
          <w:sz w:val="24"/>
          <w:szCs w:val="24"/>
        </w:rPr>
        <w:t xml:space="preserve"> </w:t>
      </w:r>
      <w:r>
        <w:rPr>
          <w:rFonts w:ascii="宋体" w:hAnsi="宋体" w:eastAsia="宋体" w:cs="宋体"/>
          <w:spacing w:val="-1"/>
          <w:sz w:val="24"/>
          <w:szCs w:val="24"/>
        </w:rPr>
        <w:t>善，事故防范意识不强，以及操作人员的疏忽大意是风险事故出</w:t>
      </w:r>
      <w:r>
        <w:rPr>
          <w:rFonts w:ascii="宋体" w:hAnsi="宋体" w:eastAsia="宋体" w:cs="宋体"/>
          <w:spacing w:val="-2"/>
          <w:sz w:val="24"/>
          <w:szCs w:val="24"/>
        </w:rPr>
        <w:t>现的主要原因。若项</w:t>
      </w:r>
      <w:r>
        <w:rPr>
          <w:rFonts w:ascii="宋体" w:hAnsi="宋体" w:eastAsia="宋体" w:cs="宋体"/>
          <w:sz w:val="24"/>
          <w:szCs w:val="24"/>
        </w:rPr>
        <w:t xml:space="preserve"> </w:t>
      </w:r>
      <w:r>
        <w:rPr>
          <w:rFonts w:ascii="宋体" w:hAnsi="宋体" w:eastAsia="宋体" w:cs="宋体"/>
          <w:spacing w:val="-1"/>
          <w:sz w:val="24"/>
          <w:szCs w:val="24"/>
        </w:rPr>
        <w:t>目废水处理站故障或是不能正常运行，废水未经处理或无处理不</w:t>
      </w:r>
      <w:r>
        <w:rPr>
          <w:rFonts w:ascii="宋体" w:hAnsi="宋体" w:eastAsia="宋体" w:cs="宋体"/>
          <w:spacing w:val="-2"/>
          <w:sz w:val="24"/>
          <w:szCs w:val="24"/>
        </w:rPr>
        <w:t>达标进入雨水管道或</w:t>
      </w:r>
      <w:r>
        <w:rPr>
          <w:rFonts w:ascii="宋体" w:hAnsi="宋体" w:eastAsia="宋体" w:cs="宋体"/>
          <w:sz w:val="24"/>
          <w:szCs w:val="24"/>
        </w:rPr>
        <w:t xml:space="preserve"> </w:t>
      </w:r>
      <w:r>
        <w:rPr>
          <w:rFonts w:ascii="宋体" w:hAnsi="宋体" w:eastAsia="宋体" w:cs="宋体"/>
          <w:spacing w:val="-1"/>
          <w:sz w:val="24"/>
          <w:szCs w:val="24"/>
        </w:rPr>
        <w:t>周边地表水体，将会对水质产生一定的影响。</w:t>
      </w:r>
    </w:p>
    <w:p w14:paraId="6274EB39">
      <w:pPr>
        <w:spacing w:before="4" w:line="359" w:lineRule="auto"/>
        <w:ind w:left="123" w:right="112" w:firstLine="482"/>
        <w:jc w:val="both"/>
        <w:rPr>
          <w:rFonts w:ascii="宋体" w:hAnsi="宋体" w:eastAsia="宋体" w:cs="宋体"/>
          <w:sz w:val="24"/>
          <w:szCs w:val="24"/>
        </w:rPr>
      </w:pPr>
      <w:r>
        <w:rPr>
          <w:rFonts w:ascii="宋体" w:hAnsi="宋体" w:eastAsia="宋体" w:cs="宋体"/>
          <w:spacing w:val="-2"/>
          <w:sz w:val="24"/>
          <w:szCs w:val="24"/>
        </w:rPr>
        <w:t>项目建设</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800m</w:t>
      </w:r>
      <w:r>
        <w:rPr>
          <w:rFonts w:ascii="宋体" w:hAnsi="宋体" w:eastAsia="宋体" w:cs="宋体"/>
          <w:spacing w:val="-2"/>
          <w:sz w:val="24"/>
          <w:szCs w:val="24"/>
        </w:rPr>
        <w:t>³事故应急池，能够满足消防事故风险应急需求，确保项目的正常</w:t>
      </w:r>
      <w:r>
        <w:rPr>
          <w:rFonts w:ascii="宋体" w:hAnsi="宋体" w:eastAsia="宋体" w:cs="宋体"/>
          <w:sz w:val="24"/>
          <w:szCs w:val="24"/>
        </w:rPr>
        <w:t xml:space="preserve"> </w:t>
      </w:r>
      <w:r>
        <w:rPr>
          <w:rFonts w:ascii="宋体" w:hAnsi="宋体" w:eastAsia="宋体" w:cs="宋体"/>
          <w:spacing w:val="-1"/>
          <w:sz w:val="24"/>
          <w:szCs w:val="24"/>
        </w:rPr>
        <w:t>生产，并可作为化学品泄漏时应急收集池。在认真落实采取</w:t>
      </w:r>
      <w:r>
        <w:rPr>
          <w:rFonts w:ascii="宋体" w:hAnsi="宋体" w:eastAsia="宋体" w:cs="宋体"/>
          <w:spacing w:val="-2"/>
          <w:sz w:val="24"/>
          <w:szCs w:val="24"/>
        </w:rPr>
        <w:t>相应的防范与应急措施，</w:t>
      </w:r>
      <w:r>
        <w:rPr>
          <w:rFonts w:ascii="宋体" w:hAnsi="宋体" w:eastAsia="宋体" w:cs="宋体"/>
          <w:sz w:val="24"/>
          <w:szCs w:val="24"/>
        </w:rPr>
        <w:t xml:space="preserve"> </w:t>
      </w:r>
      <w:r>
        <w:rPr>
          <w:rFonts w:ascii="宋体" w:hAnsi="宋体" w:eastAsia="宋体" w:cs="宋体"/>
          <w:spacing w:val="-1"/>
          <w:sz w:val="24"/>
          <w:szCs w:val="24"/>
        </w:rPr>
        <w:t>本项目风险事故对周围影响是可以接受的，所产生的环境风</w:t>
      </w:r>
      <w:r>
        <w:rPr>
          <w:rFonts w:ascii="宋体" w:hAnsi="宋体" w:eastAsia="宋体" w:cs="宋体"/>
          <w:spacing w:val="-2"/>
          <w:sz w:val="24"/>
          <w:szCs w:val="24"/>
        </w:rPr>
        <w:t>险可以控制在可接受风险</w:t>
      </w:r>
      <w:r>
        <w:rPr>
          <w:rFonts w:ascii="宋体" w:hAnsi="宋体" w:eastAsia="宋体" w:cs="宋体"/>
          <w:sz w:val="24"/>
          <w:szCs w:val="24"/>
        </w:rPr>
        <w:t xml:space="preserve"> </w:t>
      </w:r>
      <w:r>
        <w:rPr>
          <w:rFonts w:ascii="宋体" w:hAnsi="宋体" w:eastAsia="宋体" w:cs="宋体"/>
          <w:spacing w:val="-3"/>
          <w:sz w:val="24"/>
          <w:szCs w:val="24"/>
        </w:rPr>
        <w:t>水平之内。</w:t>
      </w:r>
    </w:p>
    <w:p w14:paraId="0D392808">
      <w:pPr>
        <w:spacing w:line="359" w:lineRule="auto"/>
        <w:rPr>
          <w:rFonts w:ascii="宋体" w:hAnsi="宋体" w:eastAsia="宋体" w:cs="宋体"/>
          <w:sz w:val="24"/>
          <w:szCs w:val="24"/>
        </w:rPr>
        <w:sectPr>
          <w:footerReference r:id="rId171" w:type="default"/>
          <w:pgSz w:w="11906" w:h="16839"/>
          <w:pgMar w:top="400" w:right="1418" w:bottom="1127" w:left="1418" w:header="0" w:footer="965" w:gutter="0"/>
          <w:cols w:space="720" w:num="1"/>
        </w:sectPr>
      </w:pPr>
    </w:p>
    <w:p w14:paraId="49A52507">
      <w:pPr>
        <w:spacing w:line="272" w:lineRule="auto"/>
        <w:rPr>
          <w:rFonts w:ascii="Arial"/>
          <w:sz w:val="21"/>
        </w:rPr>
      </w:pPr>
    </w:p>
    <w:p w14:paraId="55EFA962">
      <w:pPr>
        <w:spacing w:line="272" w:lineRule="auto"/>
        <w:rPr>
          <w:rFonts w:ascii="Arial"/>
          <w:sz w:val="21"/>
        </w:rPr>
      </w:pPr>
    </w:p>
    <w:p w14:paraId="0DE811B2">
      <w:pPr>
        <w:spacing w:line="272" w:lineRule="auto"/>
        <w:rPr>
          <w:rFonts w:ascii="Arial"/>
          <w:sz w:val="21"/>
        </w:rPr>
      </w:pPr>
    </w:p>
    <w:p w14:paraId="0EB16FF9">
      <w:pPr>
        <w:spacing w:line="272" w:lineRule="auto"/>
        <w:rPr>
          <w:rFonts w:ascii="Arial"/>
          <w:sz w:val="21"/>
        </w:rPr>
      </w:pPr>
    </w:p>
    <w:p w14:paraId="583DC87E">
      <w:pPr>
        <w:spacing w:before="78" w:line="218" w:lineRule="auto"/>
        <w:ind w:left="313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b/>
          <w:bCs/>
          <w:spacing w:val="-2"/>
          <w:sz w:val="24"/>
          <w:szCs w:val="24"/>
        </w:rPr>
        <w:t xml:space="preserve">38    </w:t>
      </w:r>
      <w:r>
        <w:rPr>
          <w:rFonts w:ascii="宋体" w:hAnsi="宋体" w:eastAsia="宋体" w:cs="宋体"/>
          <w:b/>
          <w:bCs/>
          <w:spacing w:val="-2"/>
          <w:sz w:val="24"/>
          <w:szCs w:val="24"/>
        </w:rPr>
        <w:t>环境风险评价自查表</w:t>
      </w:r>
    </w:p>
    <w:p w14:paraId="3DB4C7F7">
      <w:pPr>
        <w:spacing w:line="147" w:lineRule="exact"/>
      </w:pPr>
    </w:p>
    <w:tbl>
      <w:tblPr>
        <w:tblStyle w:val="5"/>
        <w:tblW w:w="9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8"/>
        <w:gridCol w:w="1080"/>
        <w:gridCol w:w="1142"/>
        <w:gridCol w:w="288"/>
        <w:gridCol w:w="1358"/>
        <w:gridCol w:w="531"/>
        <w:gridCol w:w="764"/>
        <w:gridCol w:w="140"/>
        <w:gridCol w:w="1044"/>
        <w:gridCol w:w="742"/>
        <w:gridCol w:w="1742"/>
      </w:tblGrid>
      <w:tr w14:paraId="3B628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448" w:type="dxa"/>
            <w:gridSpan w:val="2"/>
            <w:vAlign w:val="top"/>
          </w:tcPr>
          <w:p w14:paraId="086F612E">
            <w:pPr>
              <w:pStyle w:val="6"/>
              <w:spacing w:before="99" w:line="228" w:lineRule="auto"/>
              <w:ind w:left="306"/>
              <w:rPr>
                <w:sz w:val="20"/>
                <w:szCs w:val="20"/>
              </w:rPr>
            </w:pPr>
            <w:r>
              <w:rPr>
                <w:b/>
                <w:bCs/>
                <w:spacing w:val="5"/>
                <w:sz w:val="20"/>
                <w:szCs w:val="20"/>
              </w:rPr>
              <w:t>工作内容</w:t>
            </w:r>
          </w:p>
        </w:tc>
        <w:tc>
          <w:tcPr>
            <w:tcW w:w="7751" w:type="dxa"/>
            <w:gridSpan w:val="9"/>
            <w:vAlign w:val="top"/>
          </w:tcPr>
          <w:p w14:paraId="787DC862">
            <w:pPr>
              <w:pStyle w:val="6"/>
              <w:spacing w:before="99" w:line="228" w:lineRule="auto"/>
              <w:ind w:left="3456"/>
              <w:rPr>
                <w:sz w:val="20"/>
                <w:szCs w:val="20"/>
              </w:rPr>
            </w:pPr>
            <w:r>
              <w:rPr>
                <w:b/>
                <w:bCs/>
                <w:spacing w:val="6"/>
                <w:sz w:val="20"/>
                <w:szCs w:val="20"/>
              </w:rPr>
              <w:t>完成情况</w:t>
            </w:r>
          </w:p>
        </w:tc>
      </w:tr>
      <w:tr w14:paraId="0249D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restart"/>
            <w:tcBorders>
              <w:bottom w:val="nil"/>
            </w:tcBorders>
            <w:textDirection w:val="tbRlV"/>
            <w:vAlign w:val="top"/>
          </w:tcPr>
          <w:p w14:paraId="6DDF6D1B">
            <w:pPr>
              <w:pStyle w:val="6"/>
              <w:spacing w:before="75" w:line="216" w:lineRule="auto"/>
              <w:ind w:left="2059"/>
              <w:rPr>
                <w:sz w:val="20"/>
                <w:szCs w:val="20"/>
              </w:rPr>
            </w:pPr>
            <w:r>
              <w:rPr>
                <w:spacing w:val="32"/>
                <w:sz w:val="20"/>
                <w:szCs w:val="20"/>
              </w:rPr>
              <w:t>风险调查</w:t>
            </w:r>
          </w:p>
        </w:tc>
        <w:tc>
          <w:tcPr>
            <w:tcW w:w="1080" w:type="dxa"/>
            <w:vMerge w:val="restart"/>
            <w:tcBorders>
              <w:bottom w:val="nil"/>
            </w:tcBorders>
            <w:vAlign w:val="top"/>
          </w:tcPr>
          <w:p w14:paraId="1ACE721A">
            <w:pPr>
              <w:spacing w:line="269" w:lineRule="auto"/>
              <w:rPr>
                <w:rFonts w:ascii="Arial"/>
                <w:sz w:val="21"/>
              </w:rPr>
            </w:pPr>
          </w:p>
          <w:p w14:paraId="32F16A4C">
            <w:pPr>
              <w:spacing w:line="270" w:lineRule="auto"/>
              <w:rPr>
                <w:rFonts w:ascii="Arial"/>
                <w:sz w:val="21"/>
              </w:rPr>
            </w:pPr>
          </w:p>
          <w:p w14:paraId="049AE5F7">
            <w:pPr>
              <w:spacing w:line="270" w:lineRule="auto"/>
              <w:rPr>
                <w:rFonts w:ascii="Arial"/>
                <w:sz w:val="21"/>
              </w:rPr>
            </w:pPr>
          </w:p>
          <w:p w14:paraId="371E0AED">
            <w:pPr>
              <w:spacing w:line="270" w:lineRule="auto"/>
              <w:rPr>
                <w:rFonts w:ascii="Arial"/>
                <w:sz w:val="21"/>
              </w:rPr>
            </w:pPr>
          </w:p>
          <w:p w14:paraId="70AD157B">
            <w:pPr>
              <w:pStyle w:val="6"/>
              <w:spacing w:before="65" w:line="228" w:lineRule="auto"/>
              <w:ind w:left="120"/>
              <w:rPr>
                <w:sz w:val="20"/>
                <w:szCs w:val="20"/>
              </w:rPr>
            </w:pPr>
            <w:r>
              <w:rPr>
                <w:spacing w:val="6"/>
                <w:sz w:val="20"/>
                <w:szCs w:val="20"/>
              </w:rPr>
              <w:t>危险物质</w:t>
            </w:r>
          </w:p>
        </w:tc>
        <w:tc>
          <w:tcPr>
            <w:tcW w:w="1142" w:type="dxa"/>
            <w:vAlign w:val="top"/>
          </w:tcPr>
          <w:p w14:paraId="5EDE521A">
            <w:pPr>
              <w:pStyle w:val="6"/>
              <w:spacing w:before="94" w:line="230" w:lineRule="auto"/>
              <w:ind w:left="363"/>
              <w:rPr>
                <w:sz w:val="20"/>
                <w:szCs w:val="20"/>
              </w:rPr>
            </w:pPr>
            <w:r>
              <w:rPr>
                <w:spacing w:val="3"/>
                <w:sz w:val="20"/>
                <w:szCs w:val="20"/>
              </w:rPr>
              <w:t>名称</w:t>
            </w:r>
          </w:p>
        </w:tc>
        <w:tc>
          <w:tcPr>
            <w:tcW w:w="2177" w:type="dxa"/>
            <w:gridSpan w:val="3"/>
            <w:vAlign w:val="top"/>
          </w:tcPr>
          <w:p w14:paraId="3FBDA4F6">
            <w:pPr>
              <w:pStyle w:val="6"/>
              <w:spacing w:before="94" w:line="229" w:lineRule="auto"/>
              <w:ind w:left="478"/>
              <w:rPr>
                <w:sz w:val="20"/>
                <w:szCs w:val="20"/>
              </w:rPr>
            </w:pPr>
            <w:r>
              <w:rPr>
                <w:spacing w:val="5"/>
                <w:sz w:val="20"/>
                <w:szCs w:val="20"/>
              </w:rPr>
              <w:t>盐酸（</w:t>
            </w:r>
            <w:r>
              <w:rPr>
                <w:rFonts w:ascii="Times New Roman" w:hAnsi="Times New Roman" w:eastAsia="Times New Roman" w:cs="Times New Roman"/>
                <w:spacing w:val="5"/>
                <w:sz w:val="20"/>
                <w:szCs w:val="20"/>
              </w:rPr>
              <w:t>31%</w:t>
            </w:r>
            <w:r>
              <w:rPr>
                <w:spacing w:val="5"/>
                <w:sz w:val="20"/>
                <w:szCs w:val="20"/>
              </w:rPr>
              <w:t>）</w:t>
            </w:r>
          </w:p>
        </w:tc>
        <w:tc>
          <w:tcPr>
            <w:tcW w:w="1948" w:type="dxa"/>
            <w:gridSpan w:val="3"/>
            <w:vAlign w:val="top"/>
          </w:tcPr>
          <w:p w14:paraId="0C9C4DF0">
            <w:pPr>
              <w:pStyle w:val="6"/>
              <w:spacing w:before="93" w:line="228" w:lineRule="auto"/>
              <w:ind w:left="260"/>
              <w:rPr>
                <w:sz w:val="20"/>
                <w:szCs w:val="20"/>
              </w:rPr>
            </w:pPr>
            <w:r>
              <w:rPr>
                <w:spacing w:val="6"/>
                <w:sz w:val="20"/>
                <w:szCs w:val="20"/>
              </w:rPr>
              <w:t>氢氟酸（</w:t>
            </w:r>
            <w:r>
              <w:rPr>
                <w:rFonts w:ascii="Times New Roman" w:hAnsi="Times New Roman" w:eastAsia="Times New Roman" w:cs="Times New Roman"/>
                <w:spacing w:val="6"/>
                <w:sz w:val="20"/>
                <w:szCs w:val="20"/>
              </w:rPr>
              <w:t>30%</w:t>
            </w:r>
            <w:r>
              <w:rPr>
                <w:spacing w:val="6"/>
                <w:sz w:val="20"/>
                <w:szCs w:val="20"/>
              </w:rPr>
              <w:t>）</w:t>
            </w:r>
          </w:p>
        </w:tc>
        <w:tc>
          <w:tcPr>
            <w:tcW w:w="2484" w:type="dxa"/>
            <w:gridSpan w:val="2"/>
            <w:vAlign w:val="top"/>
          </w:tcPr>
          <w:p w14:paraId="5CFAB2C9">
            <w:pPr>
              <w:pStyle w:val="6"/>
              <w:spacing w:before="94" w:line="229" w:lineRule="auto"/>
              <w:ind w:left="632"/>
              <w:rPr>
                <w:sz w:val="20"/>
                <w:szCs w:val="20"/>
              </w:rPr>
            </w:pPr>
            <w:r>
              <w:rPr>
                <w:spacing w:val="5"/>
                <w:sz w:val="20"/>
                <w:szCs w:val="20"/>
              </w:rPr>
              <w:t>硫酸（</w:t>
            </w:r>
            <w:r>
              <w:rPr>
                <w:rFonts w:ascii="Times New Roman" w:hAnsi="Times New Roman" w:eastAsia="Times New Roman" w:cs="Times New Roman"/>
                <w:spacing w:val="5"/>
                <w:sz w:val="20"/>
                <w:szCs w:val="20"/>
              </w:rPr>
              <w:t>98%</w:t>
            </w:r>
            <w:r>
              <w:rPr>
                <w:spacing w:val="5"/>
                <w:sz w:val="20"/>
                <w:szCs w:val="20"/>
              </w:rPr>
              <w:t>）</w:t>
            </w:r>
          </w:p>
        </w:tc>
      </w:tr>
      <w:tr w14:paraId="79385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3661BA5D">
            <w:pPr>
              <w:rPr>
                <w:rFonts w:ascii="Arial"/>
                <w:sz w:val="21"/>
              </w:rPr>
            </w:pPr>
          </w:p>
        </w:tc>
        <w:tc>
          <w:tcPr>
            <w:tcW w:w="1080" w:type="dxa"/>
            <w:vMerge w:val="continue"/>
            <w:tcBorders>
              <w:top w:val="nil"/>
              <w:bottom w:val="nil"/>
            </w:tcBorders>
            <w:vAlign w:val="top"/>
          </w:tcPr>
          <w:p w14:paraId="77E2F140">
            <w:pPr>
              <w:rPr>
                <w:rFonts w:ascii="Arial"/>
                <w:sz w:val="21"/>
              </w:rPr>
            </w:pPr>
          </w:p>
        </w:tc>
        <w:tc>
          <w:tcPr>
            <w:tcW w:w="1142" w:type="dxa"/>
            <w:vAlign w:val="top"/>
          </w:tcPr>
          <w:p w14:paraId="7173D5AB">
            <w:pPr>
              <w:pStyle w:val="6"/>
              <w:spacing w:before="93" w:line="228" w:lineRule="auto"/>
              <w:ind w:left="91"/>
              <w:rPr>
                <w:rFonts w:ascii="Times New Roman" w:hAnsi="Times New Roman" w:eastAsia="Times New Roman" w:cs="Times New Roman"/>
                <w:sz w:val="20"/>
                <w:szCs w:val="20"/>
              </w:rPr>
            </w:pPr>
            <w:r>
              <w:rPr>
                <w:spacing w:val="6"/>
                <w:sz w:val="20"/>
                <w:szCs w:val="20"/>
              </w:rPr>
              <w:t>存在总量</w:t>
            </w:r>
            <w:r>
              <w:rPr>
                <w:rFonts w:ascii="Times New Roman" w:hAnsi="Times New Roman" w:eastAsia="Times New Roman" w:cs="Times New Roman"/>
                <w:spacing w:val="6"/>
                <w:sz w:val="20"/>
                <w:szCs w:val="20"/>
              </w:rPr>
              <w:t>/t</w:t>
            </w:r>
          </w:p>
        </w:tc>
        <w:tc>
          <w:tcPr>
            <w:tcW w:w="2177" w:type="dxa"/>
            <w:gridSpan w:val="3"/>
            <w:vAlign w:val="top"/>
          </w:tcPr>
          <w:p w14:paraId="4AFE4FF0">
            <w:pPr>
              <w:spacing w:before="129" w:line="195"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64.67</w:t>
            </w:r>
          </w:p>
        </w:tc>
        <w:tc>
          <w:tcPr>
            <w:tcW w:w="1948" w:type="dxa"/>
            <w:gridSpan w:val="3"/>
            <w:vAlign w:val="top"/>
          </w:tcPr>
          <w:p w14:paraId="20AC4A39">
            <w:pPr>
              <w:spacing w:before="129" w:line="195"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20</w:t>
            </w:r>
          </w:p>
        </w:tc>
        <w:tc>
          <w:tcPr>
            <w:tcW w:w="2484" w:type="dxa"/>
            <w:gridSpan w:val="2"/>
            <w:vAlign w:val="top"/>
          </w:tcPr>
          <w:p w14:paraId="490D3769">
            <w:pPr>
              <w:spacing w:before="129" w:line="195" w:lineRule="auto"/>
              <w:ind w:left="112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r>
      <w:tr w14:paraId="7E684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13734961">
            <w:pPr>
              <w:rPr>
                <w:rFonts w:ascii="Arial"/>
                <w:sz w:val="21"/>
              </w:rPr>
            </w:pPr>
          </w:p>
        </w:tc>
        <w:tc>
          <w:tcPr>
            <w:tcW w:w="1080" w:type="dxa"/>
            <w:vMerge w:val="continue"/>
            <w:tcBorders>
              <w:top w:val="nil"/>
              <w:bottom w:val="nil"/>
            </w:tcBorders>
            <w:vAlign w:val="top"/>
          </w:tcPr>
          <w:p w14:paraId="60CB9A75">
            <w:pPr>
              <w:rPr>
                <w:rFonts w:ascii="Arial"/>
                <w:sz w:val="21"/>
              </w:rPr>
            </w:pPr>
          </w:p>
        </w:tc>
        <w:tc>
          <w:tcPr>
            <w:tcW w:w="1142" w:type="dxa"/>
            <w:vAlign w:val="top"/>
          </w:tcPr>
          <w:p w14:paraId="56C8E7F1">
            <w:pPr>
              <w:pStyle w:val="6"/>
              <w:spacing w:before="92" w:line="230" w:lineRule="auto"/>
              <w:ind w:left="363"/>
              <w:rPr>
                <w:sz w:val="20"/>
                <w:szCs w:val="20"/>
              </w:rPr>
            </w:pPr>
            <w:r>
              <w:rPr>
                <w:spacing w:val="3"/>
                <w:sz w:val="20"/>
                <w:szCs w:val="20"/>
              </w:rPr>
              <w:t>名称</w:t>
            </w:r>
          </w:p>
        </w:tc>
        <w:tc>
          <w:tcPr>
            <w:tcW w:w="2177" w:type="dxa"/>
            <w:gridSpan w:val="3"/>
            <w:vAlign w:val="top"/>
          </w:tcPr>
          <w:p w14:paraId="474B2E17">
            <w:pPr>
              <w:pStyle w:val="6"/>
              <w:spacing w:before="93" w:line="229" w:lineRule="auto"/>
              <w:ind w:left="478"/>
              <w:rPr>
                <w:sz w:val="20"/>
                <w:szCs w:val="20"/>
              </w:rPr>
            </w:pPr>
            <w:r>
              <w:rPr>
                <w:spacing w:val="5"/>
                <w:sz w:val="20"/>
                <w:szCs w:val="20"/>
              </w:rPr>
              <w:t>硝酸（</w:t>
            </w:r>
            <w:r>
              <w:rPr>
                <w:rFonts w:ascii="Times New Roman" w:hAnsi="Times New Roman" w:eastAsia="Times New Roman" w:cs="Times New Roman"/>
                <w:spacing w:val="5"/>
                <w:sz w:val="20"/>
                <w:szCs w:val="20"/>
              </w:rPr>
              <w:t>68%</w:t>
            </w:r>
            <w:r>
              <w:rPr>
                <w:spacing w:val="5"/>
                <w:sz w:val="20"/>
                <w:szCs w:val="20"/>
              </w:rPr>
              <w:t>）</w:t>
            </w:r>
          </w:p>
        </w:tc>
        <w:tc>
          <w:tcPr>
            <w:tcW w:w="1948" w:type="dxa"/>
            <w:gridSpan w:val="3"/>
            <w:vAlign w:val="top"/>
          </w:tcPr>
          <w:p w14:paraId="4BDDD82A">
            <w:pPr>
              <w:pStyle w:val="6"/>
              <w:spacing w:before="93" w:line="228" w:lineRule="auto"/>
              <w:ind w:left="370"/>
              <w:rPr>
                <w:sz w:val="20"/>
                <w:szCs w:val="20"/>
              </w:rPr>
            </w:pPr>
            <w:r>
              <w:rPr>
                <w:spacing w:val="4"/>
                <w:sz w:val="20"/>
                <w:szCs w:val="20"/>
              </w:rPr>
              <w:t>片碱（</w:t>
            </w:r>
            <w:r>
              <w:rPr>
                <w:rFonts w:ascii="Times New Roman" w:hAnsi="Times New Roman" w:eastAsia="Times New Roman" w:cs="Times New Roman"/>
                <w:spacing w:val="4"/>
                <w:sz w:val="20"/>
                <w:szCs w:val="20"/>
              </w:rPr>
              <w:t>99%</w:t>
            </w:r>
            <w:r>
              <w:rPr>
                <w:spacing w:val="4"/>
                <w:sz w:val="20"/>
                <w:szCs w:val="20"/>
              </w:rPr>
              <w:t>）</w:t>
            </w:r>
          </w:p>
        </w:tc>
        <w:tc>
          <w:tcPr>
            <w:tcW w:w="2484" w:type="dxa"/>
            <w:gridSpan w:val="2"/>
            <w:vAlign w:val="top"/>
          </w:tcPr>
          <w:p w14:paraId="6E3C6302">
            <w:pPr>
              <w:pStyle w:val="6"/>
              <w:spacing w:before="93" w:line="228" w:lineRule="auto"/>
              <w:ind w:left="653"/>
              <w:rPr>
                <w:sz w:val="20"/>
                <w:szCs w:val="20"/>
              </w:rPr>
            </w:pPr>
            <w:r>
              <w:rPr>
                <w:spacing w:val="2"/>
                <w:sz w:val="20"/>
                <w:szCs w:val="20"/>
              </w:rPr>
              <w:t>乙醇（</w:t>
            </w:r>
            <w:r>
              <w:rPr>
                <w:rFonts w:ascii="Times New Roman" w:hAnsi="Times New Roman" w:eastAsia="Times New Roman" w:cs="Times New Roman"/>
                <w:spacing w:val="2"/>
                <w:sz w:val="20"/>
                <w:szCs w:val="20"/>
              </w:rPr>
              <w:t>95%</w:t>
            </w:r>
            <w:r>
              <w:rPr>
                <w:spacing w:val="2"/>
                <w:sz w:val="20"/>
                <w:szCs w:val="20"/>
              </w:rPr>
              <w:t>）</w:t>
            </w:r>
          </w:p>
        </w:tc>
      </w:tr>
      <w:tr w14:paraId="4CD41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continue"/>
            <w:tcBorders>
              <w:top w:val="nil"/>
              <w:bottom w:val="nil"/>
            </w:tcBorders>
            <w:textDirection w:val="tbRlV"/>
            <w:vAlign w:val="top"/>
          </w:tcPr>
          <w:p w14:paraId="0483C65D">
            <w:pPr>
              <w:rPr>
                <w:rFonts w:ascii="Arial"/>
                <w:sz w:val="21"/>
              </w:rPr>
            </w:pPr>
          </w:p>
        </w:tc>
        <w:tc>
          <w:tcPr>
            <w:tcW w:w="1080" w:type="dxa"/>
            <w:vMerge w:val="continue"/>
            <w:tcBorders>
              <w:top w:val="nil"/>
              <w:bottom w:val="nil"/>
            </w:tcBorders>
            <w:vAlign w:val="top"/>
          </w:tcPr>
          <w:p w14:paraId="333678D1">
            <w:pPr>
              <w:rPr>
                <w:rFonts w:ascii="Arial"/>
                <w:sz w:val="21"/>
              </w:rPr>
            </w:pPr>
          </w:p>
        </w:tc>
        <w:tc>
          <w:tcPr>
            <w:tcW w:w="1142" w:type="dxa"/>
            <w:vAlign w:val="top"/>
          </w:tcPr>
          <w:p w14:paraId="6EF396F6">
            <w:pPr>
              <w:pStyle w:val="6"/>
              <w:spacing w:before="92" w:line="228" w:lineRule="auto"/>
              <w:ind w:left="91"/>
              <w:rPr>
                <w:rFonts w:ascii="Times New Roman" w:hAnsi="Times New Roman" w:eastAsia="Times New Roman" w:cs="Times New Roman"/>
                <w:sz w:val="20"/>
                <w:szCs w:val="20"/>
              </w:rPr>
            </w:pPr>
            <w:r>
              <w:rPr>
                <w:spacing w:val="6"/>
                <w:sz w:val="20"/>
                <w:szCs w:val="20"/>
              </w:rPr>
              <w:t>存在总量</w:t>
            </w:r>
            <w:r>
              <w:rPr>
                <w:rFonts w:ascii="Times New Roman" w:hAnsi="Times New Roman" w:eastAsia="Times New Roman" w:cs="Times New Roman"/>
                <w:spacing w:val="6"/>
                <w:sz w:val="20"/>
                <w:szCs w:val="20"/>
              </w:rPr>
              <w:t>/t</w:t>
            </w:r>
          </w:p>
        </w:tc>
        <w:tc>
          <w:tcPr>
            <w:tcW w:w="2177" w:type="dxa"/>
            <w:gridSpan w:val="3"/>
            <w:vAlign w:val="top"/>
          </w:tcPr>
          <w:p w14:paraId="170FDBC4">
            <w:pPr>
              <w:spacing w:before="128" w:line="195" w:lineRule="auto"/>
              <w:ind w:left="7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1.04067</w:t>
            </w:r>
          </w:p>
        </w:tc>
        <w:tc>
          <w:tcPr>
            <w:tcW w:w="1948" w:type="dxa"/>
            <w:gridSpan w:val="3"/>
            <w:vAlign w:val="top"/>
          </w:tcPr>
          <w:p w14:paraId="5B376010">
            <w:pPr>
              <w:spacing w:before="128"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12.75</w:t>
            </w:r>
          </w:p>
        </w:tc>
        <w:tc>
          <w:tcPr>
            <w:tcW w:w="2484" w:type="dxa"/>
            <w:gridSpan w:val="2"/>
            <w:vAlign w:val="top"/>
          </w:tcPr>
          <w:p w14:paraId="0B0E82CF">
            <w:pPr>
              <w:spacing w:before="128" w:line="195" w:lineRule="auto"/>
              <w:ind w:left="9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0.2162</w:t>
            </w:r>
          </w:p>
        </w:tc>
      </w:tr>
      <w:tr w14:paraId="2BA7D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continue"/>
            <w:tcBorders>
              <w:top w:val="nil"/>
              <w:bottom w:val="nil"/>
            </w:tcBorders>
            <w:textDirection w:val="tbRlV"/>
            <w:vAlign w:val="top"/>
          </w:tcPr>
          <w:p w14:paraId="75D22CBE">
            <w:pPr>
              <w:rPr>
                <w:rFonts w:ascii="Arial"/>
                <w:sz w:val="21"/>
              </w:rPr>
            </w:pPr>
          </w:p>
        </w:tc>
        <w:tc>
          <w:tcPr>
            <w:tcW w:w="1080" w:type="dxa"/>
            <w:vMerge w:val="continue"/>
            <w:tcBorders>
              <w:top w:val="nil"/>
              <w:bottom w:val="nil"/>
            </w:tcBorders>
            <w:vAlign w:val="top"/>
          </w:tcPr>
          <w:p w14:paraId="6CE23B71">
            <w:pPr>
              <w:rPr>
                <w:rFonts w:ascii="Arial"/>
                <w:sz w:val="21"/>
              </w:rPr>
            </w:pPr>
          </w:p>
        </w:tc>
        <w:tc>
          <w:tcPr>
            <w:tcW w:w="1142" w:type="dxa"/>
            <w:vAlign w:val="top"/>
          </w:tcPr>
          <w:p w14:paraId="302C19DA">
            <w:pPr>
              <w:pStyle w:val="6"/>
              <w:spacing w:before="95" w:line="230" w:lineRule="auto"/>
              <w:ind w:left="363"/>
              <w:rPr>
                <w:sz w:val="20"/>
                <w:szCs w:val="20"/>
              </w:rPr>
            </w:pPr>
            <w:r>
              <w:rPr>
                <w:spacing w:val="3"/>
                <w:sz w:val="20"/>
                <w:szCs w:val="20"/>
              </w:rPr>
              <w:t>名称</w:t>
            </w:r>
          </w:p>
        </w:tc>
        <w:tc>
          <w:tcPr>
            <w:tcW w:w="2177" w:type="dxa"/>
            <w:gridSpan w:val="3"/>
            <w:vAlign w:val="top"/>
          </w:tcPr>
          <w:p w14:paraId="0A04293C">
            <w:pPr>
              <w:pStyle w:val="6"/>
              <w:spacing w:before="95" w:line="228" w:lineRule="auto"/>
              <w:ind w:left="480"/>
              <w:rPr>
                <w:sz w:val="20"/>
                <w:szCs w:val="20"/>
              </w:rPr>
            </w:pPr>
            <w:r>
              <w:rPr>
                <w:spacing w:val="5"/>
                <w:sz w:val="20"/>
                <w:szCs w:val="20"/>
              </w:rPr>
              <w:t>丙酮（</w:t>
            </w:r>
            <w:r>
              <w:rPr>
                <w:rFonts w:ascii="Times New Roman" w:hAnsi="Times New Roman" w:eastAsia="Times New Roman" w:cs="Times New Roman"/>
                <w:spacing w:val="5"/>
                <w:sz w:val="20"/>
                <w:szCs w:val="20"/>
              </w:rPr>
              <w:t>95%</w:t>
            </w:r>
            <w:r>
              <w:rPr>
                <w:spacing w:val="5"/>
                <w:sz w:val="20"/>
                <w:szCs w:val="20"/>
              </w:rPr>
              <w:t>）</w:t>
            </w:r>
          </w:p>
        </w:tc>
        <w:tc>
          <w:tcPr>
            <w:tcW w:w="1948" w:type="dxa"/>
            <w:gridSpan w:val="3"/>
            <w:vAlign w:val="top"/>
          </w:tcPr>
          <w:p w14:paraId="7CA13442">
            <w:pPr>
              <w:pStyle w:val="6"/>
              <w:spacing w:before="95" w:line="228" w:lineRule="auto"/>
              <w:ind w:left="77"/>
              <w:rPr>
                <w:sz w:val="20"/>
                <w:szCs w:val="20"/>
              </w:rPr>
            </w:pPr>
            <w:r>
              <w:rPr>
                <w:spacing w:val="6"/>
                <w:sz w:val="20"/>
                <w:szCs w:val="20"/>
              </w:rPr>
              <w:t>三乙醇胺（</w:t>
            </w:r>
            <w:r>
              <w:rPr>
                <w:rFonts w:ascii="Times New Roman" w:hAnsi="Times New Roman" w:eastAsia="Times New Roman" w:cs="Times New Roman"/>
                <w:spacing w:val="6"/>
                <w:sz w:val="20"/>
                <w:szCs w:val="20"/>
              </w:rPr>
              <w:t>98.5%</w:t>
            </w:r>
            <w:r>
              <w:rPr>
                <w:spacing w:val="6"/>
                <w:sz w:val="20"/>
                <w:szCs w:val="20"/>
              </w:rPr>
              <w:t>）</w:t>
            </w:r>
          </w:p>
        </w:tc>
        <w:tc>
          <w:tcPr>
            <w:tcW w:w="2484" w:type="dxa"/>
            <w:gridSpan w:val="2"/>
            <w:vAlign w:val="top"/>
          </w:tcPr>
          <w:p w14:paraId="0C3E1DBA">
            <w:pPr>
              <w:pStyle w:val="6"/>
              <w:spacing w:before="95" w:line="228" w:lineRule="auto"/>
              <w:ind w:left="929"/>
              <w:rPr>
                <w:sz w:val="20"/>
                <w:szCs w:val="20"/>
              </w:rPr>
            </w:pPr>
            <w:r>
              <w:rPr>
                <w:spacing w:val="7"/>
                <w:sz w:val="20"/>
                <w:szCs w:val="20"/>
              </w:rPr>
              <w:t>废酸液</w:t>
            </w:r>
          </w:p>
        </w:tc>
      </w:tr>
      <w:tr w14:paraId="0A301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14A95188">
            <w:pPr>
              <w:rPr>
                <w:rFonts w:ascii="Arial"/>
                <w:sz w:val="21"/>
              </w:rPr>
            </w:pPr>
          </w:p>
        </w:tc>
        <w:tc>
          <w:tcPr>
            <w:tcW w:w="1080" w:type="dxa"/>
            <w:vMerge w:val="continue"/>
            <w:tcBorders>
              <w:top w:val="nil"/>
            </w:tcBorders>
            <w:vAlign w:val="top"/>
          </w:tcPr>
          <w:p w14:paraId="14F66F0D">
            <w:pPr>
              <w:rPr>
                <w:rFonts w:ascii="Arial"/>
                <w:sz w:val="21"/>
              </w:rPr>
            </w:pPr>
          </w:p>
        </w:tc>
        <w:tc>
          <w:tcPr>
            <w:tcW w:w="1142" w:type="dxa"/>
            <w:vAlign w:val="top"/>
          </w:tcPr>
          <w:p w14:paraId="48562A89">
            <w:pPr>
              <w:pStyle w:val="6"/>
              <w:spacing w:before="95" w:line="228" w:lineRule="auto"/>
              <w:ind w:left="91"/>
              <w:rPr>
                <w:rFonts w:ascii="Times New Roman" w:hAnsi="Times New Roman" w:eastAsia="Times New Roman" w:cs="Times New Roman"/>
                <w:sz w:val="20"/>
                <w:szCs w:val="20"/>
              </w:rPr>
            </w:pPr>
            <w:r>
              <w:rPr>
                <w:spacing w:val="6"/>
                <w:sz w:val="20"/>
                <w:szCs w:val="20"/>
              </w:rPr>
              <w:t>存在总量</w:t>
            </w:r>
            <w:r>
              <w:rPr>
                <w:rFonts w:ascii="Times New Roman" w:hAnsi="Times New Roman" w:eastAsia="Times New Roman" w:cs="Times New Roman"/>
                <w:spacing w:val="6"/>
                <w:sz w:val="20"/>
                <w:szCs w:val="20"/>
              </w:rPr>
              <w:t>/t</w:t>
            </w:r>
          </w:p>
        </w:tc>
        <w:tc>
          <w:tcPr>
            <w:tcW w:w="2177" w:type="dxa"/>
            <w:gridSpan w:val="3"/>
            <w:vAlign w:val="top"/>
          </w:tcPr>
          <w:p w14:paraId="27252CF1">
            <w:pPr>
              <w:spacing w:before="131" w:line="195" w:lineRule="auto"/>
              <w:ind w:left="7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0.2162</w:t>
            </w:r>
          </w:p>
        </w:tc>
        <w:tc>
          <w:tcPr>
            <w:tcW w:w="1948" w:type="dxa"/>
            <w:gridSpan w:val="3"/>
            <w:vAlign w:val="top"/>
          </w:tcPr>
          <w:p w14:paraId="3EDCFC04">
            <w:pPr>
              <w:spacing w:before="134" w:line="192"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5.57</w:t>
            </w:r>
          </w:p>
        </w:tc>
        <w:tc>
          <w:tcPr>
            <w:tcW w:w="2484" w:type="dxa"/>
            <w:gridSpan w:val="2"/>
            <w:vAlign w:val="top"/>
          </w:tcPr>
          <w:p w14:paraId="65D688EC">
            <w:pPr>
              <w:spacing w:before="134" w:line="192"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75</w:t>
            </w:r>
          </w:p>
        </w:tc>
      </w:tr>
      <w:tr w14:paraId="4D5F3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0348782F">
            <w:pPr>
              <w:rPr>
                <w:rFonts w:ascii="Arial"/>
                <w:sz w:val="21"/>
              </w:rPr>
            </w:pPr>
          </w:p>
        </w:tc>
        <w:tc>
          <w:tcPr>
            <w:tcW w:w="1080" w:type="dxa"/>
            <w:vMerge w:val="restart"/>
            <w:tcBorders>
              <w:bottom w:val="nil"/>
            </w:tcBorders>
            <w:vAlign w:val="top"/>
          </w:tcPr>
          <w:p w14:paraId="7AE489FA">
            <w:pPr>
              <w:spacing w:line="270" w:lineRule="auto"/>
              <w:rPr>
                <w:rFonts w:ascii="Arial"/>
                <w:sz w:val="21"/>
              </w:rPr>
            </w:pPr>
          </w:p>
          <w:p w14:paraId="5E8D8767">
            <w:pPr>
              <w:spacing w:line="270" w:lineRule="auto"/>
              <w:rPr>
                <w:rFonts w:ascii="Arial"/>
                <w:sz w:val="21"/>
              </w:rPr>
            </w:pPr>
          </w:p>
          <w:p w14:paraId="581E24B5">
            <w:pPr>
              <w:spacing w:line="270" w:lineRule="auto"/>
              <w:rPr>
                <w:rFonts w:ascii="Arial"/>
                <w:sz w:val="21"/>
              </w:rPr>
            </w:pPr>
          </w:p>
          <w:p w14:paraId="77484D85">
            <w:pPr>
              <w:spacing w:line="271" w:lineRule="auto"/>
              <w:rPr>
                <w:rFonts w:ascii="Arial"/>
                <w:sz w:val="21"/>
              </w:rPr>
            </w:pPr>
          </w:p>
          <w:p w14:paraId="0B055F75">
            <w:pPr>
              <w:pStyle w:val="6"/>
              <w:spacing w:before="65" w:line="228" w:lineRule="auto"/>
              <w:ind w:left="12"/>
              <w:rPr>
                <w:sz w:val="20"/>
                <w:szCs w:val="20"/>
              </w:rPr>
            </w:pPr>
            <w:r>
              <w:rPr>
                <w:spacing w:val="8"/>
                <w:sz w:val="20"/>
                <w:szCs w:val="20"/>
              </w:rPr>
              <w:t>环境敏感性</w:t>
            </w:r>
          </w:p>
        </w:tc>
        <w:tc>
          <w:tcPr>
            <w:tcW w:w="1142" w:type="dxa"/>
            <w:vMerge w:val="restart"/>
            <w:tcBorders>
              <w:bottom w:val="nil"/>
            </w:tcBorders>
            <w:vAlign w:val="top"/>
          </w:tcPr>
          <w:p w14:paraId="023D7182">
            <w:pPr>
              <w:rPr>
                <w:rFonts w:ascii="Arial"/>
                <w:sz w:val="21"/>
              </w:rPr>
            </w:pPr>
          </w:p>
          <w:p w14:paraId="342C8C62">
            <w:pPr>
              <w:pStyle w:val="6"/>
              <w:spacing w:before="65" w:line="228" w:lineRule="auto"/>
              <w:ind w:left="363"/>
              <w:rPr>
                <w:sz w:val="20"/>
                <w:szCs w:val="20"/>
              </w:rPr>
            </w:pPr>
            <w:r>
              <w:rPr>
                <w:spacing w:val="3"/>
                <w:sz w:val="20"/>
                <w:szCs w:val="20"/>
              </w:rPr>
              <w:t>大气</w:t>
            </w:r>
          </w:p>
        </w:tc>
        <w:tc>
          <w:tcPr>
            <w:tcW w:w="3081" w:type="dxa"/>
            <w:gridSpan w:val="5"/>
            <w:vAlign w:val="top"/>
          </w:tcPr>
          <w:p w14:paraId="32C45ABB">
            <w:pPr>
              <w:pStyle w:val="6"/>
              <w:spacing w:before="94" w:line="228" w:lineRule="auto"/>
              <w:ind w:left="123"/>
              <w:rPr>
                <w:sz w:val="20"/>
                <w:szCs w:val="20"/>
              </w:rPr>
            </w:pPr>
            <w:r>
              <w:rPr>
                <w:rFonts w:ascii="Times New Roman" w:hAnsi="Times New Roman" w:eastAsia="Times New Roman" w:cs="Times New Roman"/>
                <w:spacing w:val="6"/>
                <w:sz w:val="20"/>
                <w:szCs w:val="20"/>
              </w:rPr>
              <w:t xml:space="preserve">500m </w:t>
            </w:r>
            <w:r>
              <w:rPr>
                <w:spacing w:val="6"/>
                <w:sz w:val="20"/>
                <w:szCs w:val="20"/>
              </w:rPr>
              <w:t>范围内人口数</w:t>
            </w:r>
            <w:r>
              <w:rPr>
                <w:spacing w:val="6"/>
                <w:sz w:val="20"/>
                <w:szCs w:val="20"/>
                <w:u w:val="single" w:color="auto"/>
              </w:rPr>
              <w:t>大于</w:t>
            </w:r>
            <w:r>
              <w:rPr>
                <w:spacing w:val="-35"/>
                <w:sz w:val="20"/>
                <w:szCs w:val="20"/>
                <w:u w:val="single" w:color="auto"/>
              </w:rPr>
              <w:t xml:space="preserve"> </w:t>
            </w:r>
            <w:r>
              <w:rPr>
                <w:rFonts w:ascii="Times New Roman" w:hAnsi="Times New Roman" w:eastAsia="Times New Roman" w:cs="Times New Roman"/>
                <w:spacing w:val="6"/>
                <w:sz w:val="20"/>
                <w:szCs w:val="20"/>
                <w:u w:val="single" w:color="auto"/>
              </w:rPr>
              <w:t xml:space="preserve">500 </w:t>
            </w:r>
            <w:r>
              <w:rPr>
                <w:spacing w:val="6"/>
                <w:sz w:val="20"/>
                <w:szCs w:val="20"/>
              </w:rPr>
              <w:t>人</w:t>
            </w:r>
          </w:p>
        </w:tc>
        <w:tc>
          <w:tcPr>
            <w:tcW w:w="3528" w:type="dxa"/>
            <w:gridSpan w:val="3"/>
            <w:vAlign w:val="top"/>
          </w:tcPr>
          <w:p w14:paraId="1C75E7F6">
            <w:pPr>
              <w:pStyle w:val="6"/>
              <w:spacing w:before="94" w:line="228" w:lineRule="auto"/>
              <w:ind w:left="685"/>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27"/>
                <w:w w:val="101"/>
                <w:sz w:val="20"/>
                <w:szCs w:val="20"/>
              </w:rPr>
              <w:t xml:space="preserve"> </w:t>
            </w:r>
            <w:r>
              <w:rPr>
                <w:spacing w:val="5"/>
                <w:sz w:val="20"/>
                <w:szCs w:val="20"/>
              </w:rPr>
              <w:t>范围内人口数</w:t>
            </w:r>
            <w:r>
              <w:rPr>
                <w:rFonts w:ascii="Times New Roman" w:hAnsi="Times New Roman" w:eastAsia="Times New Roman" w:cs="Times New Roman"/>
                <w:spacing w:val="5"/>
                <w:sz w:val="20"/>
                <w:szCs w:val="20"/>
                <w:u w:val="single" w:color="auto"/>
              </w:rPr>
              <w:t xml:space="preserve">    /</w:t>
            </w:r>
            <w:r>
              <w:rPr>
                <w:spacing w:val="5"/>
                <w:sz w:val="20"/>
                <w:szCs w:val="20"/>
              </w:rPr>
              <w:t>人</w:t>
            </w:r>
          </w:p>
        </w:tc>
      </w:tr>
      <w:tr w14:paraId="385F3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71D419D9">
            <w:pPr>
              <w:rPr>
                <w:rFonts w:ascii="Arial"/>
                <w:sz w:val="21"/>
              </w:rPr>
            </w:pPr>
          </w:p>
        </w:tc>
        <w:tc>
          <w:tcPr>
            <w:tcW w:w="1080" w:type="dxa"/>
            <w:vMerge w:val="continue"/>
            <w:tcBorders>
              <w:top w:val="nil"/>
              <w:bottom w:val="nil"/>
            </w:tcBorders>
            <w:vAlign w:val="top"/>
          </w:tcPr>
          <w:p w14:paraId="6BD71437">
            <w:pPr>
              <w:rPr>
                <w:rFonts w:ascii="Arial"/>
                <w:sz w:val="21"/>
              </w:rPr>
            </w:pPr>
          </w:p>
        </w:tc>
        <w:tc>
          <w:tcPr>
            <w:tcW w:w="1142" w:type="dxa"/>
            <w:vMerge w:val="continue"/>
            <w:tcBorders>
              <w:top w:val="nil"/>
            </w:tcBorders>
            <w:vAlign w:val="top"/>
          </w:tcPr>
          <w:p w14:paraId="637C5ED8">
            <w:pPr>
              <w:rPr>
                <w:rFonts w:ascii="Arial"/>
                <w:sz w:val="21"/>
              </w:rPr>
            </w:pPr>
          </w:p>
        </w:tc>
        <w:tc>
          <w:tcPr>
            <w:tcW w:w="4867" w:type="dxa"/>
            <w:gridSpan w:val="7"/>
            <w:vAlign w:val="top"/>
          </w:tcPr>
          <w:p w14:paraId="19DD44B6">
            <w:pPr>
              <w:pStyle w:val="6"/>
              <w:spacing w:before="101" w:line="228" w:lineRule="auto"/>
              <w:ind w:left="361"/>
              <w:rPr>
                <w:sz w:val="20"/>
                <w:szCs w:val="20"/>
              </w:rPr>
            </w:pPr>
            <w:r>
              <w:rPr>
                <w:spacing w:val="7"/>
                <w:sz w:val="20"/>
                <w:szCs w:val="20"/>
              </w:rPr>
              <w:t>每公里管段周边</w:t>
            </w:r>
            <w:r>
              <w:rPr>
                <w:spacing w:val="-28"/>
                <w:sz w:val="20"/>
                <w:szCs w:val="20"/>
              </w:rPr>
              <w:t xml:space="preserve"> </w:t>
            </w:r>
            <w:r>
              <w:rPr>
                <w:rFonts w:ascii="Times New Roman" w:hAnsi="Times New Roman" w:eastAsia="Times New Roman" w:cs="Times New Roman"/>
                <w:spacing w:val="7"/>
                <w:sz w:val="20"/>
                <w:szCs w:val="20"/>
              </w:rPr>
              <w:t xml:space="preserve">200m </w:t>
            </w:r>
            <w:r>
              <w:rPr>
                <w:spacing w:val="7"/>
                <w:sz w:val="20"/>
                <w:szCs w:val="20"/>
              </w:rPr>
              <w:t>范围内人口数（最大）</w:t>
            </w:r>
          </w:p>
        </w:tc>
        <w:tc>
          <w:tcPr>
            <w:tcW w:w="1742" w:type="dxa"/>
            <w:vAlign w:val="top"/>
          </w:tcPr>
          <w:p w14:paraId="3BDA06A4">
            <w:pPr>
              <w:pStyle w:val="6"/>
              <w:spacing w:before="93" w:line="231" w:lineRule="auto"/>
              <w:ind w:left="732"/>
              <w:rPr>
                <w:sz w:val="20"/>
                <w:szCs w:val="20"/>
              </w:rPr>
            </w:pPr>
            <w:r>
              <w:rPr>
                <w:rFonts w:ascii="Times New Roman" w:hAnsi="Times New Roman" w:eastAsia="Times New Roman" w:cs="Times New Roman"/>
                <w:spacing w:val="5"/>
                <w:sz w:val="20"/>
                <w:szCs w:val="20"/>
              </w:rPr>
              <w:t>/</w:t>
            </w:r>
            <w:r>
              <w:rPr>
                <w:spacing w:val="5"/>
                <w:sz w:val="20"/>
                <w:szCs w:val="20"/>
              </w:rPr>
              <w:t>人</w:t>
            </w:r>
          </w:p>
        </w:tc>
      </w:tr>
      <w:tr w14:paraId="34C27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continue"/>
            <w:tcBorders>
              <w:top w:val="nil"/>
              <w:bottom w:val="nil"/>
            </w:tcBorders>
            <w:textDirection w:val="tbRlV"/>
            <w:vAlign w:val="top"/>
          </w:tcPr>
          <w:p w14:paraId="781EDF21">
            <w:pPr>
              <w:rPr>
                <w:rFonts w:ascii="Arial"/>
                <w:sz w:val="21"/>
              </w:rPr>
            </w:pPr>
          </w:p>
        </w:tc>
        <w:tc>
          <w:tcPr>
            <w:tcW w:w="1080" w:type="dxa"/>
            <w:vMerge w:val="continue"/>
            <w:tcBorders>
              <w:top w:val="nil"/>
              <w:bottom w:val="nil"/>
            </w:tcBorders>
            <w:vAlign w:val="top"/>
          </w:tcPr>
          <w:p w14:paraId="173A18FE">
            <w:pPr>
              <w:rPr>
                <w:rFonts w:ascii="Arial"/>
                <w:sz w:val="21"/>
              </w:rPr>
            </w:pPr>
          </w:p>
        </w:tc>
        <w:tc>
          <w:tcPr>
            <w:tcW w:w="1142" w:type="dxa"/>
            <w:vMerge w:val="restart"/>
            <w:tcBorders>
              <w:bottom w:val="nil"/>
            </w:tcBorders>
            <w:vAlign w:val="top"/>
          </w:tcPr>
          <w:p w14:paraId="65B32D4D">
            <w:pPr>
              <w:rPr>
                <w:rFonts w:ascii="Arial"/>
                <w:sz w:val="21"/>
              </w:rPr>
            </w:pPr>
          </w:p>
          <w:p w14:paraId="6F0F94BE">
            <w:pPr>
              <w:pStyle w:val="6"/>
              <w:spacing w:before="65" w:line="228" w:lineRule="auto"/>
              <w:ind w:left="255"/>
              <w:rPr>
                <w:sz w:val="20"/>
                <w:szCs w:val="20"/>
              </w:rPr>
            </w:pPr>
            <w:r>
              <w:rPr>
                <w:spacing w:val="6"/>
                <w:sz w:val="20"/>
                <w:szCs w:val="20"/>
              </w:rPr>
              <w:t>地表水</w:t>
            </w:r>
          </w:p>
        </w:tc>
        <w:tc>
          <w:tcPr>
            <w:tcW w:w="1646" w:type="dxa"/>
            <w:gridSpan w:val="2"/>
            <w:vAlign w:val="top"/>
          </w:tcPr>
          <w:p w14:paraId="2F9C2061">
            <w:pPr>
              <w:pStyle w:val="6"/>
              <w:spacing w:before="95" w:line="228" w:lineRule="auto"/>
              <w:ind w:left="67"/>
              <w:rPr>
                <w:sz w:val="20"/>
                <w:szCs w:val="20"/>
              </w:rPr>
            </w:pPr>
            <w:r>
              <w:rPr>
                <w:spacing w:val="-12"/>
                <w:sz w:val="20"/>
                <w:szCs w:val="20"/>
              </w:rPr>
              <w:t>地表水功能敏感性</w:t>
            </w:r>
          </w:p>
        </w:tc>
        <w:tc>
          <w:tcPr>
            <w:tcW w:w="1435" w:type="dxa"/>
            <w:gridSpan w:val="3"/>
            <w:vAlign w:val="top"/>
          </w:tcPr>
          <w:p w14:paraId="7C8D1F82">
            <w:pPr>
              <w:spacing w:before="132"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F1□</w:t>
            </w:r>
          </w:p>
        </w:tc>
        <w:tc>
          <w:tcPr>
            <w:tcW w:w="1786" w:type="dxa"/>
            <w:gridSpan w:val="2"/>
            <w:vAlign w:val="top"/>
          </w:tcPr>
          <w:p w14:paraId="1F8E2044">
            <w:pPr>
              <w:spacing w:before="96" w:line="264" w:lineRule="exact"/>
              <w:ind w:left="678"/>
              <w:rPr>
                <w:rFonts w:ascii="MS UI Gothic" w:hAnsi="MS UI Gothic" w:eastAsia="MS UI Gothic" w:cs="MS UI Gothic"/>
                <w:sz w:val="20"/>
                <w:szCs w:val="20"/>
              </w:rPr>
            </w:pPr>
            <w:r>
              <w:rPr>
                <w:rFonts w:ascii="Times New Roman" w:hAnsi="Times New Roman" w:eastAsia="Times New Roman" w:cs="Times New Roman"/>
                <w:spacing w:val="4"/>
                <w:position w:val="1"/>
                <w:sz w:val="20"/>
                <w:szCs w:val="20"/>
              </w:rPr>
              <w:t>F2</w:t>
            </w:r>
            <w:r>
              <w:rPr>
                <w:rFonts w:ascii="MS UI Gothic" w:hAnsi="MS UI Gothic" w:eastAsia="MS UI Gothic" w:cs="MS UI Gothic"/>
                <w:spacing w:val="4"/>
                <w:position w:val="1"/>
                <w:sz w:val="20"/>
                <w:szCs w:val="20"/>
              </w:rPr>
              <w:t>☑</w:t>
            </w:r>
          </w:p>
        </w:tc>
        <w:tc>
          <w:tcPr>
            <w:tcW w:w="1742" w:type="dxa"/>
            <w:vAlign w:val="top"/>
          </w:tcPr>
          <w:p w14:paraId="775242A9">
            <w:pPr>
              <w:spacing w:before="13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F3□</w:t>
            </w:r>
          </w:p>
        </w:tc>
      </w:tr>
      <w:tr w14:paraId="41EE7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48BBA99C">
            <w:pPr>
              <w:rPr>
                <w:rFonts w:ascii="Arial"/>
                <w:sz w:val="21"/>
              </w:rPr>
            </w:pPr>
          </w:p>
        </w:tc>
        <w:tc>
          <w:tcPr>
            <w:tcW w:w="1080" w:type="dxa"/>
            <w:vMerge w:val="continue"/>
            <w:tcBorders>
              <w:top w:val="nil"/>
              <w:bottom w:val="nil"/>
            </w:tcBorders>
            <w:vAlign w:val="top"/>
          </w:tcPr>
          <w:p w14:paraId="465C4F2C">
            <w:pPr>
              <w:rPr>
                <w:rFonts w:ascii="Arial"/>
                <w:sz w:val="21"/>
              </w:rPr>
            </w:pPr>
          </w:p>
        </w:tc>
        <w:tc>
          <w:tcPr>
            <w:tcW w:w="1142" w:type="dxa"/>
            <w:vMerge w:val="continue"/>
            <w:tcBorders>
              <w:top w:val="nil"/>
            </w:tcBorders>
            <w:vAlign w:val="top"/>
          </w:tcPr>
          <w:p w14:paraId="6686BF64">
            <w:pPr>
              <w:rPr>
                <w:rFonts w:ascii="Arial"/>
                <w:sz w:val="21"/>
              </w:rPr>
            </w:pPr>
          </w:p>
        </w:tc>
        <w:tc>
          <w:tcPr>
            <w:tcW w:w="1646" w:type="dxa"/>
            <w:gridSpan w:val="2"/>
            <w:vAlign w:val="top"/>
          </w:tcPr>
          <w:p w14:paraId="40F04A3F">
            <w:pPr>
              <w:pStyle w:val="6"/>
              <w:spacing w:before="96" w:line="228" w:lineRule="auto"/>
              <w:ind w:left="67"/>
              <w:rPr>
                <w:sz w:val="20"/>
                <w:szCs w:val="20"/>
              </w:rPr>
            </w:pPr>
            <w:r>
              <w:rPr>
                <w:spacing w:val="-12"/>
                <w:sz w:val="20"/>
                <w:szCs w:val="20"/>
              </w:rPr>
              <w:t>环境敏感目标分级</w:t>
            </w:r>
          </w:p>
        </w:tc>
        <w:tc>
          <w:tcPr>
            <w:tcW w:w="1435" w:type="dxa"/>
            <w:gridSpan w:val="3"/>
            <w:vAlign w:val="top"/>
          </w:tcPr>
          <w:p w14:paraId="1E5F7F91">
            <w:pPr>
              <w:spacing w:before="132" w:line="195"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S1□</w:t>
            </w:r>
          </w:p>
        </w:tc>
        <w:tc>
          <w:tcPr>
            <w:tcW w:w="1786" w:type="dxa"/>
            <w:gridSpan w:val="2"/>
            <w:vAlign w:val="top"/>
          </w:tcPr>
          <w:p w14:paraId="44B0ED11">
            <w:pPr>
              <w:spacing w:before="96" w:line="263" w:lineRule="exact"/>
              <w:ind w:left="688"/>
              <w:rPr>
                <w:rFonts w:ascii="MS UI Gothic" w:hAnsi="MS UI Gothic" w:eastAsia="MS UI Gothic" w:cs="MS UI Gothic"/>
                <w:sz w:val="20"/>
                <w:szCs w:val="20"/>
              </w:rPr>
            </w:pPr>
            <w:r>
              <w:rPr>
                <w:rFonts w:ascii="Times New Roman" w:hAnsi="Times New Roman" w:eastAsia="Times New Roman" w:cs="Times New Roman"/>
                <w:spacing w:val="1"/>
                <w:position w:val="1"/>
                <w:sz w:val="20"/>
                <w:szCs w:val="20"/>
              </w:rPr>
              <w:t>S2</w:t>
            </w:r>
            <w:r>
              <w:rPr>
                <w:rFonts w:ascii="MS UI Gothic" w:hAnsi="MS UI Gothic" w:eastAsia="MS UI Gothic" w:cs="MS UI Gothic"/>
                <w:spacing w:val="1"/>
                <w:position w:val="1"/>
                <w:sz w:val="20"/>
                <w:szCs w:val="20"/>
              </w:rPr>
              <w:t>☑</w:t>
            </w:r>
          </w:p>
        </w:tc>
        <w:tc>
          <w:tcPr>
            <w:tcW w:w="1742" w:type="dxa"/>
            <w:vAlign w:val="top"/>
          </w:tcPr>
          <w:p w14:paraId="0D2DCF0A">
            <w:pPr>
              <w:spacing w:before="132" w:line="195"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S3□</w:t>
            </w:r>
          </w:p>
        </w:tc>
      </w:tr>
      <w:tr w14:paraId="5EB91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continue"/>
            <w:tcBorders>
              <w:top w:val="nil"/>
              <w:bottom w:val="nil"/>
            </w:tcBorders>
            <w:textDirection w:val="tbRlV"/>
            <w:vAlign w:val="top"/>
          </w:tcPr>
          <w:p w14:paraId="4550A043">
            <w:pPr>
              <w:rPr>
                <w:rFonts w:ascii="Arial"/>
                <w:sz w:val="21"/>
              </w:rPr>
            </w:pPr>
          </w:p>
        </w:tc>
        <w:tc>
          <w:tcPr>
            <w:tcW w:w="1080" w:type="dxa"/>
            <w:vMerge w:val="continue"/>
            <w:tcBorders>
              <w:top w:val="nil"/>
              <w:bottom w:val="nil"/>
            </w:tcBorders>
            <w:vAlign w:val="top"/>
          </w:tcPr>
          <w:p w14:paraId="0C104880">
            <w:pPr>
              <w:rPr>
                <w:rFonts w:ascii="Arial"/>
                <w:sz w:val="21"/>
              </w:rPr>
            </w:pPr>
          </w:p>
        </w:tc>
        <w:tc>
          <w:tcPr>
            <w:tcW w:w="1142" w:type="dxa"/>
            <w:vMerge w:val="restart"/>
            <w:tcBorders>
              <w:bottom w:val="nil"/>
            </w:tcBorders>
            <w:vAlign w:val="top"/>
          </w:tcPr>
          <w:p w14:paraId="33852154">
            <w:pPr>
              <w:rPr>
                <w:rFonts w:ascii="Arial"/>
                <w:sz w:val="21"/>
              </w:rPr>
            </w:pPr>
          </w:p>
          <w:p w14:paraId="5165BA52">
            <w:pPr>
              <w:pStyle w:val="6"/>
              <w:spacing w:before="65" w:line="228" w:lineRule="auto"/>
              <w:ind w:left="255"/>
              <w:rPr>
                <w:sz w:val="20"/>
                <w:szCs w:val="20"/>
              </w:rPr>
            </w:pPr>
            <w:r>
              <w:rPr>
                <w:spacing w:val="6"/>
                <w:sz w:val="20"/>
                <w:szCs w:val="20"/>
              </w:rPr>
              <w:t>地下水</w:t>
            </w:r>
          </w:p>
        </w:tc>
        <w:tc>
          <w:tcPr>
            <w:tcW w:w="1646" w:type="dxa"/>
            <w:gridSpan w:val="2"/>
            <w:vAlign w:val="top"/>
          </w:tcPr>
          <w:p w14:paraId="6A375525">
            <w:pPr>
              <w:pStyle w:val="6"/>
              <w:spacing w:before="95" w:line="228" w:lineRule="auto"/>
              <w:ind w:left="67"/>
              <w:rPr>
                <w:sz w:val="20"/>
                <w:szCs w:val="20"/>
              </w:rPr>
            </w:pPr>
            <w:r>
              <w:rPr>
                <w:spacing w:val="-12"/>
                <w:sz w:val="20"/>
                <w:szCs w:val="20"/>
              </w:rPr>
              <w:t>地下水功能敏感性</w:t>
            </w:r>
          </w:p>
        </w:tc>
        <w:tc>
          <w:tcPr>
            <w:tcW w:w="1435" w:type="dxa"/>
            <w:gridSpan w:val="3"/>
            <w:vAlign w:val="top"/>
          </w:tcPr>
          <w:p w14:paraId="1C039C3C">
            <w:pPr>
              <w:spacing w:before="131"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G1□</w:t>
            </w:r>
          </w:p>
        </w:tc>
        <w:tc>
          <w:tcPr>
            <w:tcW w:w="1786" w:type="dxa"/>
            <w:gridSpan w:val="2"/>
            <w:vAlign w:val="top"/>
          </w:tcPr>
          <w:p w14:paraId="53A4089E">
            <w:pPr>
              <w:spacing w:before="131" w:line="195"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G2□</w:t>
            </w:r>
          </w:p>
        </w:tc>
        <w:tc>
          <w:tcPr>
            <w:tcW w:w="1742" w:type="dxa"/>
            <w:vAlign w:val="top"/>
          </w:tcPr>
          <w:p w14:paraId="3F24A643">
            <w:pPr>
              <w:spacing w:before="96" w:line="263" w:lineRule="exact"/>
              <w:ind w:left="641"/>
              <w:rPr>
                <w:rFonts w:ascii="MS UI Gothic" w:hAnsi="MS UI Gothic" w:eastAsia="MS UI Gothic" w:cs="MS UI Gothic"/>
                <w:sz w:val="20"/>
                <w:szCs w:val="20"/>
              </w:rPr>
            </w:pPr>
            <w:r>
              <w:rPr>
                <w:rFonts w:ascii="Times New Roman" w:hAnsi="Times New Roman" w:eastAsia="Times New Roman" w:cs="Times New Roman"/>
                <w:spacing w:val="4"/>
                <w:position w:val="1"/>
                <w:sz w:val="20"/>
                <w:szCs w:val="20"/>
              </w:rPr>
              <w:t>G3</w:t>
            </w:r>
            <w:r>
              <w:rPr>
                <w:rFonts w:ascii="MS UI Gothic" w:hAnsi="MS UI Gothic" w:eastAsia="MS UI Gothic" w:cs="MS UI Gothic"/>
                <w:spacing w:val="4"/>
                <w:position w:val="1"/>
                <w:sz w:val="20"/>
                <w:szCs w:val="20"/>
              </w:rPr>
              <w:t>☑</w:t>
            </w:r>
          </w:p>
        </w:tc>
      </w:tr>
      <w:tr w14:paraId="15431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tcBorders>
            <w:textDirection w:val="tbRlV"/>
            <w:vAlign w:val="top"/>
          </w:tcPr>
          <w:p w14:paraId="66181727">
            <w:pPr>
              <w:rPr>
                <w:rFonts w:ascii="Arial"/>
                <w:sz w:val="21"/>
              </w:rPr>
            </w:pPr>
          </w:p>
        </w:tc>
        <w:tc>
          <w:tcPr>
            <w:tcW w:w="1080" w:type="dxa"/>
            <w:vMerge w:val="continue"/>
            <w:tcBorders>
              <w:top w:val="nil"/>
            </w:tcBorders>
            <w:vAlign w:val="top"/>
          </w:tcPr>
          <w:p w14:paraId="5A031624">
            <w:pPr>
              <w:rPr>
                <w:rFonts w:ascii="Arial"/>
                <w:sz w:val="21"/>
              </w:rPr>
            </w:pPr>
          </w:p>
        </w:tc>
        <w:tc>
          <w:tcPr>
            <w:tcW w:w="1142" w:type="dxa"/>
            <w:vMerge w:val="continue"/>
            <w:tcBorders>
              <w:top w:val="nil"/>
            </w:tcBorders>
            <w:vAlign w:val="top"/>
          </w:tcPr>
          <w:p w14:paraId="3F012959">
            <w:pPr>
              <w:rPr>
                <w:rFonts w:ascii="Arial"/>
                <w:sz w:val="21"/>
              </w:rPr>
            </w:pPr>
          </w:p>
        </w:tc>
        <w:tc>
          <w:tcPr>
            <w:tcW w:w="1646" w:type="dxa"/>
            <w:gridSpan w:val="2"/>
            <w:vAlign w:val="top"/>
          </w:tcPr>
          <w:p w14:paraId="73156A3D">
            <w:pPr>
              <w:pStyle w:val="6"/>
              <w:spacing w:before="96" w:line="228" w:lineRule="auto"/>
              <w:ind w:left="163"/>
              <w:rPr>
                <w:sz w:val="20"/>
                <w:szCs w:val="20"/>
              </w:rPr>
            </w:pPr>
            <w:r>
              <w:rPr>
                <w:spacing w:val="-12"/>
                <w:sz w:val="20"/>
                <w:szCs w:val="20"/>
              </w:rPr>
              <w:t>包气带防污性能</w:t>
            </w:r>
          </w:p>
        </w:tc>
        <w:tc>
          <w:tcPr>
            <w:tcW w:w="1435" w:type="dxa"/>
            <w:gridSpan w:val="3"/>
            <w:vAlign w:val="top"/>
          </w:tcPr>
          <w:p w14:paraId="167B6E1D">
            <w:pPr>
              <w:spacing w:before="132"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w:t>
            </w:r>
          </w:p>
        </w:tc>
        <w:tc>
          <w:tcPr>
            <w:tcW w:w="1786" w:type="dxa"/>
            <w:gridSpan w:val="2"/>
            <w:vAlign w:val="top"/>
          </w:tcPr>
          <w:p w14:paraId="1569DE49">
            <w:pPr>
              <w:spacing w:before="96" w:line="264" w:lineRule="exact"/>
              <w:ind w:left="659"/>
              <w:rPr>
                <w:rFonts w:ascii="MS UI Gothic" w:hAnsi="MS UI Gothic" w:eastAsia="MS UI Gothic" w:cs="MS UI Gothic"/>
                <w:sz w:val="20"/>
                <w:szCs w:val="20"/>
              </w:rPr>
            </w:pPr>
            <w:r>
              <w:rPr>
                <w:rFonts w:ascii="Times New Roman" w:hAnsi="Times New Roman" w:eastAsia="Times New Roman" w:cs="Times New Roman"/>
                <w:spacing w:val="5"/>
                <w:position w:val="1"/>
                <w:sz w:val="20"/>
                <w:szCs w:val="20"/>
              </w:rPr>
              <w:t>D2</w:t>
            </w:r>
            <w:r>
              <w:rPr>
                <w:rFonts w:ascii="MS UI Gothic" w:hAnsi="MS UI Gothic" w:eastAsia="MS UI Gothic" w:cs="MS UI Gothic"/>
                <w:spacing w:val="5"/>
                <w:position w:val="1"/>
                <w:sz w:val="20"/>
                <w:szCs w:val="20"/>
              </w:rPr>
              <w:t>☑</w:t>
            </w:r>
          </w:p>
        </w:tc>
        <w:tc>
          <w:tcPr>
            <w:tcW w:w="1742" w:type="dxa"/>
            <w:vAlign w:val="top"/>
          </w:tcPr>
          <w:p w14:paraId="72D6AC5E">
            <w:pPr>
              <w:spacing w:before="132"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D3□</w:t>
            </w:r>
          </w:p>
        </w:tc>
      </w:tr>
      <w:tr w14:paraId="17C84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448" w:type="dxa"/>
            <w:gridSpan w:val="2"/>
            <w:vMerge w:val="restart"/>
            <w:tcBorders>
              <w:bottom w:val="nil"/>
            </w:tcBorders>
            <w:vAlign w:val="top"/>
          </w:tcPr>
          <w:p w14:paraId="47134634">
            <w:pPr>
              <w:spacing w:line="333" w:lineRule="auto"/>
              <w:rPr>
                <w:rFonts w:ascii="Arial"/>
                <w:sz w:val="21"/>
              </w:rPr>
            </w:pPr>
          </w:p>
          <w:p w14:paraId="2484B2A8">
            <w:pPr>
              <w:pStyle w:val="6"/>
              <w:spacing w:before="65" w:line="222" w:lineRule="auto"/>
              <w:ind w:left="95"/>
              <w:rPr>
                <w:sz w:val="20"/>
                <w:szCs w:val="20"/>
              </w:rPr>
            </w:pPr>
            <w:r>
              <w:rPr>
                <w:spacing w:val="8"/>
                <w:sz w:val="20"/>
                <w:szCs w:val="20"/>
              </w:rPr>
              <w:t>物质及工艺系</w:t>
            </w:r>
          </w:p>
          <w:p w14:paraId="0028F1A1">
            <w:pPr>
              <w:pStyle w:val="6"/>
              <w:spacing w:line="228" w:lineRule="auto"/>
              <w:ind w:left="311"/>
              <w:rPr>
                <w:sz w:val="20"/>
                <w:szCs w:val="20"/>
              </w:rPr>
            </w:pPr>
            <w:r>
              <w:rPr>
                <w:spacing w:val="6"/>
                <w:sz w:val="20"/>
                <w:szCs w:val="20"/>
              </w:rPr>
              <w:t>统危险性</w:t>
            </w:r>
          </w:p>
        </w:tc>
        <w:tc>
          <w:tcPr>
            <w:tcW w:w="1142" w:type="dxa"/>
            <w:vAlign w:val="top"/>
          </w:tcPr>
          <w:p w14:paraId="28724C67">
            <w:pPr>
              <w:pStyle w:val="6"/>
              <w:spacing w:before="98" w:line="221" w:lineRule="auto"/>
              <w:ind w:left="364"/>
              <w:rPr>
                <w:sz w:val="20"/>
                <w:szCs w:val="20"/>
              </w:rPr>
            </w:pPr>
            <w:r>
              <w:rPr>
                <w:rFonts w:ascii="Times New Roman" w:hAnsi="Times New Roman" w:eastAsia="Times New Roman" w:cs="Times New Roman"/>
                <w:i/>
                <w:iCs/>
                <w:spacing w:val="-2"/>
                <w:sz w:val="20"/>
                <w:szCs w:val="20"/>
              </w:rPr>
              <w:t>Q</w:t>
            </w:r>
            <w:r>
              <w:rPr>
                <w:rFonts w:ascii="Times New Roman" w:hAnsi="Times New Roman" w:eastAsia="Times New Roman" w:cs="Times New Roman"/>
                <w:i/>
                <w:iCs/>
                <w:spacing w:val="11"/>
                <w:sz w:val="20"/>
                <w:szCs w:val="20"/>
              </w:rPr>
              <w:t xml:space="preserve"> </w:t>
            </w:r>
            <w:r>
              <w:rPr>
                <w:spacing w:val="-2"/>
                <w:sz w:val="20"/>
                <w:szCs w:val="20"/>
              </w:rPr>
              <w:t>值</w:t>
            </w:r>
          </w:p>
        </w:tc>
        <w:tc>
          <w:tcPr>
            <w:tcW w:w="1646" w:type="dxa"/>
            <w:gridSpan w:val="2"/>
            <w:vAlign w:val="top"/>
          </w:tcPr>
          <w:p w14:paraId="67BC7EE6">
            <w:pPr>
              <w:pStyle w:val="6"/>
              <w:spacing w:before="98" w:line="221" w:lineRule="auto"/>
              <w:ind w:left="530"/>
              <w:rPr>
                <w:rFonts w:ascii="Times New Roman" w:hAnsi="Times New Roman" w:eastAsia="Times New Roman" w:cs="Times New Roman"/>
                <w:sz w:val="20"/>
                <w:szCs w:val="20"/>
              </w:rPr>
            </w:pPr>
            <w:r>
              <w:rPr>
                <w:rFonts w:ascii="Times New Roman" w:hAnsi="Times New Roman" w:eastAsia="Times New Roman" w:cs="Times New Roman"/>
                <w:i/>
                <w:iCs/>
                <w:spacing w:val="3"/>
                <w:sz w:val="20"/>
                <w:szCs w:val="20"/>
              </w:rPr>
              <w:t>Q</w:t>
            </w:r>
            <w:r>
              <w:rPr>
                <w:spacing w:val="3"/>
                <w:sz w:val="20"/>
                <w:szCs w:val="20"/>
              </w:rPr>
              <w:t>＜</w:t>
            </w:r>
            <w:r>
              <w:rPr>
                <w:rFonts w:ascii="Times New Roman" w:hAnsi="Times New Roman" w:eastAsia="Times New Roman" w:cs="Times New Roman"/>
                <w:spacing w:val="3"/>
                <w:sz w:val="20"/>
                <w:szCs w:val="20"/>
              </w:rPr>
              <w:t>1□</w:t>
            </w:r>
          </w:p>
        </w:tc>
        <w:tc>
          <w:tcPr>
            <w:tcW w:w="1435" w:type="dxa"/>
            <w:gridSpan w:val="3"/>
            <w:vAlign w:val="top"/>
          </w:tcPr>
          <w:p w14:paraId="453E5441">
            <w:pPr>
              <w:pStyle w:val="6"/>
              <w:spacing w:before="98" w:line="221" w:lineRule="auto"/>
              <w:ind w:left="238"/>
              <w:rPr>
                <w:rFonts w:ascii="MS UI Gothic" w:hAnsi="MS UI Gothic" w:eastAsia="MS UI Gothic" w:cs="MS UI Gothic"/>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i/>
                <w:iCs/>
                <w:spacing w:val="2"/>
                <w:sz w:val="20"/>
                <w:szCs w:val="20"/>
              </w:rPr>
              <w:t>Q</w:t>
            </w:r>
            <w:r>
              <w:rPr>
                <w:spacing w:val="2"/>
                <w:sz w:val="20"/>
                <w:szCs w:val="20"/>
              </w:rPr>
              <w:t>＜</w:t>
            </w:r>
            <w:r>
              <w:rPr>
                <w:rFonts w:ascii="Times New Roman" w:hAnsi="Times New Roman" w:eastAsia="Times New Roman" w:cs="Times New Roman"/>
                <w:spacing w:val="2"/>
                <w:sz w:val="20"/>
                <w:szCs w:val="20"/>
              </w:rPr>
              <w:t>10</w:t>
            </w:r>
            <w:r>
              <w:rPr>
                <w:rFonts w:ascii="MS UI Gothic" w:hAnsi="MS UI Gothic" w:eastAsia="MS UI Gothic" w:cs="MS UI Gothic"/>
                <w:spacing w:val="2"/>
                <w:sz w:val="20"/>
                <w:szCs w:val="20"/>
              </w:rPr>
              <w:t>☑</w:t>
            </w:r>
          </w:p>
        </w:tc>
        <w:tc>
          <w:tcPr>
            <w:tcW w:w="1786" w:type="dxa"/>
            <w:gridSpan w:val="2"/>
            <w:vAlign w:val="top"/>
          </w:tcPr>
          <w:p w14:paraId="6C10262C">
            <w:pPr>
              <w:pStyle w:val="6"/>
              <w:spacing w:before="98" w:line="221"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i/>
                <w:iCs/>
                <w:spacing w:val="2"/>
                <w:sz w:val="20"/>
                <w:szCs w:val="20"/>
              </w:rPr>
              <w:t>Q</w:t>
            </w:r>
            <w:r>
              <w:rPr>
                <w:spacing w:val="2"/>
                <w:sz w:val="20"/>
                <w:szCs w:val="20"/>
              </w:rPr>
              <w:t>＜</w:t>
            </w:r>
            <w:r>
              <w:rPr>
                <w:rFonts w:ascii="Times New Roman" w:hAnsi="Times New Roman" w:eastAsia="Times New Roman" w:cs="Times New Roman"/>
                <w:spacing w:val="2"/>
                <w:sz w:val="20"/>
                <w:szCs w:val="20"/>
              </w:rPr>
              <w:t>100□</w:t>
            </w:r>
          </w:p>
        </w:tc>
        <w:tc>
          <w:tcPr>
            <w:tcW w:w="1742" w:type="dxa"/>
            <w:vAlign w:val="top"/>
          </w:tcPr>
          <w:p w14:paraId="495BA9AA">
            <w:pPr>
              <w:pStyle w:val="6"/>
              <w:spacing w:before="98" w:line="221" w:lineRule="auto"/>
              <w:ind w:left="478"/>
              <w:rPr>
                <w:rFonts w:ascii="Times New Roman" w:hAnsi="Times New Roman" w:eastAsia="Times New Roman" w:cs="Times New Roman"/>
                <w:sz w:val="20"/>
                <w:szCs w:val="20"/>
              </w:rPr>
            </w:pPr>
            <w:r>
              <w:rPr>
                <w:rFonts w:ascii="Times New Roman" w:hAnsi="Times New Roman" w:eastAsia="Times New Roman" w:cs="Times New Roman"/>
                <w:i/>
                <w:iCs/>
                <w:spacing w:val="3"/>
                <w:sz w:val="20"/>
                <w:szCs w:val="20"/>
              </w:rPr>
              <w:t>Q</w:t>
            </w:r>
            <w:r>
              <w:rPr>
                <w:spacing w:val="3"/>
                <w:sz w:val="20"/>
                <w:szCs w:val="20"/>
              </w:rPr>
              <w:t>＞</w:t>
            </w:r>
            <w:r>
              <w:rPr>
                <w:rFonts w:ascii="Times New Roman" w:hAnsi="Times New Roman" w:eastAsia="Times New Roman" w:cs="Times New Roman"/>
                <w:spacing w:val="3"/>
                <w:sz w:val="20"/>
                <w:szCs w:val="20"/>
              </w:rPr>
              <w:t>100□</w:t>
            </w:r>
          </w:p>
        </w:tc>
      </w:tr>
      <w:tr w14:paraId="7C0A0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Merge w:val="continue"/>
            <w:tcBorders>
              <w:top w:val="nil"/>
              <w:bottom w:val="nil"/>
            </w:tcBorders>
            <w:vAlign w:val="top"/>
          </w:tcPr>
          <w:p w14:paraId="4D7E2802">
            <w:pPr>
              <w:rPr>
                <w:rFonts w:ascii="Arial"/>
                <w:sz w:val="21"/>
              </w:rPr>
            </w:pPr>
          </w:p>
        </w:tc>
        <w:tc>
          <w:tcPr>
            <w:tcW w:w="1142" w:type="dxa"/>
            <w:vAlign w:val="top"/>
          </w:tcPr>
          <w:p w14:paraId="375F1246">
            <w:pPr>
              <w:pStyle w:val="6"/>
              <w:spacing w:before="98" w:line="228" w:lineRule="auto"/>
              <w:ind w:left="341"/>
              <w:rPr>
                <w:sz w:val="20"/>
                <w:szCs w:val="20"/>
              </w:rPr>
            </w:pPr>
            <w:r>
              <w:rPr>
                <w:rFonts w:ascii="Times New Roman" w:hAnsi="Times New Roman" w:eastAsia="Times New Roman" w:cs="Times New Roman"/>
                <w:spacing w:val="2"/>
                <w:sz w:val="20"/>
                <w:szCs w:val="20"/>
              </w:rPr>
              <w:t>M</w:t>
            </w:r>
            <w:r>
              <w:rPr>
                <w:rFonts w:ascii="Times New Roman" w:hAnsi="Times New Roman" w:eastAsia="Times New Roman" w:cs="Times New Roman"/>
                <w:spacing w:val="12"/>
                <w:w w:val="101"/>
                <w:sz w:val="20"/>
                <w:szCs w:val="20"/>
              </w:rPr>
              <w:t xml:space="preserve"> </w:t>
            </w:r>
            <w:r>
              <w:rPr>
                <w:spacing w:val="2"/>
                <w:sz w:val="20"/>
                <w:szCs w:val="20"/>
              </w:rPr>
              <w:t>值</w:t>
            </w:r>
          </w:p>
        </w:tc>
        <w:tc>
          <w:tcPr>
            <w:tcW w:w="1646" w:type="dxa"/>
            <w:gridSpan w:val="2"/>
            <w:vAlign w:val="top"/>
          </w:tcPr>
          <w:p w14:paraId="642CD61A">
            <w:pPr>
              <w:spacing w:before="134"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M1□</w:t>
            </w:r>
          </w:p>
        </w:tc>
        <w:tc>
          <w:tcPr>
            <w:tcW w:w="1435" w:type="dxa"/>
            <w:gridSpan w:val="3"/>
            <w:vAlign w:val="top"/>
          </w:tcPr>
          <w:p w14:paraId="67FED9D8">
            <w:pPr>
              <w:spacing w:before="134"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M2□</w:t>
            </w:r>
          </w:p>
        </w:tc>
        <w:tc>
          <w:tcPr>
            <w:tcW w:w="1786" w:type="dxa"/>
            <w:gridSpan w:val="2"/>
            <w:vAlign w:val="top"/>
          </w:tcPr>
          <w:p w14:paraId="1C07E5C5">
            <w:pPr>
              <w:spacing w:before="134"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M3□</w:t>
            </w:r>
          </w:p>
        </w:tc>
        <w:tc>
          <w:tcPr>
            <w:tcW w:w="1742" w:type="dxa"/>
            <w:vAlign w:val="top"/>
          </w:tcPr>
          <w:p w14:paraId="06BEBDFF">
            <w:pPr>
              <w:spacing w:before="98" w:line="265" w:lineRule="exact"/>
              <w:ind w:left="620"/>
              <w:rPr>
                <w:rFonts w:ascii="MS UI Gothic" w:hAnsi="MS UI Gothic" w:eastAsia="MS UI Gothic" w:cs="MS UI Gothic"/>
                <w:sz w:val="20"/>
                <w:szCs w:val="20"/>
              </w:rPr>
            </w:pPr>
            <w:r>
              <w:rPr>
                <w:rFonts w:ascii="Times New Roman" w:hAnsi="Times New Roman" w:eastAsia="Times New Roman" w:cs="Times New Roman"/>
                <w:spacing w:val="5"/>
                <w:position w:val="1"/>
                <w:sz w:val="20"/>
                <w:szCs w:val="20"/>
              </w:rPr>
              <w:t>M4</w:t>
            </w:r>
            <w:r>
              <w:rPr>
                <w:rFonts w:ascii="MS UI Gothic" w:hAnsi="MS UI Gothic" w:eastAsia="MS UI Gothic" w:cs="MS UI Gothic"/>
                <w:spacing w:val="5"/>
                <w:position w:val="1"/>
                <w:sz w:val="20"/>
                <w:szCs w:val="20"/>
              </w:rPr>
              <w:t>☑</w:t>
            </w:r>
          </w:p>
        </w:tc>
      </w:tr>
      <w:tr w14:paraId="09443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Merge w:val="continue"/>
            <w:tcBorders>
              <w:top w:val="nil"/>
            </w:tcBorders>
            <w:vAlign w:val="top"/>
          </w:tcPr>
          <w:p w14:paraId="286BB051">
            <w:pPr>
              <w:rPr>
                <w:rFonts w:ascii="Arial"/>
                <w:sz w:val="21"/>
              </w:rPr>
            </w:pPr>
          </w:p>
        </w:tc>
        <w:tc>
          <w:tcPr>
            <w:tcW w:w="1142" w:type="dxa"/>
            <w:vAlign w:val="top"/>
          </w:tcPr>
          <w:p w14:paraId="0F88D63E">
            <w:pPr>
              <w:pStyle w:val="6"/>
              <w:spacing w:before="97" w:line="228" w:lineRule="auto"/>
              <w:ind w:left="377"/>
              <w:rPr>
                <w:sz w:val="20"/>
                <w:szCs w:val="20"/>
              </w:rPr>
            </w:pPr>
            <w:r>
              <w:rPr>
                <w:rFonts w:ascii="Times New Roman" w:hAnsi="Times New Roman" w:eastAsia="Times New Roman" w:cs="Times New Roman"/>
                <w:spacing w:val="1"/>
                <w:sz w:val="20"/>
                <w:szCs w:val="20"/>
              </w:rPr>
              <w:t>P</w:t>
            </w:r>
            <w:r>
              <w:rPr>
                <w:rFonts w:ascii="Times New Roman" w:hAnsi="Times New Roman" w:eastAsia="Times New Roman" w:cs="Times New Roman"/>
                <w:spacing w:val="9"/>
                <w:sz w:val="20"/>
                <w:szCs w:val="20"/>
              </w:rPr>
              <w:t xml:space="preserve"> </w:t>
            </w:r>
            <w:r>
              <w:rPr>
                <w:spacing w:val="1"/>
                <w:sz w:val="20"/>
                <w:szCs w:val="20"/>
              </w:rPr>
              <w:t>值</w:t>
            </w:r>
          </w:p>
        </w:tc>
        <w:tc>
          <w:tcPr>
            <w:tcW w:w="1646" w:type="dxa"/>
            <w:gridSpan w:val="2"/>
            <w:vAlign w:val="top"/>
          </w:tcPr>
          <w:p w14:paraId="2EB614DC">
            <w:pPr>
              <w:spacing w:before="134"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P1□</w:t>
            </w:r>
          </w:p>
        </w:tc>
        <w:tc>
          <w:tcPr>
            <w:tcW w:w="1435" w:type="dxa"/>
            <w:gridSpan w:val="3"/>
            <w:vAlign w:val="top"/>
          </w:tcPr>
          <w:p w14:paraId="5A7F0978">
            <w:pPr>
              <w:spacing w:before="134"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P2□</w:t>
            </w:r>
          </w:p>
        </w:tc>
        <w:tc>
          <w:tcPr>
            <w:tcW w:w="1786" w:type="dxa"/>
            <w:gridSpan w:val="2"/>
            <w:vAlign w:val="top"/>
          </w:tcPr>
          <w:p w14:paraId="3CC1D7E0">
            <w:pPr>
              <w:spacing w:before="133"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P3□</w:t>
            </w:r>
          </w:p>
        </w:tc>
        <w:tc>
          <w:tcPr>
            <w:tcW w:w="1742" w:type="dxa"/>
            <w:vAlign w:val="top"/>
          </w:tcPr>
          <w:p w14:paraId="200D599C">
            <w:pPr>
              <w:spacing w:before="98" w:line="264" w:lineRule="exact"/>
              <w:ind w:left="654"/>
              <w:rPr>
                <w:rFonts w:ascii="MS UI Gothic" w:hAnsi="MS UI Gothic" w:eastAsia="MS UI Gothic" w:cs="MS UI Gothic"/>
                <w:sz w:val="20"/>
                <w:szCs w:val="20"/>
              </w:rPr>
            </w:pPr>
            <w:r>
              <w:rPr>
                <w:rFonts w:ascii="Times New Roman" w:hAnsi="Times New Roman" w:eastAsia="Times New Roman" w:cs="Times New Roman"/>
                <w:spacing w:val="4"/>
                <w:position w:val="1"/>
                <w:sz w:val="20"/>
                <w:szCs w:val="20"/>
              </w:rPr>
              <w:t>P4</w:t>
            </w:r>
            <w:r>
              <w:rPr>
                <w:rFonts w:ascii="MS UI Gothic" w:hAnsi="MS UI Gothic" w:eastAsia="MS UI Gothic" w:cs="MS UI Gothic"/>
                <w:spacing w:val="4"/>
                <w:position w:val="1"/>
                <w:sz w:val="20"/>
                <w:szCs w:val="20"/>
              </w:rPr>
              <w:t>☑</w:t>
            </w:r>
          </w:p>
        </w:tc>
      </w:tr>
      <w:tr w14:paraId="04BBD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Merge w:val="restart"/>
            <w:tcBorders>
              <w:bottom w:val="nil"/>
            </w:tcBorders>
            <w:vAlign w:val="top"/>
          </w:tcPr>
          <w:p w14:paraId="57178CD5">
            <w:pPr>
              <w:spacing w:line="454" w:lineRule="auto"/>
              <w:rPr>
                <w:rFonts w:ascii="Arial"/>
                <w:sz w:val="21"/>
              </w:rPr>
            </w:pPr>
          </w:p>
          <w:p w14:paraId="4471E542">
            <w:pPr>
              <w:pStyle w:val="6"/>
              <w:spacing w:before="65" w:line="228" w:lineRule="auto"/>
              <w:ind w:left="95"/>
              <w:rPr>
                <w:sz w:val="20"/>
                <w:szCs w:val="20"/>
              </w:rPr>
            </w:pPr>
            <w:r>
              <w:rPr>
                <w:spacing w:val="8"/>
                <w:sz w:val="20"/>
                <w:szCs w:val="20"/>
              </w:rPr>
              <w:t>环境敏感程度</w:t>
            </w:r>
          </w:p>
        </w:tc>
        <w:tc>
          <w:tcPr>
            <w:tcW w:w="1142" w:type="dxa"/>
            <w:vAlign w:val="top"/>
          </w:tcPr>
          <w:p w14:paraId="3F8EF2E4">
            <w:pPr>
              <w:pStyle w:val="6"/>
              <w:spacing w:before="97" w:line="228" w:lineRule="auto"/>
              <w:ind w:left="363"/>
              <w:rPr>
                <w:sz w:val="20"/>
                <w:szCs w:val="20"/>
              </w:rPr>
            </w:pPr>
            <w:r>
              <w:rPr>
                <w:spacing w:val="3"/>
                <w:sz w:val="20"/>
                <w:szCs w:val="20"/>
              </w:rPr>
              <w:t>大气</w:t>
            </w:r>
          </w:p>
        </w:tc>
        <w:tc>
          <w:tcPr>
            <w:tcW w:w="1646" w:type="dxa"/>
            <w:gridSpan w:val="2"/>
            <w:vAlign w:val="top"/>
          </w:tcPr>
          <w:p w14:paraId="720A7046">
            <w:pPr>
              <w:spacing w:before="97" w:line="264" w:lineRule="exact"/>
              <w:ind w:left="597"/>
              <w:rPr>
                <w:rFonts w:ascii="MS Gothic" w:hAnsi="MS Gothic" w:eastAsia="MS Gothic" w:cs="MS Gothic"/>
                <w:sz w:val="20"/>
                <w:szCs w:val="20"/>
              </w:rPr>
            </w:pPr>
            <w:r>
              <w:rPr>
                <w:rFonts w:ascii="Times New Roman" w:hAnsi="Times New Roman" w:eastAsia="Times New Roman" w:cs="Times New Roman"/>
                <w:spacing w:val="4"/>
                <w:position w:val="1"/>
                <w:sz w:val="20"/>
                <w:szCs w:val="20"/>
              </w:rPr>
              <w:t>E1</w:t>
            </w:r>
            <w:r>
              <w:rPr>
                <w:rFonts w:ascii="MS Gothic" w:hAnsi="MS Gothic" w:eastAsia="MS Gothic" w:cs="MS Gothic"/>
                <w:spacing w:val="4"/>
                <w:position w:val="1"/>
                <w:sz w:val="20"/>
                <w:szCs w:val="20"/>
              </w:rPr>
              <w:t>☑</w:t>
            </w:r>
          </w:p>
        </w:tc>
        <w:tc>
          <w:tcPr>
            <w:tcW w:w="3221" w:type="dxa"/>
            <w:gridSpan w:val="5"/>
            <w:vAlign w:val="top"/>
          </w:tcPr>
          <w:p w14:paraId="2BDC9527">
            <w:pPr>
              <w:pStyle w:val="6"/>
              <w:spacing w:before="97" w:line="267" w:lineRule="exact"/>
              <w:ind w:left="1389"/>
              <w:rPr>
                <w:sz w:val="20"/>
                <w:szCs w:val="20"/>
              </w:rPr>
            </w:pPr>
            <w:r>
              <w:rPr>
                <w:rFonts w:ascii="Times New Roman" w:hAnsi="Times New Roman" w:eastAsia="Times New Roman" w:cs="Times New Roman"/>
                <w:spacing w:val="5"/>
                <w:position w:val="1"/>
                <w:sz w:val="20"/>
                <w:szCs w:val="20"/>
              </w:rPr>
              <w:t>E2</w:t>
            </w:r>
            <w:r>
              <w:rPr>
                <w:spacing w:val="5"/>
                <w:position w:val="1"/>
                <w:sz w:val="20"/>
                <w:szCs w:val="20"/>
              </w:rPr>
              <w:t>□</w:t>
            </w:r>
          </w:p>
        </w:tc>
        <w:tc>
          <w:tcPr>
            <w:tcW w:w="1742" w:type="dxa"/>
            <w:vAlign w:val="top"/>
          </w:tcPr>
          <w:p w14:paraId="386C8FF0">
            <w:pPr>
              <w:spacing w:before="133"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E3□</w:t>
            </w:r>
          </w:p>
        </w:tc>
      </w:tr>
      <w:tr w14:paraId="5F101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Merge w:val="continue"/>
            <w:tcBorders>
              <w:top w:val="nil"/>
              <w:bottom w:val="nil"/>
            </w:tcBorders>
            <w:vAlign w:val="top"/>
          </w:tcPr>
          <w:p w14:paraId="4FF1CB8E">
            <w:pPr>
              <w:rPr>
                <w:rFonts w:ascii="Arial"/>
                <w:sz w:val="21"/>
              </w:rPr>
            </w:pPr>
          </w:p>
        </w:tc>
        <w:tc>
          <w:tcPr>
            <w:tcW w:w="1142" w:type="dxa"/>
            <w:vAlign w:val="top"/>
          </w:tcPr>
          <w:p w14:paraId="3FED28C2">
            <w:pPr>
              <w:pStyle w:val="6"/>
              <w:spacing w:before="98" w:line="228" w:lineRule="auto"/>
              <w:ind w:left="255"/>
              <w:rPr>
                <w:sz w:val="20"/>
                <w:szCs w:val="20"/>
              </w:rPr>
            </w:pPr>
            <w:r>
              <w:rPr>
                <w:spacing w:val="6"/>
                <w:sz w:val="20"/>
                <w:szCs w:val="20"/>
              </w:rPr>
              <w:t>地表水</w:t>
            </w:r>
          </w:p>
        </w:tc>
        <w:tc>
          <w:tcPr>
            <w:tcW w:w="1646" w:type="dxa"/>
            <w:gridSpan w:val="2"/>
            <w:vAlign w:val="top"/>
          </w:tcPr>
          <w:p w14:paraId="6DE682B1">
            <w:pPr>
              <w:spacing w:before="135"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E1□</w:t>
            </w:r>
          </w:p>
        </w:tc>
        <w:tc>
          <w:tcPr>
            <w:tcW w:w="3221" w:type="dxa"/>
            <w:gridSpan w:val="5"/>
            <w:vAlign w:val="top"/>
          </w:tcPr>
          <w:p w14:paraId="7D667445">
            <w:pPr>
              <w:spacing w:before="99" w:line="264" w:lineRule="exact"/>
              <w:ind w:left="1389"/>
              <w:rPr>
                <w:rFonts w:ascii="MS UI Gothic" w:hAnsi="MS UI Gothic" w:eastAsia="MS UI Gothic" w:cs="MS UI Gothic"/>
                <w:sz w:val="20"/>
                <w:szCs w:val="20"/>
              </w:rPr>
            </w:pPr>
            <w:r>
              <w:rPr>
                <w:rFonts w:ascii="Times New Roman" w:hAnsi="Times New Roman" w:eastAsia="Times New Roman" w:cs="Times New Roman"/>
                <w:spacing w:val="5"/>
                <w:position w:val="1"/>
                <w:sz w:val="20"/>
                <w:szCs w:val="20"/>
              </w:rPr>
              <w:t>E2</w:t>
            </w:r>
            <w:r>
              <w:rPr>
                <w:rFonts w:ascii="MS UI Gothic" w:hAnsi="MS UI Gothic" w:eastAsia="MS UI Gothic" w:cs="MS UI Gothic"/>
                <w:spacing w:val="5"/>
                <w:position w:val="1"/>
                <w:sz w:val="20"/>
                <w:szCs w:val="20"/>
              </w:rPr>
              <w:t>☑</w:t>
            </w:r>
          </w:p>
        </w:tc>
        <w:tc>
          <w:tcPr>
            <w:tcW w:w="1742" w:type="dxa"/>
            <w:vAlign w:val="top"/>
          </w:tcPr>
          <w:p w14:paraId="3A123F41">
            <w:pPr>
              <w:spacing w:before="135"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E3□</w:t>
            </w:r>
          </w:p>
        </w:tc>
      </w:tr>
      <w:tr w14:paraId="035A6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Merge w:val="continue"/>
            <w:tcBorders>
              <w:top w:val="nil"/>
            </w:tcBorders>
            <w:vAlign w:val="top"/>
          </w:tcPr>
          <w:p w14:paraId="01A706B9">
            <w:pPr>
              <w:rPr>
                <w:rFonts w:ascii="Arial"/>
                <w:sz w:val="21"/>
              </w:rPr>
            </w:pPr>
          </w:p>
        </w:tc>
        <w:tc>
          <w:tcPr>
            <w:tcW w:w="1142" w:type="dxa"/>
            <w:vAlign w:val="top"/>
          </w:tcPr>
          <w:p w14:paraId="434771D8">
            <w:pPr>
              <w:pStyle w:val="6"/>
              <w:spacing w:before="98" w:line="228" w:lineRule="auto"/>
              <w:ind w:left="255"/>
              <w:rPr>
                <w:sz w:val="20"/>
                <w:szCs w:val="20"/>
              </w:rPr>
            </w:pPr>
            <w:r>
              <w:rPr>
                <w:spacing w:val="6"/>
                <w:sz w:val="20"/>
                <w:szCs w:val="20"/>
              </w:rPr>
              <w:t>地下水</w:t>
            </w:r>
          </w:p>
        </w:tc>
        <w:tc>
          <w:tcPr>
            <w:tcW w:w="1646" w:type="dxa"/>
            <w:gridSpan w:val="2"/>
            <w:vAlign w:val="top"/>
          </w:tcPr>
          <w:p w14:paraId="71DDB428">
            <w:pPr>
              <w:spacing w:before="134"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E1□</w:t>
            </w:r>
          </w:p>
        </w:tc>
        <w:tc>
          <w:tcPr>
            <w:tcW w:w="3221" w:type="dxa"/>
            <w:gridSpan w:val="5"/>
            <w:vAlign w:val="top"/>
          </w:tcPr>
          <w:p w14:paraId="485E5DB7">
            <w:pPr>
              <w:spacing w:before="134" w:line="195" w:lineRule="auto"/>
              <w:ind w:left="1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E2□</w:t>
            </w:r>
          </w:p>
        </w:tc>
        <w:tc>
          <w:tcPr>
            <w:tcW w:w="1742" w:type="dxa"/>
            <w:vAlign w:val="top"/>
          </w:tcPr>
          <w:p w14:paraId="6853E244">
            <w:pPr>
              <w:spacing w:before="98" w:line="264" w:lineRule="exact"/>
              <w:ind w:left="650"/>
              <w:rPr>
                <w:rFonts w:ascii="MS UI Gothic" w:hAnsi="MS UI Gothic" w:eastAsia="MS UI Gothic" w:cs="MS UI Gothic"/>
                <w:sz w:val="20"/>
                <w:szCs w:val="20"/>
              </w:rPr>
            </w:pPr>
            <w:r>
              <w:rPr>
                <w:rFonts w:ascii="Times New Roman" w:hAnsi="Times New Roman" w:eastAsia="Times New Roman" w:cs="Times New Roman"/>
                <w:spacing w:val="5"/>
                <w:position w:val="1"/>
                <w:sz w:val="20"/>
                <w:szCs w:val="20"/>
              </w:rPr>
              <w:t>E3</w:t>
            </w:r>
            <w:r>
              <w:rPr>
                <w:rFonts w:ascii="MS UI Gothic" w:hAnsi="MS UI Gothic" w:eastAsia="MS UI Gothic" w:cs="MS UI Gothic"/>
                <w:spacing w:val="5"/>
                <w:position w:val="1"/>
                <w:sz w:val="20"/>
                <w:szCs w:val="20"/>
              </w:rPr>
              <w:t>☑</w:t>
            </w:r>
          </w:p>
        </w:tc>
      </w:tr>
      <w:tr w14:paraId="6B58C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Align w:val="top"/>
          </w:tcPr>
          <w:p w14:paraId="778ABD7E">
            <w:pPr>
              <w:pStyle w:val="6"/>
              <w:spacing w:before="97" w:line="228" w:lineRule="auto"/>
              <w:ind w:left="95"/>
              <w:rPr>
                <w:sz w:val="20"/>
                <w:szCs w:val="20"/>
              </w:rPr>
            </w:pPr>
            <w:r>
              <w:rPr>
                <w:spacing w:val="8"/>
                <w:sz w:val="20"/>
                <w:szCs w:val="20"/>
              </w:rPr>
              <w:t>环境风险潜势</w:t>
            </w:r>
          </w:p>
        </w:tc>
        <w:tc>
          <w:tcPr>
            <w:tcW w:w="1430" w:type="dxa"/>
            <w:gridSpan w:val="2"/>
            <w:vAlign w:val="top"/>
          </w:tcPr>
          <w:p w14:paraId="36B6B8C3">
            <w:pPr>
              <w:spacing w:before="136" w:line="192"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Ⅴ□</w:t>
            </w:r>
          </w:p>
        </w:tc>
        <w:tc>
          <w:tcPr>
            <w:tcW w:w="1358" w:type="dxa"/>
            <w:vAlign w:val="top"/>
          </w:tcPr>
          <w:p w14:paraId="34B625CA">
            <w:pPr>
              <w:spacing w:before="136" w:line="192"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295" w:type="dxa"/>
            <w:gridSpan w:val="2"/>
            <w:vAlign w:val="top"/>
          </w:tcPr>
          <w:p w14:paraId="62CCFFDE">
            <w:pPr>
              <w:spacing w:before="98" w:line="264" w:lineRule="exact"/>
              <w:ind w:left="442"/>
              <w:rPr>
                <w:rFonts w:ascii="MS Gothic" w:hAnsi="MS Gothic" w:eastAsia="MS Gothic" w:cs="MS Gothic"/>
                <w:sz w:val="20"/>
                <w:szCs w:val="20"/>
              </w:rPr>
            </w:pPr>
            <w:r>
              <w:rPr>
                <w:rFonts w:ascii="Times New Roman" w:hAnsi="Times New Roman" w:eastAsia="Times New Roman" w:cs="Times New Roman"/>
                <w:spacing w:val="5"/>
                <w:position w:val="1"/>
                <w:sz w:val="20"/>
                <w:szCs w:val="20"/>
              </w:rPr>
              <w:t>Ⅲ</w:t>
            </w:r>
            <w:r>
              <w:rPr>
                <w:rFonts w:ascii="MS Gothic" w:hAnsi="MS Gothic" w:eastAsia="MS Gothic" w:cs="MS Gothic"/>
                <w:spacing w:val="5"/>
                <w:position w:val="1"/>
                <w:sz w:val="20"/>
                <w:szCs w:val="20"/>
              </w:rPr>
              <w:t>☑</w:t>
            </w:r>
          </w:p>
        </w:tc>
        <w:tc>
          <w:tcPr>
            <w:tcW w:w="1926" w:type="dxa"/>
            <w:gridSpan w:val="3"/>
            <w:vAlign w:val="top"/>
          </w:tcPr>
          <w:p w14:paraId="52FCEF74">
            <w:pPr>
              <w:spacing w:before="98" w:line="264" w:lineRule="exact"/>
              <w:ind w:left="791"/>
              <w:rPr>
                <w:rFonts w:ascii="MS UI Gothic" w:hAnsi="MS UI Gothic" w:eastAsia="MS UI Gothic" w:cs="MS UI Gothic"/>
                <w:sz w:val="20"/>
                <w:szCs w:val="20"/>
              </w:rPr>
            </w:pPr>
            <w:r>
              <w:rPr>
                <w:rFonts w:ascii="Times New Roman" w:hAnsi="Times New Roman" w:eastAsia="Times New Roman" w:cs="Times New Roman"/>
                <w:spacing w:val="5"/>
                <w:position w:val="1"/>
                <w:sz w:val="20"/>
                <w:szCs w:val="20"/>
              </w:rPr>
              <w:t>Ⅱ</w:t>
            </w:r>
            <w:r>
              <w:rPr>
                <w:rFonts w:ascii="MS UI Gothic" w:hAnsi="MS UI Gothic" w:eastAsia="MS UI Gothic" w:cs="MS UI Gothic"/>
                <w:spacing w:val="5"/>
                <w:position w:val="1"/>
                <w:sz w:val="20"/>
                <w:szCs w:val="20"/>
              </w:rPr>
              <w:t>☑</w:t>
            </w:r>
          </w:p>
        </w:tc>
        <w:tc>
          <w:tcPr>
            <w:tcW w:w="1742" w:type="dxa"/>
            <w:vAlign w:val="top"/>
          </w:tcPr>
          <w:p w14:paraId="5A0F9289">
            <w:pPr>
              <w:spacing w:before="98" w:line="264" w:lineRule="exact"/>
              <w:ind w:left="730"/>
              <w:rPr>
                <w:rFonts w:ascii="MS UI Gothic" w:hAnsi="MS UI Gothic" w:eastAsia="MS UI Gothic" w:cs="MS UI Gothic"/>
                <w:sz w:val="20"/>
                <w:szCs w:val="20"/>
              </w:rPr>
            </w:pPr>
            <w:r>
              <w:rPr>
                <w:rFonts w:ascii="Times New Roman" w:hAnsi="Times New Roman" w:eastAsia="Times New Roman" w:cs="Times New Roman"/>
                <w:spacing w:val="4"/>
                <w:position w:val="1"/>
                <w:sz w:val="20"/>
                <w:szCs w:val="20"/>
              </w:rPr>
              <w:t>I</w:t>
            </w:r>
            <w:r>
              <w:rPr>
                <w:rFonts w:ascii="MS UI Gothic" w:hAnsi="MS UI Gothic" w:eastAsia="MS UI Gothic" w:cs="MS UI Gothic"/>
                <w:spacing w:val="4"/>
                <w:position w:val="1"/>
                <w:sz w:val="20"/>
                <w:szCs w:val="20"/>
              </w:rPr>
              <w:t>☑</w:t>
            </w:r>
          </w:p>
        </w:tc>
      </w:tr>
      <w:tr w14:paraId="2927C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Align w:val="top"/>
          </w:tcPr>
          <w:p w14:paraId="7DA99156">
            <w:pPr>
              <w:pStyle w:val="6"/>
              <w:spacing w:before="97" w:line="226" w:lineRule="auto"/>
              <w:ind w:left="305"/>
              <w:rPr>
                <w:sz w:val="20"/>
                <w:szCs w:val="20"/>
              </w:rPr>
            </w:pPr>
            <w:r>
              <w:rPr>
                <w:spacing w:val="7"/>
                <w:sz w:val="20"/>
                <w:szCs w:val="20"/>
              </w:rPr>
              <w:t>评价等级</w:t>
            </w:r>
          </w:p>
        </w:tc>
        <w:tc>
          <w:tcPr>
            <w:tcW w:w="2788" w:type="dxa"/>
            <w:gridSpan w:val="3"/>
            <w:vAlign w:val="top"/>
          </w:tcPr>
          <w:p w14:paraId="1EB4F0B9">
            <w:pPr>
              <w:pStyle w:val="6"/>
              <w:spacing w:before="97" w:line="230" w:lineRule="auto"/>
              <w:ind w:left="1124"/>
              <w:rPr>
                <w:rFonts w:ascii="Times New Roman" w:hAnsi="Times New Roman" w:eastAsia="Times New Roman" w:cs="Times New Roman"/>
                <w:sz w:val="20"/>
                <w:szCs w:val="20"/>
              </w:rPr>
            </w:pPr>
            <w:r>
              <w:rPr>
                <w:spacing w:val="4"/>
                <w:sz w:val="20"/>
                <w:szCs w:val="20"/>
              </w:rPr>
              <w:t>一级</w:t>
            </w:r>
            <w:r>
              <w:rPr>
                <w:rFonts w:ascii="Times New Roman" w:hAnsi="Times New Roman" w:eastAsia="Times New Roman" w:cs="Times New Roman"/>
                <w:spacing w:val="4"/>
                <w:sz w:val="20"/>
                <w:szCs w:val="20"/>
              </w:rPr>
              <w:t>□</w:t>
            </w:r>
          </w:p>
        </w:tc>
        <w:tc>
          <w:tcPr>
            <w:tcW w:w="1295" w:type="dxa"/>
            <w:gridSpan w:val="2"/>
            <w:vAlign w:val="top"/>
          </w:tcPr>
          <w:p w14:paraId="6512C4FE">
            <w:pPr>
              <w:pStyle w:val="6"/>
              <w:spacing w:before="97" w:line="230" w:lineRule="auto"/>
              <w:ind w:left="338"/>
              <w:rPr>
                <w:rFonts w:ascii="MS Gothic" w:hAnsi="MS Gothic" w:eastAsia="MS Gothic" w:cs="MS Gothic"/>
                <w:sz w:val="20"/>
                <w:szCs w:val="20"/>
              </w:rPr>
            </w:pPr>
            <w:r>
              <w:rPr>
                <w:spacing w:val="4"/>
                <w:sz w:val="20"/>
                <w:szCs w:val="20"/>
              </w:rPr>
              <w:t>二级</w:t>
            </w:r>
            <w:r>
              <w:rPr>
                <w:rFonts w:ascii="MS Gothic" w:hAnsi="MS Gothic" w:eastAsia="MS Gothic" w:cs="MS Gothic"/>
                <w:spacing w:val="4"/>
                <w:sz w:val="20"/>
                <w:szCs w:val="20"/>
              </w:rPr>
              <w:t>☑</w:t>
            </w:r>
          </w:p>
        </w:tc>
        <w:tc>
          <w:tcPr>
            <w:tcW w:w="1926" w:type="dxa"/>
            <w:gridSpan w:val="3"/>
            <w:vAlign w:val="top"/>
          </w:tcPr>
          <w:p w14:paraId="629E8343">
            <w:pPr>
              <w:pStyle w:val="6"/>
              <w:spacing w:before="97" w:line="230" w:lineRule="auto"/>
              <w:ind w:left="652"/>
              <w:rPr>
                <w:rFonts w:ascii="MS UI Gothic" w:hAnsi="MS UI Gothic" w:eastAsia="MS UI Gothic" w:cs="MS UI Gothic"/>
                <w:sz w:val="20"/>
                <w:szCs w:val="20"/>
              </w:rPr>
            </w:pPr>
            <w:r>
              <w:rPr>
                <w:spacing w:val="7"/>
                <w:sz w:val="20"/>
                <w:szCs w:val="20"/>
              </w:rPr>
              <w:t>三级</w:t>
            </w:r>
            <w:r>
              <w:rPr>
                <w:rFonts w:ascii="MS UI Gothic" w:hAnsi="MS UI Gothic" w:eastAsia="MS UI Gothic" w:cs="MS UI Gothic"/>
                <w:spacing w:val="7"/>
                <w:sz w:val="20"/>
                <w:szCs w:val="20"/>
              </w:rPr>
              <w:t>☑</w:t>
            </w:r>
          </w:p>
        </w:tc>
        <w:tc>
          <w:tcPr>
            <w:tcW w:w="1742" w:type="dxa"/>
            <w:vAlign w:val="top"/>
          </w:tcPr>
          <w:p w14:paraId="6D97CDA4">
            <w:pPr>
              <w:pStyle w:val="6"/>
              <w:spacing w:before="97" w:line="227" w:lineRule="auto"/>
              <w:ind w:left="353"/>
              <w:rPr>
                <w:rFonts w:ascii="MS UI Gothic" w:hAnsi="MS UI Gothic" w:eastAsia="MS UI Gothic" w:cs="MS UI Gothic"/>
                <w:sz w:val="20"/>
                <w:szCs w:val="20"/>
              </w:rPr>
            </w:pPr>
            <w:r>
              <w:rPr>
                <w:spacing w:val="7"/>
                <w:sz w:val="20"/>
                <w:szCs w:val="20"/>
              </w:rPr>
              <w:t>简单分析</w:t>
            </w:r>
            <w:r>
              <w:rPr>
                <w:rFonts w:ascii="MS UI Gothic" w:hAnsi="MS UI Gothic" w:eastAsia="MS UI Gothic" w:cs="MS UI Gothic"/>
                <w:spacing w:val="7"/>
                <w:sz w:val="20"/>
                <w:szCs w:val="20"/>
              </w:rPr>
              <w:t>☑</w:t>
            </w:r>
          </w:p>
        </w:tc>
      </w:tr>
      <w:tr w14:paraId="7B1E6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restart"/>
            <w:tcBorders>
              <w:bottom w:val="nil"/>
            </w:tcBorders>
            <w:textDirection w:val="tbRlV"/>
            <w:vAlign w:val="top"/>
          </w:tcPr>
          <w:p w14:paraId="77158784">
            <w:pPr>
              <w:pStyle w:val="6"/>
              <w:spacing w:before="75" w:line="216" w:lineRule="auto"/>
              <w:ind w:left="197"/>
              <w:rPr>
                <w:sz w:val="20"/>
                <w:szCs w:val="20"/>
              </w:rPr>
            </w:pPr>
            <w:r>
              <w:rPr>
                <w:spacing w:val="32"/>
                <w:sz w:val="20"/>
                <w:szCs w:val="20"/>
              </w:rPr>
              <w:t>风险识别</w:t>
            </w:r>
          </w:p>
        </w:tc>
        <w:tc>
          <w:tcPr>
            <w:tcW w:w="1080" w:type="dxa"/>
            <w:vAlign w:val="top"/>
          </w:tcPr>
          <w:p w14:paraId="150C2232">
            <w:pPr>
              <w:pStyle w:val="6"/>
              <w:spacing w:before="99" w:line="228" w:lineRule="auto"/>
              <w:ind w:left="12"/>
              <w:rPr>
                <w:sz w:val="20"/>
                <w:szCs w:val="20"/>
              </w:rPr>
            </w:pPr>
            <w:r>
              <w:rPr>
                <w:spacing w:val="8"/>
                <w:sz w:val="20"/>
                <w:szCs w:val="20"/>
              </w:rPr>
              <w:t>物质危险性</w:t>
            </w:r>
          </w:p>
        </w:tc>
        <w:tc>
          <w:tcPr>
            <w:tcW w:w="3319" w:type="dxa"/>
            <w:gridSpan w:val="4"/>
            <w:vAlign w:val="top"/>
          </w:tcPr>
          <w:p w14:paraId="364F2DAF">
            <w:pPr>
              <w:pStyle w:val="6"/>
              <w:spacing w:before="98" w:line="228" w:lineRule="auto"/>
              <w:ind w:left="1136"/>
              <w:rPr>
                <w:rFonts w:ascii="MS UI Gothic" w:hAnsi="MS UI Gothic" w:eastAsia="MS UI Gothic" w:cs="MS UI Gothic"/>
                <w:sz w:val="20"/>
                <w:szCs w:val="20"/>
              </w:rPr>
            </w:pPr>
            <w:r>
              <w:rPr>
                <w:spacing w:val="8"/>
                <w:sz w:val="20"/>
                <w:szCs w:val="20"/>
              </w:rPr>
              <w:t>有毒有害</w:t>
            </w:r>
            <w:r>
              <w:rPr>
                <w:rFonts w:ascii="MS UI Gothic" w:hAnsi="MS UI Gothic" w:eastAsia="MS UI Gothic" w:cs="MS UI Gothic"/>
                <w:spacing w:val="8"/>
                <w:sz w:val="20"/>
                <w:szCs w:val="20"/>
              </w:rPr>
              <w:t>☑</w:t>
            </w:r>
          </w:p>
        </w:tc>
        <w:tc>
          <w:tcPr>
            <w:tcW w:w="4432" w:type="dxa"/>
            <w:gridSpan w:val="5"/>
            <w:vAlign w:val="top"/>
          </w:tcPr>
          <w:p w14:paraId="20FEB762">
            <w:pPr>
              <w:pStyle w:val="6"/>
              <w:spacing w:before="99" w:line="226" w:lineRule="auto"/>
              <w:ind w:left="1747"/>
              <w:rPr>
                <w:rFonts w:ascii="Times New Roman" w:hAnsi="Times New Roman" w:eastAsia="Times New Roman" w:cs="Times New Roman"/>
                <w:sz w:val="20"/>
                <w:szCs w:val="20"/>
              </w:rPr>
            </w:pPr>
            <w:r>
              <w:rPr>
                <w:spacing w:val="4"/>
                <w:sz w:val="20"/>
                <w:szCs w:val="20"/>
              </w:rPr>
              <w:t>易燃易爆</w:t>
            </w:r>
            <w:r>
              <w:rPr>
                <w:rFonts w:ascii="Times New Roman" w:hAnsi="Times New Roman" w:eastAsia="Times New Roman" w:cs="Times New Roman"/>
                <w:spacing w:val="4"/>
                <w:sz w:val="20"/>
                <w:szCs w:val="20"/>
              </w:rPr>
              <w:t>□</w:t>
            </w:r>
          </w:p>
        </w:tc>
      </w:tr>
      <w:tr w14:paraId="3E694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368" w:type="dxa"/>
            <w:vMerge w:val="continue"/>
            <w:tcBorders>
              <w:top w:val="nil"/>
              <w:bottom w:val="nil"/>
            </w:tcBorders>
            <w:textDirection w:val="tbRlV"/>
            <w:vAlign w:val="top"/>
          </w:tcPr>
          <w:p w14:paraId="051A6AF1">
            <w:pPr>
              <w:rPr>
                <w:rFonts w:ascii="Arial"/>
                <w:sz w:val="21"/>
              </w:rPr>
            </w:pPr>
          </w:p>
        </w:tc>
        <w:tc>
          <w:tcPr>
            <w:tcW w:w="1080" w:type="dxa"/>
            <w:vAlign w:val="top"/>
          </w:tcPr>
          <w:p w14:paraId="5D006BED">
            <w:pPr>
              <w:pStyle w:val="6"/>
              <w:spacing w:before="15" w:line="222" w:lineRule="auto"/>
              <w:ind w:left="118"/>
              <w:rPr>
                <w:sz w:val="20"/>
                <w:szCs w:val="20"/>
              </w:rPr>
            </w:pPr>
            <w:r>
              <w:rPr>
                <w:spacing w:val="7"/>
                <w:sz w:val="20"/>
                <w:szCs w:val="20"/>
              </w:rPr>
              <w:t>环境风险</w:t>
            </w:r>
          </w:p>
          <w:p w14:paraId="5C330377">
            <w:pPr>
              <w:pStyle w:val="6"/>
              <w:spacing w:line="201" w:lineRule="auto"/>
              <w:ind w:left="327"/>
              <w:rPr>
                <w:sz w:val="20"/>
                <w:szCs w:val="20"/>
              </w:rPr>
            </w:pPr>
            <w:r>
              <w:rPr>
                <w:spacing w:val="4"/>
                <w:sz w:val="20"/>
                <w:szCs w:val="20"/>
              </w:rPr>
              <w:t>类型</w:t>
            </w:r>
          </w:p>
        </w:tc>
        <w:tc>
          <w:tcPr>
            <w:tcW w:w="2788" w:type="dxa"/>
            <w:gridSpan w:val="3"/>
            <w:vAlign w:val="top"/>
          </w:tcPr>
          <w:p w14:paraId="508700B5">
            <w:pPr>
              <w:pStyle w:val="6"/>
              <w:spacing w:before="135" w:line="229" w:lineRule="auto"/>
              <w:ind w:left="1081"/>
              <w:rPr>
                <w:rFonts w:ascii="MS UI Gothic" w:hAnsi="MS UI Gothic" w:eastAsia="MS UI Gothic" w:cs="MS UI Gothic"/>
                <w:sz w:val="20"/>
                <w:szCs w:val="20"/>
              </w:rPr>
            </w:pPr>
            <w:r>
              <w:rPr>
                <w:spacing w:val="6"/>
                <w:sz w:val="20"/>
                <w:szCs w:val="20"/>
              </w:rPr>
              <w:t>泄漏</w:t>
            </w:r>
            <w:r>
              <w:rPr>
                <w:rFonts w:ascii="MS UI Gothic" w:hAnsi="MS UI Gothic" w:eastAsia="MS UI Gothic" w:cs="MS UI Gothic"/>
                <w:spacing w:val="6"/>
                <w:sz w:val="20"/>
                <w:szCs w:val="20"/>
              </w:rPr>
              <w:t>☑</w:t>
            </w:r>
          </w:p>
        </w:tc>
        <w:tc>
          <w:tcPr>
            <w:tcW w:w="4963" w:type="dxa"/>
            <w:gridSpan w:val="6"/>
            <w:vAlign w:val="top"/>
          </w:tcPr>
          <w:p w14:paraId="375321B4">
            <w:pPr>
              <w:pStyle w:val="6"/>
              <w:spacing w:before="135" w:line="226" w:lineRule="auto"/>
              <w:ind w:left="670"/>
              <w:rPr>
                <w:rFonts w:ascii="MS UI Gothic" w:hAnsi="MS UI Gothic" w:eastAsia="MS UI Gothic" w:cs="MS UI Gothic"/>
                <w:sz w:val="20"/>
                <w:szCs w:val="20"/>
              </w:rPr>
            </w:pPr>
            <w:r>
              <w:rPr>
                <w:spacing w:val="9"/>
                <w:sz w:val="20"/>
                <w:szCs w:val="20"/>
              </w:rPr>
              <w:t>火灾、爆炸引发伴生</w:t>
            </w:r>
            <w:r>
              <w:rPr>
                <w:rFonts w:ascii="Times New Roman" w:hAnsi="Times New Roman" w:eastAsia="Times New Roman" w:cs="Times New Roman"/>
                <w:spacing w:val="9"/>
                <w:sz w:val="20"/>
                <w:szCs w:val="20"/>
              </w:rPr>
              <w:t>/</w:t>
            </w:r>
            <w:r>
              <w:rPr>
                <w:spacing w:val="9"/>
                <w:sz w:val="20"/>
                <w:szCs w:val="20"/>
              </w:rPr>
              <w:t>次生污染物排放</w:t>
            </w:r>
            <w:r>
              <w:rPr>
                <w:rFonts w:ascii="MS UI Gothic" w:hAnsi="MS UI Gothic" w:eastAsia="MS UI Gothic" w:cs="MS UI Gothic"/>
                <w:spacing w:val="9"/>
                <w:sz w:val="20"/>
                <w:szCs w:val="20"/>
              </w:rPr>
              <w:t>☑</w:t>
            </w:r>
          </w:p>
        </w:tc>
      </w:tr>
      <w:tr w14:paraId="4021E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tcBorders>
            <w:textDirection w:val="tbRlV"/>
            <w:vAlign w:val="top"/>
          </w:tcPr>
          <w:p w14:paraId="6C8081D7">
            <w:pPr>
              <w:rPr>
                <w:rFonts w:ascii="Arial"/>
                <w:sz w:val="21"/>
              </w:rPr>
            </w:pPr>
          </w:p>
        </w:tc>
        <w:tc>
          <w:tcPr>
            <w:tcW w:w="1080" w:type="dxa"/>
            <w:vAlign w:val="top"/>
          </w:tcPr>
          <w:p w14:paraId="2A86E22B">
            <w:pPr>
              <w:pStyle w:val="6"/>
              <w:spacing w:before="99" w:line="228" w:lineRule="auto"/>
              <w:ind w:left="118"/>
              <w:rPr>
                <w:sz w:val="20"/>
                <w:szCs w:val="20"/>
              </w:rPr>
            </w:pPr>
            <w:r>
              <w:rPr>
                <w:spacing w:val="7"/>
                <w:sz w:val="20"/>
                <w:szCs w:val="20"/>
              </w:rPr>
              <w:t>影响途径</w:t>
            </w:r>
          </w:p>
        </w:tc>
        <w:tc>
          <w:tcPr>
            <w:tcW w:w="2788" w:type="dxa"/>
            <w:gridSpan w:val="3"/>
            <w:vAlign w:val="top"/>
          </w:tcPr>
          <w:p w14:paraId="1E55031C">
            <w:pPr>
              <w:pStyle w:val="6"/>
              <w:spacing w:before="100" w:line="228" w:lineRule="auto"/>
              <w:ind w:left="1080"/>
              <w:rPr>
                <w:rFonts w:ascii="MS UI Gothic" w:hAnsi="MS UI Gothic" w:eastAsia="MS UI Gothic" w:cs="MS UI Gothic"/>
                <w:sz w:val="20"/>
                <w:szCs w:val="20"/>
              </w:rPr>
            </w:pPr>
            <w:r>
              <w:rPr>
                <w:spacing w:val="6"/>
                <w:sz w:val="20"/>
                <w:szCs w:val="20"/>
              </w:rPr>
              <w:t>大气</w:t>
            </w:r>
            <w:r>
              <w:rPr>
                <w:rFonts w:ascii="MS UI Gothic" w:hAnsi="MS UI Gothic" w:eastAsia="MS UI Gothic" w:cs="MS UI Gothic"/>
                <w:spacing w:val="6"/>
                <w:sz w:val="20"/>
                <w:szCs w:val="20"/>
              </w:rPr>
              <w:t>☑</w:t>
            </w:r>
          </w:p>
        </w:tc>
        <w:tc>
          <w:tcPr>
            <w:tcW w:w="3221" w:type="dxa"/>
            <w:gridSpan w:val="5"/>
            <w:vAlign w:val="top"/>
          </w:tcPr>
          <w:p w14:paraId="2FE6DEF7">
            <w:pPr>
              <w:pStyle w:val="6"/>
              <w:spacing w:before="99" w:line="228" w:lineRule="auto"/>
              <w:ind w:left="1194"/>
              <w:rPr>
                <w:rFonts w:ascii="MS UI Gothic" w:hAnsi="MS UI Gothic" w:eastAsia="MS UI Gothic" w:cs="MS UI Gothic"/>
                <w:sz w:val="20"/>
                <w:szCs w:val="20"/>
              </w:rPr>
            </w:pPr>
            <w:r>
              <w:rPr>
                <w:spacing w:val="7"/>
                <w:sz w:val="20"/>
                <w:szCs w:val="20"/>
              </w:rPr>
              <w:t>地表水</w:t>
            </w:r>
            <w:r>
              <w:rPr>
                <w:rFonts w:ascii="MS UI Gothic" w:hAnsi="MS UI Gothic" w:eastAsia="MS UI Gothic" w:cs="MS UI Gothic"/>
                <w:spacing w:val="7"/>
                <w:sz w:val="20"/>
                <w:szCs w:val="20"/>
              </w:rPr>
              <w:t>☑</w:t>
            </w:r>
          </w:p>
        </w:tc>
        <w:tc>
          <w:tcPr>
            <w:tcW w:w="1742" w:type="dxa"/>
            <w:vAlign w:val="top"/>
          </w:tcPr>
          <w:p w14:paraId="437D172A">
            <w:pPr>
              <w:pStyle w:val="6"/>
              <w:spacing w:before="99" w:line="228" w:lineRule="auto"/>
              <w:ind w:left="454"/>
              <w:rPr>
                <w:rFonts w:ascii="MS UI Gothic" w:hAnsi="MS UI Gothic" w:eastAsia="MS UI Gothic" w:cs="MS UI Gothic"/>
                <w:sz w:val="20"/>
                <w:szCs w:val="20"/>
              </w:rPr>
            </w:pPr>
            <w:r>
              <w:rPr>
                <w:spacing w:val="7"/>
                <w:sz w:val="20"/>
                <w:szCs w:val="20"/>
              </w:rPr>
              <w:t>地下水</w:t>
            </w:r>
            <w:r>
              <w:rPr>
                <w:rFonts w:ascii="MS UI Gothic" w:hAnsi="MS UI Gothic" w:eastAsia="MS UI Gothic" w:cs="MS UI Gothic"/>
                <w:spacing w:val="7"/>
                <w:sz w:val="20"/>
                <w:szCs w:val="20"/>
              </w:rPr>
              <w:t>☑</w:t>
            </w:r>
          </w:p>
        </w:tc>
      </w:tr>
      <w:tr w14:paraId="74F89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48" w:type="dxa"/>
            <w:gridSpan w:val="2"/>
            <w:vAlign w:val="top"/>
          </w:tcPr>
          <w:p w14:paraId="662774E9">
            <w:pPr>
              <w:pStyle w:val="6"/>
              <w:spacing w:before="99" w:line="228" w:lineRule="auto"/>
              <w:ind w:left="95"/>
              <w:rPr>
                <w:sz w:val="20"/>
                <w:szCs w:val="20"/>
              </w:rPr>
            </w:pPr>
            <w:r>
              <w:rPr>
                <w:spacing w:val="8"/>
                <w:sz w:val="20"/>
                <w:szCs w:val="20"/>
              </w:rPr>
              <w:t>事故情形分析</w:t>
            </w:r>
          </w:p>
        </w:tc>
        <w:tc>
          <w:tcPr>
            <w:tcW w:w="1430" w:type="dxa"/>
            <w:gridSpan w:val="2"/>
            <w:vAlign w:val="top"/>
          </w:tcPr>
          <w:p w14:paraId="2EE8AC41">
            <w:pPr>
              <w:pStyle w:val="6"/>
              <w:spacing w:before="99" w:line="228" w:lineRule="auto"/>
              <w:ind w:left="83"/>
              <w:rPr>
                <w:sz w:val="20"/>
                <w:szCs w:val="20"/>
              </w:rPr>
            </w:pPr>
            <w:r>
              <w:rPr>
                <w:spacing w:val="8"/>
                <w:sz w:val="20"/>
                <w:szCs w:val="20"/>
              </w:rPr>
              <w:t>源强设定方法</w:t>
            </w:r>
          </w:p>
        </w:tc>
        <w:tc>
          <w:tcPr>
            <w:tcW w:w="1358" w:type="dxa"/>
            <w:vAlign w:val="top"/>
          </w:tcPr>
          <w:p w14:paraId="0E75FE38">
            <w:pPr>
              <w:pStyle w:val="6"/>
              <w:spacing w:before="99" w:line="228" w:lineRule="auto"/>
              <w:ind w:left="301"/>
              <w:rPr>
                <w:rFonts w:ascii="Times New Roman" w:hAnsi="Times New Roman" w:eastAsia="Times New Roman" w:cs="Times New Roman"/>
                <w:sz w:val="20"/>
                <w:szCs w:val="20"/>
              </w:rPr>
            </w:pPr>
            <w:r>
              <w:rPr>
                <w:spacing w:val="7"/>
                <w:sz w:val="20"/>
                <w:szCs w:val="20"/>
              </w:rPr>
              <w:t>计算法</w:t>
            </w:r>
            <w:r>
              <w:rPr>
                <w:rFonts w:ascii="Times New Roman" w:hAnsi="Times New Roman" w:eastAsia="Times New Roman" w:cs="Times New Roman"/>
                <w:spacing w:val="7"/>
                <w:sz w:val="20"/>
                <w:szCs w:val="20"/>
              </w:rPr>
              <w:t>□</w:t>
            </w:r>
          </w:p>
        </w:tc>
        <w:tc>
          <w:tcPr>
            <w:tcW w:w="3221" w:type="dxa"/>
            <w:gridSpan w:val="5"/>
            <w:vAlign w:val="top"/>
          </w:tcPr>
          <w:p w14:paraId="6AC1D541">
            <w:pPr>
              <w:pStyle w:val="6"/>
              <w:spacing w:before="99" w:line="226" w:lineRule="auto"/>
              <w:ind w:left="1028"/>
              <w:rPr>
                <w:rFonts w:ascii="Times New Roman" w:hAnsi="Times New Roman" w:eastAsia="Times New Roman" w:cs="Times New Roman"/>
                <w:sz w:val="20"/>
                <w:szCs w:val="20"/>
              </w:rPr>
            </w:pPr>
            <w:r>
              <w:rPr>
                <w:spacing w:val="7"/>
                <w:sz w:val="20"/>
                <w:szCs w:val="20"/>
              </w:rPr>
              <w:t>经验估算法</w:t>
            </w:r>
            <w:r>
              <w:rPr>
                <w:rFonts w:ascii="Times New Roman" w:hAnsi="Times New Roman" w:eastAsia="Times New Roman" w:cs="Times New Roman"/>
                <w:spacing w:val="7"/>
                <w:sz w:val="20"/>
                <w:szCs w:val="20"/>
              </w:rPr>
              <w:t>□</w:t>
            </w:r>
          </w:p>
        </w:tc>
        <w:tc>
          <w:tcPr>
            <w:tcW w:w="1742" w:type="dxa"/>
            <w:vAlign w:val="top"/>
          </w:tcPr>
          <w:p w14:paraId="32B2D61C">
            <w:pPr>
              <w:pStyle w:val="6"/>
              <w:spacing w:before="99" w:line="226" w:lineRule="auto"/>
              <w:ind w:left="287"/>
              <w:rPr>
                <w:rFonts w:ascii="Times New Roman" w:hAnsi="Times New Roman" w:eastAsia="Times New Roman" w:cs="Times New Roman"/>
                <w:sz w:val="20"/>
                <w:szCs w:val="20"/>
              </w:rPr>
            </w:pPr>
            <w:r>
              <w:rPr>
                <w:spacing w:val="7"/>
                <w:sz w:val="20"/>
                <w:szCs w:val="20"/>
              </w:rPr>
              <w:t>其他估算法</w:t>
            </w:r>
            <w:r>
              <w:rPr>
                <w:rFonts w:ascii="Times New Roman" w:hAnsi="Times New Roman" w:eastAsia="Times New Roman" w:cs="Times New Roman"/>
                <w:spacing w:val="7"/>
                <w:sz w:val="20"/>
                <w:szCs w:val="20"/>
              </w:rPr>
              <w:t>□</w:t>
            </w:r>
          </w:p>
        </w:tc>
      </w:tr>
      <w:tr w14:paraId="75C57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restart"/>
            <w:tcBorders>
              <w:bottom w:val="nil"/>
            </w:tcBorders>
            <w:textDirection w:val="tbRlV"/>
            <w:vAlign w:val="top"/>
          </w:tcPr>
          <w:p w14:paraId="16D59E83">
            <w:pPr>
              <w:pStyle w:val="6"/>
              <w:spacing w:before="76" w:line="215" w:lineRule="auto"/>
              <w:ind w:left="437"/>
              <w:rPr>
                <w:sz w:val="20"/>
                <w:szCs w:val="20"/>
              </w:rPr>
            </w:pPr>
            <w:r>
              <w:rPr>
                <w:spacing w:val="35"/>
                <w:sz w:val="20"/>
                <w:szCs w:val="20"/>
              </w:rPr>
              <w:t>风险预测与评价</w:t>
            </w:r>
          </w:p>
        </w:tc>
        <w:tc>
          <w:tcPr>
            <w:tcW w:w="1080" w:type="dxa"/>
            <w:vMerge w:val="restart"/>
            <w:tcBorders>
              <w:bottom w:val="nil"/>
            </w:tcBorders>
            <w:vAlign w:val="top"/>
          </w:tcPr>
          <w:p w14:paraId="366BC0E6">
            <w:pPr>
              <w:spacing w:line="456" w:lineRule="auto"/>
              <w:rPr>
                <w:rFonts w:ascii="Arial"/>
                <w:sz w:val="21"/>
              </w:rPr>
            </w:pPr>
          </w:p>
          <w:p w14:paraId="5496EE9E">
            <w:pPr>
              <w:pStyle w:val="6"/>
              <w:spacing w:before="65" w:line="228" w:lineRule="auto"/>
              <w:ind w:left="329"/>
              <w:rPr>
                <w:sz w:val="20"/>
                <w:szCs w:val="20"/>
              </w:rPr>
            </w:pPr>
            <w:r>
              <w:rPr>
                <w:spacing w:val="3"/>
                <w:sz w:val="20"/>
                <w:szCs w:val="20"/>
              </w:rPr>
              <w:t>大气</w:t>
            </w:r>
          </w:p>
        </w:tc>
        <w:tc>
          <w:tcPr>
            <w:tcW w:w="1430" w:type="dxa"/>
            <w:gridSpan w:val="2"/>
            <w:vAlign w:val="top"/>
          </w:tcPr>
          <w:p w14:paraId="43F9D3FE">
            <w:pPr>
              <w:pStyle w:val="6"/>
              <w:spacing w:before="100" w:line="228" w:lineRule="auto"/>
              <w:ind w:left="295"/>
              <w:rPr>
                <w:sz w:val="20"/>
                <w:szCs w:val="20"/>
              </w:rPr>
            </w:pPr>
            <w:r>
              <w:rPr>
                <w:spacing w:val="6"/>
                <w:sz w:val="20"/>
                <w:szCs w:val="20"/>
              </w:rPr>
              <w:t>预测模型</w:t>
            </w:r>
          </w:p>
        </w:tc>
        <w:tc>
          <w:tcPr>
            <w:tcW w:w="1358" w:type="dxa"/>
            <w:vAlign w:val="top"/>
          </w:tcPr>
          <w:p w14:paraId="0C4AC786">
            <w:pPr>
              <w:spacing w:before="13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SLAB</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8"/>
                <w:sz w:val="20"/>
                <w:szCs w:val="20"/>
              </w:rPr>
              <w:t>□</w:t>
            </w:r>
          </w:p>
        </w:tc>
        <w:tc>
          <w:tcPr>
            <w:tcW w:w="3221" w:type="dxa"/>
            <w:gridSpan w:val="5"/>
            <w:vAlign w:val="top"/>
          </w:tcPr>
          <w:p w14:paraId="3588DBEE">
            <w:pPr>
              <w:spacing w:before="101" w:line="263" w:lineRule="exact"/>
              <w:ind w:left="1063"/>
              <w:rPr>
                <w:rFonts w:ascii="MS Gothic" w:hAnsi="MS Gothic" w:eastAsia="MS Gothic" w:cs="MS Gothic"/>
                <w:sz w:val="20"/>
                <w:szCs w:val="20"/>
              </w:rPr>
            </w:pPr>
            <w:r>
              <w:rPr>
                <w:rFonts w:ascii="Times New Roman" w:hAnsi="Times New Roman" w:eastAsia="Times New Roman" w:cs="Times New Roman"/>
                <w:position w:val="1"/>
                <w:sz w:val="20"/>
                <w:szCs w:val="20"/>
              </w:rPr>
              <w:t>AFTOX</w:t>
            </w:r>
            <w:r>
              <w:rPr>
                <w:rFonts w:ascii="Times New Roman" w:hAnsi="Times New Roman" w:eastAsia="Times New Roman" w:cs="Times New Roman"/>
                <w:spacing w:val="5"/>
                <w:position w:val="1"/>
                <w:sz w:val="20"/>
                <w:szCs w:val="20"/>
              </w:rPr>
              <w:t xml:space="preserve">    </w:t>
            </w:r>
            <w:r>
              <w:rPr>
                <w:rFonts w:ascii="MS Gothic" w:hAnsi="MS Gothic" w:eastAsia="MS Gothic" w:cs="MS Gothic"/>
                <w:spacing w:val="5"/>
                <w:position w:val="1"/>
                <w:sz w:val="20"/>
                <w:szCs w:val="20"/>
              </w:rPr>
              <w:t>☑</w:t>
            </w:r>
          </w:p>
        </w:tc>
        <w:tc>
          <w:tcPr>
            <w:tcW w:w="1742" w:type="dxa"/>
            <w:vAlign w:val="top"/>
          </w:tcPr>
          <w:p w14:paraId="6F4B73CB">
            <w:pPr>
              <w:pStyle w:val="6"/>
              <w:spacing w:before="101" w:line="228" w:lineRule="auto"/>
              <w:ind w:left="549"/>
              <w:rPr>
                <w:rFonts w:ascii="Times New Roman" w:hAnsi="Times New Roman" w:eastAsia="Times New Roman" w:cs="Times New Roman"/>
                <w:sz w:val="20"/>
                <w:szCs w:val="20"/>
              </w:rPr>
            </w:pPr>
            <w:r>
              <w:rPr>
                <w:spacing w:val="2"/>
                <w:sz w:val="20"/>
                <w:szCs w:val="20"/>
              </w:rPr>
              <w:t>其他</w:t>
            </w:r>
            <w:r>
              <w:rPr>
                <w:spacing w:val="24"/>
                <w:sz w:val="20"/>
                <w:szCs w:val="20"/>
              </w:rPr>
              <w:t xml:space="preserve"> </w:t>
            </w:r>
            <w:r>
              <w:rPr>
                <w:rFonts w:ascii="Times New Roman" w:hAnsi="Times New Roman" w:eastAsia="Times New Roman" w:cs="Times New Roman"/>
                <w:spacing w:val="2"/>
                <w:sz w:val="20"/>
                <w:szCs w:val="20"/>
              </w:rPr>
              <w:t>□</w:t>
            </w:r>
          </w:p>
        </w:tc>
      </w:tr>
      <w:tr w14:paraId="31BF9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0190DC69">
            <w:pPr>
              <w:rPr>
                <w:rFonts w:ascii="Arial"/>
                <w:sz w:val="21"/>
              </w:rPr>
            </w:pPr>
          </w:p>
        </w:tc>
        <w:tc>
          <w:tcPr>
            <w:tcW w:w="1080" w:type="dxa"/>
            <w:vMerge w:val="continue"/>
            <w:tcBorders>
              <w:top w:val="nil"/>
              <w:bottom w:val="nil"/>
            </w:tcBorders>
            <w:vAlign w:val="top"/>
          </w:tcPr>
          <w:p w14:paraId="02518E7E">
            <w:pPr>
              <w:rPr>
                <w:rFonts w:ascii="Arial"/>
                <w:sz w:val="21"/>
              </w:rPr>
            </w:pPr>
          </w:p>
        </w:tc>
        <w:tc>
          <w:tcPr>
            <w:tcW w:w="1430" w:type="dxa"/>
            <w:gridSpan w:val="2"/>
            <w:vMerge w:val="restart"/>
            <w:tcBorders>
              <w:bottom w:val="nil"/>
            </w:tcBorders>
            <w:vAlign w:val="top"/>
          </w:tcPr>
          <w:p w14:paraId="62F610AE">
            <w:pPr>
              <w:spacing w:line="246" w:lineRule="auto"/>
              <w:rPr>
                <w:rFonts w:ascii="Arial"/>
                <w:sz w:val="21"/>
              </w:rPr>
            </w:pPr>
          </w:p>
          <w:p w14:paraId="14E71FF4">
            <w:pPr>
              <w:pStyle w:val="6"/>
              <w:spacing w:before="65" w:line="228" w:lineRule="auto"/>
              <w:ind w:left="295"/>
              <w:rPr>
                <w:sz w:val="20"/>
                <w:szCs w:val="20"/>
              </w:rPr>
            </w:pPr>
            <w:r>
              <w:rPr>
                <w:spacing w:val="6"/>
                <w:sz w:val="20"/>
                <w:szCs w:val="20"/>
              </w:rPr>
              <w:t>预测结果</w:t>
            </w:r>
          </w:p>
        </w:tc>
        <w:tc>
          <w:tcPr>
            <w:tcW w:w="6321" w:type="dxa"/>
            <w:gridSpan w:val="7"/>
            <w:vAlign w:val="top"/>
          </w:tcPr>
          <w:p w14:paraId="6C3F184D">
            <w:pPr>
              <w:pStyle w:val="6"/>
              <w:spacing w:before="101" w:line="228" w:lineRule="auto"/>
              <w:ind w:left="776"/>
              <w:rPr>
                <w:rFonts w:ascii="Times New Roman" w:hAnsi="Times New Roman" w:eastAsia="Times New Roman" w:cs="Times New Roman"/>
                <w:sz w:val="20"/>
                <w:szCs w:val="20"/>
              </w:rPr>
            </w:pPr>
            <w:r>
              <w:rPr>
                <w:spacing w:val="4"/>
                <w:sz w:val="20"/>
                <w:szCs w:val="20"/>
              </w:rPr>
              <w:t>大气毒性终点浓度</w:t>
            </w:r>
            <w:r>
              <w:rPr>
                <w:rFonts w:ascii="Times New Roman" w:hAnsi="Times New Roman" w:eastAsia="Times New Roman" w:cs="Times New Roman"/>
                <w:spacing w:val="4"/>
                <w:sz w:val="20"/>
                <w:szCs w:val="20"/>
              </w:rPr>
              <w:t xml:space="preserve">-1    </w:t>
            </w:r>
            <w:r>
              <w:rPr>
                <w:spacing w:val="4"/>
                <w:sz w:val="20"/>
                <w:szCs w:val="20"/>
              </w:rPr>
              <w:t>最大影响范围</w:t>
            </w:r>
            <w:r>
              <w:rPr>
                <w:rFonts w:ascii="Times New Roman" w:hAnsi="Times New Roman" w:eastAsia="Times New Roman" w:cs="Times New Roman"/>
                <w:spacing w:val="4"/>
                <w:sz w:val="20"/>
                <w:szCs w:val="20"/>
                <w:u w:val="single" w:color="auto"/>
              </w:rPr>
              <w:t xml:space="preserve">    0                   </w:t>
            </w:r>
            <w:r>
              <w:rPr>
                <w:rFonts w:ascii="Times New Roman" w:hAnsi="Times New Roman" w:eastAsia="Times New Roman" w:cs="Times New Roman"/>
                <w:spacing w:val="4"/>
                <w:sz w:val="20"/>
                <w:szCs w:val="20"/>
              </w:rPr>
              <w:t>m</w:t>
            </w:r>
          </w:p>
        </w:tc>
      </w:tr>
      <w:tr w14:paraId="3135C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continue"/>
            <w:tcBorders>
              <w:top w:val="nil"/>
              <w:bottom w:val="nil"/>
            </w:tcBorders>
            <w:textDirection w:val="tbRlV"/>
            <w:vAlign w:val="top"/>
          </w:tcPr>
          <w:p w14:paraId="2FD72A90">
            <w:pPr>
              <w:rPr>
                <w:rFonts w:ascii="Arial"/>
                <w:sz w:val="21"/>
              </w:rPr>
            </w:pPr>
          </w:p>
        </w:tc>
        <w:tc>
          <w:tcPr>
            <w:tcW w:w="1080" w:type="dxa"/>
            <w:vMerge w:val="continue"/>
            <w:tcBorders>
              <w:top w:val="nil"/>
            </w:tcBorders>
            <w:vAlign w:val="top"/>
          </w:tcPr>
          <w:p w14:paraId="5B0EBCFB">
            <w:pPr>
              <w:rPr>
                <w:rFonts w:ascii="Arial"/>
                <w:sz w:val="21"/>
              </w:rPr>
            </w:pPr>
          </w:p>
        </w:tc>
        <w:tc>
          <w:tcPr>
            <w:tcW w:w="1430" w:type="dxa"/>
            <w:gridSpan w:val="2"/>
            <w:vMerge w:val="continue"/>
            <w:tcBorders>
              <w:top w:val="nil"/>
            </w:tcBorders>
            <w:vAlign w:val="top"/>
          </w:tcPr>
          <w:p w14:paraId="096A8965">
            <w:pPr>
              <w:rPr>
                <w:rFonts w:ascii="Arial"/>
                <w:sz w:val="21"/>
              </w:rPr>
            </w:pPr>
          </w:p>
        </w:tc>
        <w:tc>
          <w:tcPr>
            <w:tcW w:w="6321" w:type="dxa"/>
            <w:gridSpan w:val="7"/>
            <w:vAlign w:val="top"/>
          </w:tcPr>
          <w:p w14:paraId="22B43933">
            <w:pPr>
              <w:pStyle w:val="6"/>
              <w:spacing w:before="100" w:line="228" w:lineRule="auto"/>
              <w:ind w:left="776"/>
              <w:rPr>
                <w:rFonts w:ascii="Times New Roman" w:hAnsi="Times New Roman" w:eastAsia="Times New Roman" w:cs="Times New Roman"/>
                <w:sz w:val="20"/>
                <w:szCs w:val="20"/>
              </w:rPr>
            </w:pPr>
            <w:r>
              <w:rPr>
                <w:spacing w:val="4"/>
                <w:sz w:val="20"/>
                <w:szCs w:val="20"/>
              </w:rPr>
              <w:t>大气毒性终点浓度</w:t>
            </w:r>
            <w:r>
              <w:rPr>
                <w:rFonts w:ascii="Times New Roman" w:hAnsi="Times New Roman" w:eastAsia="Times New Roman" w:cs="Times New Roman"/>
                <w:spacing w:val="4"/>
                <w:sz w:val="20"/>
                <w:szCs w:val="20"/>
              </w:rPr>
              <w:t xml:space="preserve">-2    </w:t>
            </w:r>
            <w:r>
              <w:rPr>
                <w:spacing w:val="4"/>
                <w:sz w:val="20"/>
                <w:szCs w:val="20"/>
              </w:rPr>
              <w:t>最大影响范围</w:t>
            </w:r>
            <w:r>
              <w:rPr>
                <w:rFonts w:ascii="Times New Roman" w:hAnsi="Times New Roman" w:eastAsia="Times New Roman" w:cs="Times New Roman"/>
                <w:spacing w:val="4"/>
                <w:sz w:val="20"/>
                <w:szCs w:val="20"/>
                <w:u w:val="single" w:color="auto"/>
              </w:rPr>
              <w:t xml:space="preserve">    0                   </w:t>
            </w:r>
            <w:r>
              <w:rPr>
                <w:rFonts w:ascii="Times New Roman" w:hAnsi="Times New Roman" w:eastAsia="Times New Roman" w:cs="Times New Roman"/>
                <w:spacing w:val="4"/>
                <w:sz w:val="20"/>
                <w:szCs w:val="20"/>
              </w:rPr>
              <w:t>m</w:t>
            </w:r>
          </w:p>
        </w:tc>
      </w:tr>
      <w:tr w14:paraId="0A0E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68" w:type="dxa"/>
            <w:vMerge w:val="continue"/>
            <w:tcBorders>
              <w:top w:val="nil"/>
              <w:bottom w:val="nil"/>
            </w:tcBorders>
            <w:textDirection w:val="tbRlV"/>
            <w:vAlign w:val="top"/>
          </w:tcPr>
          <w:p w14:paraId="16A08505">
            <w:pPr>
              <w:rPr>
                <w:rFonts w:ascii="Arial"/>
                <w:sz w:val="21"/>
              </w:rPr>
            </w:pPr>
          </w:p>
        </w:tc>
        <w:tc>
          <w:tcPr>
            <w:tcW w:w="1080" w:type="dxa"/>
            <w:vAlign w:val="top"/>
          </w:tcPr>
          <w:p w14:paraId="30A8BA85">
            <w:pPr>
              <w:pStyle w:val="6"/>
              <w:spacing w:before="101" w:line="228" w:lineRule="auto"/>
              <w:ind w:left="223"/>
              <w:rPr>
                <w:sz w:val="20"/>
                <w:szCs w:val="20"/>
              </w:rPr>
            </w:pPr>
            <w:r>
              <w:rPr>
                <w:spacing w:val="6"/>
                <w:sz w:val="20"/>
                <w:szCs w:val="20"/>
              </w:rPr>
              <w:t>地表水</w:t>
            </w:r>
          </w:p>
        </w:tc>
        <w:tc>
          <w:tcPr>
            <w:tcW w:w="7751" w:type="dxa"/>
            <w:gridSpan w:val="9"/>
            <w:vAlign w:val="top"/>
          </w:tcPr>
          <w:p w14:paraId="169DD5C5">
            <w:pPr>
              <w:pStyle w:val="6"/>
              <w:spacing w:before="101" w:line="228" w:lineRule="auto"/>
              <w:ind w:left="1066"/>
              <w:rPr>
                <w:rFonts w:ascii="Times New Roman" w:hAnsi="Times New Roman" w:eastAsia="Times New Roman" w:cs="Times New Roman"/>
                <w:sz w:val="20"/>
                <w:szCs w:val="20"/>
              </w:rPr>
            </w:pPr>
            <w:r>
              <w:rPr>
                <w:spacing w:val="6"/>
                <w:sz w:val="20"/>
                <w:szCs w:val="20"/>
              </w:rPr>
              <w:t>最近环境敏感目标</w:t>
            </w:r>
            <w:r>
              <w:rPr>
                <w:spacing w:val="-90"/>
                <w:sz w:val="20"/>
                <w:szCs w:val="20"/>
              </w:rPr>
              <w:t xml:space="preserve"> </w:t>
            </w:r>
            <w:r>
              <w:rPr>
                <w:spacing w:val="3"/>
                <w:sz w:val="20"/>
                <w:szCs w:val="20"/>
                <w:u w:val="single" w:color="auto"/>
              </w:rPr>
              <w:t xml:space="preserve">                        </w:t>
            </w:r>
            <w:r>
              <w:rPr>
                <w:spacing w:val="-60"/>
                <w:sz w:val="20"/>
                <w:szCs w:val="20"/>
              </w:rPr>
              <w:t xml:space="preserve"> </w:t>
            </w:r>
            <w:r>
              <w:rPr>
                <w:spacing w:val="6"/>
                <w:sz w:val="20"/>
                <w:szCs w:val="20"/>
              </w:rPr>
              <w:t>，到达时间</w:t>
            </w:r>
            <w:r>
              <w:rPr>
                <w:spacing w:val="-98"/>
                <w:sz w:val="20"/>
                <w:szCs w:val="20"/>
              </w:rPr>
              <w:t xml:space="preserve"> </w:t>
            </w:r>
            <w:r>
              <w:rPr>
                <w:sz w:val="20"/>
                <w:szCs w:val="20"/>
                <w:u w:val="single" w:color="auto"/>
              </w:rPr>
              <w:t xml:space="preserve">   </w:t>
            </w:r>
            <w:r>
              <w:rPr>
                <w:spacing w:val="-98"/>
                <w:sz w:val="20"/>
                <w:szCs w:val="20"/>
              </w:rPr>
              <w:t xml:space="preserve"> </w:t>
            </w:r>
            <w:r>
              <w:rPr>
                <w:rFonts w:ascii="Times New Roman" w:hAnsi="Times New Roman" w:eastAsia="Times New Roman" w:cs="Times New Roman"/>
                <w:spacing w:val="6"/>
                <w:sz w:val="20"/>
                <w:szCs w:val="20"/>
              </w:rPr>
              <w:t>h</w:t>
            </w:r>
          </w:p>
        </w:tc>
      </w:tr>
      <w:tr w14:paraId="52D5B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68" w:type="dxa"/>
            <w:vMerge w:val="continue"/>
            <w:tcBorders>
              <w:top w:val="nil"/>
              <w:bottom w:val="nil"/>
            </w:tcBorders>
            <w:textDirection w:val="tbRlV"/>
            <w:vAlign w:val="top"/>
          </w:tcPr>
          <w:p w14:paraId="2012CD7A">
            <w:pPr>
              <w:rPr>
                <w:rFonts w:ascii="Arial"/>
                <w:sz w:val="21"/>
              </w:rPr>
            </w:pPr>
          </w:p>
        </w:tc>
        <w:tc>
          <w:tcPr>
            <w:tcW w:w="1080" w:type="dxa"/>
            <w:vMerge w:val="restart"/>
            <w:tcBorders>
              <w:bottom w:val="nil"/>
            </w:tcBorders>
            <w:vAlign w:val="top"/>
          </w:tcPr>
          <w:p w14:paraId="5465668A">
            <w:pPr>
              <w:spacing w:line="247" w:lineRule="auto"/>
              <w:rPr>
                <w:rFonts w:ascii="Arial"/>
                <w:sz w:val="21"/>
              </w:rPr>
            </w:pPr>
          </w:p>
          <w:p w14:paraId="595BFF62">
            <w:pPr>
              <w:pStyle w:val="6"/>
              <w:spacing w:before="65" w:line="228" w:lineRule="auto"/>
              <w:ind w:left="223"/>
              <w:rPr>
                <w:sz w:val="20"/>
                <w:szCs w:val="20"/>
              </w:rPr>
            </w:pPr>
            <w:r>
              <w:rPr>
                <w:spacing w:val="6"/>
                <w:sz w:val="20"/>
                <w:szCs w:val="20"/>
              </w:rPr>
              <w:t>地下水</w:t>
            </w:r>
          </w:p>
        </w:tc>
        <w:tc>
          <w:tcPr>
            <w:tcW w:w="7751" w:type="dxa"/>
            <w:gridSpan w:val="9"/>
            <w:vAlign w:val="top"/>
          </w:tcPr>
          <w:p w14:paraId="60385293">
            <w:pPr>
              <w:pStyle w:val="6"/>
              <w:spacing w:before="103" w:line="228" w:lineRule="auto"/>
              <w:ind w:left="2702"/>
              <w:rPr>
                <w:rFonts w:ascii="Times New Roman" w:hAnsi="Times New Roman" w:eastAsia="Times New Roman" w:cs="Times New Roman"/>
                <w:sz w:val="20"/>
                <w:szCs w:val="20"/>
              </w:rPr>
            </w:pPr>
            <w:r>
              <w:rPr>
                <w:spacing w:val="7"/>
                <w:sz w:val="20"/>
                <w:szCs w:val="20"/>
              </w:rPr>
              <w:t>下游厂区边界到达时间</w:t>
            </w:r>
            <w:r>
              <w:rPr>
                <w:spacing w:val="67"/>
                <w:sz w:val="20"/>
                <w:szCs w:val="20"/>
                <w:u w:val="single" w:color="auto"/>
              </w:rPr>
              <w:t xml:space="preserve"> </w:t>
            </w:r>
            <w:r>
              <w:rPr>
                <w:rFonts w:ascii="Times New Roman" w:hAnsi="Times New Roman" w:eastAsia="Times New Roman" w:cs="Times New Roman"/>
                <w:spacing w:val="7"/>
                <w:sz w:val="20"/>
                <w:szCs w:val="20"/>
              </w:rPr>
              <w:t>d</w:t>
            </w:r>
          </w:p>
        </w:tc>
      </w:tr>
      <w:tr w14:paraId="09253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68" w:type="dxa"/>
            <w:vMerge w:val="continue"/>
            <w:tcBorders>
              <w:top w:val="nil"/>
            </w:tcBorders>
            <w:textDirection w:val="tbRlV"/>
            <w:vAlign w:val="top"/>
          </w:tcPr>
          <w:p w14:paraId="79E69A57">
            <w:pPr>
              <w:rPr>
                <w:rFonts w:ascii="Arial"/>
                <w:sz w:val="21"/>
              </w:rPr>
            </w:pPr>
          </w:p>
        </w:tc>
        <w:tc>
          <w:tcPr>
            <w:tcW w:w="1080" w:type="dxa"/>
            <w:vMerge w:val="continue"/>
            <w:tcBorders>
              <w:top w:val="nil"/>
            </w:tcBorders>
            <w:vAlign w:val="top"/>
          </w:tcPr>
          <w:p w14:paraId="06CE91F6">
            <w:pPr>
              <w:rPr>
                <w:rFonts w:ascii="Arial"/>
                <w:sz w:val="21"/>
              </w:rPr>
            </w:pPr>
          </w:p>
        </w:tc>
        <w:tc>
          <w:tcPr>
            <w:tcW w:w="7751" w:type="dxa"/>
            <w:gridSpan w:val="9"/>
            <w:vAlign w:val="top"/>
          </w:tcPr>
          <w:p w14:paraId="61C64C80">
            <w:pPr>
              <w:pStyle w:val="6"/>
              <w:spacing w:before="103" w:line="228" w:lineRule="auto"/>
              <w:ind w:left="1066"/>
              <w:rPr>
                <w:rFonts w:ascii="Times New Roman" w:hAnsi="Times New Roman" w:eastAsia="Times New Roman" w:cs="Times New Roman"/>
                <w:sz w:val="20"/>
                <w:szCs w:val="20"/>
              </w:rPr>
            </w:pPr>
            <w:r>
              <w:rPr>
                <w:spacing w:val="6"/>
                <w:sz w:val="20"/>
                <w:szCs w:val="20"/>
              </w:rPr>
              <w:t>最近环境敏感目标</w:t>
            </w:r>
            <w:r>
              <w:rPr>
                <w:spacing w:val="-93"/>
                <w:sz w:val="20"/>
                <w:szCs w:val="20"/>
              </w:rPr>
              <w:t xml:space="preserve"> </w:t>
            </w:r>
            <w:r>
              <w:rPr>
                <w:spacing w:val="3"/>
                <w:sz w:val="20"/>
                <w:szCs w:val="20"/>
                <w:u w:val="single" w:color="auto"/>
              </w:rPr>
              <w:t xml:space="preserve">                        </w:t>
            </w:r>
            <w:r>
              <w:rPr>
                <w:spacing w:val="-60"/>
                <w:sz w:val="20"/>
                <w:szCs w:val="20"/>
              </w:rPr>
              <w:t xml:space="preserve"> </w:t>
            </w:r>
            <w:r>
              <w:rPr>
                <w:spacing w:val="6"/>
                <w:sz w:val="20"/>
                <w:szCs w:val="20"/>
              </w:rPr>
              <w:t>，到达时间</w:t>
            </w:r>
            <w:r>
              <w:rPr>
                <w:rFonts w:ascii="Times New Roman" w:hAnsi="Times New Roman" w:eastAsia="Times New Roman" w:cs="Times New Roman"/>
                <w:spacing w:val="1"/>
                <w:sz w:val="20"/>
                <w:szCs w:val="20"/>
                <w:u w:val="single" w:color="auto"/>
              </w:rPr>
              <w:t xml:space="preserve">      </w:t>
            </w:r>
            <w:r>
              <w:rPr>
                <w:rFonts w:ascii="Times New Roman" w:hAnsi="Times New Roman" w:eastAsia="Times New Roman" w:cs="Times New Roman"/>
                <w:spacing w:val="6"/>
                <w:sz w:val="20"/>
                <w:szCs w:val="20"/>
                <w:u w:val="single" w:color="auto"/>
              </w:rPr>
              <w:t>d</w:t>
            </w:r>
          </w:p>
        </w:tc>
      </w:tr>
    </w:tbl>
    <w:p w14:paraId="181B456A">
      <w:pPr>
        <w:rPr>
          <w:rFonts w:ascii="Arial"/>
          <w:sz w:val="21"/>
        </w:rPr>
      </w:pPr>
    </w:p>
    <w:p w14:paraId="680E66F5">
      <w:pPr>
        <w:rPr>
          <w:rFonts w:ascii="Arial" w:hAnsi="Arial" w:eastAsia="Arial" w:cs="Arial"/>
          <w:sz w:val="21"/>
          <w:szCs w:val="21"/>
        </w:rPr>
        <w:sectPr>
          <w:footerReference r:id="rId172" w:type="default"/>
          <w:pgSz w:w="11906" w:h="16839"/>
          <w:pgMar w:top="400" w:right="1348" w:bottom="1127" w:left="1347" w:header="0" w:footer="965" w:gutter="0"/>
          <w:cols w:space="720" w:num="1"/>
        </w:sectPr>
      </w:pPr>
    </w:p>
    <w:p w14:paraId="203B1340">
      <w:pPr>
        <w:spacing w:before="13"/>
      </w:pPr>
    </w:p>
    <w:p w14:paraId="46FDD3B4">
      <w:pPr>
        <w:spacing w:before="13"/>
      </w:pPr>
    </w:p>
    <w:p w14:paraId="761B07D2">
      <w:pPr>
        <w:spacing w:before="13"/>
      </w:pPr>
    </w:p>
    <w:p w14:paraId="6729FFB5">
      <w:pPr>
        <w:spacing w:before="12"/>
      </w:pPr>
    </w:p>
    <w:tbl>
      <w:tblPr>
        <w:tblStyle w:val="5"/>
        <w:tblW w:w="9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7"/>
        <w:gridCol w:w="7752"/>
      </w:tblGrid>
      <w:tr w14:paraId="5E027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8" w:hRule="atLeast"/>
        </w:trPr>
        <w:tc>
          <w:tcPr>
            <w:tcW w:w="1447" w:type="dxa"/>
            <w:vAlign w:val="top"/>
          </w:tcPr>
          <w:p w14:paraId="2CB08FE8">
            <w:pPr>
              <w:spacing w:line="265" w:lineRule="auto"/>
              <w:rPr>
                <w:rFonts w:ascii="Arial"/>
                <w:sz w:val="21"/>
              </w:rPr>
            </w:pPr>
          </w:p>
          <w:p w14:paraId="2497350A">
            <w:pPr>
              <w:spacing w:line="265" w:lineRule="auto"/>
              <w:rPr>
                <w:rFonts w:ascii="Arial"/>
                <w:sz w:val="21"/>
              </w:rPr>
            </w:pPr>
          </w:p>
          <w:p w14:paraId="1BB4D735">
            <w:pPr>
              <w:spacing w:line="265" w:lineRule="auto"/>
              <w:rPr>
                <w:rFonts w:ascii="Arial"/>
                <w:sz w:val="21"/>
              </w:rPr>
            </w:pPr>
          </w:p>
          <w:p w14:paraId="6A5D8326">
            <w:pPr>
              <w:spacing w:line="265" w:lineRule="auto"/>
              <w:rPr>
                <w:rFonts w:ascii="Arial"/>
                <w:sz w:val="21"/>
              </w:rPr>
            </w:pPr>
          </w:p>
          <w:p w14:paraId="5DAE084B">
            <w:pPr>
              <w:spacing w:line="266" w:lineRule="auto"/>
              <w:rPr>
                <w:rFonts w:ascii="Arial"/>
                <w:sz w:val="21"/>
              </w:rPr>
            </w:pPr>
          </w:p>
          <w:p w14:paraId="053230FD">
            <w:pPr>
              <w:spacing w:line="266" w:lineRule="auto"/>
              <w:rPr>
                <w:rFonts w:ascii="Arial"/>
                <w:sz w:val="21"/>
              </w:rPr>
            </w:pPr>
          </w:p>
          <w:p w14:paraId="5BCBDBEC">
            <w:pPr>
              <w:spacing w:line="266" w:lineRule="auto"/>
              <w:rPr>
                <w:rFonts w:ascii="Arial"/>
                <w:sz w:val="21"/>
              </w:rPr>
            </w:pPr>
          </w:p>
          <w:p w14:paraId="234A42D9">
            <w:pPr>
              <w:spacing w:line="266" w:lineRule="auto"/>
              <w:rPr>
                <w:rFonts w:ascii="Arial"/>
                <w:sz w:val="21"/>
              </w:rPr>
            </w:pPr>
          </w:p>
          <w:p w14:paraId="4922BD03">
            <w:pPr>
              <w:pStyle w:val="6"/>
              <w:spacing w:before="65" w:line="222" w:lineRule="auto"/>
              <w:ind w:left="307"/>
              <w:rPr>
                <w:sz w:val="20"/>
                <w:szCs w:val="20"/>
              </w:rPr>
            </w:pPr>
            <w:r>
              <w:rPr>
                <w:spacing w:val="7"/>
                <w:sz w:val="20"/>
                <w:szCs w:val="20"/>
              </w:rPr>
              <w:t>重点风险</w:t>
            </w:r>
          </w:p>
          <w:p w14:paraId="4D87FBC5">
            <w:pPr>
              <w:pStyle w:val="6"/>
              <w:spacing w:line="228" w:lineRule="auto"/>
              <w:ind w:left="319"/>
              <w:rPr>
                <w:sz w:val="20"/>
                <w:szCs w:val="20"/>
              </w:rPr>
            </w:pPr>
            <w:r>
              <w:rPr>
                <w:spacing w:val="4"/>
                <w:sz w:val="20"/>
                <w:szCs w:val="20"/>
              </w:rPr>
              <w:t>防范措施</w:t>
            </w:r>
          </w:p>
        </w:tc>
        <w:tc>
          <w:tcPr>
            <w:tcW w:w="7752" w:type="dxa"/>
            <w:vAlign w:val="top"/>
          </w:tcPr>
          <w:p w14:paraId="4134F8EE">
            <w:pPr>
              <w:pStyle w:val="6"/>
              <w:spacing w:before="277" w:line="302" w:lineRule="auto"/>
              <w:ind w:left="12" w:firstLine="4"/>
              <w:rPr>
                <w:sz w:val="20"/>
                <w:szCs w:val="20"/>
              </w:rPr>
            </w:pPr>
            <w:r>
              <w:rPr>
                <w:spacing w:val="6"/>
                <w:sz w:val="20"/>
                <w:szCs w:val="20"/>
              </w:rPr>
              <w:t>（</w:t>
            </w:r>
            <w:r>
              <w:rPr>
                <w:rFonts w:ascii="Times New Roman" w:hAnsi="Times New Roman" w:eastAsia="Times New Roman" w:cs="Times New Roman"/>
                <w:spacing w:val="6"/>
                <w:sz w:val="20"/>
                <w:szCs w:val="20"/>
              </w:rPr>
              <w:t>1</w:t>
            </w:r>
            <w:r>
              <w:rPr>
                <w:spacing w:val="6"/>
                <w:sz w:val="20"/>
                <w:szCs w:val="20"/>
              </w:rPr>
              <w:t>）化学品仓库内的各种化学品，需分区堆放，各区域间须有明显的隔墙和</w:t>
            </w:r>
            <w:r>
              <w:rPr>
                <w:spacing w:val="5"/>
                <w:sz w:val="20"/>
                <w:szCs w:val="20"/>
              </w:rPr>
              <w:t>防泄漏、</w:t>
            </w:r>
            <w:r>
              <w:rPr>
                <w:sz w:val="20"/>
                <w:szCs w:val="20"/>
              </w:rPr>
              <w:t xml:space="preserve"> </w:t>
            </w:r>
            <w:r>
              <w:rPr>
                <w:spacing w:val="4"/>
                <w:sz w:val="20"/>
                <w:szCs w:val="20"/>
              </w:rPr>
              <w:t>导流沟分隔；</w:t>
            </w:r>
          </w:p>
          <w:p w14:paraId="4254046F">
            <w:pPr>
              <w:pStyle w:val="6"/>
              <w:spacing w:before="162" w:line="227" w:lineRule="auto"/>
              <w:ind w:left="16"/>
              <w:rPr>
                <w:sz w:val="20"/>
                <w:szCs w:val="20"/>
              </w:rPr>
            </w:pPr>
            <w:r>
              <w:rPr>
                <w:spacing w:val="9"/>
                <w:sz w:val="20"/>
                <w:szCs w:val="20"/>
              </w:rPr>
              <w:t>（</w:t>
            </w:r>
            <w:r>
              <w:rPr>
                <w:rFonts w:ascii="Times New Roman" w:hAnsi="Times New Roman" w:eastAsia="Times New Roman" w:cs="Times New Roman"/>
                <w:spacing w:val="9"/>
                <w:sz w:val="20"/>
                <w:szCs w:val="20"/>
              </w:rPr>
              <w:t>2</w:t>
            </w:r>
            <w:r>
              <w:rPr>
                <w:spacing w:val="9"/>
                <w:sz w:val="20"/>
                <w:szCs w:val="20"/>
              </w:rPr>
              <w:t>）一旦发生泄漏，立刻堵住泄漏处，同时用沙或其它材料吸收地面外溢化学品。</w:t>
            </w:r>
          </w:p>
          <w:p w14:paraId="4576FC5B">
            <w:pPr>
              <w:pStyle w:val="6"/>
              <w:spacing w:before="162" w:line="302" w:lineRule="auto"/>
              <w:ind w:left="13" w:right="78" w:firstLine="2"/>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）一旦发生泄漏，泄漏物质可通过防泄漏沟进入事故应急池收集。吸收物和事故</w:t>
            </w:r>
            <w:r>
              <w:rPr>
                <w:spacing w:val="13"/>
                <w:sz w:val="20"/>
                <w:szCs w:val="20"/>
              </w:rPr>
              <w:t xml:space="preserve"> </w:t>
            </w:r>
            <w:r>
              <w:rPr>
                <w:spacing w:val="9"/>
                <w:sz w:val="20"/>
                <w:szCs w:val="20"/>
              </w:rPr>
              <w:t>收集池中的泄漏物和清洗水均为危险废物，交由有资质的单位处理。</w:t>
            </w:r>
          </w:p>
          <w:p w14:paraId="568774DD">
            <w:pPr>
              <w:pStyle w:val="6"/>
              <w:spacing w:before="161" w:line="302" w:lineRule="auto"/>
              <w:ind w:left="7" w:right="78" w:firstLine="9"/>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）泄漏控制后及时清理地面以及防泄漏沟，残留化学品采用中和、清洗剂清洗等</w:t>
            </w:r>
            <w:r>
              <w:rPr>
                <w:spacing w:val="13"/>
                <w:sz w:val="20"/>
                <w:szCs w:val="20"/>
              </w:rPr>
              <w:t xml:space="preserve"> </w:t>
            </w:r>
            <w:r>
              <w:rPr>
                <w:spacing w:val="8"/>
                <w:sz w:val="20"/>
                <w:szCs w:val="20"/>
              </w:rPr>
              <w:t>方法以消除泄漏点残留毒性。</w:t>
            </w:r>
          </w:p>
          <w:p w14:paraId="03B3FFB5">
            <w:pPr>
              <w:pStyle w:val="6"/>
              <w:spacing w:before="161" w:line="228" w:lineRule="auto"/>
              <w:ind w:left="16"/>
              <w:rPr>
                <w:sz w:val="20"/>
                <w:szCs w:val="20"/>
              </w:rPr>
            </w:pPr>
            <w:r>
              <w:rPr>
                <w:spacing w:val="8"/>
                <w:sz w:val="20"/>
                <w:szCs w:val="20"/>
              </w:rPr>
              <w:t>（</w:t>
            </w:r>
            <w:r>
              <w:rPr>
                <w:rFonts w:ascii="Times New Roman" w:hAnsi="Times New Roman" w:eastAsia="Times New Roman" w:cs="Times New Roman"/>
                <w:spacing w:val="8"/>
                <w:sz w:val="20"/>
                <w:szCs w:val="20"/>
              </w:rPr>
              <w:t>5</w:t>
            </w:r>
            <w:r>
              <w:rPr>
                <w:spacing w:val="8"/>
                <w:sz w:val="20"/>
                <w:szCs w:val="20"/>
              </w:rPr>
              <w:t>）化学品仓库地面需做防渗处理，进出口需做围堰。</w:t>
            </w:r>
          </w:p>
          <w:p w14:paraId="5E2BE5AB">
            <w:pPr>
              <w:pStyle w:val="6"/>
              <w:spacing w:before="163" w:line="227" w:lineRule="auto"/>
              <w:ind w:left="16"/>
              <w:rPr>
                <w:sz w:val="20"/>
                <w:szCs w:val="20"/>
              </w:rPr>
            </w:pPr>
            <w:r>
              <w:rPr>
                <w:spacing w:val="8"/>
                <w:sz w:val="20"/>
                <w:szCs w:val="20"/>
              </w:rPr>
              <w:t>（</w:t>
            </w:r>
            <w:r>
              <w:rPr>
                <w:rFonts w:ascii="Times New Roman" w:hAnsi="Times New Roman" w:eastAsia="Times New Roman" w:cs="Times New Roman"/>
                <w:spacing w:val="8"/>
                <w:sz w:val="20"/>
                <w:szCs w:val="20"/>
              </w:rPr>
              <w:t>6</w:t>
            </w:r>
            <w:r>
              <w:rPr>
                <w:spacing w:val="8"/>
                <w:sz w:val="20"/>
                <w:szCs w:val="20"/>
              </w:rPr>
              <w:t>）应在化学品仓库附近放置沙袋、沙土，</w:t>
            </w:r>
            <w:r>
              <w:rPr>
                <w:spacing w:val="-59"/>
                <w:sz w:val="20"/>
                <w:szCs w:val="20"/>
              </w:rPr>
              <w:t xml:space="preserve"> </w:t>
            </w:r>
            <w:r>
              <w:rPr>
                <w:spacing w:val="8"/>
                <w:sz w:val="20"/>
                <w:szCs w:val="20"/>
              </w:rPr>
              <w:t>以防发生泄漏时堵塞排雨系统</w:t>
            </w:r>
            <w:r>
              <w:rPr>
                <w:spacing w:val="7"/>
                <w:sz w:val="20"/>
                <w:szCs w:val="20"/>
              </w:rPr>
              <w:t>之用。</w:t>
            </w:r>
          </w:p>
          <w:p w14:paraId="4C9A7DC5">
            <w:pPr>
              <w:pStyle w:val="6"/>
              <w:spacing w:before="163" w:line="302" w:lineRule="auto"/>
              <w:ind w:left="9" w:right="78" w:firstLine="6"/>
              <w:rPr>
                <w:sz w:val="20"/>
                <w:szCs w:val="20"/>
              </w:rPr>
            </w:pPr>
            <w:r>
              <w:rPr>
                <w:spacing w:val="9"/>
                <w:sz w:val="20"/>
                <w:szCs w:val="20"/>
              </w:rPr>
              <w:t>（</w:t>
            </w:r>
            <w:r>
              <w:rPr>
                <w:rFonts w:ascii="Times New Roman" w:hAnsi="Times New Roman" w:eastAsia="Times New Roman" w:cs="Times New Roman"/>
                <w:spacing w:val="9"/>
                <w:sz w:val="20"/>
                <w:szCs w:val="20"/>
              </w:rPr>
              <w:t>7</w:t>
            </w:r>
            <w:r>
              <w:rPr>
                <w:spacing w:val="9"/>
                <w:sz w:val="20"/>
                <w:szCs w:val="20"/>
              </w:rPr>
              <w:t>）考虑到泄漏过程可能伴有有机溶剂挥发泄漏等因素，参加应急处理的人员均应</w:t>
            </w:r>
            <w:r>
              <w:rPr>
                <w:spacing w:val="13"/>
                <w:sz w:val="20"/>
                <w:szCs w:val="20"/>
              </w:rPr>
              <w:t xml:space="preserve"> </w:t>
            </w:r>
            <w:r>
              <w:rPr>
                <w:spacing w:val="8"/>
                <w:sz w:val="20"/>
                <w:szCs w:val="20"/>
              </w:rPr>
              <w:t>该佩带口罩、胶皮手套等防护措施。</w:t>
            </w:r>
          </w:p>
        </w:tc>
      </w:tr>
      <w:tr w14:paraId="62D87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447" w:type="dxa"/>
            <w:vAlign w:val="top"/>
          </w:tcPr>
          <w:p w14:paraId="212A4003">
            <w:pPr>
              <w:pStyle w:val="6"/>
              <w:spacing w:before="138" w:line="225" w:lineRule="auto"/>
              <w:ind w:left="415" w:right="301" w:hanging="110"/>
              <w:rPr>
                <w:sz w:val="20"/>
                <w:szCs w:val="20"/>
              </w:rPr>
            </w:pPr>
            <w:r>
              <w:rPr>
                <w:spacing w:val="7"/>
                <w:sz w:val="20"/>
                <w:szCs w:val="20"/>
              </w:rPr>
              <w:t>评价结论</w:t>
            </w:r>
            <w:r>
              <w:rPr>
                <w:spacing w:val="1"/>
                <w:sz w:val="20"/>
                <w:szCs w:val="20"/>
              </w:rPr>
              <w:t xml:space="preserve"> </w:t>
            </w:r>
            <w:r>
              <w:rPr>
                <w:spacing w:val="5"/>
                <w:sz w:val="20"/>
                <w:szCs w:val="20"/>
              </w:rPr>
              <w:t>与建议</w:t>
            </w:r>
          </w:p>
        </w:tc>
        <w:tc>
          <w:tcPr>
            <w:tcW w:w="7752" w:type="dxa"/>
            <w:vAlign w:val="top"/>
          </w:tcPr>
          <w:p w14:paraId="51B3E3AA">
            <w:pPr>
              <w:pStyle w:val="6"/>
              <w:spacing w:before="258" w:line="229" w:lineRule="auto"/>
              <w:ind w:left="3457"/>
              <w:rPr>
                <w:sz w:val="20"/>
                <w:szCs w:val="20"/>
              </w:rPr>
            </w:pPr>
            <w:r>
              <w:rPr>
                <w:spacing w:val="6"/>
                <w:sz w:val="20"/>
                <w:szCs w:val="20"/>
              </w:rPr>
              <w:t>可以接受</w:t>
            </w:r>
          </w:p>
        </w:tc>
      </w:tr>
      <w:tr w14:paraId="27639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199" w:type="dxa"/>
            <w:gridSpan w:val="2"/>
            <w:vAlign w:val="top"/>
          </w:tcPr>
          <w:p w14:paraId="40E7B0BA">
            <w:pPr>
              <w:pStyle w:val="6"/>
              <w:spacing w:before="103" w:line="228" w:lineRule="auto"/>
              <w:ind w:left="2934"/>
              <w:rPr>
                <w:sz w:val="20"/>
                <w:szCs w:val="20"/>
              </w:rPr>
            </w:pPr>
            <w:r>
              <w:rPr>
                <w:spacing w:val="5"/>
                <w:sz w:val="20"/>
                <w:szCs w:val="20"/>
              </w:rPr>
              <w:t>注：</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w:t>
            </w:r>
            <w:r>
              <w:rPr>
                <w:spacing w:val="5"/>
                <w:sz w:val="20"/>
                <w:szCs w:val="20"/>
              </w:rPr>
              <w:t>为勾选项，</w:t>
            </w:r>
            <w:r>
              <w:rPr>
                <w:rFonts w:ascii="Times New Roman" w:hAnsi="Times New Roman" w:eastAsia="Times New Roman" w:cs="Times New Roman"/>
                <w:spacing w:val="5"/>
                <w:sz w:val="20"/>
                <w:szCs w:val="20"/>
              </w:rPr>
              <w:t>“      ”</w:t>
            </w:r>
            <w:r>
              <w:rPr>
                <w:spacing w:val="5"/>
                <w:sz w:val="20"/>
                <w:szCs w:val="20"/>
              </w:rPr>
              <w:t>为填写项。</w:t>
            </w:r>
          </w:p>
        </w:tc>
      </w:tr>
    </w:tbl>
    <w:p w14:paraId="38DC8986">
      <w:pPr>
        <w:rPr>
          <w:rFonts w:ascii="Arial"/>
          <w:sz w:val="21"/>
        </w:rPr>
      </w:pPr>
    </w:p>
    <w:p w14:paraId="19521C0C">
      <w:pPr>
        <w:rPr>
          <w:rFonts w:ascii="Arial" w:hAnsi="Arial" w:eastAsia="Arial" w:cs="Arial"/>
          <w:sz w:val="21"/>
          <w:szCs w:val="21"/>
        </w:rPr>
        <w:sectPr>
          <w:footerReference r:id="rId173" w:type="default"/>
          <w:pgSz w:w="11906" w:h="16839"/>
          <w:pgMar w:top="400" w:right="1348" w:bottom="1127" w:left="1347" w:header="0" w:footer="965" w:gutter="0"/>
          <w:cols w:space="720" w:num="1"/>
        </w:sectPr>
      </w:pPr>
    </w:p>
    <w:p w14:paraId="5C4CAEBF">
      <w:pPr>
        <w:spacing w:line="312" w:lineRule="auto"/>
        <w:rPr>
          <w:rFonts w:ascii="Arial"/>
          <w:sz w:val="21"/>
        </w:rPr>
      </w:pPr>
    </w:p>
    <w:p w14:paraId="22D31904">
      <w:pPr>
        <w:spacing w:line="312" w:lineRule="auto"/>
        <w:rPr>
          <w:rFonts w:ascii="Arial"/>
          <w:sz w:val="21"/>
        </w:rPr>
      </w:pPr>
    </w:p>
    <w:p w14:paraId="16A42741">
      <w:pPr>
        <w:spacing w:line="312" w:lineRule="auto"/>
        <w:rPr>
          <w:rFonts w:ascii="Arial"/>
          <w:sz w:val="21"/>
        </w:rPr>
      </w:pPr>
    </w:p>
    <w:p w14:paraId="70934EE7">
      <w:pPr>
        <w:spacing w:before="97" w:line="219" w:lineRule="auto"/>
        <w:outlineLvl w:val="0"/>
        <w:rPr>
          <w:rFonts w:ascii="宋体" w:hAnsi="宋体" w:eastAsia="宋体" w:cs="宋体"/>
          <w:sz w:val="30"/>
          <w:szCs w:val="30"/>
        </w:rPr>
      </w:pPr>
      <w:bookmarkStart w:id="11" w:name="bookmark9"/>
      <w:bookmarkEnd w:id="11"/>
      <w:r>
        <w:rPr>
          <w:rFonts w:ascii="宋体" w:hAnsi="宋体" w:eastAsia="宋体" w:cs="宋体"/>
          <w:b/>
          <w:bCs/>
          <w:spacing w:val="-21"/>
          <w:sz w:val="30"/>
          <w:szCs w:val="30"/>
        </w:rPr>
        <w:t>附图</w:t>
      </w:r>
    </w:p>
    <w:p w14:paraId="432EF4D8">
      <w:pPr>
        <w:spacing w:line="254" w:lineRule="auto"/>
        <w:rPr>
          <w:rFonts w:ascii="Arial"/>
          <w:sz w:val="21"/>
        </w:rPr>
      </w:pPr>
      <w:r>
        <w:drawing>
          <wp:anchor distT="0" distB="0" distL="0" distR="0" simplePos="0" relativeHeight="251699200" behindDoc="1" locked="0" layoutInCell="1" allowOverlap="1">
            <wp:simplePos x="0" y="0"/>
            <wp:positionH relativeFrom="column">
              <wp:posOffset>769620</wp:posOffset>
            </wp:positionH>
            <wp:positionV relativeFrom="paragraph">
              <wp:posOffset>113665</wp:posOffset>
            </wp:positionV>
            <wp:extent cx="7306310" cy="508698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28"/>
                    <a:stretch>
                      <a:fillRect/>
                    </a:stretch>
                  </pic:blipFill>
                  <pic:spPr>
                    <a:xfrm>
                      <a:off x="0" y="0"/>
                      <a:ext cx="7306056" cy="5087111"/>
                    </a:xfrm>
                    <a:prstGeom prst="rect">
                      <a:avLst/>
                    </a:prstGeom>
                  </pic:spPr>
                </pic:pic>
              </a:graphicData>
            </a:graphic>
          </wp:anchor>
        </w:drawing>
      </w:r>
    </w:p>
    <w:p w14:paraId="35B40A31">
      <w:pPr>
        <w:spacing w:line="254" w:lineRule="auto"/>
        <w:rPr>
          <w:rFonts w:ascii="Arial"/>
          <w:sz w:val="21"/>
        </w:rPr>
      </w:pPr>
    </w:p>
    <w:p w14:paraId="22BFBE26">
      <w:pPr>
        <w:spacing w:line="254" w:lineRule="auto"/>
        <w:rPr>
          <w:rFonts w:ascii="Arial"/>
          <w:sz w:val="21"/>
        </w:rPr>
      </w:pPr>
    </w:p>
    <w:p w14:paraId="61B313A4">
      <w:pPr>
        <w:spacing w:line="254" w:lineRule="auto"/>
        <w:rPr>
          <w:rFonts w:ascii="Arial"/>
          <w:sz w:val="21"/>
        </w:rPr>
      </w:pPr>
    </w:p>
    <w:p w14:paraId="498A3F5E">
      <w:pPr>
        <w:spacing w:line="254" w:lineRule="auto"/>
        <w:rPr>
          <w:rFonts w:ascii="Arial"/>
          <w:sz w:val="21"/>
        </w:rPr>
      </w:pPr>
    </w:p>
    <w:p w14:paraId="2324A27F">
      <w:pPr>
        <w:spacing w:line="254" w:lineRule="auto"/>
        <w:rPr>
          <w:rFonts w:ascii="Arial"/>
          <w:sz w:val="21"/>
        </w:rPr>
      </w:pPr>
    </w:p>
    <w:p w14:paraId="32AD5A3F">
      <w:pPr>
        <w:spacing w:line="254" w:lineRule="auto"/>
        <w:rPr>
          <w:rFonts w:ascii="Arial"/>
          <w:sz w:val="21"/>
        </w:rPr>
      </w:pPr>
    </w:p>
    <w:p w14:paraId="3B754A23">
      <w:pPr>
        <w:spacing w:line="254" w:lineRule="auto"/>
        <w:rPr>
          <w:rFonts w:ascii="Arial"/>
          <w:sz w:val="21"/>
        </w:rPr>
      </w:pPr>
    </w:p>
    <w:p w14:paraId="59340D3E">
      <w:pPr>
        <w:spacing w:line="255" w:lineRule="auto"/>
        <w:rPr>
          <w:rFonts w:ascii="Arial"/>
          <w:sz w:val="21"/>
        </w:rPr>
      </w:pPr>
    </w:p>
    <w:p w14:paraId="711370DD">
      <w:pPr>
        <w:spacing w:line="255" w:lineRule="auto"/>
        <w:rPr>
          <w:rFonts w:ascii="Arial"/>
          <w:sz w:val="21"/>
        </w:rPr>
      </w:pPr>
    </w:p>
    <w:p w14:paraId="17A55922">
      <w:pPr>
        <w:spacing w:line="255" w:lineRule="auto"/>
        <w:rPr>
          <w:rFonts w:ascii="Arial"/>
          <w:sz w:val="21"/>
        </w:rPr>
      </w:pPr>
    </w:p>
    <w:p w14:paraId="31731E41">
      <w:pPr>
        <w:spacing w:line="845" w:lineRule="exact"/>
        <w:ind w:firstLine="8955"/>
      </w:pPr>
      <w:r>
        <w:rPr>
          <w:position w:val="-16"/>
        </w:rPr>
        <w:pict>
          <v:group id="_x0000_s1069" o:spid="_x0000_s1069" o:spt="203" style="height:42.25pt;width:76.05pt;" coordsize="1521,845">
            <o:lock v:ext="edit"/>
            <v:shape id="_x0000_s1070" o:spid="_x0000_s1070" o:spt="75" type="#_x0000_t75" style="position:absolute;left:20;top:0;height:825;width:1500;" filled="f" stroked="f" coordsize="21600,21600">
              <v:path/>
              <v:fill on="f" focussize="0,0"/>
              <v:stroke on="f"/>
              <v:imagedata r:id="rId229" o:title=""/>
              <o:lock v:ext="edit" aspectratio="t"/>
            </v:shape>
            <v:shape id="_x0000_s1071" o:spid="_x0000_s1071" o:spt="202" type="#_x0000_t202" style="position:absolute;left:-20;top:38;height:825;width:1343;" filled="f" stroked="f" coordsize="21600,21600">
              <v:path/>
              <v:fill on="f" focussize="0,0"/>
              <v:stroke on="f"/>
              <v:imagedata o:title=""/>
              <o:lock v:ext="edit" aspectratio="f"/>
              <v:textbox inset="0mm,0mm,0mm,0mm">
                <w:txbxContent>
                  <w:p w14:paraId="5D693F86">
                    <w:pPr>
                      <w:spacing w:before="20" w:line="228"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项目位置</w:t>
                    </w:r>
                  </w:p>
                  <w:p w14:paraId="6A2B1C8E">
                    <w:pPr>
                      <w:spacing w:line="241" w:lineRule="auto"/>
                      <w:rPr>
                        <w:rFonts w:ascii="Arial"/>
                        <w:sz w:val="21"/>
                      </w:rPr>
                    </w:pPr>
                  </w:p>
                  <w:p w14:paraId="47CDAE50">
                    <w:pPr>
                      <w:spacing w:line="242" w:lineRule="auto"/>
                      <w:rPr>
                        <w:rFonts w:ascii="Arial"/>
                        <w:sz w:val="21"/>
                      </w:rPr>
                    </w:pPr>
                  </w:p>
                  <w:p w14:paraId="0FEA920D">
                    <w:pPr>
                      <w:spacing w:line="52" w:lineRule="exact"/>
                      <w:ind w:firstLine="20"/>
                    </w:pPr>
                    <w:r>
                      <w:rPr>
                        <w:position w:val="-1"/>
                      </w:rPr>
                      <w:drawing>
                        <wp:inline distT="0" distB="0" distL="0" distR="0">
                          <wp:extent cx="28575" cy="3302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30"/>
                                  <a:stretch>
                                    <a:fillRect/>
                                  </a:stretch>
                                </pic:blipFill>
                                <pic:spPr>
                                  <a:xfrm>
                                    <a:off x="0" y="0"/>
                                    <a:ext cx="28587" cy="33273"/>
                                  </a:xfrm>
                                  <a:prstGeom prst="rect">
                                    <a:avLst/>
                                  </a:prstGeom>
                                </pic:spPr>
                              </pic:pic>
                            </a:graphicData>
                          </a:graphic>
                        </wp:inline>
                      </w:drawing>
                    </w:r>
                  </w:p>
                </w:txbxContent>
              </v:textbox>
            </v:shape>
            <w10:wrap type="none"/>
            <w10:anchorlock/>
          </v:group>
        </w:pict>
      </w:r>
    </w:p>
    <w:p w14:paraId="51F47208">
      <w:pPr>
        <w:spacing w:line="241" w:lineRule="auto"/>
        <w:rPr>
          <w:rFonts w:ascii="Arial"/>
          <w:sz w:val="21"/>
        </w:rPr>
      </w:pPr>
    </w:p>
    <w:p w14:paraId="643A486A">
      <w:pPr>
        <w:spacing w:line="241" w:lineRule="auto"/>
        <w:rPr>
          <w:rFonts w:ascii="Arial"/>
          <w:sz w:val="21"/>
        </w:rPr>
      </w:pPr>
    </w:p>
    <w:p w14:paraId="3AAF3B46">
      <w:pPr>
        <w:spacing w:line="241" w:lineRule="auto"/>
        <w:rPr>
          <w:rFonts w:ascii="Arial"/>
          <w:sz w:val="21"/>
        </w:rPr>
      </w:pPr>
    </w:p>
    <w:p w14:paraId="544E7492">
      <w:pPr>
        <w:spacing w:line="241" w:lineRule="auto"/>
        <w:rPr>
          <w:rFonts w:ascii="Arial"/>
          <w:sz w:val="21"/>
        </w:rPr>
      </w:pPr>
    </w:p>
    <w:p w14:paraId="67329AC9">
      <w:pPr>
        <w:spacing w:line="241" w:lineRule="auto"/>
        <w:rPr>
          <w:rFonts w:ascii="Arial"/>
          <w:sz w:val="21"/>
        </w:rPr>
      </w:pPr>
    </w:p>
    <w:p w14:paraId="37836794">
      <w:pPr>
        <w:spacing w:line="241" w:lineRule="auto"/>
        <w:rPr>
          <w:rFonts w:ascii="Arial"/>
          <w:sz w:val="21"/>
        </w:rPr>
      </w:pPr>
    </w:p>
    <w:p w14:paraId="2B8649CE">
      <w:pPr>
        <w:spacing w:line="241" w:lineRule="auto"/>
        <w:rPr>
          <w:rFonts w:ascii="Arial"/>
          <w:sz w:val="21"/>
        </w:rPr>
      </w:pPr>
    </w:p>
    <w:p w14:paraId="6D8B5F7B">
      <w:pPr>
        <w:spacing w:line="241" w:lineRule="auto"/>
        <w:rPr>
          <w:rFonts w:ascii="Arial"/>
          <w:sz w:val="21"/>
        </w:rPr>
      </w:pPr>
    </w:p>
    <w:p w14:paraId="5E332F9A">
      <w:pPr>
        <w:spacing w:line="241" w:lineRule="auto"/>
        <w:rPr>
          <w:rFonts w:ascii="Arial"/>
          <w:sz w:val="21"/>
        </w:rPr>
      </w:pPr>
    </w:p>
    <w:p w14:paraId="38647916">
      <w:pPr>
        <w:spacing w:line="241" w:lineRule="auto"/>
        <w:rPr>
          <w:rFonts w:ascii="Arial"/>
          <w:sz w:val="21"/>
        </w:rPr>
      </w:pPr>
    </w:p>
    <w:p w14:paraId="0941328D">
      <w:pPr>
        <w:spacing w:line="241" w:lineRule="auto"/>
        <w:rPr>
          <w:rFonts w:ascii="Arial"/>
          <w:sz w:val="21"/>
        </w:rPr>
      </w:pPr>
    </w:p>
    <w:p w14:paraId="3CF07A4D">
      <w:pPr>
        <w:spacing w:line="242" w:lineRule="auto"/>
        <w:rPr>
          <w:rFonts w:ascii="Arial"/>
          <w:sz w:val="21"/>
        </w:rPr>
      </w:pPr>
    </w:p>
    <w:p w14:paraId="2213A470">
      <w:pPr>
        <w:spacing w:line="242" w:lineRule="auto"/>
        <w:rPr>
          <w:rFonts w:ascii="Arial"/>
          <w:sz w:val="21"/>
        </w:rPr>
      </w:pPr>
    </w:p>
    <w:p w14:paraId="70A8C0BC">
      <w:pPr>
        <w:spacing w:line="242" w:lineRule="auto"/>
        <w:rPr>
          <w:rFonts w:ascii="Arial"/>
          <w:sz w:val="21"/>
        </w:rPr>
      </w:pPr>
    </w:p>
    <w:p w14:paraId="74D926BC">
      <w:pPr>
        <w:spacing w:line="242" w:lineRule="auto"/>
        <w:rPr>
          <w:rFonts w:ascii="Arial"/>
          <w:sz w:val="21"/>
        </w:rPr>
      </w:pPr>
    </w:p>
    <w:p w14:paraId="4EA326F0">
      <w:pPr>
        <w:spacing w:line="242" w:lineRule="auto"/>
        <w:rPr>
          <w:rFonts w:ascii="Arial"/>
          <w:sz w:val="21"/>
        </w:rPr>
      </w:pPr>
    </w:p>
    <w:p w14:paraId="0C4542C5">
      <w:pPr>
        <w:spacing w:line="242" w:lineRule="auto"/>
        <w:rPr>
          <w:rFonts w:ascii="Arial"/>
          <w:sz w:val="21"/>
        </w:rPr>
      </w:pPr>
    </w:p>
    <w:p w14:paraId="05E63467">
      <w:pPr>
        <w:spacing w:line="242" w:lineRule="auto"/>
        <w:rPr>
          <w:rFonts w:ascii="Arial"/>
          <w:sz w:val="21"/>
        </w:rPr>
      </w:pPr>
    </w:p>
    <w:p w14:paraId="7F87647B">
      <w:pPr>
        <w:spacing w:line="242" w:lineRule="auto"/>
        <w:rPr>
          <w:rFonts w:ascii="Arial"/>
          <w:sz w:val="21"/>
        </w:rPr>
      </w:pPr>
    </w:p>
    <w:p w14:paraId="486745DF">
      <w:pPr>
        <w:spacing w:before="65" w:line="227" w:lineRule="auto"/>
        <w:ind w:left="5830"/>
        <w:outlineLvl w:val="0"/>
        <w:rPr>
          <w:rFonts w:ascii="宋体" w:hAnsi="宋体" w:eastAsia="宋体" w:cs="宋体"/>
          <w:sz w:val="20"/>
          <w:szCs w:val="20"/>
        </w:rPr>
      </w:pPr>
      <w:r>
        <w:rPr>
          <w:rFonts w:ascii="宋体" w:hAnsi="宋体" w:eastAsia="宋体" w:cs="宋体"/>
          <w:b/>
          <w:bCs/>
          <w:spacing w:val="6"/>
          <w:sz w:val="20"/>
          <w:szCs w:val="20"/>
        </w:rPr>
        <w:t>附图一：项目地理位置图</w:t>
      </w:r>
    </w:p>
    <w:p w14:paraId="15AF940B">
      <w:pPr>
        <w:spacing w:line="227" w:lineRule="auto"/>
        <w:rPr>
          <w:rFonts w:ascii="宋体" w:hAnsi="宋体" w:eastAsia="宋体" w:cs="宋体"/>
          <w:sz w:val="20"/>
          <w:szCs w:val="20"/>
        </w:rPr>
        <w:sectPr>
          <w:footerReference r:id="rId174" w:type="default"/>
          <w:pgSz w:w="16839" w:h="11906"/>
          <w:pgMar w:top="400" w:right="2525" w:bottom="400" w:left="1453" w:header="0" w:footer="0" w:gutter="0"/>
          <w:cols w:space="720" w:num="1"/>
        </w:sectPr>
      </w:pPr>
    </w:p>
    <w:p w14:paraId="5656C335">
      <w:pPr>
        <w:spacing w:line="245" w:lineRule="auto"/>
        <w:rPr>
          <w:rFonts w:ascii="Arial"/>
          <w:sz w:val="21"/>
        </w:rPr>
      </w:pPr>
    </w:p>
    <w:p w14:paraId="68365768">
      <w:pPr>
        <w:spacing w:line="245" w:lineRule="auto"/>
        <w:rPr>
          <w:rFonts w:ascii="Arial"/>
          <w:sz w:val="21"/>
        </w:rPr>
      </w:pPr>
    </w:p>
    <w:p w14:paraId="56788E2C">
      <w:pPr>
        <w:spacing w:line="245" w:lineRule="auto"/>
        <w:rPr>
          <w:rFonts w:ascii="Arial"/>
          <w:sz w:val="21"/>
        </w:rPr>
      </w:pPr>
    </w:p>
    <w:p w14:paraId="1D50A6E7">
      <w:pPr>
        <w:spacing w:line="245" w:lineRule="auto"/>
        <w:rPr>
          <w:rFonts w:ascii="Arial"/>
          <w:sz w:val="21"/>
        </w:rPr>
      </w:pPr>
    </w:p>
    <w:p w14:paraId="64BA1A35">
      <w:pPr>
        <w:spacing w:line="245" w:lineRule="auto"/>
        <w:rPr>
          <w:rFonts w:ascii="Arial"/>
          <w:sz w:val="21"/>
        </w:rPr>
      </w:pPr>
    </w:p>
    <w:p w14:paraId="7FB8475F">
      <w:pPr>
        <w:spacing w:line="245" w:lineRule="auto"/>
        <w:rPr>
          <w:rFonts w:ascii="Arial"/>
          <w:sz w:val="21"/>
        </w:rPr>
      </w:pPr>
      <w:r>
        <w:drawing>
          <wp:anchor distT="0" distB="0" distL="0" distR="0" simplePos="0" relativeHeight="251700224" behindDoc="1" locked="0" layoutInCell="1" allowOverlap="1">
            <wp:simplePos x="0" y="0"/>
            <wp:positionH relativeFrom="column">
              <wp:posOffset>635</wp:posOffset>
            </wp:positionH>
            <wp:positionV relativeFrom="paragraph">
              <wp:posOffset>43815</wp:posOffset>
            </wp:positionV>
            <wp:extent cx="7482840" cy="532003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31"/>
                    <a:stretch>
                      <a:fillRect/>
                    </a:stretch>
                  </pic:blipFill>
                  <pic:spPr>
                    <a:xfrm>
                      <a:off x="0" y="0"/>
                      <a:ext cx="7482840" cy="5320283"/>
                    </a:xfrm>
                    <a:prstGeom prst="rect">
                      <a:avLst/>
                    </a:prstGeom>
                  </pic:spPr>
                </pic:pic>
              </a:graphicData>
            </a:graphic>
          </wp:anchor>
        </w:drawing>
      </w:r>
    </w:p>
    <w:p w14:paraId="18B1C245">
      <w:pPr>
        <w:spacing w:line="1440" w:lineRule="exact"/>
        <w:ind w:firstLine="11924"/>
      </w:pPr>
      <w:r>
        <w:rPr>
          <w:position w:val="-28"/>
        </w:rPr>
        <w:drawing>
          <wp:inline distT="0" distB="0" distL="0" distR="0">
            <wp:extent cx="563880" cy="91440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32"/>
                    <a:stretch>
                      <a:fillRect/>
                    </a:stretch>
                  </pic:blipFill>
                  <pic:spPr>
                    <a:xfrm>
                      <a:off x="0" y="0"/>
                      <a:ext cx="563880" cy="914400"/>
                    </a:xfrm>
                    <a:prstGeom prst="rect">
                      <a:avLst/>
                    </a:prstGeom>
                  </pic:spPr>
                </pic:pic>
              </a:graphicData>
            </a:graphic>
          </wp:inline>
        </w:drawing>
      </w:r>
    </w:p>
    <w:p w14:paraId="2142632E">
      <w:pPr>
        <w:spacing w:line="287" w:lineRule="auto"/>
        <w:rPr>
          <w:rFonts w:ascii="Arial"/>
          <w:sz w:val="21"/>
        </w:rPr>
      </w:pPr>
    </w:p>
    <w:p w14:paraId="01A876D6">
      <w:pPr>
        <w:spacing w:line="287" w:lineRule="auto"/>
        <w:rPr>
          <w:rFonts w:ascii="Arial"/>
          <w:sz w:val="21"/>
        </w:rPr>
      </w:pPr>
    </w:p>
    <w:p w14:paraId="5F2C9C63">
      <w:pPr>
        <w:spacing w:line="882" w:lineRule="exact"/>
        <w:ind w:firstLine="1851"/>
      </w:pPr>
      <w:r>
        <w:rPr>
          <w:position w:val="-17"/>
        </w:rPr>
        <w:pict>
          <v:group id="_x0000_s1072" o:spid="_x0000_s1072" o:spt="203" style="height:44.15pt;width:83.15pt;" coordsize="1663,883">
            <o:lock v:ext="edit"/>
            <v:shape id="_x0000_s1073" o:spid="_x0000_s1073" o:spt="75" type="#_x0000_t75" style="position:absolute;left:0;top:0;height:881;width:1663;" filled="f" stroked="f" coordsize="21600,21600">
              <v:path/>
              <v:fill on="f" focussize="0,0"/>
              <v:stroke on="f"/>
              <v:imagedata r:id="rId233" o:title=""/>
              <o:lock v:ext="edit" aspectratio="t"/>
            </v:shape>
            <v:shape id="_x0000_s1074" o:spid="_x0000_s1074" o:spt="202" type="#_x0000_t202" style="position:absolute;left:207;top:39;height:863;width:1468;" filled="f" stroked="f" coordsize="21600,21600">
              <v:path/>
              <v:fill on="f" focussize="0,0"/>
              <v:stroke on="f"/>
              <v:imagedata o:title=""/>
              <o:lock v:ext="edit" aspectratio="f"/>
              <v:textbox inset="0mm,0mm,0mm,0mm">
                <w:txbxContent>
                  <w:p w14:paraId="2130F220">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p w14:paraId="2A580830">
                    <w:pPr>
                      <w:spacing w:line="256" w:lineRule="auto"/>
                      <w:rPr>
                        <w:rFonts w:ascii="Arial"/>
                        <w:sz w:val="21"/>
                      </w:rPr>
                    </w:pPr>
                  </w:p>
                  <w:p w14:paraId="12F3F4CE">
                    <w:pPr>
                      <w:spacing w:line="256" w:lineRule="auto"/>
                      <w:rPr>
                        <w:rFonts w:ascii="Arial"/>
                        <w:sz w:val="21"/>
                      </w:rPr>
                    </w:pPr>
                  </w:p>
                  <w:p w14:paraId="635C62D8">
                    <w:pPr>
                      <w:spacing w:line="60" w:lineRule="exact"/>
                      <w:ind w:firstLine="1402"/>
                    </w:pPr>
                    <w:r>
                      <w:rPr>
                        <w:position w:val="-1"/>
                      </w:rPr>
                      <w:drawing>
                        <wp:inline distT="0" distB="0" distL="0" distR="0">
                          <wp:extent cx="27940" cy="3810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34"/>
                                  <a:stretch>
                                    <a:fillRect/>
                                  </a:stretch>
                                </pic:blipFill>
                                <pic:spPr>
                                  <a:xfrm>
                                    <a:off x="0" y="0"/>
                                    <a:ext cx="28397" cy="38137"/>
                                  </a:xfrm>
                                  <a:prstGeom prst="rect">
                                    <a:avLst/>
                                  </a:prstGeom>
                                </pic:spPr>
                              </pic:pic>
                            </a:graphicData>
                          </a:graphic>
                        </wp:inline>
                      </w:drawing>
                    </w:r>
                  </w:p>
                </w:txbxContent>
              </v:textbox>
            </v:shape>
            <w10:wrap type="none"/>
            <w10:anchorlock/>
          </v:group>
        </w:pict>
      </w:r>
    </w:p>
    <w:p w14:paraId="624EF822">
      <w:pPr>
        <w:spacing w:line="243" w:lineRule="auto"/>
        <w:rPr>
          <w:rFonts w:ascii="Arial"/>
          <w:sz w:val="21"/>
        </w:rPr>
      </w:pPr>
    </w:p>
    <w:p w14:paraId="7E721583">
      <w:pPr>
        <w:spacing w:line="243" w:lineRule="auto"/>
        <w:rPr>
          <w:rFonts w:ascii="Arial"/>
          <w:sz w:val="21"/>
        </w:rPr>
      </w:pPr>
    </w:p>
    <w:p w14:paraId="7EB6584F">
      <w:pPr>
        <w:spacing w:line="243" w:lineRule="auto"/>
        <w:rPr>
          <w:rFonts w:ascii="Arial"/>
          <w:sz w:val="21"/>
        </w:rPr>
      </w:pPr>
    </w:p>
    <w:p w14:paraId="4A857748">
      <w:pPr>
        <w:spacing w:line="243" w:lineRule="auto"/>
        <w:rPr>
          <w:rFonts w:ascii="Arial"/>
          <w:sz w:val="21"/>
        </w:rPr>
      </w:pPr>
    </w:p>
    <w:p w14:paraId="5B373CD2">
      <w:pPr>
        <w:spacing w:line="243" w:lineRule="auto"/>
        <w:rPr>
          <w:rFonts w:ascii="Arial"/>
          <w:sz w:val="21"/>
        </w:rPr>
      </w:pPr>
    </w:p>
    <w:p w14:paraId="31DE7602">
      <w:pPr>
        <w:spacing w:line="243" w:lineRule="auto"/>
        <w:rPr>
          <w:rFonts w:ascii="Arial"/>
          <w:sz w:val="21"/>
        </w:rPr>
      </w:pPr>
    </w:p>
    <w:p w14:paraId="60B87B84">
      <w:pPr>
        <w:spacing w:line="243" w:lineRule="auto"/>
        <w:rPr>
          <w:rFonts w:ascii="Arial"/>
          <w:sz w:val="21"/>
        </w:rPr>
      </w:pPr>
    </w:p>
    <w:p w14:paraId="362855E8">
      <w:pPr>
        <w:spacing w:line="243" w:lineRule="auto"/>
        <w:rPr>
          <w:rFonts w:ascii="Arial"/>
          <w:sz w:val="21"/>
        </w:rPr>
      </w:pPr>
    </w:p>
    <w:p w14:paraId="5C92D958">
      <w:pPr>
        <w:spacing w:line="243" w:lineRule="auto"/>
        <w:rPr>
          <w:rFonts w:ascii="Arial"/>
          <w:sz w:val="21"/>
        </w:rPr>
      </w:pPr>
    </w:p>
    <w:p w14:paraId="05BF83B5">
      <w:pPr>
        <w:spacing w:line="243" w:lineRule="auto"/>
        <w:rPr>
          <w:rFonts w:ascii="Arial"/>
          <w:sz w:val="21"/>
        </w:rPr>
      </w:pPr>
    </w:p>
    <w:p w14:paraId="6BC49859">
      <w:pPr>
        <w:spacing w:line="243" w:lineRule="auto"/>
        <w:rPr>
          <w:rFonts w:ascii="Arial"/>
          <w:sz w:val="21"/>
        </w:rPr>
      </w:pPr>
    </w:p>
    <w:p w14:paraId="6D618CDC">
      <w:pPr>
        <w:spacing w:line="243" w:lineRule="auto"/>
        <w:rPr>
          <w:rFonts w:ascii="Arial"/>
          <w:sz w:val="21"/>
        </w:rPr>
      </w:pPr>
    </w:p>
    <w:p w14:paraId="6D322A0A">
      <w:pPr>
        <w:spacing w:line="243" w:lineRule="auto"/>
        <w:rPr>
          <w:rFonts w:ascii="Arial"/>
          <w:sz w:val="21"/>
        </w:rPr>
      </w:pPr>
    </w:p>
    <w:p w14:paraId="18938E9E">
      <w:pPr>
        <w:spacing w:line="243" w:lineRule="auto"/>
        <w:rPr>
          <w:rFonts w:ascii="Arial"/>
          <w:sz w:val="21"/>
        </w:rPr>
      </w:pPr>
    </w:p>
    <w:p w14:paraId="0986CC9C">
      <w:pPr>
        <w:spacing w:line="243" w:lineRule="auto"/>
        <w:rPr>
          <w:rFonts w:ascii="Arial"/>
          <w:sz w:val="21"/>
        </w:rPr>
      </w:pPr>
    </w:p>
    <w:p w14:paraId="77FB05C9">
      <w:pPr>
        <w:spacing w:line="243" w:lineRule="auto"/>
        <w:rPr>
          <w:rFonts w:ascii="Arial"/>
          <w:sz w:val="21"/>
        </w:rPr>
      </w:pPr>
    </w:p>
    <w:p w14:paraId="37DA5E2E">
      <w:pPr>
        <w:spacing w:line="244" w:lineRule="auto"/>
        <w:rPr>
          <w:rFonts w:ascii="Arial"/>
          <w:sz w:val="21"/>
        </w:rPr>
      </w:pPr>
    </w:p>
    <w:p w14:paraId="6BCCCC74">
      <w:pPr>
        <w:spacing w:line="244" w:lineRule="auto"/>
        <w:rPr>
          <w:rFonts w:ascii="Arial"/>
          <w:sz w:val="21"/>
        </w:rPr>
      </w:pPr>
    </w:p>
    <w:p w14:paraId="4904C651">
      <w:pPr>
        <w:spacing w:line="244" w:lineRule="auto"/>
        <w:rPr>
          <w:rFonts w:ascii="Arial"/>
          <w:sz w:val="21"/>
        </w:rPr>
      </w:pPr>
    </w:p>
    <w:p w14:paraId="246CCB8D">
      <w:pPr>
        <w:spacing w:line="244" w:lineRule="auto"/>
        <w:rPr>
          <w:rFonts w:ascii="Arial"/>
          <w:sz w:val="21"/>
        </w:rPr>
      </w:pPr>
    </w:p>
    <w:p w14:paraId="66FF34D2">
      <w:pPr>
        <w:spacing w:line="244" w:lineRule="auto"/>
        <w:rPr>
          <w:rFonts w:ascii="Arial"/>
          <w:sz w:val="21"/>
        </w:rPr>
      </w:pPr>
    </w:p>
    <w:p w14:paraId="7D0576E0">
      <w:pPr>
        <w:spacing w:line="244" w:lineRule="auto"/>
        <w:rPr>
          <w:rFonts w:ascii="Arial"/>
          <w:sz w:val="21"/>
        </w:rPr>
      </w:pPr>
    </w:p>
    <w:p w14:paraId="5ADDAF69">
      <w:pPr>
        <w:spacing w:before="65" w:line="227" w:lineRule="auto"/>
        <w:ind w:left="3388"/>
        <w:outlineLvl w:val="0"/>
        <w:rPr>
          <w:rFonts w:ascii="宋体" w:hAnsi="宋体" w:eastAsia="宋体" w:cs="宋体"/>
          <w:sz w:val="20"/>
          <w:szCs w:val="20"/>
        </w:rPr>
      </w:pPr>
      <w:r>
        <w:rPr>
          <w:rFonts w:ascii="宋体" w:hAnsi="宋体" w:eastAsia="宋体" w:cs="宋体"/>
          <w:b/>
          <w:bCs/>
          <w:spacing w:val="7"/>
          <w:sz w:val="20"/>
          <w:szCs w:val="20"/>
        </w:rPr>
        <w:t>附图二：项目位置与广东省生态控制性规划的位置关系</w:t>
      </w:r>
    </w:p>
    <w:p w14:paraId="028E2544">
      <w:pPr>
        <w:spacing w:line="227" w:lineRule="auto"/>
        <w:rPr>
          <w:rFonts w:ascii="宋体" w:hAnsi="宋体" w:eastAsia="宋体" w:cs="宋体"/>
          <w:sz w:val="20"/>
          <w:szCs w:val="20"/>
        </w:rPr>
        <w:sectPr>
          <w:pgSz w:w="16839" w:h="11906"/>
          <w:pgMar w:top="400" w:right="1499" w:bottom="400" w:left="2525" w:header="0" w:footer="0" w:gutter="0"/>
          <w:cols w:space="720" w:num="1"/>
        </w:sectPr>
      </w:pPr>
    </w:p>
    <w:p w14:paraId="79DF71FC">
      <w:pPr>
        <w:spacing w:before="19"/>
      </w:pPr>
      <w:r>
        <w:drawing>
          <wp:anchor distT="0" distB="0" distL="0" distR="0" simplePos="0" relativeHeight="251701248" behindDoc="1" locked="0" layoutInCell="0" allowOverlap="1">
            <wp:simplePos x="0" y="0"/>
            <wp:positionH relativeFrom="page">
              <wp:posOffset>2138045</wp:posOffset>
            </wp:positionH>
            <wp:positionV relativeFrom="page">
              <wp:posOffset>1089660</wp:posOffset>
            </wp:positionV>
            <wp:extent cx="6414770" cy="532638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35"/>
                    <a:stretch>
                      <a:fillRect/>
                    </a:stretch>
                  </pic:blipFill>
                  <pic:spPr>
                    <a:xfrm>
                      <a:off x="0" y="0"/>
                      <a:ext cx="6414516" cy="5326379"/>
                    </a:xfrm>
                    <a:prstGeom prst="rect">
                      <a:avLst/>
                    </a:prstGeom>
                  </pic:spPr>
                </pic:pic>
              </a:graphicData>
            </a:graphic>
          </wp:anchor>
        </w:drawing>
      </w:r>
    </w:p>
    <w:p w14:paraId="34372014">
      <w:pPr>
        <w:spacing w:before="19"/>
      </w:pPr>
    </w:p>
    <w:p w14:paraId="4F675BD5">
      <w:pPr>
        <w:spacing w:before="19"/>
      </w:pPr>
    </w:p>
    <w:p w14:paraId="69C1DBF2">
      <w:pPr>
        <w:spacing w:before="18"/>
      </w:pPr>
    </w:p>
    <w:p w14:paraId="22D97071">
      <w:pPr>
        <w:spacing w:before="18"/>
      </w:pPr>
    </w:p>
    <w:tbl>
      <w:tblPr>
        <w:tblStyle w:val="5"/>
        <w:tblW w:w="10126" w:type="dxa"/>
        <w:tblInd w:w="8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6"/>
      </w:tblGrid>
      <w:tr w14:paraId="14CF1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3" w:hRule="atLeast"/>
        </w:trPr>
        <w:tc>
          <w:tcPr>
            <w:tcW w:w="10126" w:type="dxa"/>
            <w:tcBorders>
              <w:bottom w:val="nil"/>
            </w:tcBorders>
            <w:vAlign w:val="top"/>
          </w:tcPr>
          <w:p w14:paraId="3E51C58D">
            <w:pPr>
              <w:spacing w:before="101" w:line="1440" w:lineRule="exact"/>
              <w:ind w:firstLine="9211"/>
            </w:pPr>
            <w:r>
              <w:rPr>
                <w:position w:val="-28"/>
              </w:rPr>
              <w:drawing>
                <wp:inline distT="0" distB="0" distL="0" distR="0">
                  <wp:extent cx="563880" cy="9144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32"/>
                          <a:stretch>
                            <a:fillRect/>
                          </a:stretch>
                        </pic:blipFill>
                        <pic:spPr>
                          <a:xfrm>
                            <a:off x="0" y="0"/>
                            <a:ext cx="563880" cy="914400"/>
                          </a:xfrm>
                          <a:prstGeom prst="rect">
                            <a:avLst/>
                          </a:prstGeom>
                        </pic:spPr>
                      </pic:pic>
                    </a:graphicData>
                  </a:graphic>
                </wp:inline>
              </w:drawing>
            </w:r>
          </w:p>
        </w:tc>
      </w:tr>
      <w:tr w14:paraId="7420B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5" w:hRule="atLeast"/>
        </w:trPr>
        <w:tc>
          <w:tcPr>
            <w:tcW w:w="10126" w:type="dxa"/>
            <w:tcBorders>
              <w:top w:val="nil"/>
              <w:bottom w:val="nil"/>
            </w:tcBorders>
            <w:vAlign w:val="top"/>
          </w:tcPr>
          <w:p w14:paraId="7D3FFCA6">
            <w:pPr>
              <w:spacing w:line="309" w:lineRule="auto"/>
              <w:rPr>
                <w:rFonts w:ascii="Arial"/>
                <w:sz w:val="21"/>
              </w:rPr>
            </w:pPr>
          </w:p>
          <w:p w14:paraId="399BEBD3">
            <w:pPr>
              <w:spacing w:line="310" w:lineRule="auto"/>
              <w:rPr>
                <w:rFonts w:ascii="Arial"/>
                <w:sz w:val="21"/>
              </w:rPr>
            </w:pPr>
          </w:p>
          <w:p w14:paraId="768632BF">
            <w:pPr>
              <w:pStyle w:val="6"/>
              <w:spacing w:line="953" w:lineRule="exact"/>
              <w:ind w:firstLine="4614"/>
            </w:pPr>
            <w:r>
              <w:rPr>
                <w:position w:val="-19"/>
              </w:rPr>
              <w:pict>
                <v:group id="_x0000_s1075" o:spid="_x0000_s1075" o:spt="203" style="height:47.7pt;width:86.7pt;" coordsize="1733,954">
                  <o:lock v:ext="edit"/>
                  <v:shape id="_x0000_s1076" o:spid="_x0000_s1076" o:spt="75" type="#_x0000_t75" style="position:absolute;left:0;top:0;height:954;width:1733;" filled="f" stroked="f" coordsize="21600,21600">
                    <v:path/>
                    <v:fill on="f" focussize="0,0"/>
                    <v:stroke on="f"/>
                    <v:imagedata r:id="rId236" o:title=""/>
                    <o:lock v:ext="edit" aspectratio="t"/>
                  </v:shape>
                  <v:shape id="_x0000_s1077" o:spid="_x0000_s1077" o:spt="202" type="#_x0000_t202" style="position:absolute;left:-20;top:-20;height:994;width:1773;" filled="f" stroked="f" coordsize="21600,21600">
                    <v:path/>
                    <v:fill on="f" focussize="0,0"/>
                    <v:stroke on="f"/>
                    <v:imagedata o:title=""/>
                    <o:lock v:ext="edit" aspectratio="f"/>
                    <v:textbox inset="0mm,0mm,0mm,0mm">
                      <w:txbxContent>
                        <w:p w14:paraId="014B041A">
                          <w:pPr>
                            <w:spacing w:before="79" w:line="228" w:lineRule="auto"/>
                            <w:ind w:left="246"/>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tc>
      </w:tr>
      <w:tr w14:paraId="7814B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0" w:hRule="atLeast"/>
        </w:trPr>
        <w:tc>
          <w:tcPr>
            <w:tcW w:w="10126" w:type="dxa"/>
            <w:tcBorders>
              <w:top w:val="nil"/>
            </w:tcBorders>
            <w:vAlign w:val="top"/>
          </w:tcPr>
          <w:p w14:paraId="6D355ADD">
            <w:pPr>
              <w:spacing w:line="268" w:lineRule="auto"/>
              <w:rPr>
                <w:rFonts w:ascii="Arial"/>
                <w:sz w:val="21"/>
              </w:rPr>
            </w:pPr>
          </w:p>
          <w:p w14:paraId="67C50C43">
            <w:pPr>
              <w:spacing w:line="269" w:lineRule="auto"/>
              <w:rPr>
                <w:rFonts w:ascii="Arial"/>
                <w:sz w:val="21"/>
              </w:rPr>
            </w:pPr>
          </w:p>
          <w:p w14:paraId="749C37B2">
            <w:pPr>
              <w:spacing w:line="269" w:lineRule="auto"/>
              <w:rPr>
                <w:rFonts w:ascii="Arial"/>
                <w:sz w:val="21"/>
              </w:rPr>
            </w:pPr>
          </w:p>
          <w:p w14:paraId="23B197D0">
            <w:pPr>
              <w:spacing w:line="269" w:lineRule="auto"/>
              <w:rPr>
                <w:rFonts w:ascii="Arial"/>
                <w:sz w:val="21"/>
              </w:rPr>
            </w:pPr>
          </w:p>
          <w:p w14:paraId="08705A39">
            <w:pPr>
              <w:spacing w:line="269" w:lineRule="auto"/>
              <w:rPr>
                <w:rFonts w:ascii="Arial"/>
                <w:sz w:val="21"/>
              </w:rPr>
            </w:pPr>
          </w:p>
          <w:p w14:paraId="65B7B418">
            <w:pPr>
              <w:spacing w:line="269" w:lineRule="auto"/>
              <w:rPr>
                <w:rFonts w:ascii="Arial"/>
                <w:sz w:val="21"/>
              </w:rPr>
            </w:pPr>
          </w:p>
          <w:p w14:paraId="5F4F2966">
            <w:pPr>
              <w:spacing w:line="269" w:lineRule="auto"/>
              <w:rPr>
                <w:rFonts w:ascii="Arial"/>
                <w:sz w:val="21"/>
              </w:rPr>
            </w:pPr>
          </w:p>
          <w:p w14:paraId="45A1C737">
            <w:pPr>
              <w:spacing w:line="600" w:lineRule="exact"/>
              <w:ind w:firstLine="3691"/>
            </w:pPr>
            <w:r>
              <w:rPr>
                <w:position w:val="-12"/>
              </w:rPr>
              <w:drawing>
                <wp:inline distT="0" distB="0" distL="0" distR="0">
                  <wp:extent cx="667385" cy="3810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37"/>
                          <a:stretch>
                            <a:fillRect/>
                          </a:stretch>
                        </pic:blipFill>
                        <pic:spPr>
                          <a:xfrm>
                            <a:off x="0" y="0"/>
                            <a:ext cx="667511" cy="381000"/>
                          </a:xfrm>
                          <a:prstGeom prst="rect">
                            <a:avLst/>
                          </a:prstGeom>
                        </pic:spPr>
                      </pic:pic>
                    </a:graphicData>
                  </a:graphic>
                </wp:inline>
              </w:drawing>
            </w:r>
          </w:p>
        </w:tc>
      </w:tr>
    </w:tbl>
    <w:p w14:paraId="0C368344">
      <w:pPr>
        <w:spacing w:before="151" w:line="227" w:lineRule="auto"/>
        <w:ind w:left="4547"/>
        <w:outlineLvl w:val="0"/>
        <w:rPr>
          <w:rFonts w:ascii="宋体" w:hAnsi="宋体" w:eastAsia="宋体" w:cs="宋体"/>
          <w:sz w:val="20"/>
          <w:szCs w:val="20"/>
        </w:rPr>
      </w:pPr>
      <w:r>
        <w:rPr>
          <w:rFonts w:ascii="宋体" w:hAnsi="宋体" w:eastAsia="宋体" w:cs="宋体"/>
          <w:b/>
          <w:bCs/>
          <w:spacing w:val="6"/>
          <w:sz w:val="20"/>
          <w:szCs w:val="20"/>
        </w:rPr>
        <w:t>附图三：项目服务范围示意图</w:t>
      </w:r>
    </w:p>
    <w:p w14:paraId="443986FC">
      <w:pPr>
        <w:spacing w:line="227" w:lineRule="auto"/>
        <w:rPr>
          <w:rFonts w:ascii="宋体" w:hAnsi="宋体" w:eastAsia="宋体" w:cs="宋体"/>
          <w:sz w:val="20"/>
          <w:szCs w:val="20"/>
        </w:rPr>
        <w:sectPr>
          <w:pgSz w:w="16839" w:h="11906"/>
          <w:pgMar w:top="400" w:right="2525" w:bottom="400" w:left="2525" w:header="0" w:footer="0" w:gutter="0"/>
          <w:cols w:space="720" w:num="1"/>
        </w:sectPr>
      </w:pPr>
    </w:p>
    <w:p w14:paraId="0352980C">
      <w:pPr>
        <w:spacing w:line="311" w:lineRule="auto"/>
        <w:rPr>
          <w:rFonts w:ascii="Arial"/>
          <w:sz w:val="21"/>
        </w:rPr>
      </w:pPr>
    </w:p>
    <w:p w14:paraId="44E12EFA">
      <w:pPr>
        <w:spacing w:line="312" w:lineRule="auto"/>
        <w:rPr>
          <w:rFonts w:ascii="Arial"/>
          <w:sz w:val="21"/>
        </w:rPr>
      </w:pPr>
    </w:p>
    <w:p w14:paraId="1468CDBA">
      <w:pPr>
        <w:spacing w:line="312" w:lineRule="auto"/>
        <w:rPr>
          <w:rFonts w:ascii="Arial"/>
          <w:sz w:val="21"/>
        </w:rPr>
      </w:pPr>
      <w:r>
        <w:drawing>
          <wp:anchor distT="0" distB="0" distL="0" distR="0" simplePos="0" relativeHeight="251702272" behindDoc="1" locked="0" layoutInCell="1" allowOverlap="1">
            <wp:simplePos x="0" y="0"/>
            <wp:positionH relativeFrom="column">
              <wp:posOffset>160655</wp:posOffset>
            </wp:positionH>
            <wp:positionV relativeFrom="paragraph">
              <wp:posOffset>158115</wp:posOffset>
            </wp:positionV>
            <wp:extent cx="7161530" cy="558990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38"/>
                    <a:stretch>
                      <a:fillRect/>
                    </a:stretch>
                  </pic:blipFill>
                  <pic:spPr>
                    <a:xfrm>
                      <a:off x="0" y="0"/>
                      <a:ext cx="7161276" cy="5590031"/>
                    </a:xfrm>
                    <a:prstGeom prst="rect">
                      <a:avLst/>
                    </a:prstGeom>
                  </pic:spPr>
                </pic:pic>
              </a:graphicData>
            </a:graphic>
          </wp:anchor>
        </w:drawing>
      </w:r>
    </w:p>
    <w:p w14:paraId="6E957953">
      <w:pPr>
        <w:spacing w:line="1440" w:lineRule="exact"/>
        <w:ind w:firstLine="11828"/>
      </w:pPr>
      <w:r>
        <w:rPr>
          <w:position w:val="-28"/>
        </w:rPr>
        <w:drawing>
          <wp:inline distT="0" distB="0" distL="0" distR="0">
            <wp:extent cx="563880" cy="9144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32"/>
                    <a:stretch>
                      <a:fillRect/>
                    </a:stretch>
                  </pic:blipFill>
                  <pic:spPr>
                    <a:xfrm>
                      <a:off x="0" y="0"/>
                      <a:ext cx="563880" cy="914400"/>
                    </a:xfrm>
                    <a:prstGeom prst="rect">
                      <a:avLst/>
                    </a:prstGeom>
                  </pic:spPr>
                </pic:pic>
              </a:graphicData>
            </a:graphic>
          </wp:inline>
        </w:drawing>
      </w:r>
    </w:p>
    <w:p w14:paraId="4371FA24">
      <w:pPr>
        <w:spacing w:line="253" w:lineRule="auto"/>
        <w:rPr>
          <w:rFonts w:ascii="Arial"/>
          <w:sz w:val="21"/>
        </w:rPr>
      </w:pPr>
    </w:p>
    <w:p w14:paraId="0E85E31B">
      <w:pPr>
        <w:spacing w:line="253" w:lineRule="auto"/>
        <w:rPr>
          <w:rFonts w:ascii="Arial"/>
          <w:sz w:val="21"/>
        </w:rPr>
      </w:pPr>
    </w:p>
    <w:p w14:paraId="681FEA2A">
      <w:pPr>
        <w:spacing w:line="253" w:lineRule="auto"/>
        <w:rPr>
          <w:rFonts w:ascii="Arial"/>
          <w:sz w:val="21"/>
        </w:rPr>
      </w:pPr>
    </w:p>
    <w:p w14:paraId="6D5A4408">
      <w:pPr>
        <w:spacing w:line="253" w:lineRule="auto"/>
        <w:rPr>
          <w:rFonts w:ascii="Arial"/>
          <w:sz w:val="21"/>
        </w:rPr>
      </w:pPr>
    </w:p>
    <w:p w14:paraId="070A0BA9">
      <w:pPr>
        <w:spacing w:line="253" w:lineRule="auto"/>
        <w:rPr>
          <w:rFonts w:ascii="Arial"/>
          <w:sz w:val="21"/>
        </w:rPr>
      </w:pPr>
    </w:p>
    <w:p w14:paraId="3000E5CE">
      <w:pPr>
        <w:spacing w:line="254" w:lineRule="auto"/>
        <w:rPr>
          <w:rFonts w:ascii="Arial"/>
          <w:sz w:val="21"/>
        </w:rPr>
      </w:pPr>
    </w:p>
    <w:p w14:paraId="0A5A2414">
      <w:pPr>
        <w:spacing w:line="254" w:lineRule="auto"/>
        <w:rPr>
          <w:rFonts w:ascii="Arial"/>
          <w:sz w:val="21"/>
        </w:rPr>
      </w:pPr>
    </w:p>
    <w:p w14:paraId="166DFA31">
      <w:pPr>
        <w:spacing w:line="254" w:lineRule="auto"/>
        <w:rPr>
          <w:rFonts w:ascii="Arial"/>
          <w:sz w:val="21"/>
        </w:rPr>
      </w:pPr>
    </w:p>
    <w:p w14:paraId="50E4391B">
      <w:pPr>
        <w:spacing w:line="254" w:lineRule="auto"/>
        <w:rPr>
          <w:rFonts w:ascii="Arial"/>
          <w:sz w:val="21"/>
        </w:rPr>
      </w:pPr>
    </w:p>
    <w:p w14:paraId="3FF26C7B">
      <w:pPr>
        <w:spacing w:line="254" w:lineRule="auto"/>
        <w:rPr>
          <w:rFonts w:ascii="Arial"/>
          <w:sz w:val="21"/>
        </w:rPr>
      </w:pPr>
    </w:p>
    <w:p w14:paraId="60F755F3">
      <w:pPr>
        <w:spacing w:line="254" w:lineRule="auto"/>
        <w:rPr>
          <w:rFonts w:ascii="Arial"/>
          <w:sz w:val="21"/>
        </w:rPr>
      </w:pPr>
    </w:p>
    <w:p w14:paraId="1BD690A7">
      <w:pPr>
        <w:spacing w:line="939" w:lineRule="exact"/>
        <w:ind w:firstLine="6918"/>
      </w:pPr>
      <w:r>
        <w:rPr>
          <w:position w:val="-18"/>
        </w:rPr>
        <w:pict>
          <v:group id="_x0000_s1078" o:spid="_x0000_s1078" o:spt="203" style="height:47pt;width:64.4pt;" coordsize="1288,940">
            <o:lock v:ext="edit"/>
            <v:shape id="_x0000_s1079" o:spid="_x0000_s1079" o:spt="75" type="#_x0000_t75" style="position:absolute;left:0;top:0;height:918;width:1275;" filled="f" stroked="f" coordsize="21600,21600">
              <v:path/>
              <v:fill on="f" focussize="0,0"/>
              <v:stroke on="f"/>
              <v:imagedata r:id="rId239" o:title=""/>
              <o:lock v:ext="edit" aspectratio="t"/>
            </v:shape>
            <v:shape id="_x0000_s1080" o:spid="_x0000_s1080" o:spt="202" type="#_x0000_t202" style="position:absolute;left:206;top:40;height:919;width:1100;" filled="f" stroked="f" coordsize="21600,21600">
              <v:path/>
              <v:fill on="f" focussize="0,0"/>
              <v:stroke on="f"/>
              <v:imagedata o:title=""/>
              <o:lock v:ext="edit" aspectratio="f"/>
              <v:textbox inset="0mm,0mm,0mm,0mm">
                <w:txbxContent>
                  <w:p w14:paraId="4E8CA184">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p w14:paraId="1B35331F">
                    <w:pPr>
                      <w:spacing w:line="284" w:lineRule="auto"/>
                      <w:rPr>
                        <w:rFonts w:ascii="Arial"/>
                        <w:sz w:val="21"/>
                      </w:rPr>
                    </w:pPr>
                  </w:p>
                  <w:p w14:paraId="60600813">
                    <w:pPr>
                      <w:spacing w:line="284" w:lineRule="auto"/>
                      <w:rPr>
                        <w:rFonts w:ascii="Arial"/>
                        <w:sz w:val="21"/>
                      </w:rPr>
                    </w:pPr>
                  </w:p>
                  <w:p w14:paraId="5DC36D54">
                    <w:pPr>
                      <w:spacing w:line="60" w:lineRule="exact"/>
                      <w:ind w:firstLine="1035"/>
                    </w:pPr>
                    <w:r>
                      <w:rPr>
                        <w:position w:val="-1"/>
                      </w:rPr>
                      <w:drawing>
                        <wp:inline distT="0" distB="0" distL="0" distR="0">
                          <wp:extent cx="27940" cy="381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40"/>
                                  <a:stretch>
                                    <a:fillRect/>
                                  </a:stretch>
                                </pic:blipFill>
                                <pic:spPr>
                                  <a:xfrm>
                                    <a:off x="0" y="0"/>
                                    <a:ext cx="28397" cy="38137"/>
                                  </a:xfrm>
                                  <a:prstGeom prst="rect">
                                    <a:avLst/>
                                  </a:prstGeom>
                                </pic:spPr>
                              </pic:pic>
                            </a:graphicData>
                          </a:graphic>
                        </wp:inline>
                      </w:drawing>
                    </w:r>
                  </w:p>
                </w:txbxContent>
              </v:textbox>
            </v:shape>
            <w10:wrap type="none"/>
            <w10:anchorlock/>
          </v:group>
        </w:pict>
      </w:r>
    </w:p>
    <w:p w14:paraId="2B8048D2">
      <w:pPr>
        <w:spacing w:line="241" w:lineRule="auto"/>
        <w:rPr>
          <w:rFonts w:ascii="Arial"/>
          <w:sz w:val="21"/>
        </w:rPr>
      </w:pPr>
    </w:p>
    <w:p w14:paraId="19B73D2A">
      <w:pPr>
        <w:spacing w:line="241" w:lineRule="auto"/>
        <w:rPr>
          <w:rFonts w:ascii="Arial"/>
          <w:sz w:val="21"/>
        </w:rPr>
      </w:pPr>
    </w:p>
    <w:p w14:paraId="23225972">
      <w:pPr>
        <w:spacing w:line="241" w:lineRule="auto"/>
        <w:rPr>
          <w:rFonts w:ascii="Arial"/>
          <w:sz w:val="21"/>
        </w:rPr>
      </w:pPr>
    </w:p>
    <w:p w14:paraId="78694F6D">
      <w:pPr>
        <w:spacing w:line="241" w:lineRule="auto"/>
        <w:rPr>
          <w:rFonts w:ascii="Arial"/>
          <w:sz w:val="21"/>
        </w:rPr>
      </w:pPr>
    </w:p>
    <w:p w14:paraId="681E87AB">
      <w:pPr>
        <w:spacing w:line="241" w:lineRule="auto"/>
        <w:rPr>
          <w:rFonts w:ascii="Arial"/>
          <w:sz w:val="21"/>
        </w:rPr>
      </w:pPr>
    </w:p>
    <w:p w14:paraId="5064AF5C">
      <w:pPr>
        <w:spacing w:line="241" w:lineRule="auto"/>
        <w:rPr>
          <w:rFonts w:ascii="Arial"/>
          <w:sz w:val="21"/>
        </w:rPr>
      </w:pPr>
    </w:p>
    <w:p w14:paraId="19D46A22">
      <w:pPr>
        <w:spacing w:line="241" w:lineRule="auto"/>
        <w:rPr>
          <w:rFonts w:ascii="Arial"/>
          <w:sz w:val="21"/>
        </w:rPr>
      </w:pPr>
    </w:p>
    <w:p w14:paraId="76A291B7">
      <w:pPr>
        <w:spacing w:line="241" w:lineRule="auto"/>
        <w:rPr>
          <w:rFonts w:ascii="Arial"/>
          <w:sz w:val="21"/>
        </w:rPr>
      </w:pPr>
    </w:p>
    <w:p w14:paraId="13E9FE26">
      <w:pPr>
        <w:spacing w:line="241" w:lineRule="auto"/>
        <w:rPr>
          <w:rFonts w:ascii="Arial"/>
          <w:sz w:val="21"/>
        </w:rPr>
      </w:pPr>
    </w:p>
    <w:p w14:paraId="59A1AD8E">
      <w:pPr>
        <w:spacing w:line="241" w:lineRule="auto"/>
        <w:rPr>
          <w:rFonts w:ascii="Arial"/>
          <w:sz w:val="21"/>
        </w:rPr>
      </w:pPr>
    </w:p>
    <w:p w14:paraId="35CF2B66">
      <w:pPr>
        <w:spacing w:line="241" w:lineRule="auto"/>
        <w:rPr>
          <w:rFonts w:ascii="Arial"/>
          <w:sz w:val="21"/>
        </w:rPr>
      </w:pPr>
    </w:p>
    <w:p w14:paraId="5642160D">
      <w:pPr>
        <w:spacing w:line="241" w:lineRule="auto"/>
        <w:rPr>
          <w:rFonts w:ascii="Arial"/>
          <w:sz w:val="21"/>
        </w:rPr>
      </w:pPr>
    </w:p>
    <w:p w14:paraId="0F46CC87">
      <w:pPr>
        <w:spacing w:line="241" w:lineRule="auto"/>
        <w:rPr>
          <w:rFonts w:ascii="Arial"/>
          <w:sz w:val="21"/>
        </w:rPr>
      </w:pPr>
    </w:p>
    <w:p w14:paraId="04ACACC4">
      <w:pPr>
        <w:spacing w:line="241" w:lineRule="auto"/>
        <w:rPr>
          <w:rFonts w:ascii="Arial"/>
          <w:sz w:val="21"/>
        </w:rPr>
      </w:pPr>
    </w:p>
    <w:p w14:paraId="2255BBA6">
      <w:pPr>
        <w:spacing w:line="241" w:lineRule="auto"/>
        <w:rPr>
          <w:rFonts w:ascii="Arial"/>
          <w:sz w:val="21"/>
        </w:rPr>
      </w:pPr>
    </w:p>
    <w:p w14:paraId="62F6C134">
      <w:pPr>
        <w:spacing w:before="65" w:line="227" w:lineRule="auto"/>
        <w:ind w:left="3491"/>
        <w:outlineLvl w:val="0"/>
        <w:rPr>
          <w:rFonts w:ascii="宋体" w:hAnsi="宋体" w:eastAsia="宋体" w:cs="宋体"/>
          <w:sz w:val="20"/>
          <w:szCs w:val="20"/>
        </w:rPr>
      </w:pPr>
      <w:r>
        <w:rPr>
          <w:rFonts w:ascii="宋体" w:hAnsi="宋体" w:eastAsia="宋体" w:cs="宋体"/>
          <w:b/>
          <w:bCs/>
          <w:spacing w:val="7"/>
          <w:sz w:val="20"/>
          <w:szCs w:val="20"/>
        </w:rPr>
        <w:t>附图四：项目位置与海丰县大气环境功能区划关系图</w:t>
      </w:r>
    </w:p>
    <w:p w14:paraId="54C864CB">
      <w:pPr>
        <w:spacing w:line="227" w:lineRule="auto"/>
        <w:rPr>
          <w:rFonts w:ascii="宋体" w:hAnsi="宋体" w:eastAsia="宋体" w:cs="宋体"/>
          <w:sz w:val="20"/>
          <w:szCs w:val="20"/>
        </w:rPr>
        <w:sectPr>
          <w:pgSz w:w="16839" w:h="11906"/>
          <w:pgMar w:top="400" w:right="1595" w:bottom="400" w:left="2525" w:header="0" w:footer="0" w:gutter="0"/>
          <w:cols w:space="720" w:num="1"/>
        </w:sectPr>
      </w:pPr>
    </w:p>
    <w:p w14:paraId="4540DBC2">
      <w:pPr>
        <w:spacing w:line="248" w:lineRule="auto"/>
        <w:rPr>
          <w:rFonts w:ascii="Arial"/>
          <w:sz w:val="21"/>
        </w:rPr>
      </w:pPr>
    </w:p>
    <w:p w14:paraId="5AAC9C1E">
      <w:pPr>
        <w:spacing w:line="248" w:lineRule="auto"/>
        <w:rPr>
          <w:rFonts w:ascii="Arial"/>
          <w:sz w:val="21"/>
        </w:rPr>
      </w:pPr>
    </w:p>
    <w:p w14:paraId="2915DE56">
      <w:pPr>
        <w:spacing w:line="248" w:lineRule="auto"/>
        <w:rPr>
          <w:rFonts w:ascii="Arial"/>
          <w:sz w:val="21"/>
        </w:rPr>
      </w:pPr>
    </w:p>
    <w:p w14:paraId="6C18D572">
      <w:pPr>
        <w:spacing w:line="248" w:lineRule="auto"/>
        <w:rPr>
          <w:rFonts w:ascii="Arial"/>
          <w:sz w:val="21"/>
        </w:rPr>
      </w:pPr>
    </w:p>
    <w:p w14:paraId="6FAA3139">
      <w:pPr>
        <w:spacing w:line="248" w:lineRule="auto"/>
        <w:rPr>
          <w:rFonts w:ascii="Arial"/>
          <w:sz w:val="21"/>
        </w:rPr>
      </w:pPr>
    </w:p>
    <w:p w14:paraId="7A1645BD">
      <w:pPr>
        <w:spacing w:line="248" w:lineRule="auto"/>
        <w:rPr>
          <w:rFonts w:ascii="Arial"/>
          <w:sz w:val="21"/>
        </w:rPr>
      </w:pPr>
    </w:p>
    <w:p w14:paraId="52FDE376">
      <w:pPr>
        <w:spacing w:line="248" w:lineRule="auto"/>
        <w:rPr>
          <w:rFonts w:ascii="Arial"/>
          <w:sz w:val="21"/>
        </w:rPr>
      </w:pPr>
    </w:p>
    <w:p w14:paraId="523E8E22">
      <w:pPr>
        <w:spacing w:line="248" w:lineRule="auto"/>
        <w:rPr>
          <w:rFonts w:ascii="Arial"/>
          <w:sz w:val="21"/>
        </w:rPr>
      </w:pPr>
    </w:p>
    <w:p w14:paraId="39E828F4">
      <w:pPr>
        <w:spacing w:line="248" w:lineRule="auto"/>
        <w:rPr>
          <w:rFonts w:ascii="Arial"/>
          <w:sz w:val="21"/>
        </w:rPr>
      </w:pPr>
    </w:p>
    <w:p w14:paraId="1FFDCA0D">
      <w:pPr>
        <w:spacing w:line="248" w:lineRule="auto"/>
        <w:rPr>
          <w:rFonts w:ascii="Arial"/>
          <w:sz w:val="21"/>
        </w:rPr>
      </w:pPr>
    </w:p>
    <w:p w14:paraId="1175EB3E">
      <w:pPr>
        <w:spacing w:line="248" w:lineRule="auto"/>
        <w:rPr>
          <w:rFonts w:ascii="Arial"/>
          <w:sz w:val="21"/>
        </w:rPr>
      </w:pPr>
    </w:p>
    <w:p w14:paraId="76CD8B8E">
      <w:pPr>
        <w:spacing w:line="248" w:lineRule="auto"/>
        <w:rPr>
          <w:rFonts w:ascii="Arial"/>
          <w:sz w:val="21"/>
        </w:rPr>
      </w:pPr>
    </w:p>
    <w:p w14:paraId="26887A03">
      <w:pPr>
        <w:spacing w:line="248" w:lineRule="auto"/>
        <w:rPr>
          <w:rFonts w:ascii="Arial"/>
          <w:sz w:val="21"/>
        </w:rPr>
      </w:pPr>
    </w:p>
    <w:p w14:paraId="37F9CDC9">
      <w:pPr>
        <w:spacing w:line="248" w:lineRule="auto"/>
        <w:rPr>
          <w:rFonts w:ascii="Arial"/>
          <w:sz w:val="21"/>
        </w:rPr>
      </w:pPr>
    </w:p>
    <w:p w14:paraId="7330ECEE">
      <w:pPr>
        <w:spacing w:line="248" w:lineRule="auto"/>
        <w:rPr>
          <w:rFonts w:ascii="Arial"/>
          <w:sz w:val="21"/>
        </w:rPr>
      </w:pPr>
    </w:p>
    <w:p w14:paraId="72C586E9">
      <w:pPr>
        <w:spacing w:line="248" w:lineRule="auto"/>
        <w:rPr>
          <w:rFonts w:ascii="Arial"/>
          <w:sz w:val="21"/>
        </w:rPr>
      </w:pPr>
    </w:p>
    <w:p w14:paraId="28A4633E">
      <w:pPr>
        <w:spacing w:line="248" w:lineRule="auto"/>
        <w:rPr>
          <w:rFonts w:ascii="Arial"/>
          <w:sz w:val="21"/>
        </w:rPr>
      </w:pPr>
    </w:p>
    <w:p w14:paraId="53CDBA60">
      <w:pPr>
        <w:spacing w:line="248" w:lineRule="auto"/>
        <w:rPr>
          <w:rFonts w:ascii="Arial"/>
          <w:sz w:val="21"/>
        </w:rPr>
      </w:pPr>
    </w:p>
    <w:p w14:paraId="43048812">
      <w:pPr>
        <w:spacing w:line="249" w:lineRule="auto"/>
        <w:rPr>
          <w:rFonts w:ascii="Arial"/>
          <w:sz w:val="21"/>
        </w:rPr>
      </w:pPr>
    </w:p>
    <w:p w14:paraId="3757B743">
      <w:pPr>
        <w:spacing w:line="249" w:lineRule="auto"/>
        <w:rPr>
          <w:rFonts w:ascii="Arial"/>
          <w:sz w:val="21"/>
        </w:rPr>
      </w:pPr>
    </w:p>
    <w:p w14:paraId="1F577134">
      <w:pPr>
        <w:spacing w:line="4131" w:lineRule="exact"/>
        <w:ind w:firstLine="4193"/>
      </w:pPr>
      <w:r>
        <w:pict>
          <v:group id="_x0000_s1081" o:spid="_x0000_s1081" o:spt="203" style="position:absolute;left:0pt;margin-left:237.2pt;margin-top:151.9pt;height:44.55pt;width:78.2pt;z-index:-251613184;mso-width-relative:page;mso-height-relative:page;" coordsize="1563,890">
            <o:lock v:ext="edit"/>
            <v:shape id="_x0000_s1082" o:spid="_x0000_s1082" o:spt="75" type="#_x0000_t75" style="position:absolute;left:0;top:0;height:890;width:1563;" filled="f" stroked="f" coordsize="21600,21600">
              <v:path/>
              <v:fill on="f" focussize="0,0"/>
              <v:stroke on="f"/>
              <v:imagedata r:id="rId241" o:title=""/>
              <o:lock v:ext="edit" aspectratio="t"/>
            </v:shape>
            <v:shape id="_x0000_s1083" o:spid="_x0000_s1083" o:spt="202" type="#_x0000_t202" style="position:absolute;left:-20;top:-20;height:970;width:1603;" filled="f" stroked="f" coordsize="21600,21600">
              <v:path/>
              <v:fill on="f" focussize="0,0"/>
              <v:stroke on="f"/>
              <v:imagedata o:title=""/>
              <o:lock v:ext="edit" aspectratio="f"/>
              <v:textbox inset="0mm,0mm,0mm,0mm">
                <w:txbxContent>
                  <w:p w14:paraId="1EBAF7DC">
                    <w:pPr>
                      <w:spacing w:before="79" w:line="228" w:lineRule="auto"/>
                      <w:ind w:left="247"/>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v:group>
        </w:pict>
      </w:r>
      <w:r>
        <w:drawing>
          <wp:anchor distT="0" distB="0" distL="0" distR="0" simplePos="0" relativeHeight="251704320" behindDoc="0" locked="0" layoutInCell="1" allowOverlap="1">
            <wp:simplePos x="0" y="0"/>
            <wp:positionH relativeFrom="column">
              <wp:posOffset>3960495</wp:posOffset>
            </wp:positionH>
            <wp:positionV relativeFrom="paragraph">
              <wp:posOffset>2448560</wp:posOffset>
            </wp:positionV>
            <wp:extent cx="73025" cy="8826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42"/>
                    <a:stretch>
                      <a:fillRect/>
                    </a:stretch>
                  </pic:blipFill>
                  <pic:spPr>
                    <a:xfrm>
                      <a:off x="0" y="0"/>
                      <a:ext cx="73012" cy="88531"/>
                    </a:xfrm>
                    <a:prstGeom prst="rect">
                      <a:avLst/>
                    </a:prstGeom>
                  </pic:spPr>
                </pic:pic>
              </a:graphicData>
            </a:graphic>
          </wp:anchor>
        </w:drawing>
      </w:r>
      <w:r>
        <w:rPr>
          <w:position w:val="-82"/>
        </w:rPr>
        <w:pict>
          <v:group id="_x0000_s1084" o:spid="_x0000_s1084" o:spt="203" style="height:206.55pt;width:223.8pt;" coordsize="4476,4131">
            <o:lock v:ext="edit"/>
            <v:shape id="_x0000_s1085" o:spid="_x0000_s1085" o:spt="75" type="#_x0000_t75" style="position:absolute;left:0;top:0;height:4131;width:4476;" filled="f" stroked="f" coordsize="21600,21600">
              <v:path/>
              <v:fill on="f" focussize="0,0"/>
              <v:stroke on="f"/>
              <v:imagedata r:id="rId243" o:title=""/>
              <o:lock v:ext="edit" aspectratio="t"/>
            </v:shape>
            <v:shape id="_x0000_s1086" o:spid="_x0000_s1086" o:spt="202" type="#_x0000_t202" style="position:absolute;left:-20;top:-20;height:4171;width:4516;" filled="f" stroked="f" coordsize="21600,21600">
              <v:path/>
              <v:fill on="f" focussize="0,0"/>
              <v:stroke on="f"/>
              <v:imagedata o:title=""/>
              <o:lock v:ext="edit" aspectratio="f"/>
              <v:textbox inset="0mm,0mm,0mm,0mm">
                <w:txbxContent>
                  <w:p w14:paraId="1EC399B0">
                    <w:pPr>
                      <w:spacing w:before="81" w:line="228" w:lineRule="auto"/>
                      <w:ind w:left="424"/>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38F3998E">
      <w:pPr>
        <w:spacing w:line="245" w:lineRule="auto"/>
        <w:rPr>
          <w:rFonts w:ascii="Arial"/>
          <w:sz w:val="21"/>
        </w:rPr>
      </w:pPr>
    </w:p>
    <w:p w14:paraId="030F3E42">
      <w:pPr>
        <w:spacing w:line="245" w:lineRule="auto"/>
        <w:rPr>
          <w:rFonts w:ascii="Arial"/>
          <w:sz w:val="21"/>
        </w:rPr>
      </w:pPr>
    </w:p>
    <w:p w14:paraId="6912515D">
      <w:pPr>
        <w:spacing w:line="245" w:lineRule="auto"/>
        <w:rPr>
          <w:rFonts w:ascii="Arial"/>
          <w:sz w:val="21"/>
        </w:rPr>
      </w:pPr>
    </w:p>
    <w:p w14:paraId="1D2734B3">
      <w:pPr>
        <w:spacing w:line="245" w:lineRule="auto"/>
        <w:rPr>
          <w:rFonts w:ascii="Arial"/>
          <w:sz w:val="21"/>
        </w:rPr>
      </w:pPr>
    </w:p>
    <w:p w14:paraId="3267190C">
      <w:pPr>
        <w:spacing w:line="246" w:lineRule="auto"/>
        <w:rPr>
          <w:rFonts w:ascii="Arial"/>
          <w:sz w:val="21"/>
        </w:rPr>
      </w:pPr>
    </w:p>
    <w:p w14:paraId="2DAE7FB7">
      <w:pPr>
        <w:spacing w:line="246" w:lineRule="auto"/>
        <w:rPr>
          <w:rFonts w:ascii="Arial"/>
          <w:sz w:val="21"/>
        </w:rPr>
      </w:pPr>
    </w:p>
    <w:p w14:paraId="09FBB8B4">
      <w:pPr>
        <w:spacing w:line="246" w:lineRule="auto"/>
        <w:rPr>
          <w:rFonts w:ascii="Arial"/>
          <w:sz w:val="21"/>
        </w:rPr>
      </w:pPr>
    </w:p>
    <w:p w14:paraId="3578BB56">
      <w:pPr>
        <w:spacing w:line="246" w:lineRule="auto"/>
        <w:rPr>
          <w:rFonts w:ascii="Arial"/>
          <w:sz w:val="21"/>
        </w:rPr>
      </w:pPr>
    </w:p>
    <w:p w14:paraId="6E7EDF40">
      <w:pPr>
        <w:spacing w:line="246" w:lineRule="auto"/>
        <w:rPr>
          <w:rFonts w:ascii="Arial"/>
          <w:sz w:val="21"/>
        </w:rPr>
      </w:pPr>
    </w:p>
    <w:p w14:paraId="7DEE771B">
      <w:pPr>
        <w:spacing w:line="246" w:lineRule="auto"/>
        <w:rPr>
          <w:rFonts w:ascii="Arial"/>
          <w:sz w:val="21"/>
        </w:rPr>
      </w:pPr>
    </w:p>
    <w:p w14:paraId="56A1EE30">
      <w:pPr>
        <w:spacing w:line="246" w:lineRule="auto"/>
        <w:rPr>
          <w:rFonts w:ascii="Arial"/>
          <w:sz w:val="21"/>
        </w:rPr>
      </w:pPr>
    </w:p>
    <w:p w14:paraId="26473122">
      <w:pPr>
        <w:spacing w:line="246" w:lineRule="auto"/>
        <w:rPr>
          <w:rFonts w:ascii="Arial"/>
          <w:sz w:val="21"/>
        </w:rPr>
      </w:pPr>
    </w:p>
    <w:p w14:paraId="272F66F8">
      <w:pPr>
        <w:spacing w:line="246" w:lineRule="auto"/>
        <w:rPr>
          <w:rFonts w:ascii="Arial"/>
          <w:sz w:val="21"/>
        </w:rPr>
      </w:pPr>
    </w:p>
    <w:p w14:paraId="41ADB274">
      <w:pPr>
        <w:spacing w:line="246" w:lineRule="auto"/>
        <w:rPr>
          <w:rFonts w:ascii="Arial"/>
          <w:sz w:val="21"/>
        </w:rPr>
      </w:pPr>
    </w:p>
    <w:p w14:paraId="38C94CB4">
      <w:pPr>
        <w:spacing w:line="246" w:lineRule="auto"/>
        <w:rPr>
          <w:rFonts w:ascii="Arial"/>
          <w:sz w:val="21"/>
        </w:rPr>
      </w:pPr>
    </w:p>
    <w:p w14:paraId="27326890">
      <w:pPr>
        <w:spacing w:line="246" w:lineRule="auto"/>
        <w:rPr>
          <w:rFonts w:ascii="Arial"/>
          <w:sz w:val="21"/>
        </w:rPr>
      </w:pPr>
    </w:p>
    <w:p w14:paraId="41B7216B">
      <w:pPr>
        <w:spacing w:line="246" w:lineRule="auto"/>
        <w:rPr>
          <w:rFonts w:ascii="Arial"/>
          <w:sz w:val="21"/>
        </w:rPr>
      </w:pPr>
    </w:p>
    <w:p w14:paraId="7B9CDFBC">
      <w:pPr>
        <w:spacing w:line="246" w:lineRule="auto"/>
        <w:rPr>
          <w:rFonts w:ascii="Arial"/>
          <w:sz w:val="21"/>
        </w:rPr>
      </w:pPr>
    </w:p>
    <w:p w14:paraId="73BC5DA8">
      <w:pPr>
        <w:spacing w:line="246" w:lineRule="auto"/>
        <w:rPr>
          <w:rFonts w:ascii="Arial"/>
          <w:sz w:val="21"/>
        </w:rPr>
      </w:pPr>
    </w:p>
    <w:p w14:paraId="18DA3961">
      <w:pPr>
        <w:spacing w:line="246" w:lineRule="auto"/>
        <w:rPr>
          <w:rFonts w:ascii="Arial"/>
          <w:sz w:val="21"/>
        </w:rPr>
      </w:pPr>
    </w:p>
    <w:p w14:paraId="4B3305F3">
      <w:pPr>
        <w:spacing w:line="246" w:lineRule="auto"/>
        <w:rPr>
          <w:rFonts w:ascii="Arial"/>
          <w:sz w:val="21"/>
        </w:rPr>
      </w:pPr>
    </w:p>
    <w:p w14:paraId="046F282B">
      <w:pPr>
        <w:spacing w:before="65" w:line="227" w:lineRule="auto"/>
        <w:ind w:left="2472"/>
        <w:outlineLvl w:val="0"/>
        <w:rPr>
          <w:rFonts w:ascii="宋体" w:hAnsi="宋体" w:eastAsia="宋体" w:cs="宋体"/>
          <w:sz w:val="20"/>
          <w:szCs w:val="20"/>
        </w:rPr>
      </w:pPr>
      <w:r>
        <w:rPr>
          <w:rFonts w:ascii="宋体" w:hAnsi="宋体" w:eastAsia="宋体" w:cs="宋体"/>
          <w:b/>
          <w:bCs/>
          <w:spacing w:val="7"/>
          <w:sz w:val="20"/>
          <w:szCs w:val="20"/>
        </w:rPr>
        <w:t>附图五：项目位置与区域水环境功能区划关系图</w:t>
      </w:r>
    </w:p>
    <w:p w14:paraId="3D897845">
      <w:pPr>
        <w:spacing w:line="227" w:lineRule="auto"/>
        <w:rPr>
          <w:rFonts w:ascii="宋体" w:hAnsi="宋体" w:eastAsia="宋体" w:cs="宋体"/>
          <w:sz w:val="20"/>
          <w:szCs w:val="20"/>
        </w:rPr>
        <w:sectPr>
          <w:headerReference r:id="rId175" w:type="default"/>
          <w:pgSz w:w="11906" w:h="16839"/>
          <w:pgMar w:top="400" w:right="1247" w:bottom="400" w:left="1331" w:header="0" w:footer="0" w:gutter="0"/>
          <w:cols w:space="720" w:num="1"/>
        </w:sectPr>
      </w:pPr>
    </w:p>
    <w:p w14:paraId="10FE835A">
      <w:pPr>
        <w:spacing w:line="250" w:lineRule="auto"/>
        <w:rPr>
          <w:rFonts w:ascii="Arial"/>
          <w:sz w:val="21"/>
        </w:rPr>
      </w:pPr>
    </w:p>
    <w:p w14:paraId="3FE8126C">
      <w:pPr>
        <w:spacing w:line="250" w:lineRule="auto"/>
        <w:rPr>
          <w:rFonts w:ascii="Arial"/>
          <w:sz w:val="21"/>
        </w:rPr>
      </w:pPr>
    </w:p>
    <w:p w14:paraId="1F1D2957">
      <w:pPr>
        <w:spacing w:line="250" w:lineRule="auto"/>
        <w:rPr>
          <w:rFonts w:ascii="Arial"/>
          <w:sz w:val="21"/>
        </w:rPr>
      </w:pPr>
    </w:p>
    <w:p w14:paraId="2BA7F25F">
      <w:pPr>
        <w:spacing w:line="250" w:lineRule="auto"/>
        <w:rPr>
          <w:rFonts w:ascii="Arial"/>
          <w:sz w:val="21"/>
        </w:rPr>
      </w:pPr>
      <w:r>
        <w:drawing>
          <wp:anchor distT="0" distB="0" distL="0" distR="0" simplePos="0" relativeHeight="251705344" behindDoc="1" locked="0" layoutInCell="1" allowOverlap="1">
            <wp:simplePos x="0" y="0"/>
            <wp:positionH relativeFrom="column">
              <wp:posOffset>0</wp:posOffset>
            </wp:positionH>
            <wp:positionV relativeFrom="paragraph">
              <wp:posOffset>77470</wp:posOffset>
            </wp:positionV>
            <wp:extent cx="7668895" cy="55689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44"/>
                    <a:stretch>
                      <a:fillRect/>
                    </a:stretch>
                  </pic:blipFill>
                  <pic:spPr>
                    <a:xfrm>
                      <a:off x="0" y="0"/>
                      <a:ext cx="7668767" cy="5568695"/>
                    </a:xfrm>
                    <a:prstGeom prst="rect">
                      <a:avLst/>
                    </a:prstGeom>
                  </pic:spPr>
                </pic:pic>
              </a:graphicData>
            </a:graphic>
          </wp:anchor>
        </w:drawing>
      </w:r>
    </w:p>
    <w:p w14:paraId="3879818B">
      <w:pPr>
        <w:spacing w:line="1440" w:lineRule="exact"/>
        <w:ind w:firstLine="12204"/>
      </w:pPr>
      <w:r>
        <w:rPr>
          <w:position w:val="-28"/>
        </w:rPr>
        <w:drawing>
          <wp:inline distT="0" distB="0" distL="0" distR="0">
            <wp:extent cx="563880" cy="91440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32"/>
                    <a:stretch>
                      <a:fillRect/>
                    </a:stretch>
                  </pic:blipFill>
                  <pic:spPr>
                    <a:xfrm>
                      <a:off x="0" y="0"/>
                      <a:ext cx="563880" cy="914400"/>
                    </a:xfrm>
                    <a:prstGeom prst="rect">
                      <a:avLst/>
                    </a:prstGeom>
                  </pic:spPr>
                </pic:pic>
              </a:graphicData>
            </a:graphic>
          </wp:inline>
        </w:drawing>
      </w:r>
    </w:p>
    <w:p w14:paraId="12491B78">
      <w:pPr>
        <w:spacing w:line="247" w:lineRule="auto"/>
        <w:rPr>
          <w:rFonts w:ascii="Arial"/>
          <w:sz w:val="21"/>
        </w:rPr>
      </w:pPr>
    </w:p>
    <w:p w14:paraId="4A64C6B1">
      <w:pPr>
        <w:spacing w:line="247" w:lineRule="auto"/>
        <w:rPr>
          <w:rFonts w:ascii="Arial"/>
          <w:sz w:val="21"/>
        </w:rPr>
      </w:pPr>
    </w:p>
    <w:p w14:paraId="1AA25409">
      <w:pPr>
        <w:spacing w:line="248" w:lineRule="auto"/>
        <w:rPr>
          <w:rFonts w:ascii="Arial"/>
          <w:sz w:val="21"/>
        </w:rPr>
      </w:pPr>
    </w:p>
    <w:p w14:paraId="055C670D">
      <w:pPr>
        <w:spacing w:line="248" w:lineRule="auto"/>
        <w:rPr>
          <w:rFonts w:ascii="Arial"/>
          <w:sz w:val="21"/>
        </w:rPr>
      </w:pPr>
    </w:p>
    <w:p w14:paraId="1AAA774F">
      <w:pPr>
        <w:spacing w:line="248" w:lineRule="auto"/>
        <w:rPr>
          <w:rFonts w:ascii="Arial"/>
          <w:sz w:val="21"/>
        </w:rPr>
      </w:pPr>
    </w:p>
    <w:p w14:paraId="0AA397EA">
      <w:pPr>
        <w:spacing w:line="248" w:lineRule="auto"/>
        <w:rPr>
          <w:rFonts w:ascii="Arial"/>
          <w:sz w:val="21"/>
        </w:rPr>
      </w:pPr>
    </w:p>
    <w:p w14:paraId="3D8E48BD">
      <w:pPr>
        <w:spacing w:line="248" w:lineRule="auto"/>
        <w:rPr>
          <w:rFonts w:ascii="Arial"/>
          <w:sz w:val="21"/>
        </w:rPr>
      </w:pPr>
    </w:p>
    <w:p w14:paraId="54237740">
      <w:pPr>
        <w:spacing w:line="248" w:lineRule="auto"/>
        <w:rPr>
          <w:rFonts w:ascii="Arial"/>
          <w:sz w:val="21"/>
        </w:rPr>
      </w:pPr>
    </w:p>
    <w:p w14:paraId="06AC6E87">
      <w:pPr>
        <w:spacing w:line="915" w:lineRule="exact"/>
        <w:ind w:firstLine="4175"/>
      </w:pPr>
      <w:r>
        <w:rPr>
          <w:position w:val="-18"/>
        </w:rPr>
        <w:pict>
          <v:group id="_x0000_s1087" o:spid="_x0000_s1087" o:spt="203" style="height:45.75pt;width:63.8pt;" coordsize="1275,915">
            <o:lock v:ext="edit"/>
            <v:shape id="_x0000_s1088" o:spid="_x0000_s1088" o:spt="75" type="#_x0000_t75" style="position:absolute;left:0;top:0;height:899;width:1275;" filled="f" stroked="f" coordsize="21600,21600">
              <v:path/>
              <v:fill on="f" focussize="0,0"/>
              <v:stroke on="f"/>
              <v:imagedata r:id="rId245" o:title=""/>
              <o:lock v:ext="edit" aspectratio="t"/>
            </v:shape>
            <v:shape id="_x0000_s1089" o:spid="_x0000_s1089" o:spt="202" type="#_x0000_t202" style="position:absolute;left:207;top:40;height:894;width:1079;" filled="f" stroked="f" coordsize="21600,21600">
              <v:path/>
              <v:fill on="f" focussize="0,0"/>
              <v:stroke on="f"/>
              <v:imagedata o:title=""/>
              <o:lock v:ext="edit" aspectratio="f"/>
              <v:textbox inset="0mm,0mm,0mm,0mm">
                <w:txbxContent>
                  <w:p w14:paraId="0B64606D">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p w14:paraId="422D86F6">
                    <w:pPr>
                      <w:spacing w:line="271" w:lineRule="auto"/>
                      <w:rPr>
                        <w:rFonts w:ascii="Arial"/>
                        <w:sz w:val="21"/>
                      </w:rPr>
                    </w:pPr>
                  </w:p>
                  <w:p w14:paraId="59DE0E05">
                    <w:pPr>
                      <w:spacing w:line="271" w:lineRule="auto"/>
                      <w:rPr>
                        <w:rFonts w:ascii="Arial"/>
                        <w:sz w:val="21"/>
                      </w:rPr>
                    </w:pPr>
                  </w:p>
                  <w:p w14:paraId="79F11161">
                    <w:pPr>
                      <w:spacing w:line="60" w:lineRule="exact"/>
                      <w:ind w:firstLine="1013"/>
                    </w:pPr>
                    <w:r>
                      <w:rPr>
                        <w:position w:val="-1"/>
                      </w:rPr>
                      <w:drawing>
                        <wp:inline distT="0" distB="0" distL="0" distR="0">
                          <wp:extent cx="27940" cy="381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46"/>
                                  <a:stretch>
                                    <a:fillRect/>
                                  </a:stretch>
                                </pic:blipFill>
                                <pic:spPr>
                                  <a:xfrm>
                                    <a:off x="0" y="0"/>
                                    <a:ext cx="28397" cy="38137"/>
                                  </a:xfrm>
                                  <a:prstGeom prst="rect">
                                    <a:avLst/>
                                  </a:prstGeom>
                                </pic:spPr>
                              </pic:pic>
                            </a:graphicData>
                          </a:graphic>
                        </wp:inline>
                      </w:drawing>
                    </w:r>
                  </w:p>
                </w:txbxContent>
              </v:textbox>
            </v:shape>
            <w10:wrap type="none"/>
            <w10:anchorlock/>
          </v:group>
        </w:pict>
      </w:r>
    </w:p>
    <w:p w14:paraId="46A4B3F1">
      <w:pPr>
        <w:spacing w:line="248" w:lineRule="auto"/>
        <w:rPr>
          <w:rFonts w:ascii="Arial"/>
          <w:sz w:val="21"/>
        </w:rPr>
      </w:pPr>
    </w:p>
    <w:p w14:paraId="7F4729DA">
      <w:pPr>
        <w:spacing w:line="248" w:lineRule="auto"/>
        <w:rPr>
          <w:rFonts w:ascii="Arial"/>
          <w:sz w:val="21"/>
        </w:rPr>
      </w:pPr>
    </w:p>
    <w:p w14:paraId="17716398">
      <w:pPr>
        <w:spacing w:line="248" w:lineRule="auto"/>
        <w:rPr>
          <w:rFonts w:ascii="Arial"/>
          <w:sz w:val="21"/>
        </w:rPr>
      </w:pPr>
    </w:p>
    <w:p w14:paraId="1FE31640">
      <w:pPr>
        <w:spacing w:line="248" w:lineRule="auto"/>
        <w:rPr>
          <w:rFonts w:ascii="Arial"/>
          <w:sz w:val="21"/>
        </w:rPr>
      </w:pPr>
    </w:p>
    <w:p w14:paraId="13DDE8BE">
      <w:pPr>
        <w:spacing w:line="249" w:lineRule="auto"/>
        <w:rPr>
          <w:rFonts w:ascii="Arial"/>
          <w:sz w:val="21"/>
        </w:rPr>
      </w:pPr>
    </w:p>
    <w:p w14:paraId="3C911A2B">
      <w:pPr>
        <w:spacing w:line="249" w:lineRule="auto"/>
        <w:rPr>
          <w:rFonts w:ascii="Arial"/>
          <w:sz w:val="21"/>
        </w:rPr>
      </w:pPr>
    </w:p>
    <w:p w14:paraId="049EA1C0">
      <w:pPr>
        <w:spacing w:line="249" w:lineRule="auto"/>
        <w:rPr>
          <w:rFonts w:ascii="Arial"/>
          <w:sz w:val="21"/>
        </w:rPr>
      </w:pPr>
    </w:p>
    <w:p w14:paraId="5A60EE48">
      <w:pPr>
        <w:spacing w:line="249" w:lineRule="auto"/>
        <w:rPr>
          <w:rFonts w:ascii="Arial"/>
          <w:sz w:val="21"/>
        </w:rPr>
      </w:pPr>
    </w:p>
    <w:p w14:paraId="0A74E915">
      <w:pPr>
        <w:spacing w:line="249" w:lineRule="auto"/>
        <w:rPr>
          <w:rFonts w:ascii="Arial"/>
          <w:sz w:val="21"/>
        </w:rPr>
      </w:pPr>
    </w:p>
    <w:p w14:paraId="2CA7E63D">
      <w:pPr>
        <w:spacing w:line="249" w:lineRule="auto"/>
        <w:rPr>
          <w:rFonts w:ascii="Arial"/>
          <w:sz w:val="21"/>
        </w:rPr>
      </w:pPr>
    </w:p>
    <w:p w14:paraId="23FF70F5">
      <w:pPr>
        <w:spacing w:line="249" w:lineRule="auto"/>
        <w:rPr>
          <w:rFonts w:ascii="Arial"/>
          <w:sz w:val="21"/>
        </w:rPr>
      </w:pPr>
    </w:p>
    <w:p w14:paraId="03607A43">
      <w:pPr>
        <w:spacing w:line="249" w:lineRule="auto"/>
        <w:rPr>
          <w:rFonts w:ascii="Arial"/>
          <w:sz w:val="21"/>
        </w:rPr>
      </w:pPr>
    </w:p>
    <w:p w14:paraId="2E6BD241">
      <w:pPr>
        <w:spacing w:line="249" w:lineRule="auto"/>
        <w:rPr>
          <w:rFonts w:ascii="Arial"/>
          <w:sz w:val="21"/>
        </w:rPr>
      </w:pPr>
    </w:p>
    <w:p w14:paraId="2343EA6A">
      <w:pPr>
        <w:spacing w:line="249" w:lineRule="auto"/>
        <w:rPr>
          <w:rFonts w:ascii="Arial"/>
          <w:sz w:val="21"/>
        </w:rPr>
      </w:pPr>
    </w:p>
    <w:p w14:paraId="5D2D1D63">
      <w:pPr>
        <w:spacing w:line="249" w:lineRule="auto"/>
        <w:rPr>
          <w:rFonts w:ascii="Arial"/>
          <w:sz w:val="21"/>
        </w:rPr>
      </w:pPr>
    </w:p>
    <w:p w14:paraId="32E1B785">
      <w:pPr>
        <w:spacing w:line="249" w:lineRule="auto"/>
        <w:rPr>
          <w:rFonts w:ascii="Arial"/>
          <w:sz w:val="21"/>
        </w:rPr>
      </w:pPr>
    </w:p>
    <w:p w14:paraId="68F77ADA">
      <w:pPr>
        <w:spacing w:line="249" w:lineRule="auto"/>
        <w:rPr>
          <w:rFonts w:ascii="Arial"/>
          <w:sz w:val="21"/>
        </w:rPr>
      </w:pPr>
    </w:p>
    <w:p w14:paraId="5EC148C4">
      <w:pPr>
        <w:spacing w:before="65" w:line="227" w:lineRule="auto"/>
        <w:ind w:left="3427"/>
        <w:rPr>
          <w:rFonts w:ascii="宋体" w:hAnsi="宋体" w:eastAsia="宋体" w:cs="宋体"/>
          <w:sz w:val="20"/>
          <w:szCs w:val="20"/>
        </w:rPr>
      </w:pPr>
      <w:r>
        <w:rPr>
          <w:rFonts w:ascii="宋体" w:hAnsi="宋体" w:eastAsia="宋体" w:cs="宋体"/>
          <w:b/>
          <w:bCs/>
          <w:spacing w:val="7"/>
          <w:sz w:val="20"/>
          <w:szCs w:val="20"/>
        </w:rPr>
        <w:t>附图六：项目与汕尾市浅层地下水功能区划的位置关系图</w:t>
      </w:r>
    </w:p>
    <w:p w14:paraId="138C5E0D">
      <w:pPr>
        <w:spacing w:line="227" w:lineRule="auto"/>
        <w:rPr>
          <w:rFonts w:ascii="宋体" w:hAnsi="宋体" w:eastAsia="宋体" w:cs="宋体"/>
          <w:sz w:val="20"/>
          <w:szCs w:val="20"/>
        </w:rPr>
        <w:sectPr>
          <w:headerReference r:id="rId176" w:type="default"/>
          <w:pgSz w:w="16839" w:h="11906"/>
          <w:pgMar w:top="400" w:right="1365" w:bottom="400" w:left="2380" w:header="0" w:footer="0" w:gutter="0"/>
          <w:cols w:space="720" w:num="1"/>
        </w:sectPr>
      </w:pPr>
    </w:p>
    <w:p w14:paraId="1259FCA7">
      <w:pPr>
        <w:spacing w:line="290" w:lineRule="auto"/>
        <w:rPr>
          <w:rFonts w:ascii="Arial"/>
          <w:sz w:val="21"/>
        </w:rPr>
      </w:pPr>
    </w:p>
    <w:p w14:paraId="0602119A">
      <w:pPr>
        <w:spacing w:line="290" w:lineRule="auto"/>
        <w:rPr>
          <w:rFonts w:ascii="Arial"/>
          <w:sz w:val="21"/>
        </w:rPr>
      </w:pPr>
    </w:p>
    <w:p w14:paraId="567AA7A9">
      <w:pPr>
        <w:spacing w:line="291" w:lineRule="auto"/>
        <w:rPr>
          <w:rFonts w:ascii="Arial"/>
          <w:sz w:val="21"/>
        </w:rPr>
      </w:pPr>
    </w:p>
    <w:p w14:paraId="2DC29E3F">
      <w:pPr>
        <w:spacing w:line="8791" w:lineRule="exact"/>
        <w:ind w:firstLine="243"/>
      </w:pPr>
      <w:r>
        <w:rPr>
          <w:position w:val="-175"/>
        </w:rPr>
        <w:drawing>
          <wp:inline distT="0" distB="0" distL="0" distR="0">
            <wp:extent cx="7174865" cy="558228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47"/>
                    <a:stretch>
                      <a:fillRect/>
                    </a:stretch>
                  </pic:blipFill>
                  <pic:spPr>
                    <a:xfrm>
                      <a:off x="0" y="0"/>
                      <a:ext cx="7174992" cy="5582411"/>
                    </a:xfrm>
                    <a:prstGeom prst="rect">
                      <a:avLst/>
                    </a:prstGeom>
                  </pic:spPr>
                </pic:pic>
              </a:graphicData>
            </a:graphic>
          </wp:inline>
        </w:drawing>
      </w:r>
    </w:p>
    <w:p w14:paraId="76C88526">
      <w:pPr>
        <w:spacing w:before="30" w:line="227" w:lineRule="auto"/>
        <w:ind w:left="4653"/>
        <w:outlineLvl w:val="0"/>
        <w:rPr>
          <w:rFonts w:ascii="宋体" w:hAnsi="宋体" w:eastAsia="宋体" w:cs="宋体"/>
          <w:sz w:val="20"/>
          <w:szCs w:val="20"/>
        </w:rPr>
      </w:pPr>
      <w:r>
        <w:rPr>
          <w:rFonts w:ascii="宋体" w:hAnsi="宋体" w:eastAsia="宋体" w:cs="宋体"/>
          <w:b/>
          <w:bCs/>
          <w:spacing w:val="6"/>
          <w:sz w:val="20"/>
          <w:szCs w:val="20"/>
        </w:rPr>
        <w:t>附图七：原项目平面布置图</w:t>
      </w:r>
    </w:p>
    <w:p w14:paraId="3B374CA3">
      <w:pPr>
        <w:spacing w:line="227" w:lineRule="auto"/>
        <w:rPr>
          <w:rFonts w:ascii="宋体" w:hAnsi="宋体" w:eastAsia="宋体" w:cs="宋体"/>
          <w:sz w:val="20"/>
          <w:szCs w:val="20"/>
        </w:rPr>
        <w:sectPr>
          <w:pgSz w:w="16839" w:h="11906"/>
          <w:pgMar w:top="400" w:right="2525" w:bottom="400" w:left="2525" w:header="0" w:footer="0" w:gutter="0"/>
          <w:cols w:space="720" w:num="1"/>
        </w:sectPr>
      </w:pPr>
    </w:p>
    <w:p w14:paraId="540BFC89">
      <w:pPr>
        <w:spacing w:line="290" w:lineRule="auto"/>
        <w:rPr>
          <w:rFonts w:ascii="Arial"/>
          <w:sz w:val="21"/>
        </w:rPr>
      </w:pPr>
    </w:p>
    <w:p w14:paraId="2CD34BFA">
      <w:pPr>
        <w:spacing w:line="290" w:lineRule="auto"/>
        <w:rPr>
          <w:rFonts w:ascii="Arial"/>
          <w:sz w:val="21"/>
        </w:rPr>
      </w:pPr>
    </w:p>
    <w:p w14:paraId="796DB419">
      <w:pPr>
        <w:spacing w:line="291" w:lineRule="auto"/>
        <w:rPr>
          <w:rFonts w:ascii="Arial"/>
          <w:sz w:val="21"/>
        </w:rPr>
      </w:pPr>
    </w:p>
    <w:p w14:paraId="6BB25C8F">
      <w:pPr>
        <w:spacing w:line="8539" w:lineRule="exact"/>
        <w:ind w:firstLine="236"/>
      </w:pPr>
      <w:r>
        <w:rPr>
          <w:position w:val="-170"/>
        </w:rPr>
        <w:drawing>
          <wp:inline distT="0" distB="0" distL="0" distR="0">
            <wp:extent cx="7183755" cy="542226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48"/>
                    <a:stretch>
                      <a:fillRect/>
                    </a:stretch>
                  </pic:blipFill>
                  <pic:spPr>
                    <a:xfrm>
                      <a:off x="0" y="0"/>
                      <a:ext cx="7184135" cy="5422391"/>
                    </a:xfrm>
                    <a:prstGeom prst="rect">
                      <a:avLst/>
                    </a:prstGeom>
                  </pic:spPr>
                </pic:pic>
              </a:graphicData>
            </a:graphic>
          </wp:inline>
        </w:drawing>
      </w:r>
    </w:p>
    <w:p w14:paraId="6990BFA9">
      <w:pPr>
        <w:spacing w:before="30" w:line="227" w:lineRule="auto"/>
        <w:ind w:left="4653"/>
        <w:rPr>
          <w:rFonts w:ascii="宋体" w:hAnsi="宋体" w:eastAsia="宋体" w:cs="宋体"/>
          <w:sz w:val="20"/>
          <w:szCs w:val="20"/>
        </w:rPr>
      </w:pPr>
      <w:r>
        <w:rPr>
          <w:rFonts w:ascii="宋体" w:hAnsi="宋体" w:eastAsia="宋体" w:cs="宋体"/>
          <w:b/>
          <w:bCs/>
          <w:spacing w:val="6"/>
          <w:sz w:val="20"/>
          <w:szCs w:val="20"/>
        </w:rPr>
        <w:t>附图八：本项目平面布置图</w:t>
      </w:r>
    </w:p>
    <w:p w14:paraId="2858EC14">
      <w:pPr>
        <w:spacing w:line="227" w:lineRule="auto"/>
        <w:rPr>
          <w:rFonts w:ascii="宋体" w:hAnsi="宋体" w:eastAsia="宋体" w:cs="宋体"/>
          <w:sz w:val="20"/>
          <w:szCs w:val="20"/>
        </w:rPr>
        <w:sectPr>
          <w:pgSz w:w="16839" w:h="11906"/>
          <w:pgMar w:top="400" w:right="2525" w:bottom="400" w:left="2525" w:header="0" w:footer="0" w:gutter="0"/>
          <w:cols w:space="720" w:num="1"/>
        </w:sectPr>
      </w:pPr>
    </w:p>
    <w:p w14:paraId="50CDA530">
      <w:pPr>
        <w:spacing w:line="241" w:lineRule="auto"/>
        <w:rPr>
          <w:rFonts w:ascii="Arial"/>
          <w:sz w:val="21"/>
        </w:rPr>
      </w:pPr>
    </w:p>
    <w:p w14:paraId="78CDBBFB">
      <w:pPr>
        <w:spacing w:line="241" w:lineRule="auto"/>
        <w:rPr>
          <w:rFonts w:ascii="Arial"/>
          <w:sz w:val="21"/>
        </w:rPr>
      </w:pPr>
    </w:p>
    <w:p w14:paraId="6A7C6A01">
      <w:pPr>
        <w:spacing w:line="241" w:lineRule="auto"/>
        <w:rPr>
          <w:rFonts w:ascii="Arial"/>
          <w:sz w:val="21"/>
        </w:rPr>
      </w:pPr>
    </w:p>
    <w:p w14:paraId="122D5B6F">
      <w:pPr>
        <w:spacing w:line="241" w:lineRule="auto"/>
        <w:rPr>
          <w:rFonts w:ascii="Arial"/>
          <w:sz w:val="21"/>
        </w:rPr>
      </w:pPr>
    </w:p>
    <w:p w14:paraId="009AF1EF">
      <w:pPr>
        <w:spacing w:line="241" w:lineRule="auto"/>
        <w:rPr>
          <w:rFonts w:ascii="Arial"/>
          <w:sz w:val="21"/>
        </w:rPr>
      </w:pPr>
    </w:p>
    <w:p w14:paraId="35F8E71D">
      <w:pPr>
        <w:spacing w:line="241" w:lineRule="auto"/>
        <w:rPr>
          <w:rFonts w:ascii="Arial"/>
          <w:sz w:val="21"/>
        </w:rPr>
      </w:pPr>
      <w:r>
        <w:drawing>
          <wp:anchor distT="0" distB="0" distL="0" distR="0" simplePos="0" relativeHeight="251706368" behindDoc="1" locked="0" layoutInCell="1" allowOverlap="1">
            <wp:simplePos x="0" y="0"/>
            <wp:positionH relativeFrom="column">
              <wp:posOffset>31115</wp:posOffset>
            </wp:positionH>
            <wp:positionV relativeFrom="paragraph">
              <wp:posOffset>4445</wp:posOffset>
            </wp:positionV>
            <wp:extent cx="7421880" cy="524129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49"/>
                    <a:stretch>
                      <a:fillRect/>
                    </a:stretch>
                  </pic:blipFill>
                  <pic:spPr>
                    <a:xfrm>
                      <a:off x="0" y="0"/>
                      <a:ext cx="7421880" cy="5241035"/>
                    </a:xfrm>
                    <a:prstGeom prst="rect">
                      <a:avLst/>
                    </a:prstGeom>
                  </pic:spPr>
                </pic:pic>
              </a:graphicData>
            </a:graphic>
          </wp:anchor>
        </w:drawing>
      </w:r>
    </w:p>
    <w:p w14:paraId="49BE97D0">
      <w:pPr>
        <w:spacing w:line="241" w:lineRule="auto"/>
        <w:rPr>
          <w:rFonts w:ascii="Arial"/>
          <w:sz w:val="21"/>
        </w:rPr>
      </w:pPr>
    </w:p>
    <w:p w14:paraId="080166ED">
      <w:pPr>
        <w:spacing w:line="241" w:lineRule="auto"/>
        <w:rPr>
          <w:rFonts w:ascii="Arial"/>
          <w:sz w:val="21"/>
        </w:rPr>
      </w:pPr>
    </w:p>
    <w:p w14:paraId="11106D28">
      <w:pPr>
        <w:spacing w:line="241" w:lineRule="auto"/>
        <w:rPr>
          <w:rFonts w:ascii="Arial"/>
          <w:sz w:val="21"/>
        </w:rPr>
      </w:pPr>
    </w:p>
    <w:p w14:paraId="6896F8A8">
      <w:pPr>
        <w:spacing w:line="241" w:lineRule="auto"/>
        <w:rPr>
          <w:rFonts w:ascii="Arial"/>
          <w:sz w:val="21"/>
        </w:rPr>
      </w:pPr>
    </w:p>
    <w:p w14:paraId="5F954713">
      <w:pPr>
        <w:spacing w:line="241" w:lineRule="auto"/>
        <w:rPr>
          <w:rFonts w:ascii="Arial"/>
          <w:sz w:val="21"/>
        </w:rPr>
      </w:pPr>
    </w:p>
    <w:p w14:paraId="2BF381AD">
      <w:pPr>
        <w:spacing w:line="241" w:lineRule="auto"/>
        <w:rPr>
          <w:rFonts w:ascii="Arial"/>
          <w:sz w:val="21"/>
        </w:rPr>
      </w:pPr>
    </w:p>
    <w:p w14:paraId="56BCA5EE">
      <w:pPr>
        <w:spacing w:line="241" w:lineRule="auto"/>
        <w:rPr>
          <w:rFonts w:ascii="Arial"/>
          <w:sz w:val="21"/>
        </w:rPr>
      </w:pPr>
    </w:p>
    <w:p w14:paraId="063EE63A">
      <w:pPr>
        <w:spacing w:line="241" w:lineRule="auto"/>
        <w:rPr>
          <w:rFonts w:ascii="Arial"/>
          <w:sz w:val="21"/>
        </w:rPr>
      </w:pPr>
    </w:p>
    <w:p w14:paraId="11707F6A">
      <w:pPr>
        <w:spacing w:line="241" w:lineRule="auto"/>
        <w:rPr>
          <w:rFonts w:ascii="Arial"/>
          <w:sz w:val="21"/>
        </w:rPr>
      </w:pPr>
    </w:p>
    <w:p w14:paraId="262B17F4">
      <w:pPr>
        <w:spacing w:line="241" w:lineRule="auto"/>
        <w:rPr>
          <w:rFonts w:ascii="Arial"/>
          <w:sz w:val="21"/>
        </w:rPr>
      </w:pPr>
    </w:p>
    <w:p w14:paraId="77FBA526">
      <w:pPr>
        <w:spacing w:line="241" w:lineRule="auto"/>
        <w:rPr>
          <w:rFonts w:ascii="Arial"/>
          <w:sz w:val="21"/>
        </w:rPr>
      </w:pPr>
    </w:p>
    <w:p w14:paraId="332BB59D">
      <w:pPr>
        <w:spacing w:line="242" w:lineRule="auto"/>
        <w:rPr>
          <w:rFonts w:ascii="Arial"/>
          <w:sz w:val="21"/>
        </w:rPr>
      </w:pPr>
    </w:p>
    <w:p w14:paraId="1C0E33EB">
      <w:pPr>
        <w:spacing w:line="242" w:lineRule="auto"/>
        <w:rPr>
          <w:rFonts w:ascii="Arial"/>
          <w:sz w:val="21"/>
        </w:rPr>
      </w:pPr>
    </w:p>
    <w:p w14:paraId="5E8D1A34">
      <w:pPr>
        <w:spacing w:line="242" w:lineRule="auto"/>
        <w:rPr>
          <w:rFonts w:ascii="Arial"/>
          <w:sz w:val="21"/>
        </w:rPr>
      </w:pPr>
    </w:p>
    <w:p w14:paraId="78435E64">
      <w:pPr>
        <w:spacing w:line="242" w:lineRule="auto"/>
        <w:rPr>
          <w:rFonts w:ascii="Arial"/>
          <w:sz w:val="21"/>
        </w:rPr>
      </w:pPr>
    </w:p>
    <w:p w14:paraId="03D6293B">
      <w:pPr>
        <w:spacing w:line="242" w:lineRule="auto"/>
        <w:rPr>
          <w:rFonts w:ascii="Arial"/>
          <w:sz w:val="21"/>
        </w:rPr>
      </w:pPr>
    </w:p>
    <w:p w14:paraId="3D6761B5">
      <w:pPr>
        <w:spacing w:line="242" w:lineRule="auto"/>
        <w:rPr>
          <w:rFonts w:ascii="Arial"/>
          <w:sz w:val="21"/>
        </w:rPr>
      </w:pPr>
    </w:p>
    <w:p w14:paraId="6CD9CBF2">
      <w:pPr>
        <w:spacing w:line="242" w:lineRule="auto"/>
        <w:rPr>
          <w:rFonts w:ascii="Arial"/>
          <w:sz w:val="21"/>
        </w:rPr>
      </w:pPr>
    </w:p>
    <w:p w14:paraId="44E08DAD">
      <w:pPr>
        <w:spacing w:line="242" w:lineRule="auto"/>
        <w:rPr>
          <w:rFonts w:ascii="Arial"/>
          <w:sz w:val="21"/>
        </w:rPr>
      </w:pPr>
    </w:p>
    <w:p w14:paraId="1DA24FC0">
      <w:pPr>
        <w:spacing w:line="1488" w:lineRule="exact"/>
        <w:ind w:firstLine="7145"/>
      </w:pPr>
      <w:r>
        <w:rPr>
          <w:position w:val="-29"/>
        </w:rPr>
        <w:pict>
          <v:group id="_x0000_s1090" o:spid="_x0000_s1090" o:spt="203" style="height:74.4pt;width:38.8pt;" coordsize="775,1488">
            <o:lock v:ext="edit"/>
            <v:shape id="_x0000_s1091" o:spid="_x0000_s1091" o:spt="75" type="#_x0000_t75" style="position:absolute;left:0;top:0;height:1488;width:775;" filled="f" stroked="f" coordsize="21600,21600">
              <v:path/>
              <v:fill on="f" focussize="0,0"/>
              <v:stroke on="f"/>
              <v:imagedata r:id="rId250" o:title=""/>
              <o:lock v:ext="edit" aspectratio="t"/>
            </v:shape>
            <v:shape id="_x0000_s1092" o:spid="_x0000_s1092" o:spt="202" type="#_x0000_t202" style="position:absolute;left:-20;top:-20;height:1528;width:815;" filled="f" stroked="f" coordsize="21600,21600">
              <v:path/>
              <v:fill on="f" focussize="0,0"/>
              <v:stroke on="f"/>
              <v:imagedata o:title=""/>
              <o:lock v:ext="edit" aspectratio="f"/>
              <v:textbox inset="0mm,0mm,0mm,0mm" style="layout-flow:vertical-ideographic;">
                <w:txbxContent>
                  <w:p w14:paraId="4993D0F8">
                    <w:pPr>
                      <w:spacing w:before="140" w:line="319" w:lineRule="auto"/>
                      <w:ind w:left="274" w:right="91" w:hanging="136"/>
                      <w:rPr>
                        <w:rFonts w:ascii="宋体" w:hAnsi="宋体" w:eastAsia="宋体" w:cs="宋体"/>
                        <w:sz w:val="20"/>
                        <w:szCs w:val="20"/>
                      </w:rPr>
                    </w:pPr>
                    <w:r>
                      <w:rPr>
                        <w:rFonts w:ascii="宋体" w:hAnsi="宋体" w:eastAsia="宋体" w:cs="宋体"/>
                        <w:b/>
                        <w:bCs/>
                        <w:color w:val="FF0000"/>
                        <w:spacing w:val="6"/>
                        <w:sz w:val="20"/>
                        <w:szCs w:val="20"/>
                      </w:rPr>
                      <w:t>化</w:t>
                    </w:r>
                    <w:r>
                      <w:rPr>
                        <w:rFonts w:ascii="宋体" w:hAnsi="宋体" w:eastAsia="宋体" w:cs="宋体"/>
                        <w:color w:val="FF0000"/>
                        <w:spacing w:val="-33"/>
                        <w:sz w:val="20"/>
                        <w:szCs w:val="20"/>
                      </w:rPr>
                      <w:t xml:space="preserve"> </w:t>
                    </w:r>
                    <w:r>
                      <w:rPr>
                        <w:rFonts w:ascii="宋体" w:hAnsi="宋体" w:eastAsia="宋体" w:cs="宋体"/>
                        <w:b/>
                        <w:bCs/>
                        <w:color w:val="FF0000"/>
                        <w:spacing w:val="6"/>
                        <w:sz w:val="20"/>
                        <w:szCs w:val="20"/>
                      </w:rPr>
                      <w:t>学</w:t>
                    </w:r>
                    <w:r>
                      <w:rPr>
                        <w:rFonts w:ascii="宋体" w:hAnsi="宋体" w:eastAsia="宋体" w:cs="宋体"/>
                        <w:color w:val="FF0000"/>
                        <w:spacing w:val="-38"/>
                        <w:sz w:val="20"/>
                        <w:szCs w:val="20"/>
                      </w:rPr>
                      <w:t xml:space="preserve"> </w:t>
                    </w:r>
                    <w:r>
                      <w:rPr>
                        <w:rFonts w:ascii="宋体" w:hAnsi="宋体" w:eastAsia="宋体" w:cs="宋体"/>
                        <w:b/>
                        <w:bCs/>
                        <w:color w:val="FF0000"/>
                        <w:spacing w:val="6"/>
                        <w:sz w:val="20"/>
                        <w:szCs w:val="20"/>
                      </w:rPr>
                      <w:t>品</w:t>
                    </w:r>
                    <w:r>
                      <w:rPr>
                        <w:rFonts w:ascii="宋体" w:hAnsi="宋体" w:eastAsia="宋体" w:cs="宋体"/>
                        <w:color w:val="FF0000"/>
                        <w:spacing w:val="-35"/>
                        <w:sz w:val="20"/>
                        <w:szCs w:val="20"/>
                      </w:rPr>
                      <w:t xml:space="preserve"> </w:t>
                    </w:r>
                    <w:r>
                      <w:rPr>
                        <w:rFonts w:ascii="宋体" w:hAnsi="宋体" w:eastAsia="宋体" w:cs="宋体"/>
                        <w:b/>
                        <w:bCs/>
                        <w:color w:val="FF0000"/>
                        <w:spacing w:val="6"/>
                        <w:sz w:val="20"/>
                        <w:szCs w:val="20"/>
                      </w:rPr>
                      <w:t>仓</w:t>
                    </w:r>
                    <w:r>
                      <w:rPr>
                        <w:rFonts w:ascii="宋体" w:hAnsi="宋体" w:eastAsia="宋体" w:cs="宋体"/>
                        <w:color w:val="FF0000"/>
                        <w:spacing w:val="-38"/>
                        <w:sz w:val="20"/>
                        <w:szCs w:val="20"/>
                      </w:rPr>
                      <w:t xml:space="preserve"> </w:t>
                    </w:r>
                    <w:r>
                      <w:rPr>
                        <w:rFonts w:ascii="宋体" w:hAnsi="宋体" w:eastAsia="宋体" w:cs="宋体"/>
                        <w:b/>
                        <w:bCs/>
                        <w:color w:val="FF0000"/>
                        <w:spacing w:val="6"/>
                        <w:sz w:val="20"/>
                        <w:szCs w:val="20"/>
                      </w:rPr>
                      <w:t>库</w:t>
                    </w:r>
                    <w:r>
                      <w:rPr>
                        <w:rFonts w:ascii="宋体" w:hAnsi="宋体" w:eastAsia="宋体" w:cs="宋体"/>
                        <w:color w:val="FF0000"/>
                        <w:sz w:val="20"/>
                        <w:szCs w:val="20"/>
                      </w:rPr>
                      <w:t xml:space="preserve"> </w:t>
                    </w:r>
                    <w:r>
                      <w:rPr>
                        <w:rFonts w:ascii="宋体" w:hAnsi="宋体" w:eastAsia="宋体" w:cs="宋体"/>
                        <w:b/>
                        <w:bCs/>
                        <w:color w:val="FF0000"/>
                        <w:spacing w:val="6"/>
                        <w:sz w:val="20"/>
                        <w:szCs w:val="20"/>
                      </w:rPr>
                      <w:t>危</w:t>
                    </w:r>
                    <w:r>
                      <w:rPr>
                        <w:rFonts w:ascii="宋体" w:hAnsi="宋体" w:eastAsia="宋体" w:cs="宋体"/>
                        <w:color w:val="FF0000"/>
                        <w:spacing w:val="-35"/>
                        <w:sz w:val="20"/>
                        <w:szCs w:val="20"/>
                      </w:rPr>
                      <w:t xml:space="preserve"> </w:t>
                    </w:r>
                    <w:r>
                      <w:rPr>
                        <w:rFonts w:ascii="宋体" w:hAnsi="宋体" w:eastAsia="宋体" w:cs="宋体"/>
                        <w:b/>
                        <w:bCs/>
                        <w:color w:val="FF0000"/>
                        <w:spacing w:val="6"/>
                        <w:sz w:val="20"/>
                        <w:szCs w:val="20"/>
                      </w:rPr>
                      <w:t>废</w:t>
                    </w:r>
                    <w:r>
                      <w:rPr>
                        <w:rFonts w:ascii="宋体" w:hAnsi="宋体" w:eastAsia="宋体" w:cs="宋体"/>
                        <w:color w:val="FF0000"/>
                        <w:spacing w:val="-37"/>
                        <w:sz w:val="20"/>
                        <w:szCs w:val="20"/>
                      </w:rPr>
                      <w:t xml:space="preserve"> </w:t>
                    </w:r>
                    <w:r>
                      <w:rPr>
                        <w:rFonts w:ascii="宋体" w:hAnsi="宋体" w:eastAsia="宋体" w:cs="宋体"/>
                        <w:b/>
                        <w:bCs/>
                        <w:color w:val="FF0000"/>
                        <w:spacing w:val="6"/>
                        <w:sz w:val="20"/>
                        <w:szCs w:val="20"/>
                      </w:rPr>
                      <w:t>间</w:t>
                    </w:r>
                  </w:p>
                </w:txbxContent>
              </v:textbox>
            </v:shape>
            <w10:wrap type="none"/>
            <w10:anchorlock/>
          </v:group>
        </w:pict>
      </w:r>
    </w:p>
    <w:p w14:paraId="57BD2427">
      <w:pPr>
        <w:spacing w:line="260" w:lineRule="auto"/>
        <w:rPr>
          <w:rFonts w:ascii="Arial"/>
          <w:sz w:val="21"/>
        </w:rPr>
      </w:pPr>
    </w:p>
    <w:p w14:paraId="0FDDF206">
      <w:pPr>
        <w:spacing w:line="260" w:lineRule="auto"/>
        <w:rPr>
          <w:rFonts w:ascii="Arial"/>
          <w:sz w:val="21"/>
        </w:rPr>
      </w:pPr>
    </w:p>
    <w:p w14:paraId="321FA85D">
      <w:pPr>
        <w:spacing w:line="260" w:lineRule="auto"/>
        <w:rPr>
          <w:rFonts w:ascii="Arial"/>
          <w:sz w:val="21"/>
        </w:rPr>
      </w:pPr>
    </w:p>
    <w:p w14:paraId="2B8F2A7A">
      <w:pPr>
        <w:spacing w:line="260" w:lineRule="auto"/>
        <w:rPr>
          <w:rFonts w:ascii="Arial"/>
          <w:sz w:val="21"/>
        </w:rPr>
      </w:pPr>
    </w:p>
    <w:p w14:paraId="1B74B7FF">
      <w:pPr>
        <w:spacing w:line="260" w:lineRule="auto"/>
        <w:rPr>
          <w:rFonts w:ascii="Arial"/>
          <w:sz w:val="21"/>
        </w:rPr>
      </w:pPr>
    </w:p>
    <w:p w14:paraId="480F84D8">
      <w:pPr>
        <w:spacing w:line="260" w:lineRule="auto"/>
        <w:rPr>
          <w:rFonts w:ascii="Arial"/>
          <w:sz w:val="21"/>
        </w:rPr>
      </w:pPr>
    </w:p>
    <w:p w14:paraId="10BD8ACD">
      <w:pPr>
        <w:spacing w:line="261" w:lineRule="auto"/>
        <w:rPr>
          <w:rFonts w:ascii="Arial"/>
          <w:sz w:val="21"/>
        </w:rPr>
      </w:pPr>
    </w:p>
    <w:p w14:paraId="3FAC1FCC">
      <w:pPr>
        <w:spacing w:line="261" w:lineRule="auto"/>
        <w:rPr>
          <w:rFonts w:ascii="Arial"/>
          <w:sz w:val="21"/>
        </w:rPr>
      </w:pPr>
    </w:p>
    <w:p w14:paraId="2E17F3A1">
      <w:pPr>
        <w:spacing w:before="65" w:line="227" w:lineRule="auto"/>
        <w:ind w:left="4283"/>
        <w:rPr>
          <w:rFonts w:ascii="宋体" w:hAnsi="宋体" w:eastAsia="宋体" w:cs="宋体"/>
          <w:sz w:val="20"/>
          <w:szCs w:val="20"/>
        </w:rPr>
      </w:pPr>
      <w:r>
        <w:rPr>
          <w:rFonts w:ascii="宋体" w:hAnsi="宋体" w:eastAsia="宋体" w:cs="宋体"/>
          <w:b/>
          <w:bCs/>
          <w:spacing w:val="8"/>
          <w:sz w:val="20"/>
          <w:szCs w:val="20"/>
        </w:rPr>
        <w:t>附图九：本项目</w:t>
      </w:r>
      <w:r>
        <w:rPr>
          <w:rFonts w:ascii="Times New Roman" w:hAnsi="Times New Roman" w:eastAsia="Times New Roman" w:cs="Times New Roman"/>
          <w:b/>
          <w:bCs/>
          <w:spacing w:val="8"/>
          <w:sz w:val="20"/>
          <w:szCs w:val="20"/>
        </w:rPr>
        <w:t>4</w:t>
      </w:r>
      <w:r>
        <w:rPr>
          <w:rFonts w:ascii="Times New Roman" w:hAnsi="Times New Roman" w:eastAsia="Times New Roman" w:cs="Times New Roman"/>
          <w:b/>
          <w:bCs/>
          <w:spacing w:val="23"/>
          <w:w w:val="101"/>
          <w:sz w:val="20"/>
          <w:szCs w:val="20"/>
        </w:rPr>
        <w:t xml:space="preserve"> </w:t>
      </w:r>
      <w:r>
        <w:rPr>
          <w:rFonts w:ascii="宋体" w:hAnsi="宋体" w:eastAsia="宋体" w:cs="宋体"/>
          <w:b/>
          <w:bCs/>
          <w:spacing w:val="8"/>
          <w:sz w:val="20"/>
          <w:szCs w:val="20"/>
        </w:rPr>
        <w:t>号楼平面图（</w:t>
      </w:r>
      <w:r>
        <w:rPr>
          <w:rFonts w:ascii="Times New Roman" w:hAnsi="Times New Roman" w:eastAsia="Times New Roman" w:cs="Times New Roman"/>
          <w:b/>
          <w:bCs/>
          <w:spacing w:val="8"/>
          <w:sz w:val="20"/>
          <w:szCs w:val="20"/>
        </w:rPr>
        <w:t>1</w:t>
      </w:r>
      <w:r>
        <w:rPr>
          <w:rFonts w:ascii="宋体" w:hAnsi="宋体" w:eastAsia="宋体" w:cs="宋体"/>
          <w:b/>
          <w:bCs/>
          <w:spacing w:val="8"/>
          <w:sz w:val="20"/>
          <w:szCs w:val="20"/>
        </w:rPr>
        <w:t>）</w:t>
      </w:r>
    </w:p>
    <w:p w14:paraId="267DC08B">
      <w:pPr>
        <w:spacing w:line="227" w:lineRule="auto"/>
        <w:rPr>
          <w:rFonts w:ascii="宋体" w:hAnsi="宋体" w:eastAsia="宋体" w:cs="宋体"/>
          <w:sz w:val="20"/>
          <w:szCs w:val="20"/>
        </w:rPr>
        <w:sectPr>
          <w:pgSz w:w="16839" w:h="11906"/>
          <w:pgMar w:top="400" w:right="2525" w:bottom="400" w:left="2525" w:header="0" w:footer="0" w:gutter="0"/>
          <w:cols w:space="720" w:num="1"/>
        </w:sectPr>
      </w:pPr>
    </w:p>
    <w:p w14:paraId="7D9BF0C5">
      <w:pPr>
        <w:spacing w:line="272" w:lineRule="auto"/>
        <w:rPr>
          <w:rFonts w:ascii="Arial"/>
          <w:sz w:val="21"/>
        </w:rPr>
      </w:pPr>
    </w:p>
    <w:p w14:paraId="3C8937F8">
      <w:pPr>
        <w:spacing w:line="272" w:lineRule="auto"/>
        <w:rPr>
          <w:rFonts w:ascii="Arial"/>
          <w:sz w:val="21"/>
        </w:rPr>
      </w:pPr>
    </w:p>
    <w:p w14:paraId="6C8EF94B">
      <w:pPr>
        <w:spacing w:line="272" w:lineRule="auto"/>
        <w:rPr>
          <w:rFonts w:ascii="Arial"/>
          <w:sz w:val="21"/>
        </w:rPr>
      </w:pPr>
    </w:p>
    <w:p w14:paraId="23E0F455">
      <w:pPr>
        <w:spacing w:line="272" w:lineRule="auto"/>
        <w:rPr>
          <w:rFonts w:ascii="Arial"/>
          <w:sz w:val="21"/>
        </w:rPr>
      </w:pPr>
    </w:p>
    <w:p w14:paraId="76C39B32">
      <w:pPr>
        <w:spacing w:line="8503" w:lineRule="exact"/>
      </w:pPr>
      <w:r>
        <w:rPr>
          <w:position w:val="-170"/>
        </w:rPr>
        <w:drawing>
          <wp:inline distT="0" distB="0" distL="0" distR="0">
            <wp:extent cx="7639685" cy="539940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51"/>
                    <a:stretch>
                      <a:fillRect/>
                    </a:stretch>
                  </pic:blipFill>
                  <pic:spPr>
                    <a:xfrm>
                      <a:off x="0" y="0"/>
                      <a:ext cx="7639811" cy="5399532"/>
                    </a:xfrm>
                    <a:prstGeom prst="rect">
                      <a:avLst/>
                    </a:prstGeom>
                  </pic:spPr>
                </pic:pic>
              </a:graphicData>
            </a:graphic>
          </wp:inline>
        </w:drawing>
      </w:r>
    </w:p>
    <w:p w14:paraId="61B888EF">
      <w:pPr>
        <w:spacing w:before="121" w:line="227" w:lineRule="auto"/>
        <w:ind w:left="4406"/>
        <w:rPr>
          <w:rFonts w:ascii="宋体" w:hAnsi="宋体" w:eastAsia="宋体" w:cs="宋体"/>
          <w:sz w:val="20"/>
          <w:szCs w:val="20"/>
        </w:rPr>
      </w:pPr>
      <w:r>
        <w:rPr>
          <w:rFonts w:ascii="宋体" w:hAnsi="宋体" w:eastAsia="宋体" w:cs="宋体"/>
          <w:b/>
          <w:bCs/>
          <w:spacing w:val="8"/>
          <w:sz w:val="20"/>
          <w:szCs w:val="20"/>
        </w:rPr>
        <w:t>附图九：本项目</w:t>
      </w:r>
      <w:r>
        <w:rPr>
          <w:rFonts w:ascii="Times New Roman" w:hAnsi="Times New Roman" w:eastAsia="Times New Roman" w:cs="Times New Roman"/>
          <w:b/>
          <w:bCs/>
          <w:spacing w:val="8"/>
          <w:sz w:val="20"/>
          <w:szCs w:val="20"/>
        </w:rPr>
        <w:t>4</w:t>
      </w:r>
      <w:r>
        <w:rPr>
          <w:rFonts w:ascii="Times New Roman" w:hAnsi="Times New Roman" w:eastAsia="Times New Roman" w:cs="Times New Roman"/>
          <w:b/>
          <w:bCs/>
          <w:spacing w:val="23"/>
          <w:w w:val="101"/>
          <w:sz w:val="20"/>
          <w:szCs w:val="20"/>
        </w:rPr>
        <w:t xml:space="preserve"> </w:t>
      </w:r>
      <w:r>
        <w:rPr>
          <w:rFonts w:ascii="宋体" w:hAnsi="宋体" w:eastAsia="宋体" w:cs="宋体"/>
          <w:b/>
          <w:bCs/>
          <w:spacing w:val="8"/>
          <w:sz w:val="20"/>
          <w:szCs w:val="20"/>
        </w:rPr>
        <w:t>号楼平面图（</w:t>
      </w:r>
      <w:r>
        <w:rPr>
          <w:rFonts w:ascii="Times New Roman" w:hAnsi="Times New Roman" w:eastAsia="Times New Roman" w:cs="Times New Roman"/>
          <w:b/>
          <w:bCs/>
          <w:spacing w:val="8"/>
          <w:sz w:val="20"/>
          <w:szCs w:val="20"/>
        </w:rPr>
        <w:t>2</w:t>
      </w:r>
      <w:r>
        <w:rPr>
          <w:rFonts w:ascii="宋体" w:hAnsi="宋体" w:eastAsia="宋体" w:cs="宋体"/>
          <w:b/>
          <w:bCs/>
          <w:spacing w:val="8"/>
          <w:sz w:val="20"/>
          <w:szCs w:val="20"/>
        </w:rPr>
        <w:t>）</w:t>
      </w:r>
    </w:p>
    <w:p w14:paraId="6B008CFF">
      <w:pPr>
        <w:spacing w:line="227" w:lineRule="auto"/>
        <w:rPr>
          <w:rFonts w:ascii="宋体" w:hAnsi="宋体" w:eastAsia="宋体" w:cs="宋体"/>
          <w:sz w:val="20"/>
          <w:szCs w:val="20"/>
        </w:rPr>
        <w:sectPr>
          <w:pgSz w:w="16839" w:h="11906"/>
          <w:pgMar w:top="400" w:right="2404" w:bottom="400" w:left="2402" w:header="0" w:footer="0" w:gutter="0"/>
          <w:cols w:space="720" w:num="1"/>
        </w:sectPr>
      </w:pPr>
    </w:p>
    <w:p w14:paraId="604A1C9D">
      <w:pPr>
        <w:spacing w:line="288" w:lineRule="auto"/>
        <w:rPr>
          <w:rFonts w:ascii="Arial"/>
          <w:sz w:val="21"/>
        </w:rPr>
      </w:pPr>
    </w:p>
    <w:p w14:paraId="66FF58B5">
      <w:pPr>
        <w:spacing w:line="288" w:lineRule="auto"/>
        <w:rPr>
          <w:rFonts w:ascii="Arial"/>
          <w:sz w:val="21"/>
        </w:rPr>
      </w:pPr>
    </w:p>
    <w:p w14:paraId="79DB0791">
      <w:pPr>
        <w:spacing w:line="288" w:lineRule="auto"/>
        <w:rPr>
          <w:rFonts w:ascii="Arial"/>
          <w:sz w:val="21"/>
        </w:rPr>
      </w:pPr>
    </w:p>
    <w:p w14:paraId="473CF143">
      <w:pPr>
        <w:spacing w:line="288" w:lineRule="auto"/>
        <w:rPr>
          <w:rFonts w:ascii="Arial"/>
          <w:sz w:val="21"/>
        </w:rPr>
      </w:pPr>
    </w:p>
    <w:p w14:paraId="6C613C86">
      <w:pPr>
        <w:spacing w:line="8376" w:lineRule="exact"/>
        <w:ind w:firstLine="54"/>
      </w:pPr>
      <w:r>
        <w:rPr>
          <w:position w:val="-167"/>
        </w:rPr>
        <w:drawing>
          <wp:inline distT="0" distB="0" distL="0" distR="0">
            <wp:extent cx="7413625" cy="531812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52"/>
                    <a:stretch>
                      <a:fillRect/>
                    </a:stretch>
                  </pic:blipFill>
                  <pic:spPr>
                    <a:xfrm>
                      <a:off x="0" y="0"/>
                      <a:ext cx="7414259" cy="5318759"/>
                    </a:xfrm>
                    <a:prstGeom prst="rect">
                      <a:avLst/>
                    </a:prstGeom>
                  </pic:spPr>
                </pic:pic>
              </a:graphicData>
            </a:graphic>
          </wp:inline>
        </w:drawing>
      </w:r>
    </w:p>
    <w:p w14:paraId="5B69984A">
      <w:pPr>
        <w:spacing w:before="183" w:line="227" w:lineRule="auto"/>
        <w:ind w:left="4283"/>
        <w:rPr>
          <w:rFonts w:ascii="宋体" w:hAnsi="宋体" w:eastAsia="宋体" w:cs="宋体"/>
          <w:sz w:val="20"/>
          <w:szCs w:val="20"/>
        </w:rPr>
      </w:pPr>
      <w:r>
        <w:rPr>
          <w:rFonts w:ascii="宋体" w:hAnsi="宋体" w:eastAsia="宋体" w:cs="宋体"/>
          <w:b/>
          <w:bCs/>
          <w:spacing w:val="8"/>
          <w:sz w:val="20"/>
          <w:szCs w:val="20"/>
        </w:rPr>
        <w:t>附图十：本项目</w:t>
      </w:r>
      <w:r>
        <w:rPr>
          <w:rFonts w:ascii="Times New Roman" w:hAnsi="Times New Roman" w:eastAsia="Times New Roman" w:cs="Times New Roman"/>
          <w:b/>
          <w:bCs/>
          <w:spacing w:val="8"/>
          <w:sz w:val="20"/>
          <w:szCs w:val="20"/>
        </w:rPr>
        <w:t>5</w:t>
      </w:r>
      <w:r>
        <w:rPr>
          <w:rFonts w:ascii="Times New Roman" w:hAnsi="Times New Roman" w:eastAsia="Times New Roman" w:cs="Times New Roman"/>
          <w:b/>
          <w:bCs/>
          <w:spacing w:val="23"/>
          <w:w w:val="101"/>
          <w:sz w:val="20"/>
          <w:szCs w:val="20"/>
        </w:rPr>
        <w:t xml:space="preserve"> </w:t>
      </w:r>
      <w:r>
        <w:rPr>
          <w:rFonts w:ascii="宋体" w:hAnsi="宋体" w:eastAsia="宋体" w:cs="宋体"/>
          <w:b/>
          <w:bCs/>
          <w:spacing w:val="8"/>
          <w:sz w:val="20"/>
          <w:szCs w:val="20"/>
        </w:rPr>
        <w:t>号楼平面图（</w:t>
      </w:r>
      <w:r>
        <w:rPr>
          <w:rFonts w:ascii="Times New Roman" w:hAnsi="Times New Roman" w:eastAsia="Times New Roman" w:cs="Times New Roman"/>
          <w:b/>
          <w:bCs/>
          <w:spacing w:val="8"/>
          <w:sz w:val="20"/>
          <w:szCs w:val="20"/>
        </w:rPr>
        <w:t>1</w:t>
      </w:r>
      <w:r>
        <w:rPr>
          <w:rFonts w:ascii="宋体" w:hAnsi="宋体" w:eastAsia="宋体" w:cs="宋体"/>
          <w:b/>
          <w:bCs/>
          <w:spacing w:val="8"/>
          <w:sz w:val="20"/>
          <w:szCs w:val="20"/>
        </w:rPr>
        <w:t>）</w:t>
      </w:r>
    </w:p>
    <w:p w14:paraId="285D779E">
      <w:pPr>
        <w:spacing w:line="227" w:lineRule="auto"/>
        <w:rPr>
          <w:rFonts w:ascii="宋体" w:hAnsi="宋体" w:eastAsia="宋体" w:cs="宋体"/>
          <w:sz w:val="20"/>
          <w:szCs w:val="20"/>
        </w:rPr>
        <w:sectPr>
          <w:pgSz w:w="16839" w:h="11906"/>
          <w:pgMar w:top="400" w:right="2525" w:bottom="400" w:left="2525" w:header="0" w:footer="0" w:gutter="0"/>
          <w:cols w:space="720" w:num="1"/>
        </w:sectPr>
      </w:pPr>
    </w:p>
    <w:p w14:paraId="324768A6">
      <w:pPr>
        <w:spacing w:line="275" w:lineRule="auto"/>
        <w:rPr>
          <w:rFonts w:ascii="Arial"/>
          <w:sz w:val="21"/>
        </w:rPr>
      </w:pPr>
    </w:p>
    <w:p w14:paraId="3E45FF1A">
      <w:pPr>
        <w:spacing w:line="275" w:lineRule="auto"/>
        <w:rPr>
          <w:rFonts w:ascii="Arial"/>
          <w:sz w:val="21"/>
        </w:rPr>
      </w:pPr>
    </w:p>
    <w:p w14:paraId="121537D5">
      <w:pPr>
        <w:spacing w:line="275" w:lineRule="auto"/>
        <w:rPr>
          <w:rFonts w:ascii="Arial"/>
          <w:sz w:val="21"/>
        </w:rPr>
      </w:pPr>
    </w:p>
    <w:p w14:paraId="6B7DA06A">
      <w:pPr>
        <w:spacing w:line="275" w:lineRule="auto"/>
        <w:rPr>
          <w:rFonts w:ascii="Arial"/>
          <w:sz w:val="21"/>
        </w:rPr>
      </w:pPr>
    </w:p>
    <w:p w14:paraId="5DC2C7E0">
      <w:pPr>
        <w:spacing w:line="8479" w:lineRule="exact"/>
      </w:pPr>
      <w:r>
        <w:rPr>
          <w:position w:val="-169"/>
        </w:rPr>
        <w:drawing>
          <wp:inline distT="0" distB="0" distL="0" distR="0">
            <wp:extent cx="7622540" cy="538416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53"/>
                    <a:stretch>
                      <a:fillRect/>
                    </a:stretch>
                  </pic:blipFill>
                  <pic:spPr>
                    <a:xfrm>
                      <a:off x="0" y="0"/>
                      <a:ext cx="7623047" cy="5384291"/>
                    </a:xfrm>
                    <a:prstGeom prst="rect">
                      <a:avLst/>
                    </a:prstGeom>
                  </pic:spPr>
                </pic:pic>
              </a:graphicData>
            </a:graphic>
          </wp:inline>
        </w:drawing>
      </w:r>
    </w:p>
    <w:p w14:paraId="3E2DCE4D">
      <w:pPr>
        <w:spacing w:before="133" w:line="227" w:lineRule="auto"/>
        <w:ind w:left="4392"/>
        <w:rPr>
          <w:rFonts w:ascii="宋体" w:hAnsi="宋体" w:eastAsia="宋体" w:cs="宋体"/>
          <w:sz w:val="20"/>
          <w:szCs w:val="20"/>
        </w:rPr>
      </w:pPr>
      <w:r>
        <w:rPr>
          <w:rFonts w:ascii="宋体" w:hAnsi="宋体" w:eastAsia="宋体" w:cs="宋体"/>
          <w:b/>
          <w:bCs/>
          <w:spacing w:val="8"/>
          <w:sz w:val="20"/>
          <w:szCs w:val="20"/>
        </w:rPr>
        <w:t>附图十：本项目</w:t>
      </w:r>
      <w:r>
        <w:rPr>
          <w:rFonts w:ascii="Times New Roman" w:hAnsi="Times New Roman" w:eastAsia="Times New Roman" w:cs="Times New Roman"/>
          <w:b/>
          <w:bCs/>
          <w:spacing w:val="8"/>
          <w:sz w:val="20"/>
          <w:szCs w:val="20"/>
        </w:rPr>
        <w:t>5</w:t>
      </w:r>
      <w:r>
        <w:rPr>
          <w:rFonts w:ascii="Times New Roman" w:hAnsi="Times New Roman" w:eastAsia="Times New Roman" w:cs="Times New Roman"/>
          <w:b/>
          <w:bCs/>
          <w:spacing w:val="23"/>
          <w:w w:val="101"/>
          <w:sz w:val="20"/>
          <w:szCs w:val="20"/>
        </w:rPr>
        <w:t xml:space="preserve"> </w:t>
      </w:r>
      <w:r>
        <w:rPr>
          <w:rFonts w:ascii="宋体" w:hAnsi="宋体" w:eastAsia="宋体" w:cs="宋体"/>
          <w:b/>
          <w:bCs/>
          <w:spacing w:val="8"/>
          <w:sz w:val="20"/>
          <w:szCs w:val="20"/>
        </w:rPr>
        <w:t>号楼平面图（</w:t>
      </w:r>
      <w:r>
        <w:rPr>
          <w:rFonts w:ascii="Times New Roman" w:hAnsi="Times New Roman" w:eastAsia="Times New Roman" w:cs="Times New Roman"/>
          <w:b/>
          <w:bCs/>
          <w:spacing w:val="8"/>
          <w:sz w:val="20"/>
          <w:szCs w:val="20"/>
        </w:rPr>
        <w:t>2</w:t>
      </w:r>
      <w:r>
        <w:rPr>
          <w:rFonts w:ascii="宋体" w:hAnsi="宋体" w:eastAsia="宋体" w:cs="宋体"/>
          <w:b/>
          <w:bCs/>
          <w:spacing w:val="8"/>
          <w:sz w:val="20"/>
          <w:szCs w:val="20"/>
        </w:rPr>
        <w:t>）</w:t>
      </w:r>
    </w:p>
    <w:p w14:paraId="759F6401">
      <w:pPr>
        <w:spacing w:line="227" w:lineRule="auto"/>
        <w:rPr>
          <w:rFonts w:ascii="宋体" w:hAnsi="宋体" w:eastAsia="宋体" w:cs="宋体"/>
          <w:sz w:val="20"/>
          <w:szCs w:val="20"/>
        </w:rPr>
        <w:sectPr>
          <w:pgSz w:w="16839" w:h="11906"/>
          <w:pgMar w:top="400" w:right="2416" w:bottom="400" w:left="2416" w:header="0" w:footer="0" w:gutter="0"/>
          <w:cols w:space="720" w:num="1"/>
        </w:sectPr>
      </w:pPr>
    </w:p>
    <w:p w14:paraId="47BA9E7D">
      <w:pPr>
        <w:spacing w:line="245" w:lineRule="auto"/>
        <w:rPr>
          <w:rFonts w:ascii="Arial"/>
          <w:sz w:val="21"/>
        </w:rPr>
      </w:pPr>
    </w:p>
    <w:p w14:paraId="1D7E7269">
      <w:pPr>
        <w:spacing w:line="245" w:lineRule="auto"/>
        <w:rPr>
          <w:rFonts w:ascii="Arial"/>
          <w:sz w:val="21"/>
        </w:rPr>
      </w:pPr>
    </w:p>
    <w:p w14:paraId="6E72F36E">
      <w:pPr>
        <w:spacing w:line="245" w:lineRule="auto"/>
        <w:rPr>
          <w:rFonts w:ascii="Arial"/>
          <w:sz w:val="21"/>
        </w:rPr>
      </w:pPr>
    </w:p>
    <w:p w14:paraId="5CA9F702">
      <w:pPr>
        <w:spacing w:line="245" w:lineRule="auto"/>
        <w:rPr>
          <w:rFonts w:ascii="Arial"/>
          <w:sz w:val="21"/>
        </w:rPr>
      </w:pPr>
    </w:p>
    <w:p w14:paraId="2DEE5320">
      <w:pPr>
        <w:spacing w:line="245" w:lineRule="auto"/>
        <w:rPr>
          <w:rFonts w:ascii="Arial"/>
          <w:sz w:val="21"/>
        </w:rPr>
      </w:pPr>
      <w:r>
        <w:drawing>
          <wp:anchor distT="0" distB="0" distL="0" distR="0" simplePos="0" relativeHeight="251707392" behindDoc="1" locked="0" layoutInCell="1" allowOverlap="1">
            <wp:simplePos x="0" y="0"/>
            <wp:positionH relativeFrom="column">
              <wp:posOffset>0</wp:posOffset>
            </wp:positionH>
            <wp:positionV relativeFrom="paragraph">
              <wp:posOffset>76835</wp:posOffset>
            </wp:positionV>
            <wp:extent cx="8474710" cy="538734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54"/>
                    <a:stretch>
                      <a:fillRect/>
                    </a:stretch>
                  </pic:blipFill>
                  <pic:spPr>
                    <a:xfrm>
                      <a:off x="0" y="0"/>
                      <a:ext cx="8474964" cy="5387340"/>
                    </a:xfrm>
                    <a:prstGeom prst="rect">
                      <a:avLst/>
                    </a:prstGeom>
                  </pic:spPr>
                </pic:pic>
              </a:graphicData>
            </a:graphic>
          </wp:anchor>
        </w:drawing>
      </w:r>
    </w:p>
    <w:p w14:paraId="307F3FFE">
      <w:pPr>
        <w:spacing w:line="245" w:lineRule="auto"/>
        <w:rPr>
          <w:rFonts w:ascii="Arial"/>
          <w:sz w:val="21"/>
        </w:rPr>
      </w:pPr>
    </w:p>
    <w:p w14:paraId="1FFC9EC4">
      <w:pPr>
        <w:spacing w:line="245" w:lineRule="auto"/>
        <w:rPr>
          <w:rFonts w:ascii="Arial"/>
          <w:sz w:val="21"/>
        </w:rPr>
      </w:pPr>
    </w:p>
    <w:p w14:paraId="3EEA15DB">
      <w:pPr>
        <w:spacing w:line="245" w:lineRule="auto"/>
        <w:rPr>
          <w:rFonts w:ascii="Arial"/>
          <w:sz w:val="21"/>
        </w:rPr>
      </w:pPr>
    </w:p>
    <w:p w14:paraId="718646E9">
      <w:pPr>
        <w:spacing w:line="245" w:lineRule="auto"/>
        <w:rPr>
          <w:rFonts w:ascii="Arial"/>
          <w:sz w:val="21"/>
        </w:rPr>
      </w:pPr>
    </w:p>
    <w:p w14:paraId="7E46362A">
      <w:pPr>
        <w:spacing w:line="245" w:lineRule="auto"/>
        <w:rPr>
          <w:rFonts w:ascii="Arial"/>
          <w:sz w:val="21"/>
        </w:rPr>
      </w:pPr>
    </w:p>
    <w:p w14:paraId="3431450A">
      <w:pPr>
        <w:spacing w:line="245" w:lineRule="auto"/>
        <w:rPr>
          <w:rFonts w:ascii="Arial"/>
          <w:sz w:val="21"/>
        </w:rPr>
      </w:pPr>
    </w:p>
    <w:p w14:paraId="444D693A">
      <w:pPr>
        <w:spacing w:line="246" w:lineRule="auto"/>
        <w:rPr>
          <w:rFonts w:ascii="Arial"/>
          <w:sz w:val="21"/>
        </w:rPr>
      </w:pPr>
    </w:p>
    <w:p w14:paraId="436A5FC3">
      <w:pPr>
        <w:spacing w:line="246" w:lineRule="auto"/>
        <w:rPr>
          <w:rFonts w:ascii="Arial"/>
          <w:sz w:val="21"/>
        </w:rPr>
      </w:pPr>
    </w:p>
    <w:p w14:paraId="4177F6C7">
      <w:pPr>
        <w:spacing w:line="246" w:lineRule="auto"/>
        <w:rPr>
          <w:rFonts w:ascii="Arial"/>
          <w:sz w:val="21"/>
        </w:rPr>
      </w:pPr>
    </w:p>
    <w:p w14:paraId="25A3541A">
      <w:pPr>
        <w:spacing w:line="246" w:lineRule="auto"/>
        <w:rPr>
          <w:rFonts w:ascii="Arial"/>
          <w:sz w:val="21"/>
        </w:rPr>
      </w:pPr>
    </w:p>
    <w:p w14:paraId="2325A623">
      <w:pPr>
        <w:spacing w:line="246" w:lineRule="auto"/>
        <w:rPr>
          <w:rFonts w:ascii="Arial"/>
          <w:sz w:val="21"/>
        </w:rPr>
      </w:pPr>
    </w:p>
    <w:p w14:paraId="12C5DCDB">
      <w:pPr>
        <w:spacing w:line="246" w:lineRule="auto"/>
        <w:rPr>
          <w:rFonts w:ascii="Arial"/>
          <w:sz w:val="21"/>
        </w:rPr>
      </w:pPr>
    </w:p>
    <w:p w14:paraId="0A88EDDA">
      <w:pPr>
        <w:spacing w:line="246" w:lineRule="auto"/>
        <w:rPr>
          <w:rFonts w:ascii="Arial"/>
          <w:sz w:val="21"/>
        </w:rPr>
      </w:pPr>
    </w:p>
    <w:p w14:paraId="55899B4C">
      <w:pPr>
        <w:spacing w:line="246" w:lineRule="auto"/>
        <w:rPr>
          <w:rFonts w:ascii="Arial"/>
          <w:sz w:val="21"/>
        </w:rPr>
      </w:pPr>
    </w:p>
    <w:p w14:paraId="55EEBAD2">
      <w:pPr>
        <w:spacing w:line="246" w:lineRule="auto"/>
        <w:rPr>
          <w:rFonts w:ascii="Arial"/>
          <w:sz w:val="21"/>
        </w:rPr>
      </w:pPr>
    </w:p>
    <w:p w14:paraId="2356548A">
      <w:pPr>
        <w:spacing w:line="850" w:lineRule="exact"/>
        <w:ind w:firstLine="8883"/>
      </w:pPr>
      <w:r>
        <w:rPr>
          <w:position w:val="-17"/>
        </w:rPr>
        <w:pict>
          <v:group id="_x0000_s1093" o:spid="_x0000_s1093" o:spt="203" style="height:42.55pt;width:76.2pt;" coordsize="1523,850">
            <o:lock v:ext="edit"/>
            <v:shape id="_x0000_s1094" o:spid="_x0000_s1094" o:spt="75" type="#_x0000_t75" style="position:absolute;left:24;top:0;height:825;width:1500;" filled="f" stroked="f" coordsize="21600,21600">
              <v:path/>
              <v:fill on="f" focussize="0,0"/>
              <v:stroke on="f"/>
              <v:imagedata r:id="rId255" o:title=""/>
              <o:lock v:ext="edit" aspectratio="t"/>
            </v:shape>
            <v:shape id="_x0000_s1095" o:spid="_x0000_s1095" o:spt="202" type="#_x0000_t202" style="position:absolute;left:-20;top:106;height:764;width:1346;" filled="f" stroked="f" coordsize="21600,21600">
              <v:path/>
              <v:fill on="f" focussize="0,0"/>
              <v:stroke on="f"/>
              <v:imagedata o:title=""/>
              <o:lock v:ext="edit" aspectratio="f"/>
              <v:textbox inset="0mm,0mm,0mm,0mm">
                <w:txbxContent>
                  <w:p w14:paraId="707BD293">
                    <w:pPr>
                      <w:spacing w:before="20" w:line="228"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项目位置</w:t>
                    </w:r>
                  </w:p>
                  <w:p w14:paraId="4E90DA40">
                    <w:pPr>
                      <w:spacing w:line="413" w:lineRule="auto"/>
                      <w:rPr>
                        <w:rFonts w:ascii="Arial"/>
                        <w:sz w:val="21"/>
                      </w:rPr>
                    </w:pPr>
                  </w:p>
                  <w:p w14:paraId="173EDA83">
                    <w:pPr>
                      <w:spacing w:line="60" w:lineRule="exact"/>
                      <w:ind w:firstLine="20"/>
                    </w:pPr>
                    <w:r>
                      <w:rPr>
                        <w:position w:val="-1"/>
                      </w:rPr>
                      <w:drawing>
                        <wp:inline distT="0" distB="0" distL="0" distR="0">
                          <wp:extent cx="27940" cy="3810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56"/>
                                  <a:stretch>
                                    <a:fillRect/>
                                  </a:stretch>
                                </pic:blipFill>
                                <pic:spPr>
                                  <a:xfrm>
                                    <a:off x="0" y="0"/>
                                    <a:ext cx="28397" cy="38137"/>
                                  </a:xfrm>
                                  <a:prstGeom prst="rect">
                                    <a:avLst/>
                                  </a:prstGeom>
                                </pic:spPr>
                              </pic:pic>
                            </a:graphicData>
                          </a:graphic>
                        </wp:inline>
                      </w:drawing>
                    </w:r>
                  </w:p>
                </w:txbxContent>
              </v:textbox>
            </v:shape>
            <w10:wrap type="none"/>
            <w10:anchorlock/>
          </v:group>
        </w:pict>
      </w:r>
    </w:p>
    <w:p w14:paraId="35012503">
      <w:pPr>
        <w:rPr>
          <w:rFonts w:ascii="Arial"/>
          <w:sz w:val="21"/>
        </w:rPr>
      </w:pPr>
    </w:p>
    <w:p w14:paraId="337A76CA">
      <w:pPr>
        <w:rPr>
          <w:rFonts w:ascii="Arial"/>
          <w:sz w:val="21"/>
        </w:rPr>
      </w:pPr>
    </w:p>
    <w:p w14:paraId="30CE985B">
      <w:pPr>
        <w:rPr>
          <w:rFonts w:ascii="Arial"/>
          <w:sz w:val="21"/>
        </w:rPr>
      </w:pPr>
    </w:p>
    <w:p w14:paraId="1039FE36">
      <w:pPr>
        <w:rPr>
          <w:rFonts w:ascii="Arial"/>
          <w:sz w:val="21"/>
        </w:rPr>
      </w:pPr>
    </w:p>
    <w:p w14:paraId="5ED92580">
      <w:pPr>
        <w:rPr>
          <w:rFonts w:ascii="Arial"/>
          <w:sz w:val="21"/>
        </w:rPr>
      </w:pPr>
    </w:p>
    <w:p w14:paraId="14366B13">
      <w:pPr>
        <w:rPr>
          <w:rFonts w:ascii="Arial"/>
          <w:sz w:val="21"/>
        </w:rPr>
      </w:pPr>
    </w:p>
    <w:p w14:paraId="6BCA624A">
      <w:pPr>
        <w:rPr>
          <w:rFonts w:ascii="Arial"/>
          <w:sz w:val="21"/>
        </w:rPr>
      </w:pPr>
    </w:p>
    <w:p w14:paraId="5EA3F10D">
      <w:pPr>
        <w:rPr>
          <w:rFonts w:ascii="Arial"/>
          <w:sz w:val="21"/>
        </w:rPr>
      </w:pPr>
    </w:p>
    <w:p w14:paraId="27241BC4">
      <w:pPr>
        <w:rPr>
          <w:rFonts w:ascii="Arial"/>
          <w:sz w:val="21"/>
        </w:rPr>
      </w:pPr>
    </w:p>
    <w:p w14:paraId="1265FEE5">
      <w:pPr>
        <w:rPr>
          <w:rFonts w:ascii="Arial"/>
          <w:sz w:val="21"/>
        </w:rPr>
      </w:pPr>
    </w:p>
    <w:p w14:paraId="0861FB6B">
      <w:pPr>
        <w:rPr>
          <w:rFonts w:ascii="Arial"/>
          <w:sz w:val="21"/>
        </w:rPr>
      </w:pPr>
    </w:p>
    <w:p w14:paraId="0311ABA3">
      <w:pPr>
        <w:rPr>
          <w:rFonts w:ascii="Arial"/>
          <w:sz w:val="21"/>
        </w:rPr>
      </w:pPr>
    </w:p>
    <w:p w14:paraId="209A62E7">
      <w:pPr>
        <w:rPr>
          <w:rFonts w:ascii="Arial"/>
          <w:sz w:val="21"/>
        </w:rPr>
      </w:pPr>
    </w:p>
    <w:p w14:paraId="6A7ECBBE">
      <w:pPr>
        <w:rPr>
          <w:rFonts w:ascii="Arial"/>
          <w:sz w:val="21"/>
        </w:rPr>
      </w:pPr>
    </w:p>
    <w:p w14:paraId="509AD9ED">
      <w:pPr>
        <w:rPr>
          <w:rFonts w:ascii="Arial"/>
          <w:sz w:val="21"/>
        </w:rPr>
      </w:pPr>
    </w:p>
    <w:p w14:paraId="6B843BE9">
      <w:pPr>
        <w:spacing w:line="241" w:lineRule="auto"/>
        <w:rPr>
          <w:rFonts w:ascii="Arial"/>
          <w:sz w:val="21"/>
        </w:rPr>
      </w:pPr>
    </w:p>
    <w:p w14:paraId="3DDC1A77">
      <w:pPr>
        <w:spacing w:before="65" w:line="227" w:lineRule="auto"/>
        <w:ind w:left="5537"/>
        <w:rPr>
          <w:rFonts w:ascii="宋体" w:hAnsi="宋体" w:eastAsia="宋体" w:cs="宋体"/>
          <w:sz w:val="20"/>
          <w:szCs w:val="20"/>
        </w:rPr>
      </w:pPr>
      <w:r>
        <w:rPr>
          <w:rFonts w:ascii="宋体" w:hAnsi="宋体" w:eastAsia="宋体" w:cs="宋体"/>
          <w:b/>
          <w:bCs/>
          <w:spacing w:val="6"/>
          <w:sz w:val="20"/>
          <w:szCs w:val="20"/>
        </w:rPr>
        <w:t>附图十一：海丰县水系图</w:t>
      </w:r>
    </w:p>
    <w:p w14:paraId="7CF65397">
      <w:pPr>
        <w:spacing w:line="227" w:lineRule="auto"/>
        <w:rPr>
          <w:rFonts w:ascii="宋体" w:hAnsi="宋体" w:eastAsia="宋体" w:cs="宋体"/>
          <w:sz w:val="20"/>
          <w:szCs w:val="20"/>
        </w:rPr>
        <w:sectPr>
          <w:pgSz w:w="16839" w:h="11906"/>
          <w:pgMar w:top="400" w:right="1744" w:bottom="400" w:left="1747" w:header="0" w:footer="0" w:gutter="0"/>
          <w:cols w:space="720" w:num="1"/>
        </w:sectPr>
      </w:pPr>
    </w:p>
    <w:p w14:paraId="7479220E">
      <w:pPr>
        <w:rPr>
          <w:rFonts w:ascii="Arial"/>
          <w:sz w:val="21"/>
        </w:rPr>
      </w:pPr>
    </w:p>
    <w:p w14:paraId="6E1A76C6">
      <w:pPr>
        <w:rPr>
          <w:rFonts w:ascii="Arial"/>
          <w:sz w:val="21"/>
        </w:rPr>
      </w:pPr>
    </w:p>
    <w:p w14:paraId="328A9072">
      <w:pPr>
        <w:rPr>
          <w:rFonts w:ascii="Arial"/>
          <w:sz w:val="21"/>
        </w:rPr>
      </w:pPr>
    </w:p>
    <w:p w14:paraId="290C01CA">
      <w:pPr>
        <w:rPr>
          <w:rFonts w:ascii="Arial"/>
          <w:sz w:val="21"/>
        </w:rPr>
      </w:pPr>
    </w:p>
    <w:p w14:paraId="60CCCB8C">
      <w:pPr>
        <w:rPr>
          <w:rFonts w:ascii="Arial"/>
          <w:sz w:val="21"/>
        </w:rPr>
      </w:pPr>
      <w:r>
        <w:drawing>
          <wp:anchor distT="0" distB="0" distL="0" distR="0" simplePos="0" relativeHeight="251708416" behindDoc="1" locked="0" layoutInCell="1" allowOverlap="1">
            <wp:simplePos x="0" y="0"/>
            <wp:positionH relativeFrom="column">
              <wp:posOffset>127635</wp:posOffset>
            </wp:positionH>
            <wp:positionV relativeFrom="paragraph">
              <wp:posOffset>109220</wp:posOffset>
            </wp:positionV>
            <wp:extent cx="7493635" cy="531558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57"/>
                    <a:stretch>
                      <a:fillRect/>
                    </a:stretch>
                  </pic:blipFill>
                  <pic:spPr>
                    <a:xfrm>
                      <a:off x="0" y="0"/>
                      <a:ext cx="7493506" cy="5315711"/>
                    </a:xfrm>
                    <a:prstGeom prst="rect">
                      <a:avLst/>
                    </a:prstGeom>
                  </pic:spPr>
                </pic:pic>
              </a:graphicData>
            </a:graphic>
          </wp:anchor>
        </w:drawing>
      </w:r>
    </w:p>
    <w:p w14:paraId="3DF6F893">
      <w:pPr>
        <w:rPr>
          <w:rFonts w:ascii="Arial"/>
          <w:sz w:val="21"/>
        </w:rPr>
      </w:pPr>
    </w:p>
    <w:p w14:paraId="2BD6B17B">
      <w:pPr>
        <w:rPr>
          <w:rFonts w:ascii="Arial"/>
          <w:sz w:val="21"/>
        </w:rPr>
      </w:pPr>
    </w:p>
    <w:p w14:paraId="4B4E1232">
      <w:pPr>
        <w:rPr>
          <w:rFonts w:ascii="Arial"/>
          <w:sz w:val="21"/>
        </w:rPr>
      </w:pPr>
    </w:p>
    <w:p w14:paraId="34E61771">
      <w:pPr>
        <w:rPr>
          <w:rFonts w:ascii="Arial"/>
          <w:sz w:val="21"/>
        </w:rPr>
      </w:pPr>
    </w:p>
    <w:p w14:paraId="5E54DB76">
      <w:pPr>
        <w:rPr>
          <w:rFonts w:ascii="Arial"/>
          <w:sz w:val="21"/>
        </w:rPr>
      </w:pPr>
      <w:r>
        <w:pict>
          <v:group id="_x0000_s1096" o:spid="_x0000_s1096" o:spt="203" style="position:absolute;left:0pt;margin-left:365.9pt;margin-top:10.45pt;height:194.1pt;width:210.35pt;z-index:251709440;mso-width-relative:page;mso-height-relative:page;" coordsize="4207,3882">
            <o:lock v:ext="edit"/>
            <v:shape id="_x0000_s1097" o:spid="_x0000_s1097" o:spt="75" type="#_x0000_t75" style="position:absolute;left:0;top:0;height:3882;width:4207;" filled="f" stroked="f" coordsize="21600,21600">
              <v:path/>
              <v:fill on="f" focussize="0,0"/>
              <v:stroke on="f"/>
              <v:imagedata r:id="rId258" o:title=""/>
              <o:lock v:ext="edit" aspectratio="t"/>
            </v:shape>
            <v:shape id="_x0000_s1098" o:spid="_x0000_s1098" o:spt="202" type="#_x0000_t202" style="position:absolute;left:-20;top:-20;height:3961;width:4247;" filled="f" stroked="f" coordsize="21600,21600">
              <v:path/>
              <v:fill on="f" focussize="0,0"/>
              <v:stroke on="f"/>
              <v:imagedata o:title=""/>
              <o:lock v:ext="edit" aspectratio="f"/>
              <v:textbox inset="0mm,0mm,0mm,0mm">
                <w:txbxContent>
                  <w:p w14:paraId="299AAE6F">
                    <w:pPr>
                      <w:spacing w:before="154" w:line="228" w:lineRule="auto"/>
                      <w:ind w:left="214"/>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v:group>
        </w:pict>
      </w:r>
    </w:p>
    <w:p w14:paraId="758997C4">
      <w:pPr>
        <w:rPr>
          <w:rFonts w:ascii="Arial"/>
          <w:sz w:val="21"/>
        </w:rPr>
      </w:pPr>
    </w:p>
    <w:p w14:paraId="4EBE535B">
      <w:pPr>
        <w:rPr>
          <w:rFonts w:ascii="Arial"/>
          <w:sz w:val="21"/>
        </w:rPr>
      </w:pPr>
    </w:p>
    <w:p w14:paraId="69E5F3E3">
      <w:pPr>
        <w:rPr>
          <w:rFonts w:ascii="Arial"/>
          <w:sz w:val="21"/>
        </w:rPr>
      </w:pPr>
    </w:p>
    <w:p w14:paraId="24F69ED1">
      <w:pPr>
        <w:rPr>
          <w:rFonts w:ascii="Arial"/>
          <w:sz w:val="21"/>
        </w:rPr>
      </w:pPr>
    </w:p>
    <w:p w14:paraId="707F1F70">
      <w:pPr>
        <w:rPr>
          <w:rFonts w:ascii="Arial"/>
          <w:sz w:val="21"/>
        </w:rPr>
      </w:pPr>
    </w:p>
    <w:p w14:paraId="64576E4B">
      <w:pPr>
        <w:rPr>
          <w:rFonts w:ascii="Arial"/>
          <w:sz w:val="21"/>
        </w:rPr>
      </w:pPr>
    </w:p>
    <w:p w14:paraId="785DA0D9">
      <w:pPr>
        <w:rPr>
          <w:rFonts w:ascii="Arial"/>
          <w:sz w:val="21"/>
        </w:rPr>
      </w:pPr>
    </w:p>
    <w:p w14:paraId="23BCE90A">
      <w:pPr>
        <w:rPr>
          <w:rFonts w:ascii="Arial"/>
          <w:sz w:val="21"/>
        </w:rPr>
      </w:pPr>
    </w:p>
    <w:p w14:paraId="78D7CBF2">
      <w:pPr>
        <w:rPr>
          <w:rFonts w:ascii="Arial"/>
          <w:sz w:val="21"/>
        </w:rPr>
      </w:pPr>
    </w:p>
    <w:p w14:paraId="5A7BC0CE">
      <w:pPr>
        <w:rPr>
          <w:rFonts w:ascii="Arial"/>
          <w:sz w:val="21"/>
        </w:rPr>
      </w:pPr>
    </w:p>
    <w:p w14:paraId="796EB6EB">
      <w:pPr>
        <w:spacing w:line="241" w:lineRule="auto"/>
        <w:rPr>
          <w:rFonts w:ascii="Arial"/>
          <w:sz w:val="21"/>
        </w:rPr>
      </w:pPr>
    </w:p>
    <w:p w14:paraId="1850293F">
      <w:pPr>
        <w:spacing w:line="241" w:lineRule="auto"/>
        <w:rPr>
          <w:rFonts w:ascii="Arial"/>
          <w:sz w:val="21"/>
        </w:rPr>
      </w:pPr>
    </w:p>
    <w:p w14:paraId="5393BB40">
      <w:pPr>
        <w:spacing w:line="241" w:lineRule="auto"/>
        <w:rPr>
          <w:rFonts w:ascii="Arial"/>
          <w:sz w:val="21"/>
        </w:rPr>
      </w:pPr>
    </w:p>
    <w:p w14:paraId="35AD8DAB">
      <w:pPr>
        <w:spacing w:line="241" w:lineRule="auto"/>
        <w:rPr>
          <w:rFonts w:ascii="Arial"/>
          <w:sz w:val="21"/>
        </w:rPr>
      </w:pPr>
    </w:p>
    <w:p w14:paraId="59CAA276">
      <w:pPr>
        <w:spacing w:line="241" w:lineRule="auto"/>
        <w:rPr>
          <w:rFonts w:ascii="Arial"/>
          <w:sz w:val="21"/>
        </w:rPr>
      </w:pPr>
      <w:r>
        <w:drawing>
          <wp:anchor distT="0" distB="0" distL="0" distR="0" simplePos="0" relativeHeight="251710464" behindDoc="0" locked="0" layoutInCell="1" allowOverlap="1">
            <wp:simplePos x="0" y="0"/>
            <wp:positionH relativeFrom="column">
              <wp:posOffset>4989195</wp:posOffset>
            </wp:positionH>
            <wp:positionV relativeFrom="paragraph">
              <wp:posOffset>113030</wp:posOffset>
            </wp:positionV>
            <wp:extent cx="87630" cy="8953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59"/>
                    <a:stretch>
                      <a:fillRect/>
                    </a:stretch>
                  </pic:blipFill>
                  <pic:spPr>
                    <a:xfrm>
                      <a:off x="0" y="0"/>
                      <a:ext cx="87858" cy="89471"/>
                    </a:xfrm>
                    <a:prstGeom prst="rect">
                      <a:avLst/>
                    </a:prstGeom>
                  </pic:spPr>
                </pic:pic>
              </a:graphicData>
            </a:graphic>
          </wp:anchor>
        </w:drawing>
      </w:r>
    </w:p>
    <w:p w14:paraId="4BAD72AA">
      <w:pPr>
        <w:spacing w:line="790" w:lineRule="exact"/>
        <w:ind w:firstLine="5561"/>
      </w:pPr>
      <w:r>
        <w:rPr>
          <w:position w:val="-15"/>
        </w:rPr>
        <w:pict>
          <v:group id="_x0000_s1099" o:spid="_x0000_s1099" o:spt="203" style="height:39.5pt;width:118.2pt;" coordsize="2363,790">
            <o:lock v:ext="edit"/>
            <v:shape id="_x0000_s1100" o:spid="_x0000_s1100" o:spt="75" type="#_x0000_t75" style="position:absolute;left:0;top:0;height:790;width:2363;" filled="f" stroked="f" coordsize="21600,21600">
              <v:path/>
              <v:fill on="f" focussize="0,0"/>
              <v:stroke on="f"/>
              <v:imagedata r:id="rId260" o:title=""/>
              <o:lock v:ext="edit" aspectratio="t"/>
            </v:shape>
            <v:shape id="_x0000_s1101" o:spid="_x0000_s1101" o:spt="202" type="#_x0000_t202" style="position:absolute;left:-20;top:-20;height:830;width:2403;" filled="f" stroked="f" coordsize="21600,21600">
              <v:path/>
              <v:fill on="f" focussize="0,0"/>
              <v:stroke on="f"/>
              <v:imagedata o:title=""/>
              <o:lock v:ext="edit" aspectratio="f"/>
              <v:textbox inset="0mm,0mm,0mm,0mm">
                <w:txbxContent>
                  <w:p w14:paraId="37C456F1">
                    <w:pPr>
                      <w:spacing w:line="473" w:lineRule="auto"/>
                      <w:rPr>
                        <w:rFonts w:ascii="Arial"/>
                        <w:sz w:val="21"/>
                      </w:rPr>
                    </w:pPr>
                  </w:p>
                  <w:p w14:paraId="29588E72">
                    <w:pPr>
                      <w:spacing w:before="65" w:line="228" w:lineRule="auto"/>
                      <w:ind w:left="423"/>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1B85E892">
      <w:pPr>
        <w:spacing w:line="245" w:lineRule="auto"/>
        <w:rPr>
          <w:rFonts w:ascii="Arial"/>
          <w:sz w:val="21"/>
        </w:rPr>
      </w:pPr>
    </w:p>
    <w:p w14:paraId="0605A7FB">
      <w:pPr>
        <w:spacing w:line="246" w:lineRule="auto"/>
        <w:rPr>
          <w:rFonts w:ascii="Arial"/>
          <w:sz w:val="21"/>
        </w:rPr>
      </w:pPr>
    </w:p>
    <w:p w14:paraId="48698C8B">
      <w:pPr>
        <w:spacing w:line="246" w:lineRule="auto"/>
        <w:rPr>
          <w:rFonts w:ascii="Arial"/>
          <w:sz w:val="21"/>
        </w:rPr>
      </w:pPr>
    </w:p>
    <w:p w14:paraId="7D888398">
      <w:pPr>
        <w:spacing w:line="246" w:lineRule="auto"/>
        <w:rPr>
          <w:rFonts w:ascii="Arial"/>
          <w:sz w:val="21"/>
        </w:rPr>
      </w:pPr>
    </w:p>
    <w:p w14:paraId="2786DE74">
      <w:pPr>
        <w:spacing w:line="246" w:lineRule="auto"/>
        <w:rPr>
          <w:rFonts w:ascii="Arial"/>
          <w:sz w:val="21"/>
        </w:rPr>
      </w:pPr>
    </w:p>
    <w:p w14:paraId="52FB6BA5">
      <w:pPr>
        <w:spacing w:line="246" w:lineRule="auto"/>
        <w:rPr>
          <w:rFonts w:ascii="Arial"/>
          <w:sz w:val="21"/>
        </w:rPr>
      </w:pPr>
    </w:p>
    <w:p w14:paraId="015B6D22">
      <w:pPr>
        <w:spacing w:line="246" w:lineRule="auto"/>
        <w:rPr>
          <w:rFonts w:ascii="Arial"/>
          <w:sz w:val="21"/>
        </w:rPr>
      </w:pPr>
    </w:p>
    <w:p w14:paraId="75C7B664">
      <w:pPr>
        <w:spacing w:line="246" w:lineRule="auto"/>
        <w:rPr>
          <w:rFonts w:ascii="Arial"/>
          <w:sz w:val="21"/>
        </w:rPr>
      </w:pPr>
    </w:p>
    <w:p w14:paraId="4550245B">
      <w:pPr>
        <w:spacing w:line="246" w:lineRule="auto"/>
        <w:rPr>
          <w:rFonts w:ascii="Arial"/>
          <w:sz w:val="21"/>
        </w:rPr>
      </w:pPr>
    </w:p>
    <w:p w14:paraId="360BFF79">
      <w:pPr>
        <w:spacing w:line="246" w:lineRule="auto"/>
        <w:rPr>
          <w:rFonts w:ascii="Arial"/>
          <w:sz w:val="21"/>
        </w:rPr>
      </w:pPr>
    </w:p>
    <w:p w14:paraId="13C5F184">
      <w:pPr>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p w14:paraId="22075FBE">
      <w:pPr>
        <w:spacing w:before="168" w:line="227" w:lineRule="auto"/>
        <w:ind w:left="4017"/>
        <w:rPr>
          <w:rFonts w:ascii="宋体" w:hAnsi="宋体" w:eastAsia="宋体" w:cs="宋体"/>
          <w:sz w:val="20"/>
          <w:szCs w:val="20"/>
        </w:rPr>
      </w:pPr>
      <w:r>
        <w:rPr>
          <w:rFonts w:ascii="宋体" w:hAnsi="宋体" w:eastAsia="宋体" w:cs="宋体"/>
          <w:b/>
          <w:bCs/>
          <w:spacing w:val="7"/>
          <w:sz w:val="20"/>
          <w:szCs w:val="20"/>
        </w:rPr>
        <w:t>附图十二：项目所在区域声环境功能区划图</w:t>
      </w:r>
    </w:p>
    <w:p w14:paraId="712CC26E">
      <w:pPr>
        <w:spacing w:line="227" w:lineRule="auto"/>
        <w:rPr>
          <w:rFonts w:ascii="宋体" w:hAnsi="宋体" w:eastAsia="宋体" w:cs="宋体"/>
          <w:sz w:val="20"/>
          <w:szCs w:val="20"/>
        </w:rPr>
        <w:sectPr>
          <w:pgSz w:w="16839" w:h="11906"/>
          <w:pgMar w:top="400" w:right="2414" w:bottom="400" w:left="2421" w:header="0" w:footer="0" w:gutter="0"/>
          <w:cols w:space="720" w:num="1"/>
        </w:sectPr>
      </w:pPr>
    </w:p>
    <w:p w14:paraId="3D897886">
      <w:pPr>
        <w:spacing w:line="274" w:lineRule="auto"/>
        <w:rPr>
          <w:rFonts w:ascii="Arial"/>
          <w:sz w:val="21"/>
        </w:rPr>
      </w:pPr>
    </w:p>
    <w:p w14:paraId="3A31C2CF">
      <w:pPr>
        <w:spacing w:line="274" w:lineRule="auto"/>
        <w:rPr>
          <w:rFonts w:ascii="Arial"/>
          <w:sz w:val="21"/>
        </w:rPr>
      </w:pPr>
    </w:p>
    <w:p w14:paraId="2205F4FC">
      <w:pPr>
        <w:spacing w:line="275" w:lineRule="auto"/>
        <w:rPr>
          <w:rFonts w:ascii="Arial"/>
          <w:sz w:val="21"/>
        </w:rPr>
      </w:pPr>
    </w:p>
    <w:p w14:paraId="7CDAAB07">
      <w:pPr>
        <w:spacing w:line="275" w:lineRule="auto"/>
        <w:rPr>
          <w:rFonts w:ascii="Arial"/>
          <w:sz w:val="21"/>
        </w:rPr>
      </w:pPr>
    </w:p>
    <w:p w14:paraId="74B43F80">
      <w:pPr>
        <w:spacing w:line="7262" w:lineRule="exact"/>
      </w:pPr>
      <w:r>
        <w:rPr>
          <w:position w:val="-145"/>
        </w:rPr>
        <w:drawing>
          <wp:inline distT="0" distB="0" distL="0" distR="0">
            <wp:extent cx="8881745" cy="461137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61"/>
                    <a:stretch>
                      <a:fillRect/>
                    </a:stretch>
                  </pic:blipFill>
                  <pic:spPr>
                    <a:xfrm>
                      <a:off x="0" y="0"/>
                      <a:ext cx="8881871" cy="4611623"/>
                    </a:xfrm>
                    <a:prstGeom prst="rect">
                      <a:avLst/>
                    </a:prstGeom>
                  </pic:spPr>
                </pic:pic>
              </a:graphicData>
            </a:graphic>
          </wp:inline>
        </w:drawing>
      </w:r>
    </w:p>
    <w:p w14:paraId="2AAC1AA4">
      <w:pPr>
        <w:spacing w:before="130" w:line="227" w:lineRule="auto"/>
        <w:ind w:left="5330"/>
        <w:rPr>
          <w:rFonts w:ascii="宋体" w:hAnsi="宋体" w:eastAsia="宋体" w:cs="宋体"/>
          <w:sz w:val="20"/>
          <w:szCs w:val="20"/>
        </w:rPr>
      </w:pPr>
      <w:r>
        <w:rPr>
          <w:rFonts w:ascii="宋体" w:hAnsi="宋体" w:eastAsia="宋体" w:cs="宋体"/>
          <w:b/>
          <w:bCs/>
          <w:spacing w:val="7"/>
          <w:sz w:val="20"/>
          <w:szCs w:val="20"/>
        </w:rPr>
        <w:t>附图十三：项目与三线一单符合性分</w:t>
      </w:r>
    </w:p>
    <w:p w14:paraId="6FD600E3">
      <w:pPr>
        <w:spacing w:line="227" w:lineRule="auto"/>
        <w:rPr>
          <w:rFonts w:ascii="宋体" w:hAnsi="宋体" w:eastAsia="宋体" w:cs="宋体"/>
          <w:sz w:val="20"/>
          <w:szCs w:val="20"/>
        </w:rPr>
        <w:sectPr>
          <w:pgSz w:w="16839" w:h="11906"/>
          <w:pgMar w:top="400" w:right="1425" w:bottom="400" w:left="1425" w:header="0" w:footer="0" w:gutter="0"/>
          <w:cols w:space="720" w:num="1"/>
        </w:sectPr>
      </w:pPr>
    </w:p>
    <w:p w14:paraId="5671003A">
      <w:pPr>
        <w:spacing w:line="270" w:lineRule="auto"/>
        <w:rPr>
          <w:rFonts w:ascii="Arial"/>
          <w:sz w:val="21"/>
        </w:rPr>
      </w:pPr>
    </w:p>
    <w:p w14:paraId="73617391">
      <w:pPr>
        <w:spacing w:line="270" w:lineRule="auto"/>
        <w:rPr>
          <w:rFonts w:ascii="Arial"/>
          <w:sz w:val="21"/>
        </w:rPr>
      </w:pPr>
    </w:p>
    <w:p w14:paraId="2D693113">
      <w:pPr>
        <w:spacing w:line="270" w:lineRule="auto"/>
        <w:rPr>
          <w:rFonts w:ascii="Arial"/>
          <w:sz w:val="21"/>
        </w:rPr>
      </w:pPr>
    </w:p>
    <w:p w14:paraId="11B10656">
      <w:pPr>
        <w:spacing w:line="270" w:lineRule="auto"/>
        <w:rPr>
          <w:rFonts w:ascii="Arial"/>
          <w:sz w:val="21"/>
        </w:rPr>
      </w:pPr>
    </w:p>
    <w:p w14:paraId="762FCFD5">
      <w:pPr>
        <w:spacing w:line="270" w:lineRule="auto"/>
        <w:rPr>
          <w:rFonts w:ascii="Arial"/>
          <w:sz w:val="21"/>
        </w:rPr>
      </w:pPr>
      <w:r>
        <w:drawing>
          <wp:anchor distT="0" distB="0" distL="0" distR="0" simplePos="0" relativeHeight="251711488" behindDoc="1" locked="0" layoutInCell="1" allowOverlap="1">
            <wp:simplePos x="0" y="0"/>
            <wp:positionH relativeFrom="column">
              <wp:posOffset>0</wp:posOffset>
            </wp:positionH>
            <wp:positionV relativeFrom="paragraph">
              <wp:posOffset>11430</wp:posOffset>
            </wp:positionV>
            <wp:extent cx="5744210" cy="790067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62"/>
                    <a:stretch>
                      <a:fillRect/>
                    </a:stretch>
                  </pic:blipFill>
                  <pic:spPr>
                    <a:xfrm>
                      <a:off x="0" y="0"/>
                      <a:ext cx="5743956" cy="7900416"/>
                    </a:xfrm>
                    <a:prstGeom prst="rect">
                      <a:avLst/>
                    </a:prstGeom>
                  </pic:spPr>
                </pic:pic>
              </a:graphicData>
            </a:graphic>
          </wp:anchor>
        </w:drawing>
      </w:r>
    </w:p>
    <w:p w14:paraId="0BBB2A38">
      <w:pPr>
        <w:spacing w:line="271" w:lineRule="auto"/>
        <w:rPr>
          <w:rFonts w:ascii="Arial"/>
          <w:sz w:val="21"/>
        </w:rPr>
      </w:pPr>
    </w:p>
    <w:p w14:paraId="3E481184">
      <w:pPr>
        <w:spacing w:line="1270" w:lineRule="exact"/>
        <w:ind w:firstLine="5660"/>
      </w:pPr>
      <w:r>
        <w:rPr>
          <w:position w:val="-25"/>
        </w:rPr>
        <w:pict>
          <v:group id="_x0000_s1102" o:spid="_x0000_s1102" o:spt="203" style="height:63.55pt;width:105.15pt;" coordsize="2103,1270">
            <o:lock v:ext="edit"/>
            <v:shape id="_x0000_s1103" o:spid="_x0000_s1103" o:spt="75" type="#_x0000_t75" style="position:absolute;left:0;top:0;height:1270;width:2103;" filled="f" stroked="f" coordsize="21600,21600">
              <v:path/>
              <v:fill on="f" focussize="0,0"/>
              <v:stroke on="f"/>
              <v:imagedata r:id="rId263" o:title=""/>
              <o:lock v:ext="edit" aspectratio="t"/>
            </v:shape>
            <v:shape id="_x0000_s1104" o:spid="_x0000_s1104" o:spt="202" type="#_x0000_t202" style="position:absolute;left:-20;top:-20;height:1311;width:2143;" filled="f" stroked="f" coordsize="21600,21600">
              <v:path/>
              <v:fill on="f" focussize="0,0"/>
              <v:stroke on="f"/>
              <v:imagedata o:title=""/>
              <o:lock v:ext="edit" aspectratio="f"/>
              <v:textbox inset="0mm,0mm,0mm,0mm">
                <w:txbxContent>
                  <w:p w14:paraId="4C17860A">
                    <w:pPr>
                      <w:spacing w:before="147" w:line="228" w:lineRule="auto"/>
                      <w:ind w:left="896"/>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607B5649">
      <w:pPr>
        <w:spacing w:line="243" w:lineRule="auto"/>
        <w:rPr>
          <w:rFonts w:ascii="Arial"/>
          <w:sz w:val="21"/>
        </w:rPr>
      </w:pPr>
    </w:p>
    <w:p w14:paraId="610A6973">
      <w:pPr>
        <w:spacing w:line="243" w:lineRule="auto"/>
        <w:rPr>
          <w:rFonts w:ascii="Arial"/>
          <w:sz w:val="21"/>
        </w:rPr>
      </w:pPr>
    </w:p>
    <w:p w14:paraId="491040B2">
      <w:pPr>
        <w:spacing w:line="243" w:lineRule="auto"/>
        <w:rPr>
          <w:rFonts w:ascii="Arial"/>
          <w:sz w:val="21"/>
        </w:rPr>
      </w:pPr>
    </w:p>
    <w:p w14:paraId="08CD6A06">
      <w:pPr>
        <w:spacing w:line="243" w:lineRule="auto"/>
        <w:rPr>
          <w:rFonts w:ascii="Arial"/>
          <w:sz w:val="21"/>
        </w:rPr>
      </w:pPr>
    </w:p>
    <w:p w14:paraId="1310C978">
      <w:pPr>
        <w:spacing w:line="243" w:lineRule="auto"/>
        <w:rPr>
          <w:rFonts w:ascii="Arial"/>
          <w:sz w:val="21"/>
        </w:rPr>
      </w:pPr>
    </w:p>
    <w:p w14:paraId="6247B167">
      <w:pPr>
        <w:spacing w:line="243" w:lineRule="auto"/>
        <w:rPr>
          <w:rFonts w:ascii="Arial"/>
          <w:sz w:val="21"/>
        </w:rPr>
      </w:pPr>
    </w:p>
    <w:p w14:paraId="0655CFB3">
      <w:pPr>
        <w:spacing w:line="243" w:lineRule="auto"/>
        <w:rPr>
          <w:rFonts w:ascii="Arial"/>
          <w:sz w:val="21"/>
        </w:rPr>
      </w:pPr>
    </w:p>
    <w:p w14:paraId="669583D4">
      <w:pPr>
        <w:spacing w:line="243" w:lineRule="auto"/>
        <w:rPr>
          <w:rFonts w:ascii="Arial"/>
          <w:sz w:val="21"/>
        </w:rPr>
      </w:pPr>
    </w:p>
    <w:p w14:paraId="5C8D80D9">
      <w:pPr>
        <w:spacing w:line="243" w:lineRule="auto"/>
        <w:rPr>
          <w:rFonts w:ascii="Arial"/>
          <w:sz w:val="21"/>
        </w:rPr>
      </w:pPr>
    </w:p>
    <w:p w14:paraId="0486EC06">
      <w:pPr>
        <w:spacing w:line="243" w:lineRule="auto"/>
        <w:rPr>
          <w:rFonts w:ascii="Arial"/>
          <w:sz w:val="21"/>
        </w:rPr>
      </w:pPr>
    </w:p>
    <w:p w14:paraId="4383D1B2">
      <w:pPr>
        <w:spacing w:line="243" w:lineRule="auto"/>
        <w:rPr>
          <w:rFonts w:ascii="Arial"/>
          <w:sz w:val="21"/>
        </w:rPr>
      </w:pPr>
    </w:p>
    <w:p w14:paraId="0FCA9BFF">
      <w:pPr>
        <w:spacing w:line="243" w:lineRule="auto"/>
        <w:rPr>
          <w:rFonts w:ascii="Arial"/>
          <w:sz w:val="21"/>
        </w:rPr>
      </w:pPr>
    </w:p>
    <w:p w14:paraId="3B8249FD">
      <w:pPr>
        <w:spacing w:line="243" w:lineRule="auto"/>
        <w:rPr>
          <w:rFonts w:ascii="Arial"/>
          <w:sz w:val="21"/>
        </w:rPr>
      </w:pPr>
    </w:p>
    <w:p w14:paraId="55D7EE36">
      <w:pPr>
        <w:spacing w:line="243" w:lineRule="auto"/>
        <w:rPr>
          <w:rFonts w:ascii="Arial"/>
          <w:sz w:val="21"/>
        </w:rPr>
      </w:pPr>
    </w:p>
    <w:p w14:paraId="29FA230D">
      <w:pPr>
        <w:spacing w:line="243" w:lineRule="auto"/>
        <w:rPr>
          <w:rFonts w:ascii="Arial"/>
          <w:sz w:val="21"/>
        </w:rPr>
      </w:pPr>
    </w:p>
    <w:p w14:paraId="1CCC6720">
      <w:pPr>
        <w:spacing w:line="243" w:lineRule="auto"/>
        <w:rPr>
          <w:rFonts w:ascii="Arial"/>
          <w:sz w:val="21"/>
        </w:rPr>
      </w:pPr>
    </w:p>
    <w:p w14:paraId="11AE7D17">
      <w:pPr>
        <w:spacing w:line="243" w:lineRule="auto"/>
        <w:rPr>
          <w:rFonts w:ascii="Arial"/>
          <w:sz w:val="21"/>
        </w:rPr>
      </w:pPr>
    </w:p>
    <w:p w14:paraId="763C8278">
      <w:pPr>
        <w:spacing w:line="243" w:lineRule="auto"/>
        <w:rPr>
          <w:rFonts w:ascii="Arial"/>
          <w:sz w:val="21"/>
        </w:rPr>
      </w:pPr>
    </w:p>
    <w:p w14:paraId="42340E46">
      <w:pPr>
        <w:spacing w:line="243" w:lineRule="auto"/>
        <w:rPr>
          <w:rFonts w:ascii="Arial"/>
          <w:sz w:val="21"/>
        </w:rPr>
      </w:pPr>
    </w:p>
    <w:p w14:paraId="27F60824">
      <w:pPr>
        <w:spacing w:line="243" w:lineRule="auto"/>
        <w:rPr>
          <w:rFonts w:ascii="Arial"/>
          <w:sz w:val="21"/>
        </w:rPr>
      </w:pPr>
    </w:p>
    <w:p w14:paraId="1C56C937">
      <w:pPr>
        <w:spacing w:line="243" w:lineRule="auto"/>
        <w:rPr>
          <w:rFonts w:ascii="Arial"/>
          <w:sz w:val="21"/>
        </w:rPr>
      </w:pPr>
    </w:p>
    <w:p w14:paraId="0A9ACE27">
      <w:pPr>
        <w:spacing w:line="243" w:lineRule="auto"/>
        <w:rPr>
          <w:rFonts w:ascii="Arial"/>
          <w:sz w:val="21"/>
        </w:rPr>
      </w:pPr>
    </w:p>
    <w:p w14:paraId="0605BF79">
      <w:pPr>
        <w:spacing w:line="243" w:lineRule="auto"/>
        <w:rPr>
          <w:rFonts w:ascii="Arial"/>
          <w:sz w:val="21"/>
        </w:rPr>
      </w:pPr>
    </w:p>
    <w:p w14:paraId="7111D7F5">
      <w:pPr>
        <w:spacing w:line="243" w:lineRule="auto"/>
        <w:rPr>
          <w:rFonts w:ascii="Arial"/>
          <w:sz w:val="21"/>
        </w:rPr>
      </w:pPr>
    </w:p>
    <w:p w14:paraId="53C3FB95">
      <w:pPr>
        <w:spacing w:line="243" w:lineRule="auto"/>
        <w:rPr>
          <w:rFonts w:ascii="Arial"/>
          <w:sz w:val="21"/>
        </w:rPr>
      </w:pPr>
    </w:p>
    <w:p w14:paraId="7941E6A3">
      <w:pPr>
        <w:spacing w:line="243" w:lineRule="auto"/>
        <w:rPr>
          <w:rFonts w:ascii="Arial"/>
          <w:sz w:val="21"/>
        </w:rPr>
      </w:pPr>
    </w:p>
    <w:p w14:paraId="0EFC2433">
      <w:pPr>
        <w:spacing w:line="243" w:lineRule="auto"/>
        <w:rPr>
          <w:rFonts w:ascii="Arial"/>
          <w:sz w:val="21"/>
        </w:rPr>
      </w:pPr>
    </w:p>
    <w:p w14:paraId="039CE0D7">
      <w:pPr>
        <w:spacing w:line="243" w:lineRule="auto"/>
        <w:rPr>
          <w:rFonts w:ascii="Arial"/>
          <w:sz w:val="21"/>
        </w:rPr>
      </w:pPr>
    </w:p>
    <w:p w14:paraId="0E803A84">
      <w:pPr>
        <w:spacing w:line="243" w:lineRule="auto"/>
        <w:rPr>
          <w:rFonts w:ascii="Arial"/>
          <w:sz w:val="21"/>
        </w:rPr>
      </w:pPr>
    </w:p>
    <w:p w14:paraId="25799769">
      <w:pPr>
        <w:spacing w:line="243" w:lineRule="auto"/>
        <w:rPr>
          <w:rFonts w:ascii="Arial"/>
          <w:sz w:val="21"/>
        </w:rPr>
      </w:pPr>
    </w:p>
    <w:p w14:paraId="63B096E2">
      <w:pPr>
        <w:spacing w:line="243" w:lineRule="auto"/>
        <w:rPr>
          <w:rFonts w:ascii="Arial"/>
          <w:sz w:val="21"/>
        </w:rPr>
      </w:pPr>
    </w:p>
    <w:p w14:paraId="525820FF">
      <w:pPr>
        <w:spacing w:line="243" w:lineRule="auto"/>
        <w:rPr>
          <w:rFonts w:ascii="Arial"/>
          <w:sz w:val="21"/>
        </w:rPr>
      </w:pPr>
    </w:p>
    <w:p w14:paraId="457960EF">
      <w:pPr>
        <w:spacing w:line="243" w:lineRule="auto"/>
        <w:rPr>
          <w:rFonts w:ascii="Arial"/>
          <w:sz w:val="21"/>
        </w:rPr>
      </w:pPr>
    </w:p>
    <w:p w14:paraId="781CFEB6">
      <w:pPr>
        <w:spacing w:line="243" w:lineRule="auto"/>
        <w:rPr>
          <w:rFonts w:ascii="Arial"/>
          <w:sz w:val="21"/>
        </w:rPr>
      </w:pPr>
    </w:p>
    <w:p w14:paraId="3593B94C">
      <w:pPr>
        <w:spacing w:line="243" w:lineRule="auto"/>
        <w:rPr>
          <w:rFonts w:ascii="Arial"/>
          <w:sz w:val="21"/>
        </w:rPr>
      </w:pPr>
    </w:p>
    <w:p w14:paraId="4F6E1D31">
      <w:pPr>
        <w:spacing w:line="243" w:lineRule="auto"/>
        <w:rPr>
          <w:rFonts w:ascii="Arial"/>
          <w:sz w:val="21"/>
        </w:rPr>
      </w:pPr>
    </w:p>
    <w:p w14:paraId="2C823DF3">
      <w:pPr>
        <w:spacing w:line="243" w:lineRule="auto"/>
        <w:rPr>
          <w:rFonts w:ascii="Arial"/>
          <w:sz w:val="21"/>
        </w:rPr>
      </w:pPr>
    </w:p>
    <w:p w14:paraId="382C1C51">
      <w:pPr>
        <w:spacing w:line="244" w:lineRule="auto"/>
        <w:rPr>
          <w:rFonts w:ascii="Arial"/>
          <w:sz w:val="21"/>
        </w:rPr>
      </w:pPr>
    </w:p>
    <w:p w14:paraId="16E376AF">
      <w:pPr>
        <w:spacing w:line="244" w:lineRule="auto"/>
        <w:rPr>
          <w:rFonts w:ascii="Arial"/>
          <w:sz w:val="21"/>
        </w:rPr>
      </w:pPr>
    </w:p>
    <w:p w14:paraId="26337073">
      <w:pPr>
        <w:spacing w:line="244" w:lineRule="auto"/>
        <w:rPr>
          <w:rFonts w:ascii="Arial"/>
          <w:sz w:val="21"/>
        </w:rPr>
      </w:pPr>
    </w:p>
    <w:p w14:paraId="30BCF82C">
      <w:pPr>
        <w:spacing w:line="244" w:lineRule="auto"/>
        <w:rPr>
          <w:rFonts w:ascii="Arial"/>
          <w:sz w:val="21"/>
        </w:rPr>
      </w:pPr>
    </w:p>
    <w:p w14:paraId="54221E0D">
      <w:pPr>
        <w:spacing w:line="244" w:lineRule="auto"/>
        <w:rPr>
          <w:rFonts w:ascii="Arial"/>
          <w:sz w:val="21"/>
        </w:rPr>
      </w:pPr>
    </w:p>
    <w:p w14:paraId="0B8570F8">
      <w:pPr>
        <w:spacing w:line="244" w:lineRule="auto"/>
        <w:rPr>
          <w:rFonts w:ascii="Arial"/>
          <w:sz w:val="21"/>
        </w:rPr>
      </w:pPr>
    </w:p>
    <w:p w14:paraId="5801183C">
      <w:pPr>
        <w:spacing w:line="244" w:lineRule="auto"/>
        <w:rPr>
          <w:rFonts w:ascii="Arial"/>
          <w:sz w:val="21"/>
        </w:rPr>
      </w:pPr>
    </w:p>
    <w:p w14:paraId="2A3B0B5E">
      <w:pPr>
        <w:spacing w:before="65" w:line="227" w:lineRule="auto"/>
        <w:ind w:left="2290"/>
        <w:rPr>
          <w:rFonts w:ascii="宋体" w:hAnsi="宋体" w:eastAsia="宋体" w:cs="宋体"/>
          <w:sz w:val="20"/>
          <w:szCs w:val="20"/>
        </w:rPr>
      </w:pPr>
      <w:r>
        <w:rPr>
          <w:rFonts w:ascii="宋体" w:hAnsi="宋体" w:eastAsia="宋体" w:cs="宋体"/>
          <w:b/>
          <w:bCs/>
          <w:spacing w:val="7"/>
          <w:sz w:val="20"/>
          <w:szCs w:val="20"/>
        </w:rPr>
        <w:t>附图十四：项目与可塘镇市政管网的位置关系图</w:t>
      </w:r>
    </w:p>
    <w:p w14:paraId="286399F5">
      <w:pPr>
        <w:spacing w:line="227" w:lineRule="auto"/>
        <w:rPr>
          <w:rFonts w:ascii="宋体" w:hAnsi="宋体" w:eastAsia="宋体" w:cs="宋体"/>
          <w:sz w:val="20"/>
          <w:szCs w:val="20"/>
        </w:rPr>
        <w:sectPr>
          <w:pgSz w:w="11906" w:h="16839"/>
          <w:pgMar w:top="400" w:right="1386" w:bottom="400" w:left="1473" w:header="0" w:footer="0" w:gutter="0"/>
          <w:cols w:space="720" w:num="1"/>
        </w:sectPr>
      </w:pPr>
    </w:p>
    <w:p w14:paraId="51BC8556">
      <w:pPr>
        <w:spacing w:line="252" w:lineRule="auto"/>
        <w:rPr>
          <w:rFonts w:ascii="Arial"/>
          <w:sz w:val="21"/>
        </w:rPr>
      </w:pPr>
    </w:p>
    <w:p w14:paraId="0EC0F863">
      <w:pPr>
        <w:spacing w:line="252" w:lineRule="auto"/>
        <w:rPr>
          <w:rFonts w:ascii="Arial"/>
          <w:sz w:val="21"/>
        </w:rPr>
      </w:pPr>
    </w:p>
    <w:p w14:paraId="3B056E79">
      <w:pPr>
        <w:spacing w:line="252" w:lineRule="auto"/>
        <w:rPr>
          <w:rFonts w:ascii="Arial"/>
          <w:sz w:val="21"/>
        </w:rPr>
      </w:pPr>
    </w:p>
    <w:p w14:paraId="2C3B2B06">
      <w:pPr>
        <w:spacing w:line="252" w:lineRule="auto"/>
        <w:rPr>
          <w:rFonts w:ascii="Arial"/>
          <w:sz w:val="21"/>
        </w:rPr>
      </w:pPr>
    </w:p>
    <w:p w14:paraId="02A9AAED">
      <w:pPr>
        <w:spacing w:line="252" w:lineRule="auto"/>
        <w:rPr>
          <w:rFonts w:ascii="Arial"/>
          <w:sz w:val="21"/>
        </w:rPr>
      </w:pPr>
    </w:p>
    <w:p w14:paraId="48E051D6">
      <w:pPr>
        <w:spacing w:line="252" w:lineRule="auto"/>
        <w:rPr>
          <w:rFonts w:ascii="Arial"/>
          <w:sz w:val="21"/>
        </w:rPr>
      </w:pPr>
      <w:r>
        <w:drawing>
          <wp:anchor distT="0" distB="0" distL="0" distR="0" simplePos="0" relativeHeight="251712512" behindDoc="1" locked="0" layoutInCell="1" allowOverlap="1">
            <wp:simplePos x="0" y="0"/>
            <wp:positionH relativeFrom="column">
              <wp:posOffset>1544320</wp:posOffset>
            </wp:positionH>
            <wp:positionV relativeFrom="paragraph">
              <wp:posOffset>88900</wp:posOffset>
            </wp:positionV>
            <wp:extent cx="4409440" cy="193675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64"/>
                    <a:stretch>
                      <a:fillRect/>
                    </a:stretch>
                  </pic:blipFill>
                  <pic:spPr>
                    <a:xfrm>
                      <a:off x="0" y="0"/>
                      <a:ext cx="4409300" cy="1936750"/>
                    </a:xfrm>
                    <a:prstGeom prst="rect">
                      <a:avLst/>
                    </a:prstGeom>
                  </pic:spPr>
                </pic:pic>
              </a:graphicData>
            </a:graphic>
          </wp:anchor>
        </w:drawing>
      </w:r>
    </w:p>
    <w:p w14:paraId="3979DBAF">
      <w:pPr>
        <w:spacing w:line="252" w:lineRule="auto"/>
        <w:rPr>
          <w:rFonts w:ascii="Arial"/>
          <w:sz w:val="21"/>
        </w:rPr>
      </w:pPr>
    </w:p>
    <w:p w14:paraId="1AB8096F">
      <w:pPr>
        <w:spacing w:line="252" w:lineRule="auto"/>
        <w:rPr>
          <w:rFonts w:ascii="Arial"/>
          <w:sz w:val="21"/>
        </w:rPr>
      </w:pPr>
    </w:p>
    <w:p w14:paraId="628E2FBF">
      <w:pPr>
        <w:spacing w:line="252" w:lineRule="auto"/>
        <w:rPr>
          <w:rFonts w:ascii="Arial"/>
          <w:sz w:val="21"/>
        </w:rPr>
      </w:pPr>
    </w:p>
    <w:p w14:paraId="1EC184A7">
      <w:pPr>
        <w:spacing w:line="252" w:lineRule="auto"/>
        <w:rPr>
          <w:rFonts w:ascii="Arial"/>
          <w:sz w:val="21"/>
        </w:rPr>
      </w:pPr>
    </w:p>
    <w:p w14:paraId="72A01F07">
      <w:pPr>
        <w:spacing w:line="252" w:lineRule="auto"/>
        <w:rPr>
          <w:rFonts w:ascii="Arial"/>
          <w:sz w:val="21"/>
        </w:rPr>
      </w:pPr>
    </w:p>
    <w:p w14:paraId="18AD0D62">
      <w:pPr>
        <w:spacing w:line="252" w:lineRule="auto"/>
        <w:rPr>
          <w:rFonts w:ascii="Arial"/>
          <w:sz w:val="21"/>
        </w:rPr>
      </w:pPr>
    </w:p>
    <w:p w14:paraId="74C39115">
      <w:pPr>
        <w:spacing w:line="252" w:lineRule="auto"/>
        <w:rPr>
          <w:rFonts w:ascii="Arial"/>
          <w:sz w:val="21"/>
        </w:rPr>
      </w:pPr>
    </w:p>
    <w:p w14:paraId="07BC6039">
      <w:pPr>
        <w:spacing w:line="3989" w:lineRule="exact"/>
        <w:ind w:firstLine="1296"/>
      </w:pPr>
      <w:r>
        <w:rPr>
          <w:position w:val="-79"/>
        </w:rPr>
        <w:drawing>
          <wp:inline distT="0" distB="0" distL="0" distR="0">
            <wp:extent cx="5490210" cy="253301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65"/>
                    <a:stretch>
                      <a:fillRect/>
                    </a:stretch>
                  </pic:blipFill>
                  <pic:spPr>
                    <a:xfrm>
                      <a:off x="0" y="0"/>
                      <a:ext cx="5490235" cy="2533065"/>
                    </a:xfrm>
                    <a:prstGeom prst="rect">
                      <a:avLst/>
                    </a:prstGeom>
                  </pic:spPr>
                </pic:pic>
              </a:graphicData>
            </a:graphic>
          </wp:inline>
        </w:drawing>
      </w:r>
    </w:p>
    <w:p w14:paraId="1B7ACADC">
      <w:pPr>
        <w:spacing w:line="323" w:lineRule="auto"/>
        <w:rPr>
          <w:rFonts w:ascii="Arial"/>
          <w:sz w:val="21"/>
        </w:rPr>
      </w:pPr>
      <w:r>
        <w:pict>
          <v:group id="_x0000_s1105" o:spid="_x0000_s1105" o:spt="203" style="position:absolute;left:0pt;margin-left:168.35pt;margin-top:2.3pt;height:81.3pt;width:34.1pt;z-index:251714560;mso-width-relative:page;mso-height-relative:page;" coordsize="681,1626">
            <o:lock v:ext="edit"/>
            <v:shape id="_x0000_s1106" o:spid="_x0000_s1106" o:spt="75" type="#_x0000_t75" style="position:absolute;left:0;top:0;height:1626;width:681;" filled="f" stroked="f" coordsize="21600,21600">
              <v:path/>
              <v:fill on="f" focussize="0,0"/>
              <v:stroke on="f"/>
              <v:imagedata r:id="rId266" o:title=""/>
              <o:lock v:ext="edit" aspectratio="t"/>
            </v:shape>
            <v:shape id="_x0000_s1107" o:spid="_x0000_s1107" o:spt="202" type="#_x0000_t202" style="position:absolute;left:-60;top:-20;height:1666;width:761;" filled="f" stroked="f" coordsize="21600,21600">
              <v:path/>
              <v:fill on="f" focussize="0,0"/>
              <v:stroke on="f"/>
              <v:imagedata o:title=""/>
              <o:lock v:ext="edit" aspectratio="f"/>
              <v:textbox inset="0mm,0mm,0mm,0mm" style="layout-flow:vertical-ideographic;">
                <w:txbxContent>
                  <w:p w14:paraId="7A08B1D5">
                    <w:pPr>
                      <w:spacing w:line="269" w:lineRule="auto"/>
                      <w:rPr>
                        <w:rFonts w:ascii="Arial"/>
                        <w:sz w:val="21"/>
                      </w:rPr>
                    </w:pPr>
                  </w:p>
                  <w:p w14:paraId="7B69A983">
                    <w:pPr>
                      <w:spacing w:before="67" w:line="216" w:lineRule="auto"/>
                      <w:ind w:left="378"/>
                      <w:rPr>
                        <w:rFonts w:ascii="宋体" w:hAnsi="宋体" w:eastAsia="宋体" w:cs="宋体"/>
                        <w:sz w:val="20"/>
                        <w:szCs w:val="20"/>
                      </w:rPr>
                    </w:pPr>
                    <w:r>
                      <w:rPr>
                        <w:rFonts w:ascii="宋体" w:hAnsi="宋体" w:eastAsia="宋体" w:cs="宋体"/>
                        <w:color w:val="FF0000"/>
                        <w:spacing w:val="29"/>
                        <w:sz w:val="20"/>
                        <w:szCs w:val="20"/>
                      </w:rPr>
                      <w:t>调节池</w:t>
                    </w:r>
                  </w:p>
                </w:txbxContent>
              </v:textbox>
            </v:shape>
          </v:group>
        </w:pict>
      </w:r>
      <w:r>
        <w:drawing>
          <wp:anchor distT="0" distB="0" distL="0" distR="0" simplePos="0" relativeHeight="251715584" behindDoc="0" locked="0" layoutInCell="1" allowOverlap="1">
            <wp:simplePos x="0" y="0"/>
            <wp:positionH relativeFrom="column">
              <wp:posOffset>2578100</wp:posOffset>
            </wp:positionH>
            <wp:positionV relativeFrom="paragraph">
              <wp:posOffset>17780</wp:posOffset>
            </wp:positionV>
            <wp:extent cx="432435" cy="103251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67"/>
                    <a:stretch>
                      <a:fillRect/>
                    </a:stretch>
                  </pic:blipFill>
                  <pic:spPr>
                    <a:xfrm>
                      <a:off x="0" y="0"/>
                      <a:ext cx="432434" cy="1032509"/>
                    </a:xfrm>
                    <a:prstGeom prst="rect">
                      <a:avLst/>
                    </a:prstGeom>
                  </pic:spPr>
                </pic:pic>
              </a:graphicData>
            </a:graphic>
          </wp:anchor>
        </w:drawing>
      </w:r>
    </w:p>
    <w:p w14:paraId="654B8805">
      <w:pPr>
        <w:spacing w:line="324" w:lineRule="auto"/>
        <w:rPr>
          <w:rFonts w:ascii="Arial"/>
          <w:sz w:val="21"/>
        </w:rPr>
      </w:pPr>
      <w:r>
        <w:pict>
          <v:shape id="_x0000_s1108" o:spid="_x0000_s1108" o:spt="202" type="#_x0000_t202" style="position:absolute;left:0pt;margin-left:210.05pt;margin-top:3.8pt;height:52.45pt;width:19.6pt;z-index:251716608;mso-width-relative:page;mso-height-relative:page;" fillcolor="#D9D9D9" filled="t" stroked="f" coordsize="21600,21600">
            <v:path/>
            <v:fill on="t" focussize="0,0"/>
            <v:stroke on="f"/>
            <v:imagedata o:title=""/>
            <o:lock v:ext="edit" aspectratio="f"/>
            <v:textbox inset="0mm,0mm,0mm,0mm" style="layout-flow:vertical-ideographic;">
              <w:txbxContent>
                <w:p w14:paraId="1C9D7E3B">
                  <w:pPr>
                    <w:spacing w:before="155" w:line="218" w:lineRule="auto"/>
                    <w:ind w:left="39"/>
                    <w:rPr>
                      <w:rFonts w:ascii="宋体" w:hAnsi="宋体" w:eastAsia="宋体" w:cs="宋体"/>
                      <w:sz w:val="20"/>
                      <w:szCs w:val="20"/>
                    </w:rPr>
                  </w:pPr>
                  <w:r>
                    <w:rPr>
                      <w:rFonts w:ascii="宋体" w:hAnsi="宋体" w:eastAsia="宋体" w:cs="宋体"/>
                      <w:color w:val="FF0000"/>
                      <w:spacing w:val="29"/>
                      <w:sz w:val="20"/>
                      <w:szCs w:val="20"/>
                    </w:rPr>
                    <w:t>应急池</w:t>
                  </w:r>
                </w:p>
              </w:txbxContent>
            </v:textbox>
          </v:shape>
        </w:pict>
      </w:r>
    </w:p>
    <w:p w14:paraId="6A262B5A">
      <w:pPr>
        <w:spacing w:line="1120" w:lineRule="exact"/>
        <w:ind w:firstLine="11109"/>
      </w:pPr>
      <w:r>
        <w:drawing>
          <wp:anchor distT="0" distB="0" distL="0" distR="0" simplePos="0" relativeHeight="251713536" behindDoc="0" locked="0" layoutInCell="1" allowOverlap="1">
            <wp:simplePos x="0" y="0"/>
            <wp:positionH relativeFrom="column">
              <wp:posOffset>2423160</wp:posOffset>
            </wp:positionH>
            <wp:positionV relativeFrom="paragraph">
              <wp:posOffset>546100</wp:posOffset>
            </wp:positionV>
            <wp:extent cx="26035" cy="1460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68"/>
                    <a:stretch>
                      <a:fillRect/>
                    </a:stretch>
                  </pic:blipFill>
                  <pic:spPr>
                    <a:xfrm>
                      <a:off x="0" y="0"/>
                      <a:ext cx="26327" cy="146126"/>
                    </a:xfrm>
                    <a:prstGeom prst="rect">
                      <a:avLst/>
                    </a:prstGeom>
                  </pic:spPr>
                </pic:pic>
              </a:graphicData>
            </a:graphic>
          </wp:anchor>
        </w:drawing>
      </w:r>
      <w:r>
        <w:drawing>
          <wp:anchor distT="0" distB="0" distL="0" distR="0" simplePos="0" relativeHeight="251718656" behindDoc="0" locked="0" layoutInCell="1" allowOverlap="1">
            <wp:simplePos x="0" y="0"/>
            <wp:positionH relativeFrom="column">
              <wp:posOffset>2430780</wp:posOffset>
            </wp:positionH>
            <wp:positionV relativeFrom="paragraph">
              <wp:posOffset>676275</wp:posOffset>
            </wp:positionV>
            <wp:extent cx="736600" cy="571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69"/>
                    <a:stretch>
                      <a:fillRect/>
                    </a:stretch>
                  </pic:blipFill>
                  <pic:spPr>
                    <a:xfrm>
                      <a:off x="0" y="0"/>
                      <a:ext cx="736600" cy="57086"/>
                    </a:xfrm>
                    <a:prstGeom prst="rect">
                      <a:avLst/>
                    </a:prstGeom>
                  </pic:spPr>
                </pic:pic>
              </a:graphicData>
            </a:graphic>
          </wp:anchor>
        </w:drawing>
      </w:r>
      <w:r>
        <w:drawing>
          <wp:anchor distT="0" distB="0" distL="0" distR="0" simplePos="0" relativeHeight="251719680" behindDoc="0" locked="0" layoutInCell="1" allowOverlap="1">
            <wp:simplePos x="0" y="0"/>
            <wp:positionH relativeFrom="column">
              <wp:posOffset>3204210</wp:posOffset>
            </wp:positionH>
            <wp:positionV relativeFrom="paragraph">
              <wp:posOffset>668655</wp:posOffset>
            </wp:positionV>
            <wp:extent cx="736600" cy="5715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70"/>
                    <a:stretch>
                      <a:fillRect/>
                    </a:stretch>
                  </pic:blipFill>
                  <pic:spPr>
                    <a:xfrm>
                      <a:off x="0" y="0"/>
                      <a:ext cx="736600" cy="57086"/>
                    </a:xfrm>
                    <a:prstGeom prst="rect">
                      <a:avLst/>
                    </a:prstGeom>
                  </pic:spPr>
                </pic:pic>
              </a:graphicData>
            </a:graphic>
          </wp:anchor>
        </w:drawing>
      </w:r>
      <w:r>
        <w:drawing>
          <wp:anchor distT="0" distB="0" distL="0" distR="0" simplePos="0" relativeHeight="251717632" behindDoc="0" locked="0" layoutInCell="1" allowOverlap="1">
            <wp:simplePos x="0" y="0"/>
            <wp:positionH relativeFrom="column">
              <wp:posOffset>320675</wp:posOffset>
            </wp:positionH>
            <wp:positionV relativeFrom="paragraph">
              <wp:posOffset>541655</wp:posOffset>
            </wp:positionV>
            <wp:extent cx="1419860" cy="6477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71"/>
                    <a:stretch>
                      <a:fillRect/>
                    </a:stretch>
                  </pic:blipFill>
                  <pic:spPr>
                    <a:xfrm>
                      <a:off x="0" y="0"/>
                      <a:ext cx="1419973" cy="64668"/>
                    </a:xfrm>
                    <a:prstGeom prst="rect">
                      <a:avLst/>
                    </a:prstGeom>
                  </pic:spPr>
                </pic:pic>
              </a:graphicData>
            </a:graphic>
          </wp:anchor>
        </w:drawing>
      </w:r>
      <w:r>
        <w:rPr>
          <w:position w:val="-22"/>
        </w:rPr>
        <w:pict>
          <v:group id="_x0000_s1109" o:spid="_x0000_s1109" o:spt="203" style="height:56pt;width:81.9pt;" coordsize="1638,1120">
            <o:lock v:ext="edit"/>
            <v:shape id="_x0000_s1110" o:spid="_x0000_s1110" o:spt="75" type="#_x0000_t75" style="position:absolute;left:77;top:0;height:1120;width:1560;" filled="f" stroked="f" coordsize="21600,21600">
              <v:path/>
              <v:fill on="f" focussize="0,0"/>
              <v:stroke on="f"/>
              <v:imagedata r:id="rId272" o:title=""/>
              <o:lock v:ext="edit" aspectratio="t"/>
            </v:shape>
            <v:shape id="_x0000_s1111" o:spid="_x0000_s1111" o:spt="202" type="#_x0000_t202" style="position:absolute;left:-20;top:-20;height:1160;width:1678;" filled="f" stroked="f" coordsize="21600,21600">
              <v:path/>
              <v:fill on="f" focussize="0,0"/>
              <v:stroke on="f"/>
              <v:imagedata o:title=""/>
              <o:lock v:ext="edit" aspectratio="f"/>
              <v:textbox inset="0mm,0mm,0mm,0mm">
                <w:txbxContent>
                  <w:p w14:paraId="7DE20F7A">
                    <w:pPr>
                      <w:tabs>
                        <w:tab w:val="left" w:pos="30"/>
                      </w:tabs>
                      <w:spacing w:before="124" w:line="300" w:lineRule="auto"/>
                      <w:ind w:left="20" w:right="280" w:firstLine="10"/>
                      <w:jc w:val="both"/>
                      <w:rPr>
                        <w:rFonts w:ascii="宋体" w:hAnsi="宋体" w:eastAsia="宋体" w:cs="宋体"/>
                        <w:sz w:val="20"/>
                        <w:szCs w:val="20"/>
                      </w:rPr>
                    </w:pPr>
                    <w:r>
                      <w:rPr>
                        <w:rFonts w:ascii="宋体" w:hAnsi="宋体" w:eastAsia="宋体" w:cs="宋体"/>
                        <w:position w:val="7"/>
                        <w:sz w:val="20"/>
                        <w:szCs w:val="20"/>
                      </w:rPr>
                      <w:drawing>
                        <wp:inline distT="0" distB="0" distL="0" distR="0">
                          <wp:extent cx="317500" cy="1270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73"/>
                                  <a:stretch>
                                    <a:fillRect/>
                                  </a:stretch>
                                </pic:blipFill>
                                <pic:spPr>
                                  <a:xfrm>
                                    <a:off x="0" y="0"/>
                                    <a:ext cx="317500" cy="12700"/>
                                  </a:xfrm>
                                  <a:prstGeom prst="rect">
                                    <a:avLst/>
                                  </a:prstGeom>
                                </pic:spPr>
                              </pic:pic>
                            </a:graphicData>
                          </a:graphic>
                        </wp:inline>
                      </w:drawing>
                    </w:r>
                    <w:r>
                      <w:rPr>
                        <w:rFonts w:ascii="宋体" w:hAnsi="宋体" w:eastAsia="宋体" w:cs="宋体"/>
                        <w:spacing w:val="-70"/>
                        <w:sz w:val="20"/>
                        <w:szCs w:val="20"/>
                      </w:rPr>
                      <w:t xml:space="preserve"> </w:t>
                    </w:r>
                    <w:r>
                      <w:rPr>
                        <w:rFonts w:ascii="宋体" w:hAnsi="宋体" w:eastAsia="宋体" w:cs="宋体"/>
                        <w:spacing w:val="6"/>
                        <w:sz w:val="20"/>
                        <w:szCs w:val="20"/>
                      </w:rPr>
                      <w:t>生产废水</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position w:val="7"/>
                        <w:sz w:val="20"/>
                        <w:szCs w:val="20"/>
                      </w:rPr>
                      <w:drawing>
                        <wp:inline distT="0" distB="0" distL="0" distR="0">
                          <wp:extent cx="317500" cy="127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74"/>
                                  <a:stretch>
                                    <a:fillRect/>
                                  </a:stretch>
                                </pic:blipFill>
                                <pic:spPr>
                                  <a:xfrm>
                                    <a:off x="0" y="0"/>
                                    <a:ext cx="317500" cy="12700"/>
                                  </a:xfrm>
                                  <a:prstGeom prst="rect">
                                    <a:avLst/>
                                  </a:prstGeom>
                                </pic:spPr>
                              </pic:pic>
                            </a:graphicData>
                          </a:graphic>
                        </wp:inline>
                      </w:drawing>
                    </w:r>
                    <w:r>
                      <w:rPr>
                        <w:rFonts w:ascii="宋体" w:hAnsi="宋体" w:eastAsia="宋体" w:cs="宋体"/>
                        <w:spacing w:val="-58"/>
                        <w:sz w:val="20"/>
                        <w:szCs w:val="20"/>
                      </w:rPr>
                      <w:t xml:space="preserve"> </w:t>
                    </w:r>
                    <w:r>
                      <w:rPr>
                        <w:rFonts w:ascii="宋体" w:hAnsi="宋体" w:eastAsia="宋体" w:cs="宋体"/>
                        <w:spacing w:val="6"/>
                        <w:sz w:val="20"/>
                        <w:szCs w:val="20"/>
                      </w:rPr>
                      <w:t>生活污水</w:t>
                    </w:r>
                    <w:r>
                      <w:rPr>
                        <w:rFonts w:ascii="宋体" w:hAnsi="宋体" w:eastAsia="宋体" w:cs="宋体"/>
                        <w:sz w:val="20"/>
                        <w:szCs w:val="20"/>
                      </w:rPr>
                      <w:t xml:space="preserve"> </w:t>
                    </w:r>
                    <w:r>
                      <w:rPr>
                        <w:rFonts w:ascii="宋体" w:hAnsi="宋体" w:eastAsia="宋体" w:cs="宋体"/>
                        <w:position w:val="4"/>
                        <w:sz w:val="20"/>
                        <w:szCs w:val="20"/>
                      </w:rPr>
                      <w:drawing>
                        <wp:inline distT="0" distB="0" distL="0" distR="0">
                          <wp:extent cx="330200" cy="1270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75"/>
                                  <a:stretch>
                                    <a:fillRect/>
                                  </a:stretch>
                                </pic:blipFill>
                                <pic:spPr>
                                  <a:xfrm>
                                    <a:off x="0" y="0"/>
                                    <a:ext cx="330200" cy="12700"/>
                                  </a:xfrm>
                                  <a:prstGeom prst="rect">
                                    <a:avLst/>
                                  </a:prstGeom>
                                </pic:spPr>
                              </pic:pic>
                            </a:graphicData>
                          </a:graphic>
                        </wp:inline>
                      </w:drawing>
                    </w:r>
                    <w:r>
                      <w:rPr>
                        <w:rFonts w:ascii="宋体" w:hAnsi="宋体" w:eastAsia="宋体" w:cs="宋体"/>
                        <w:spacing w:val="-64"/>
                        <w:sz w:val="20"/>
                        <w:szCs w:val="20"/>
                      </w:rPr>
                      <w:t xml:space="preserve"> </w:t>
                    </w:r>
                    <w:r>
                      <w:rPr>
                        <w:rFonts w:ascii="宋体" w:hAnsi="宋体" w:eastAsia="宋体" w:cs="宋体"/>
                        <w:sz w:val="20"/>
                        <w:szCs w:val="20"/>
                      </w:rPr>
                      <w:t>雨水</w:t>
                    </w:r>
                  </w:p>
                </w:txbxContent>
              </v:textbox>
            </v:shape>
            <w10:wrap type="none"/>
            <w10:anchorlock/>
          </v:group>
        </w:pict>
      </w:r>
    </w:p>
    <w:p w14:paraId="100DEE7C">
      <w:pPr>
        <w:spacing w:before="253" w:line="227" w:lineRule="auto"/>
        <w:ind w:left="3282"/>
        <w:rPr>
          <w:rFonts w:ascii="宋体" w:hAnsi="宋体" w:eastAsia="宋体" w:cs="宋体"/>
          <w:sz w:val="20"/>
          <w:szCs w:val="20"/>
        </w:rPr>
      </w:pPr>
      <w:r>
        <w:rPr>
          <w:rFonts w:ascii="宋体" w:hAnsi="宋体" w:eastAsia="宋体" w:cs="宋体"/>
          <w:b/>
          <w:bCs/>
          <w:spacing w:val="7"/>
          <w:sz w:val="20"/>
          <w:szCs w:val="20"/>
        </w:rPr>
        <w:t>附图十五：项目生产废水、生活污水、雨水管道走向示意</w:t>
      </w:r>
    </w:p>
    <w:p w14:paraId="66023819">
      <w:pPr>
        <w:spacing w:line="227" w:lineRule="auto"/>
        <w:rPr>
          <w:rFonts w:ascii="宋体" w:hAnsi="宋体" w:eastAsia="宋体" w:cs="宋体"/>
          <w:sz w:val="20"/>
          <w:szCs w:val="20"/>
        </w:rPr>
        <w:sectPr>
          <w:headerReference r:id="rId177" w:type="default"/>
          <w:pgSz w:w="16839" w:h="11906"/>
          <w:pgMar w:top="400" w:right="1565" w:bottom="400" w:left="2525" w:header="0" w:footer="0" w:gutter="0"/>
          <w:cols w:space="720" w:num="1"/>
        </w:sectPr>
      </w:pPr>
    </w:p>
    <w:p w14:paraId="19BB8581">
      <w:pPr>
        <w:spacing w:line="241" w:lineRule="auto"/>
        <w:rPr>
          <w:rFonts w:ascii="Arial"/>
          <w:sz w:val="21"/>
        </w:rPr>
      </w:pPr>
    </w:p>
    <w:p w14:paraId="229696E7">
      <w:pPr>
        <w:spacing w:line="242" w:lineRule="auto"/>
        <w:rPr>
          <w:rFonts w:ascii="Arial"/>
          <w:sz w:val="21"/>
        </w:rPr>
      </w:pPr>
    </w:p>
    <w:p w14:paraId="2EB501F6">
      <w:pPr>
        <w:spacing w:line="242" w:lineRule="auto"/>
        <w:rPr>
          <w:rFonts w:ascii="Arial"/>
          <w:sz w:val="21"/>
        </w:rPr>
      </w:pPr>
    </w:p>
    <w:p w14:paraId="0865CBDA">
      <w:pPr>
        <w:spacing w:line="242" w:lineRule="auto"/>
        <w:rPr>
          <w:rFonts w:ascii="Arial"/>
          <w:sz w:val="21"/>
        </w:rPr>
      </w:pPr>
    </w:p>
    <w:p w14:paraId="7EEBD77A">
      <w:pPr>
        <w:spacing w:line="242" w:lineRule="auto"/>
        <w:rPr>
          <w:rFonts w:ascii="Arial"/>
          <w:sz w:val="21"/>
        </w:rPr>
      </w:pPr>
    </w:p>
    <w:p w14:paraId="2C928BC3">
      <w:pPr>
        <w:spacing w:line="242" w:lineRule="auto"/>
        <w:rPr>
          <w:rFonts w:ascii="Arial"/>
          <w:sz w:val="21"/>
        </w:rPr>
      </w:pPr>
    </w:p>
    <w:p w14:paraId="25C46537">
      <w:pPr>
        <w:spacing w:line="242" w:lineRule="auto"/>
        <w:rPr>
          <w:rFonts w:ascii="Arial"/>
          <w:sz w:val="21"/>
        </w:rPr>
      </w:pPr>
    </w:p>
    <w:p w14:paraId="747D244F">
      <w:pPr>
        <w:spacing w:line="242" w:lineRule="auto"/>
        <w:rPr>
          <w:rFonts w:ascii="Arial"/>
          <w:sz w:val="21"/>
        </w:rPr>
      </w:pPr>
    </w:p>
    <w:p w14:paraId="204CF64C">
      <w:pPr>
        <w:spacing w:line="242" w:lineRule="auto"/>
        <w:rPr>
          <w:rFonts w:ascii="Arial"/>
          <w:sz w:val="21"/>
        </w:rPr>
      </w:pPr>
    </w:p>
    <w:p w14:paraId="6FC650BB">
      <w:pPr>
        <w:spacing w:line="242" w:lineRule="auto"/>
        <w:rPr>
          <w:rFonts w:ascii="Arial"/>
          <w:sz w:val="21"/>
        </w:rPr>
      </w:pPr>
    </w:p>
    <w:p w14:paraId="52EFBA41">
      <w:pPr>
        <w:spacing w:line="242" w:lineRule="auto"/>
        <w:rPr>
          <w:rFonts w:ascii="Arial"/>
          <w:sz w:val="21"/>
        </w:rPr>
      </w:pPr>
    </w:p>
    <w:p w14:paraId="31BD2FEC">
      <w:pPr>
        <w:spacing w:line="242" w:lineRule="auto"/>
        <w:rPr>
          <w:rFonts w:ascii="Arial"/>
          <w:sz w:val="21"/>
        </w:rPr>
      </w:pPr>
    </w:p>
    <w:p w14:paraId="0502EA44">
      <w:pPr>
        <w:spacing w:line="242" w:lineRule="auto"/>
        <w:rPr>
          <w:rFonts w:ascii="Arial"/>
          <w:sz w:val="21"/>
        </w:rPr>
      </w:pPr>
    </w:p>
    <w:p w14:paraId="7EE2AE41">
      <w:pPr>
        <w:spacing w:line="242" w:lineRule="auto"/>
        <w:rPr>
          <w:rFonts w:ascii="Arial"/>
          <w:sz w:val="21"/>
        </w:rPr>
      </w:pPr>
    </w:p>
    <w:p w14:paraId="0120CAFE">
      <w:pPr>
        <w:spacing w:line="242" w:lineRule="auto"/>
        <w:rPr>
          <w:rFonts w:ascii="Arial"/>
          <w:sz w:val="21"/>
        </w:rPr>
      </w:pPr>
    </w:p>
    <w:p w14:paraId="43409918">
      <w:pPr>
        <w:spacing w:line="242" w:lineRule="auto"/>
        <w:rPr>
          <w:rFonts w:ascii="Arial"/>
          <w:sz w:val="21"/>
        </w:rPr>
      </w:pPr>
    </w:p>
    <w:p w14:paraId="113C7DC5">
      <w:pPr>
        <w:spacing w:line="242" w:lineRule="auto"/>
        <w:rPr>
          <w:rFonts w:ascii="Arial"/>
          <w:sz w:val="21"/>
        </w:rPr>
      </w:pPr>
    </w:p>
    <w:p w14:paraId="0CB1570F">
      <w:pPr>
        <w:spacing w:line="6844" w:lineRule="exact"/>
      </w:pPr>
      <w:r>
        <w:rPr>
          <w:position w:val="-136"/>
        </w:rPr>
        <w:drawing>
          <wp:inline distT="0" distB="0" distL="0" distR="0">
            <wp:extent cx="13368020" cy="434594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76"/>
                    <a:stretch>
                      <a:fillRect/>
                    </a:stretch>
                  </pic:blipFill>
                  <pic:spPr>
                    <a:xfrm>
                      <a:off x="0" y="0"/>
                      <a:ext cx="13368528" cy="4346448"/>
                    </a:xfrm>
                    <a:prstGeom prst="rect">
                      <a:avLst/>
                    </a:prstGeom>
                  </pic:spPr>
                </pic:pic>
              </a:graphicData>
            </a:graphic>
          </wp:inline>
        </w:drawing>
      </w:r>
    </w:p>
    <w:p w14:paraId="553A83C4">
      <w:pPr>
        <w:spacing w:before="135" w:line="227" w:lineRule="auto"/>
        <w:ind w:left="7668"/>
        <w:rPr>
          <w:rFonts w:ascii="宋体" w:hAnsi="宋体" w:eastAsia="宋体" w:cs="宋体"/>
          <w:sz w:val="20"/>
          <w:szCs w:val="20"/>
        </w:rPr>
      </w:pPr>
      <w:r>
        <w:rPr>
          <w:rFonts w:ascii="宋体" w:hAnsi="宋体" w:eastAsia="宋体" w:cs="宋体"/>
          <w:b/>
          <w:bCs/>
          <w:spacing w:val="7"/>
          <w:sz w:val="20"/>
          <w:szCs w:val="20"/>
        </w:rPr>
        <w:t>附图十六：本项目泡酸车间废酸和废水管道走向示意（二层）</w:t>
      </w:r>
    </w:p>
    <w:p w14:paraId="5FAA6510">
      <w:pPr>
        <w:spacing w:line="227" w:lineRule="auto"/>
        <w:rPr>
          <w:rFonts w:ascii="宋体" w:hAnsi="宋体" w:eastAsia="宋体" w:cs="宋体"/>
          <w:sz w:val="20"/>
          <w:szCs w:val="20"/>
        </w:rPr>
        <w:sectPr>
          <w:headerReference r:id="rId178" w:type="default"/>
          <w:pgSz w:w="23812" w:h="16839"/>
          <w:pgMar w:top="400" w:right="1342" w:bottom="400" w:left="1416" w:header="0" w:footer="0" w:gutter="0"/>
          <w:cols w:space="720" w:num="1"/>
        </w:sectPr>
      </w:pPr>
    </w:p>
    <w:p w14:paraId="7FA6D34B">
      <w:pPr>
        <w:spacing w:line="242" w:lineRule="auto"/>
        <w:rPr>
          <w:rFonts w:ascii="Arial"/>
          <w:sz w:val="21"/>
        </w:rPr>
      </w:pPr>
    </w:p>
    <w:p w14:paraId="27A2C9A9">
      <w:pPr>
        <w:spacing w:line="242" w:lineRule="auto"/>
        <w:rPr>
          <w:rFonts w:ascii="Arial"/>
          <w:sz w:val="21"/>
        </w:rPr>
      </w:pPr>
    </w:p>
    <w:p w14:paraId="5B941D1B">
      <w:pPr>
        <w:spacing w:line="242" w:lineRule="auto"/>
        <w:rPr>
          <w:rFonts w:ascii="Arial"/>
          <w:sz w:val="21"/>
        </w:rPr>
      </w:pPr>
    </w:p>
    <w:p w14:paraId="13947611">
      <w:pPr>
        <w:spacing w:line="243" w:lineRule="auto"/>
        <w:rPr>
          <w:rFonts w:ascii="Arial"/>
          <w:sz w:val="21"/>
        </w:rPr>
      </w:pPr>
    </w:p>
    <w:p w14:paraId="589A3CC5">
      <w:pPr>
        <w:spacing w:line="243" w:lineRule="auto"/>
        <w:rPr>
          <w:rFonts w:ascii="Arial"/>
          <w:sz w:val="21"/>
        </w:rPr>
      </w:pPr>
    </w:p>
    <w:p w14:paraId="6CE5A079">
      <w:pPr>
        <w:spacing w:line="243" w:lineRule="auto"/>
        <w:rPr>
          <w:rFonts w:ascii="Arial"/>
          <w:sz w:val="21"/>
        </w:rPr>
      </w:pPr>
    </w:p>
    <w:p w14:paraId="6D0D7CFF">
      <w:pPr>
        <w:spacing w:line="243" w:lineRule="auto"/>
        <w:rPr>
          <w:rFonts w:ascii="Arial"/>
          <w:sz w:val="21"/>
        </w:rPr>
      </w:pPr>
    </w:p>
    <w:p w14:paraId="680DC966">
      <w:pPr>
        <w:spacing w:line="243" w:lineRule="auto"/>
        <w:rPr>
          <w:rFonts w:ascii="Arial"/>
          <w:sz w:val="21"/>
        </w:rPr>
      </w:pPr>
    </w:p>
    <w:p w14:paraId="0C7E518E">
      <w:pPr>
        <w:spacing w:line="243" w:lineRule="auto"/>
        <w:rPr>
          <w:rFonts w:ascii="Arial"/>
          <w:sz w:val="21"/>
        </w:rPr>
      </w:pPr>
    </w:p>
    <w:p w14:paraId="4A5F6882">
      <w:pPr>
        <w:spacing w:line="243" w:lineRule="auto"/>
        <w:rPr>
          <w:rFonts w:ascii="Arial"/>
          <w:sz w:val="21"/>
        </w:rPr>
      </w:pPr>
    </w:p>
    <w:p w14:paraId="258B5CE4">
      <w:pPr>
        <w:spacing w:line="243" w:lineRule="auto"/>
        <w:rPr>
          <w:rFonts w:ascii="Arial"/>
          <w:sz w:val="21"/>
        </w:rPr>
      </w:pPr>
    </w:p>
    <w:p w14:paraId="7E1E7272">
      <w:pPr>
        <w:spacing w:line="243" w:lineRule="auto"/>
        <w:rPr>
          <w:rFonts w:ascii="Arial"/>
          <w:sz w:val="21"/>
        </w:rPr>
      </w:pPr>
    </w:p>
    <w:p w14:paraId="330FAFF3">
      <w:pPr>
        <w:spacing w:line="243" w:lineRule="auto"/>
        <w:rPr>
          <w:rFonts w:ascii="Arial"/>
          <w:sz w:val="21"/>
        </w:rPr>
      </w:pPr>
    </w:p>
    <w:p w14:paraId="6F36D43D">
      <w:pPr>
        <w:spacing w:line="243" w:lineRule="auto"/>
        <w:rPr>
          <w:rFonts w:ascii="Arial"/>
          <w:sz w:val="21"/>
        </w:rPr>
      </w:pPr>
    </w:p>
    <w:p w14:paraId="5B40A201">
      <w:pPr>
        <w:spacing w:line="6910" w:lineRule="exact"/>
      </w:pPr>
      <w:r>
        <w:rPr>
          <w:position w:val="-138"/>
        </w:rPr>
        <w:drawing>
          <wp:inline distT="0" distB="0" distL="0" distR="0">
            <wp:extent cx="13430885" cy="438721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77"/>
                    <a:stretch>
                      <a:fillRect/>
                    </a:stretch>
                  </pic:blipFill>
                  <pic:spPr>
                    <a:xfrm>
                      <a:off x="0" y="0"/>
                      <a:ext cx="13431012" cy="4387595"/>
                    </a:xfrm>
                    <a:prstGeom prst="rect">
                      <a:avLst/>
                    </a:prstGeom>
                  </pic:spPr>
                </pic:pic>
              </a:graphicData>
            </a:graphic>
          </wp:inline>
        </w:drawing>
      </w:r>
    </w:p>
    <w:p w14:paraId="77300E17">
      <w:pPr>
        <w:spacing w:line="316" w:lineRule="auto"/>
        <w:rPr>
          <w:rFonts w:ascii="Arial"/>
          <w:sz w:val="21"/>
        </w:rPr>
      </w:pPr>
    </w:p>
    <w:p w14:paraId="14888B9B">
      <w:pPr>
        <w:spacing w:before="65" w:line="227" w:lineRule="auto"/>
        <w:ind w:left="7510"/>
        <w:rPr>
          <w:rFonts w:ascii="宋体" w:hAnsi="宋体" w:eastAsia="宋体" w:cs="宋体"/>
          <w:sz w:val="20"/>
          <w:szCs w:val="20"/>
        </w:rPr>
      </w:pPr>
      <w:r>
        <w:rPr>
          <w:rFonts w:ascii="宋体" w:hAnsi="宋体" w:eastAsia="宋体" w:cs="宋体"/>
          <w:b/>
          <w:bCs/>
          <w:spacing w:val="7"/>
          <w:sz w:val="20"/>
          <w:szCs w:val="20"/>
        </w:rPr>
        <w:t>附图十七：本项目泡酸车间废酸和废水管道走向示意（三~五层）</w:t>
      </w:r>
    </w:p>
    <w:p w14:paraId="03CD0E18">
      <w:pPr>
        <w:spacing w:line="227" w:lineRule="auto"/>
        <w:rPr>
          <w:rFonts w:ascii="宋体" w:hAnsi="宋体" w:eastAsia="宋体" w:cs="宋体"/>
          <w:sz w:val="20"/>
          <w:szCs w:val="20"/>
        </w:rPr>
        <w:sectPr>
          <w:pgSz w:w="23812" w:h="16839"/>
          <w:pgMar w:top="400" w:right="1243" w:bottom="400" w:left="1416" w:header="0" w:footer="0" w:gutter="0"/>
          <w:cols w:space="720" w:num="1"/>
        </w:sectPr>
      </w:pPr>
    </w:p>
    <w:p w14:paraId="6E36FAAE">
      <w:pPr>
        <w:spacing w:before="5"/>
      </w:pPr>
      <w:r>
        <w:pict>
          <v:rect id="_x0000_s1112" o:spid="_x0000_s1112" o:spt="1" style="position:absolute;left:0pt;margin-left:251pt;margin-top:488.35pt;height:7pt;width:402.95pt;mso-position-horizontal-relative:page;mso-position-vertical-relative:page;z-index:251723776;mso-width-relative:page;mso-height-relative:page;" fillcolor="#00B050" filled="t" stroked="f" coordsize="21600,21600" o:allowincell="f">
            <v:path/>
            <v:fill on="t" opacity="29555f" focussize="0,0"/>
            <v:stroke on="f"/>
            <v:imagedata o:title=""/>
            <o:lock v:ext="edit"/>
          </v:rect>
        </w:pict>
      </w:r>
      <w:r>
        <mc:AlternateContent>
          <mc:Choice Requires="wps">
            <w:drawing>
              <wp:anchor distT="0" distB="0" distL="0" distR="0" simplePos="0" relativeHeight="251722752" behindDoc="1" locked="0" layoutInCell="0" allowOverlap="1">
                <wp:simplePos x="0" y="0"/>
                <wp:positionH relativeFrom="page">
                  <wp:posOffset>2901950</wp:posOffset>
                </wp:positionH>
                <wp:positionV relativeFrom="page">
                  <wp:posOffset>1303655</wp:posOffset>
                </wp:positionV>
                <wp:extent cx="1641475" cy="1805305"/>
                <wp:effectExtent l="0" t="0" r="0" b="0"/>
                <wp:wrapNone/>
                <wp:docPr id="192" name="Rect 192"/>
                <wp:cNvGraphicFramePr/>
                <a:graphic xmlns:a="http://schemas.openxmlformats.org/drawingml/2006/main">
                  <a:graphicData uri="http://schemas.microsoft.com/office/word/2010/wordprocessingShape">
                    <wps:wsp>
                      <wps:cNvSpPr/>
                      <wps:spPr>
                        <a:xfrm>
                          <a:off x="2901950" y="1304226"/>
                          <a:ext cx="1641475" cy="1805304"/>
                        </a:xfrm>
                        <a:prstGeom prst="rect">
                          <a:avLst/>
                        </a:prstGeom>
                        <a:solidFill>
                          <a:srgbClr val="00B050">
                            <a:alpha val="45098"/>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2" o:spid="_x0000_s1026" o:spt="1" style="position:absolute;left:0pt;margin-left:228.5pt;margin-top:102.65pt;height:142.15pt;width:129.25pt;mso-position-horizontal-relative:page;mso-position-vertical-relative:page;z-index:-251593728;mso-width-relative:page;mso-height-relative:page;" fillcolor="#00B050" filled="t" stroked="f" coordsize="21600,21600" o:allowincell="f" o:gfxdata="UEsDBAoAAAAAAIdO4kAAAAAAAAAAAAAAAAAEAAAAZHJzL1BLAwQUAAAACACHTuJAVdWkF9oAAAAL&#10;AQAADwAAAGRycy9kb3ducmV2LnhtbE2PMU/DMBSEdyT+g/WQWBC1Y5qmhDgdQIgNqaULmxs/4iix&#10;HcVu0/57HhMdT3e6+67anN3ATjjFLngF2UIAQ98E0/lWwf7r/XENLCbtjR6CRwUXjLCpb28qXZow&#10;+y2edqllVOJjqRXYlMaS89hYdDouwoievJ8wOZ1ITi03k56p3A1cCrHiTneeFqwe8dVi0++OTsGD&#10;6S+z7E3xtpRzv//8sPFbbpW6v8vEC7CE5/Qfhj98QoeamA7h6E1kg4JlXtCXpECK/AkYJYosz4Ed&#10;yFo/r4DXFb/+UP8CUEsDBBQAAAAIAIdO4kBuM1sNQgIAAJQEAAAOAAAAZHJzL2Uyb0RvYy54bWyt&#10;VMGO2jAQvVfqP1i+lwQKFNCGFV1EVQl10W6rno3jEEu2xx0bAv36jpOw22572EMv5tl+eTPzPMPN&#10;7dkadlIYNLiCDwc5Z8pJKLU7FPzb1827GWchClcKA04V/KICv12+fXPT+IUaQQ2mVMhIxIVF4wte&#10;x+gXWRZkrawIA/DK0WUFaEWkLR6yEkVD6tZkozyfZg1g6RGkCoFO190l7xXxNYJQVVqqNcijVS52&#10;qqiMiFRSqLUPfNlmW1VKxvuqCioyU3CqNLYrBSG8T2u2vBGLAwpfa9mnIF6TwouarNCOgj5JrUUU&#10;7Ij6LymrJUKAKg4k2KwrpHWEqhjmL7x5rIVXbS1kdfBPpof/Jyu/nHbIdEmdMB9x5oSlJ38g21ja&#10;kzuNDwsiPfod9rtAMJV6rtCmXyqCnQs+mufD+YR8vZDW+3w8Gk07d9U5MkmE4XQ8HH+YcCYTY5ZP&#10;iJQY2bOUxxA/KbAsgYIj5dG6Kk7bEDvqlZIiBzC63Ghj2g0e9ncG2Umkp84/5pRLOhfG16I7HU/y&#10;+awPGTp6G/4PHeNYkzojfesgqXeBjSNucqOrP6E9lBdyD6Frq+DlRlPiWxHiTiD1EblBkxbvaakM&#10;kCz0iLMa8Oe/zhOfnpduOWuoLwsefhwFKs7MZ0cPn5r4CvAK9lfgjvYOqP4hzbCXLaQPMJorrBDs&#10;dxrAVYpCV8JJilXweIV3sZsOGmCpVquWRK3qRdy6Ry+TdOfM6hih0u2rPHvRW0TN2hrbD1aaht/3&#10;Lev5z2T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XVpBfaAAAACwEAAA8AAAAAAAAAAQAgAAAA&#10;IgAAAGRycy9kb3ducmV2LnhtbFBLAQIUABQAAAAIAIdO4kBuM1sNQgIAAJQEAAAOAAAAAAAAAAEA&#10;IAAAACkBAABkcnMvZTJvRG9jLnhtbFBLBQYAAAAABgAGAFkBAADdBQAAAAA=&#10;">
                <v:fill on="t" opacity="29555f" focussize="0,0"/>
                <v:stroke on="f" weight="0pt"/>
                <v:imagedata o:title=""/>
                <o:lock v:ext="edit" aspectratio="f"/>
                <v:textbox inset="0mm,0mm,0mm,0mm"/>
              </v:rect>
            </w:pict>
          </mc:Fallback>
        </mc:AlternateContent>
      </w:r>
    </w:p>
    <w:p w14:paraId="28531AB5">
      <w:pPr>
        <w:spacing w:before="5"/>
      </w:pPr>
    </w:p>
    <w:p w14:paraId="12584BB2">
      <w:pPr>
        <w:spacing w:before="5"/>
      </w:pPr>
    </w:p>
    <w:p w14:paraId="1C6F80F4">
      <w:pPr>
        <w:spacing w:before="5"/>
      </w:pPr>
    </w:p>
    <w:p w14:paraId="04ADE28A">
      <w:pPr>
        <w:spacing w:before="5"/>
      </w:pPr>
    </w:p>
    <w:p w14:paraId="6BA9F64D">
      <w:pPr>
        <w:spacing w:before="5"/>
      </w:pPr>
    </w:p>
    <w:p w14:paraId="124850BB">
      <w:pPr>
        <w:spacing w:before="5"/>
      </w:pPr>
    </w:p>
    <w:p w14:paraId="454E5A32">
      <w:pPr>
        <w:spacing w:before="5"/>
      </w:pPr>
    </w:p>
    <w:p w14:paraId="1B2B9E3C">
      <w:pPr>
        <w:spacing w:before="5"/>
      </w:pPr>
    </w:p>
    <w:p w14:paraId="08C585EE">
      <w:pPr>
        <w:spacing w:before="5"/>
      </w:pPr>
    </w:p>
    <w:p w14:paraId="1BC625A1">
      <w:pPr>
        <w:spacing w:before="5"/>
      </w:pPr>
    </w:p>
    <w:p w14:paraId="21D6FA8D">
      <w:pPr>
        <w:spacing w:before="5"/>
      </w:pPr>
    </w:p>
    <w:p w14:paraId="087437CC">
      <w:pPr>
        <w:spacing w:before="5"/>
      </w:pPr>
    </w:p>
    <w:p w14:paraId="2C37AA54">
      <w:pPr>
        <w:spacing w:before="5"/>
      </w:pPr>
    </w:p>
    <w:p w14:paraId="0DFF7CC8">
      <w:pPr>
        <w:spacing w:before="5"/>
      </w:pPr>
    </w:p>
    <w:p w14:paraId="46E39B3B">
      <w:pPr>
        <w:spacing w:before="5"/>
      </w:pPr>
    </w:p>
    <w:p w14:paraId="3A32695E">
      <w:pPr>
        <w:spacing w:before="5"/>
      </w:pPr>
    </w:p>
    <w:p w14:paraId="677776E7">
      <w:pPr>
        <w:spacing w:before="5"/>
      </w:pPr>
    </w:p>
    <w:p w14:paraId="7EEB2D50">
      <w:pPr>
        <w:spacing w:before="5"/>
      </w:pPr>
    </w:p>
    <w:p w14:paraId="6EF7C844">
      <w:pPr>
        <w:spacing w:before="5"/>
      </w:pPr>
    </w:p>
    <w:p w14:paraId="6DA06F28">
      <w:pPr>
        <w:spacing w:before="5"/>
      </w:pPr>
    </w:p>
    <w:p w14:paraId="76424134">
      <w:pPr>
        <w:spacing w:before="5"/>
      </w:pPr>
    </w:p>
    <w:p w14:paraId="7CD5859C">
      <w:pPr>
        <w:spacing w:before="5"/>
      </w:pPr>
    </w:p>
    <w:p w14:paraId="6B9017AD">
      <w:pPr>
        <w:spacing w:before="4"/>
      </w:pPr>
    </w:p>
    <w:p w14:paraId="10819D21">
      <w:pPr>
        <w:spacing w:before="4"/>
      </w:pPr>
    </w:p>
    <w:p w14:paraId="650164E2">
      <w:pPr>
        <w:spacing w:before="4"/>
      </w:pPr>
    </w:p>
    <w:p w14:paraId="2806BC2B">
      <w:pPr>
        <w:spacing w:before="4"/>
      </w:pPr>
    </w:p>
    <w:p w14:paraId="0F695206">
      <w:pPr>
        <w:spacing w:before="4"/>
      </w:pPr>
    </w:p>
    <w:p w14:paraId="29802A54">
      <w:pPr>
        <w:spacing w:before="4"/>
      </w:pPr>
    </w:p>
    <w:p w14:paraId="145D8695">
      <w:pPr>
        <w:spacing w:before="4"/>
      </w:pPr>
    </w:p>
    <w:p w14:paraId="62864DC1">
      <w:pPr>
        <w:spacing w:before="4"/>
      </w:pPr>
    </w:p>
    <w:p w14:paraId="280EAB8E">
      <w:pPr>
        <w:spacing w:before="4"/>
      </w:pPr>
    </w:p>
    <w:p w14:paraId="14A572D3">
      <w:pPr>
        <w:spacing w:before="4"/>
      </w:pPr>
    </w:p>
    <w:tbl>
      <w:tblPr>
        <w:tblStyle w:val="5"/>
        <w:tblW w:w="2056" w:type="dxa"/>
        <w:tblInd w:w="5" w:type="dxa"/>
        <w:tblBorders>
          <w:top w:val="single" w:color="0D0D0D" w:sz="4" w:space="0"/>
          <w:left w:val="single" w:color="0D0D0D" w:sz="4" w:space="0"/>
          <w:bottom w:val="single" w:color="0D0D0D" w:sz="4" w:space="0"/>
          <w:right w:val="single" w:color="0D0D0D" w:sz="4" w:space="0"/>
          <w:insideH w:val="none" w:color="auto" w:sz="0" w:space="0"/>
          <w:insideV w:val="none" w:color="auto" w:sz="0" w:space="0"/>
        </w:tblBorders>
        <w:shd w:val="clear" w:color="auto" w:fill="D9D9D9"/>
        <w:tblLayout w:type="fixed"/>
        <w:tblCellMar>
          <w:top w:w="0" w:type="dxa"/>
          <w:left w:w="0" w:type="dxa"/>
          <w:bottom w:w="0" w:type="dxa"/>
          <w:right w:w="0" w:type="dxa"/>
        </w:tblCellMar>
      </w:tblPr>
      <w:tblGrid>
        <w:gridCol w:w="2056"/>
      </w:tblGrid>
      <w:tr w14:paraId="34FD3A95">
        <w:tblPrEx>
          <w:tblBorders>
            <w:top w:val="single" w:color="0D0D0D" w:sz="4" w:space="0"/>
            <w:left w:val="single" w:color="0D0D0D" w:sz="4" w:space="0"/>
            <w:bottom w:val="single" w:color="0D0D0D" w:sz="4" w:space="0"/>
            <w:right w:val="single" w:color="0D0D0D" w:sz="4" w:space="0"/>
            <w:insideH w:val="none" w:color="auto" w:sz="0" w:space="0"/>
            <w:insideV w:val="none" w:color="auto" w:sz="0" w:space="0"/>
          </w:tblBorders>
          <w:shd w:val="clear" w:color="auto" w:fill="D9D9D9"/>
          <w:tblCellMar>
            <w:top w:w="0" w:type="dxa"/>
            <w:left w:w="0" w:type="dxa"/>
            <w:bottom w:w="0" w:type="dxa"/>
            <w:right w:w="0" w:type="dxa"/>
          </w:tblCellMar>
        </w:tblPrEx>
        <w:trPr>
          <w:trHeight w:val="1310" w:hRule="atLeast"/>
        </w:trPr>
        <w:tc>
          <w:tcPr>
            <w:tcW w:w="2056" w:type="dxa"/>
            <w:shd w:val="clear" w:color="auto" w:fill="D9D9D9"/>
            <w:vAlign w:val="top"/>
          </w:tcPr>
          <w:p w14:paraId="23CF7963">
            <w:pPr>
              <w:pStyle w:val="6"/>
              <w:spacing w:before="112" w:line="229" w:lineRule="auto"/>
              <w:ind w:left="181"/>
              <w:rPr>
                <w:sz w:val="20"/>
                <w:szCs w:val="20"/>
              </w:rPr>
            </w:pPr>
            <w:r>
              <w:pict>
                <v:group id="_x0000_s1113" o:spid="_x0000_s1113" o:spt="203" style="position:absolute;left:0pt;margin-left:59.6pt;margin-top:-325.4pt;height:396.55pt;width:557.4pt;z-index:-251594752;mso-width-relative:page;mso-height-relative:page;" coordsize="11148,7930">
                  <o:lock v:ext="edit"/>
                  <v:shape id="_x0000_s1114" o:spid="_x0000_s1114" o:spt="75" type="#_x0000_t75" style="position:absolute;left:12;top:0;height:7930;width:11135;" filled="f" stroked="f" coordsize="21600,21600">
                    <v:path/>
                    <v:fill on="f" focussize="0,0"/>
                    <v:stroke on="f"/>
                    <v:imagedata r:id="rId278" o:title=""/>
                    <o:lock v:ext="edit" aspectratio="t"/>
                  </v:shape>
                  <v:rect id="_x0000_s1115" o:spid="_x0000_s1115" o:spt="1" style="position:absolute;left:2232;top:6007;height:1711;width:7970;" fillcolor="#FF0000" filled="t" stroked="f" coordsize="21600,21600">
                    <v:path/>
                    <v:fill on="t" opacity="29555f" focussize="0,0"/>
                    <v:stroke on="f"/>
                    <v:imagedata o:title=""/>
                    <o:lock v:ext="edit"/>
                  </v:rect>
                  <v:shape id="_x0000_s1116" o:spid="_x0000_s1116" o:spt="202" type="#_x0000_t202" style="position:absolute;left:-20;top:4;height:4036;width:1773;" filled="f" stroked="f" coordsize="21600,21600">
                    <v:path/>
                    <v:fill on="f" focussize="0,0"/>
                    <v:stroke on="f"/>
                    <v:imagedata o:title=""/>
                    <o:lock v:ext="edit" aspectratio="f"/>
                    <v:textbox inset="0mm,0mm,0mm,0mm">
                      <w:txbxContent>
                        <w:p w14:paraId="4E5BC944">
                          <w:pPr>
                            <w:spacing w:line="20" w:lineRule="exact"/>
                          </w:pPr>
                        </w:p>
                        <w:tbl>
                          <w:tblPr>
                            <w:tblStyle w:val="5"/>
                            <w:tblW w:w="1722"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1722"/>
                          </w:tblGrid>
                          <w:tr w14:paraId="54EE1726">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3975" w:hRule="atLeast"/>
                            </w:trPr>
                            <w:tc>
                              <w:tcPr>
                                <w:tcW w:w="1722" w:type="dxa"/>
                                <w:shd w:val="clear" w:color="auto" w:fill="FF8B8B"/>
                                <w:vAlign w:val="top"/>
                              </w:tcPr>
                              <w:p w14:paraId="331C588F">
                                <w:pPr>
                                  <w:rPr>
                                    <w:rFonts w:ascii="Arial"/>
                                    <w:sz w:val="21"/>
                                  </w:rPr>
                                </w:pPr>
                              </w:p>
                            </w:tc>
                          </w:tr>
                        </w:tbl>
                        <w:p w14:paraId="08A24C7D">
                          <w:pPr>
                            <w:rPr>
                              <w:rFonts w:ascii="Arial"/>
                              <w:sz w:val="21"/>
                            </w:rPr>
                          </w:pPr>
                        </w:p>
                      </w:txbxContent>
                    </v:textbox>
                  </v:shape>
                  <v:shape id="_x0000_s1117" o:spid="_x0000_s1117" o:spt="202" type="#_x0000_t202" style="position:absolute;left:4261;top:17;height:4036;width:1690;" filled="f" stroked="f" coordsize="21600,21600">
                    <v:path/>
                    <v:fill on="f" focussize="0,0"/>
                    <v:stroke on="f"/>
                    <v:imagedata o:title=""/>
                    <o:lock v:ext="edit" aspectratio="f"/>
                    <v:textbox inset="0mm,0mm,0mm,0mm">
                      <w:txbxContent>
                        <w:p w14:paraId="50B68B58">
                          <w:pPr>
                            <w:spacing w:line="20" w:lineRule="exact"/>
                          </w:pPr>
                        </w:p>
                        <w:tbl>
                          <w:tblPr>
                            <w:tblStyle w:val="5"/>
                            <w:tblW w:w="1640"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1640"/>
                          </w:tblGrid>
                          <w:tr w14:paraId="6A63248C">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3975" w:hRule="atLeast"/>
                            </w:trPr>
                            <w:tc>
                              <w:tcPr>
                                <w:tcW w:w="1640" w:type="dxa"/>
                                <w:shd w:val="clear" w:color="auto" w:fill="FF8B8B"/>
                                <w:vAlign w:val="top"/>
                              </w:tcPr>
                              <w:p w14:paraId="2A0B5FA5">
                                <w:pPr>
                                  <w:rPr>
                                    <w:rFonts w:ascii="Arial"/>
                                    <w:sz w:val="21"/>
                                  </w:rPr>
                                </w:pPr>
                              </w:p>
                            </w:tc>
                          </w:tr>
                        </w:tbl>
                        <w:p w14:paraId="1475450B">
                          <w:pPr>
                            <w:rPr>
                              <w:rFonts w:ascii="Arial"/>
                              <w:sz w:val="21"/>
                            </w:rPr>
                          </w:pPr>
                        </w:p>
                      </w:txbxContent>
                    </v:textbox>
                  </v:shape>
                  <v:shape id="_x0000_s1118" o:spid="_x0000_s1118" o:spt="202" type="#_x0000_t202" style="position:absolute;left:1724;top:2854;height:1185;width:2576;" filled="f" stroked="f" coordsize="21600,21600">
                    <v:path/>
                    <v:fill on="f" focussize="0,0"/>
                    <v:stroke on="f"/>
                    <v:imagedata o:title=""/>
                    <o:lock v:ext="edit" aspectratio="f"/>
                    <v:textbox inset="0mm,0mm,0mm,0mm">
                      <w:txbxContent>
                        <w:p w14:paraId="7AFECB02">
                          <w:pPr>
                            <w:spacing w:line="20" w:lineRule="exact"/>
                          </w:pPr>
                        </w:p>
                        <w:tbl>
                          <w:tblPr>
                            <w:tblStyle w:val="5"/>
                            <w:tblW w:w="2525"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2525"/>
                          </w:tblGrid>
                          <w:tr w14:paraId="011D4F17">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1125" w:hRule="atLeast"/>
                            </w:trPr>
                            <w:tc>
                              <w:tcPr>
                                <w:tcW w:w="2525" w:type="dxa"/>
                                <w:shd w:val="clear" w:color="auto" w:fill="FF8B8B"/>
                                <w:vAlign w:val="top"/>
                              </w:tcPr>
                              <w:p w14:paraId="78688813">
                                <w:pPr>
                                  <w:rPr>
                                    <w:rFonts w:ascii="Arial"/>
                                    <w:sz w:val="21"/>
                                  </w:rPr>
                                </w:pPr>
                              </w:p>
                            </w:tc>
                          </w:tr>
                        </w:tbl>
                        <w:p w14:paraId="3EF184C7">
                          <w:pPr>
                            <w:rPr>
                              <w:rFonts w:ascii="Arial"/>
                              <w:sz w:val="21"/>
                            </w:rPr>
                          </w:pPr>
                        </w:p>
                      </w:txbxContent>
                    </v:textbox>
                  </v:shape>
                </v:group>
              </w:pict>
            </w:r>
            <w:r>
              <w:drawing>
                <wp:anchor distT="0" distB="0" distL="0" distR="0" simplePos="0" relativeHeight="251720704" behindDoc="1" locked="0" layoutInCell="1" allowOverlap="1">
                  <wp:simplePos x="0" y="0"/>
                  <wp:positionH relativeFrom="column">
                    <wp:posOffset>728980</wp:posOffset>
                  </wp:positionH>
                  <wp:positionV relativeFrom="paragraph">
                    <wp:posOffset>-4463415</wp:posOffset>
                  </wp:positionV>
                  <wp:extent cx="7143115" cy="538861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79"/>
                          <a:stretch>
                            <a:fillRect/>
                          </a:stretch>
                        </pic:blipFill>
                        <pic:spPr>
                          <a:xfrm>
                            <a:off x="0" y="0"/>
                            <a:ext cx="7142988" cy="5388863"/>
                          </a:xfrm>
                          <a:prstGeom prst="rect">
                            <a:avLst/>
                          </a:prstGeom>
                        </pic:spPr>
                      </pic:pic>
                    </a:graphicData>
                  </a:graphic>
                </wp:anchor>
              </w:drawing>
            </w:r>
            <w:r>
              <w:rPr>
                <w:spacing w:val="-4"/>
                <w:sz w:val="20"/>
                <w:szCs w:val="20"/>
              </w:rPr>
              <w:t>图例：</w:t>
            </w:r>
          </w:p>
          <w:p w14:paraId="413BEABC">
            <w:pPr>
              <w:pStyle w:val="6"/>
              <w:spacing w:before="26" w:line="251" w:lineRule="auto"/>
              <w:ind w:left="250" w:right="215" w:firstLine="13"/>
              <w:jc w:val="both"/>
              <w:rPr>
                <w:sz w:val="20"/>
                <w:szCs w:val="20"/>
              </w:rPr>
            </w:pPr>
            <w:r>
              <w:rPr>
                <w:sz w:val="20"/>
                <w:szCs w:val="20"/>
              </w:rPr>
              <w:drawing>
                <wp:inline distT="0" distB="0" distL="0" distR="0">
                  <wp:extent cx="414655" cy="889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80"/>
                          <a:stretch>
                            <a:fillRect/>
                          </a:stretch>
                        </pic:blipFill>
                        <pic:spPr>
                          <a:xfrm>
                            <a:off x="0" y="0"/>
                            <a:ext cx="414655" cy="88900"/>
                          </a:xfrm>
                          <a:prstGeom prst="rect">
                            <a:avLst/>
                          </a:prstGeom>
                        </pic:spPr>
                      </pic:pic>
                    </a:graphicData>
                  </a:graphic>
                </wp:inline>
              </w:drawing>
            </w:r>
            <w:r>
              <w:rPr>
                <w:spacing w:val="-17"/>
                <w:sz w:val="20"/>
                <w:szCs w:val="20"/>
              </w:rPr>
              <w:t xml:space="preserve"> </w:t>
            </w:r>
            <w:r>
              <w:rPr>
                <w:spacing w:val="7"/>
                <w:sz w:val="20"/>
                <w:szCs w:val="20"/>
              </w:rPr>
              <w:t>重点防渗</w:t>
            </w:r>
            <w:r>
              <w:rPr>
                <w:sz w:val="20"/>
                <w:szCs w:val="20"/>
              </w:rPr>
              <w:t xml:space="preserve"> </w:t>
            </w:r>
            <w:r>
              <w:rPr>
                <w:position w:val="-2"/>
                <w:sz w:val="20"/>
                <w:szCs w:val="20"/>
              </w:rPr>
              <w:drawing>
                <wp:inline distT="0" distB="0" distL="0" distR="0">
                  <wp:extent cx="414655" cy="8890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81"/>
                          <a:stretch>
                            <a:fillRect/>
                          </a:stretch>
                        </pic:blipFill>
                        <pic:spPr>
                          <a:xfrm>
                            <a:off x="0" y="0"/>
                            <a:ext cx="414655" cy="88900"/>
                          </a:xfrm>
                          <a:prstGeom prst="rect">
                            <a:avLst/>
                          </a:prstGeom>
                        </pic:spPr>
                      </pic:pic>
                    </a:graphicData>
                  </a:graphic>
                </wp:inline>
              </w:drawing>
            </w:r>
            <w:r>
              <w:rPr>
                <w:spacing w:val="1"/>
                <w:sz w:val="20"/>
                <w:szCs w:val="20"/>
              </w:rPr>
              <w:t xml:space="preserve"> </w:t>
            </w:r>
            <w:r>
              <w:rPr>
                <w:spacing w:val="6"/>
                <w:sz w:val="20"/>
                <w:szCs w:val="20"/>
              </w:rPr>
              <w:t>一般防渗</w:t>
            </w:r>
          </w:p>
          <w:p w14:paraId="1A6CA7D6">
            <w:pPr>
              <w:pStyle w:val="6"/>
              <w:spacing w:line="226" w:lineRule="auto"/>
              <w:ind w:left="250"/>
              <w:rPr>
                <w:sz w:val="20"/>
                <w:szCs w:val="20"/>
              </w:rPr>
            </w:pPr>
            <w:r>
              <w:rPr>
                <w:position w:val="-2"/>
                <w:sz w:val="20"/>
                <w:szCs w:val="20"/>
              </w:rPr>
              <w:drawing>
                <wp:inline distT="0" distB="0" distL="0" distR="0">
                  <wp:extent cx="414020" cy="8890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82"/>
                          <a:stretch>
                            <a:fillRect/>
                          </a:stretch>
                        </pic:blipFill>
                        <pic:spPr>
                          <a:xfrm>
                            <a:off x="0" y="0"/>
                            <a:ext cx="414654" cy="88900"/>
                          </a:xfrm>
                          <a:prstGeom prst="rect">
                            <a:avLst/>
                          </a:prstGeom>
                        </pic:spPr>
                      </pic:pic>
                    </a:graphicData>
                  </a:graphic>
                </wp:inline>
              </w:drawing>
            </w:r>
            <w:r>
              <w:rPr>
                <w:spacing w:val="2"/>
                <w:sz w:val="20"/>
                <w:szCs w:val="20"/>
              </w:rPr>
              <w:t xml:space="preserve"> </w:t>
            </w:r>
            <w:r>
              <w:rPr>
                <w:spacing w:val="6"/>
                <w:sz w:val="20"/>
                <w:szCs w:val="20"/>
              </w:rPr>
              <w:t>简单防渗</w:t>
            </w:r>
          </w:p>
        </w:tc>
      </w:tr>
    </w:tbl>
    <w:p w14:paraId="52C23517">
      <w:pPr>
        <w:spacing w:before="264" w:line="227" w:lineRule="auto"/>
        <w:ind w:left="5330"/>
        <w:rPr>
          <w:rFonts w:ascii="宋体" w:hAnsi="宋体" w:eastAsia="宋体" w:cs="宋体"/>
          <w:sz w:val="20"/>
          <w:szCs w:val="20"/>
        </w:rPr>
      </w:pPr>
      <w:r>
        <w:rPr>
          <w:rFonts w:ascii="宋体" w:hAnsi="宋体" w:eastAsia="宋体" w:cs="宋体"/>
          <w:b/>
          <w:bCs/>
          <w:spacing w:val="6"/>
          <w:sz w:val="20"/>
          <w:szCs w:val="20"/>
        </w:rPr>
        <w:t>附图十八</w:t>
      </w:r>
      <w:r>
        <w:rPr>
          <w:rFonts w:ascii="宋体" w:hAnsi="宋体" w:eastAsia="宋体" w:cs="宋体"/>
          <w:spacing w:val="6"/>
          <w:sz w:val="20"/>
          <w:szCs w:val="20"/>
        </w:rPr>
        <w:t xml:space="preserve">  </w:t>
      </w:r>
      <w:r>
        <w:rPr>
          <w:rFonts w:ascii="宋体" w:hAnsi="宋体" w:eastAsia="宋体" w:cs="宋体"/>
          <w:b/>
          <w:bCs/>
          <w:spacing w:val="6"/>
          <w:sz w:val="20"/>
          <w:szCs w:val="20"/>
        </w:rPr>
        <w:t>项目厂区分区防渗图</w:t>
      </w:r>
    </w:p>
    <w:p w14:paraId="5768569D">
      <w:pPr>
        <w:spacing w:line="227" w:lineRule="auto"/>
        <w:rPr>
          <w:rFonts w:ascii="宋体" w:hAnsi="宋体" w:eastAsia="宋体" w:cs="宋体"/>
          <w:sz w:val="20"/>
          <w:szCs w:val="20"/>
        </w:rPr>
        <w:sectPr>
          <w:pgSz w:w="16839" w:h="11906"/>
          <w:pgMar w:top="400" w:right="2525" w:bottom="400" w:left="1637" w:header="0" w:footer="0" w:gutter="0"/>
          <w:cols w:space="720" w:num="1"/>
        </w:sectPr>
      </w:pPr>
    </w:p>
    <w:p w14:paraId="1E8BE3E6">
      <w:pPr>
        <w:spacing w:line="283" w:lineRule="auto"/>
        <w:rPr>
          <w:rFonts w:ascii="Arial"/>
          <w:sz w:val="21"/>
        </w:rPr>
      </w:pPr>
    </w:p>
    <w:p w14:paraId="4042EDEC">
      <w:pPr>
        <w:spacing w:line="283" w:lineRule="auto"/>
        <w:rPr>
          <w:rFonts w:ascii="Arial"/>
          <w:sz w:val="21"/>
        </w:rPr>
      </w:pPr>
    </w:p>
    <w:p w14:paraId="76A6AA24">
      <w:pPr>
        <w:spacing w:line="284" w:lineRule="auto"/>
        <w:rPr>
          <w:rFonts w:ascii="Arial"/>
          <w:sz w:val="21"/>
        </w:rPr>
      </w:pPr>
    </w:p>
    <w:p w14:paraId="2766D807">
      <w:pPr>
        <w:spacing w:line="284" w:lineRule="auto"/>
        <w:rPr>
          <w:rFonts w:ascii="Arial"/>
          <w:sz w:val="21"/>
        </w:rPr>
      </w:pPr>
    </w:p>
    <w:p w14:paraId="5772EC20">
      <w:pPr>
        <w:spacing w:before="97" w:line="219" w:lineRule="auto"/>
        <w:ind w:left="10"/>
        <w:outlineLvl w:val="0"/>
        <w:rPr>
          <w:rFonts w:ascii="宋体" w:hAnsi="宋体" w:eastAsia="宋体" w:cs="宋体"/>
          <w:sz w:val="30"/>
          <w:szCs w:val="30"/>
        </w:rPr>
      </w:pPr>
      <w:bookmarkStart w:id="12" w:name="bookmark10"/>
      <w:bookmarkEnd w:id="12"/>
      <w:r>
        <w:rPr>
          <w:rFonts w:ascii="宋体" w:hAnsi="宋体" w:eastAsia="宋体" w:cs="宋体"/>
          <w:b/>
          <w:bCs/>
          <w:spacing w:val="-21"/>
          <w:sz w:val="30"/>
          <w:szCs w:val="30"/>
        </w:rPr>
        <w:t>附件</w:t>
      </w:r>
    </w:p>
    <w:p w14:paraId="63CA282C">
      <w:pPr>
        <w:spacing w:before="210" w:line="227" w:lineRule="auto"/>
        <w:outlineLvl w:val="0"/>
        <w:rPr>
          <w:rFonts w:ascii="宋体" w:hAnsi="宋体" w:eastAsia="宋体" w:cs="宋体"/>
          <w:sz w:val="20"/>
          <w:szCs w:val="20"/>
        </w:rPr>
      </w:pPr>
      <w:r>
        <w:rPr>
          <w:rFonts w:ascii="宋体" w:hAnsi="宋体" w:eastAsia="宋体" w:cs="宋体"/>
          <w:b/>
          <w:bCs/>
          <w:spacing w:val="4"/>
          <w:sz w:val="20"/>
          <w:szCs w:val="20"/>
        </w:rPr>
        <w:t>附件</w:t>
      </w:r>
      <w:r>
        <w:rPr>
          <w:rFonts w:ascii="宋体" w:hAnsi="宋体" w:eastAsia="宋体" w:cs="宋体"/>
          <w:spacing w:val="-22"/>
          <w:sz w:val="20"/>
          <w:szCs w:val="20"/>
        </w:rPr>
        <w:t xml:space="preserve"> </w:t>
      </w:r>
      <w:r>
        <w:rPr>
          <w:rFonts w:ascii="宋体" w:hAnsi="宋体" w:eastAsia="宋体" w:cs="宋体"/>
          <w:b/>
          <w:bCs/>
          <w:spacing w:val="4"/>
          <w:sz w:val="20"/>
          <w:szCs w:val="20"/>
        </w:rPr>
        <w:t>1：建设单位营业执照</w:t>
      </w:r>
    </w:p>
    <w:p w14:paraId="17AE5A5E">
      <w:pPr>
        <w:spacing w:line="364" w:lineRule="auto"/>
        <w:rPr>
          <w:rFonts w:ascii="Arial"/>
          <w:sz w:val="21"/>
        </w:rPr>
      </w:pPr>
    </w:p>
    <w:p w14:paraId="673AF150">
      <w:pPr>
        <w:spacing w:line="7353" w:lineRule="exact"/>
        <w:ind w:firstLine="1050"/>
      </w:pPr>
      <w:r>
        <w:rPr>
          <w:position w:val="-147"/>
        </w:rPr>
        <w:drawing>
          <wp:inline distT="0" distB="0" distL="0" distR="0">
            <wp:extent cx="7526655" cy="466915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83"/>
                    <a:stretch>
                      <a:fillRect/>
                    </a:stretch>
                  </pic:blipFill>
                  <pic:spPr>
                    <a:xfrm>
                      <a:off x="0" y="0"/>
                      <a:ext cx="7527035" cy="4669535"/>
                    </a:xfrm>
                    <a:prstGeom prst="rect">
                      <a:avLst/>
                    </a:prstGeom>
                  </pic:spPr>
                </pic:pic>
              </a:graphicData>
            </a:graphic>
          </wp:inline>
        </w:drawing>
      </w:r>
    </w:p>
    <w:p w14:paraId="60C6A9EE">
      <w:pPr>
        <w:spacing w:line="7353" w:lineRule="exact"/>
        <w:sectPr>
          <w:pgSz w:w="16839" w:h="11906"/>
          <w:pgMar w:top="400" w:right="2493" w:bottom="400" w:left="1440" w:header="0" w:footer="0" w:gutter="0"/>
          <w:cols w:space="720" w:num="1"/>
        </w:sectPr>
      </w:pPr>
    </w:p>
    <w:p w14:paraId="787F490D">
      <w:pPr>
        <w:spacing w:line="274" w:lineRule="auto"/>
        <w:rPr>
          <w:rFonts w:ascii="Arial"/>
          <w:sz w:val="21"/>
        </w:rPr>
      </w:pPr>
    </w:p>
    <w:p w14:paraId="0B53CD25">
      <w:pPr>
        <w:spacing w:line="274" w:lineRule="auto"/>
        <w:rPr>
          <w:rFonts w:ascii="Arial"/>
          <w:sz w:val="21"/>
        </w:rPr>
      </w:pPr>
    </w:p>
    <w:p w14:paraId="6BDA36B4">
      <w:pPr>
        <w:spacing w:line="274" w:lineRule="auto"/>
        <w:rPr>
          <w:rFonts w:ascii="Arial"/>
          <w:sz w:val="21"/>
        </w:rPr>
      </w:pPr>
    </w:p>
    <w:p w14:paraId="3F635331">
      <w:pPr>
        <w:spacing w:line="274" w:lineRule="auto"/>
        <w:rPr>
          <w:rFonts w:ascii="Arial"/>
          <w:sz w:val="21"/>
        </w:rPr>
      </w:pPr>
    </w:p>
    <w:p w14:paraId="2AA1B7E7">
      <w:pPr>
        <w:spacing w:before="65" w:line="227" w:lineRule="auto"/>
        <w:outlineLvl w:val="0"/>
        <w:rPr>
          <w:rFonts w:ascii="宋体" w:hAnsi="宋体" w:eastAsia="宋体" w:cs="宋体"/>
          <w:sz w:val="20"/>
          <w:szCs w:val="20"/>
        </w:rPr>
      </w:pPr>
      <w:r>
        <w:rPr>
          <w:rFonts w:ascii="宋体" w:hAnsi="宋体" w:eastAsia="宋体" w:cs="宋体"/>
          <w:b/>
          <w:bCs/>
          <w:spacing w:val="4"/>
          <w:sz w:val="20"/>
          <w:szCs w:val="20"/>
        </w:rPr>
        <w:t>附件</w:t>
      </w:r>
      <w:r>
        <w:rPr>
          <w:rFonts w:ascii="宋体" w:hAnsi="宋体" w:eastAsia="宋体" w:cs="宋体"/>
          <w:spacing w:val="-25"/>
          <w:sz w:val="20"/>
          <w:szCs w:val="20"/>
        </w:rPr>
        <w:t xml:space="preserve"> </w:t>
      </w:r>
      <w:r>
        <w:rPr>
          <w:rFonts w:ascii="宋体" w:hAnsi="宋体" w:eastAsia="宋体" w:cs="宋体"/>
          <w:b/>
          <w:bCs/>
          <w:spacing w:val="4"/>
          <w:sz w:val="20"/>
          <w:szCs w:val="20"/>
        </w:rPr>
        <w:t>2：项目法人代表证件</w:t>
      </w:r>
    </w:p>
    <w:p w14:paraId="0B1E4F56">
      <w:pPr>
        <w:spacing w:line="250" w:lineRule="auto"/>
        <w:rPr>
          <w:rFonts w:ascii="Arial"/>
          <w:sz w:val="21"/>
        </w:rPr>
      </w:pPr>
    </w:p>
    <w:p w14:paraId="555B1F7C">
      <w:pPr>
        <w:spacing w:line="13185" w:lineRule="exact"/>
        <w:ind w:firstLine="515"/>
      </w:pPr>
      <w:r>
        <w:rPr>
          <w:position w:val="-263"/>
        </w:rPr>
        <w:drawing>
          <wp:inline distT="0" distB="0" distL="0" distR="0">
            <wp:extent cx="5003165" cy="837247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84"/>
                    <a:stretch>
                      <a:fillRect/>
                    </a:stretch>
                  </pic:blipFill>
                  <pic:spPr>
                    <a:xfrm>
                      <a:off x="0" y="0"/>
                      <a:ext cx="5003291" cy="8372856"/>
                    </a:xfrm>
                    <a:prstGeom prst="rect">
                      <a:avLst/>
                    </a:prstGeom>
                  </pic:spPr>
                </pic:pic>
              </a:graphicData>
            </a:graphic>
          </wp:inline>
        </w:drawing>
      </w:r>
    </w:p>
    <w:p w14:paraId="2CFF2B89">
      <w:pPr>
        <w:spacing w:line="13185" w:lineRule="exact"/>
        <w:sectPr>
          <w:pgSz w:w="11906" w:h="16839"/>
          <w:pgMar w:top="400" w:right="1785" w:bottom="400" w:left="1498" w:header="0" w:footer="0" w:gutter="0"/>
          <w:cols w:space="720" w:num="1"/>
        </w:sectPr>
      </w:pPr>
    </w:p>
    <w:p w14:paraId="4299C6E4">
      <w:pPr>
        <w:spacing w:line="288" w:lineRule="auto"/>
        <w:rPr>
          <w:rFonts w:ascii="Arial"/>
          <w:sz w:val="21"/>
        </w:rPr>
      </w:pPr>
    </w:p>
    <w:p w14:paraId="152C6399">
      <w:pPr>
        <w:spacing w:line="288" w:lineRule="auto"/>
        <w:rPr>
          <w:rFonts w:ascii="Arial"/>
          <w:sz w:val="21"/>
        </w:rPr>
      </w:pPr>
    </w:p>
    <w:p w14:paraId="22BBB465">
      <w:pPr>
        <w:spacing w:line="289" w:lineRule="auto"/>
        <w:rPr>
          <w:rFonts w:ascii="Arial"/>
          <w:sz w:val="21"/>
        </w:rPr>
      </w:pPr>
    </w:p>
    <w:p w14:paraId="148878DB">
      <w:pPr>
        <w:spacing w:line="289" w:lineRule="auto"/>
        <w:rPr>
          <w:rFonts w:ascii="Arial"/>
          <w:sz w:val="21"/>
        </w:rPr>
      </w:pPr>
    </w:p>
    <w:p w14:paraId="02D395B9">
      <w:pPr>
        <w:spacing w:before="65" w:line="227" w:lineRule="auto"/>
        <w:outlineLvl w:val="0"/>
        <w:rPr>
          <w:rFonts w:ascii="宋体" w:hAnsi="宋体" w:eastAsia="宋体" w:cs="宋体"/>
          <w:sz w:val="20"/>
          <w:szCs w:val="20"/>
        </w:rPr>
      </w:pPr>
      <w:r>
        <w:rPr>
          <w:rFonts w:ascii="宋体" w:hAnsi="宋体" w:eastAsia="宋体" w:cs="宋体"/>
          <w:b/>
          <w:bCs/>
          <w:spacing w:val="3"/>
          <w:sz w:val="20"/>
          <w:szCs w:val="20"/>
        </w:rPr>
        <w:t>附件</w:t>
      </w:r>
      <w:r>
        <w:rPr>
          <w:rFonts w:ascii="宋体" w:hAnsi="宋体" w:eastAsia="宋体" w:cs="宋体"/>
          <w:spacing w:val="-26"/>
          <w:sz w:val="20"/>
          <w:szCs w:val="20"/>
        </w:rPr>
        <w:t xml:space="preserve"> </w:t>
      </w:r>
      <w:r>
        <w:rPr>
          <w:rFonts w:ascii="宋体" w:hAnsi="宋体" w:eastAsia="宋体" w:cs="宋体"/>
          <w:b/>
          <w:bCs/>
          <w:spacing w:val="3"/>
          <w:sz w:val="20"/>
          <w:szCs w:val="20"/>
        </w:rPr>
        <w:t>3：项目国土证（1）</w:t>
      </w:r>
    </w:p>
    <w:p w14:paraId="06434354">
      <w:pPr>
        <w:spacing w:line="345" w:lineRule="auto"/>
        <w:rPr>
          <w:rFonts w:ascii="Arial"/>
          <w:sz w:val="21"/>
        </w:rPr>
      </w:pPr>
    </w:p>
    <w:p w14:paraId="1E70A7DF">
      <w:pPr>
        <w:spacing w:line="8160" w:lineRule="exact"/>
        <w:ind w:firstLine="1374"/>
      </w:pPr>
      <w:r>
        <w:rPr>
          <w:position w:val="-163"/>
        </w:rPr>
        <w:drawing>
          <wp:inline distT="0" distB="0" distL="0" distR="0">
            <wp:extent cx="7118350" cy="51816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85"/>
                    <a:stretch>
                      <a:fillRect/>
                    </a:stretch>
                  </pic:blipFill>
                  <pic:spPr>
                    <a:xfrm>
                      <a:off x="0" y="0"/>
                      <a:ext cx="7118604" cy="5181600"/>
                    </a:xfrm>
                    <a:prstGeom prst="rect">
                      <a:avLst/>
                    </a:prstGeom>
                  </pic:spPr>
                </pic:pic>
              </a:graphicData>
            </a:graphic>
          </wp:inline>
        </w:drawing>
      </w:r>
    </w:p>
    <w:p w14:paraId="7BBA0A0D">
      <w:pPr>
        <w:spacing w:line="8160" w:lineRule="exact"/>
        <w:sectPr>
          <w:pgSz w:w="16839" w:h="11906"/>
          <w:pgMar w:top="400" w:right="2525" w:bottom="400" w:left="1440" w:header="0" w:footer="0" w:gutter="0"/>
          <w:cols w:space="720" w:num="1"/>
        </w:sectPr>
      </w:pPr>
    </w:p>
    <w:p w14:paraId="11DF874B">
      <w:pPr>
        <w:spacing w:line="283" w:lineRule="auto"/>
        <w:rPr>
          <w:rFonts w:ascii="Arial"/>
          <w:sz w:val="21"/>
        </w:rPr>
      </w:pPr>
    </w:p>
    <w:p w14:paraId="5A34F567">
      <w:pPr>
        <w:spacing w:line="7839" w:lineRule="exact"/>
        <w:ind w:firstLine="1146"/>
      </w:pPr>
      <w:r>
        <w:rPr>
          <w:position w:val="-156"/>
        </w:rPr>
        <w:drawing>
          <wp:inline distT="0" distB="0" distL="0" distR="0">
            <wp:extent cx="7406640" cy="497713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86"/>
                    <a:stretch>
                      <a:fillRect/>
                    </a:stretch>
                  </pic:blipFill>
                  <pic:spPr>
                    <a:xfrm>
                      <a:off x="0" y="0"/>
                      <a:ext cx="7406640" cy="4977383"/>
                    </a:xfrm>
                    <a:prstGeom prst="rect">
                      <a:avLst/>
                    </a:prstGeom>
                  </pic:spPr>
                </pic:pic>
              </a:graphicData>
            </a:graphic>
          </wp:inline>
        </w:drawing>
      </w:r>
    </w:p>
    <w:p w14:paraId="13802B54">
      <w:pPr>
        <w:spacing w:line="7839" w:lineRule="exact"/>
        <w:sectPr>
          <w:headerReference r:id="rId179" w:type="default"/>
          <w:pgSz w:w="16839" w:h="11906"/>
          <w:pgMar w:top="1891" w:right="2525" w:bottom="400" w:left="1440" w:header="1569" w:footer="0" w:gutter="0"/>
          <w:cols w:space="720" w:num="1"/>
        </w:sectPr>
      </w:pPr>
    </w:p>
    <w:p w14:paraId="6A04BD11">
      <w:pPr>
        <w:spacing w:line="279" w:lineRule="auto"/>
        <w:rPr>
          <w:rFonts w:ascii="Arial"/>
          <w:sz w:val="21"/>
        </w:rPr>
      </w:pPr>
    </w:p>
    <w:p w14:paraId="405E867D">
      <w:pPr>
        <w:spacing w:line="279" w:lineRule="auto"/>
        <w:rPr>
          <w:rFonts w:ascii="Arial"/>
          <w:sz w:val="21"/>
        </w:rPr>
      </w:pPr>
    </w:p>
    <w:p w14:paraId="5E892E30">
      <w:pPr>
        <w:spacing w:line="280" w:lineRule="auto"/>
        <w:rPr>
          <w:rFonts w:ascii="Arial"/>
          <w:sz w:val="21"/>
        </w:rPr>
      </w:pPr>
    </w:p>
    <w:p w14:paraId="2261AA63">
      <w:pPr>
        <w:spacing w:line="280" w:lineRule="auto"/>
        <w:rPr>
          <w:rFonts w:ascii="Arial"/>
          <w:sz w:val="21"/>
        </w:rPr>
      </w:pPr>
    </w:p>
    <w:p w14:paraId="07FAC21F">
      <w:pPr>
        <w:spacing w:before="65" w:line="227" w:lineRule="auto"/>
        <w:ind w:left="24"/>
        <w:outlineLvl w:val="0"/>
        <w:rPr>
          <w:rFonts w:ascii="宋体" w:hAnsi="宋体" w:eastAsia="宋体" w:cs="宋体"/>
          <w:sz w:val="20"/>
          <w:szCs w:val="20"/>
        </w:rPr>
      </w:pPr>
      <w:r>
        <w:rPr>
          <w:rFonts w:ascii="宋体" w:hAnsi="宋体" w:eastAsia="宋体" w:cs="宋体"/>
          <w:b/>
          <w:bCs/>
          <w:spacing w:val="4"/>
          <w:sz w:val="20"/>
          <w:szCs w:val="20"/>
        </w:rPr>
        <w:t>附件</w:t>
      </w:r>
      <w:r>
        <w:rPr>
          <w:rFonts w:ascii="宋体" w:hAnsi="宋体" w:eastAsia="宋体" w:cs="宋体"/>
          <w:spacing w:val="-25"/>
          <w:sz w:val="20"/>
          <w:szCs w:val="20"/>
        </w:rPr>
        <w:t xml:space="preserve"> </w:t>
      </w:r>
      <w:r>
        <w:rPr>
          <w:rFonts w:ascii="宋体" w:hAnsi="宋体" w:eastAsia="宋体" w:cs="宋体"/>
          <w:b/>
          <w:bCs/>
          <w:spacing w:val="4"/>
          <w:sz w:val="20"/>
          <w:szCs w:val="20"/>
        </w:rPr>
        <w:t>4：国土证宗地红线图（1）</w:t>
      </w:r>
    </w:p>
    <w:p w14:paraId="0AD3EA6B">
      <w:pPr>
        <w:spacing w:before="237" w:line="12984" w:lineRule="exact"/>
      </w:pPr>
      <w:r>
        <w:rPr>
          <w:position w:val="-259"/>
        </w:rPr>
        <w:drawing>
          <wp:inline distT="0" distB="0" distL="0" distR="0">
            <wp:extent cx="5833745" cy="824484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87"/>
                    <a:stretch>
                      <a:fillRect/>
                    </a:stretch>
                  </pic:blipFill>
                  <pic:spPr>
                    <a:xfrm>
                      <a:off x="0" y="0"/>
                      <a:ext cx="5833871" cy="8244840"/>
                    </a:xfrm>
                    <a:prstGeom prst="rect">
                      <a:avLst/>
                    </a:prstGeom>
                  </pic:spPr>
                </pic:pic>
              </a:graphicData>
            </a:graphic>
          </wp:inline>
        </w:drawing>
      </w:r>
    </w:p>
    <w:p w14:paraId="487B0E19">
      <w:pPr>
        <w:spacing w:line="12984" w:lineRule="exact"/>
        <w:sectPr>
          <w:headerReference r:id="rId180" w:type="default"/>
          <w:pgSz w:w="11906" w:h="16839"/>
          <w:pgMar w:top="400" w:right="1302" w:bottom="400" w:left="1416" w:header="0" w:footer="0" w:gutter="0"/>
          <w:cols w:space="720" w:num="1"/>
        </w:sectPr>
      </w:pPr>
    </w:p>
    <w:p w14:paraId="30FE9A1D">
      <w:pPr>
        <w:spacing w:line="305" w:lineRule="auto"/>
        <w:rPr>
          <w:rFonts w:ascii="Arial"/>
          <w:sz w:val="21"/>
        </w:rPr>
      </w:pPr>
    </w:p>
    <w:p w14:paraId="446B0B10">
      <w:pPr>
        <w:spacing w:line="12180" w:lineRule="exact"/>
      </w:pPr>
      <w:r>
        <w:rPr>
          <w:position w:val="-243"/>
        </w:rPr>
        <w:drawing>
          <wp:inline distT="0" distB="0" distL="0" distR="0">
            <wp:extent cx="5800090" cy="773430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88"/>
                    <a:stretch>
                      <a:fillRect/>
                    </a:stretch>
                  </pic:blipFill>
                  <pic:spPr>
                    <a:xfrm>
                      <a:off x="0" y="0"/>
                      <a:ext cx="5800344" cy="7734300"/>
                    </a:xfrm>
                    <a:prstGeom prst="rect">
                      <a:avLst/>
                    </a:prstGeom>
                  </pic:spPr>
                </pic:pic>
              </a:graphicData>
            </a:graphic>
          </wp:inline>
        </w:drawing>
      </w:r>
    </w:p>
    <w:p w14:paraId="3F71A9E8">
      <w:pPr>
        <w:spacing w:line="12180" w:lineRule="exact"/>
        <w:sectPr>
          <w:headerReference r:id="rId181" w:type="default"/>
          <w:pgSz w:w="11906" w:h="16839"/>
          <w:pgMar w:top="1855" w:right="1355" w:bottom="400" w:left="1416" w:header="1533" w:footer="0" w:gutter="0"/>
          <w:cols w:space="720" w:num="1"/>
        </w:sectPr>
      </w:pPr>
    </w:p>
    <w:p w14:paraId="2B436A57">
      <w:pPr>
        <w:spacing w:line="255" w:lineRule="auto"/>
        <w:rPr>
          <w:rFonts w:ascii="Arial"/>
          <w:sz w:val="21"/>
        </w:rPr>
      </w:pPr>
    </w:p>
    <w:p w14:paraId="6448EDE6">
      <w:pPr>
        <w:spacing w:line="255" w:lineRule="auto"/>
        <w:rPr>
          <w:rFonts w:ascii="Arial"/>
          <w:sz w:val="21"/>
        </w:rPr>
      </w:pPr>
    </w:p>
    <w:p w14:paraId="396776FD">
      <w:pPr>
        <w:spacing w:line="255" w:lineRule="auto"/>
        <w:rPr>
          <w:rFonts w:ascii="Arial"/>
          <w:sz w:val="21"/>
        </w:rPr>
      </w:pPr>
    </w:p>
    <w:p w14:paraId="40A7B252">
      <w:pPr>
        <w:spacing w:line="255" w:lineRule="auto"/>
        <w:rPr>
          <w:rFonts w:ascii="Arial"/>
          <w:sz w:val="21"/>
        </w:rPr>
      </w:pPr>
    </w:p>
    <w:p w14:paraId="693B02A7">
      <w:pPr>
        <w:spacing w:before="65" w:line="227" w:lineRule="auto"/>
        <w:ind w:left="21"/>
        <w:rPr>
          <w:rFonts w:ascii="宋体" w:hAnsi="宋体" w:eastAsia="宋体" w:cs="宋体"/>
          <w:sz w:val="20"/>
          <w:szCs w:val="20"/>
        </w:rPr>
      </w:pPr>
      <w:r>
        <w:rPr>
          <w:rFonts w:ascii="宋体" w:hAnsi="宋体" w:eastAsia="宋体" w:cs="宋体"/>
          <w:b/>
          <w:bCs/>
          <w:spacing w:val="6"/>
          <w:sz w:val="20"/>
          <w:szCs w:val="20"/>
        </w:rPr>
        <w:t>附件</w:t>
      </w:r>
      <w:r>
        <w:rPr>
          <w:rFonts w:ascii="宋体" w:hAnsi="宋体" w:eastAsia="宋体" w:cs="宋体"/>
          <w:spacing w:val="-23"/>
          <w:sz w:val="20"/>
          <w:szCs w:val="20"/>
        </w:rPr>
        <w:t xml:space="preserve"> </w:t>
      </w:r>
      <w:r>
        <w:rPr>
          <w:rFonts w:ascii="宋体" w:hAnsi="宋体" w:eastAsia="宋体" w:cs="宋体"/>
          <w:b/>
          <w:bCs/>
          <w:spacing w:val="6"/>
          <w:sz w:val="20"/>
          <w:szCs w:val="20"/>
        </w:rPr>
        <w:t>5：本项目废水纳入可塘镇污水管网的证明</w:t>
      </w:r>
    </w:p>
    <w:p w14:paraId="4C347146">
      <w:pPr>
        <w:spacing w:before="110" w:line="12909" w:lineRule="exact"/>
      </w:pPr>
      <w:r>
        <w:rPr>
          <w:position w:val="-258"/>
        </w:rPr>
        <w:drawing>
          <wp:inline distT="0" distB="0" distL="0" distR="0">
            <wp:extent cx="5812155" cy="819721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89"/>
                    <a:stretch>
                      <a:fillRect/>
                    </a:stretch>
                  </pic:blipFill>
                  <pic:spPr>
                    <a:xfrm>
                      <a:off x="0" y="0"/>
                      <a:ext cx="5812535" cy="8197596"/>
                    </a:xfrm>
                    <a:prstGeom prst="rect">
                      <a:avLst/>
                    </a:prstGeom>
                  </pic:spPr>
                </pic:pic>
              </a:graphicData>
            </a:graphic>
          </wp:inline>
        </w:drawing>
      </w:r>
    </w:p>
    <w:p w14:paraId="2A995401">
      <w:pPr>
        <w:spacing w:line="12909" w:lineRule="exact"/>
        <w:sectPr>
          <w:headerReference r:id="rId182" w:type="default"/>
          <w:pgSz w:w="11906" w:h="16839"/>
          <w:pgMar w:top="400" w:right="1333" w:bottom="400" w:left="1418" w:header="0" w:footer="0" w:gutter="0"/>
          <w:cols w:space="720" w:num="1"/>
        </w:sectPr>
      </w:pPr>
    </w:p>
    <w:p w14:paraId="38815561">
      <w:pPr>
        <w:spacing w:line="255" w:lineRule="auto"/>
        <w:rPr>
          <w:rFonts w:ascii="Arial"/>
          <w:sz w:val="21"/>
        </w:rPr>
      </w:pPr>
    </w:p>
    <w:p w14:paraId="5ADE0156">
      <w:pPr>
        <w:spacing w:line="255" w:lineRule="auto"/>
        <w:rPr>
          <w:rFonts w:ascii="Arial"/>
          <w:sz w:val="21"/>
        </w:rPr>
      </w:pPr>
    </w:p>
    <w:p w14:paraId="511697DD">
      <w:pPr>
        <w:spacing w:line="255" w:lineRule="auto"/>
        <w:rPr>
          <w:rFonts w:ascii="Arial"/>
          <w:sz w:val="21"/>
        </w:rPr>
      </w:pPr>
    </w:p>
    <w:p w14:paraId="2229F864">
      <w:pPr>
        <w:spacing w:line="255" w:lineRule="auto"/>
        <w:rPr>
          <w:rFonts w:ascii="Arial"/>
          <w:sz w:val="21"/>
        </w:rPr>
      </w:pPr>
    </w:p>
    <w:p w14:paraId="5A375F14">
      <w:pPr>
        <w:spacing w:before="65" w:line="227" w:lineRule="auto"/>
        <w:ind w:left="24"/>
        <w:rPr>
          <w:rFonts w:ascii="宋体" w:hAnsi="宋体" w:eastAsia="宋体" w:cs="宋体"/>
          <w:sz w:val="20"/>
          <w:szCs w:val="20"/>
        </w:rPr>
      </w:pPr>
      <w:r>
        <w:rPr>
          <w:rFonts w:ascii="宋体" w:hAnsi="宋体" w:eastAsia="宋体" w:cs="宋体"/>
          <w:b/>
          <w:bCs/>
          <w:spacing w:val="6"/>
          <w:sz w:val="20"/>
          <w:szCs w:val="20"/>
        </w:rPr>
        <w:t>附件</w:t>
      </w:r>
      <w:r>
        <w:rPr>
          <w:rFonts w:ascii="宋体" w:hAnsi="宋体" w:eastAsia="宋体" w:cs="宋体"/>
          <w:spacing w:val="-30"/>
          <w:sz w:val="20"/>
          <w:szCs w:val="20"/>
        </w:rPr>
        <w:t xml:space="preserve"> </w:t>
      </w:r>
      <w:r>
        <w:rPr>
          <w:rFonts w:ascii="宋体" w:hAnsi="宋体" w:eastAsia="宋体" w:cs="宋体"/>
          <w:b/>
          <w:bCs/>
          <w:spacing w:val="6"/>
          <w:sz w:val="20"/>
          <w:szCs w:val="20"/>
        </w:rPr>
        <w:t>6：本项目废水接入市政管网示意图</w:t>
      </w:r>
    </w:p>
    <w:p w14:paraId="47850568">
      <w:pPr>
        <w:spacing w:before="136" w:line="13483" w:lineRule="exact"/>
      </w:pPr>
      <w:r>
        <w:rPr>
          <w:position w:val="-269"/>
        </w:rPr>
        <w:drawing>
          <wp:inline distT="0" distB="0" distL="0" distR="0">
            <wp:extent cx="5202555" cy="856170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90"/>
                    <a:stretch>
                      <a:fillRect/>
                    </a:stretch>
                  </pic:blipFill>
                  <pic:spPr>
                    <a:xfrm>
                      <a:off x="0" y="0"/>
                      <a:ext cx="5202935" cy="8561831"/>
                    </a:xfrm>
                    <a:prstGeom prst="rect">
                      <a:avLst/>
                    </a:prstGeom>
                  </pic:spPr>
                </pic:pic>
              </a:graphicData>
            </a:graphic>
          </wp:inline>
        </w:drawing>
      </w:r>
    </w:p>
    <w:p w14:paraId="09449D7E">
      <w:pPr>
        <w:spacing w:line="13483" w:lineRule="exact"/>
        <w:sectPr>
          <w:pgSz w:w="11906" w:h="16839"/>
          <w:pgMar w:top="400" w:right="1785" w:bottom="400" w:left="1416" w:header="0" w:footer="0" w:gutter="0"/>
          <w:cols w:space="720" w:num="1"/>
        </w:sectPr>
      </w:pPr>
    </w:p>
    <w:p w14:paraId="1E21ED6B">
      <w:pPr>
        <w:spacing w:line="279" w:lineRule="auto"/>
        <w:rPr>
          <w:rFonts w:ascii="Arial"/>
          <w:sz w:val="21"/>
        </w:rPr>
      </w:pPr>
    </w:p>
    <w:p w14:paraId="1905616E">
      <w:pPr>
        <w:spacing w:line="279" w:lineRule="auto"/>
        <w:rPr>
          <w:rFonts w:ascii="Arial"/>
          <w:sz w:val="21"/>
        </w:rPr>
      </w:pPr>
    </w:p>
    <w:p w14:paraId="1AD39137">
      <w:pPr>
        <w:spacing w:line="280" w:lineRule="auto"/>
        <w:rPr>
          <w:rFonts w:ascii="Arial"/>
          <w:sz w:val="21"/>
        </w:rPr>
      </w:pPr>
    </w:p>
    <w:p w14:paraId="10E51211">
      <w:pPr>
        <w:spacing w:line="280" w:lineRule="auto"/>
        <w:rPr>
          <w:rFonts w:ascii="Arial"/>
          <w:sz w:val="21"/>
        </w:rPr>
      </w:pPr>
    </w:p>
    <w:p w14:paraId="75B5F40B">
      <w:pPr>
        <w:spacing w:before="65" w:line="226" w:lineRule="auto"/>
        <w:ind w:left="24"/>
        <w:outlineLvl w:val="0"/>
        <w:rPr>
          <w:rFonts w:ascii="宋体" w:hAnsi="宋体" w:eastAsia="宋体" w:cs="宋体"/>
          <w:sz w:val="20"/>
          <w:szCs w:val="20"/>
        </w:rPr>
      </w:pPr>
      <w:r>
        <w:rPr>
          <w:rFonts w:ascii="宋体" w:hAnsi="宋体" w:eastAsia="宋体" w:cs="宋体"/>
          <w:b/>
          <w:bCs/>
          <w:spacing w:val="6"/>
          <w:sz w:val="20"/>
          <w:szCs w:val="20"/>
        </w:rPr>
        <w:t>附件</w:t>
      </w:r>
      <w:r>
        <w:rPr>
          <w:rFonts w:ascii="宋体" w:hAnsi="宋体" w:eastAsia="宋体" w:cs="宋体"/>
          <w:spacing w:val="-32"/>
          <w:sz w:val="20"/>
          <w:szCs w:val="20"/>
        </w:rPr>
        <w:t xml:space="preserve"> </w:t>
      </w:r>
      <w:r>
        <w:rPr>
          <w:rFonts w:ascii="宋体" w:hAnsi="宋体" w:eastAsia="宋体" w:cs="宋体"/>
          <w:b/>
          <w:bCs/>
          <w:spacing w:val="6"/>
          <w:sz w:val="20"/>
          <w:szCs w:val="20"/>
        </w:rPr>
        <w:t>7：原项目生产废水自行检测报告</w:t>
      </w:r>
    </w:p>
    <w:p w14:paraId="6A991A39">
      <w:pPr>
        <w:spacing w:before="204" w:line="12425" w:lineRule="exact"/>
      </w:pPr>
      <w:r>
        <w:rPr>
          <w:position w:val="-248"/>
        </w:rPr>
        <w:drawing>
          <wp:inline distT="0" distB="0" distL="0" distR="0">
            <wp:extent cx="5603240" cy="788924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91"/>
                    <a:stretch>
                      <a:fillRect/>
                    </a:stretch>
                  </pic:blipFill>
                  <pic:spPr>
                    <a:xfrm>
                      <a:off x="0" y="0"/>
                      <a:ext cx="5603748" cy="7889747"/>
                    </a:xfrm>
                    <a:prstGeom prst="rect">
                      <a:avLst/>
                    </a:prstGeom>
                  </pic:spPr>
                </pic:pic>
              </a:graphicData>
            </a:graphic>
          </wp:inline>
        </w:drawing>
      </w:r>
    </w:p>
    <w:p w14:paraId="0D28F395">
      <w:pPr>
        <w:spacing w:line="12425" w:lineRule="exact"/>
        <w:sectPr>
          <w:pgSz w:w="11906" w:h="16839"/>
          <w:pgMar w:top="400" w:right="1664" w:bottom="400" w:left="1416" w:header="0" w:footer="0" w:gutter="0"/>
          <w:cols w:space="720" w:num="1"/>
        </w:sectPr>
      </w:pPr>
    </w:p>
    <w:p w14:paraId="750EB09D">
      <w:pPr>
        <w:spacing w:line="272" w:lineRule="auto"/>
        <w:rPr>
          <w:rFonts w:ascii="Arial"/>
          <w:sz w:val="21"/>
        </w:rPr>
      </w:pPr>
    </w:p>
    <w:p w14:paraId="0AFFC8A9">
      <w:pPr>
        <w:spacing w:line="272" w:lineRule="auto"/>
        <w:rPr>
          <w:rFonts w:ascii="Arial"/>
          <w:sz w:val="21"/>
        </w:rPr>
      </w:pPr>
    </w:p>
    <w:p w14:paraId="26BF1CA4">
      <w:pPr>
        <w:spacing w:line="272" w:lineRule="auto"/>
        <w:rPr>
          <w:rFonts w:ascii="Arial"/>
          <w:sz w:val="21"/>
        </w:rPr>
      </w:pPr>
    </w:p>
    <w:p w14:paraId="03235237">
      <w:pPr>
        <w:spacing w:line="272" w:lineRule="auto"/>
        <w:rPr>
          <w:rFonts w:ascii="Arial"/>
          <w:sz w:val="21"/>
        </w:rPr>
      </w:pPr>
    </w:p>
    <w:p w14:paraId="6B3C4921">
      <w:pPr>
        <w:spacing w:line="12679" w:lineRule="exact"/>
      </w:pPr>
      <w:r>
        <w:rPr>
          <w:position w:val="-253"/>
        </w:rPr>
        <w:drawing>
          <wp:inline distT="0" distB="0" distL="0" distR="0">
            <wp:extent cx="5704205" cy="805116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92"/>
                    <a:stretch>
                      <a:fillRect/>
                    </a:stretch>
                  </pic:blipFill>
                  <pic:spPr>
                    <a:xfrm>
                      <a:off x="0" y="0"/>
                      <a:ext cx="5704332" cy="8051292"/>
                    </a:xfrm>
                    <a:prstGeom prst="rect">
                      <a:avLst/>
                    </a:prstGeom>
                  </pic:spPr>
                </pic:pic>
              </a:graphicData>
            </a:graphic>
          </wp:inline>
        </w:drawing>
      </w:r>
    </w:p>
    <w:p w14:paraId="09F76C49">
      <w:pPr>
        <w:spacing w:line="12679" w:lineRule="exact"/>
        <w:sectPr>
          <w:pgSz w:w="11906" w:h="16839"/>
          <w:pgMar w:top="400" w:right="1507" w:bottom="400" w:left="1414" w:header="0" w:footer="0" w:gutter="0"/>
          <w:cols w:space="720" w:num="1"/>
        </w:sectPr>
      </w:pPr>
    </w:p>
    <w:p w14:paraId="65CF55E8">
      <w:pPr>
        <w:spacing w:line="260" w:lineRule="auto"/>
        <w:rPr>
          <w:rFonts w:ascii="Arial"/>
          <w:sz w:val="21"/>
        </w:rPr>
      </w:pPr>
    </w:p>
    <w:p w14:paraId="778288C0">
      <w:pPr>
        <w:spacing w:line="260" w:lineRule="auto"/>
        <w:rPr>
          <w:rFonts w:ascii="Arial"/>
          <w:sz w:val="21"/>
        </w:rPr>
      </w:pPr>
    </w:p>
    <w:p w14:paraId="01D41F4F">
      <w:pPr>
        <w:spacing w:line="260" w:lineRule="auto"/>
        <w:rPr>
          <w:rFonts w:ascii="Arial"/>
          <w:sz w:val="21"/>
        </w:rPr>
      </w:pPr>
    </w:p>
    <w:p w14:paraId="1DA883AC">
      <w:pPr>
        <w:spacing w:line="260" w:lineRule="auto"/>
        <w:rPr>
          <w:rFonts w:ascii="Arial"/>
          <w:sz w:val="21"/>
        </w:rPr>
      </w:pPr>
    </w:p>
    <w:p w14:paraId="668FDD34">
      <w:pPr>
        <w:spacing w:line="12778" w:lineRule="exact"/>
      </w:pPr>
      <w:r>
        <w:rPr>
          <w:position w:val="-255"/>
        </w:rPr>
        <w:drawing>
          <wp:inline distT="0" distB="0" distL="0" distR="0">
            <wp:extent cx="5758815" cy="811339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93"/>
                    <a:stretch>
                      <a:fillRect/>
                    </a:stretch>
                  </pic:blipFill>
                  <pic:spPr>
                    <a:xfrm>
                      <a:off x="0" y="0"/>
                      <a:ext cx="5759195" cy="8113776"/>
                    </a:xfrm>
                    <a:prstGeom prst="rect">
                      <a:avLst/>
                    </a:prstGeom>
                  </pic:spPr>
                </pic:pic>
              </a:graphicData>
            </a:graphic>
          </wp:inline>
        </w:drawing>
      </w:r>
    </w:p>
    <w:p w14:paraId="33A08AEA">
      <w:pPr>
        <w:spacing w:line="12778" w:lineRule="exact"/>
        <w:sectPr>
          <w:pgSz w:w="11906" w:h="16839"/>
          <w:pgMar w:top="400" w:right="1417" w:bottom="400" w:left="1418" w:header="0" w:footer="0" w:gutter="0"/>
          <w:cols w:space="720" w:num="1"/>
        </w:sectPr>
      </w:pPr>
    </w:p>
    <w:p w14:paraId="03E1F6D4">
      <w:pPr>
        <w:spacing w:line="264" w:lineRule="auto"/>
        <w:rPr>
          <w:rFonts w:ascii="Arial"/>
          <w:sz w:val="21"/>
        </w:rPr>
      </w:pPr>
    </w:p>
    <w:p w14:paraId="78831E77">
      <w:pPr>
        <w:spacing w:line="264" w:lineRule="auto"/>
        <w:rPr>
          <w:rFonts w:ascii="Arial"/>
          <w:sz w:val="21"/>
        </w:rPr>
      </w:pPr>
    </w:p>
    <w:p w14:paraId="509496C5">
      <w:pPr>
        <w:spacing w:line="264" w:lineRule="auto"/>
        <w:rPr>
          <w:rFonts w:ascii="Arial"/>
          <w:sz w:val="21"/>
        </w:rPr>
      </w:pPr>
    </w:p>
    <w:p w14:paraId="6CCA7316">
      <w:pPr>
        <w:spacing w:line="265" w:lineRule="auto"/>
        <w:rPr>
          <w:rFonts w:ascii="Arial"/>
          <w:sz w:val="21"/>
        </w:rPr>
      </w:pPr>
    </w:p>
    <w:p w14:paraId="65968BEA">
      <w:pPr>
        <w:spacing w:line="12744" w:lineRule="exact"/>
      </w:pPr>
      <w:r>
        <w:rPr>
          <w:position w:val="-254"/>
        </w:rPr>
        <w:drawing>
          <wp:inline distT="0" distB="0" distL="0" distR="0">
            <wp:extent cx="5728335" cy="809244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94"/>
                    <a:stretch>
                      <a:fillRect/>
                    </a:stretch>
                  </pic:blipFill>
                  <pic:spPr>
                    <a:xfrm>
                      <a:off x="0" y="0"/>
                      <a:ext cx="5728715" cy="8092440"/>
                    </a:xfrm>
                    <a:prstGeom prst="rect">
                      <a:avLst/>
                    </a:prstGeom>
                  </pic:spPr>
                </pic:pic>
              </a:graphicData>
            </a:graphic>
          </wp:inline>
        </w:drawing>
      </w:r>
    </w:p>
    <w:p w14:paraId="1AEE4EED">
      <w:pPr>
        <w:spacing w:line="12744" w:lineRule="exact"/>
        <w:sectPr>
          <w:pgSz w:w="11906" w:h="16839"/>
          <w:pgMar w:top="400" w:right="1469" w:bottom="400" w:left="1415" w:header="0" w:footer="0" w:gutter="0"/>
          <w:cols w:space="720" w:num="1"/>
        </w:sectPr>
      </w:pPr>
    </w:p>
    <w:p w14:paraId="0A3F91ED">
      <w:pPr>
        <w:spacing w:line="268" w:lineRule="auto"/>
        <w:rPr>
          <w:rFonts w:ascii="Arial"/>
          <w:sz w:val="21"/>
        </w:rPr>
      </w:pPr>
    </w:p>
    <w:p w14:paraId="030C7139">
      <w:pPr>
        <w:spacing w:line="268" w:lineRule="auto"/>
        <w:rPr>
          <w:rFonts w:ascii="Arial"/>
          <w:sz w:val="21"/>
        </w:rPr>
      </w:pPr>
    </w:p>
    <w:p w14:paraId="4B6034D3">
      <w:pPr>
        <w:spacing w:line="269" w:lineRule="auto"/>
        <w:rPr>
          <w:rFonts w:ascii="Arial"/>
          <w:sz w:val="21"/>
        </w:rPr>
      </w:pPr>
    </w:p>
    <w:p w14:paraId="558005A4">
      <w:pPr>
        <w:spacing w:line="269" w:lineRule="auto"/>
        <w:rPr>
          <w:rFonts w:ascii="Arial"/>
          <w:sz w:val="21"/>
        </w:rPr>
      </w:pPr>
    </w:p>
    <w:p w14:paraId="68956117">
      <w:pPr>
        <w:spacing w:line="12710" w:lineRule="exact"/>
      </w:pPr>
      <w:r>
        <w:rPr>
          <w:position w:val="-254"/>
        </w:rPr>
        <w:drawing>
          <wp:inline distT="0" distB="0" distL="0" distR="0">
            <wp:extent cx="5740400" cy="807085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95"/>
                    <a:stretch>
                      <a:fillRect/>
                    </a:stretch>
                  </pic:blipFill>
                  <pic:spPr>
                    <a:xfrm>
                      <a:off x="0" y="0"/>
                      <a:ext cx="5740908" cy="8071104"/>
                    </a:xfrm>
                    <a:prstGeom prst="rect">
                      <a:avLst/>
                    </a:prstGeom>
                  </pic:spPr>
                </pic:pic>
              </a:graphicData>
            </a:graphic>
          </wp:inline>
        </w:drawing>
      </w:r>
    </w:p>
    <w:p w14:paraId="4ABAB5BD">
      <w:pPr>
        <w:spacing w:line="12710" w:lineRule="exact"/>
        <w:sectPr>
          <w:pgSz w:w="11906" w:h="16839"/>
          <w:pgMar w:top="400" w:right="1448" w:bottom="400" w:left="1416" w:header="0" w:footer="0" w:gutter="0"/>
          <w:cols w:space="720" w:num="1"/>
        </w:sectPr>
      </w:pPr>
    </w:p>
    <w:p w14:paraId="194BD778">
      <w:pPr>
        <w:spacing w:line="279" w:lineRule="auto"/>
        <w:rPr>
          <w:rFonts w:ascii="Arial"/>
          <w:sz w:val="21"/>
        </w:rPr>
      </w:pPr>
    </w:p>
    <w:p w14:paraId="3767D92F">
      <w:pPr>
        <w:spacing w:line="279" w:lineRule="auto"/>
        <w:rPr>
          <w:rFonts w:ascii="Arial"/>
          <w:sz w:val="21"/>
        </w:rPr>
      </w:pPr>
    </w:p>
    <w:p w14:paraId="2510EB65">
      <w:pPr>
        <w:spacing w:line="280" w:lineRule="auto"/>
        <w:rPr>
          <w:rFonts w:ascii="Arial"/>
          <w:sz w:val="21"/>
        </w:rPr>
      </w:pPr>
    </w:p>
    <w:p w14:paraId="094B53B2">
      <w:pPr>
        <w:spacing w:line="280" w:lineRule="auto"/>
        <w:rPr>
          <w:rFonts w:ascii="Arial"/>
          <w:sz w:val="21"/>
        </w:rPr>
      </w:pPr>
    </w:p>
    <w:p w14:paraId="66374FD7">
      <w:pPr>
        <w:spacing w:before="65" w:line="226" w:lineRule="auto"/>
        <w:ind w:left="24"/>
        <w:outlineLvl w:val="0"/>
        <w:rPr>
          <w:rFonts w:ascii="宋体" w:hAnsi="宋体" w:eastAsia="宋体" w:cs="宋体"/>
          <w:sz w:val="20"/>
          <w:szCs w:val="20"/>
        </w:rPr>
      </w:pPr>
      <w:r>
        <w:rPr>
          <w:rFonts w:ascii="宋体" w:hAnsi="宋体" w:eastAsia="宋体" w:cs="宋体"/>
          <w:b/>
          <w:bCs/>
          <w:spacing w:val="5"/>
          <w:sz w:val="20"/>
          <w:szCs w:val="20"/>
        </w:rPr>
        <w:t>附件</w:t>
      </w:r>
      <w:r>
        <w:rPr>
          <w:rFonts w:ascii="宋体" w:hAnsi="宋体" w:eastAsia="宋体" w:cs="宋体"/>
          <w:spacing w:val="-32"/>
          <w:sz w:val="20"/>
          <w:szCs w:val="20"/>
        </w:rPr>
        <w:t xml:space="preserve"> </w:t>
      </w:r>
      <w:r>
        <w:rPr>
          <w:rFonts w:ascii="宋体" w:hAnsi="宋体" w:eastAsia="宋体" w:cs="宋体"/>
          <w:b/>
          <w:bCs/>
          <w:spacing w:val="5"/>
          <w:sz w:val="20"/>
          <w:szCs w:val="20"/>
        </w:rPr>
        <w:t>8：项目环境现状监测报告（1）</w:t>
      </w:r>
    </w:p>
    <w:p w14:paraId="27BF387D">
      <w:pPr>
        <w:spacing w:before="233" w:line="12682" w:lineRule="exact"/>
      </w:pPr>
      <w:r>
        <w:rPr>
          <w:position w:val="-253"/>
        </w:rPr>
        <w:drawing>
          <wp:inline distT="0" distB="0" distL="0" distR="0">
            <wp:extent cx="5723890" cy="805243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96"/>
                    <a:stretch>
                      <a:fillRect/>
                    </a:stretch>
                  </pic:blipFill>
                  <pic:spPr>
                    <a:xfrm>
                      <a:off x="0" y="0"/>
                      <a:ext cx="5724144" cy="8052816"/>
                    </a:xfrm>
                    <a:prstGeom prst="rect">
                      <a:avLst/>
                    </a:prstGeom>
                  </pic:spPr>
                </pic:pic>
              </a:graphicData>
            </a:graphic>
          </wp:inline>
        </w:drawing>
      </w:r>
    </w:p>
    <w:p w14:paraId="38B38749">
      <w:pPr>
        <w:spacing w:line="12682" w:lineRule="exact"/>
        <w:sectPr>
          <w:pgSz w:w="11906" w:h="16839"/>
          <w:pgMar w:top="400" w:right="1475" w:bottom="400" w:left="1416" w:header="0" w:footer="0" w:gutter="0"/>
          <w:cols w:space="720" w:num="1"/>
        </w:sectPr>
      </w:pPr>
    </w:p>
    <w:p w14:paraId="4696D55D">
      <w:pPr>
        <w:spacing w:line="260" w:lineRule="auto"/>
        <w:rPr>
          <w:rFonts w:ascii="Arial"/>
          <w:sz w:val="21"/>
        </w:rPr>
      </w:pPr>
    </w:p>
    <w:p w14:paraId="03854255">
      <w:pPr>
        <w:spacing w:line="260" w:lineRule="auto"/>
        <w:rPr>
          <w:rFonts w:ascii="Arial"/>
          <w:sz w:val="21"/>
        </w:rPr>
      </w:pPr>
    </w:p>
    <w:p w14:paraId="1D413212">
      <w:pPr>
        <w:spacing w:line="260" w:lineRule="auto"/>
        <w:rPr>
          <w:rFonts w:ascii="Arial"/>
          <w:sz w:val="21"/>
        </w:rPr>
      </w:pPr>
    </w:p>
    <w:p w14:paraId="7F340A28">
      <w:pPr>
        <w:spacing w:line="261" w:lineRule="auto"/>
        <w:rPr>
          <w:rFonts w:ascii="Arial"/>
          <w:sz w:val="21"/>
        </w:rPr>
      </w:pPr>
    </w:p>
    <w:p w14:paraId="1E09E0A1">
      <w:pPr>
        <w:spacing w:line="12776" w:lineRule="exact"/>
      </w:pPr>
      <w:r>
        <w:rPr>
          <w:position w:val="-255"/>
        </w:rPr>
        <w:drawing>
          <wp:inline distT="0" distB="0" distL="0" distR="0">
            <wp:extent cx="5740400" cy="811212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97"/>
                    <a:stretch>
                      <a:fillRect/>
                    </a:stretch>
                  </pic:blipFill>
                  <pic:spPr>
                    <a:xfrm>
                      <a:off x="0" y="0"/>
                      <a:ext cx="5740908" cy="8112252"/>
                    </a:xfrm>
                    <a:prstGeom prst="rect">
                      <a:avLst/>
                    </a:prstGeom>
                  </pic:spPr>
                </pic:pic>
              </a:graphicData>
            </a:graphic>
          </wp:inline>
        </w:drawing>
      </w:r>
    </w:p>
    <w:p w14:paraId="4E499EE7">
      <w:pPr>
        <w:spacing w:line="12776" w:lineRule="exact"/>
        <w:sectPr>
          <w:pgSz w:w="11906" w:h="16839"/>
          <w:pgMar w:top="400" w:right="1449" w:bottom="400" w:left="1415" w:header="0" w:footer="0" w:gutter="0"/>
          <w:cols w:space="720" w:num="1"/>
        </w:sectPr>
      </w:pPr>
    </w:p>
    <w:p w14:paraId="195BEFA3">
      <w:pPr>
        <w:spacing w:line="263" w:lineRule="auto"/>
        <w:rPr>
          <w:rFonts w:ascii="Arial"/>
          <w:sz w:val="21"/>
        </w:rPr>
      </w:pPr>
    </w:p>
    <w:p w14:paraId="3A276F95">
      <w:pPr>
        <w:spacing w:line="263" w:lineRule="auto"/>
        <w:rPr>
          <w:rFonts w:ascii="Arial"/>
          <w:sz w:val="21"/>
        </w:rPr>
      </w:pPr>
    </w:p>
    <w:p w14:paraId="3CC6813C">
      <w:pPr>
        <w:spacing w:line="263" w:lineRule="auto"/>
        <w:rPr>
          <w:rFonts w:ascii="Arial"/>
          <w:sz w:val="21"/>
        </w:rPr>
      </w:pPr>
    </w:p>
    <w:p w14:paraId="5F60E839">
      <w:pPr>
        <w:spacing w:line="263" w:lineRule="auto"/>
        <w:rPr>
          <w:rFonts w:ascii="Arial"/>
          <w:sz w:val="21"/>
        </w:rPr>
      </w:pPr>
    </w:p>
    <w:p w14:paraId="678E5537">
      <w:pPr>
        <w:spacing w:line="12753" w:lineRule="exact"/>
      </w:pPr>
      <w:r>
        <w:rPr>
          <w:position w:val="-255"/>
        </w:rPr>
        <w:drawing>
          <wp:inline distT="0" distB="0" distL="0" distR="0">
            <wp:extent cx="5728335" cy="809815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98"/>
                    <a:stretch>
                      <a:fillRect/>
                    </a:stretch>
                  </pic:blipFill>
                  <pic:spPr>
                    <a:xfrm>
                      <a:off x="0" y="0"/>
                      <a:ext cx="5728715" cy="8098535"/>
                    </a:xfrm>
                    <a:prstGeom prst="rect">
                      <a:avLst/>
                    </a:prstGeom>
                  </pic:spPr>
                </pic:pic>
              </a:graphicData>
            </a:graphic>
          </wp:inline>
        </w:drawing>
      </w:r>
    </w:p>
    <w:p w14:paraId="6F7A7207">
      <w:pPr>
        <w:spacing w:line="12753" w:lineRule="exact"/>
        <w:sectPr>
          <w:pgSz w:w="11906" w:h="16839"/>
          <w:pgMar w:top="400" w:right="1465" w:bottom="400" w:left="1418" w:header="0" w:footer="0" w:gutter="0"/>
          <w:cols w:space="720" w:num="1"/>
        </w:sectPr>
      </w:pPr>
    </w:p>
    <w:p w14:paraId="670DCC1C">
      <w:pPr>
        <w:spacing w:line="292" w:lineRule="auto"/>
        <w:rPr>
          <w:rFonts w:ascii="Arial"/>
          <w:sz w:val="21"/>
        </w:rPr>
      </w:pPr>
    </w:p>
    <w:p w14:paraId="710D6AC7">
      <w:pPr>
        <w:spacing w:line="292" w:lineRule="auto"/>
        <w:rPr>
          <w:rFonts w:ascii="Arial"/>
          <w:sz w:val="21"/>
        </w:rPr>
      </w:pPr>
    </w:p>
    <w:p w14:paraId="758C9F58">
      <w:pPr>
        <w:spacing w:line="292" w:lineRule="auto"/>
        <w:rPr>
          <w:rFonts w:ascii="Arial"/>
          <w:sz w:val="21"/>
        </w:rPr>
      </w:pPr>
    </w:p>
    <w:p w14:paraId="2D669FBF">
      <w:pPr>
        <w:spacing w:line="293" w:lineRule="auto"/>
        <w:rPr>
          <w:rFonts w:ascii="Arial"/>
          <w:sz w:val="21"/>
        </w:rPr>
      </w:pPr>
    </w:p>
    <w:p w14:paraId="5D5EDC63">
      <w:pPr>
        <w:spacing w:line="12830" w:lineRule="exact"/>
      </w:pPr>
      <w:r>
        <w:rPr>
          <w:position w:val="-256"/>
        </w:rPr>
        <w:drawing>
          <wp:inline distT="0" distB="0" distL="0" distR="0">
            <wp:extent cx="5753100" cy="814705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99"/>
                    <a:stretch>
                      <a:fillRect/>
                    </a:stretch>
                  </pic:blipFill>
                  <pic:spPr>
                    <a:xfrm>
                      <a:off x="0" y="0"/>
                      <a:ext cx="5753100" cy="8147304"/>
                    </a:xfrm>
                    <a:prstGeom prst="rect">
                      <a:avLst/>
                    </a:prstGeom>
                  </pic:spPr>
                </pic:pic>
              </a:graphicData>
            </a:graphic>
          </wp:inline>
        </w:drawing>
      </w:r>
    </w:p>
    <w:p w14:paraId="657C848C">
      <w:pPr>
        <w:spacing w:line="12830" w:lineRule="exact"/>
        <w:sectPr>
          <w:pgSz w:w="11906" w:h="16839"/>
          <w:pgMar w:top="400" w:right="1430" w:bottom="400" w:left="1415" w:header="0" w:footer="0" w:gutter="0"/>
          <w:cols w:space="720" w:num="1"/>
        </w:sectPr>
      </w:pPr>
    </w:p>
    <w:p w14:paraId="75602BFE">
      <w:pPr>
        <w:spacing w:line="265" w:lineRule="auto"/>
        <w:rPr>
          <w:rFonts w:ascii="Arial"/>
          <w:sz w:val="21"/>
        </w:rPr>
      </w:pPr>
    </w:p>
    <w:p w14:paraId="530D2F37">
      <w:pPr>
        <w:spacing w:line="265" w:lineRule="auto"/>
        <w:rPr>
          <w:rFonts w:ascii="Arial"/>
          <w:sz w:val="21"/>
        </w:rPr>
      </w:pPr>
    </w:p>
    <w:p w14:paraId="2F810CCF">
      <w:pPr>
        <w:spacing w:line="265" w:lineRule="auto"/>
        <w:rPr>
          <w:rFonts w:ascii="Arial"/>
          <w:sz w:val="21"/>
        </w:rPr>
      </w:pPr>
    </w:p>
    <w:p w14:paraId="0FA6B725">
      <w:pPr>
        <w:spacing w:line="265" w:lineRule="auto"/>
        <w:rPr>
          <w:rFonts w:ascii="Arial"/>
          <w:sz w:val="21"/>
        </w:rPr>
      </w:pPr>
    </w:p>
    <w:p w14:paraId="1A18F77E">
      <w:pPr>
        <w:spacing w:line="12736" w:lineRule="exact"/>
      </w:pPr>
      <w:r>
        <w:rPr>
          <w:position w:val="-254"/>
        </w:rPr>
        <w:drawing>
          <wp:inline distT="0" distB="0" distL="0" distR="0">
            <wp:extent cx="5735955" cy="808736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00"/>
                    <a:stretch>
                      <a:fillRect/>
                    </a:stretch>
                  </pic:blipFill>
                  <pic:spPr>
                    <a:xfrm>
                      <a:off x="0" y="0"/>
                      <a:ext cx="5736335" cy="8087867"/>
                    </a:xfrm>
                    <a:prstGeom prst="rect">
                      <a:avLst/>
                    </a:prstGeom>
                  </pic:spPr>
                </pic:pic>
              </a:graphicData>
            </a:graphic>
          </wp:inline>
        </w:drawing>
      </w:r>
    </w:p>
    <w:p w14:paraId="76FD307F">
      <w:pPr>
        <w:spacing w:line="12736" w:lineRule="exact"/>
        <w:sectPr>
          <w:pgSz w:w="11906" w:h="16839"/>
          <w:pgMar w:top="400" w:right="1456" w:bottom="400" w:left="1416" w:header="0" w:footer="0" w:gutter="0"/>
          <w:cols w:space="720" w:num="1"/>
        </w:sectPr>
      </w:pPr>
    </w:p>
    <w:p w14:paraId="4AC007B8">
      <w:pPr>
        <w:spacing w:line="261" w:lineRule="auto"/>
        <w:rPr>
          <w:rFonts w:ascii="Arial"/>
          <w:sz w:val="21"/>
        </w:rPr>
      </w:pPr>
    </w:p>
    <w:p w14:paraId="40AA6914">
      <w:pPr>
        <w:spacing w:line="261" w:lineRule="auto"/>
        <w:rPr>
          <w:rFonts w:ascii="Arial"/>
          <w:sz w:val="21"/>
        </w:rPr>
      </w:pPr>
    </w:p>
    <w:p w14:paraId="26E38931">
      <w:pPr>
        <w:spacing w:line="261" w:lineRule="auto"/>
        <w:rPr>
          <w:rFonts w:ascii="Arial"/>
          <w:sz w:val="21"/>
        </w:rPr>
      </w:pPr>
    </w:p>
    <w:p w14:paraId="50FAB08D">
      <w:pPr>
        <w:spacing w:line="261" w:lineRule="auto"/>
        <w:rPr>
          <w:rFonts w:ascii="Arial"/>
          <w:sz w:val="21"/>
        </w:rPr>
      </w:pPr>
    </w:p>
    <w:p w14:paraId="58B33AF9">
      <w:pPr>
        <w:spacing w:line="12768" w:lineRule="exact"/>
      </w:pPr>
      <w:r>
        <w:rPr>
          <w:position w:val="-255"/>
        </w:rPr>
        <w:drawing>
          <wp:inline distT="0" distB="0" distL="0" distR="0">
            <wp:extent cx="5742305" cy="810768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01"/>
                    <a:stretch>
                      <a:fillRect/>
                    </a:stretch>
                  </pic:blipFill>
                  <pic:spPr>
                    <a:xfrm>
                      <a:off x="0" y="0"/>
                      <a:ext cx="5742432" cy="8107680"/>
                    </a:xfrm>
                    <a:prstGeom prst="rect">
                      <a:avLst/>
                    </a:prstGeom>
                  </pic:spPr>
                </pic:pic>
              </a:graphicData>
            </a:graphic>
          </wp:inline>
        </w:drawing>
      </w:r>
    </w:p>
    <w:p w14:paraId="21C3E317">
      <w:pPr>
        <w:spacing w:line="12768" w:lineRule="exact"/>
        <w:sectPr>
          <w:pgSz w:w="11906" w:h="16839"/>
          <w:pgMar w:top="400" w:right="1444" w:bottom="400" w:left="1418" w:header="0" w:footer="0" w:gutter="0"/>
          <w:cols w:space="720" w:num="1"/>
        </w:sectPr>
      </w:pPr>
    </w:p>
    <w:p w14:paraId="4324E994">
      <w:pPr>
        <w:spacing w:line="296" w:lineRule="auto"/>
        <w:rPr>
          <w:rFonts w:ascii="Arial"/>
          <w:sz w:val="21"/>
        </w:rPr>
      </w:pPr>
    </w:p>
    <w:p w14:paraId="43573A19">
      <w:pPr>
        <w:spacing w:line="296" w:lineRule="auto"/>
        <w:rPr>
          <w:rFonts w:ascii="Arial"/>
          <w:sz w:val="21"/>
        </w:rPr>
      </w:pPr>
    </w:p>
    <w:p w14:paraId="5503439A">
      <w:pPr>
        <w:spacing w:line="296" w:lineRule="auto"/>
        <w:rPr>
          <w:rFonts w:ascii="Arial"/>
          <w:sz w:val="21"/>
        </w:rPr>
      </w:pPr>
    </w:p>
    <w:p w14:paraId="4A7B636A">
      <w:pPr>
        <w:spacing w:line="296" w:lineRule="auto"/>
        <w:rPr>
          <w:rFonts w:ascii="Arial"/>
          <w:sz w:val="21"/>
        </w:rPr>
      </w:pPr>
    </w:p>
    <w:p w14:paraId="660A260E">
      <w:pPr>
        <w:spacing w:line="12799" w:lineRule="exact"/>
      </w:pPr>
      <w:r>
        <w:rPr>
          <w:position w:val="-255"/>
        </w:rPr>
        <w:drawing>
          <wp:inline distT="0" distB="0" distL="0" distR="0">
            <wp:extent cx="5744845" cy="812736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302"/>
                    <a:stretch>
                      <a:fillRect/>
                    </a:stretch>
                  </pic:blipFill>
                  <pic:spPr>
                    <a:xfrm>
                      <a:off x="0" y="0"/>
                      <a:ext cx="5745479" cy="8127492"/>
                    </a:xfrm>
                    <a:prstGeom prst="rect">
                      <a:avLst/>
                    </a:prstGeom>
                  </pic:spPr>
                </pic:pic>
              </a:graphicData>
            </a:graphic>
          </wp:inline>
        </w:drawing>
      </w:r>
    </w:p>
    <w:p w14:paraId="3F2CFC14">
      <w:pPr>
        <w:spacing w:line="12799" w:lineRule="exact"/>
        <w:sectPr>
          <w:pgSz w:w="11906" w:h="16839"/>
          <w:pgMar w:top="400" w:right="1441" w:bottom="400" w:left="1416" w:header="0" w:footer="0" w:gutter="0"/>
          <w:cols w:space="720" w:num="1"/>
        </w:sectPr>
      </w:pPr>
    </w:p>
    <w:p w14:paraId="0ADABC30">
      <w:pPr>
        <w:spacing w:line="267" w:lineRule="auto"/>
        <w:rPr>
          <w:rFonts w:ascii="Arial"/>
          <w:sz w:val="21"/>
        </w:rPr>
      </w:pPr>
    </w:p>
    <w:p w14:paraId="5567666D">
      <w:pPr>
        <w:spacing w:line="267" w:lineRule="auto"/>
        <w:rPr>
          <w:rFonts w:ascii="Arial"/>
          <w:sz w:val="21"/>
        </w:rPr>
      </w:pPr>
    </w:p>
    <w:p w14:paraId="7DCA5CAF">
      <w:pPr>
        <w:spacing w:line="267" w:lineRule="auto"/>
        <w:rPr>
          <w:rFonts w:ascii="Arial"/>
          <w:sz w:val="21"/>
        </w:rPr>
      </w:pPr>
    </w:p>
    <w:p w14:paraId="39952014">
      <w:pPr>
        <w:spacing w:line="268" w:lineRule="auto"/>
        <w:rPr>
          <w:rFonts w:ascii="Arial"/>
          <w:sz w:val="21"/>
        </w:rPr>
      </w:pPr>
    </w:p>
    <w:p w14:paraId="72175470">
      <w:pPr>
        <w:spacing w:line="12720" w:lineRule="exact"/>
      </w:pPr>
      <w:r>
        <w:rPr>
          <w:position w:val="-254"/>
        </w:rPr>
        <w:drawing>
          <wp:inline distT="0" distB="0" distL="0" distR="0">
            <wp:extent cx="5728335" cy="807720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03"/>
                    <a:stretch>
                      <a:fillRect/>
                    </a:stretch>
                  </pic:blipFill>
                  <pic:spPr>
                    <a:xfrm>
                      <a:off x="0" y="0"/>
                      <a:ext cx="5728715" cy="8077200"/>
                    </a:xfrm>
                    <a:prstGeom prst="rect">
                      <a:avLst/>
                    </a:prstGeom>
                  </pic:spPr>
                </pic:pic>
              </a:graphicData>
            </a:graphic>
          </wp:inline>
        </w:drawing>
      </w:r>
    </w:p>
    <w:p w14:paraId="44E6CBE1">
      <w:pPr>
        <w:spacing w:line="12720" w:lineRule="exact"/>
        <w:sectPr>
          <w:pgSz w:w="11906" w:h="16839"/>
          <w:pgMar w:top="400" w:right="1468" w:bottom="400" w:left="1416" w:header="0" w:footer="0" w:gutter="0"/>
          <w:cols w:space="720" w:num="1"/>
        </w:sectPr>
      </w:pPr>
    </w:p>
    <w:p w14:paraId="32CB7D2D">
      <w:pPr>
        <w:spacing w:line="264" w:lineRule="auto"/>
        <w:rPr>
          <w:rFonts w:ascii="Arial"/>
          <w:sz w:val="21"/>
        </w:rPr>
      </w:pPr>
    </w:p>
    <w:p w14:paraId="5BB50E6E">
      <w:pPr>
        <w:spacing w:line="264" w:lineRule="auto"/>
        <w:rPr>
          <w:rFonts w:ascii="Arial"/>
          <w:sz w:val="21"/>
        </w:rPr>
      </w:pPr>
    </w:p>
    <w:p w14:paraId="6AB410A9">
      <w:pPr>
        <w:spacing w:line="264" w:lineRule="auto"/>
        <w:rPr>
          <w:rFonts w:ascii="Arial"/>
          <w:sz w:val="21"/>
        </w:rPr>
      </w:pPr>
    </w:p>
    <w:p w14:paraId="375E5821">
      <w:pPr>
        <w:spacing w:line="265" w:lineRule="auto"/>
        <w:rPr>
          <w:rFonts w:ascii="Arial"/>
          <w:sz w:val="21"/>
        </w:rPr>
      </w:pPr>
    </w:p>
    <w:p w14:paraId="4008A622">
      <w:pPr>
        <w:spacing w:line="12744" w:lineRule="exact"/>
      </w:pPr>
      <w:r>
        <w:rPr>
          <w:position w:val="-254"/>
        </w:rPr>
        <w:drawing>
          <wp:inline distT="0" distB="0" distL="0" distR="0">
            <wp:extent cx="5731510" cy="809244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304"/>
                    <a:stretch>
                      <a:fillRect/>
                    </a:stretch>
                  </pic:blipFill>
                  <pic:spPr>
                    <a:xfrm>
                      <a:off x="0" y="0"/>
                      <a:ext cx="5731763" cy="8092440"/>
                    </a:xfrm>
                    <a:prstGeom prst="rect">
                      <a:avLst/>
                    </a:prstGeom>
                  </pic:spPr>
                </pic:pic>
              </a:graphicData>
            </a:graphic>
          </wp:inline>
        </w:drawing>
      </w:r>
    </w:p>
    <w:p w14:paraId="5ED0ED1B">
      <w:pPr>
        <w:spacing w:line="12744" w:lineRule="exact"/>
        <w:sectPr>
          <w:pgSz w:w="11906" w:h="16839"/>
          <w:pgMar w:top="400" w:right="1463" w:bottom="400" w:left="1416" w:header="0" w:footer="0" w:gutter="0"/>
          <w:cols w:space="720" w:num="1"/>
        </w:sectPr>
      </w:pPr>
    </w:p>
    <w:p w14:paraId="5C768709">
      <w:pPr>
        <w:spacing w:line="267" w:lineRule="auto"/>
        <w:rPr>
          <w:rFonts w:ascii="Arial"/>
          <w:sz w:val="21"/>
        </w:rPr>
      </w:pPr>
    </w:p>
    <w:p w14:paraId="230E5C1E">
      <w:pPr>
        <w:spacing w:line="267" w:lineRule="auto"/>
        <w:rPr>
          <w:rFonts w:ascii="Arial"/>
          <w:sz w:val="21"/>
        </w:rPr>
      </w:pPr>
    </w:p>
    <w:p w14:paraId="4B5EAB3F">
      <w:pPr>
        <w:spacing w:line="267" w:lineRule="auto"/>
        <w:rPr>
          <w:rFonts w:ascii="Arial"/>
          <w:sz w:val="21"/>
        </w:rPr>
      </w:pPr>
    </w:p>
    <w:p w14:paraId="6BE62732">
      <w:pPr>
        <w:spacing w:line="268" w:lineRule="auto"/>
        <w:rPr>
          <w:rFonts w:ascii="Arial"/>
          <w:sz w:val="21"/>
        </w:rPr>
      </w:pPr>
    </w:p>
    <w:p w14:paraId="0DF565ED">
      <w:pPr>
        <w:spacing w:line="12720" w:lineRule="exact"/>
      </w:pPr>
      <w:r>
        <w:rPr>
          <w:position w:val="-254"/>
        </w:rPr>
        <w:drawing>
          <wp:inline distT="0" distB="0" distL="0" distR="0">
            <wp:extent cx="5725160" cy="807720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305"/>
                    <a:stretch>
                      <a:fillRect/>
                    </a:stretch>
                  </pic:blipFill>
                  <pic:spPr>
                    <a:xfrm>
                      <a:off x="0" y="0"/>
                      <a:ext cx="5725667" cy="8077200"/>
                    </a:xfrm>
                    <a:prstGeom prst="rect">
                      <a:avLst/>
                    </a:prstGeom>
                  </pic:spPr>
                </pic:pic>
              </a:graphicData>
            </a:graphic>
          </wp:inline>
        </w:drawing>
      </w:r>
    </w:p>
    <w:p w14:paraId="2D89DD76">
      <w:pPr>
        <w:spacing w:line="12720" w:lineRule="exact"/>
        <w:sectPr>
          <w:pgSz w:w="11906" w:h="16839"/>
          <w:pgMar w:top="400" w:right="1473" w:bottom="400" w:left="1415" w:header="0" w:footer="0" w:gutter="0"/>
          <w:cols w:space="720" w:num="1"/>
        </w:sectPr>
      </w:pPr>
    </w:p>
    <w:p w14:paraId="62C10FFA">
      <w:pPr>
        <w:spacing w:line="279" w:lineRule="auto"/>
        <w:rPr>
          <w:rFonts w:ascii="Arial"/>
          <w:sz w:val="21"/>
        </w:rPr>
      </w:pPr>
    </w:p>
    <w:p w14:paraId="1A169692">
      <w:pPr>
        <w:spacing w:line="279" w:lineRule="auto"/>
        <w:rPr>
          <w:rFonts w:ascii="Arial"/>
          <w:sz w:val="21"/>
        </w:rPr>
      </w:pPr>
    </w:p>
    <w:p w14:paraId="408C4050">
      <w:pPr>
        <w:spacing w:line="280" w:lineRule="auto"/>
        <w:rPr>
          <w:rFonts w:ascii="Arial"/>
          <w:sz w:val="21"/>
        </w:rPr>
      </w:pPr>
    </w:p>
    <w:p w14:paraId="25A33DAF">
      <w:pPr>
        <w:spacing w:line="280" w:lineRule="auto"/>
        <w:rPr>
          <w:rFonts w:ascii="Arial"/>
          <w:sz w:val="21"/>
        </w:rPr>
      </w:pPr>
    </w:p>
    <w:p w14:paraId="51F6D597">
      <w:pPr>
        <w:spacing w:before="65" w:line="226" w:lineRule="auto"/>
        <w:ind w:left="24"/>
        <w:outlineLvl w:val="0"/>
        <w:rPr>
          <w:rFonts w:ascii="宋体" w:hAnsi="宋体" w:eastAsia="宋体" w:cs="宋体"/>
          <w:sz w:val="20"/>
          <w:szCs w:val="20"/>
        </w:rPr>
      </w:pPr>
      <w:r>
        <w:rPr>
          <w:rFonts w:ascii="宋体" w:hAnsi="宋体" w:eastAsia="宋体" w:cs="宋体"/>
          <w:b/>
          <w:bCs/>
          <w:spacing w:val="5"/>
          <w:sz w:val="20"/>
          <w:szCs w:val="20"/>
        </w:rPr>
        <w:t>附件</w:t>
      </w:r>
      <w:r>
        <w:rPr>
          <w:rFonts w:ascii="宋体" w:hAnsi="宋体" w:eastAsia="宋体" w:cs="宋体"/>
          <w:spacing w:val="-32"/>
          <w:sz w:val="20"/>
          <w:szCs w:val="20"/>
        </w:rPr>
        <w:t xml:space="preserve"> </w:t>
      </w:r>
      <w:r>
        <w:rPr>
          <w:rFonts w:ascii="宋体" w:hAnsi="宋体" w:eastAsia="宋体" w:cs="宋体"/>
          <w:b/>
          <w:bCs/>
          <w:spacing w:val="5"/>
          <w:sz w:val="20"/>
          <w:szCs w:val="20"/>
        </w:rPr>
        <w:t>9：项目环境现状监测报告（2）</w:t>
      </w:r>
    </w:p>
    <w:p w14:paraId="4C69410E">
      <w:pPr>
        <w:spacing w:before="227" w:line="12689" w:lineRule="exact"/>
      </w:pPr>
      <w:r>
        <w:rPr>
          <w:position w:val="-253"/>
        </w:rPr>
        <w:drawing>
          <wp:inline distT="0" distB="0" distL="0" distR="0">
            <wp:extent cx="5715000" cy="805688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306"/>
                    <a:stretch>
                      <a:fillRect/>
                    </a:stretch>
                  </pic:blipFill>
                  <pic:spPr>
                    <a:xfrm>
                      <a:off x="0" y="0"/>
                      <a:ext cx="5715000" cy="8057388"/>
                    </a:xfrm>
                    <a:prstGeom prst="rect">
                      <a:avLst/>
                    </a:prstGeom>
                  </pic:spPr>
                </pic:pic>
              </a:graphicData>
            </a:graphic>
          </wp:inline>
        </w:drawing>
      </w:r>
    </w:p>
    <w:p w14:paraId="1DA53F23">
      <w:pPr>
        <w:spacing w:line="12689" w:lineRule="exact"/>
        <w:sectPr>
          <w:pgSz w:w="11906" w:h="16839"/>
          <w:pgMar w:top="400" w:right="1490" w:bottom="400" w:left="1415" w:header="0" w:footer="0" w:gutter="0"/>
          <w:cols w:space="720" w:num="1"/>
        </w:sectPr>
      </w:pPr>
    </w:p>
    <w:p w14:paraId="4AEEC0C9">
      <w:pPr>
        <w:spacing w:line="295" w:lineRule="auto"/>
        <w:rPr>
          <w:rFonts w:ascii="Arial"/>
          <w:sz w:val="21"/>
        </w:rPr>
      </w:pPr>
    </w:p>
    <w:p w14:paraId="325E72E5">
      <w:pPr>
        <w:spacing w:line="296" w:lineRule="auto"/>
        <w:rPr>
          <w:rFonts w:ascii="Arial"/>
          <w:sz w:val="21"/>
        </w:rPr>
      </w:pPr>
    </w:p>
    <w:p w14:paraId="5112F479">
      <w:pPr>
        <w:spacing w:line="296" w:lineRule="auto"/>
        <w:rPr>
          <w:rFonts w:ascii="Arial"/>
          <w:sz w:val="21"/>
        </w:rPr>
      </w:pPr>
    </w:p>
    <w:p w14:paraId="714A1E10">
      <w:pPr>
        <w:spacing w:line="296" w:lineRule="auto"/>
        <w:rPr>
          <w:rFonts w:ascii="Arial"/>
          <w:sz w:val="21"/>
        </w:rPr>
      </w:pPr>
    </w:p>
    <w:p w14:paraId="5FA19168">
      <w:pPr>
        <w:spacing w:line="12801" w:lineRule="exact"/>
      </w:pPr>
      <w:r>
        <w:rPr>
          <w:position w:val="-256"/>
        </w:rPr>
        <w:drawing>
          <wp:inline distT="0" distB="0" distL="0" distR="0">
            <wp:extent cx="5735955" cy="812863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307"/>
                    <a:stretch>
                      <a:fillRect/>
                    </a:stretch>
                  </pic:blipFill>
                  <pic:spPr>
                    <a:xfrm>
                      <a:off x="0" y="0"/>
                      <a:ext cx="5736335" cy="8129016"/>
                    </a:xfrm>
                    <a:prstGeom prst="rect">
                      <a:avLst/>
                    </a:prstGeom>
                  </pic:spPr>
                </pic:pic>
              </a:graphicData>
            </a:graphic>
          </wp:inline>
        </w:drawing>
      </w:r>
    </w:p>
    <w:p w14:paraId="76FBF38E">
      <w:pPr>
        <w:spacing w:line="12801" w:lineRule="exact"/>
        <w:sectPr>
          <w:pgSz w:w="11906" w:h="16839"/>
          <w:pgMar w:top="400" w:right="1454" w:bottom="400" w:left="1418" w:header="0" w:footer="0" w:gutter="0"/>
          <w:cols w:space="720" w:num="1"/>
        </w:sectPr>
      </w:pPr>
    </w:p>
    <w:p w14:paraId="798B34C8">
      <w:pPr>
        <w:spacing w:line="267" w:lineRule="auto"/>
        <w:rPr>
          <w:rFonts w:ascii="Arial"/>
          <w:sz w:val="21"/>
        </w:rPr>
      </w:pPr>
    </w:p>
    <w:p w14:paraId="26ED9A25">
      <w:pPr>
        <w:spacing w:line="267" w:lineRule="auto"/>
        <w:rPr>
          <w:rFonts w:ascii="Arial"/>
          <w:sz w:val="21"/>
        </w:rPr>
      </w:pPr>
    </w:p>
    <w:p w14:paraId="22C937C0">
      <w:pPr>
        <w:spacing w:line="267" w:lineRule="auto"/>
        <w:rPr>
          <w:rFonts w:ascii="Arial"/>
          <w:sz w:val="21"/>
        </w:rPr>
      </w:pPr>
    </w:p>
    <w:p w14:paraId="7CE4D080">
      <w:pPr>
        <w:spacing w:line="267" w:lineRule="auto"/>
        <w:rPr>
          <w:rFonts w:ascii="Arial"/>
          <w:sz w:val="21"/>
        </w:rPr>
      </w:pPr>
    </w:p>
    <w:p w14:paraId="73860B65">
      <w:pPr>
        <w:spacing w:line="12725" w:lineRule="exact"/>
      </w:pPr>
      <w:r>
        <w:rPr>
          <w:position w:val="-254"/>
        </w:rPr>
        <w:drawing>
          <wp:inline distT="0" distB="0" distL="0" distR="0">
            <wp:extent cx="5732780" cy="807974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308"/>
                    <a:stretch>
                      <a:fillRect/>
                    </a:stretch>
                  </pic:blipFill>
                  <pic:spPr>
                    <a:xfrm>
                      <a:off x="0" y="0"/>
                      <a:ext cx="5733288" cy="8080247"/>
                    </a:xfrm>
                    <a:prstGeom prst="rect">
                      <a:avLst/>
                    </a:prstGeom>
                  </pic:spPr>
                </pic:pic>
              </a:graphicData>
            </a:graphic>
          </wp:inline>
        </w:drawing>
      </w:r>
    </w:p>
    <w:p w14:paraId="269EE9C8">
      <w:pPr>
        <w:spacing w:line="12725" w:lineRule="exact"/>
        <w:sectPr>
          <w:pgSz w:w="11906" w:h="16839"/>
          <w:pgMar w:top="400" w:right="1461" w:bottom="400" w:left="1415" w:header="0" w:footer="0" w:gutter="0"/>
          <w:cols w:space="720" w:num="1"/>
        </w:sectPr>
      </w:pPr>
    </w:p>
    <w:p w14:paraId="7719BF2C">
      <w:pPr>
        <w:spacing w:line="272" w:lineRule="auto"/>
        <w:rPr>
          <w:rFonts w:ascii="Arial"/>
          <w:sz w:val="21"/>
        </w:rPr>
      </w:pPr>
    </w:p>
    <w:p w14:paraId="614D0648">
      <w:pPr>
        <w:spacing w:line="272" w:lineRule="auto"/>
        <w:rPr>
          <w:rFonts w:ascii="Arial"/>
          <w:sz w:val="21"/>
        </w:rPr>
      </w:pPr>
    </w:p>
    <w:p w14:paraId="56E57B41">
      <w:pPr>
        <w:spacing w:line="273" w:lineRule="auto"/>
        <w:rPr>
          <w:rFonts w:ascii="Arial"/>
          <w:sz w:val="21"/>
        </w:rPr>
      </w:pPr>
    </w:p>
    <w:p w14:paraId="3BAACF88">
      <w:pPr>
        <w:spacing w:line="273" w:lineRule="auto"/>
        <w:rPr>
          <w:rFonts w:ascii="Arial"/>
          <w:sz w:val="21"/>
        </w:rPr>
      </w:pPr>
    </w:p>
    <w:p w14:paraId="56947531">
      <w:pPr>
        <w:spacing w:line="12676" w:lineRule="exact"/>
      </w:pPr>
      <w:r>
        <w:rPr>
          <w:position w:val="-253"/>
        </w:rPr>
        <w:drawing>
          <wp:inline distT="0" distB="0" distL="0" distR="0">
            <wp:extent cx="5715000" cy="804926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309"/>
                    <a:stretch>
                      <a:fillRect/>
                    </a:stretch>
                  </pic:blipFill>
                  <pic:spPr>
                    <a:xfrm>
                      <a:off x="0" y="0"/>
                      <a:ext cx="5715000" cy="8049767"/>
                    </a:xfrm>
                    <a:prstGeom prst="rect">
                      <a:avLst/>
                    </a:prstGeom>
                  </pic:spPr>
                </pic:pic>
              </a:graphicData>
            </a:graphic>
          </wp:inline>
        </w:drawing>
      </w:r>
    </w:p>
    <w:p w14:paraId="48FA0542">
      <w:pPr>
        <w:spacing w:line="12676" w:lineRule="exact"/>
        <w:sectPr>
          <w:pgSz w:w="11906" w:h="16839"/>
          <w:pgMar w:top="400" w:right="1490" w:bottom="400" w:left="1415" w:header="0" w:footer="0" w:gutter="0"/>
          <w:cols w:space="720" w:num="1"/>
        </w:sectPr>
      </w:pPr>
    </w:p>
    <w:p w14:paraId="1B3144F2">
      <w:pPr>
        <w:spacing w:line="271" w:lineRule="auto"/>
        <w:rPr>
          <w:rFonts w:ascii="Arial"/>
          <w:sz w:val="21"/>
        </w:rPr>
      </w:pPr>
    </w:p>
    <w:p w14:paraId="3568F162">
      <w:pPr>
        <w:spacing w:line="271" w:lineRule="auto"/>
        <w:rPr>
          <w:rFonts w:ascii="Arial"/>
          <w:sz w:val="21"/>
        </w:rPr>
      </w:pPr>
    </w:p>
    <w:p w14:paraId="5C21AD71">
      <w:pPr>
        <w:spacing w:line="271" w:lineRule="auto"/>
        <w:rPr>
          <w:rFonts w:ascii="Arial"/>
          <w:sz w:val="21"/>
        </w:rPr>
      </w:pPr>
    </w:p>
    <w:p w14:paraId="7EE29045">
      <w:pPr>
        <w:spacing w:line="271" w:lineRule="auto"/>
        <w:rPr>
          <w:rFonts w:ascii="Arial"/>
          <w:sz w:val="21"/>
        </w:rPr>
      </w:pPr>
    </w:p>
    <w:p w14:paraId="19F1ED2B">
      <w:pPr>
        <w:spacing w:line="12691" w:lineRule="exact"/>
      </w:pPr>
      <w:r>
        <w:rPr>
          <w:position w:val="-253"/>
        </w:rPr>
        <w:drawing>
          <wp:inline distT="0" distB="0" distL="0" distR="0">
            <wp:extent cx="5713095" cy="805878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310"/>
                    <a:stretch>
                      <a:fillRect/>
                    </a:stretch>
                  </pic:blipFill>
                  <pic:spPr>
                    <a:xfrm>
                      <a:off x="0" y="0"/>
                      <a:ext cx="5713475" cy="8058911"/>
                    </a:xfrm>
                    <a:prstGeom prst="rect">
                      <a:avLst/>
                    </a:prstGeom>
                  </pic:spPr>
                </pic:pic>
              </a:graphicData>
            </a:graphic>
          </wp:inline>
        </w:drawing>
      </w:r>
    </w:p>
    <w:p w14:paraId="341604AA">
      <w:pPr>
        <w:spacing w:line="12691" w:lineRule="exact"/>
        <w:sectPr>
          <w:pgSz w:w="11906" w:h="16839"/>
          <w:pgMar w:top="400" w:right="1492" w:bottom="400" w:left="1416" w:header="0" w:footer="0" w:gutter="0"/>
          <w:cols w:space="720" w:num="1"/>
        </w:sectPr>
      </w:pPr>
    </w:p>
    <w:p w14:paraId="5EED35F7">
      <w:pPr>
        <w:spacing w:line="263" w:lineRule="auto"/>
        <w:rPr>
          <w:rFonts w:ascii="Arial"/>
          <w:sz w:val="21"/>
        </w:rPr>
      </w:pPr>
    </w:p>
    <w:p w14:paraId="357C6821">
      <w:pPr>
        <w:spacing w:line="263" w:lineRule="auto"/>
        <w:rPr>
          <w:rFonts w:ascii="Arial"/>
          <w:sz w:val="21"/>
        </w:rPr>
      </w:pPr>
    </w:p>
    <w:p w14:paraId="1DCF6CBF">
      <w:pPr>
        <w:spacing w:line="263" w:lineRule="auto"/>
        <w:rPr>
          <w:rFonts w:ascii="Arial"/>
          <w:sz w:val="21"/>
        </w:rPr>
      </w:pPr>
    </w:p>
    <w:p w14:paraId="0CBC3D67">
      <w:pPr>
        <w:spacing w:line="263" w:lineRule="auto"/>
        <w:rPr>
          <w:rFonts w:ascii="Arial"/>
          <w:sz w:val="21"/>
        </w:rPr>
      </w:pPr>
    </w:p>
    <w:p w14:paraId="2FF908C7">
      <w:pPr>
        <w:spacing w:line="12751" w:lineRule="exact"/>
      </w:pPr>
      <w:r>
        <w:rPr>
          <w:position w:val="-255"/>
        </w:rPr>
        <w:drawing>
          <wp:inline distT="0" distB="0" distL="0" distR="0">
            <wp:extent cx="5737225" cy="809688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311"/>
                    <a:stretch>
                      <a:fillRect/>
                    </a:stretch>
                  </pic:blipFill>
                  <pic:spPr>
                    <a:xfrm>
                      <a:off x="0" y="0"/>
                      <a:ext cx="5737859" cy="8097011"/>
                    </a:xfrm>
                    <a:prstGeom prst="rect">
                      <a:avLst/>
                    </a:prstGeom>
                  </pic:spPr>
                </pic:pic>
              </a:graphicData>
            </a:graphic>
          </wp:inline>
        </w:drawing>
      </w:r>
    </w:p>
    <w:p w14:paraId="5A0628CA">
      <w:pPr>
        <w:spacing w:line="12751" w:lineRule="exact"/>
        <w:sectPr>
          <w:pgSz w:w="11906" w:h="16839"/>
          <w:pgMar w:top="400" w:right="1451" w:bottom="400" w:left="1418" w:header="0" w:footer="0" w:gutter="0"/>
          <w:cols w:space="720" w:num="1"/>
        </w:sectPr>
      </w:pPr>
    </w:p>
    <w:p w14:paraId="03F53647">
      <w:pPr>
        <w:spacing w:line="279" w:lineRule="auto"/>
        <w:rPr>
          <w:rFonts w:ascii="Arial"/>
          <w:sz w:val="21"/>
        </w:rPr>
      </w:pPr>
    </w:p>
    <w:p w14:paraId="18231C4B">
      <w:pPr>
        <w:spacing w:line="279" w:lineRule="auto"/>
        <w:rPr>
          <w:rFonts w:ascii="Arial"/>
          <w:sz w:val="21"/>
        </w:rPr>
      </w:pPr>
    </w:p>
    <w:p w14:paraId="2A828674">
      <w:pPr>
        <w:spacing w:line="280" w:lineRule="auto"/>
        <w:rPr>
          <w:rFonts w:ascii="Arial"/>
          <w:sz w:val="21"/>
        </w:rPr>
      </w:pPr>
    </w:p>
    <w:p w14:paraId="2AAD5615">
      <w:pPr>
        <w:spacing w:line="280" w:lineRule="auto"/>
        <w:rPr>
          <w:rFonts w:ascii="Arial"/>
          <w:sz w:val="21"/>
        </w:rPr>
      </w:pPr>
    </w:p>
    <w:p w14:paraId="4BB7FD6D">
      <w:pPr>
        <w:spacing w:before="65" w:line="226" w:lineRule="auto"/>
        <w:ind w:left="24"/>
        <w:outlineLvl w:val="0"/>
        <w:rPr>
          <w:rFonts w:ascii="宋体" w:hAnsi="宋体" w:eastAsia="宋体" w:cs="宋体"/>
          <w:sz w:val="20"/>
          <w:szCs w:val="20"/>
        </w:rPr>
      </w:pPr>
      <w:r>
        <w:rPr>
          <w:rFonts w:ascii="宋体" w:hAnsi="宋体" w:eastAsia="宋体" w:cs="宋体"/>
          <w:b/>
          <w:bCs/>
          <w:spacing w:val="5"/>
          <w:sz w:val="20"/>
          <w:szCs w:val="20"/>
        </w:rPr>
        <w:t>附件</w:t>
      </w:r>
      <w:r>
        <w:rPr>
          <w:rFonts w:ascii="宋体" w:hAnsi="宋体" w:eastAsia="宋体" w:cs="宋体"/>
          <w:spacing w:val="-5"/>
          <w:sz w:val="20"/>
          <w:szCs w:val="20"/>
        </w:rPr>
        <w:t xml:space="preserve"> </w:t>
      </w:r>
      <w:r>
        <w:rPr>
          <w:rFonts w:ascii="宋体" w:hAnsi="宋体" w:eastAsia="宋体" w:cs="宋体"/>
          <w:b/>
          <w:bCs/>
          <w:spacing w:val="5"/>
          <w:sz w:val="20"/>
          <w:szCs w:val="20"/>
        </w:rPr>
        <w:t>10：原项目废水处理站出水水质监测报告</w:t>
      </w:r>
    </w:p>
    <w:p w14:paraId="3B632305">
      <w:pPr>
        <w:spacing w:line="313" w:lineRule="auto"/>
        <w:rPr>
          <w:rFonts w:ascii="Arial"/>
          <w:sz w:val="21"/>
        </w:rPr>
      </w:pPr>
    </w:p>
    <w:p w14:paraId="37F6F60B">
      <w:pPr>
        <w:spacing w:line="12828" w:lineRule="exact"/>
      </w:pPr>
      <w:r>
        <w:rPr>
          <w:position w:val="-256"/>
        </w:rPr>
        <w:drawing>
          <wp:inline distT="0" distB="0" distL="0" distR="0">
            <wp:extent cx="5758815" cy="814578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12"/>
                    <a:stretch>
                      <a:fillRect/>
                    </a:stretch>
                  </pic:blipFill>
                  <pic:spPr>
                    <a:xfrm>
                      <a:off x="0" y="0"/>
                      <a:ext cx="5759195" cy="8145780"/>
                    </a:xfrm>
                    <a:prstGeom prst="rect">
                      <a:avLst/>
                    </a:prstGeom>
                  </pic:spPr>
                </pic:pic>
              </a:graphicData>
            </a:graphic>
          </wp:inline>
        </w:drawing>
      </w:r>
    </w:p>
    <w:p w14:paraId="17D9E398">
      <w:pPr>
        <w:spacing w:line="12828" w:lineRule="exact"/>
        <w:sectPr>
          <w:pgSz w:w="11906" w:h="16839"/>
          <w:pgMar w:top="400" w:right="1420" w:bottom="400" w:left="1416" w:header="0" w:footer="0" w:gutter="0"/>
          <w:cols w:space="720" w:num="1"/>
        </w:sectPr>
      </w:pPr>
    </w:p>
    <w:p w14:paraId="3E719A95">
      <w:pPr>
        <w:spacing w:line="292" w:lineRule="auto"/>
        <w:rPr>
          <w:rFonts w:ascii="Arial"/>
          <w:sz w:val="21"/>
        </w:rPr>
      </w:pPr>
    </w:p>
    <w:p w14:paraId="65E2C87A">
      <w:pPr>
        <w:spacing w:line="293" w:lineRule="auto"/>
        <w:rPr>
          <w:rFonts w:ascii="Arial"/>
          <w:sz w:val="21"/>
        </w:rPr>
      </w:pPr>
    </w:p>
    <w:p w14:paraId="32C65482">
      <w:pPr>
        <w:spacing w:line="293" w:lineRule="auto"/>
        <w:rPr>
          <w:rFonts w:ascii="Arial"/>
          <w:sz w:val="21"/>
        </w:rPr>
      </w:pPr>
    </w:p>
    <w:p w14:paraId="721D5439">
      <w:pPr>
        <w:spacing w:line="293" w:lineRule="auto"/>
        <w:rPr>
          <w:rFonts w:ascii="Arial"/>
          <w:sz w:val="21"/>
        </w:rPr>
      </w:pPr>
    </w:p>
    <w:p w14:paraId="37D0F5B0">
      <w:pPr>
        <w:spacing w:line="12828" w:lineRule="exact"/>
      </w:pPr>
      <w:r>
        <w:rPr>
          <w:position w:val="-256"/>
        </w:rPr>
        <w:drawing>
          <wp:inline distT="0" distB="0" distL="0" distR="0">
            <wp:extent cx="5758815" cy="814578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313"/>
                    <a:stretch>
                      <a:fillRect/>
                    </a:stretch>
                  </pic:blipFill>
                  <pic:spPr>
                    <a:xfrm>
                      <a:off x="0" y="0"/>
                      <a:ext cx="5759195" cy="8145780"/>
                    </a:xfrm>
                    <a:prstGeom prst="rect">
                      <a:avLst/>
                    </a:prstGeom>
                  </pic:spPr>
                </pic:pic>
              </a:graphicData>
            </a:graphic>
          </wp:inline>
        </w:drawing>
      </w:r>
    </w:p>
    <w:p w14:paraId="0630DF2E">
      <w:pPr>
        <w:spacing w:line="12828" w:lineRule="exact"/>
        <w:sectPr>
          <w:pgSz w:w="11906" w:h="16839"/>
          <w:pgMar w:top="400" w:right="1420" w:bottom="400" w:left="1416" w:header="0" w:footer="0" w:gutter="0"/>
          <w:cols w:space="720" w:num="1"/>
        </w:sectPr>
      </w:pPr>
    </w:p>
    <w:p w14:paraId="634668F0">
      <w:pPr>
        <w:spacing w:line="292" w:lineRule="auto"/>
        <w:rPr>
          <w:rFonts w:ascii="Arial"/>
          <w:sz w:val="21"/>
        </w:rPr>
      </w:pPr>
    </w:p>
    <w:p w14:paraId="10FAAC91">
      <w:pPr>
        <w:spacing w:line="293" w:lineRule="auto"/>
        <w:rPr>
          <w:rFonts w:ascii="Arial"/>
          <w:sz w:val="21"/>
        </w:rPr>
      </w:pPr>
    </w:p>
    <w:p w14:paraId="2D86ACB6">
      <w:pPr>
        <w:spacing w:line="293" w:lineRule="auto"/>
        <w:rPr>
          <w:rFonts w:ascii="Arial"/>
          <w:sz w:val="21"/>
        </w:rPr>
      </w:pPr>
    </w:p>
    <w:p w14:paraId="2873D786">
      <w:pPr>
        <w:spacing w:line="293" w:lineRule="auto"/>
        <w:rPr>
          <w:rFonts w:ascii="Arial"/>
          <w:sz w:val="21"/>
        </w:rPr>
      </w:pPr>
    </w:p>
    <w:p w14:paraId="28930519">
      <w:pPr>
        <w:spacing w:line="12828" w:lineRule="exact"/>
      </w:pPr>
      <w:r>
        <w:rPr>
          <w:position w:val="-256"/>
        </w:rPr>
        <w:drawing>
          <wp:inline distT="0" distB="0" distL="0" distR="0">
            <wp:extent cx="5758815" cy="814578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314"/>
                    <a:stretch>
                      <a:fillRect/>
                    </a:stretch>
                  </pic:blipFill>
                  <pic:spPr>
                    <a:xfrm>
                      <a:off x="0" y="0"/>
                      <a:ext cx="5759195" cy="8145780"/>
                    </a:xfrm>
                    <a:prstGeom prst="rect">
                      <a:avLst/>
                    </a:prstGeom>
                  </pic:spPr>
                </pic:pic>
              </a:graphicData>
            </a:graphic>
          </wp:inline>
        </w:drawing>
      </w:r>
    </w:p>
    <w:p w14:paraId="544B1A03">
      <w:pPr>
        <w:spacing w:line="12828" w:lineRule="exact"/>
        <w:sectPr>
          <w:pgSz w:w="11906" w:h="16839"/>
          <w:pgMar w:top="400" w:right="1420" w:bottom="400" w:left="1416" w:header="0" w:footer="0" w:gutter="0"/>
          <w:cols w:space="720" w:num="1"/>
        </w:sectPr>
      </w:pPr>
    </w:p>
    <w:p w14:paraId="0AA34538">
      <w:pPr>
        <w:spacing w:line="292" w:lineRule="auto"/>
        <w:rPr>
          <w:rFonts w:ascii="Arial"/>
          <w:sz w:val="21"/>
        </w:rPr>
      </w:pPr>
    </w:p>
    <w:p w14:paraId="7EB34784">
      <w:pPr>
        <w:spacing w:line="293" w:lineRule="auto"/>
        <w:rPr>
          <w:rFonts w:ascii="Arial"/>
          <w:sz w:val="21"/>
        </w:rPr>
      </w:pPr>
    </w:p>
    <w:p w14:paraId="652C0B75">
      <w:pPr>
        <w:spacing w:line="293" w:lineRule="auto"/>
        <w:rPr>
          <w:rFonts w:ascii="Arial"/>
          <w:sz w:val="21"/>
        </w:rPr>
      </w:pPr>
    </w:p>
    <w:p w14:paraId="20E26D46">
      <w:pPr>
        <w:spacing w:line="293" w:lineRule="auto"/>
        <w:rPr>
          <w:rFonts w:ascii="Arial"/>
          <w:sz w:val="21"/>
        </w:rPr>
      </w:pPr>
    </w:p>
    <w:p w14:paraId="1A3447BD">
      <w:pPr>
        <w:spacing w:line="12828" w:lineRule="exact"/>
      </w:pPr>
      <w:r>
        <w:rPr>
          <w:position w:val="-256"/>
        </w:rPr>
        <w:drawing>
          <wp:inline distT="0" distB="0" distL="0" distR="0">
            <wp:extent cx="5758815" cy="814578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315"/>
                    <a:stretch>
                      <a:fillRect/>
                    </a:stretch>
                  </pic:blipFill>
                  <pic:spPr>
                    <a:xfrm>
                      <a:off x="0" y="0"/>
                      <a:ext cx="5759195" cy="8145780"/>
                    </a:xfrm>
                    <a:prstGeom prst="rect">
                      <a:avLst/>
                    </a:prstGeom>
                  </pic:spPr>
                </pic:pic>
              </a:graphicData>
            </a:graphic>
          </wp:inline>
        </w:drawing>
      </w:r>
    </w:p>
    <w:p w14:paraId="619EC9D4">
      <w:pPr>
        <w:spacing w:line="12828" w:lineRule="exact"/>
        <w:sectPr>
          <w:pgSz w:w="11906" w:h="16839"/>
          <w:pgMar w:top="400" w:right="1420" w:bottom="400" w:left="1416" w:header="0" w:footer="0" w:gutter="0"/>
          <w:cols w:space="720" w:num="1"/>
        </w:sectPr>
      </w:pPr>
    </w:p>
    <w:p w14:paraId="6F0B0AA2">
      <w:pPr>
        <w:spacing w:line="292" w:lineRule="auto"/>
        <w:rPr>
          <w:rFonts w:ascii="Arial"/>
          <w:sz w:val="21"/>
        </w:rPr>
      </w:pPr>
    </w:p>
    <w:p w14:paraId="422513FA">
      <w:pPr>
        <w:spacing w:line="293" w:lineRule="auto"/>
        <w:rPr>
          <w:rFonts w:ascii="Arial"/>
          <w:sz w:val="21"/>
        </w:rPr>
      </w:pPr>
    </w:p>
    <w:p w14:paraId="2E154197">
      <w:pPr>
        <w:spacing w:line="293" w:lineRule="auto"/>
        <w:rPr>
          <w:rFonts w:ascii="Arial"/>
          <w:sz w:val="21"/>
        </w:rPr>
      </w:pPr>
    </w:p>
    <w:p w14:paraId="236BC71F">
      <w:pPr>
        <w:spacing w:line="293" w:lineRule="auto"/>
        <w:rPr>
          <w:rFonts w:ascii="Arial"/>
          <w:sz w:val="21"/>
        </w:rPr>
      </w:pPr>
    </w:p>
    <w:p w14:paraId="2C4FD55F">
      <w:pPr>
        <w:spacing w:line="12828" w:lineRule="exact"/>
      </w:pPr>
      <w:r>
        <w:rPr>
          <w:position w:val="-256"/>
        </w:rPr>
        <w:drawing>
          <wp:inline distT="0" distB="0" distL="0" distR="0">
            <wp:extent cx="5758815" cy="814578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316"/>
                    <a:stretch>
                      <a:fillRect/>
                    </a:stretch>
                  </pic:blipFill>
                  <pic:spPr>
                    <a:xfrm>
                      <a:off x="0" y="0"/>
                      <a:ext cx="5759195" cy="8145780"/>
                    </a:xfrm>
                    <a:prstGeom prst="rect">
                      <a:avLst/>
                    </a:prstGeom>
                  </pic:spPr>
                </pic:pic>
              </a:graphicData>
            </a:graphic>
          </wp:inline>
        </w:drawing>
      </w:r>
    </w:p>
    <w:p w14:paraId="7DDC2EE4">
      <w:pPr>
        <w:spacing w:line="12828" w:lineRule="exact"/>
        <w:sectPr>
          <w:pgSz w:w="11906" w:h="16839"/>
          <w:pgMar w:top="400" w:right="1420" w:bottom="400" w:left="1416" w:header="0" w:footer="0" w:gutter="0"/>
          <w:cols w:space="720" w:num="1"/>
        </w:sectPr>
      </w:pPr>
    </w:p>
    <w:p w14:paraId="05F01159">
      <w:pPr>
        <w:spacing w:line="292" w:lineRule="auto"/>
        <w:rPr>
          <w:rFonts w:ascii="Arial"/>
          <w:sz w:val="21"/>
        </w:rPr>
      </w:pPr>
    </w:p>
    <w:p w14:paraId="6E20F0B5">
      <w:pPr>
        <w:spacing w:line="293" w:lineRule="auto"/>
        <w:rPr>
          <w:rFonts w:ascii="Arial"/>
          <w:sz w:val="21"/>
        </w:rPr>
      </w:pPr>
    </w:p>
    <w:p w14:paraId="24428570">
      <w:pPr>
        <w:spacing w:line="293" w:lineRule="auto"/>
        <w:rPr>
          <w:rFonts w:ascii="Arial"/>
          <w:sz w:val="21"/>
        </w:rPr>
      </w:pPr>
    </w:p>
    <w:p w14:paraId="0517E965">
      <w:pPr>
        <w:spacing w:line="293" w:lineRule="auto"/>
        <w:rPr>
          <w:rFonts w:ascii="Arial"/>
          <w:sz w:val="21"/>
        </w:rPr>
      </w:pPr>
    </w:p>
    <w:p w14:paraId="60411499">
      <w:pPr>
        <w:spacing w:line="12828" w:lineRule="exact"/>
      </w:pPr>
      <w:r>
        <w:rPr>
          <w:position w:val="-256"/>
        </w:rPr>
        <w:drawing>
          <wp:inline distT="0" distB="0" distL="0" distR="0">
            <wp:extent cx="5758815" cy="814578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17"/>
                    <a:stretch>
                      <a:fillRect/>
                    </a:stretch>
                  </pic:blipFill>
                  <pic:spPr>
                    <a:xfrm>
                      <a:off x="0" y="0"/>
                      <a:ext cx="5759195" cy="8145780"/>
                    </a:xfrm>
                    <a:prstGeom prst="rect">
                      <a:avLst/>
                    </a:prstGeom>
                  </pic:spPr>
                </pic:pic>
              </a:graphicData>
            </a:graphic>
          </wp:inline>
        </w:drawing>
      </w:r>
    </w:p>
    <w:p w14:paraId="7B04E0CC">
      <w:pPr>
        <w:spacing w:line="12828" w:lineRule="exact"/>
        <w:sectPr>
          <w:pgSz w:w="11906" w:h="16839"/>
          <w:pgMar w:top="400" w:right="1420" w:bottom="400" w:left="1416" w:header="0" w:footer="0" w:gutter="0"/>
          <w:cols w:space="720" w:num="1"/>
        </w:sectPr>
      </w:pPr>
    </w:p>
    <w:p w14:paraId="211400A2">
      <w:pPr>
        <w:spacing w:line="292" w:lineRule="auto"/>
        <w:rPr>
          <w:rFonts w:ascii="Arial"/>
          <w:sz w:val="21"/>
        </w:rPr>
      </w:pPr>
    </w:p>
    <w:p w14:paraId="44E6ACE4">
      <w:pPr>
        <w:spacing w:line="293" w:lineRule="auto"/>
        <w:rPr>
          <w:rFonts w:ascii="Arial"/>
          <w:sz w:val="21"/>
        </w:rPr>
      </w:pPr>
    </w:p>
    <w:p w14:paraId="15887CC6">
      <w:pPr>
        <w:spacing w:line="293" w:lineRule="auto"/>
        <w:rPr>
          <w:rFonts w:ascii="Arial"/>
          <w:sz w:val="21"/>
        </w:rPr>
      </w:pPr>
    </w:p>
    <w:p w14:paraId="5C6504FD">
      <w:pPr>
        <w:spacing w:line="293" w:lineRule="auto"/>
        <w:rPr>
          <w:rFonts w:ascii="Arial"/>
          <w:sz w:val="21"/>
        </w:rPr>
      </w:pPr>
    </w:p>
    <w:p w14:paraId="76D8A050">
      <w:pPr>
        <w:spacing w:line="12828" w:lineRule="exact"/>
      </w:pPr>
      <w:r>
        <w:rPr>
          <w:position w:val="-256"/>
        </w:rPr>
        <w:drawing>
          <wp:inline distT="0" distB="0" distL="0" distR="0">
            <wp:extent cx="5758815" cy="814578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318"/>
                    <a:stretch>
                      <a:fillRect/>
                    </a:stretch>
                  </pic:blipFill>
                  <pic:spPr>
                    <a:xfrm>
                      <a:off x="0" y="0"/>
                      <a:ext cx="5759195" cy="8145780"/>
                    </a:xfrm>
                    <a:prstGeom prst="rect">
                      <a:avLst/>
                    </a:prstGeom>
                  </pic:spPr>
                </pic:pic>
              </a:graphicData>
            </a:graphic>
          </wp:inline>
        </w:drawing>
      </w:r>
    </w:p>
    <w:p w14:paraId="3B460D6D">
      <w:pPr>
        <w:spacing w:line="12828" w:lineRule="exact"/>
        <w:sectPr>
          <w:pgSz w:w="11906" w:h="16839"/>
          <w:pgMar w:top="400" w:right="1420" w:bottom="400" w:left="1416" w:header="0" w:footer="0" w:gutter="0"/>
          <w:cols w:space="720" w:num="1"/>
        </w:sectPr>
      </w:pPr>
    </w:p>
    <w:p w14:paraId="5A3350FD">
      <w:pPr>
        <w:spacing w:line="279" w:lineRule="auto"/>
        <w:rPr>
          <w:rFonts w:ascii="Arial"/>
          <w:sz w:val="21"/>
        </w:rPr>
      </w:pPr>
    </w:p>
    <w:p w14:paraId="2EE07E83">
      <w:pPr>
        <w:spacing w:line="279" w:lineRule="auto"/>
        <w:rPr>
          <w:rFonts w:ascii="Arial"/>
          <w:sz w:val="21"/>
        </w:rPr>
      </w:pPr>
    </w:p>
    <w:p w14:paraId="7D1912EF">
      <w:pPr>
        <w:spacing w:line="280" w:lineRule="auto"/>
        <w:rPr>
          <w:rFonts w:ascii="Arial"/>
          <w:sz w:val="21"/>
        </w:rPr>
      </w:pPr>
    </w:p>
    <w:p w14:paraId="7DD9AFE0">
      <w:pPr>
        <w:spacing w:line="280" w:lineRule="auto"/>
        <w:rPr>
          <w:rFonts w:ascii="Arial"/>
          <w:sz w:val="21"/>
        </w:rPr>
      </w:pPr>
    </w:p>
    <w:p w14:paraId="6A6D8B40">
      <w:pPr>
        <w:spacing w:before="65" w:line="226" w:lineRule="auto"/>
        <w:ind w:left="22"/>
        <w:outlineLvl w:val="0"/>
        <w:rPr>
          <w:rFonts w:ascii="宋体" w:hAnsi="宋体" w:eastAsia="宋体" w:cs="宋体"/>
          <w:sz w:val="20"/>
          <w:szCs w:val="20"/>
        </w:rPr>
      </w:pPr>
      <w:r>
        <w:rPr>
          <w:rFonts w:ascii="宋体" w:hAnsi="宋体" w:eastAsia="宋体" w:cs="宋体"/>
          <w:b/>
          <w:bCs/>
          <w:spacing w:val="5"/>
          <w:sz w:val="20"/>
          <w:szCs w:val="20"/>
        </w:rPr>
        <w:t>附件</w:t>
      </w:r>
      <w:r>
        <w:rPr>
          <w:rFonts w:ascii="宋体" w:hAnsi="宋体" w:eastAsia="宋体" w:cs="宋体"/>
          <w:spacing w:val="-8"/>
          <w:sz w:val="20"/>
          <w:szCs w:val="20"/>
        </w:rPr>
        <w:t xml:space="preserve"> </w:t>
      </w:r>
      <w:r>
        <w:rPr>
          <w:rFonts w:ascii="宋体" w:hAnsi="宋体" w:eastAsia="宋体" w:cs="宋体"/>
          <w:b/>
          <w:bCs/>
          <w:spacing w:val="5"/>
          <w:sz w:val="20"/>
          <w:szCs w:val="20"/>
        </w:rPr>
        <w:t>11：原项目废水处理站进水水质监测报告</w:t>
      </w:r>
    </w:p>
    <w:p w14:paraId="4D719C9D">
      <w:pPr>
        <w:spacing w:line="258" w:lineRule="auto"/>
        <w:rPr>
          <w:rFonts w:ascii="Arial"/>
          <w:sz w:val="21"/>
        </w:rPr>
      </w:pPr>
    </w:p>
    <w:p w14:paraId="2D33EBDD">
      <w:pPr>
        <w:spacing w:line="12627" w:lineRule="exact"/>
      </w:pPr>
      <w:r>
        <w:rPr>
          <w:position w:val="-252"/>
        </w:rPr>
        <w:drawing>
          <wp:inline distT="0" distB="0" distL="0" distR="0">
            <wp:extent cx="5676900" cy="801751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319"/>
                    <a:stretch>
                      <a:fillRect/>
                    </a:stretch>
                  </pic:blipFill>
                  <pic:spPr>
                    <a:xfrm>
                      <a:off x="0" y="0"/>
                      <a:ext cx="5676900" cy="8017764"/>
                    </a:xfrm>
                    <a:prstGeom prst="rect">
                      <a:avLst/>
                    </a:prstGeom>
                  </pic:spPr>
                </pic:pic>
              </a:graphicData>
            </a:graphic>
          </wp:inline>
        </w:drawing>
      </w:r>
    </w:p>
    <w:p w14:paraId="6F2662BE">
      <w:pPr>
        <w:spacing w:line="12627" w:lineRule="exact"/>
        <w:sectPr>
          <w:pgSz w:w="11906" w:h="16839"/>
          <w:pgMar w:top="400" w:right="1547" w:bottom="400" w:left="1418" w:header="0" w:footer="0" w:gutter="0"/>
          <w:cols w:space="720" w:num="1"/>
        </w:sectPr>
      </w:pPr>
    </w:p>
    <w:p w14:paraId="048C916F">
      <w:pPr>
        <w:spacing w:line="288" w:lineRule="auto"/>
        <w:rPr>
          <w:rFonts w:ascii="Arial"/>
          <w:sz w:val="21"/>
        </w:rPr>
      </w:pPr>
    </w:p>
    <w:p w14:paraId="57FAFB03">
      <w:pPr>
        <w:spacing w:line="288" w:lineRule="auto"/>
        <w:rPr>
          <w:rFonts w:ascii="Arial"/>
          <w:sz w:val="21"/>
        </w:rPr>
      </w:pPr>
    </w:p>
    <w:p w14:paraId="70E10726">
      <w:pPr>
        <w:spacing w:line="288" w:lineRule="auto"/>
        <w:rPr>
          <w:rFonts w:ascii="Arial"/>
          <w:sz w:val="21"/>
        </w:rPr>
      </w:pPr>
    </w:p>
    <w:p w14:paraId="5DB9B9BE">
      <w:pPr>
        <w:spacing w:line="288" w:lineRule="auto"/>
        <w:rPr>
          <w:rFonts w:ascii="Arial"/>
          <w:sz w:val="21"/>
        </w:rPr>
      </w:pPr>
    </w:p>
    <w:p w14:paraId="5D387959">
      <w:pPr>
        <w:spacing w:line="12861" w:lineRule="exact"/>
      </w:pPr>
      <w:r>
        <w:rPr>
          <w:position w:val="-257"/>
        </w:rPr>
        <w:drawing>
          <wp:inline distT="0" distB="0" distL="0" distR="0">
            <wp:extent cx="5760720" cy="816673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320"/>
                    <a:stretch>
                      <a:fillRect/>
                    </a:stretch>
                  </pic:blipFill>
                  <pic:spPr>
                    <a:xfrm>
                      <a:off x="0" y="0"/>
                      <a:ext cx="5760720" cy="8167116"/>
                    </a:xfrm>
                    <a:prstGeom prst="rect">
                      <a:avLst/>
                    </a:prstGeom>
                  </pic:spPr>
                </pic:pic>
              </a:graphicData>
            </a:graphic>
          </wp:inline>
        </w:drawing>
      </w:r>
    </w:p>
    <w:p w14:paraId="27B84051">
      <w:pPr>
        <w:spacing w:line="12861" w:lineRule="exact"/>
        <w:sectPr>
          <w:pgSz w:w="11906" w:h="16839"/>
          <w:pgMar w:top="400" w:right="1417" w:bottom="400" w:left="1416" w:header="0" w:footer="0" w:gutter="0"/>
          <w:cols w:space="720" w:num="1"/>
        </w:sectPr>
      </w:pPr>
    </w:p>
    <w:p w14:paraId="7465EB22">
      <w:pPr>
        <w:spacing w:line="294" w:lineRule="auto"/>
        <w:rPr>
          <w:rFonts w:ascii="Arial"/>
          <w:sz w:val="21"/>
        </w:rPr>
      </w:pPr>
    </w:p>
    <w:p w14:paraId="24C9889B">
      <w:pPr>
        <w:spacing w:line="294" w:lineRule="auto"/>
        <w:rPr>
          <w:rFonts w:ascii="Arial"/>
          <w:sz w:val="21"/>
        </w:rPr>
      </w:pPr>
    </w:p>
    <w:p w14:paraId="42AD34AA">
      <w:pPr>
        <w:spacing w:line="294" w:lineRule="auto"/>
        <w:rPr>
          <w:rFonts w:ascii="Arial"/>
          <w:sz w:val="21"/>
        </w:rPr>
      </w:pPr>
    </w:p>
    <w:p w14:paraId="7DEB50C1">
      <w:pPr>
        <w:spacing w:line="295" w:lineRule="auto"/>
        <w:rPr>
          <w:rFonts w:ascii="Arial"/>
          <w:sz w:val="21"/>
        </w:rPr>
      </w:pPr>
    </w:p>
    <w:p w14:paraId="1833EAD7">
      <w:pPr>
        <w:spacing w:line="12816" w:lineRule="exact"/>
      </w:pPr>
      <w:r>
        <w:rPr>
          <w:position w:val="-256"/>
        </w:rPr>
        <w:drawing>
          <wp:inline distT="0" distB="0" distL="0" distR="0">
            <wp:extent cx="5760720" cy="813752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321"/>
                    <a:stretch>
                      <a:fillRect/>
                    </a:stretch>
                  </pic:blipFill>
                  <pic:spPr>
                    <a:xfrm>
                      <a:off x="0" y="0"/>
                      <a:ext cx="5760720" cy="8138159"/>
                    </a:xfrm>
                    <a:prstGeom prst="rect">
                      <a:avLst/>
                    </a:prstGeom>
                  </pic:spPr>
                </pic:pic>
              </a:graphicData>
            </a:graphic>
          </wp:inline>
        </w:drawing>
      </w:r>
    </w:p>
    <w:p w14:paraId="4B20BC06">
      <w:pPr>
        <w:spacing w:line="12816" w:lineRule="exact"/>
        <w:sectPr>
          <w:pgSz w:w="11906" w:h="16839"/>
          <w:pgMar w:top="400" w:right="1417" w:bottom="400" w:left="1416" w:header="0" w:footer="0" w:gutter="0"/>
          <w:cols w:space="720" w:num="1"/>
        </w:sectPr>
      </w:pPr>
    </w:p>
    <w:p w14:paraId="772EE16C">
      <w:pPr>
        <w:spacing w:line="287" w:lineRule="auto"/>
        <w:rPr>
          <w:rFonts w:ascii="Arial"/>
          <w:sz w:val="21"/>
        </w:rPr>
      </w:pPr>
    </w:p>
    <w:p w14:paraId="6A79087A">
      <w:pPr>
        <w:spacing w:line="288" w:lineRule="auto"/>
        <w:rPr>
          <w:rFonts w:ascii="Arial"/>
          <w:sz w:val="21"/>
        </w:rPr>
      </w:pPr>
    </w:p>
    <w:p w14:paraId="1C7FCF31">
      <w:pPr>
        <w:spacing w:line="288" w:lineRule="auto"/>
        <w:rPr>
          <w:rFonts w:ascii="Arial"/>
          <w:sz w:val="21"/>
        </w:rPr>
      </w:pPr>
    </w:p>
    <w:p w14:paraId="209D99BB">
      <w:pPr>
        <w:spacing w:line="288" w:lineRule="auto"/>
        <w:rPr>
          <w:rFonts w:ascii="Arial"/>
          <w:sz w:val="21"/>
        </w:rPr>
      </w:pPr>
    </w:p>
    <w:p w14:paraId="6F029290">
      <w:pPr>
        <w:spacing w:line="12864" w:lineRule="exact"/>
      </w:pPr>
      <w:r>
        <w:rPr>
          <w:position w:val="-257"/>
        </w:rPr>
        <w:drawing>
          <wp:inline distT="0" distB="0" distL="0" distR="0">
            <wp:extent cx="5760720" cy="816864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322"/>
                    <a:stretch>
                      <a:fillRect/>
                    </a:stretch>
                  </pic:blipFill>
                  <pic:spPr>
                    <a:xfrm>
                      <a:off x="0" y="0"/>
                      <a:ext cx="5760720" cy="8168640"/>
                    </a:xfrm>
                    <a:prstGeom prst="rect">
                      <a:avLst/>
                    </a:prstGeom>
                  </pic:spPr>
                </pic:pic>
              </a:graphicData>
            </a:graphic>
          </wp:inline>
        </w:drawing>
      </w:r>
    </w:p>
    <w:p w14:paraId="3A9FE014">
      <w:pPr>
        <w:spacing w:line="12864" w:lineRule="exact"/>
        <w:sectPr>
          <w:pgSz w:w="11906" w:h="16839"/>
          <w:pgMar w:top="400" w:right="1417" w:bottom="400" w:left="1416" w:header="0" w:footer="0" w:gutter="0"/>
          <w:cols w:space="720" w:num="1"/>
        </w:sectPr>
      </w:pPr>
    </w:p>
    <w:p w14:paraId="39DD1FBA">
      <w:pPr>
        <w:spacing w:line="294" w:lineRule="auto"/>
        <w:rPr>
          <w:rFonts w:ascii="Arial"/>
          <w:sz w:val="21"/>
        </w:rPr>
      </w:pPr>
    </w:p>
    <w:p w14:paraId="0DE9DA1D">
      <w:pPr>
        <w:spacing w:line="295" w:lineRule="auto"/>
        <w:rPr>
          <w:rFonts w:ascii="Arial"/>
          <w:sz w:val="21"/>
        </w:rPr>
      </w:pPr>
    </w:p>
    <w:p w14:paraId="522359B4">
      <w:pPr>
        <w:spacing w:line="295" w:lineRule="auto"/>
        <w:rPr>
          <w:rFonts w:ascii="Arial"/>
          <w:sz w:val="21"/>
        </w:rPr>
      </w:pPr>
    </w:p>
    <w:p w14:paraId="07307FAE">
      <w:pPr>
        <w:spacing w:line="295" w:lineRule="auto"/>
        <w:rPr>
          <w:rFonts w:ascii="Arial"/>
          <w:sz w:val="21"/>
        </w:rPr>
      </w:pPr>
    </w:p>
    <w:p w14:paraId="27F1E7B4">
      <w:pPr>
        <w:spacing w:line="12812" w:lineRule="exact"/>
      </w:pPr>
      <w:r>
        <w:rPr>
          <w:position w:val="-256"/>
        </w:rPr>
        <w:drawing>
          <wp:inline distT="0" distB="0" distL="0" distR="0">
            <wp:extent cx="5760720" cy="813498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323"/>
                    <a:stretch>
                      <a:fillRect/>
                    </a:stretch>
                  </pic:blipFill>
                  <pic:spPr>
                    <a:xfrm>
                      <a:off x="0" y="0"/>
                      <a:ext cx="5760720" cy="8135111"/>
                    </a:xfrm>
                    <a:prstGeom prst="rect">
                      <a:avLst/>
                    </a:prstGeom>
                  </pic:spPr>
                </pic:pic>
              </a:graphicData>
            </a:graphic>
          </wp:inline>
        </w:drawing>
      </w:r>
    </w:p>
    <w:p w14:paraId="39D93976">
      <w:pPr>
        <w:spacing w:line="12812" w:lineRule="exact"/>
        <w:sectPr>
          <w:pgSz w:w="11906" w:h="16839"/>
          <w:pgMar w:top="400" w:right="1417" w:bottom="400" w:left="1416" w:header="0" w:footer="0" w:gutter="0"/>
          <w:cols w:space="720" w:num="1"/>
        </w:sectPr>
      </w:pPr>
    </w:p>
    <w:p w14:paraId="77B7F9B0">
      <w:pPr>
        <w:spacing w:line="292" w:lineRule="auto"/>
        <w:rPr>
          <w:rFonts w:ascii="Arial"/>
          <w:sz w:val="21"/>
        </w:rPr>
      </w:pPr>
    </w:p>
    <w:p w14:paraId="2AF60C63">
      <w:pPr>
        <w:spacing w:line="292" w:lineRule="auto"/>
        <w:rPr>
          <w:rFonts w:ascii="Arial"/>
          <w:sz w:val="21"/>
        </w:rPr>
      </w:pPr>
    </w:p>
    <w:p w14:paraId="5CC630DB">
      <w:pPr>
        <w:spacing w:line="292" w:lineRule="auto"/>
        <w:rPr>
          <w:rFonts w:ascii="Arial"/>
          <w:sz w:val="21"/>
        </w:rPr>
      </w:pPr>
    </w:p>
    <w:p w14:paraId="62C352B5">
      <w:pPr>
        <w:spacing w:line="292" w:lineRule="auto"/>
        <w:rPr>
          <w:rFonts w:ascii="Arial"/>
          <w:sz w:val="21"/>
        </w:rPr>
      </w:pPr>
    </w:p>
    <w:p w14:paraId="486ECAC8">
      <w:pPr>
        <w:spacing w:line="12833" w:lineRule="exact"/>
      </w:pPr>
      <w:r>
        <w:rPr>
          <w:position w:val="-256"/>
        </w:rPr>
        <w:drawing>
          <wp:inline distT="0" distB="0" distL="0" distR="0">
            <wp:extent cx="5760720" cy="814832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324"/>
                    <a:stretch>
                      <a:fillRect/>
                    </a:stretch>
                  </pic:blipFill>
                  <pic:spPr>
                    <a:xfrm>
                      <a:off x="0" y="0"/>
                      <a:ext cx="5760720" cy="8148827"/>
                    </a:xfrm>
                    <a:prstGeom prst="rect">
                      <a:avLst/>
                    </a:prstGeom>
                  </pic:spPr>
                </pic:pic>
              </a:graphicData>
            </a:graphic>
          </wp:inline>
        </w:drawing>
      </w:r>
    </w:p>
    <w:p w14:paraId="1C1145A5">
      <w:pPr>
        <w:spacing w:line="12833" w:lineRule="exact"/>
        <w:sectPr>
          <w:pgSz w:w="11906" w:h="16839"/>
          <w:pgMar w:top="400" w:right="1417" w:bottom="400" w:left="1416" w:header="0" w:footer="0" w:gutter="0"/>
          <w:cols w:space="720" w:num="1"/>
        </w:sectPr>
      </w:pPr>
    </w:p>
    <w:p w14:paraId="15DAC271">
      <w:pPr>
        <w:spacing w:line="279" w:lineRule="auto"/>
        <w:rPr>
          <w:rFonts w:ascii="Arial"/>
          <w:sz w:val="21"/>
        </w:rPr>
      </w:pPr>
    </w:p>
    <w:p w14:paraId="51DD69A7">
      <w:pPr>
        <w:spacing w:line="279" w:lineRule="auto"/>
        <w:rPr>
          <w:rFonts w:ascii="Arial"/>
          <w:sz w:val="21"/>
        </w:rPr>
      </w:pPr>
    </w:p>
    <w:p w14:paraId="71679C67">
      <w:pPr>
        <w:spacing w:line="280" w:lineRule="auto"/>
        <w:rPr>
          <w:rFonts w:ascii="Arial"/>
          <w:sz w:val="21"/>
        </w:rPr>
      </w:pPr>
    </w:p>
    <w:p w14:paraId="4C31E518">
      <w:pPr>
        <w:spacing w:line="280" w:lineRule="auto"/>
        <w:rPr>
          <w:rFonts w:ascii="Arial"/>
          <w:sz w:val="21"/>
        </w:rPr>
      </w:pPr>
    </w:p>
    <w:p w14:paraId="08BD1C78">
      <w:pPr>
        <w:spacing w:before="65" w:line="227" w:lineRule="auto"/>
        <w:ind w:left="24"/>
        <w:outlineLvl w:val="0"/>
        <w:rPr>
          <w:rFonts w:ascii="宋体" w:hAnsi="宋体" w:eastAsia="宋体" w:cs="宋体"/>
          <w:sz w:val="20"/>
          <w:szCs w:val="20"/>
        </w:rPr>
      </w:pPr>
      <w:r>
        <w:rPr>
          <w:rFonts w:ascii="宋体" w:hAnsi="宋体" w:eastAsia="宋体" w:cs="宋体"/>
          <w:b/>
          <w:bCs/>
          <w:spacing w:val="3"/>
          <w:sz w:val="20"/>
          <w:szCs w:val="20"/>
        </w:rPr>
        <w:t>附件</w:t>
      </w:r>
      <w:r>
        <w:rPr>
          <w:rFonts w:ascii="宋体" w:hAnsi="宋体" w:eastAsia="宋体" w:cs="宋体"/>
          <w:spacing w:val="-20"/>
          <w:sz w:val="20"/>
          <w:szCs w:val="20"/>
        </w:rPr>
        <w:t xml:space="preserve"> </w:t>
      </w:r>
      <w:r>
        <w:rPr>
          <w:rFonts w:ascii="宋体" w:hAnsi="宋体" w:eastAsia="宋体" w:cs="宋体"/>
          <w:b/>
          <w:bCs/>
          <w:spacing w:val="3"/>
          <w:sz w:val="20"/>
          <w:szCs w:val="20"/>
        </w:rPr>
        <w:t>12：氢氟酸的</w:t>
      </w:r>
      <w:r>
        <w:rPr>
          <w:rFonts w:ascii="宋体" w:hAnsi="宋体" w:eastAsia="宋体" w:cs="宋体"/>
          <w:spacing w:val="-44"/>
          <w:sz w:val="20"/>
          <w:szCs w:val="20"/>
        </w:rPr>
        <w:t xml:space="preserve"> </w:t>
      </w:r>
      <w:r>
        <w:rPr>
          <w:rFonts w:ascii="宋体" w:hAnsi="宋体" w:eastAsia="宋体" w:cs="宋体"/>
          <w:b/>
          <w:bCs/>
          <w:sz w:val="20"/>
          <w:szCs w:val="20"/>
        </w:rPr>
        <w:t>MSDS</w:t>
      </w:r>
    </w:p>
    <w:p w14:paraId="75EE06B4">
      <w:pPr>
        <w:rPr>
          <w:rFonts w:ascii="Arial"/>
          <w:sz w:val="21"/>
        </w:rPr>
      </w:pPr>
    </w:p>
    <w:p w14:paraId="32F6C181">
      <w:pPr>
        <w:spacing w:line="12972" w:lineRule="exact"/>
      </w:pPr>
      <w:r>
        <w:rPr>
          <w:position w:val="-259"/>
        </w:rPr>
        <w:drawing>
          <wp:inline distT="0" distB="0" distL="0" distR="0">
            <wp:extent cx="5717540" cy="823658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325"/>
                    <a:stretch>
                      <a:fillRect/>
                    </a:stretch>
                  </pic:blipFill>
                  <pic:spPr>
                    <a:xfrm>
                      <a:off x="0" y="0"/>
                      <a:ext cx="5718048" cy="8237219"/>
                    </a:xfrm>
                    <a:prstGeom prst="rect">
                      <a:avLst/>
                    </a:prstGeom>
                  </pic:spPr>
                </pic:pic>
              </a:graphicData>
            </a:graphic>
          </wp:inline>
        </w:drawing>
      </w:r>
    </w:p>
    <w:p w14:paraId="195E5FD6">
      <w:pPr>
        <w:spacing w:line="12972" w:lineRule="exact"/>
        <w:sectPr>
          <w:pgSz w:w="11906" w:h="16839"/>
          <w:pgMar w:top="400" w:right="1484" w:bottom="400" w:left="1416" w:header="0" w:footer="0" w:gutter="0"/>
          <w:cols w:space="720" w:num="1"/>
        </w:sectPr>
      </w:pPr>
    </w:p>
    <w:p w14:paraId="1B2C593D">
      <w:pPr>
        <w:spacing w:line="295" w:lineRule="auto"/>
        <w:rPr>
          <w:rFonts w:ascii="Arial"/>
          <w:sz w:val="21"/>
        </w:rPr>
      </w:pPr>
    </w:p>
    <w:p w14:paraId="6369BCAC">
      <w:pPr>
        <w:spacing w:line="295" w:lineRule="auto"/>
        <w:rPr>
          <w:rFonts w:ascii="Arial"/>
          <w:sz w:val="21"/>
        </w:rPr>
      </w:pPr>
    </w:p>
    <w:p w14:paraId="7AFE4D14">
      <w:pPr>
        <w:spacing w:line="295" w:lineRule="auto"/>
        <w:rPr>
          <w:rFonts w:ascii="Arial"/>
          <w:sz w:val="21"/>
        </w:rPr>
      </w:pPr>
    </w:p>
    <w:p w14:paraId="149D5E43">
      <w:pPr>
        <w:spacing w:line="296" w:lineRule="auto"/>
        <w:rPr>
          <w:rFonts w:ascii="Arial"/>
          <w:sz w:val="21"/>
        </w:rPr>
      </w:pPr>
    </w:p>
    <w:p w14:paraId="6CDBBD78">
      <w:pPr>
        <w:spacing w:line="14054" w:lineRule="exact"/>
      </w:pPr>
      <w:r>
        <w:rPr>
          <w:position w:val="-281"/>
        </w:rPr>
        <w:drawing>
          <wp:inline distT="0" distB="0" distL="0" distR="0">
            <wp:extent cx="5694680" cy="892429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26"/>
                    <a:stretch>
                      <a:fillRect/>
                    </a:stretch>
                  </pic:blipFill>
                  <pic:spPr>
                    <a:xfrm>
                      <a:off x="0" y="0"/>
                      <a:ext cx="5695188" cy="8924544"/>
                    </a:xfrm>
                    <a:prstGeom prst="rect">
                      <a:avLst/>
                    </a:prstGeom>
                  </pic:spPr>
                </pic:pic>
              </a:graphicData>
            </a:graphic>
          </wp:inline>
        </w:drawing>
      </w:r>
    </w:p>
    <w:p w14:paraId="4D0A4F0A">
      <w:pPr>
        <w:spacing w:line="14054" w:lineRule="exact"/>
        <w:sectPr>
          <w:pgSz w:w="11906" w:h="16839"/>
          <w:pgMar w:top="400" w:right="1520" w:bottom="400" w:left="1416" w:header="0" w:footer="0" w:gutter="0"/>
          <w:cols w:space="720" w:num="1"/>
        </w:sectPr>
      </w:pPr>
    </w:p>
    <w:p w14:paraId="54498740">
      <w:pPr>
        <w:spacing w:line="284" w:lineRule="auto"/>
        <w:rPr>
          <w:rFonts w:ascii="Arial"/>
          <w:sz w:val="21"/>
        </w:rPr>
      </w:pPr>
    </w:p>
    <w:p w14:paraId="6356255E">
      <w:pPr>
        <w:spacing w:line="284" w:lineRule="auto"/>
        <w:rPr>
          <w:rFonts w:ascii="Arial"/>
          <w:sz w:val="21"/>
        </w:rPr>
      </w:pPr>
    </w:p>
    <w:p w14:paraId="63898ED3">
      <w:pPr>
        <w:spacing w:line="284" w:lineRule="auto"/>
        <w:rPr>
          <w:rFonts w:ascii="Arial"/>
          <w:sz w:val="21"/>
        </w:rPr>
      </w:pPr>
    </w:p>
    <w:p w14:paraId="6534A85A">
      <w:pPr>
        <w:spacing w:line="284" w:lineRule="auto"/>
        <w:rPr>
          <w:rFonts w:ascii="Arial"/>
          <w:sz w:val="21"/>
        </w:rPr>
      </w:pPr>
    </w:p>
    <w:p w14:paraId="79B9DBB5">
      <w:pPr>
        <w:spacing w:line="14457" w:lineRule="exact"/>
      </w:pPr>
      <w:r>
        <w:rPr>
          <w:position w:val="-289"/>
        </w:rPr>
        <w:drawing>
          <wp:inline distT="0" distB="0" distL="0" distR="0">
            <wp:extent cx="5716270" cy="918019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27"/>
                    <a:stretch>
                      <a:fillRect/>
                    </a:stretch>
                  </pic:blipFill>
                  <pic:spPr>
                    <a:xfrm>
                      <a:off x="0" y="0"/>
                      <a:ext cx="5716523" cy="9180576"/>
                    </a:xfrm>
                    <a:prstGeom prst="rect">
                      <a:avLst/>
                    </a:prstGeom>
                  </pic:spPr>
                </pic:pic>
              </a:graphicData>
            </a:graphic>
          </wp:inline>
        </w:drawing>
      </w:r>
    </w:p>
    <w:sectPr>
      <w:pgSz w:w="11906" w:h="16839"/>
      <w:pgMar w:top="400" w:right="1486" w:bottom="400" w:left="141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_GB2312"/>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6"/>
    <w:family w:val="auto"/>
    <w:pitch w:val="default"/>
    <w:sig w:usb0="E00002FF" w:usb1="6AC7FDFB" w:usb2="08000012" w:usb3="00000000" w:csb0="4002009F" w:csb1="DFD70000"/>
  </w:font>
  <w:font w:name="MS UI Gothic">
    <w:panose1 w:val="020B0600070205080204"/>
    <w:charset w:val="86"/>
    <w:family w:val="auto"/>
    <w:pitch w:val="default"/>
    <w:sig w:usb0="E00002FF" w:usb1="6AC7FDFB" w:usb2="08000012" w:usb3="00000000" w:csb0="4002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8667D">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6E113">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0E23">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6983C">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B094">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6B498">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6F061">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DB4CE">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4E611">
    <w:pPr>
      <w:spacing w:line="176" w:lineRule="auto"/>
      <w:ind w:left="432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0B001">
    <w:pPr>
      <w:spacing w:line="176" w:lineRule="auto"/>
      <w:ind w:left="681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2DC7F">
    <w:pPr>
      <w:spacing w:line="176" w:lineRule="auto"/>
      <w:ind w:left="681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E9EC4">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6DE8">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FC5BA">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34A8F">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110</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D0D3">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71164">
    <w:pPr>
      <w:spacing w:line="176" w:lineRule="auto"/>
      <w:ind w:left="581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112</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61E8F">
    <w:pPr>
      <w:spacing w:line="176" w:lineRule="auto"/>
      <w:ind w:left="434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113</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75D27">
    <w:pPr>
      <w:spacing w:line="176" w:lineRule="auto"/>
      <w:ind w:left="438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19022">
    <w:pPr>
      <w:spacing w:line="176" w:lineRule="auto"/>
      <w:ind w:left="443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B9C83">
    <w:pPr>
      <w:spacing w:line="176" w:lineRule="auto"/>
      <w:ind w:left="443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116</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2C49F">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117</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DFC3F">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1706">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0AAA9">
    <w:pPr>
      <w:spacing w:line="176" w:lineRule="auto"/>
      <w:ind w:left="430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119</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BD54A">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D2038">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121</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2032">
    <w:pPr>
      <w:spacing w:line="176" w:lineRule="auto"/>
      <w:ind w:left="43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3F72">
    <w:pPr>
      <w:spacing w:line="176" w:lineRule="auto"/>
      <w:ind w:left="433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123</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46AA">
    <w:pPr>
      <w:spacing w:line="176" w:lineRule="auto"/>
      <w:ind w:left="44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700E">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03D80">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E5B6B">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B613F">
    <w:pPr>
      <w:spacing w:line="176" w:lineRule="auto"/>
      <w:ind w:left="43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961B0">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44E86">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129</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7D12C">
    <w:pPr>
      <w:spacing w:line="176" w:lineRule="auto"/>
      <w:ind w:left="4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130</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E5131">
    <w:pPr>
      <w:spacing w:line="176" w:lineRule="auto"/>
      <w:ind w:left="42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131</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A3C75">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132</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577DC">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133</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7347">
    <w:pPr>
      <w:spacing w:line="176" w:lineRule="auto"/>
      <w:ind w:left="434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96F35">
    <w:pPr>
      <w:spacing w:line="176" w:lineRule="auto"/>
      <w:ind w:left="434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135</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9DB11">
    <w:pPr>
      <w:spacing w:line="176" w:lineRule="auto"/>
      <w:ind w:left="43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136</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CCD8C">
    <w:pPr>
      <w:spacing w:line="176" w:lineRule="auto"/>
      <w:ind w:left="43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137</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E5322">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66D4E">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D221C">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139</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D9D5D">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140</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21CA5">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141</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7369C">
    <w:pPr>
      <w:spacing w:line="176" w:lineRule="auto"/>
      <w:ind w:left="43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142</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3B8AB">
    <w:pPr>
      <w:spacing w:line="176" w:lineRule="auto"/>
      <w:ind w:left="430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143</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926D1">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2532">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145</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1F527">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146</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BB4D9">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147</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D7E0A">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DD3AA">
    <w:pPr>
      <w:spacing w:line="176" w:lineRule="auto"/>
      <w:ind w:left="443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40190">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149</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74276">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150</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E4AA">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151</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EC391">
    <w:pPr>
      <w:spacing w:line="176" w:lineRule="auto"/>
      <w:ind w:left="430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152</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BC8E5">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153</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2F22F">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154</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8559A">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155</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CC5C8">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156</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7E445">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157</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7A440">
    <w:pPr>
      <w:spacing w:line="176" w:lineRule="auto"/>
      <w:ind w:left="430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8BEA1">
    <w:pPr>
      <w:spacing w:line="176" w:lineRule="auto"/>
      <w:ind w:left="443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83D13">
    <w:pPr>
      <w:spacing w:line="176" w:lineRule="auto"/>
      <w:ind w:left="430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159</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9BCAC">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160</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E82A8">
    <w:pPr>
      <w:spacing w:line="176" w:lineRule="auto"/>
      <w:ind w:left="430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161</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5C5FA">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162</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F3B8C">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163</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1F1F0">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164</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97E14">
    <w:pPr>
      <w:spacing w:line="176" w:lineRule="auto"/>
      <w:ind w:left="449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165</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10F4F">
    <w:pPr>
      <w:spacing w:line="176" w:lineRule="auto"/>
      <w:ind w:left="449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166</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8667D">
    <w:pPr>
      <w:spacing w:line="14" w:lineRule="auto"/>
      <w:rPr>
        <w:rFonts w:ascii="Arial"/>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9A8E4">
    <w:pPr>
      <w:spacing w:line="176" w:lineRule="auto"/>
      <w:ind w:left="443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DAE8B">
    <w:pPr>
      <w:spacing w:line="176" w:lineRule="auto"/>
      <w:ind w:left="443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C593">
    <w:pPr>
      <w:spacing w:line="176" w:lineRule="auto"/>
      <w:ind w:left="443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1A3E0">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112C">
    <w:pPr>
      <w:spacing w:line="176" w:lineRule="auto"/>
      <w:ind w:left="443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500C9">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87563">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89575">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142E5">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2A17D">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4BC15">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92523">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99EEE">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4852D">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28EA6">
    <w:pPr>
      <w:spacing w:line="176" w:lineRule="auto"/>
      <w:ind w:left="440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A7093">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1DC56">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3B38C">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52A71">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83268">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F8C18">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B511B">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C47DB">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F7425">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F0293">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9CDEF">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E2D04">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ED7E4">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CD4B">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8769F">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590D8">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AAA4">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FCA18">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B36C8">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ACF98">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67EA">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7EDFE">
    <w:pPr>
      <w:spacing w:line="176" w:lineRule="auto"/>
      <w:ind w:left="440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8EC8D">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A473C">
    <w:pPr>
      <w:spacing w:line="176" w:lineRule="auto"/>
      <w:ind w:left="44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43887">
    <w:pPr>
      <w:spacing w:line="176" w:lineRule="auto"/>
      <w:ind w:left="44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50CD3">
    <w:pPr>
      <w:spacing w:line="176" w:lineRule="auto"/>
      <w:ind w:left="44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2833D">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7F690">
    <w:pPr>
      <w:spacing w:line="176" w:lineRule="auto"/>
      <w:ind w:left="44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780BB">
    <w:pPr>
      <w:spacing w:line="173" w:lineRule="auto"/>
      <w:ind w:left="43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EEE6E">
    <w:pPr>
      <w:spacing w:line="176" w:lineRule="auto"/>
      <w:ind w:left="43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D7332">
    <w:pPr>
      <w:spacing w:line="173" w:lineRule="auto"/>
      <w:ind w:left="43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809CF">
    <w:pPr>
      <w:spacing w:line="176" w:lineRule="auto"/>
      <w:ind w:left="43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B8394">
    <w:pPr>
      <w:spacing w:line="173"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1FA49">
    <w:pPr>
      <w:spacing w:line="176" w:lineRule="auto"/>
      <w:ind w:left="43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A9B7A">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6FF17">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23782">
    <w:pPr>
      <w:spacing w:line="176" w:lineRule="auto"/>
      <w:ind w:left="6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58E9A">
    <w:pPr>
      <w:spacing w:line="176" w:lineRule="auto"/>
      <w:ind w:left="6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ED62C">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59D8F">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62E2A">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D18A">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3D822">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15336">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5FD1">
    <w:pPr>
      <w:spacing w:line="176" w:lineRule="auto"/>
      <w:ind w:left="4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4FE79">
    <w:pPr>
      <w:spacing w:line="176" w:lineRule="auto"/>
      <w:ind w:left="66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0498F">
    <w:pPr>
      <w:spacing w:line="176" w:lineRule="auto"/>
      <w:ind w:left="66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DE24A">
    <w:pPr>
      <w:spacing w:line="176" w:lineRule="auto"/>
      <w:ind w:left="66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D429C">
    <w:pPr>
      <w:spacing w:line="176" w:lineRule="auto"/>
      <w:ind w:left="66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07AF3">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03099">
    <w:pPr>
      <w:spacing w:line="173"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8F61A">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481BD">
    <w:pPr>
      <w:spacing w:line="173"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B5F8">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136">
    <w:pPr>
      <w:spacing w:line="173"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D3D4">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2648B">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31170">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804B2">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A49B0">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97AA0">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A6B34">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AEC63">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11C83">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599EE">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5A8A">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7A9F">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A4B3">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90B69">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672A2">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C45C6">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E93F6">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C33BE">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75ECE">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CBF17">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67A88">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98A40">
    <w:pPr>
      <w:spacing w:line="14" w:lineRule="auto"/>
      <w:rPr>
        <w:rFonts w:ascii="Arial"/>
        <w:sz w:val="2"/>
      </w:rPr>
    </w:pPr>
    <w:r>
      <w:pict>
        <v:shape id="_x0000_s2049" o:spid="_x0000_s2049" o:spt="202" type="#_x0000_t202" style="position:absolute;left:0pt;margin-left:99.1pt;margin-top:184.15pt;height:92.2pt;width:397.5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14:paraId="60307FDE">
                <w:pPr>
                  <w:spacing w:before="20" w:line="185" w:lineRule="auto"/>
                  <w:ind w:left="20"/>
                  <w:outlineLvl w:val="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14:paraId="7BBF69B1">
                <w:pPr>
                  <w:spacing w:before="285" w:line="227" w:lineRule="auto"/>
                  <w:ind w:left="2872"/>
                  <w:rPr>
                    <w:rFonts w:ascii="楷体" w:hAnsi="楷体" w:eastAsia="楷体" w:cs="楷体"/>
                    <w:sz w:val="47"/>
                    <w:szCs w:val="47"/>
                  </w:rPr>
                </w:pPr>
                <w:r>
                  <w:rPr>
                    <w:rFonts w:ascii="楷体" w:hAnsi="楷体" w:eastAsia="楷体" w:cs="楷体"/>
                    <w:spacing w:val="-11"/>
                    <w:sz w:val="47"/>
                    <w:szCs w:val="47"/>
                  </w:rPr>
                  <w:t>污染影</w:t>
                </w:r>
                <w:r>
                  <w:rPr>
                    <w:rFonts w:ascii="楷体" w:hAnsi="楷体" w:eastAsia="楷体" w:cs="楷体"/>
                    <w:spacing w:val="30"/>
                    <w:sz w:val="47"/>
                    <w:szCs w:val="47"/>
                  </w:rPr>
                  <w:t xml:space="preserve">  </w:t>
                </w:r>
                <w:r>
                  <w:rPr>
                    <w:rFonts w:ascii="楷体" w:hAnsi="楷体" w:eastAsia="楷体" w:cs="楷体"/>
                    <w:spacing w:val="-11"/>
                    <w:sz w:val="47"/>
                    <w:szCs w:val="47"/>
                  </w:rPr>
                  <w:t>类）</w:t>
                </w:r>
              </w:p>
            </w:txbxContent>
          </v:textbox>
        </v:shape>
      </w:pict>
    </w:r>
    <w:r>
      <w:pict>
        <v:shape id="_x0000_s2050" o:spid="_x0000_s2050" o:spt="202" type="#_x0000_t202" style="position:absolute;left:0pt;margin-left:106pt;margin-top:418.55pt;height:90.9pt;width:393.3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41E00D44">
                <w:pPr>
                  <w:pStyle w:val="2"/>
                  <w:spacing w:before="19" w:line="214" w:lineRule="auto"/>
                  <w:ind w:left="376"/>
                </w:pPr>
                <w:r>
                  <w:rPr>
                    <w:spacing w:val="-10"/>
                  </w:rPr>
                  <w:t>目</w:t>
                </w:r>
                <w:r>
                  <w:rPr>
                    <w:spacing w:val="30"/>
                  </w:rPr>
                  <w:t xml:space="preserve">     </w:t>
                </w:r>
                <w:r>
                  <w:rPr>
                    <w:spacing w:val="-10"/>
                    <w:u w:val="single" w:color="auto"/>
                  </w:rPr>
                  <w:t xml:space="preserve">                饰有限公司宝石加工</w:t>
                </w:r>
                <w:r>
                  <w:rPr>
                    <w:spacing w:val="145"/>
                    <w:u w:val="single" w:color="auto"/>
                  </w:rPr>
                  <w:t xml:space="preserve"> </w:t>
                </w:r>
                <w:r>
                  <w:rPr>
                    <w:spacing w:val="-11"/>
                    <w:u w:val="single" w:color="auto"/>
                  </w:rPr>
                  <w:t xml:space="preserve">扩建    </w:t>
                </w:r>
              </w:p>
              <w:p w14:paraId="39D923E5">
                <w:pPr>
                  <w:spacing w:line="258" w:lineRule="auto"/>
                  <w:rPr>
                    <w:rFonts w:ascii="Arial"/>
                    <w:sz w:val="21"/>
                  </w:rPr>
                </w:pPr>
              </w:p>
              <w:p w14:paraId="51FA60B9">
                <w:pPr>
                  <w:pStyle w:val="2"/>
                  <w:spacing w:before="98" w:line="214" w:lineRule="auto"/>
                  <w:ind w:left="20"/>
                </w:pPr>
                <w:r>
                  <w:rPr>
                    <w:spacing w:val="-9"/>
                  </w:rPr>
                  <w:t>建设单位（盖章</w:t>
                </w:r>
                <w:r>
                  <w:rPr>
                    <w:spacing w:val="3"/>
                  </w:rPr>
                  <w:t>）：</w:t>
                </w:r>
                <w:r>
                  <w:rPr>
                    <w:spacing w:val="4"/>
                    <w:u w:val="single" w:color="auto"/>
                  </w:rPr>
                  <w:t xml:space="preserve">    </w:t>
                </w:r>
                <w:r>
                  <w:rPr>
                    <w:spacing w:val="-9"/>
                    <w:u w:val="single" w:color="auto"/>
                  </w:rPr>
                  <w:t>海丰县金盛宝石首饰有限公司</w:t>
                </w:r>
                <w:r>
                  <w:rPr>
                    <w:u w:val="single" w:color="auto"/>
                  </w:rPr>
                  <w:t xml:space="preserve">     </w:t>
                </w:r>
              </w:p>
              <w:p w14:paraId="3209D946">
                <w:pPr>
                  <w:spacing w:line="257" w:lineRule="auto"/>
                  <w:rPr>
                    <w:rFonts w:ascii="Arial"/>
                    <w:sz w:val="21"/>
                  </w:rPr>
                </w:pPr>
              </w:p>
              <w:p w14:paraId="47C69F24">
                <w:pPr>
                  <w:pStyle w:val="2"/>
                  <w:spacing w:before="98" w:line="214" w:lineRule="auto"/>
                  <w:ind w:left="22"/>
                </w:pPr>
                <w:r>
                  <w:rPr>
                    <w:spacing w:val="-16"/>
                  </w:rPr>
                  <w:t>编制日</w:t>
                </w:r>
                <w:r>
                  <w:rPr>
                    <w:spacing w:val="50"/>
                  </w:rPr>
                  <w:t xml:space="preserve">   </w:t>
                </w:r>
                <w:r>
                  <w:rPr>
                    <w:spacing w:val="1"/>
                    <w:u w:val="single" w:color="auto"/>
                  </w:rPr>
                  <w:t xml:space="preserve">                  </w:t>
                </w:r>
                <w:r>
                  <w:rPr>
                    <w:spacing w:val="-16"/>
                    <w:u w:val="single" w:color="auto"/>
                  </w:rPr>
                  <w:t>5</w:t>
                </w:r>
                <w:r>
                  <w:rPr>
                    <w:spacing w:val="-48"/>
                    <w:u w:val="single" w:color="auto"/>
                  </w:rPr>
                  <w:t xml:space="preserve"> </w:t>
                </w:r>
                <w:r>
                  <w:rPr>
                    <w:spacing w:val="-16"/>
                    <w:u w:val="single" w:color="auto"/>
                  </w:rPr>
                  <w:t>年</w:t>
                </w:r>
                <w:r>
                  <w:rPr>
                    <w:spacing w:val="-48"/>
                    <w:u w:val="single" w:color="auto"/>
                  </w:rPr>
                  <w:t xml:space="preserve"> </w:t>
                </w:r>
                <w:r>
                  <w:rPr>
                    <w:spacing w:val="-16"/>
                    <w:u w:val="single" w:color="auto"/>
                  </w:rPr>
                  <w:t>5</w:t>
                </w:r>
                <w:r>
                  <w:rPr>
                    <w:spacing w:val="-48"/>
                    <w:u w:val="single" w:color="auto"/>
                  </w:rPr>
                  <w:t xml:space="preserve"> </w:t>
                </w:r>
                <w:r>
                  <w:rPr>
                    <w:spacing w:val="-16"/>
                    <w:u w:val="single" w:color="auto"/>
                  </w:rPr>
                  <w:t>月</w:t>
                </w:r>
                <w:r>
                  <w:rPr>
                    <w:u w:val="single" w:color="auto"/>
                  </w:rPr>
                  <w:t xml:space="preserve">             </w:t>
                </w:r>
              </w:p>
            </w:txbxContent>
          </v:textbox>
        </v:shape>
      </w:pict>
    </w:r>
    <w:r>
      <w:pict>
        <v:shape id="_x0000_s2051" o:spid="_x0000_s2051" o:spt="202" type="#_x0000_t202" style="position:absolute;left:0pt;margin-left:182.4pt;margin-top:672.95pt;height:23.8pt;width:215.2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14:paraId="3A4FBE87">
                <w:pPr>
                  <w:spacing w:before="19" w:line="230" w:lineRule="auto"/>
                  <w:ind w:left="20"/>
                  <w:rPr>
                    <w:rFonts w:ascii="楷体" w:hAnsi="楷体" w:eastAsia="楷体" w:cs="楷体"/>
                    <w:sz w:val="35"/>
                    <w:szCs w:val="35"/>
                  </w:rPr>
                </w:pPr>
                <w:r>
                  <w:rPr>
                    <w:rFonts w:ascii="楷体" w:hAnsi="楷体" w:eastAsia="楷体" w:cs="楷体"/>
                    <w:spacing w:val="-6"/>
                    <w:sz w:val="35"/>
                    <w:szCs w:val="35"/>
                  </w:rPr>
                  <w:t>中</w:t>
                </w:r>
                <w:r>
                  <w:rPr>
                    <w:rFonts w:ascii="宋体" w:hAnsi="宋体" w:eastAsia="宋体" w:cs="宋体"/>
                    <w:spacing w:val="-6"/>
                    <w:sz w:val="35"/>
                    <w:szCs w:val="35"/>
                  </w:rPr>
                  <w:t>华</w:t>
                </w:r>
                <w:r>
                  <w:rPr>
                    <w:rFonts w:ascii="楷体" w:hAnsi="楷体" w:eastAsia="楷体" w:cs="楷体"/>
                    <w:spacing w:val="-6"/>
                    <w:sz w:val="35"/>
                    <w:szCs w:val="35"/>
                  </w:rPr>
                  <w:t>人</w:t>
                </w:r>
                <w:r>
                  <w:rPr>
                    <w:rFonts w:ascii="楷体" w:hAnsi="楷体" w:eastAsia="楷体" w:cs="楷体"/>
                    <w:spacing w:val="5"/>
                    <w:sz w:val="35"/>
                    <w:szCs w:val="35"/>
                  </w:rPr>
                  <w:t xml:space="preserve">                </w:t>
                </w:r>
                <w:r>
                  <w:rPr>
                    <w:rFonts w:ascii="楷体" w:hAnsi="楷体" w:eastAsia="楷体" w:cs="楷体"/>
                    <w:spacing w:val="-6"/>
                    <w:sz w:val="35"/>
                    <w:szCs w:val="35"/>
                  </w:rPr>
                  <w:t>部</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F6BC1">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F6BC1">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F3CC2">
    <w:pPr>
      <w:spacing w:line="14" w:lineRule="auto"/>
      <w:rPr>
        <w:rFonts w:ascii="Arial"/>
        <w:sz w:val="2"/>
      </w:rPr>
    </w:pPr>
    <w:r>
      <w:drawing>
        <wp:anchor distT="0" distB="0" distL="0" distR="0" simplePos="0" relativeHeight="251693056" behindDoc="0" locked="0" layoutInCell="0" allowOverlap="1">
          <wp:simplePos x="0" y="0"/>
          <wp:positionH relativeFrom="page">
            <wp:posOffset>845185</wp:posOffset>
          </wp:positionH>
          <wp:positionV relativeFrom="page">
            <wp:posOffset>898525</wp:posOffset>
          </wp:positionV>
          <wp:extent cx="5922010" cy="839089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922263" cy="839114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F6BC1">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A024C">
    <w:pPr>
      <w:spacing w:line="14" w:lineRule="auto"/>
      <w:rPr>
        <w:rFonts w:ascii="Arial"/>
        <w:sz w:val="2"/>
      </w:rPr>
    </w:pPr>
    <w:r>
      <w:pict>
        <v:shape id="WordPictureWatermark190" o:spid="_x0000_s2052" o:spt="75" type="#_x0000_t75" style="position:absolute;left:0pt;margin-left:154.9pt;margin-top:75pt;height:404.4pt;width:532.1pt;mso-position-horizontal-relative:page;mso-position-vertical-relative:page;z-index:-251618304;mso-width-relative:page;mso-height-relative:page;" filled="f" stroked="f" coordsize="21600,21600" o:allowincell="f">
          <v:path/>
          <v:fill on="f" focussize="0,0"/>
          <v:stroke on="f"/>
          <v:imagedata r:id="rId1" o:title=""/>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F6BC1">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1CE8D">
    <w:pPr>
      <w:spacing w:before="56" w:line="227" w:lineRule="auto"/>
      <w:outlineLvl w:val="0"/>
      <w:rPr>
        <w:rFonts w:ascii="宋体" w:hAnsi="宋体" w:eastAsia="宋体" w:cs="宋体"/>
        <w:sz w:val="20"/>
        <w:szCs w:val="20"/>
      </w:rPr>
    </w:pPr>
    <w:r>
      <w:rPr>
        <w:rFonts w:ascii="宋体" w:hAnsi="宋体" w:eastAsia="宋体" w:cs="宋体"/>
        <w:b/>
        <w:bCs/>
        <w:spacing w:val="3"/>
        <w:sz w:val="20"/>
        <w:szCs w:val="20"/>
      </w:rPr>
      <w:t>附件</w:t>
    </w:r>
    <w:r>
      <w:rPr>
        <w:rFonts w:ascii="宋体" w:hAnsi="宋体" w:eastAsia="宋体" w:cs="宋体"/>
        <w:spacing w:val="-26"/>
        <w:sz w:val="20"/>
        <w:szCs w:val="20"/>
      </w:rPr>
      <w:t xml:space="preserve"> </w:t>
    </w:r>
    <w:r>
      <w:rPr>
        <w:rFonts w:ascii="宋体" w:hAnsi="宋体" w:eastAsia="宋体" w:cs="宋体"/>
        <w:b/>
        <w:bCs/>
        <w:spacing w:val="3"/>
        <w:sz w:val="20"/>
        <w:szCs w:val="20"/>
      </w:rPr>
      <w:t>3：项目国土证（2）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F6BC1">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4EA3D">
    <w:pPr>
      <w:spacing w:before="56" w:line="227" w:lineRule="auto"/>
      <w:ind w:left="24"/>
      <w:outlineLvl w:val="0"/>
      <w:rPr>
        <w:rFonts w:ascii="宋体" w:hAnsi="宋体" w:eastAsia="宋体" w:cs="宋体"/>
        <w:sz w:val="20"/>
        <w:szCs w:val="20"/>
      </w:rPr>
    </w:pPr>
    <w:r>
      <w:rPr>
        <w:rFonts w:ascii="宋体" w:hAnsi="宋体" w:eastAsia="宋体" w:cs="宋体"/>
        <w:b/>
        <w:bCs/>
        <w:spacing w:val="4"/>
        <w:sz w:val="20"/>
        <w:szCs w:val="20"/>
      </w:rPr>
      <w:t>附件</w:t>
    </w:r>
    <w:r>
      <w:rPr>
        <w:rFonts w:ascii="宋体" w:hAnsi="宋体" w:eastAsia="宋体" w:cs="宋体"/>
        <w:spacing w:val="-25"/>
        <w:sz w:val="20"/>
        <w:szCs w:val="20"/>
      </w:rPr>
      <w:t xml:space="preserve"> </w:t>
    </w:r>
    <w:r>
      <w:rPr>
        <w:rFonts w:ascii="宋体" w:hAnsi="宋体" w:eastAsia="宋体" w:cs="宋体"/>
        <w:b/>
        <w:bCs/>
        <w:spacing w:val="4"/>
        <w:sz w:val="20"/>
        <w:szCs w:val="20"/>
      </w:rPr>
      <w:t>4：国土证宗地红线图（2）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E336D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FangSong_GB2312" w:hAnsi="FangSong_GB2312" w:eastAsia="FangSong_GB2312" w:cs="FangSong_GB2312"/>
      <w:sz w:val="30"/>
      <w:szCs w:val="3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header" Target="header2.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footer" Target="footer1.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9" Type="http://schemas.openxmlformats.org/officeDocument/2006/relationships/fontTable" Target="fontTable.xml"/><Relationship Id="rId328" Type="http://schemas.openxmlformats.org/officeDocument/2006/relationships/customXml" Target="../customXml/item1.xml"/><Relationship Id="rId327" Type="http://schemas.openxmlformats.org/officeDocument/2006/relationships/image" Target="media/image146.jpeg"/><Relationship Id="rId326" Type="http://schemas.openxmlformats.org/officeDocument/2006/relationships/image" Target="media/image145.jpeg"/><Relationship Id="rId325" Type="http://schemas.openxmlformats.org/officeDocument/2006/relationships/image" Target="media/image144.jpeg"/><Relationship Id="rId324" Type="http://schemas.openxmlformats.org/officeDocument/2006/relationships/image" Target="media/image143.jpeg"/><Relationship Id="rId323" Type="http://schemas.openxmlformats.org/officeDocument/2006/relationships/image" Target="media/image142.jpeg"/><Relationship Id="rId322" Type="http://schemas.openxmlformats.org/officeDocument/2006/relationships/image" Target="media/image141.jpeg"/><Relationship Id="rId321" Type="http://schemas.openxmlformats.org/officeDocument/2006/relationships/image" Target="media/image140.jpeg"/><Relationship Id="rId320" Type="http://schemas.openxmlformats.org/officeDocument/2006/relationships/image" Target="media/image139.jpeg"/><Relationship Id="rId32" Type="http://schemas.openxmlformats.org/officeDocument/2006/relationships/footer" Target="footer26.xml"/><Relationship Id="rId319" Type="http://schemas.openxmlformats.org/officeDocument/2006/relationships/image" Target="media/image138.jpeg"/><Relationship Id="rId318" Type="http://schemas.openxmlformats.org/officeDocument/2006/relationships/image" Target="media/image137.jpeg"/><Relationship Id="rId317" Type="http://schemas.openxmlformats.org/officeDocument/2006/relationships/image" Target="media/image136.jpeg"/><Relationship Id="rId316" Type="http://schemas.openxmlformats.org/officeDocument/2006/relationships/image" Target="media/image135.jpeg"/><Relationship Id="rId315" Type="http://schemas.openxmlformats.org/officeDocument/2006/relationships/image" Target="media/image134.jpeg"/><Relationship Id="rId314" Type="http://schemas.openxmlformats.org/officeDocument/2006/relationships/image" Target="media/image133.jpeg"/><Relationship Id="rId313" Type="http://schemas.openxmlformats.org/officeDocument/2006/relationships/image" Target="media/image132.jpeg"/><Relationship Id="rId312" Type="http://schemas.openxmlformats.org/officeDocument/2006/relationships/image" Target="media/image131.jpeg"/><Relationship Id="rId311" Type="http://schemas.openxmlformats.org/officeDocument/2006/relationships/image" Target="media/image130.jpeg"/><Relationship Id="rId310" Type="http://schemas.openxmlformats.org/officeDocument/2006/relationships/image" Target="media/image129.jpeg"/><Relationship Id="rId31" Type="http://schemas.openxmlformats.org/officeDocument/2006/relationships/footer" Target="footer25.xml"/><Relationship Id="rId309" Type="http://schemas.openxmlformats.org/officeDocument/2006/relationships/image" Target="media/image128.jpeg"/><Relationship Id="rId308" Type="http://schemas.openxmlformats.org/officeDocument/2006/relationships/image" Target="media/image127.jpeg"/><Relationship Id="rId307" Type="http://schemas.openxmlformats.org/officeDocument/2006/relationships/image" Target="media/image126.jpeg"/><Relationship Id="rId306" Type="http://schemas.openxmlformats.org/officeDocument/2006/relationships/image" Target="media/image125.jpeg"/><Relationship Id="rId305" Type="http://schemas.openxmlformats.org/officeDocument/2006/relationships/image" Target="media/image124.jpeg"/><Relationship Id="rId304" Type="http://schemas.openxmlformats.org/officeDocument/2006/relationships/image" Target="media/image123.jpeg"/><Relationship Id="rId303" Type="http://schemas.openxmlformats.org/officeDocument/2006/relationships/image" Target="media/image122.jpeg"/><Relationship Id="rId302" Type="http://schemas.openxmlformats.org/officeDocument/2006/relationships/image" Target="media/image121.jpeg"/><Relationship Id="rId301" Type="http://schemas.openxmlformats.org/officeDocument/2006/relationships/image" Target="media/image120.jpeg"/><Relationship Id="rId300" Type="http://schemas.openxmlformats.org/officeDocument/2006/relationships/image" Target="media/image119.jpeg"/><Relationship Id="rId30" Type="http://schemas.openxmlformats.org/officeDocument/2006/relationships/footer" Target="footer24.xml"/><Relationship Id="rId3" Type="http://schemas.openxmlformats.org/officeDocument/2006/relationships/footnotes" Target="footnotes.xml"/><Relationship Id="rId299" Type="http://schemas.openxmlformats.org/officeDocument/2006/relationships/image" Target="media/image118.jpeg"/><Relationship Id="rId298" Type="http://schemas.openxmlformats.org/officeDocument/2006/relationships/image" Target="media/image117.jpeg"/><Relationship Id="rId297" Type="http://schemas.openxmlformats.org/officeDocument/2006/relationships/image" Target="media/image116.jpeg"/><Relationship Id="rId296" Type="http://schemas.openxmlformats.org/officeDocument/2006/relationships/image" Target="media/image115.jpeg"/><Relationship Id="rId295" Type="http://schemas.openxmlformats.org/officeDocument/2006/relationships/image" Target="media/image114.jpeg"/><Relationship Id="rId294" Type="http://schemas.openxmlformats.org/officeDocument/2006/relationships/image" Target="media/image113.jpeg"/><Relationship Id="rId293" Type="http://schemas.openxmlformats.org/officeDocument/2006/relationships/image" Target="media/image112.jpeg"/><Relationship Id="rId292" Type="http://schemas.openxmlformats.org/officeDocument/2006/relationships/image" Target="media/image111.jpeg"/><Relationship Id="rId291" Type="http://schemas.openxmlformats.org/officeDocument/2006/relationships/image" Target="media/image110.jpeg"/><Relationship Id="rId290" Type="http://schemas.openxmlformats.org/officeDocument/2006/relationships/image" Target="media/image109.jpeg"/><Relationship Id="rId29" Type="http://schemas.openxmlformats.org/officeDocument/2006/relationships/footer" Target="footer23.xml"/><Relationship Id="rId289" Type="http://schemas.openxmlformats.org/officeDocument/2006/relationships/image" Target="media/image108.jpeg"/><Relationship Id="rId288" Type="http://schemas.openxmlformats.org/officeDocument/2006/relationships/image" Target="media/image107.jpeg"/><Relationship Id="rId287" Type="http://schemas.openxmlformats.org/officeDocument/2006/relationships/image" Target="media/image106.jpeg"/><Relationship Id="rId286" Type="http://schemas.openxmlformats.org/officeDocument/2006/relationships/image" Target="media/image105.jpeg"/><Relationship Id="rId285" Type="http://schemas.openxmlformats.org/officeDocument/2006/relationships/image" Target="media/image104.jpeg"/><Relationship Id="rId284" Type="http://schemas.openxmlformats.org/officeDocument/2006/relationships/image" Target="media/image103.jpeg"/><Relationship Id="rId283" Type="http://schemas.openxmlformats.org/officeDocument/2006/relationships/image" Target="media/image102.jpeg"/><Relationship Id="rId282" Type="http://schemas.openxmlformats.org/officeDocument/2006/relationships/image" Target="media/image101.png"/><Relationship Id="rId281" Type="http://schemas.openxmlformats.org/officeDocument/2006/relationships/image" Target="media/image100.png"/><Relationship Id="rId280" Type="http://schemas.openxmlformats.org/officeDocument/2006/relationships/image" Target="media/image99.png"/><Relationship Id="rId28" Type="http://schemas.openxmlformats.org/officeDocument/2006/relationships/footer" Target="footer22.xml"/><Relationship Id="rId279" Type="http://schemas.openxmlformats.org/officeDocument/2006/relationships/image" Target="media/image98.jpeg"/><Relationship Id="rId278" Type="http://schemas.openxmlformats.org/officeDocument/2006/relationships/image" Target="media/image97.png"/><Relationship Id="rId277" Type="http://schemas.openxmlformats.org/officeDocument/2006/relationships/image" Target="media/image96.jpeg"/><Relationship Id="rId276" Type="http://schemas.openxmlformats.org/officeDocument/2006/relationships/image" Target="media/image95.jpeg"/><Relationship Id="rId275" Type="http://schemas.openxmlformats.org/officeDocument/2006/relationships/image" Target="media/image94.png"/><Relationship Id="rId274" Type="http://schemas.openxmlformats.org/officeDocument/2006/relationships/image" Target="media/image93.png"/><Relationship Id="rId273" Type="http://schemas.openxmlformats.org/officeDocument/2006/relationships/image" Target="media/image92.png"/><Relationship Id="rId272" Type="http://schemas.openxmlformats.org/officeDocument/2006/relationships/image" Target="media/image91.png"/><Relationship Id="rId271" Type="http://schemas.openxmlformats.org/officeDocument/2006/relationships/image" Target="media/image90.png"/><Relationship Id="rId270" Type="http://schemas.openxmlformats.org/officeDocument/2006/relationships/image" Target="media/image89.png"/><Relationship Id="rId27" Type="http://schemas.openxmlformats.org/officeDocument/2006/relationships/footer" Target="footer21.xml"/><Relationship Id="rId269" Type="http://schemas.openxmlformats.org/officeDocument/2006/relationships/image" Target="media/image88.png"/><Relationship Id="rId268" Type="http://schemas.openxmlformats.org/officeDocument/2006/relationships/image" Target="media/image87.png"/><Relationship Id="rId267" Type="http://schemas.openxmlformats.org/officeDocument/2006/relationships/image" Target="media/image86.png"/><Relationship Id="rId266" Type="http://schemas.openxmlformats.org/officeDocument/2006/relationships/image" Target="media/image85.png"/><Relationship Id="rId265" Type="http://schemas.openxmlformats.org/officeDocument/2006/relationships/image" Target="media/image84.png"/><Relationship Id="rId264" Type="http://schemas.openxmlformats.org/officeDocument/2006/relationships/image" Target="media/image83.png"/><Relationship Id="rId263" Type="http://schemas.openxmlformats.org/officeDocument/2006/relationships/image" Target="media/image82.png"/><Relationship Id="rId262" Type="http://schemas.openxmlformats.org/officeDocument/2006/relationships/image" Target="media/image81.jpeg"/><Relationship Id="rId261" Type="http://schemas.openxmlformats.org/officeDocument/2006/relationships/image" Target="media/image80.jpeg"/><Relationship Id="rId260" Type="http://schemas.openxmlformats.org/officeDocument/2006/relationships/image" Target="media/image79.png"/><Relationship Id="rId26" Type="http://schemas.openxmlformats.org/officeDocument/2006/relationships/footer" Target="footer20.xml"/><Relationship Id="rId259" Type="http://schemas.openxmlformats.org/officeDocument/2006/relationships/image" Target="media/image78.png"/><Relationship Id="rId258" Type="http://schemas.openxmlformats.org/officeDocument/2006/relationships/image" Target="media/image77.png"/><Relationship Id="rId257" Type="http://schemas.openxmlformats.org/officeDocument/2006/relationships/image" Target="media/image76.jpeg"/><Relationship Id="rId256" Type="http://schemas.openxmlformats.org/officeDocument/2006/relationships/image" Target="media/image75.png"/><Relationship Id="rId255" Type="http://schemas.openxmlformats.org/officeDocument/2006/relationships/image" Target="media/image74.png"/><Relationship Id="rId254" Type="http://schemas.openxmlformats.org/officeDocument/2006/relationships/image" Target="media/image73.jpeg"/><Relationship Id="rId253" Type="http://schemas.openxmlformats.org/officeDocument/2006/relationships/image" Target="media/image72.jpeg"/><Relationship Id="rId252" Type="http://schemas.openxmlformats.org/officeDocument/2006/relationships/image" Target="media/image71.jpeg"/><Relationship Id="rId251" Type="http://schemas.openxmlformats.org/officeDocument/2006/relationships/image" Target="media/image70.jpeg"/><Relationship Id="rId250" Type="http://schemas.openxmlformats.org/officeDocument/2006/relationships/image" Target="media/image69.png"/><Relationship Id="rId25" Type="http://schemas.openxmlformats.org/officeDocument/2006/relationships/footer" Target="footer19.xml"/><Relationship Id="rId249" Type="http://schemas.openxmlformats.org/officeDocument/2006/relationships/image" Target="media/image68.jpeg"/><Relationship Id="rId248" Type="http://schemas.openxmlformats.org/officeDocument/2006/relationships/image" Target="media/image67.jpeg"/><Relationship Id="rId247" Type="http://schemas.openxmlformats.org/officeDocument/2006/relationships/image" Target="media/image66.jpeg"/><Relationship Id="rId246" Type="http://schemas.openxmlformats.org/officeDocument/2006/relationships/image" Target="media/image65.png"/><Relationship Id="rId245" Type="http://schemas.openxmlformats.org/officeDocument/2006/relationships/image" Target="media/image64.png"/><Relationship Id="rId244" Type="http://schemas.openxmlformats.org/officeDocument/2006/relationships/image" Target="media/image63.jpeg"/><Relationship Id="rId243" Type="http://schemas.openxmlformats.org/officeDocument/2006/relationships/image" Target="media/image62.png"/><Relationship Id="rId242" Type="http://schemas.openxmlformats.org/officeDocument/2006/relationships/image" Target="media/image61.png"/><Relationship Id="rId241" Type="http://schemas.openxmlformats.org/officeDocument/2006/relationships/image" Target="media/image60.png"/><Relationship Id="rId240" Type="http://schemas.openxmlformats.org/officeDocument/2006/relationships/image" Target="media/image59.png"/><Relationship Id="rId24" Type="http://schemas.openxmlformats.org/officeDocument/2006/relationships/footer" Target="footer18.xml"/><Relationship Id="rId239" Type="http://schemas.openxmlformats.org/officeDocument/2006/relationships/image" Target="media/image58.png"/><Relationship Id="rId238" Type="http://schemas.openxmlformats.org/officeDocument/2006/relationships/image" Target="media/image57.jpeg"/><Relationship Id="rId237" Type="http://schemas.openxmlformats.org/officeDocument/2006/relationships/image" Target="media/image56.jpeg"/><Relationship Id="rId236" Type="http://schemas.openxmlformats.org/officeDocument/2006/relationships/image" Target="media/image55.png"/><Relationship Id="rId235" Type="http://schemas.openxmlformats.org/officeDocument/2006/relationships/image" Target="media/image54.png"/><Relationship Id="rId234" Type="http://schemas.openxmlformats.org/officeDocument/2006/relationships/image" Target="media/image53.png"/><Relationship Id="rId233" Type="http://schemas.openxmlformats.org/officeDocument/2006/relationships/image" Target="media/image52.png"/><Relationship Id="rId232" Type="http://schemas.openxmlformats.org/officeDocument/2006/relationships/image" Target="media/image51.jpeg"/><Relationship Id="rId231" Type="http://schemas.openxmlformats.org/officeDocument/2006/relationships/image" Target="media/image50.jpeg"/><Relationship Id="rId230" Type="http://schemas.openxmlformats.org/officeDocument/2006/relationships/image" Target="media/image49.png"/><Relationship Id="rId23" Type="http://schemas.openxmlformats.org/officeDocument/2006/relationships/footer" Target="footer17.xml"/><Relationship Id="rId229" Type="http://schemas.openxmlformats.org/officeDocument/2006/relationships/image" Target="media/image48.png"/><Relationship Id="rId228" Type="http://schemas.openxmlformats.org/officeDocument/2006/relationships/image" Target="media/image47.jpeg"/><Relationship Id="rId227" Type="http://schemas.openxmlformats.org/officeDocument/2006/relationships/image" Target="media/image46.png"/><Relationship Id="rId226" Type="http://schemas.openxmlformats.org/officeDocument/2006/relationships/image" Target="media/image45.png"/><Relationship Id="rId225" Type="http://schemas.openxmlformats.org/officeDocument/2006/relationships/image" Target="media/image44.jpeg"/><Relationship Id="rId224" Type="http://schemas.openxmlformats.org/officeDocument/2006/relationships/image" Target="media/image43.jpeg"/><Relationship Id="rId223" Type="http://schemas.openxmlformats.org/officeDocument/2006/relationships/image" Target="media/image42.jpeg"/><Relationship Id="rId222" Type="http://schemas.openxmlformats.org/officeDocument/2006/relationships/image" Target="media/image41.jpeg"/><Relationship Id="rId221" Type="http://schemas.openxmlformats.org/officeDocument/2006/relationships/image" Target="media/image40.jpeg"/><Relationship Id="rId220" Type="http://schemas.openxmlformats.org/officeDocument/2006/relationships/image" Target="media/image39.jpeg"/><Relationship Id="rId22" Type="http://schemas.openxmlformats.org/officeDocument/2006/relationships/footer" Target="footer16.xml"/><Relationship Id="rId219" Type="http://schemas.openxmlformats.org/officeDocument/2006/relationships/image" Target="media/image38.jpeg"/><Relationship Id="rId218" Type="http://schemas.openxmlformats.org/officeDocument/2006/relationships/image" Target="media/image37.png"/><Relationship Id="rId217" Type="http://schemas.openxmlformats.org/officeDocument/2006/relationships/image" Target="media/image36.jpeg"/><Relationship Id="rId216" Type="http://schemas.openxmlformats.org/officeDocument/2006/relationships/image" Target="media/image35.jpeg"/><Relationship Id="rId215" Type="http://schemas.openxmlformats.org/officeDocument/2006/relationships/image" Target="media/image34.jpeg"/><Relationship Id="rId214" Type="http://schemas.openxmlformats.org/officeDocument/2006/relationships/image" Target="media/image33.jpeg"/><Relationship Id="rId213" Type="http://schemas.openxmlformats.org/officeDocument/2006/relationships/image" Target="media/image32.jpeg"/><Relationship Id="rId212" Type="http://schemas.openxmlformats.org/officeDocument/2006/relationships/image" Target="media/image31.jpeg"/><Relationship Id="rId211" Type="http://schemas.openxmlformats.org/officeDocument/2006/relationships/image" Target="media/image30.png"/><Relationship Id="rId210" Type="http://schemas.openxmlformats.org/officeDocument/2006/relationships/image" Target="media/image29.jpeg"/><Relationship Id="rId21" Type="http://schemas.openxmlformats.org/officeDocument/2006/relationships/footer" Target="footer15.xml"/><Relationship Id="rId209" Type="http://schemas.openxmlformats.org/officeDocument/2006/relationships/image" Target="media/image28.png"/><Relationship Id="rId208" Type="http://schemas.openxmlformats.org/officeDocument/2006/relationships/image" Target="media/image27.png"/><Relationship Id="rId207" Type="http://schemas.openxmlformats.org/officeDocument/2006/relationships/image" Target="media/image26.png"/><Relationship Id="rId206" Type="http://schemas.openxmlformats.org/officeDocument/2006/relationships/image" Target="media/image25.jpeg"/><Relationship Id="rId205" Type="http://schemas.openxmlformats.org/officeDocument/2006/relationships/image" Target="media/image24.jpeg"/><Relationship Id="rId204" Type="http://schemas.openxmlformats.org/officeDocument/2006/relationships/image" Target="media/image23.jpeg"/><Relationship Id="rId203" Type="http://schemas.openxmlformats.org/officeDocument/2006/relationships/image" Target="media/image22.jpeg"/><Relationship Id="rId202" Type="http://schemas.openxmlformats.org/officeDocument/2006/relationships/image" Target="media/image21.jpeg"/><Relationship Id="rId201" Type="http://schemas.openxmlformats.org/officeDocument/2006/relationships/image" Target="media/image20.png"/><Relationship Id="rId200" Type="http://schemas.openxmlformats.org/officeDocument/2006/relationships/image" Target="media/image19.png"/><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image" Target="media/image18.jpeg"/><Relationship Id="rId198" Type="http://schemas.openxmlformats.org/officeDocument/2006/relationships/image" Target="media/image17.jpeg"/><Relationship Id="rId197" Type="http://schemas.openxmlformats.org/officeDocument/2006/relationships/image" Target="media/image16.png"/><Relationship Id="rId196" Type="http://schemas.openxmlformats.org/officeDocument/2006/relationships/image" Target="media/image15.png"/><Relationship Id="rId195" Type="http://schemas.openxmlformats.org/officeDocument/2006/relationships/image" Target="media/image14.png"/><Relationship Id="rId194" Type="http://schemas.openxmlformats.org/officeDocument/2006/relationships/image" Target="media/image13.jpeg"/><Relationship Id="rId193" Type="http://schemas.openxmlformats.org/officeDocument/2006/relationships/image" Target="media/image12.jpeg"/><Relationship Id="rId192" Type="http://schemas.openxmlformats.org/officeDocument/2006/relationships/image" Target="media/image11.png"/><Relationship Id="rId191" Type="http://schemas.openxmlformats.org/officeDocument/2006/relationships/image" Target="media/image10.jpeg"/><Relationship Id="rId190" Type="http://schemas.openxmlformats.org/officeDocument/2006/relationships/image" Target="media/image9.jpeg"/><Relationship Id="rId19" Type="http://schemas.openxmlformats.org/officeDocument/2006/relationships/footer" Target="footer13.xml"/><Relationship Id="rId189" Type="http://schemas.openxmlformats.org/officeDocument/2006/relationships/image" Target="media/image8.jpeg"/><Relationship Id="rId188" Type="http://schemas.openxmlformats.org/officeDocument/2006/relationships/image" Target="media/image7.jpeg"/><Relationship Id="rId187" Type="http://schemas.openxmlformats.org/officeDocument/2006/relationships/image" Target="media/image6.jpeg"/><Relationship Id="rId186" Type="http://schemas.openxmlformats.org/officeDocument/2006/relationships/image" Target="media/image5.jpeg"/><Relationship Id="rId185" Type="http://schemas.openxmlformats.org/officeDocument/2006/relationships/image" Target="media/image4.jpeg"/><Relationship Id="rId184" Type="http://schemas.openxmlformats.org/officeDocument/2006/relationships/image" Target="media/image3.png"/><Relationship Id="rId183" Type="http://schemas.openxmlformats.org/officeDocument/2006/relationships/theme" Target="theme/theme1.xml"/><Relationship Id="rId182" Type="http://schemas.openxmlformats.org/officeDocument/2006/relationships/header" Target="header10.xml"/><Relationship Id="rId181" Type="http://schemas.openxmlformats.org/officeDocument/2006/relationships/header" Target="header9.xml"/><Relationship Id="rId180" Type="http://schemas.openxmlformats.org/officeDocument/2006/relationships/header" Target="header8.xml"/><Relationship Id="rId18" Type="http://schemas.openxmlformats.org/officeDocument/2006/relationships/footer" Target="footer12.xml"/><Relationship Id="rId179" Type="http://schemas.openxmlformats.org/officeDocument/2006/relationships/header" Target="header7.xml"/><Relationship Id="rId178" Type="http://schemas.openxmlformats.org/officeDocument/2006/relationships/header" Target="header6.xml"/><Relationship Id="rId177" Type="http://schemas.openxmlformats.org/officeDocument/2006/relationships/header" Target="header5.xml"/><Relationship Id="rId176" Type="http://schemas.openxmlformats.org/officeDocument/2006/relationships/header" Target="header4.xml"/><Relationship Id="rId175" Type="http://schemas.openxmlformats.org/officeDocument/2006/relationships/header" Target="header3.xml"/><Relationship Id="rId174" Type="http://schemas.openxmlformats.org/officeDocument/2006/relationships/footer" Target="footer168.xml"/><Relationship Id="rId173" Type="http://schemas.openxmlformats.org/officeDocument/2006/relationships/footer" Target="footer167.xml"/><Relationship Id="rId172" Type="http://schemas.openxmlformats.org/officeDocument/2006/relationships/footer" Target="footer166.xml"/><Relationship Id="rId171" Type="http://schemas.openxmlformats.org/officeDocument/2006/relationships/footer" Target="footer165.xml"/><Relationship Id="rId170" Type="http://schemas.openxmlformats.org/officeDocument/2006/relationships/footer" Target="footer164.xml"/><Relationship Id="rId17" Type="http://schemas.openxmlformats.org/officeDocument/2006/relationships/footer" Target="footer11.xml"/><Relationship Id="rId169" Type="http://schemas.openxmlformats.org/officeDocument/2006/relationships/footer" Target="footer163.xml"/><Relationship Id="rId168" Type="http://schemas.openxmlformats.org/officeDocument/2006/relationships/footer" Target="footer162.xml"/><Relationship Id="rId167" Type="http://schemas.openxmlformats.org/officeDocument/2006/relationships/footer" Target="footer161.xml"/><Relationship Id="rId166" Type="http://schemas.openxmlformats.org/officeDocument/2006/relationships/footer" Target="footer160.xml"/><Relationship Id="rId165" Type="http://schemas.openxmlformats.org/officeDocument/2006/relationships/footer" Target="footer159.xml"/><Relationship Id="rId164" Type="http://schemas.openxmlformats.org/officeDocument/2006/relationships/footer" Target="footer158.xml"/><Relationship Id="rId163" Type="http://schemas.openxmlformats.org/officeDocument/2006/relationships/footer" Target="footer157.xml"/><Relationship Id="rId162" Type="http://schemas.openxmlformats.org/officeDocument/2006/relationships/footer" Target="footer156.xml"/><Relationship Id="rId161" Type="http://schemas.openxmlformats.org/officeDocument/2006/relationships/footer" Target="footer155.xml"/><Relationship Id="rId160" Type="http://schemas.openxmlformats.org/officeDocument/2006/relationships/footer" Target="footer154.xml"/><Relationship Id="rId16" Type="http://schemas.openxmlformats.org/officeDocument/2006/relationships/footer" Target="footer10.xml"/><Relationship Id="rId159" Type="http://schemas.openxmlformats.org/officeDocument/2006/relationships/footer" Target="footer153.xml"/><Relationship Id="rId158" Type="http://schemas.openxmlformats.org/officeDocument/2006/relationships/footer" Target="footer152.xml"/><Relationship Id="rId157" Type="http://schemas.openxmlformats.org/officeDocument/2006/relationships/footer" Target="footer151.xml"/><Relationship Id="rId156" Type="http://schemas.openxmlformats.org/officeDocument/2006/relationships/footer" Target="footer150.xml"/><Relationship Id="rId155" Type="http://schemas.openxmlformats.org/officeDocument/2006/relationships/footer" Target="footer149.xml"/><Relationship Id="rId154" Type="http://schemas.openxmlformats.org/officeDocument/2006/relationships/footer" Target="footer148.xml"/><Relationship Id="rId153" Type="http://schemas.openxmlformats.org/officeDocument/2006/relationships/footer" Target="footer147.xml"/><Relationship Id="rId152" Type="http://schemas.openxmlformats.org/officeDocument/2006/relationships/footer" Target="footer146.xml"/><Relationship Id="rId151" Type="http://schemas.openxmlformats.org/officeDocument/2006/relationships/footer" Target="footer145.xml"/><Relationship Id="rId150" Type="http://schemas.openxmlformats.org/officeDocument/2006/relationships/footer" Target="footer144.xml"/><Relationship Id="rId15" Type="http://schemas.openxmlformats.org/officeDocument/2006/relationships/footer" Target="footer9.xml"/><Relationship Id="rId149" Type="http://schemas.openxmlformats.org/officeDocument/2006/relationships/footer" Target="footer143.xml"/><Relationship Id="rId148" Type="http://schemas.openxmlformats.org/officeDocument/2006/relationships/footer" Target="footer142.xml"/><Relationship Id="rId147" Type="http://schemas.openxmlformats.org/officeDocument/2006/relationships/footer" Target="footer141.xml"/><Relationship Id="rId146" Type="http://schemas.openxmlformats.org/officeDocument/2006/relationships/footer" Target="footer140.xml"/><Relationship Id="rId145" Type="http://schemas.openxmlformats.org/officeDocument/2006/relationships/footer" Target="footer139.xml"/><Relationship Id="rId144" Type="http://schemas.openxmlformats.org/officeDocument/2006/relationships/footer" Target="footer138.xml"/><Relationship Id="rId143" Type="http://schemas.openxmlformats.org/officeDocument/2006/relationships/footer" Target="footer137.xml"/><Relationship Id="rId142" Type="http://schemas.openxmlformats.org/officeDocument/2006/relationships/footer" Target="footer136.xml"/><Relationship Id="rId141" Type="http://schemas.openxmlformats.org/officeDocument/2006/relationships/footer" Target="footer135.xml"/><Relationship Id="rId140" Type="http://schemas.openxmlformats.org/officeDocument/2006/relationships/footer" Target="footer134.xml"/><Relationship Id="rId14" Type="http://schemas.openxmlformats.org/officeDocument/2006/relationships/footer" Target="footer8.xml"/><Relationship Id="rId139" Type="http://schemas.openxmlformats.org/officeDocument/2006/relationships/footer" Target="footer133.xml"/><Relationship Id="rId138" Type="http://schemas.openxmlformats.org/officeDocument/2006/relationships/footer" Target="footer132.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7.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6.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5.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5"/>
    <customShpInfo spid="_x0000_s1036"/>
    <customShpInfo spid="_x0000_s1034"/>
    <customShpInfo spid="_x0000_s1038"/>
    <customShpInfo spid="_x0000_s1037"/>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50"/>
    <customShpInfo spid="_x0000_s1051"/>
    <customShpInfo spid="_x0000_s1052"/>
    <customShpInfo spid="_x0000_s1053"/>
    <customShpInfo spid="_x0000_s1054"/>
    <customShpInfo spid="_x0000_s1049"/>
    <customShpInfo spid="_x0000_s1056"/>
    <customShpInfo spid="_x0000_s1057"/>
    <customShpInfo spid="_x0000_s1058"/>
    <customShpInfo spid="_x0000_s1059"/>
    <customShpInfo spid="_x0000_s1060"/>
    <customShpInfo spid="_x0000_s1055"/>
    <customShpInfo spid="_x0000_s1062"/>
    <customShpInfo spid="_x0000_s1063"/>
    <customShpInfo spid="_x0000_s1064"/>
    <customShpInfo spid="_x0000_s1065"/>
    <customShpInfo spid="_x0000_s1066"/>
    <customShpInfo spid="_x0000_s1061"/>
    <customShpInfo spid="_x0000_s1067"/>
    <customShpInfo spid="_x0000_s1068"/>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099"/>
    <customShpInfo spid="_x0000_s1103"/>
    <customShpInfo spid="_x0000_s1104"/>
    <customShpInfo spid="_x0000_s1102"/>
    <customShpInfo spid="_x0000_s1106"/>
    <customShpInfo spid="_x0000_s1107"/>
    <customShpInfo spid="_x0000_s1105"/>
    <customShpInfo spid="_x0000_s1108"/>
    <customShpInfo spid="_x0000_s1110"/>
    <customShpInfo spid="_x0000_s1111"/>
    <customShpInfo spid="_x0000_s1109"/>
    <customShpInfo spid="_x0000_s1112"/>
    <customShpInfo spid="_x0000_s1114"/>
    <customShpInfo spid="_x0000_s1115"/>
    <customShpInfo spid="_x0000_s1116"/>
    <customShpInfo spid="_x0000_s1117"/>
    <customShpInfo spid="_x0000_s1118"/>
    <customShpInfo spid="_x0000_s11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239</Pages>
  <Words>10529</Words>
  <Characters>11010</Characters>
  <TotalTime>0</TotalTime>
  <ScaleCrop>false</ScaleCrop>
  <LinksUpToDate>false</LinksUpToDate>
  <CharactersWithSpaces>11845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2025-08-15T10:53:00Z</dcterms:created>
  <dc:creator>lhj</dc:creator>
  <cp:lastModifiedBy>蔡城锦</cp:lastModifiedBy>
  <dcterms:modified xsi:type="dcterms:W3CDTF">2025-08-22T09:12:37Z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2025-08-22T17:03:20Z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DACE65FD0E89470188E8AFCEBE31D2CF_12</vt:lpwstr>
  </property>
</Properties>
</file>